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563638" w:rsidRPr="00563638" w:rsidRDefault="00563638" w:rsidP="00563638">
      <w:pPr>
        <w:pStyle w:val="00pagetopleft"/>
      </w:pPr>
      <w:r w:rsidRPr="00563638">
        <w:t>Antibiotic therapy</w:t>
      </w:r>
    </w:p>
    <w:p w:rsidR="00563638" w:rsidRDefault="00563638" w:rsidP="00563638">
      <w:pPr>
        <w:pStyle w:val="00pagetop2right"/>
        <w:spacing w:after="120"/>
      </w:pPr>
      <w:r w:rsidRPr="00563638">
        <w:t>QUM domains: Appropriate choice</w:t>
      </w:r>
      <w:r>
        <w:t xml:space="preserve"> </w:t>
      </w:r>
    </w:p>
    <w:p w:rsidR="00563638" w:rsidRPr="00563638" w:rsidRDefault="00563638" w:rsidP="00563638">
      <w:pPr>
        <w:pStyle w:val="00pagetop2right"/>
        <w:spacing w:before="0"/>
      </w:pPr>
      <w:r w:rsidRPr="00563638">
        <w:t xml:space="preserve">Safe and effective use </w:t>
      </w:r>
    </w:p>
    <w:p w:rsidR="00E0132D" w:rsidRDefault="00AE21AC" w:rsidP="00F11D0D">
      <w:pPr>
        <w:pStyle w:val="00IndicatorH1"/>
      </w:pPr>
      <w:r>
        <w:t>2.2 Percentage of prescriptions for restricted antibiotics that are concordant with drug and therapeutics committee approved criteria</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effectiveness of processes for preventing emergence of multi-resistant organisms. </w:t>
      </w:r>
    </w:p>
    <w:p w:rsidR="00E0132D" w:rsidRDefault="00AE21AC">
      <w:pPr>
        <w:pStyle w:val="x01-h2-span"/>
        <w:rPr>
          <w:rFonts w:cs="Times New Roman"/>
        </w:rPr>
      </w:pPr>
      <w:r>
        <w:rPr>
          <w:rFonts w:cs="Times New Roman"/>
        </w:rPr>
        <w:t>Background and evidence</w:t>
      </w:r>
    </w:p>
    <w:p w:rsidR="00E0132D" w:rsidRDefault="00AE21AC" w:rsidP="00F11D0D">
      <w:pPr>
        <w:pStyle w:val="02Body"/>
      </w:pPr>
      <w:r>
        <w:t>Multidrug resistance in common clinical pathogens is a growing problem and widespread and indiscriminate use of broad spectrum anti-infectives is a major contributor.</w:t>
      </w:r>
      <w:r>
        <w:rPr>
          <w:rStyle w:val="x02-superscript"/>
        </w:rPr>
        <w:t>1</w:t>
      </w:r>
      <w:r>
        <w:t xml:space="preserve"> Unnecessary use of antimicrobials as well as inappropriate choice, dose and duration of therapy drive selection of resistant bacteria.</w:t>
      </w:r>
      <w:r>
        <w:rPr>
          <w:rStyle w:val="x02-superscript"/>
        </w:rPr>
        <w:t>2</w:t>
      </w:r>
      <w:r>
        <w:t xml:space="preserve"> Restricting use of certain antibiotics to defined groups of patients and using narrow spectrum antibiotics wherever possible can slow or constrain the emergence of antibiotic resistance and prolong the effectiveness of existing antibiotics.</w:t>
      </w:r>
      <w:r>
        <w:rPr>
          <w:rStyle w:val="x02-superscript"/>
        </w:rPr>
        <w:t>1,2</w:t>
      </w:r>
      <w:r>
        <w:t xml:space="preserve"> Treatment should be based on knowledge of local patterns of likely pathogens and local susceptibility data.</w:t>
      </w:r>
      <w:r>
        <w:rPr>
          <w:rStyle w:val="x02-superscript"/>
        </w:rPr>
        <w:t>1</w:t>
      </w:r>
      <w:r>
        <w:t xml:space="preserve"> Medicines that remain the last defence against multi-resistant strains should only be used under expert direction.</w:t>
      </w:r>
      <w:r>
        <w:rPr>
          <w:rStyle w:val="x02-superscript"/>
        </w:rPr>
        <w:t>1</w:t>
      </w:r>
    </w:p>
    <w:p w:rsidR="00E0132D" w:rsidRDefault="00AE21AC" w:rsidP="00F11D0D">
      <w:pPr>
        <w:pStyle w:val="02Body"/>
      </w:pPr>
      <w:r>
        <w:t>Antimicrobial stewardship (AMS) programs have been developed in response to these issues. AMS is a systematic approach to optimising the use of antimicrobials. As a key quality and public health strategy for each hospital executive, AMS is used to reduce inappropriate antimicrobial use, improve patient outcomes and reduce adverse consequences of antimicrobial use.</w:t>
      </w:r>
      <w:r>
        <w:rPr>
          <w:rStyle w:val="x02-superscript"/>
        </w:rPr>
        <w:t>3</w:t>
      </w:r>
    </w:p>
    <w:p w:rsidR="00E0132D" w:rsidRDefault="00AE21AC" w:rsidP="00F11D0D">
      <w:pPr>
        <w:pStyle w:val="02Body"/>
      </w:pPr>
      <w:r>
        <w:t xml:space="preserve">A multidisciplinary AMS committee is charged with liaising closely with several different hospital quality committees, most importantly the drug and therapeutics committee (DTC) with </w:t>
      </w:r>
      <w:proofErr w:type="gramStart"/>
      <w:r>
        <w:t>which</w:t>
      </w:r>
      <w:proofErr w:type="gramEnd"/>
      <w:r>
        <w:t xml:space="preserve"> an antimicrobial prescribing and management policy should be established. This should incorporate an antimicrobial formulary with clear guidelines for antimicrobial treatment and prophylaxis. Policies and guidelines should be consistent with the current edition of Therapeutic Guidelines: Antibiotic</w:t>
      </w:r>
      <w:r>
        <w:rPr>
          <w:rStyle w:val="x02-superscript"/>
        </w:rPr>
        <w:t>2</w:t>
      </w:r>
      <w:r>
        <w:t xml:space="preserve"> as a minimum standard, although DTCs may choose to impose tighter restrictions in alignment with local resistance patterns. The DTC will establish specified antimicrobial </w:t>
      </w:r>
      <w:proofErr w:type="gramStart"/>
      <w:r>
        <w:t>agents which</w:t>
      </w:r>
      <w:proofErr w:type="gramEnd"/>
      <w:r>
        <w:t xml:space="preserve"> may only be prescribed under restricted conditions. Prospective approval of the AMS team or an infectious diseases clinician may be required for certain agents per treatment episode. Antimicrobial usage audits should be used to monitor appropriate prescribing of antibiotics. Regular audit and feedback has been shown to contribute to improved compliance with restricted antibiotic policies.</w:t>
      </w:r>
      <w:r>
        <w:rPr>
          <w:rStyle w:val="x02-superscript"/>
        </w:rPr>
        <w:t>2</w:t>
      </w:r>
    </w:p>
    <w:p w:rsidR="00E0132D" w:rsidRDefault="00AE21AC" w:rsidP="00F11D0D">
      <w:pPr>
        <w:pStyle w:val="02Body"/>
      </w:pPr>
      <w:r>
        <w:t xml:space="preserve">To ensure universal relevance of this indicator and attainment of a reasonable sample size in health facilities of all sizes and areas, its scope has been limited to the antibiotic group of antimicrobials. </w:t>
      </w:r>
    </w:p>
    <w:p w:rsidR="00E0132D" w:rsidRDefault="00AE21AC">
      <w:pPr>
        <w:pStyle w:val="x01-h2"/>
        <w:rPr>
          <w:rFonts w:cs="Times New Roman"/>
        </w:rPr>
      </w:pPr>
      <w:r>
        <w:rPr>
          <w:rFonts w:cs="Times New Roman"/>
        </w:rPr>
        <w:t>Key definitions</w:t>
      </w:r>
    </w:p>
    <w:p w:rsidR="00E0132D" w:rsidRDefault="00AE21AC" w:rsidP="00F11D0D">
      <w:pPr>
        <w:pStyle w:val="02Body"/>
      </w:pPr>
      <w:r>
        <w:rPr>
          <w:rStyle w:val="x02-body-bold"/>
        </w:rPr>
        <w:t>Antimicrobial stewardship</w:t>
      </w:r>
      <w:r>
        <w:t xml:space="preserve"> is an ongoing effort by a healthcare institution to optimise antimicrobial use among hospital patients in order to improve patient outcomes, ensure cost-effective therapy and reduce adverse sequelae of antimicrobial use (including antimicrobial resistance)</w:t>
      </w:r>
      <w:proofErr w:type="gramStart"/>
      <w:r>
        <w:t>.</w:t>
      </w:r>
      <w:r>
        <w:rPr>
          <w:rStyle w:val="x02-superscript"/>
        </w:rPr>
        <w:t>3</w:t>
      </w:r>
      <w:proofErr w:type="gramEnd"/>
    </w:p>
    <w:p w:rsidR="00E0132D" w:rsidRDefault="00AE21AC" w:rsidP="00F11D0D">
      <w:pPr>
        <w:pStyle w:val="02Body"/>
      </w:pPr>
      <w:r>
        <w:rPr>
          <w:rStyle w:val="x02-body-bold"/>
        </w:rPr>
        <w:t>Restricted antibiotics</w:t>
      </w:r>
      <w:r>
        <w:t xml:space="preserve"> refers to those antibiotics that could contribute to development of multi-resistant organisms including parenteral and/or oral formulations of the following antibiotics</w:t>
      </w:r>
      <w:proofErr w:type="gramStart"/>
      <w:r>
        <w:t>:</w:t>
      </w:r>
      <w:r>
        <w:rPr>
          <w:rStyle w:val="x02-superscript"/>
        </w:rPr>
        <w:t>4</w:t>
      </w:r>
      <w:proofErr w:type="gramEnd"/>
    </w:p>
    <w:p w:rsidR="00E0132D" w:rsidRDefault="00AE21AC" w:rsidP="00F11D0D">
      <w:pPr>
        <w:pStyle w:val="02bullet"/>
      </w:pPr>
      <w:r>
        <w:t>Aminoglycosides: amikacin, gentamicin (after 48 hours of use)</w:t>
      </w:r>
    </w:p>
    <w:p w:rsidR="00E0132D" w:rsidRDefault="00AE21AC" w:rsidP="00F11D0D">
      <w:pPr>
        <w:pStyle w:val="02bullet"/>
      </w:pPr>
      <w:r>
        <w:t xml:space="preserve">Carbapenems: doripenem, ertapenem, imipenem, meropenem </w:t>
      </w:r>
    </w:p>
    <w:p w:rsidR="00E0132D" w:rsidRDefault="00AE21AC" w:rsidP="00F11D0D">
      <w:pPr>
        <w:pStyle w:val="02bullet"/>
      </w:pPr>
      <w:r>
        <w:t>Cephalosporins: cefotaxime, ceftriaxone, cefepime, ceftazidime, cefpirome, ceftaroline</w:t>
      </w:r>
    </w:p>
    <w:p w:rsidR="00E0132D" w:rsidRDefault="00AE21AC" w:rsidP="00F11D0D">
      <w:pPr>
        <w:pStyle w:val="02bullet"/>
      </w:pPr>
      <w:r>
        <w:t>Glycopeptides: vancomycin, teicoplanin</w:t>
      </w:r>
    </w:p>
    <w:p w:rsidR="00E0132D" w:rsidRDefault="00AE21AC" w:rsidP="00F11D0D">
      <w:pPr>
        <w:pStyle w:val="02bullet"/>
      </w:pPr>
      <w:r>
        <w:t>Macrolides: azithromycin, clarithromycin</w:t>
      </w:r>
    </w:p>
    <w:p w:rsidR="00E0132D" w:rsidRDefault="00AE21AC" w:rsidP="00F11D0D">
      <w:pPr>
        <w:pStyle w:val="02bullet"/>
      </w:pPr>
      <w:r>
        <w:t xml:space="preserve">Quinolones: ciprofloxacin, moxifloxacin, norfloxacin </w:t>
      </w:r>
    </w:p>
    <w:p w:rsidR="00E0132D" w:rsidRDefault="00AE21AC" w:rsidP="00F11D0D">
      <w:pPr>
        <w:pStyle w:val="02bullet"/>
      </w:pPr>
      <w:r>
        <w:t>Others: aztreonam, colistin, daptomycin, linezolid, sodium fusidate, tigecycline, rifampicin.</w:t>
      </w:r>
    </w:p>
    <w:p w:rsidR="00E0132D" w:rsidRDefault="00AE21AC" w:rsidP="00F11D0D">
      <w:pPr>
        <w:pStyle w:val="02Body"/>
      </w:pPr>
      <w:r>
        <w:t>Other antibiotics may be included in the audit according to locally agreed antibiotic restrictions. As new antibiotics are introduced into the Australian market, they should be considered for inclusion in this list if they pose a risk for emergence of multi-resistant organisms.</w:t>
      </w:r>
    </w:p>
    <w:p w:rsidR="00E0132D" w:rsidRDefault="00AE21AC">
      <w:pPr>
        <w:pStyle w:val="x01-h2"/>
        <w:rPr>
          <w:rFonts w:cs="Times New Roman"/>
        </w:rPr>
      </w:pPr>
      <w:r>
        <w:rPr>
          <w:rFonts w:cs="Times New Roman"/>
        </w:rPr>
        <w:t>Data collection for local use</w:t>
      </w:r>
    </w:p>
    <w:p w:rsidR="00E0132D" w:rsidRDefault="00AE21AC" w:rsidP="00F11D0D">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F11D0D">
      <w:pPr>
        <w:pStyle w:val="02Body"/>
      </w:pPr>
      <w:r>
        <w:rPr>
          <w:rStyle w:val="x02-body-bold"/>
        </w:rPr>
        <w:t>Inclusion criteria:</w:t>
      </w:r>
      <w:r>
        <w:t xml:space="preserve"> All adult, paediatric and neonatal patients prescribed a restricted antibiotic (including those in critical care units such as intensive care, transplant and surgical units).</w:t>
      </w:r>
    </w:p>
    <w:p w:rsidR="00E0132D" w:rsidRDefault="00AE21AC" w:rsidP="00F11D0D">
      <w:pPr>
        <w:pStyle w:val="02Body"/>
      </w:pPr>
      <w:r>
        <w:rPr>
          <w:rStyle w:val="x02-body-bold"/>
        </w:rPr>
        <w:t>Exclusion criteria:</w:t>
      </w:r>
      <w:r>
        <w:t xml:space="preserve"> Nil.</w:t>
      </w:r>
    </w:p>
    <w:p w:rsidR="00E0132D" w:rsidRDefault="00AE21AC" w:rsidP="00F11D0D">
      <w:pPr>
        <w:pStyle w:val="02Body"/>
      </w:pPr>
      <w:r>
        <w:rPr>
          <w:rStyle w:val="x02-body-bold"/>
        </w:rPr>
        <w:t>Recommended data sources:</w:t>
      </w:r>
      <w:r>
        <w:t xml:space="preserve"> Medical records and medication charts.</w:t>
      </w:r>
    </w:p>
    <w:p w:rsidR="00E0132D" w:rsidRDefault="00AE21AC" w:rsidP="00F11D0D">
      <w:pPr>
        <w:pStyle w:val="02Body"/>
      </w:pPr>
      <w:r>
        <w:t>The data collection tool for QUM Indicator 2.2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F11D0D">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F11D0D" w:rsidP="00416186">
      <w:pPr>
        <w:pStyle w:val="02Body"/>
      </w:pPr>
      <w:r>
        <w:rPr>
          <w:noProof/>
          <w:lang w:val="en-US"/>
        </w:rPr>
        <w:drawing>
          <wp:inline distT="0" distB="0" distL="0" distR="0">
            <wp:extent cx="1795272" cy="652272"/>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F11D0D">
      <w:pPr>
        <w:pStyle w:val="02Body"/>
      </w:pPr>
      <w:r>
        <w:rPr>
          <w:rStyle w:val="x02-body-bold"/>
        </w:rPr>
        <w:t>Numerator</w:t>
      </w:r>
      <w:r>
        <w:t xml:space="preserve"> = Number of prescriptions for restricted antibiotics that are concordant with DTC approved criteria</w:t>
      </w:r>
    </w:p>
    <w:p w:rsidR="00E0132D" w:rsidRDefault="00AE21AC" w:rsidP="00F11D0D">
      <w:pPr>
        <w:pStyle w:val="02Body"/>
      </w:pPr>
      <w:r>
        <w:rPr>
          <w:rStyle w:val="x02-body-bold"/>
        </w:rPr>
        <w:t>Denominator</w:t>
      </w:r>
      <w:r>
        <w:t xml:space="preserve"> = Number of prescriptions for restricted antibiotics in sample</w:t>
      </w:r>
    </w:p>
    <w:p w:rsidR="00E0132D" w:rsidRDefault="00AE21AC">
      <w:pPr>
        <w:pStyle w:val="x01-h2"/>
        <w:rPr>
          <w:rFonts w:cs="Times New Roman"/>
        </w:rPr>
      </w:pPr>
      <w:r>
        <w:rPr>
          <w:rFonts w:cs="Times New Roman"/>
        </w:rPr>
        <w:t>Limitations and interpretation</w:t>
      </w:r>
    </w:p>
    <w:p w:rsidR="00F11D0D" w:rsidRDefault="00AE21AC" w:rsidP="00F11D0D">
      <w:pPr>
        <w:pStyle w:val="02Body"/>
      </w:pPr>
      <w:r>
        <w:t xml:space="preserve">At times antibiotics may not be prescribed in accordance with DTC criteria, but may nevertheless be approved by microbiology/infectious diseases departments. Where this is explicitly documented it can be considered a concordant prescription. In the absence of documentation regarding specific approval, it should be assumed that antibiotic prescription is not concordant. </w:t>
      </w:r>
    </w:p>
    <w:p w:rsidR="00F11D0D" w:rsidRDefault="00F11D0D">
      <w:pPr>
        <w:spacing w:after="0"/>
        <w:rPr>
          <w:rFonts w:eastAsia="Times New Roman" w:cs="HelveticaNeue-Light"/>
          <w:color w:val="000000"/>
          <w:spacing w:val="4"/>
          <w:szCs w:val="18"/>
          <w:lang w:val="en-GB"/>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F11D0D">
        <w:tc>
          <w:tcPr>
            <w:tcW w:w="10132" w:type="dxa"/>
            <w:shd w:val="clear" w:color="auto" w:fill="DCF1F6"/>
          </w:tcPr>
          <w:p w:rsidR="00F11D0D" w:rsidRDefault="00F11D0D" w:rsidP="00F11D0D">
            <w:pPr>
              <w:pStyle w:val="x01-h2"/>
              <w:rPr>
                <w:rFonts w:cs="Times New Roman"/>
              </w:rPr>
            </w:pPr>
            <w:r>
              <w:rPr>
                <w:rFonts w:cs="Times New Roman"/>
              </w:rPr>
              <w:t>Further information</w:t>
            </w:r>
          </w:p>
          <w:p w:rsidR="00F11D0D" w:rsidRDefault="00F11D0D" w:rsidP="00F11D0D">
            <w:pPr>
              <w:pStyle w:val="02Body"/>
            </w:pPr>
            <w:r>
              <w:t>Electronic prescribing systems with decision support and purpose-designed electronic AMS applications can be used to help manage approval processes for use of restricted antibiotics. For further information regarding formulary restrictions and antimicrobial approval systems refer to Australian Commission on Safety and Quality in Health Care publication, Antimicrobial Stewardship in Australian Hospitals 2011</w:t>
            </w:r>
            <w:r>
              <w:rPr>
                <w:rStyle w:val="x02-superscript"/>
              </w:rPr>
              <w:t>3</w:t>
            </w:r>
            <w:r>
              <w:br/>
            </w:r>
            <w:hyperlink r:id="rId8" w:history="1">
              <w:r w:rsidRPr="00F11D0D">
                <w:rPr>
                  <w:rStyle w:val="x02-url"/>
                </w:rPr>
                <w:t>http://www.safetyandquality.gov.au/our-work/healthcare-associated-infection/antimicrobial-stewardship/book/</w:t>
              </w:r>
            </w:hyperlink>
          </w:p>
          <w:p w:rsidR="00F11D0D" w:rsidRDefault="00F11D0D" w:rsidP="00F11D0D">
            <w:pPr>
              <w:pStyle w:val="02Body"/>
            </w:pPr>
            <w:r>
              <w:t xml:space="preserve">The Australian Commission on Safety and Quality in Health Care and NPS MedicineWise have developed a series of e-learning modules on antimicrobial prescribing. The modules address specific areas where antimicrobial use in hospitals is suboptimal. The modules can be accessed at </w:t>
            </w:r>
            <w:hyperlink r:id="rId9" w:history="1">
              <w:r w:rsidRPr="00F11D0D">
                <w:rPr>
                  <w:rStyle w:val="x02-url"/>
                </w:rPr>
                <w:t>http://learn.nps.org.au</w:t>
              </w:r>
            </w:hyperlink>
          </w:p>
          <w:p w:rsidR="00F11D0D" w:rsidRDefault="00F11D0D" w:rsidP="00F11D0D">
            <w:pPr>
              <w:pStyle w:val="02Body"/>
            </w:pPr>
            <w:r>
              <w:t>Medication Safety Self Assessment for Australian Hospitals</w:t>
            </w:r>
            <w:r>
              <w:rPr>
                <w:rStyle w:val="x02-superscript"/>
              </w:rPr>
              <w:t>5</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10" w:history="1">
              <w:r w:rsidRPr="00F11D0D">
                <w:rPr>
                  <w:rStyle w:val="x02-url"/>
                </w:rPr>
                <w:t>www.cec.health.nsw.gov.au</w:t>
              </w:r>
            </w:hyperlink>
          </w:p>
          <w:p w:rsidR="00F11D0D" w:rsidRDefault="00F11D0D" w:rsidP="00F11D0D">
            <w:pPr>
              <w:pStyle w:val="02Body"/>
            </w:pPr>
            <w:r>
              <w:t>This indicator can be used to assist hospitals in meeting the National Safety and Quality Health Service Standard 1 [items 1.2.1, 1.2.2, 1.5.2, 1.6.1, 1.6.2, 1.7.2], Standard 3 [items 3.1.1, 3.1.2, 3.4.1, 3.4.2, 3.4.3, 3.14.1, 3.14.3, 3.14.4] and Standard 4 [items 4.1.1, 4.2.1, 4.2.2, 4.3.2, 4.3.3, 4.5.1, 4.5.2]</w:t>
            </w:r>
            <w:proofErr w:type="gramStart"/>
            <w:r>
              <w:t>.</w:t>
            </w:r>
            <w:r>
              <w:rPr>
                <w:rStyle w:val="x02-superscript"/>
              </w:rPr>
              <w:t>6</w:t>
            </w:r>
            <w:proofErr w:type="gramEnd"/>
          </w:p>
        </w:tc>
      </w:tr>
    </w:tbl>
    <w:p w:rsidR="00E0132D" w:rsidRDefault="00AE21AC" w:rsidP="00F11D0D">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pPr>
      <w:r>
        <w:t>1. Australian Medicines Handbook. Australian Medicines Handbook Pty Ltd, 2012.</w:t>
      </w:r>
    </w:p>
    <w:p w:rsidR="00E0132D" w:rsidRDefault="00AE21AC" w:rsidP="00C03794">
      <w:pPr>
        <w:pStyle w:val="x04-footnotes"/>
        <w:ind w:left="142" w:hanging="142"/>
      </w:pPr>
      <w:r>
        <w:t xml:space="preserve">2. </w:t>
      </w:r>
      <w:proofErr w:type="gramStart"/>
      <w:r>
        <w:t>eTG</w:t>
      </w:r>
      <w:proofErr w:type="gramEnd"/>
      <w:r>
        <w:t xml:space="preserve"> complete [Internet]. Melbourne: Therapeutic Guidelines Limited; 2010 March. </w:t>
      </w:r>
    </w:p>
    <w:p w:rsidR="00E0132D" w:rsidRDefault="00AE21AC" w:rsidP="00C03794">
      <w:pPr>
        <w:pStyle w:val="x04-footnotes"/>
        <w:ind w:left="142" w:hanging="142"/>
      </w:pPr>
      <w:r>
        <w:t xml:space="preserve">3. Duguid M and Cruickshank M, </w:t>
      </w:r>
      <w:proofErr w:type="gramStart"/>
      <w:r>
        <w:t>eds</w:t>
      </w:r>
      <w:proofErr w:type="gramEnd"/>
      <w:r>
        <w:t xml:space="preserve">. </w:t>
      </w:r>
      <w:proofErr w:type="gramStart"/>
      <w:r>
        <w:t>Antimicrobial stewardship in Australian Hospitals.</w:t>
      </w:r>
      <w:proofErr w:type="gramEnd"/>
      <w:r>
        <w:t xml:space="preserve"> </w:t>
      </w:r>
      <w:proofErr w:type="gramStart"/>
      <w:r>
        <w:t>Australian Commission on Safety and Quality in Health Care, Sydney, 2011.</w:t>
      </w:r>
      <w:proofErr w:type="gramEnd"/>
    </w:p>
    <w:p w:rsidR="00E0132D" w:rsidRDefault="00AE21AC" w:rsidP="00C03794">
      <w:pPr>
        <w:pStyle w:val="x04-footnotes"/>
        <w:ind w:left="142" w:hanging="142"/>
      </w:pPr>
      <w:r>
        <w:t xml:space="preserve">4. List of Recommended Antimicrobial Restrictions. </w:t>
      </w:r>
      <w:proofErr w:type="gramStart"/>
      <w:r>
        <w:t>QUAH Antimicrobial Stewardship Toolkit.</w:t>
      </w:r>
      <w:proofErr w:type="gramEnd"/>
      <w:r>
        <w:t xml:space="preserve"> </w:t>
      </w:r>
      <w:proofErr w:type="gramStart"/>
      <w:r>
        <w:t>Clinical Excellence Commission 2013.</w:t>
      </w:r>
      <w:proofErr w:type="gramEnd"/>
      <w:r>
        <w:t xml:space="preserve"> </w:t>
      </w:r>
      <w:hyperlink r:id="rId11" w:history="1">
        <w:proofErr w:type="gramStart"/>
        <w:r w:rsidRPr="00F11D0D">
          <w:rPr>
            <w:rStyle w:val="x02-body-bold"/>
          </w:rPr>
          <w:t>www.cec.health.nsw.gov.au/programs/quah</w:t>
        </w:r>
      </w:hyperlink>
      <w:r>
        <w:t xml:space="preserve"> (Accessed 19 September 2014).</w:t>
      </w:r>
      <w:proofErr w:type="gramEnd"/>
    </w:p>
    <w:p w:rsidR="00E0132D" w:rsidRDefault="00AE21AC" w:rsidP="00C03794">
      <w:pPr>
        <w:pStyle w:val="x04-footnotes"/>
        <w:ind w:left="142" w:hanging="142"/>
      </w:pPr>
      <w:r>
        <w:t xml:space="preserve">5.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pPr>
      <w:r>
        <w:t xml:space="preserve">6. Australian Commission on Safety and Quality in Health Care. National Safety and Quality Health Service Standards, Sydney, ACSQHC, 2012. </w:t>
      </w:r>
    </w:p>
    <w:p w:rsidR="00F11D0D" w:rsidRDefault="00F11D0D">
      <w:pPr>
        <w:spacing w:after="0"/>
        <w:rPr>
          <w:rFonts w:eastAsia="Times New Roman" w:cs="Times New Roman"/>
          <w:b/>
          <w:bCs/>
          <w:kern w:val="36"/>
          <w:sz w:val="48"/>
          <w:szCs w:val="48"/>
        </w:rPr>
      </w:pPr>
    </w:p>
    <w:sectPr w:rsidR="00F11D0D" w:rsidSect="00EC1EC9">
      <w:headerReference w:type="default" r:id="rId12"/>
      <w:footerReference w:type="even" r:id="rId13"/>
      <w:footerReference w:type="default" r:id="rId14"/>
      <w:headerReference w:type="first" r:id="rId15"/>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F411E5"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F411E5"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784829">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D2E87"/>
    <w:rsid w:val="00105798"/>
    <w:rsid w:val="001139CE"/>
    <w:rsid w:val="00136A82"/>
    <w:rsid w:val="0014196D"/>
    <w:rsid w:val="00265406"/>
    <w:rsid w:val="002834FA"/>
    <w:rsid w:val="002B522B"/>
    <w:rsid w:val="002D346E"/>
    <w:rsid w:val="003001B0"/>
    <w:rsid w:val="00335EC6"/>
    <w:rsid w:val="003C578E"/>
    <w:rsid w:val="003C6D8B"/>
    <w:rsid w:val="003E78CF"/>
    <w:rsid w:val="004018B0"/>
    <w:rsid w:val="00416186"/>
    <w:rsid w:val="00446FEA"/>
    <w:rsid w:val="004B0764"/>
    <w:rsid w:val="004D04BA"/>
    <w:rsid w:val="00510CAF"/>
    <w:rsid w:val="00563638"/>
    <w:rsid w:val="0056365B"/>
    <w:rsid w:val="005A754B"/>
    <w:rsid w:val="005B61D8"/>
    <w:rsid w:val="006174E8"/>
    <w:rsid w:val="00697608"/>
    <w:rsid w:val="006E077D"/>
    <w:rsid w:val="00784829"/>
    <w:rsid w:val="0083412A"/>
    <w:rsid w:val="00844813"/>
    <w:rsid w:val="00852DB6"/>
    <w:rsid w:val="00856734"/>
    <w:rsid w:val="00870BAF"/>
    <w:rsid w:val="008B244E"/>
    <w:rsid w:val="009655EA"/>
    <w:rsid w:val="00977CFB"/>
    <w:rsid w:val="009873FA"/>
    <w:rsid w:val="009A2815"/>
    <w:rsid w:val="009C4991"/>
    <w:rsid w:val="009E2A33"/>
    <w:rsid w:val="009E3F64"/>
    <w:rsid w:val="009F7D89"/>
    <w:rsid w:val="00A17C2D"/>
    <w:rsid w:val="00A879BE"/>
    <w:rsid w:val="00A90A11"/>
    <w:rsid w:val="00AA51DA"/>
    <w:rsid w:val="00AE21AC"/>
    <w:rsid w:val="00AE77BF"/>
    <w:rsid w:val="00B01E77"/>
    <w:rsid w:val="00B44E16"/>
    <w:rsid w:val="00B45F6B"/>
    <w:rsid w:val="00BD739E"/>
    <w:rsid w:val="00C03794"/>
    <w:rsid w:val="00C10D3A"/>
    <w:rsid w:val="00C23D10"/>
    <w:rsid w:val="00C829BA"/>
    <w:rsid w:val="00C909D3"/>
    <w:rsid w:val="00CD468E"/>
    <w:rsid w:val="00D053C2"/>
    <w:rsid w:val="00D16016"/>
    <w:rsid w:val="00D47826"/>
    <w:rsid w:val="00D752D1"/>
    <w:rsid w:val="00D86BEE"/>
    <w:rsid w:val="00E0132D"/>
    <w:rsid w:val="00E21A3B"/>
    <w:rsid w:val="00E224F2"/>
    <w:rsid w:val="00E67E14"/>
    <w:rsid w:val="00E71EDF"/>
    <w:rsid w:val="00E92548"/>
    <w:rsid w:val="00E93779"/>
    <w:rsid w:val="00EC1EC9"/>
    <w:rsid w:val="00F03BA1"/>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c.health.nsw.gov.au/programs/quah"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healthcare-associated-infection/antimicrobial-stewardship/book/" TargetMode="External"/><Relationship Id="rId9" Type="http://schemas.openxmlformats.org/officeDocument/2006/relationships/hyperlink" Target="http://learn.nps.org.au"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6720</Characters>
  <Application>Microsoft Macintosh Word</Application>
  <DocSecurity>0</DocSecurity>
  <Lines>56</Lines>
  <Paragraphs>13</Paragraphs>
  <ScaleCrop>false</ScaleCrop>
  <Company>gd</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2014-11-17T04:51:00Z</dcterms:created>
  <dcterms:modified xsi:type="dcterms:W3CDTF">2014-11-17T04:51:00Z</dcterms:modified>
</cp:coreProperties>
</file>