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2D" w:rsidRDefault="00E0132D">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Pr="00105798" w:rsidRDefault="00105798">
      <w:pPr>
        <w:divId w:val="1422870910"/>
        <w:rPr>
          <w:rFonts w:eastAsia="Times New Roman" w:cs="Times New Roman"/>
          <w:color w:val="1D4A74"/>
        </w:rPr>
      </w:pPr>
    </w:p>
    <w:p w:rsidR="00105798" w:rsidRPr="00F03BA1" w:rsidRDefault="00F03BA1" w:rsidP="00F03BA1">
      <w:pPr>
        <w:pStyle w:val="x00-cover-date"/>
        <w:divId w:val="753093417"/>
        <w:rPr>
          <w:rFonts w:cs="Times New Roman"/>
          <w:b w:val="0"/>
          <w:color w:val="FFFFFF" w:themeColor="background1"/>
          <w:sz w:val="52"/>
        </w:rPr>
      </w:pPr>
      <w:r w:rsidRPr="00F03BA1">
        <w:rPr>
          <w:rFonts w:cs="Times New Roman"/>
          <w:b w:val="0"/>
          <w:color w:val="FFFFFF" w:themeColor="background1"/>
          <w:sz w:val="52"/>
        </w:rPr>
        <w:t>Indicators</w:t>
      </w: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rsidP="00446FEA">
      <w:pPr>
        <w:pStyle w:val="x00-cover-date"/>
        <w:jc w:val="left"/>
        <w:divId w:val="753093417"/>
        <w:rPr>
          <w:rFonts w:cs="Times New Roman"/>
        </w:rPr>
      </w:pPr>
      <w:r>
        <w:rPr>
          <w:rFonts w:cs="Times New Roman"/>
        </w:rPr>
        <w:br/>
      </w:r>
    </w:p>
    <w:p w:rsidR="00105798" w:rsidRDefault="00105798">
      <w:pPr>
        <w:pStyle w:val="x00-cover-date"/>
        <w:divId w:val="753093417"/>
        <w:rPr>
          <w:rFonts w:cs="Times New Roman"/>
        </w:rPr>
      </w:pPr>
    </w:p>
    <w:p w:rsidR="00446FEA" w:rsidRDefault="00446FEA">
      <w:pPr>
        <w:pStyle w:val="x00-cover-date"/>
        <w:divId w:val="753093417"/>
        <w:rPr>
          <w:rFonts w:cs="Times New Roman"/>
        </w:rPr>
      </w:pPr>
    </w:p>
    <w:p w:rsidR="00E0132D" w:rsidRPr="00105798" w:rsidRDefault="00446FEA">
      <w:pPr>
        <w:pStyle w:val="x00-cover-date"/>
        <w:divId w:val="753093417"/>
        <w:rPr>
          <w:rFonts w:cs="Times New Roman"/>
        </w:rPr>
      </w:pPr>
      <w:r>
        <w:rPr>
          <w:rFonts w:cs="Times New Roman"/>
        </w:rPr>
        <w:br/>
      </w:r>
    </w:p>
    <w:p w:rsidR="00F3116D" w:rsidRDefault="00EC1EC9" w:rsidP="0014196D">
      <w:pPr>
        <w:rPr>
          <w:rFonts w:cs="HelveticaNeue-Light"/>
          <w:color w:val="000000"/>
          <w:spacing w:val="4"/>
          <w:szCs w:val="18"/>
          <w:lang w:val="en-GB"/>
        </w:rPr>
      </w:pPr>
      <w:r>
        <w:br w:type="page"/>
      </w:r>
    </w:p>
    <w:p w:rsidR="004B0764" w:rsidRPr="004B0764" w:rsidRDefault="004B0764" w:rsidP="004B0764">
      <w:pPr>
        <w:pStyle w:val="00pagetopleft"/>
      </w:pPr>
      <w:r w:rsidRPr="004B0764">
        <w:t>Medication ordering</w:t>
      </w:r>
    </w:p>
    <w:p w:rsidR="004B0764" w:rsidRPr="004B0764" w:rsidRDefault="004B0764" w:rsidP="004B0764">
      <w:pPr>
        <w:pStyle w:val="00pagetop2right"/>
      </w:pPr>
      <w:r w:rsidRPr="004B0764">
        <w:t xml:space="preserve">QUM domains: Safe and effective use </w:t>
      </w:r>
    </w:p>
    <w:p w:rsidR="00E0132D" w:rsidRDefault="00AE21AC" w:rsidP="004B0764">
      <w:pPr>
        <w:pStyle w:val="00IndicatorH1"/>
      </w:pPr>
      <w:r>
        <w:t>3.3 Percentage of medication orders that include error-prone abbreviations</w:t>
      </w:r>
    </w:p>
    <w:p w:rsidR="00E0132D" w:rsidRDefault="00AE21AC">
      <w:pPr>
        <w:pStyle w:val="x01-h2"/>
        <w:rPr>
          <w:rFonts w:cs="Times New Roman"/>
        </w:rPr>
      </w:pPr>
      <w:r>
        <w:rPr>
          <w:rFonts w:cs="Times New Roman"/>
        </w:rPr>
        <w:t>Purpose</w:t>
      </w:r>
    </w:p>
    <w:p w:rsidR="00E0132D" w:rsidRDefault="00AE21AC" w:rsidP="00C909D3">
      <w:pPr>
        <w:pStyle w:val="x02-intro"/>
      </w:pPr>
      <w:r>
        <w:t xml:space="preserve">This indicator assesses the effectiveness of processes that encourage clear and unambiguous communication of medication orders. </w:t>
      </w:r>
    </w:p>
    <w:p w:rsidR="00E0132D" w:rsidRDefault="00AE21AC">
      <w:pPr>
        <w:pStyle w:val="x01-h2-span"/>
        <w:rPr>
          <w:rFonts w:cs="Times New Roman"/>
        </w:rPr>
      </w:pPr>
      <w:r>
        <w:rPr>
          <w:rFonts w:cs="Times New Roman"/>
        </w:rPr>
        <w:t>Background and evidence</w:t>
      </w:r>
    </w:p>
    <w:p w:rsidR="00E0132D" w:rsidRDefault="00AE21AC" w:rsidP="004B0764">
      <w:pPr>
        <w:pStyle w:val="02Body"/>
      </w:pPr>
      <w:r>
        <w:t>One of the major causes of medication errors is the use of potentially dangerous abbreviations in prescribing.</w:t>
      </w:r>
      <w:r>
        <w:rPr>
          <w:rStyle w:val="x02-superscript"/>
        </w:rPr>
        <w:t>1</w:t>
      </w:r>
      <w:r>
        <w:t xml:space="preserve"> An abbreviation used by a prescriber may mean something quite different to the person interpreting the prescription. Abbreviations may not only be misunderstood but can also be combined with other words or numerals to appear as something altogether unintended. Although using abbreviations may seem to be a timesaving convenience, use of abbreviations does not promote patient safety.</w:t>
      </w:r>
      <w:r>
        <w:rPr>
          <w:rStyle w:val="x02-superscript"/>
        </w:rPr>
        <w:t>2</w:t>
      </w:r>
    </w:p>
    <w:p w:rsidR="00E0132D" w:rsidRDefault="00AE21AC" w:rsidP="004B0764">
      <w:pPr>
        <w:pStyle w:val="02Body"/>
      </w:pPr>
      <w:r>
        <w:t>In 2006, the Institute for Safe Medication Practices (ISMP) and the US Food and Drug Administration (FDA) launched an educational campaign to help eliminate use of error-prone abbreviations in prescribing.</w:t>
      </w:r>
      <w:r>
        <w:rPr>
          <w:rStyle w:val="x02-superscript"/>
        </w:rPr>
        <w:t>3</w:t>
      </w:r>
      <w:r>
        <w:t xml:space="preserve"> The aim of the campaign was to promote safe practices among those who communicate medical information.</w:t>
      </w:r>
    </w:p>
    <w:p w:rsidR="00E0132D" w:rsidRDefault="00AE21AC" w:rsidP="004B0764">
      <w:pPr>
        <w:pStyle w:val="02Body"/>
      </w:pPr>
      <w:r>
        <w:t>Following this, the NSW TAG SAFER Medicines Group developed a comprehensive list of error-prone abbreviations for NSW public hospitals. This list has now been adopted by the Australian Commission on Safety and Quality in Health Care (ACSQHC) and in 2008 the Australian Health Ministers endorsed standard prescribing terminology, abbreviations and symbols for use in all Australian hospitals.</w:t>
      </w:r>
      <w:r>
        <w:rPr>
          <w:rStyle w:val="x02-superscript"/>
        </w:rPr>
        <w:t>4</w:t>
      </w:r>
    </w:p>
    <w:p w:rsidR="00E0132D" w:rsidRDefault="00AE21AC">
      <w:pPr>
        <w:pStyle w:val="x01-h2"/>
        <w:rPr>
          <w:rFonts w:cs="Times New Roman"/>
        </w:rPr>
      </w:pPr>
      <w:r>
        <w:rPr>
          <w:rFonts w:cs="Times New Roman"/>
        </w:rPr>
        <w:t>Data collection for local use</w:t>
      </w:r>
    </w:p>
    <w:p w:rsidR="00E0132D" w:rsidRDefault="00AE21AC" w:rsidP="004B0764">
      <w:pPr>
        <w:pStyle w:val="02Body"/>
      </w:pPr>
      <w:r>
        <w:t xml:space="preserve">Please refer to the section </w:t>
      </w:r>
      <w:r>
        <w:rPr>
          <w:rStyle w:val="x02-body-italic"/>
        </w:rPr>
        <w:t>Using the National Quality Use of Medicines Indicators for Australian Hospitals</w:t>
      </w:r>
      <w:r>
        <w:t xml:space="preserve"> for guidance on sample selection, sample size, measurement frequency and other considerations. </w:t>
      </w:r>
    </w:p>
    <w:p w:rsidR="00E0132D" w:rsidRDefault="00AE21AC" w:rsidP="004B0764">
      <w:pPr>
        <w:pStyle w:val="02Body"/>
      </w:pPr>
      <w:r>
        <w:rPr>
          <w:rStyle w:val="x02-body-bold"/>
        </w:rPr>
        <w:t>Inclusion criteria:</w:t>
      </w:r>
      <w:r>
        <w:t xml:space="preserve"> Medication orders of adult, paediatric and neonatal inpatients.</w:t>
      </w:r>
    </w:p>
    <w:p w:rsidR="00E0132D" w:rsidRDefault="00AE21AC" w:rsidP="004B0764">
      <w:pPr>
        <w:pStyle w:val="02Body"/>
      </w:pPr>
      <w:r>
        <w:rPr>
          <w:rStyle w:val="x02-body-bold"/>
        </w:rPr>
        <w:t>Exclusion criteria:</w:t>
      </w:r>
      <w:r>
        <w:t xml:space="preserve"> Nil.</w:t>
      </w:r>
    </w:p>
    <w:p w:rsidR="00E0132D" w:rsidRDefault="00AE21AC" w:rsidP="004B0764">
      <w:pPr>
        <w:pStyle w:val="02Body"/>
      </w:pPr>
      <w:r>
        <w:rPr>
          <w:rStyle w:val="x02-body-bold"/>
        </w:rPr>
        <w:t>Recommended data sources:</w:t>
      </w:r>
      <w:r>
        <w:t xml:space="preserve"> Medication charts.</w:t>
      </w:r>
    </w:p>
    <w:p w:rsidR="00E0132D" w:rsidRDefault="00AE21AC" w:rsidP="004B0764">
      <w:pPr>
        <w:pStyle w:val="02Body"/>
      </w:pPr>
      <w:r>
        <w:t>For the patients selected for audit, all current medication orders on all current medication charts should be audited.</w:t>
      </w:r>
    </w:p>
    <w:p w:rsidR="00E0132D" w:rsidRDefault="00AE21AC" w:rsidP="004B0764">
      <w:pPr>
        <w:pStyle w:val="02Body"/>
      </w:pPr>
      <w:r>
        <w:t>The data collection tool for QUM Indicator 3.3 assists data collection and indicator calculation.</w:t>
      </w:r>
    </w:p>
    <w:p w:rsidR="00E0132D" w:rsidRDefault="00AE21AC">
      <w:pPr>
        <w:pStyle w:val="x01-h2"/>
        <w:rPr>
          <w:rFonts w:cs="Times New Roman"/>
        </w:rPr>
      </w:pPr>
      <w:r>
        <w:rPr>
          <w:rFonts w:cs="Times New Roman"/>
        </w:rPr>
        <w:t>Data collection for inter-hospital comparison</w:t>
      </w:r>
    </w:p>
    <w:p w:rsidR="00E0132D" w:rsidRDefault="00AE21AC" w:rsidP="004B0764">
      <w:pPr>
        <w:pStyle w:val="02Body"/>
      </w:pPr>
      <w:r>
        <w:t>This indicator may be suitable for inter-hospital comparison. In this case, definitions, sampling methods and guidelines for audit and reporting need to be agreed in advance in consultation with the coordinating agency.</w:t>
      </w:r>
    </w:p>
    <w:p w:rsidR="004B0764" w:rsidRDefault="004B0764">
      <w:pPr>
        <w:spacing w:after="0"/>
        <w:rPr>
          <w:rFonts w:cs="Times New Roman"/>
          <w:color w:val="1D4A74"/>
          <w:sz w:val="28"/>
          <w:szCs w:val="28"/>
        </w:rPr>
      </w:pPr>
      <w:r>
        <w:rPr>
          <w:rFonts w:cs="Times New Roman"/>
        </w:rPr>
        <w:br w:type="page"/>
      </w:r>
    </w:p>
    <w:p w:rsidR="00E0132D" w:rsidRDefault="00AE21AC">
      <w:pPr>
        <w:pStyle w:val="x01-h2"/>
        <w:rPr>
          <w:rFonts w:cs="Times New Roman"/>
        </w:rPr>
      </w:pPr>
      <w:r>
        <w:rPr>
          <w:rFonts w:cs="Times New Roman"/>
        </w:rPr>
        <w:t>Indicator calculation</w:t>
      </w:r>
    </w:p>
    <w:p w:rsidR="00E0132D" w:rsidRDefault="004B0764" w:rsidP="00416186">
      <w:pPr>
        <w:pStyle w:val="02Body"/>
      </w:pPr>
      <w:r>
        <w:rPr>
          <w:noProof/>
          <w:lang w:val="en-US"/>
        </w:rPr>
        <w:drawing>
          <wp:inline distT="0" distB="0" distL="0" distR="0">
            <wp:extent cx="1795272" cy="652272"/>
            <wp:effectExtent l="0" t="0" r="8255"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ulation_v2.png"/>
                    <pic:cNvPicPr/>
                  </pic:nvPicPr>
                  <pic:blipFill>
                    <a:blip r:embed="rId7">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795272" cy="652272"/>
                    </a:xfrm>
                    <a:prstGeom prst="rect">
                      <a:avLst/>
                    </a:prstGeom>
                  </pic:spPr>
                </pic:pic>
              </a:graphicData>
            </a:graphic>
          </wp:inline>
        </w:drawing>
      </w:r>
    </w:p>
    <w:p w:rsidR="00E0132D" w:rsidRDefault="00AE21AC" w:rsidP="004B0764">
      <w:pPr>
        <w:pStyle w:val="02Body"/>
      </w:pPr>
      <w:r>
        <w:rPr>
          <w:rStyle w:val="x02-body-bold"/>
        </w:rPr>
        <w:t>Numerator</w:t>
      </w:r>
      <w:r>
        <w:t xml:space="preserve"> = Number of medication orders that include error-prone abbreviations </w:t>
      </w:r>
    </w:p>
    <w:p w:rsidR="00E0132D" w:rsidRDefault="00AE21AC" w:rsidP="004B0764">
      <w:pPr>
        <w:pStyle w:val="02Body"/>
      </w:pPr>
      <w:r>
        <w:rPr>
          <w:rStyle w:val="x02-body-bold"/>
        </w:rPr>
        <w:t>Denominator</w:t>
      </w:r>
      <w:r>
        <w:t xml:space="preserve"> = Number of medication orders in sample</w:t>
      </w:r>
    </w:p>
    <w:p w:rsidR="00E0132D" w:rsidRDefault="00AE21AC">
      <w:pPr>
        <w:pStyle w:val="x01-h2"/>
        <w:rPr>
          <w:rFonts w:cs="Times New Roman"/>
        </w:rPr>
      </w:pPr>
      <w:r>
        <w:rPr>
          <w:rFonts w:cs="Times New Roman"/>
        </w:rPr>
        <w:t>Limitations and interpretation</w:t>
      </w:r>
    </w:p>
    <w:p w:rsidR="00E0132D" w:rsidRDefault="00AE21AC" w:rsidP="004B0764">
      <w:pPr>
        <w:pStyle w:val="02Body"/>
      </w:pPr>
      <w:r>
        <w:t xml:space="preserve">This indicator does not measure the use of error-prone abbreviations other than those specified. Other error-prone abbreviations should also be avoided. </w:t>
      </w:r>
    </w:p>
    <w:p w:rsidR="00E0132D" w:rsidRDefault="00AE21AC" w:rsidP="004B0764">
      <w:pPr>
        <w:pStyle w:val="02Body"/>
      </w:pPr>
      <w:r>
        <w:t>Hospitals may chose to audit the use of other error-prone abbreviations, symbols or terminology according to locally agreed priorities, for example the use of abbreviated names of medicines.</w:t>
      </w:r>
    </w:p>
    <w:p w:rsidR="00E0132D" w:rsidRDefault="00AE21AC">
      <w:pPr>
        <w:pStyle w:val="x01-h2"/>
        <w:rPr>
          <w:rFonts w:cs="Times New Roman"/>
        </w:rPr>
      </w:pPr>
      <w:r>
        <w:rPr>
          <w:rFonts w:cs="Times New Roman"/>
        </w:rPr>
        <w:t>Key definitions</w:t>
      </w:r>
    </w:p>
    <w:p w:rsidR="00E0132D" w:rsidRDefault="00AE21AC" w:rsidP="004B0764">
      <w:pPr>
        <w:pStyle w:val="02Body"/>
      </w:pPr>
      <w:r>
        <w:rPr>
          <w:rStyle w:val="x02-body-bold"/>
          <w:rFonts w:cs="Times New Roman"/>
        </w:rPr>
        <w:t>Error-prone abbreviations</w:t>
      </w:r>
      <w:r>
        <w:t xml:space="preserve"> relevant to this indicator and their acceptable alternatives are outlined below:</w:t>
      </w:r>
    </w:p>
    <w:tbl>
      <w:tblPr>
        <w:tblW w:w="0" w:type="auto"/>
        <w:tblBorders>
          <w:top w:val="single" w:sz="4" w:space="0" w:color="666967"/>
          <w:left w:val="single" w:sz="4" w:space="0" w:color="666967"/>
          <w:bottom w:val="single" w:sz="4" w:space="0" w:color="666967"/>
          <w:right w:val="single" w:sz="4" w:space="0" w:color="666967"/>
          <w:insideH w:val="single" w:sz="4" w:space="0" w:color="666967"/>
          <w:insideV w:val="single" w:sz="4" w:space="0" w:color="666967"/>
        </w:tblBorders>
        <w:tblCellMar>
          <w:top w:w="57" w:type="dxa"/>
          <w:left w:w="113" w:type="dxa"/>
          <w:bottom w:w="57" w:type="dxa"/>
          <w:right w:w="113" w:type="dxa"/>
        </w:tblCellMar>
        <w:tblLook w:val="04A0"/>
      </w:tblPr>
      <w:tblGrid>
        <w:gridCol w:w="1929"/>
        <w:gridCol w:w="1250"/>
        <w:gridCol w:w="4582"/>
        <w:gridCol w:w="2381"/>
      </w:tblGrid>
      <w:tr w:rsidR="00E0132D">
        <w:trPr>
          <w:tblHeader/>
        </w:trPr>
        <w:tc>
          <w:tcPr>
            <w:tcW w:w="0" w:type="auto"/>
            <w:shd w:val="clear" w:color="auto" w:fill="1D4A74"/>
            <w:vAlign w:val="center"/>
          </w:tcPr>
          <w:p w:rsidR="00E0132D" w:rsidRDefault="00AE21AC">
            <w:pPr>
              <w:pStyle w:val="x04-table-head-l"/>
              <w:rPr>
                <w:rFonts w:cs="Times New Roman"/>
              </w:rPr>
            </w:pPr>
            <w:r>
              <w:rPr>
                <w:rFonts w:cs="Times New Roman"/>
              </w:rPr>
              <w:t>Error-prone abbreviation</w:t>
            </w:r>
          </w:p>
        </w:tc>
        <w:tc>
          <w:tcPr>
            <w:tcW w:w="0" w:type="auto"/>
            <w:shd w:val="clear" w:color="auto" w:fill="1D4A74"/>
            <w:vAlign w:val="center"/>
          </w:tcPr>
          <w:p w:rsidR="00E0132D" w:rsidRDefault="00AE21AC">
            <w:pPr>
              <w:pStyle w:val="x04-table-head-l"/>
              <w:rPr>
                <w:rFonts w:cs="Times New Roman"/>
              </w:rPr>
            </w:pPr>
            <w:r>
              <w:rPr>
                <w:rFonts w:cs="Times New Roman"/>
              </w:rPr>
              <w:t>Intended meaning</w:t>
            </w:r>
          </w:p>
        </w:tc>
        <w:tc>
          <w:tcPr>
            <w:tcW w:w="0" w:type="auto"/>
            <w:shd w:val="clear" w:color="auto" w:fill="1D4A74"/>
            <w:vAlign w:val="center"/>
          </w:tcPr>
          <w:p w:rsidR="00E0132D" w:rsidRDefault="00AE21AC">
            <w:pPr>
              <w:pStyle w:val="x04-table-head-l"/>
              <w:rPr>
                <w:rFonts w:cs="Times New Roman"/>
              </w:rPr>
            </w:pPr>
            <w:r>
              <w:rPr>
                <w:rFonts w:cs="Times New Roman"/>
              </w:rPr>
              <w:t>Why?</w:t>
            </w:r>
          </w:p>
        </w:tc>
        <w:tc>
          <w:tcPr>
            <w:tcW w:w="0" w:type="auto"/>
            <w:shd w:val="clear" w:color="auto" w:fill="1D4A74"/>
            <w:vAlign w:val="center"/>
          </w:tcPr>
          <w:p w:rsidR="00E0132D" w:rsidRDefault="00AE21AC">
            <w:pPr>
              <w:pStyle w:val="x04-table-head-l"/>
              <w:rPr>
                <w:rFonts w:cs="Times New Roman"/>
              </w:rPr>
            </w:pPr>
            <w:r>
              <w:rPr>
                <w:rFonts w:cs="Times New Roman"/>
              </w:rPr>
              <w:t>What should be used?</w:t>
            </w:r>
          </w:p>
        </w:tc>
      </w:tr>
      <w:tr w:rsidR="00E0132D">
        <w:tc>
          <w:tcPr>
            <w:tcW w:w="0" w:type="auto"/>
            <w:shd w:val="clear" w:color="auto" w:fill="auto"/>
            <w:vAlign w:val="center"/>
          </w:tcPr>
          <w:p w:rsidR="00E0132D" w:rsidRDefault="00AE21AC" w:rsidP="004B0764">
            <w:pPr>
              <w:pStyle w:val="02Body"/>
            </w:pPr>
            <w:r>
              <w:t>μg, mcg or ug</w:t>
            </w:r>
          </w:p>
        </w:tc>
        <w:tc>
          <w:tcPr>
            <w:tcW w:w="0" w:type="auto"/>
            <w:shd w:val="clear" w:color="auto" w:fill="auto"/>
            <w:vAlign w:val="center"/>
          </w:tcPr>
          <w:p w:rsidR="00E0132D" w:rsidRDefault="00AE21AC" w:rsidP="004B0764">
            <w:pPr>
              <w:pStyle w:val="02Body"/>
            </w:pPr>
            <w:r>
              <w:t>microgram</w:t>
            </w:r>
          </w:p>
        </w:tc>
        <w:tc>
          <w:tcPr>
            <w:tcW w:w="0" w:type="auto"/>
            <w:shd w:val="clear" w:color="auto" w:fill="auto"/>
            <w:vAlign w:val="center"/>
          </w:tcPr>
          <w:p w:rsidR="00E0132D" w:rsidRDefault="00AE21AC" w:rsidP="004B0764">
            <w:pPr>
              <w:pStyle w:val="02Body"/>
            </w:pPr>
            <w:r>
              <w:t>Mistaken as ‘mg’</w:t>
            </w:r>
          </w:p>
        </w:tc>
        <w:tc>
          <w:tcPr>
            <w:tcW w:w="0" w:type="auto"/>
            <w:shd w:val="clear" w:color="auto" w:fill="auto"/>
            <w:vAlign w:val="center"/>
          </w:tcPr>
          <w:p w:rsidR="00E0132D" w:rsidRDefault="00AE21AC" w:rsidP="004B0764">
            <w:pPr>
              <w:pStyle w:val="02Body"/>
            </w:pPr>
            <w:r>
              <w:t>microgram, microg</w:t>
            </w:r>
          </w:p>
        </w:tc>
      </w:tr>
      <w:tr w:rsidR="00E0132D">
        <w:tc>
          <w:tcPr>
            <w:tcW w:w="0" w:type="auto"/>
            <w:shd w:val="clear" w:color="auto" w:fill="auto"/>
            <w:vAlign w:val="center"/>
          </w:tcPr>
          <w:p w:rsidR="00E0132D" w:rsidRDefault="00AE21AC" w:rsidP="004B0764">
            <w:pPr>
              <w:pStyle w:val="02Body"/>
            </w:pPr>
            <w:r>
              <w:t>U or u</w:t>
            </w:r>
          </w:p>
        </w:tc>
        <w:tc>
          <w:tcPr>
            <w:tcW w:w="0" w:type="auto"/>
            <w:shd w:val="clear" w:color="auto" w:fill="auto"/>
            <w:vAlign w:val="center"/>
          </w:tcPr>
          <w:p w:rsidR="00E0132D" w:rsidRDefault="00AE21AC" w:rsidP="004B0764">
            <w:pPr>
              <w:pStyle w:val="02Body"/>
            </w:pPr>
            <w:r>
              <w:t>unit</w:t>
            </w:r>
          </w:p>
        </w:tc>
        <w:tc>
          <w:tcPr>
            <w:tcW w:w="0" w:type="auto"/>
            <w:shd w:val="clear" w:color="auto" w:fill="auto"/>
            <w:vAlign w:val="center"/>
          </w:tcPr>
          <w:p w:rsidR="00E0132D" w:rsidRDefault="00AE21AC" w:rsidP="004B0764">
            <w:pPr>
              <w:pStyle w:val="02Body"/>
            </w:pPr>
            <w:r>
              <w:t>Mistaken as the numbers ‘0’ or ‘4’, causing a 10-fold overdose or greater (eg 4U seen as ‘40’ or 4u seen as ‘44’). Mistaken as ‘cc’ so dose given as a volume instead of units (eg 4u seen as 4 cc)</w:t>
            </w:r>
          </w:p>
        </w:tc>
        <w:tc>
          <w:tcPr>
            <w:tcW w:w="0" w:type="auto"/>
            <w:shd w:val="clear" w:color="auto" w:fill="auto"/>
            <w:vAlign w:val="center"/>
          </w:tcPr>
          <w:p w:rsidR="00E0132D" w:rsidRDefault="00AE21AC" w:rsidP="004B0764">
            <w:pPr>
              <w:pStyle w:val="02Body"/>
            </w:pPr>
            <w:r>
              <w:t>unit</w:t>
            </w:r>
          </w:p>
        </w:tc>
      </w:tr>
      <w:tr w:rsidR="00E0132D">
        <w:tc>
          <w:tcPr>
            <w:tcW w:w="0" w:type="auto"/>
            <w:shd w:val="clear" w:color="auto" w:fill="auto"/>
            <w:vAlign w:val="center"/>
          </w:tcPr>
          <w:p w:rsidR="00E0132D" w:rsidRDefault="00AE21AC" w:rsidP="004B0764">
            <w:pPr>
              <w:pStyle w:val="02Body"/>
            </w:pPr>
            <w:r>
              <w:t>No leading zero before a decimal point (eg .5mg)</w:t>
            </w:r>
          </w:p>
        </w:tc>
        <w:tc>
          <w:tcPr>
            <w:tcW w:w="0" w:type="auto"/>
            <w:shd w:val="clear" w:color="auto" w:fill="auto"/>
            <w:vAlign w:val="center"/>
          </w:tcPr>
          <w:p w:rsidR="00E0132D" w:rsidRDefault="00AE21AC" w:rsidP="004B0764">
            <w:pPr>
              <w:pStyle w:val="02Body"/>
            </w:pPr>
            <w:r>
              <w:t>0.5mg</w:t>
            </w:r>
          </w:p>
        </w:tc>
        <w:tc>
          <w:tcPr>
            <w:tcW w:w="0" w:type="auto"/>
            <w:shd w:val="clear" w:color="auto" w:fill="auto"/>
            <w:vAlign w:val="center"/>
          </w:tcPr>
          <w:p w:rsidR="00E0132D" w:rsidRDefault="00AE21AC" w:rsidP="004B0764">
            <w:pPr>
              <w:pStyle w:val="02Body"/>
            </w:pPr>
            <w:r>
              <w:t>Mistaken as 5mg if the decimal point is not seen</w:t>
            </w:r>
          </w:p>
        </w:tc>
        <w:tc>
          <w:tcPr>
            <w:tcW w:w="0" w:type="auto"/>
            <w:shd w:val="clear" w:color="auto" w:fill="auto"/>
            <w:vAlign w:val="center"/>
          </w:tcPr>
          <w:p w:rsidR="00E0132D" w:rsidRDefault="00AE21AC" w:rsidP="004B0764">
            <w:pPr>
              <w:pStyle w:val="02Body"/>
            </w:pPr>
            <w:r>
              <w:t>Use zero before a decimal point when the dose is less than a whole unit</w:t>
            </w:r>
          </w:p>
        </w:tc>
      </w:tr>
      <w:tr w:rsidR="00E0132D">
        <w:tc>
          <w:tcPr>
            <w:tcW w:w="0" w:type="auto"/>
            <w:shd w:val="clear" w:color="auto" w:fill="auto"/>
            <w:vAlign w:val="center"/>
          </w:tcPr>
          <w:p w:rsidR="00E0132D" w:rsidRDefault="00AE21AC" w:rsidP="004B0764">
            <w:pPr>
              <w:pStyle w:val="02Body"/>
            </w:pPr>
            <w:r>
              <w:t>Trailing zero after decimal point (eg 1.0mg)</w:t>
            </w:r>
          </w:p>
        </w:tc>
        <w:tc>
          <w:tcPr>
            <w:tcW w:w="0" w:type="auto"/>
            <w:shd w:val="clear" w:color="auto" w:fill="auto"/>
            <w:vAlign w:val="center"/>
          </w:tcPr>
          <w:p w:rsidR="00E0132D" w:rsidRDefault="00AE21AC" w:rsidP="004B0764">
            <w:pPr>
              <w:pStyle w:val="02Body"/>
            </w:pPr>
            <w:r>
              <w:t>1mg</w:t>
            </w:r>
          </w:p>
        </w:tc>
        <w:tc>
          <w:tcPr>
            <w:tcW w:w="0" w:type="auto"/>
            <w:shd w:val="clear" w:color="auto" w:fill="auto"/>
            <w:vAlign w:val="center"/>
          </w:tcPr>
          <w:p w:rsidR="00E0132D" w:rsidRDefault="00AE21AC" w:rsidP="004B0764">
            <w:pPr>
              <w:pStyle w:val="02Body"/>
            </w:pPr>
            <w:r>
              <w:t>Mistaken as 10mg if the decimal point is not seen</w:t>
            </w:r>
          </w:p>
        </w:tc>
        <w:tc>
          <w:tcPr>
            <w:tcW w:w="0" w:type="auto"/>
            <w:shd w:val="clear" w:color="auto" w:fill="auto"/>
            <w:vAlign w:val="center"/>
          </w:tcPr>
          <w:p w:rsidR="00E0132D" w:rsidRDefault="00AE21AC" w:rsidP="004B0764">
            <w:pPr>
              <w:pStyle w:val="02Body"/>
            </w:pPr>
            <w:r>
              <w:t>Do not use trailing zeros for doses expressed in whole numbers</w:t>
            </w:r>
          </w:p>
        </w:tc>
      </w:tr>
      <w:tr w:rsidR="00E0132D">
        <w:tc>
          <w:tcPr>
            <w:tcW w:w="0" w:type="auto"/>
            <w:shd w:val="clear" w:color="auto" w:fill="auto"/>
            <w:vAlign w:val="center"/>
          </w:tcPr>
          <w:p w:rsidR="00E0132D" w:rsidRDefault="00AE21AC" w:rsidP="004B0764">
            <w:pPr>
              <w:pStyle w:val="02Body"/>
            </w:pPr>
            <w:r>
              <w:t>qd or QD</w:t>
            </w:r>
          </w:p>
        </w:tc>
        <w:tc>
          <w:tcPr>
            <w:tcW w:w="0" w:type="auto"/>
            <w:shd w:val="clear" w:color="auto" w:fill="auto"/>
            <w:vAlign w:val="center"/>
          </w:tcPr>
          <w:p w:rsidR="00E0132D" w:rsidRDefault="00AE21AC" w:rsidP="004B0764">
            <w:pPr>
              <w:pStyle w:val="02Body"/>
            </w:pPr>
            <w:r>
              <w:t>every day</w:t>
            </w:r>
          </w:p>
        </w:tc>
        <w:tc>
          <w:tcPr>
            <w:tcW w:w="0" w:type="auto"/>
            <w:shd w:val="clear" w:color="auto" w:fill="auto"/>
            <w:vAlign w:val="center"/>
          </w:tcPr>
          <w:p w:rsidR="00E0132D" w:rsidRDefault="00AE21AC" w:rsidP="004B0764">
            <w:pPr>
              <w:pStyle w:val="02Body"/>
            </w:pPr>
            <w:r>
              <w:t>Mistaken as ‘Qid’, especially if the period after the ‘q’ or the tail of the ‘q’ is misunderstood as an ‘i’</w:t>
            </w:r>
          </w:p>
        </w:tc>
        <w:tc>
          <w:tcPr>
            <w:tcW w:w="0" w:type="auto"/>
            <w:shd w:val="clear" w:color="auto" w:fill="auto"/>
            <w:vAlign w:val="center"/>
          </w:tcPr>
          <w:p w:rsidR="00E0132D" w:rsidRDefault="00AE21AC" w:rsidP="004B0764">
            <w:pPr>
              <w:pStyle w:val="02Body"/>
            </w:pPr>
            <w:r>
              <w:t>daily</w:t>
            </w:r>
          </w:p>
        </w:tc>
      </w:tr>
      <w:tr w:rsidR="00E0132D">
        <w:tc>
          <w:tcPr>
            <w:tcW w:w="0" w:type="auto"/>
            <w:shd w:val="clear" w:color="auto" w:fill="auto"/>
            <w:vAlign w:val="center"/>
          </w:tcPr>
          <w:p w:rsidR="00E0132D" w:rsidRDefault="00AE21AC" w:rsidP="004B0764">
            <w:pPr>
              <w:pStyle w:val="02Body"/>
            </w:pPr>
            <w:r>
              <w:t>o.d. or OD</w:t>
            </w:r>
          </w:p>
        </w:tc>
        <w:tc>
          <w:tcPr>
            <w:tcW w:w="0" w:type="auto"/>
            <w:shd w:val="clear" w:color="auto" w:fill="auto"/>
            <w:vAlign w:val="center"/>
          </w:tcPr>
          <w:p w:rsidR="00E0132D" w:rsidRDefault="00AE21AC" w:rsidP="004B0764">
            <w:pPr>
              <w:pStyle w:val="02Body"/>
            </w:pPr>
            <w:r>
              <w:t>once daily</w:t>
            </w:r>
          </w:p>
        </w:tc>
        <w:tc>
          <w:tcPr>
            <w:tcW w:w="0" w:type="auto"/>
            <w:shd w:val="clear" w:color="auto" w:fill="auto"/>
            <w:vAlign w:val="center"/>
          </w:tcPr>
          <w:p w:rsidR="00E0132D" w:rsidRDefault="00AE21AC" w:rsidP="004B0764">
            <w:pPr>
              <w:pStyle w:val="02Body"/>
            </w:pPr>
            <w:r>
              <w:t>Mistaken as ‘right eye’ (OD-oculus dexter), leading to oral liquid medicines administered in the eye. Can also be mistaken for BD (twice daily)</w:t>
            </w:r>
          </w:p>
        </w:tc>
        <w:tc>
          <w:tcPr>
            <w:tcW w:w="0" w:type="auto"/>
            <w:shd w:val="clear" w:color="auto" w:fill="auto"/>
            <w:vAlign w:val="center"/>
          </w:tcPr>
          <w:p w:rsidR="00E0132D" w:rsidRDefault="00AE21AC" w:rsidP="004B0764">
            <w:pPr>
              <w:pStyle w:val="02Body"/>
            </w:pPr>
            <w:r>
              <w:t>‘daily’, preferably specifying the time of the day, eg ‘morning’, ‘mid-day’, ‘at night’</w:t>
            </w:r>
          </w:p>
        </w:tc>
      </w:tr>
    </w:tbl>
    <w:p w:rsidR="004B0764" w:rsidRDefault="004B0764">
      <w:pPr>
        <w:pStyle w:val="x04-footnotes"/>
        <w:rPr>
          <w:rStyle w:val="x02-body-bold"/>
          <w:sz w:val="18"/>
        </w:rPr>
      </w:pPr>
    </w:p>
    <w:p w:rsidR="004B0764" w:rsidRDefault="004B0764">
      <w:pPr>
        <w:spacing w:after="0"/>
        <w:rPr>
          <w:rStyle w:val="x02-body-bold"/>
          <w:sz w:val="14"/>
        </w:rPr>
      </w:pPr>
      <w:r>
        <w:rPr>
          <w:rStyle w:val="x02-body-bold"/>
          <w:rFonts w:cs="Times New Roma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CF1F6"/>
        <w:tblCellMar>
          <w:top w:w="57" w:type="dxa"/>
          <w:bottom w:w="57" w:type="dxa"/>
        </w:tblCellMar>
        <w:tblLook w:val="04A0"/>
      </w:tblPr>
      <w:tblGrid>
        <w:gridCol w:w="10132"/>
      </w:tblGrid>
      <w:tr w:rsidR="004B0764">
        <w:tc>
          <w:tcPr>
            <w:tcW w:w="10132" w:type="dxa"/>
            <w:shd w:val="clear" w:color="auto" w:fill="DCF1F6"/>
          </w:tcPr>
          <w:p w:rsidR="00B01E77" w:rsidRDefault="00B01E77" w:rsidP="00B01E77">
            <w:pPr>
              <w:pStyle w:val="x01-h2"/>
              <w:rPr>
                <w:rFonts w:cs="Times New Roman"/>
              </w:rPr>
            </w:pPr>
            <w:r>
              <w:rPr>
                <w:rFonts w:cs="Times New Roman"/>
              </w:rPr>
              <w:t>Further information</w:t>
            </w:r>
          </w:p>
          <w:p w:rsidR="00B01E77" w:rsidRDefault="00B01E77" w:rsidP="00B01E77">
            <w:pPr>
              <w:pStyle w:val="NormalWeb"/>
            </w:pPr>
            <w:r>
              <w:t xml:space="preserve">The National Terminology, Abbreviations and Symbols to be Used in the Prescribing and Administering of Medicines in Australian Hospitals is available at </w:t>
            </w:r>
            <w:r>
              <w:br/>
            </w:r>
            <w:hyperlink r:id="rId8" w:history="1">
              <w:r w:rsidRPr="00B01E77">
                <w:rPr>
                  <w:rStyle w:val="x02-url"/>
                </w:rPr>
                <w:t>http://www.safetyandquality.gov.au/wp-content/uploads/2012/01/32060v2.pdf</w:t>
              </w:r>
            </w:hyperlink>
          </w:p>
          <w:p w:rsidR="00B01E77" w:rsidRDefault="00B01E77" w:rsidP="00B01E77">
            <w:pPr>
              <w:pStyle w:val="NormalWeb"/>
            </w:pPr>
            <w:r>
              <w:t>Medication Safety Self Assessment for Australian Hospitals</w:t>
            </w:r>
            <w:r>
              <w:rPr>
                <w:rStyle w:val="x02-superscript"/>
              </w:rPr>
              <w:t>5</w:t>
            </w:r>
            <w:r>
              <w:t xml:space="preserve"> (MSSA) can help identify potential strategies for improvement with this and other indicators. The MSSA encourages development of robust systems for safe prescribing, dispensing, administration and monitoring of medicines. The MSSA is available at </w:t>
            </w:r>
            <w:hyperlink r:id="rId9" w:history="1">
              <w:r w:rsidRPr="00B01E77">
                <w:rPr>
                  <w:rStyle w:val="x02-url"/>
                </w:rPr>
                <w:t>www.cec.health.nsw.gov.au</w:t>
              </w:r>
            </w:hyperlink>
          </w:p>
          <w:p w:rsidR="004B0764" w:rsidRPr="00B01E77" w:rsidRDefault="00B01E77" w:rsidP="00B01E77">
            <w:pPr>
              <w:pStyle w:val="NormalWeb"/>
              <w:rPr>
                <w:rStyle w:val="x02-body-bold"/>
              </w:rPr>
            </w:pPr>
            <w:r>
              <w:t>This indicator can be used to assist hospitals in meeting the National Safety and Quality Health Service Standard 1 [items 1.2.1, 1.2.2, 1.5.2, 1.6.1, 1.6.2] and Standard 4 [items 4.1.1, 4.2.1, 4.2.2, 4.4.2, 4.5.1, 4.5.2,].</w:t>
            </w:r>
            <w:r>
              <w:rPr>
                <w:rStyle w:val="x02-superscript"/>
              </w:rPr>
              <w:t>6</w:t>
            </w:r>
          </w:p>
        </w:tc>
      </w:tr>
    </w:tbl>
    <w:p w:rsidR="00E0132D" w:rsidRDefault="00AE21AC" w:rsidP="00416186">
      <w:pPr>
        <w:pStyle w:val="x04-footnotes"/>
        <w:spacing w:before="240"/>
        <w:rPr>
          <w:rFonts w:cs="Times New Roman"/>
        </w:rPr>
      </w:pPr>
      <w:r>
        <w:rPr>
          <w:rStyle w:val="x02-body-bold"/>
          <w:rFonts w:cs="Times New Roman"/>
        </w:rPr>
        <w:t>References</w:t>
      </w:r>
    </w:p>
    <w:p w:rsidR="00E0132D" w:rsidRDefault="00AE21AC" w:rsidP="00C03794">
      <w:pPr>
        <w:pStyle w:val="x04-footnotes"/>
        <w:ind w:left="142" w:hanging="142"/>
        <w:rPr>
          <w:rFonts w:cs="Times New Roman"/>
        </w:rPr>
      </w:pPr>
      <w:r>
        <w:rPr>
          <w:rFonts w:cs="Times New Roman"/>
        </w:rPr>
        <w:t>1. Sentinel Event Alert: Issue 35 – January 25, 2006: Using medication reconciliation to prevent errors. Joint Commission on Accreditation of Healthcare Organizations, 2006.</w:t>
      </w:r>
    </w:p>
    <w:p w:rsidR="00E0132D" w:rsidRDefault="00AE21AC" w:rsidP="00C03794">
      <w:pPr>
        <w:pStyle w:val="x04-footnotes"/>
        <w:ind w:left="142" w:hanging="142"/>
        <w:rPr>
          <w:rFonts w:cs="Times New Roman"/>
        </w:rPr>
      </w:pPr>
      <w:r>
        <w:rPr>
          <w:rFonts w:cs="Times New Roman"/>
        </w:rPr>
        <w:t>2. Dunn E and Wolfe J. Let go of Latin! Vet Hum Toxicol 2001; 43: 235-236.</w:t>
      </w:r>
    </w:p>
    <w:p w:rsidR="00E0132D" w:rsidRDefault="00AE21AC" w:rsidP="00C03794">
      <w:pPr>
        <w:pStyle w:val="x04-footnotes"/>
        <w:ind w:left="142" w:hanging="142"/>
        <w:rPr>
          <w:rFonts w:cs="Times New Roman"/>
        </w:rPr>
      </w:pPr>
      <w:r>
        <w:rPr>
          <w:rFonts w:cs="Times New Roman"/>
        </w:rPr>
        <w:t>3. FDA News: FDA and ISMP Launch Campaign to Reduce Medication Mistakes Caused by Unclear Medical Abbreviations. Food and Drug Administration and the Institute for Safe Medication Practices, June 14, 2006.</w:t>
      </w:r>
    </w:p>
    <w:p w:rsidR="00E0132D" w:rsidRDefault="00AE21AC" w:rsidP="00C03794">
      <w:pPr>
        <w:pStyle w:val="x04-footnotes"/>
        <w:ind w:left="142" w:hanging="142"/>
        <w:rPr>
          <w:rFonts w:cs="Times New Roman"/>
        </w:rPr>
      </w:pPr>
      <w:r>
        <w:rPr>
          <w:rFonts w:cs="Times New Roman"/>
        </w:rPr>
        <w:t xml:space="preserve">4. Recommendations for Terminology, Abbreviations and Symbols used in the Prescribing and Administration of Medicines. Australian Commission on Safety and Quality in Health Care, 2011. </w:t>
      </w:r>
    </w:p>
    <w:p w:rsidR="00E0132D" w:rsidRDefault="00AE21AC" w:rsidP="00C03794">
      <w:pPr>
        <w:pStyle w:val="x04-footnotes"/>
        <w:ind w:left="142" w:hanging="142"/>
        <w:rPr>
          <w:rFonts w:cs="Times New Roman"/>
        </w:rPr>
      </w:pPr>
      <w:r>
        <w:rPr>
          <w:rFonts w:cs="Times New Roman"/>
        </w:rPr>
        <w:t xml:space="preserve">5. Medication Safety Self Assessment for Australian Hospitals: Institute for Safe Medication Practices USA (Adapted for Australian use by NSW Therapeutic Advisory Group and the Clinical Excellence Commission), 2007. </w:t>
      </w:r>
    </w:p>
    <w:p w:rsidR="00E0132D" w:rsidRDefault="00AE21AC">
      <w:pPr>
        <w:pStyle w:val="x04-footnotes"/>
        <w:rPr>
          <w:rFonts w:cs="Times New Roman"/>
        </w:rPr>
      </w:pPr>
      <w:r>
        <w:rPr>
          <w:rFonts w:cs="Times New Roman"/>
        </w:rPr>
        <w:t xml:space="preserve">6. Australian Commission on Safety and Quality in Health Care. National Safety and Quality Health Service Standards. Sydney, ACSQHC, 2012. </w:t>
      </w:r>
    </w:p>
    <w:p w:rsidR="00B01E77" w:rsidRDefault="00B01E77">
      <w:pPr>
        <w:spacing w:after="0"/>
        <w:rPr>
          <w:rFonts w:eastAsia="Times New Roman" w:cs="Times New Roman"/>
          <w:b/>
          <w:bCs/>
          <w:kern w:val="36"/>
          <w:sz w:val="48"/>
          <w:szCs w:val="48"/>
        </w:rPr>
      </w:pPr>
    </w:p>
    <w:sectPr w:rsidR="00B01E77" w:rsidSect="00EC1EC9">
      <w:headerReference w:type="default" r:id="rId10"/>
      <w:footerReference w:type="even" r:id="rId11"/>
      <w:footerReference w:type="default" r:id="rId12"/>
      <w:headerReference w:type="first" r:id="rId13"/>
      <w:pgSz w:w="11901" w:h="16840"/>
      <w:pgMar w:top="3119" w:right="851" w:bottom="964" w:left="1134" w:header="709" w:footer="709"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794" w:rsidRDefault="00C03794" w:rsidP="00EC1EC9">
      <w:r>
        <w:separator/>
      </w:r>
    </w:p>
  </w:endnote>
  <w:endnote w:type="continuationSeparator" w:id="0">
    <w:p w:rsidR="00C03794" w:rsidRDefault="00C03794" w:rsidP="00EC1EC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Gotham-Bold">
    <w:altName w:val="Cambria"/>
    <w:panose1 w:val="00000000000000000000"/>
    <w:charset w:val="4D"/>
    <w:family w:val="auto"/>
    <w:notTrueType/>
    <w:pitch w:val="default"/>
    <w:sig w:usb0="00000003" w:usb1="00000000" w:usb2="00000000" w:usb3="00000000" w:csb0="00000001" w:csb1="00000000"/>
  </w:font>
  <w:font w:name="HelveticaNeue-Medium">
    <w:altName w:val="Helvetica Neue Medium"/>
    <w:panose1 w:val="00000000000000000000"/>
    <w:charset w:val="00"/>
    <w:family w:val="swiss"/>
    <w:notTrueType/>
    <w:pitch w:val="default"/>
    <w:sig w:usb0="00000003" w:usb1="00000000" w:usb2="00000000" w:usb3="00000000" w:csb0="00000001" w:csb1="00000000"/>
  </w:font>
  <w:font w:name="HelveticaNeue-LightItalic">
    <w:altName w:val="Helvetica Neue Light"/>
    <w:panose1 w:val="00000000000000000000"/>
    <w:charset w:val="4D"/>
    <w:family w:val="auto"/>
    <w:notTrueType/>
    <w:pitch w:val="default"/>
    <w:sig w:usb0="00000003" w:usb1="00000000" w:usb2="00000000" w:usb3="00000000" w:csb0="00000001" w:csb1="00000000"/>
  </w:font>
  <w:font w:name="Gotham-Book">
    <w:altName w:val="Cambria"/>
    <w:panose1 w:val="00000000000000000000"/>
    <w:charset w:val="4D"/>
    <w:family w:val="auto"/>
    <w:notTrueType/>
    <w:pitch w:val="default"/>
    <w:sig w:usb0="00000003" w:usb1="00000000" w:usb2="00000000" w:usb3="00000000" w:csb0="00000001" w:csb1="00000000"/>
  </w:font>
  <w:font w:name="Gotham-Medium">
    <w:altName w:val="Cambria"/>
    <w:panose1 w:val="00000000000000000000"/>
    <w:charset w:val="4D"/>
    <w:family w:val="auto"/>
    <w:notTrueType/>
    <w:pitch w:val="default"/>
    <w:sig w:usb0="00000003" w:usb1="00000000" w:usb2="00000000" w:usb3="00000000" w:csb0="00000001" w:csb1="00000000"/>
  </w:font>
  <w:font w:name="Gotham-Ligh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BE3DD8" w:rsidP="00105798">
    <w:pPr>
      <w:pStyle w:val="Footer"/>
      <w:framePr w:wrap="around" w:vAnchor="text" w:hAnchor="margin" w:xAlign="right" w:y="1"/>
      <w:rPr>
        <w:rStyle w:val="PageNumber"/>
      </w:rPr>
    </w:pPr>
    <w:r>
      <w:rPr>
        <w:rStyle w:val="PageNumber"/>
      </w:rPr>
      <w:fldChar w:fldCharType="begin"/>
    </w:r>
    <w:r w:rsidR="00C03794">
      <w:rPr>
        <w:rStyle w:val="PageNumber"/>
      </w:rPr>
      <w:instrText xml:space="preserve">PAGE  </w:instrText>
    </w:r>
    <w:r>
      <w:rPr>
        <w:rStyle w:val="PageNumber"/>
      </w:rPr>
      <w:fldChar w:fldCharType="end"/>
    </w:r>
  </w:p>
  <w:p w:rsidR="00C03794" w:rsidRDefault="00C03794" w:rsidP="00EC1EC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Pr="00EC1EC9" w:rsidRDefault="00BE3DD8" w:rsidP="00EC1EC9">
    <w:pPr>
      <w:pStyle w:val="Footer"/>
      <w:framePr w:wrap="around" w:vAnchor="text" w:hAnchor="page" w:x="11035" w:y="280"/>
      <w:rPr>
        <w:rStyle w:val="PageNumber"/>
      </w:rPr>
    </w:pPr>
    <w:r w:rsidRPr="00EC1EC9">
      <w:rPr>
        <w:rStyle w:val="PageNumber"/>
      </w:rPr>
      <w:fldChar w:fldCharType="begin"/>
    </w:r>
    <w:r w:rsidR="00C03794" w:rsidRPr="00EC1EC9">
      <w:rPr>
        <w:rStyle w:val="PageNumber"/>
      </w:rPr>
      <w:instrText xml:space="preserve">PAGE  </w:instrText>
    </w:r>
    <w:r w:rsidRPr="00EC1EC9">
      <w:rPr>
        <w:rStyle w:val="PageNumber"/>
      </w:rPr>
      <w:fldChar w:fldCharType="separate"/>
    </w:r>
    <w:r w:rsidR="00A316C9">
      <w:rPr>
        <w:rStyle w:val="PageNumber"/>
        <w:noProof/>
      </w:rPr>
      <w:t>4</w:t>
    </w:r>
    <w:r w:rsidRPr="00EC1EC9">
      <w:rPr>
        <w:rStyle w:val="PageNumber"/>
      </w:rPr>
      <w:fldChar w:fldCharType="end"/>
    </w:r>
  </w:p>
  <w:p w:rsidR="00C03794" w:rsidRDefault="00C03794" w:rsidP="00EC1EC9">
    <w:pPr>
      <w:pStyle w:val="03footer"/>
      <w:ind w:right="360"/>
    </w:pPr>
    <w:r>
      <w:br/>
    </w:r>
    <w:r w:rsidRPr="00EC1EC9">
      <w:t>National Quality Use of Medicines Indicators for Australian Hospitals 2014</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794" w:rsidRDefault="00C03794" w:rsidP="00EC1EC9">
      <w:r>
        <w:separator/>
      </w:r>
    </w:p>
  </w:footnote>
  <w:footnote w:type="continuationSeparator" w:id="0">
    <w:p w:rsidR="00C03794" w:rsidRDefault="00C03794" w:rsidP="00EC1EC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8240" behindDoc="1" locked="0" layoutInCell="1" allowOverlap="1">
          <wp:simplePos x="0" y="0"/>
          <wp:positionH relativeFrom="column">
            <wp:posOffset>-800100</wp:posOffset>
          </wp:positionH>
          <wp:positionV relativeFrom="paragraph">
            <wp:posOffset>-527050</wp:posOffset>
          </wp:positionV>
          <wp:extent cx="7710221" cy="106326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710221" cy="1063264"/>
                  </a:xfrm>
                  <a:prstGeom prst="rect">
                    <a:avLst/>
                  </a:prstGeom>
                  <a:extLst>
                    <a:ext uri="{FAA26D3D-D897-4be2-8F04-BA451C77F1D7}">
                      <ma14:placeholderFlag xmlns:ve="http://schemas.openxmlformats.org/markup-compatibility/2006"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9264" behindDoc="1" locked="0" layoutInCell="1" allowOverlap="1">
          <wp:simplePos x="0" y="0"/>
          <wp:positionH relativeFrom="column">
            <wp:posOffset>-685800</wp:posOffset>
          </wp:positionH>
          <wp:positionV relativeFrom="paragraph">
            <wp:posOffset>-412750</wp:posOffset>
          </wp:positionV>
          <wp:extent cx="7559040" cy="10692384"/>
          <wp:effectExtent l="0" t="0" r="1016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59040" cy="10692384"/>
                  </a:xfrm>
                  <a:prstGeom prst="rect">
                    <a:avLst/>
                  </a:prstGeom>
                  <a:extLst>
                    <a:ext uri="{FAA26D3D-D897-4be2-8F04-BA451C77F1D7}">
                      <ma14:placeholderFlag xmlns:ve="http://schemas.openxmlformats.org/markup-compatibility/2006"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11088"/>
    <w:multiLevelType w:val="multilevel"/>
    <w:tmpl w:val="C22E12CA"/>
    <w:lvl w:ilvl="0">
      <w:start w:val="1"/>
      <w:numFmt w:val="bullet"/>
      <w:pStyle w:val="02Bulletlevel3"/>
      <w:lvlText w:val=""/>
      <w:lvlJc w:val="left"/>
      <w:pPr>
        <w:ind w:left="2157" w:hanging="360"/>
      </w:pPr>
      <w:rPr>
        <w:rFonts w:ascii="Symbol" w:hAnsi="Symbol" w:hint="default"/>
        <w:color w:val="1D4A74"/>
        <w:sz w:val="20"/>
      </w:rPr>
    </w:lvl>
    <w:lvl w:ilvl="1">
      <w:start w:val="1"/>
      <w:numFmt w:val="bullet"/>
      <w:pStyle w:val="02Bulletlevel2"/>
      <w:lvlText w:val="o"/>
      <w:lvlJc w:val="left"/>
      <w:pPr>
        <w:tabs>
          <w:tab w:val="num" w:pos="1440"/>
        </w:tabs>
        <w:ind w:left="1440" w:hanging="360"/>
      </w:pPr>
      <w:rPr>
        <w:rFonts w:ascii="Courier New" w:hAnsi="Courier New" w:hint="default"/>
        <w:sz w:val="20"/>
      </w:rPr>
    </w:lvl>
    <w:lvl w:ilvl="2">
      <w:start w:val="1"/>
      <w:numFmt w:val="bullet"/>
      <w:pStyle w:val="02Bulletleve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8642B"/>
    <w:multiLevelType w:val="hybridMultilevel"/>
    <w:tmpl w:val="2E060274"/>
    <w:lvl w:ilvl="0" w:tplc="E7D0CBA8">
      <w:start w:val="1"/>
      <w:numFmt w:val="bullet"/>
      <w:pStyle w:val="02Bulletlevel2"/>
      <w:lvlText w:val="–"/>
      <w:lvlJc w:val="left"/>
      <w:pPr>
        <w:ind w:left="1069" w:hanging="360"/>
      </w:pPr>
      <w:rPr>
        <w:rFonts w:ascii="Arial" w:hAnsi="Arial" w:hint="default"/>
        <w:color w:val="5E626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3E55B4"/>
    <w:multiLevelType w:val="multilevel"/>
    <w:tmpl w:val="7BF61B4A"/>
    <w:lvl w:ilvl="0">
      <w:start w:val="1"/>
      <w:numFmt w:val="bullet"/>
      <w:pStyle w:val="02bullet"/>
      <w:lvlText w:val=""/>
      <w:lvlJc w:val="left"/>
      <w:pPr>
        <w:ind w:left="720" w:hanging="360"/>
      </w:pPr>
      <w:rPr>
        <w:rFonts w:ascii="Symbol" w:hAnsi="Symbol" w:hint="default"/>
        <w:color w:val="1D4A7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TrackMove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BreakWrappedTables/>
    <w:doNotSnapToGridInCell/>
    <w:doNotWrapTextWithPunct/>
    <w:doNotUseEastAsianBreakRules/>
    <w:growAutofit/>
  </w:compat>
  <w:rsids>
    <w:rsidRoot w:val="006174E8"/>
    <w:rsid w:val="00052C2A"/>
    <w:rsid w:val="000605B3"/>
    <w:rsid w:val="0008720E"/>
    <w:rsid w:val="000A56D7"/>
    <w:rsid w:val="000D2E87"/>
    <w:rsid w:val="00105798"/>
    <w:rsid w:val="001139CE"/>
    <w:rsid w:val="00136A82"/>
    <w:rsid w:val="0014196D"/>
    <w:rsid w:val="001B0B30"/>
    <w:rsid w:val="00251E8B"/>
    <w:rsid w:val="00265406"/>
    <w:rsid w:val="002834FA"/>
    <w:rsid w:val="002B522B"/>
    <w:rsid w:val="002D346E"/>
    <w:rsid w:val="003001B0"/>
    <w:rsid w:val="00335EC6"/>
    <w:rsid w:val="003C578E"/>
    <w:rsid w:val="003C6D8B"/>
    <w:rsid w:val="003E78CF"/>
    <w:rsid w:val="004018B0"/>
    <w:rsid w:val="00416186"/>
    <w:rsid w:val="00446FEA"/>
    <w:rsid w:val="004B0764"/>
    <w:rsid w:val="004D04BA"/>
    <w:rsid w:val="004E42AC"/>
    <w:rsid w:val="004F5233"/>
    <w:rsid w:val="00510CAF"/>
    <w:rsid w:val="00563638"/>
    <w:rsid w:val="0056365B"/>
    <w:rsid w:val="005A754B"/>
    <w:rsid w:val="005B61D8"/>
    <w:rsid w:val="005E2FCF"/>
    <w:rsid w:val="006174E8"/>
    <w:rsid w:val="00686E36"/>
    <w:rsid w:val="00697608"/>
    <w:rsid w:val="006E077D"/>
    <w:rsid w:val="0083412A"/>
    <w:rsid w:val="00844813"/>
    <w:rsid w:val="00852DB6"/>
    <w:rsid w:val="00856734"/>
    <w:rsid w:val="00870BAF"/>
    <w:rsid w:val="008B244E"/>
    <w:rsid w:val="009655EA"/>
    <w:rsid w:val="00977CFB"/>
    <w:rsid w:val="009873FA"/>
    <w:rsid w:val="0099010B"/>
    <w:rsid w:val="009A2815"/>
    <w:rsid w:val="009C4991"/>
    <w:rsid w:val="009E2A33"/>
    <w:rsid w:val="009E3F64"/>
    <w:rsid w:val="009F7D89"/>
    <w:rsid w:val="00A17C2D"/>
    <w:rsid w:val="00A316C9"/>
    <w:rsid w:val="00A879BE"/>
    <w:rsid w:val="00A90A11"/>
    <w:rsid w:val="00AA51DA"/>
    <w:rsid w:val="00AE21AC"/>
    <w:rsid w:val="00AE4D2A"/>
    <w:rsid w:val="00AE77BF"/>
    <w:rsid w:val="00AF02F8"/>
    <w:rsid w:val="00B01E77"/>
    <w:rsid w:val="00B44E16"/>
    <w:rsid w:val="00B45F6B"/>
    <w:rsid w:val="00B9692F"/>
    <w:rsid w:val="00BD739E"/>
    <w:rsid w:val="00BE3DD8"/>
    <w:rsid w:val="00C03794"/>
    <w:rsid w:val="00C10D3A"/>
    <w:rsid w:val="00C17664"/>
    <w:rsid w:val="00C23D10"/>
    <w:rsid w:val="00C829BA"/>
    <w:rsid w:val="00C909D3"/>
    <w:rsid w:val="00CD468E"/>
    <w:rsid w:val="00D053C2"/>
    <w:rsid w:val="00D16016"/>
    <w:rsid w:val="00D162C8"/>
    <w:rsid w:val="00D47826"/>
    <w:rsid w:val="00D752D1"/>
    <w:rsid w:val="00D86BEE"/>
    <w:rsid w:val="00E0132D"/>
    <w:rsid w:val="00E21A3B"/>
    <w:rsid w:val="00E224F2"/>
    <w:rsid w:val="00E67E14"/>
    <w:rsid w:val="00E71EDF"/>
    <w:rsid w:val="00E92548"/>
    <w:rsid w:val="00E93779"/>
    <w:rsid w:val="00E97DD8"/>
    <w:rsid w:val="00EC1EC9"/>
    <w:rsid w:val="00F03BA1"/>
    <w:rsid w:val="00F068AA"/>
    <w:rsid w:val="00F11D0D"/>
    <w:rsid w:val="00F16919"/>
    <w:rsid w:val="00F3116D"/>
    <w:rsid w:val="00F35D42"/>
    <w:rsid w:val="00F411E5"/>
    <w:rsid w:val="00F42F05"/>
    <w:rsid w:val="00F443A4"/>
    <w:rsid w:val="00F9019C"/>
    <w:rsid w:val="00FF0517"/>
  </w:rsids>
  <m:mathPr>
    <m:mathFont m:val="American Typewriter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rsid w:val="00136A8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36A82"/>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rsid w:val="00136A82"/>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rsid w:val="00136A82"/>
  </w:style>
  <w:style w:type="character" w:customStyle="1" w:styleId="char-style-override-4">
    <w:name w:val="char-style-override-4"/>
    <w:basedOn w:val="DefaultParagraphFont"/>
    <w:rsid w:val="00136A82"/>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sid w:val="00136A82"/>
    <w:rPr>
      <w:color w:val="0000FF"/>
      <w:u w:val="single"/>
    </w:rPr>
  </w:style>
  <w:style w:type="character" w:styleId="FollowedHyperlink">
    <w:name w:val="FollowedHyperlink"/>
    <w:basedOn w:val="DefaultParagraphFont"/>
    <w:uiPriority w:val="99"/>
    <w:semiHidden/>
    <w:unhideWhenUsed/>
    <w:rsid w:val="00136A82"/>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rsid w:val="00136A82"/>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rsid w:val="00136A82"/>
  </w:style>
  <w:style w:type="paragraph" w:customStyle="1" w:styleId="para-style-override-6">
    <w:name w:val="para-style-override-6"/>
    <w:basedOn w:val="Normal"/>
    <w:rsid w:val="00136A82"/>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rsid w:val="00136A82"/>
  </w:style>
  <w:style w:type="paragraph" w:customStyle="1" w:styleId="x04-appendices-graphic-body">
    <w:name w:val="x04-appendices-graphic-body"/>
    <w:basedOn w:val="Normal"/>
    <w:rsid w:val="00136A82"/>
    <w:pPr>
      <w:spacing w:before="100" w:beforeAutospacing="1" w:after="100" w:afterAutospacing="1"/>
    </w:pPr>
  </w:style>
  <w:style w:type="character" w:customStyle="1" w:styleId="grey">
    <w:name w:val="grey"/>
    <w:basedOn w:val="DefaultParagraphFont"/>
    <w:rsid w:val="00136A82"/>
  </w:style>
  <w:style w:type="paragraph" w:customStyle="1" w:styleId="para-style-override-8">
    <w:name w:val="para-style-override-8"/>
    <w:basedOn w:val="Normal"/>
    <w:rsid w:val="00136A82"/>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3"/>
      </w:numPr>
    </w:pPr>
    <w:rPr>
      <w:rFonts w:eastAsia="Times New Roman" w:cs="Times New Roman"/>
    </w:rPr>
  </w:style>
  <w:style w:type="paragraph" w:customStyle="1" w:styleId="02Bulletlevel3">
    <w:name w:val="02_Bullet level 3"/>
    <w:basedOn w:val="Normal"/>
    <w:qFormat/>
    <w:rsid w:val="00C829BA"/>
    <w:pPr>
      <w:numPr>
        <w:numId w:val="2"/>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style>
  <w:style w:type="character" w:customStyle="1" w:styleId="char-style-override-4">
    <w:name w:val="char-style-override-4"/>
    <w:basedOn w:val="DefaultParagraphFont"/>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style>
  <w:style w:type="paragraph" w:customStyle="1" w:styleId="para-style-override-6">
    <w:name w:val="para-style-override-6"/>
    <w:basedOn w:val="Normal"/>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style>
  <w:style w:type="paragraph" w:customStyle="1" w:styleId="x04-appendices-graphic-body">
    <w:name w:val="x04-appendices-graphic-body"/>
    <w:basedOn w:val="Normal"/>
    <w:pPr>
      <w:spacing w:before="100" w:beforeAutospacing="1" w:after="100" w:afterAutospacing="1"/>
    </w:pPr>
  </w:style>
  <w:style w:type="character" w:customStyle="1" w:styleId="grey">
    <w:name w:val="grey"/>
    <w:basedOn w:val="DefaultParagraphFont"/>
  </w:style>
  <w:style w:type="paragraph" w:customStyle="1" w:styleId="para-style-override-8">
    <w:name w:val="para-style-override-8"/>
    <w:basedOn w:val="Normal"/>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71"/>
      </w:numPr>
    </w:pPr>
    <w:rPr>
      <w:rFonts w:eastAsia="Times New Roman" w:cs="Times New Roman"/>
    </w:rPr>
  </w:style>
  <w:style w:type="paragraph" w:customStyle="1" w:styleId="02Bulletlevel3">
    <w:name w:val="02_Bullet level 3"/>
    <w:basedOn w:val="Normal"/>
    <w:qFormat/>
    <w:rsid w:val="00C829BA"/>
    <w:pPr>
      <w:numPr>
        <w:numId w:val="11"/>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webSettings.xml><?xml version="1.0" encoding="utf-8"?>
<w:webSettings xmlns:r="http://schemas.openxmlformats.org/officeDocument/2006/relationships" xmlns:w="http://schemas.openxmlformats.org/wordprocessingml/2006/main">
  <w:divs>
    <w:div w:id="1770810128">
      <w:marLeft w:val="0"/>
      <w:marRight w:val="0"/>
      <w:marTop w:val="0"/>
      <w:marBottom w:val="0"/>
      <w:divBdr>
        <w:top w:val="none" w:sz="0" w:space="0" w:color="auto"/>
        <w:left w:val="none" w:sz="0" w:space="0" w:color="auto"/>
        <w:bottom w:val="none" w:sz="0" w:space="0" w:color="auto"/>
        <w:right w:val="none" w:sz="0" w:space="0" w:color="auto"/>
      </w:divBdr>
      <w:divsChild>
        <w:div w:id="1422870910">
          <w:marLeft w:val="0"/>
          <w:marRight w:val="0"/>
          <w:marTop w:val="0"/>
          <w:marBottom w:val="0"/>
          <w:divBdr>
            <w:top w:val="none" w:sz="0" w:space="0" w:color="auto"/>
            <w:left w:val="none" w:sz="0" w:space="0" w:color="auto"/>
            <w:bottom w:val="none" w:sz="0" w:space="0" w:color="auto"/>
            <w:right w:val="none" w:sz="0" w:space="0" w:color="auto"/>
          </w:divBdr>
        </w:div>
        <w:div w:id="235896055">
          <w:marLeft w:val="0"/>
          <w:marRight w:val="0"/>
          <w:marTop w:val="0"/>
          <w:marBottom w:val="0"/>
          <w:divBdr>
            <w:top w:val="none" w:sz="0" w:space="0" w:color="auto"/>
            <w:left w:val="none" w:sz="0" w:space="0" w:color="auto"/>
            <w:bottom w:val="none" w:sz="0" w:space="0" w:color="auto"/>
            <w:right w:val="none" w:sz="0" w:space="0" w:color="auto"/>
          </w:divBdr>
        </w:div>
        <w:div w:id="7530934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safetyandquality.gov.au/wp-content/uploads/2012/01/32060v2.pdf" TargetMode="External"/><Relationship Id="rId9" Type="http://schemas.openxmlformats.org/officeDocument/2006/relationships/hyperlink" Target="http://www.cec.health.nsw.gov.au" TargetMode="External"/><Relationship Id="rId104" Type="http://schemas.microsoft.com/office/2007/relationships/stylesWithEffects" Target="stylesWithEffects.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879</Words>
  <Characters>5011</Characters>
  <Application>Microsoft Macintosh Word</Application>
  <DocSecurity>0</DocSecurity>
  <Lines>41</Lines>
  <Paragraphs>10</Paragraphs>
  <ScaleCrop>false</ScaleCrop>
  <Company>gd</Company>
  <LinksUpToDate>false</LinksUpToDate>
  <CharactersWithSpaces>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SAQ127_National_QUM_Indicators_V14.html</dc:title>
  <dc:subject/>
  <dc:creator>goga dolic</dc:creator>
  <cp:keywords/>
  <dc:description/>
  <cp:lastModifiedBy>Karita Beard</cp:lastModifiedBy>
  <cp:revision>2</cp:revision>
  <dcterms:created xsi:type="dcterms:W3CDTF">2014-11-17T05:01:00Z</dcterms:created>
  <dcterms:modified xsi:type="dcterms:W3CDTF">2014-11-17T05:01:00Z</dcterms:modified>
</cp:coreProperties>
</file>