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4B0764" w:rsidRPr="004B0764" w:rsidRDefault="004B0764" w:rsidP="004B0764">
      <w:pPr>
        <w:pStyle w:val="00pagetopleft"/>
      </w:pPr>
      <w:r w:rsidRPr="004B0764">
        <w:t>Medication ordering</w:t>
      </w:r>
    </w:p>
    <w:p w:rsidR="004B0764" w:rsidRPr="004B0764" w:rsidRDefault="004B0764" w:rsidP="004B0764">
      <w:pPr>
        <w:pStyle w:val="00pagetop2right"/>
      </w:pPr>
      <w:r w:rsidRPr="004B0764">
        <w:t xml:space="preserve">QUM domains: Safe and effective use </w:t>
      </w:r>
    </w:p>
    <w:p w:rsidR="00E0132D" w:rsidRDefault="00AE21AC" w:rsidP="00B01E77">
      <w:pPr>
        <w:pStyle w:val="00IndicatorH1"/>
      </w:pPr>
      <w:r>
        <w:t>3.4 Percentage of paediatric medication orders that</w:t>
      </w:r>
      <w:r w:rsidR="00416186">
        <w:t xml:space="preserve"> </w:t>
      </w:r>
      <w:r>
        <w:t>include the correct dose per kilogram (or body surface area) AND an effective and safe total dose</w:t>
      </w:r>
    </w:p>
    <w:p w:rsidR="00E0132D" w:rsidRDefault="00AE21AC">
      <w:pPr>
        <w:pStyle w:val="x01-h2"/>
        <w:rPr>
          <w:rFonts w:cs="Times New Roman"/>
        </w:rPr>
      </w:pPr>
      <w:r>
        <w:rPr>
          <w:rFonts w:cs="Times New Roman"/>
        </w:rPr>
        <w:t>Purpose</w:t>
      </w:r>
    </w:p>
    <w:p w:rsidR="00E0132D" w:rsidRDefault="00AE21AC" w:rsidP="00C909D3">
      <w:pPr>
        <w:pStyle w:val="x02-intro"/>
      </w:pPr>
      <w:r>
        <w:t xml:space="preserve">This indicator addresses the effectiveness of processes that encourage effective and safe medication ordering for paediatric patients. </w:t>
      </w:r>
    </w:p>
    <w:p w:rsidR="00E0132D" w:rsidRDefault="00AE21AC">
      <w:pPr>
        <w:pStyle w:val="x01-h2"/>
        <w:rPr>
          <w:rFonts w:cs="Times New Roman"/>
        </w:rPr>
      </w:pPr>
      <w:r>
        <w:rPr>
          <w:rFonts w:cs="Times New Roman"/>
        </w:rPr>
        <w:t>Background and evidence</w:t>
      </w:r>
    </w:p>
    <w:p w:rsidR="00E0132D" w:rsidRDefault="00AE21AC" w:rsidP="00B01E77">
      <w:pPr>
        <w:pStyle w:val="02Body"/>
      </w:pPr>
      <w:r>
        <w:t>Incorrect dosing is the most common medication error reported in paediatric patients.</w:t>
      </w:r>
      <w:r>
        <w:rPr>
          <w:rStyle w:val="x02-superscript"/>
        </w:rPr>
        <w:t>1</w:t>
      </w:r>
      <w:proofErr w:type="gramStart"/>
      <w:r>
        <w:rPr>
          <w:rStyle w:val="x02-superscript"/>
        </w:rPr>
        <w:t>,2</w:t>
      </w:r>
      <w:proofErr w:type="gramEnd"/>
      <w:r>
        <w:t xml:space="preserve"> Some reasons why paediatric patients are particularly predisposed to risk of medication error and subsequently of morbidity and mortality from medication error include:</w:t>
      </w:r>
      <w:r>
        <w:rPr>
          <w:rStyle w:val="x02-superscript"/>
        </w:rPr>
        <w:t>3</w:t>
      </w:r>
    </w:p>
    <w:p w:rsidR="00E0132D" w:rsidRDefault="00AE21AC" w:rsidP="00B01E77">
      <w:pPr>
        <w:pStyle w:val="02bullet"/>
      </w:pPr>
      <w:proofErr w:type="gramStart"/>
      <w:r>
        <w:t>the</w:t>
      </w:r>
      <w:proofErr w:type="gramEnd"/>
      <w:r>
        <w:t xml:space="preserve"> different and changing pharmacokinetic parameters of paediatric patients</w:t>
      </w:r>
    </w:p>
    <w:p w:rsidR="00E0132D" w:rsidRDefault="00AE21AC" w:rsidP="00B01E77">
      <w:pPr>
        <w:pStyle w:val="02bullet"/>
      </w:pPr>
      <w:proofErr w:type="gramStart"/>
      <w:r>
        <w:t>the</w:t>
      </w:r>
      <w:proofErr w:type="gramEnd"/>
      <w:r>
        <w:t xml:space="preserve"> need for calculation of individualised doses based on a weight or body surface area (BSA)</w:t>
      </w:r>
    </w:p>
    <w:p w:rsidR="00E0132D" w:rsidRDefault="00AE21AC" w:rsidP="00B01E77">
      <w:pPr>
        <w:pStyle w:val="02bullet"/>
      </w:pPr>
      <w:proofErr w:type="gramStart"/>
      <w:r>
        <w:t>lack</w:t>
      </w:r>
      <w:proofErr w:type="gramEnd"/>
      <w:r>
        <w:t xml:space="preserve"> of ready access to high quality information regarding safety and efficacy of medicines in paediatric patients. </w:t>
      </w:r>
    </w:p>
    <w:p w:rsidR="00E0132D" w:rsidRDefault="00AE21AC" w:rsidP="00B01E77">
      <w:pPr>
        <w:pStyle w:val="02Body"/>
      </w:pPr>
      <w:r>
        <w:t>Therefore, the intended dose per kilogram (or dose per BSA) and the total dose calculated using an accurate weight (or BSA) should appear on all orders for paediatric patients.</w:t>
      </w:r>
      <w:r>
        <w:rPr>
          <w:rStyle w:val="x02-superscript"/>
        </w:rPr>
        <w:t>3</w:t>
      </w:r>
    </w:p>
    <w:p w:rsidR="00E0132D" w:rsidRDefault="00AE21AC">
      <w:pPr>
        <w:pStyle w:val="x01-h2"/>
        <w:rPr>
          <w:rFonts w:cs="Times New Roman"/>
        </w:rPr>
      </w:pPr>
      <w:r>
        <w:rPr>
          <w:rFonts w:cs="Times New Roman"/>
        </w:rPr>
        <w:t>Key definitions</w:t>
      </w:r>
    </w:p>
    <w:p w:rsidR="00E0132D" w:rsidRDefault="00AE21AC" w:rsidP="00B01E77">
      <w:pPr>
        <w:pStyle w:val="02Body"/>
      </w:pPr>
      <w:r>
        <w:rPr>
          <w:rStyle w:val="x02-body-bold"/>
        </w:rPr>
        <w:t>Paediatric</w:t>
      </w:r>
      <w:r>
        <w:t xml:space="preserve"> refers to all patients aged up to 18 years. </w:t>
      </w:r>
    </w:p>
    <w:p w:rsidR="00E0132D" w:rsidRDefault="00AE21AC" w:rsidP="00B01E77">
      <w:pPr>
        <w:pStyle w:val="02Body"/>
      </w:pPr>
      <w:r>
        <w:rPr>
          <w:rStyle w:val="x02-body-bold"/>
        </w:rPr>
        <w:t>Medication orders</w:t>
      </w:r>
      <w:r>
        <w:t xml:space="preserve"> refers to all medicines that require weight-based or BSA-based dose calculations. Creams, drops and other medicines that do not require such dosing are not included. In older paediatric patients, weight-based dosing may not be needed. See following information.</w:t>
      </w:r>
    </w:p>
    <w:p w:rsidR="00E0132D" w:rsidRDefault="00AE21AC" w:rsidP="00B01E77">
      <w:pPr>
        <w:pStyle w:val="02Body"/>
      </w:pPr>
      <w:r>
        <w:rPr>
          <w:rStyle w:val="x02-body-bold"/>
        </w:rPr>
        <w:t>The correct dose per kilogram (or body surface area)</w:t>
      </w:r>
      <w:r>
        <w:t xml:space="preserve"> is the intended dose, usually expressed as mg/kg or mg/m</w:t>
      </w:r>
      <w:r>
        <w:rPr>
          <w:rStyle w:val="x02-superscript"/>
        </w:rPr>
        <w:t>2</w:t>
      </w:r>
      <w:r>
        <w:t>, and should be determined with reference to the paediatric prescribing information resource(s) endorsed for local use by the drug and therapeutics committee (DTC). It should be recorded in the dedicated area of the Paediatric National Inpatient Medication Chart (PNIMC) or other chart approved for paediatric use by the DTC.</w:t>
      </w:r>
    </w:p>
    <w:p w:rsidR="00E0132D" w:rsidRDefault="00AE21AC" w:rsidP="00B01E77">
      <w:pPr>
        <w:pStyle w:val="02Body"/>
      </w:pPr>
      <w:r>
        <w:rPr>
          <w:rStyle w:val="x02-body-bold"/>
        </w:rPr>
        <w:t>An effective and safe total dose</w:t>
      </w:r>
      <w:r>
        <w:t xml:space="preserve"> means within the effective and safe dose range based on patient age and weight (or BSA) as recommended by the paediatric prescribing information resource(s) endorsed for local use by the DTC. It should be recorded in the main order box of the PNIMC or other chart approved for use by the DTC.</w:t>
      </w:r>
    </w:p>
    <w:p w:rsidR="00E0132D" w:rsidRDefault="00AE21AC" w:rsidP="00B01E77">
      <w:pPr>
        <w:pStyle w:val="02Body"/>
      </w:pPr>
      <w:r>
        <w:t>Note:</w:t>
      </w:r>
    </w:p>
    <w:p w:rsidR="00E0132D" w:rsidRDefault="00AE21AC" w:rsidP="00B01E77">
      <w:pPr>
        <w:pStyle w:val="02bullet"/>
      </w:pPr>
      <w:r>
        <w:t xml:space="preserve">In obese children, use of ideal weight may be more appropriate for some medicines (check paediatric prescribing information resource(s) for specific guidance). </w:t>
      </w:r>
    </w:p>
    <w:p w:rsidR="00E0132D" w:rsidRDefault="00AE21AC" w:rsidP="00B01E77">
      <w:pPr>
        <w:pStyle w:val="02bullet"/>
      </w:pPr>
      <w:r>
        <w:t xml:space="preserve">In older paediatric patients (or those over </w:t>
      </w:r>
      <w:r>
        <w:br/>
        <w:t>40–50 kg) care should be taken to ensure that the upper dose limit for adults is not exceeded.</w:t>
      </w:r>
    </w:p>
    <w:p w:rsidR="00B01E77" w:rsidRDefault="00B01E77">
      <w:pPr>
        <w:spacing w:after="0"/>
        <w:rPr>
          <w:rFonts w:cs="Times New Roman"/>
          <w:color w:val="1D4A74"/>
          <w:sz w:val="28"/>
          <w:szCs w:val="28"/>
        </w:rPr>
      </w:pPr>
      <w:r>
        <w:rPr>
          <w:rFonts w:cs="Times New Roman"/>
        </w:rPr>
        <w:br w:type="page"/>
      </w:r>
    </w:p>
    <w:p w:rsidR="00E0132D" w:rsidRDefault="00AE21AC">
      <w:pPr>
        <w:pStyle w:val="x01-h2"/>
        <w:rPr>
          <w:rFonts w:cs="Times New Roman"/>
        </w:rPr>
      </w:pPr>
      <w:r>
        <w:rPr>
          <w:rFonts w:cs="Times New Roman"/>
        </w:rPr>
        <w:t>Data collection for local use</w:t>
      </w:r>
    </w:p>
    <w:p w:rsidR="00E0132D" w:rsidRDefault="00AE21AC" w:rsidP="00B01E77">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B01E77">
      <w:pPr>
        <w:pStyle w:val="02Body"/>
      </w:pPr>
      <w:r>
        <w:rPr>
          <w:rStyle w:val="x02-body-bold"/>
        </w:rPr>
        <w:t>Inclusion criteria:</w:t>
      </w:r>
      <w:r>
        <w:t xml:space="preserve"> Medication orders for paediatric inpatients. For the patients selected for audit, all current medication orders on all current medication charts should be audited.</w:t>
      </w:r>
    </w:p>
    <w:p w:rsidR="00E0132D" w:rsidRDefault="00AE21AC" w:rsidP="00B01E77">
      <w:pPr>
        <w:pStyle w:val="02Body"/>
      </w:pPr>
      <w:r>
        <w:rPr>
          <w:rStyle w:val="x02-body-bold"/>
        </w:rPr>
        <w:t>Exclusion criteria:</w:t>
      </w:r>
      <w:r>
        <w:t xml:space="preserve"> Medication orders that do not require weight or BSA dose calculations.</w:t>
      </w:r>
    </w:p>
    <w:p w:rsidR="00E0132D" w:rsidRDefault="00AE21AC" w:rsidP="00B01E77">
      <w:pPr>
        <w:pStyle w:val="02Body"/>
      </w:pPr>
      <w:r>
        <w:rPr>
          <w:rStyle w:val="x02-body-bold"/>
        </w:rPr>
        <w:t>Recommended data sources:</w:t>
      </w:r>
      <w:r>
        <w:t xml:space="preserve"> Medication charts.</w:t>
      </w:r>
    </w:p>
    <w:p w:rsidR="00E0132D" w:rsidRDefault="00AE21AC" w:rsidP="00B01E77">
      <w:pPr>
        <w:pStyle w:val="02Body"/>
      </w:pPr>
      <w:r>
        <w:t>The data collection tool for QUM Indicator 3.4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B01E77">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 xml:space="preserve">Indicator calculation: </w:t>
      </w:r>
    </w:p>
    <w:p w:rsidR="00E0132D" w:rsidRDefault="00B01E77" w:rsidP="00416186">
      <w:pPr>
        <w:pStyle w:val="02Body"/>
      </w:pPr>
      <w:r>
        <w:rPr>
          <w:noProof/>
          <w:lang w:val="en-US"/>
        </w:rPr>
        <w:drawing>
          <wp:inline distT="0" distB="0" distL="0" distR="0">
            <wp:extent cx="1795272" cy="652272"/>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B01E77">
      <w:pPr>
        <w:pStyle w:val="02Body"/>
      </w:pPr>
      <w:r>
        <w:rPr>
          <w:rStyle w:val="x02-body-bold"/>
        </w:rPr>
        <w:t>Numerator</w:t>
      </w:r>
      <w:r>
        <w:t xml:space="preserve"> = Number of paediatric medication orders that include the correct dose per kilogram (or body surface area) AND an effective and safe total dose</w:t>
      </w:r>
    </w:p>
    <w:p w:rsidR="00E0132D" w:rsidRDefault="00AE21AC" w:rsidP="00B01E77">
      <w:pPr>
        <w:pStyle w:val="02Body"/>
      </w:pPr>
      <w:r>
        <w:rPr>
          <w:rStyle w:val="x02-body-bold"/>
        </w:rPr>
        <w:t>Denominator</w:t>
      </w:r>
      <w:r>
        <w:t xml:space="preserve"> = Number of medication orders in sample</w:t>
      </w:r>
    </w:p>
    <w:p w:rsidR="00E0132D" w:rsidRDefault="00AE21AC">
      <w:pPr>
        <w:pStyle w:val="x01-h2"/>
        <w:rPr>
          <w:rFonts w:cs="Times New Roman"/>
        </w:rPr>
      </w:pPr>
      <w:r>
        <w:rPr>
          <w:rFonts w:cs="Times New Roman"/>
        </w:rPr>
        <w:t>Limitations and interpretation</w:t>
      </w:r>
    </w:p>
    <w:p w:rsidR="00E0132D" w:rsidRDefault="00AE21AC" w:rsidP="00B01E77">
      <w:pPr>
        <w:pStyle w:val="02Body"/>
      </w:pPr>
      <w:r>
        <w:t>Calculating doses based on weight or BSA can be problematic in overweight or older paediatric patients with resultant doses exceeding the safe adult dose range. Caution needs to be applied in these situations.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B01E77">
        <w:tc>
          <w:tcPr>
            <w:tcW w:w="10132" w:type="dxa"/>
            <w:shd w:val="clear" w:color="auto" w:fill="DCF1F6"/>
          </w:tcPr>
          <w:p w:rsidR="00B01E77" w:rsidRDefault="00B01E77" w:rsidP="00B01E77">
            <w:pPr>
              <w:pStyle w:val="x01-h2"/>
              <w:rPr>
                <w:rFonts w:cs="Times New Roman"/>
              </w:rPr>
            </w:pPr>
            <w:r>
              <w:rPr>
                <w:rFonts w:cs="Times New Roman"/>
              </w:rPr>
              <w:t>Further information</w:t>
            </w:r>
          </w:p>
          <w:p w:rsidR="00B01E77" w:rsidRDefault="00B01E77" w:rsidP="00B01E77">
            <w:pPr>
              <w:pStyle w:val="02Body"/>
            </w:pPr>
            <w:r>
              <w:t xml:space="preserve">Training on safe prescribing for paediatrics is included in a designated module of the NPS </w:t>
            </w:r>
            <w:proofErr w:type="spellStart"/>
            <w:r>
              <w:t>MedicineWise</w:t>
            </w:r>
            <w:proofErr w:type="spellEnd"/>
            <w:r>
              <w:t xml:space="preserve"> National Inpatient Medication Chart online training course, available at </w:t>
            </w:r>
            <w:hyperlink r:id="rId8" w:history="1">
              <w:r w:rsidRPr="00B01E77">
                <w:rPr>
                  <w:rStyle w:val="x02-url"/>
                </w:rPr>
                <w:t>http://learn.nps.org.au</w:t>
              </w:r>
            </w:hyperlink>
          </w:p>
          <w:p w:rsidR="00B01E77" w:rsidRDefault="00B01E77" w:rsidP="00B01E77">
            <w:pPr>
              <w:pStyle w:val="02Body"/>
            </w:pPr>
            <w:r>
              <w:t>Medication Safety Self Assessment for Australian Hospitals</w:t>
            </w:r>
            <w:r>
              <w:rPr>
                <w:rStyle w:val="x02-superscript"/>
              </w:rPr>
              <w:t>4</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9" w:history="1">
              <w:proofErr w:type="spellStart"/>
              <w:r w:rsidRPr="00B01E77">
                <w:rPr>
                  <w:rStyle w:val="x02-url"/>
                </w:rPr>
                <w:t>www.cec.health.nsw.gov.au</w:t>
              </w:r>
              <w:proofErr w:type="spellEnd"/>
            </w:hyperlink>
          </w:p>
          <w:p w:rsidR="00B01E77" w:rsidRDefault="00B01E77" w:rsidP="00B01E77">
            <w:pPr>
              <w:pStyle w:val="02Body"/>
            </w:pPr>
            <w:r>
              <w:t>This indicator can be used to assist hospitals in meeting the National Safety and Quality Health Service Standard 1 [items 1.2.1, 1.2.2, 1.5.2, 1.6.1, 1.6.2] and Standard 4 [items 4.2.1, 4.2.2, 4.4.2, 4.5.1, 4.5.2]</w:t>
            </w:r>
            <w:proofErr w:type="gramStart"/>
            <w:r>
              <w:t>.</w:t>
            </w:r>
            <w:r>
              <w:rPr>
                <w:rStyle w:val="x02-superscript"/>
              </w:rPr>
              <w:t>5</w:t>
            </w:r>
            <w:proofErr w:type="gramEnd"/>
          </w:p>
        </w:tc>
      </w:tr>
    </w:tbl>
    <w:p w:rsidR="00B01E77" w:rsidRDefault="00B01E77" w:rsidP="00B01E77">
      <w:pPr>
        <w:pStyle w:val="02Body"/>
      </w:pPr>
    </w:p>
    <w:p w:rsidR="00B01E77" w:rsidRDefault="00B01E77">
      <w:pPr>
        <w:spacing w:after="0"/>
        <w:rPr>
          <w:rFonts w:eastAsia="Times New Roman" w:cs="HelveticaNeue-Light"/>
          <w:color w:val="000000"/>
          <w:spacing w:val="4"/>
          <w:szCs w:val="18"/>
          <w:lang w:val="en-GB"/>
        </w:rPr>
      </w:pPr>
      <w:r>
        <w:br w:type="page"/>
      </w:r>
    </w:p>
    <w:p w:rsidR="00E0132D" w:rsidRDefault="00AE21AC">
      <w:pPr>
        <w:pStyle w:val="x04-footnotes"/>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 xml:space="preserve">1. American Academy of </w:t>
      </w:r>
      <w:proofErr w:type="spellStart"/>
      <w:r>
        <w:rPr>
          <w:rFonts w:cs="Times New Roman"/>
        </w:rPr>
        <w:t>Pediatrics</w:t>
      </w:r>
      <w:proofErr w:type="spellEnd"/>
      <w:r>
        <w:rPr>
          <w:rFonts w:cs="Times New Roman"/>
        </w:rPr>
        <w:t xml:space="preserve"> Committee on Drugs and Committee on Hospital Care. </w:t>
      </w:r>
      <w:proofErr w:type="gramStart"/>
      <w:r>
        <w:rPr>
          <w:rFonts w:cs="Times New Roman"/>
        </w:rPr>
        <w:t xml:space="preserve">Prevention of medication errors in the </w:t>
      </w:r>
      <w:proofErr w:type="spellStart"/>
      <w:r>
        <w:rPr>
          <w:rFonts w:cs="Times New Roman"/>
        </w:rPr>
        <w:t>pediatric</w:t>
      </w:r>
      <w:proofErr w:type="spellEnd"/>
      <w:r>
        <w:rPr>
          <w:rFonts w:cs="Times New Roman"/>
        </w:rPr>
        <w:t xml:space="preserve"> inpatient setting.</w:t>
      </w:r>
      <w:proofErr w:type="gramEnd"/>
      <w:r>
        <w:rPr>
          <w:rFonts w:cs="Times New Roman"/>
        </w:rPr>
        <w:t xml:space="preserve"> </w:t>
      </w:r>
      <w:proofErr w:type="spellStart"/>
      <w:r>
        <w:rPr>
          <w:rFonts w:cs="Times New Roman"/>
        </w:rPr>
        <w:t>Pediatr</w:t>
      </w:r>
      <w:proofErr w:type="spellEnd"/>
      <w:r>
        <w:rPr>
          <w:rFonts w:cs="Times New Roman"/>
        </w:rPr>
        <w:t xml:space="preserve"> 2003; 112(2): 431-436.</w:t>
      </w:r>
    </w:p>
    <w:p w:rsidR="00E0132D" w:rsidRDefault="00AE21AC" w:rsidP="00C03794">
      <w:pPr>
        <w:pStyle w:val="x04-footnotes"/>
        <w:ind w:left="142" w:hanging="142"/>
        <w:rPr>
          <w:rFonts w:cs="Times New Roman"/>
        </w:rPr>
      </w:pPr>
      <w:r>
        <w:rPr>
          <w:rFonts w:cs="Times New Roman"/>
        </w:rPr>
        <w:t xml:space="preserve">2. Miller MR, Robinson KA, </w:t>
      </w:r>
      <w:proofErr w:type="spellStart"/>
      <w:r>
        <w:rPr>
          <w:rFonts w:cs="Times New Roman"/>
        </w:rPr>
        <w:t>Lubomski</w:t>
      </w:r>
      <w:proofErr w:type="spellEnd"/>
      <w:r>
        <w:rPr>
          <w:rFonts w:cs="Times New Roman"/>
        </w:rPr>
        <w:t xml:space="preserve"> LH, et al. Medication errors in paediatric care: a systematic review of epidemiology and an evaluation of evidence supporting reduction strategy recommendations. Qual </w:t>
      </w:r>
      <w:proofErr w:type="spellStart"/>
      <w:r>
        <w:rPr>
          <w:rFonts w:cs="Times New Roman"/>
        </w:rPr>
        <w:t>Saf</w:t>
      </w:r>
      <w:proofErr w:type="spellEnd"/>
      <w:r>
        <w:rPr>
          <w:rFonts w:cs="Times New Roman"/>
        </w:rPr>
        <w:t xml:space="preserve"> Health Care 2007; 16: 116-126.</w:t>
      </w:r>
    </w:p>
    <w:p w:rsidR="00E0132D" w:rsidRDefault="00AE21AC" w:rsidP="00C03794">
      <w:pPr>
        <w:pStyle w:val="x04-footnotes"/>
        <w:ind w:left="142" w:hanging="142"/>
        <w:rPr>
          <w:rFonts w:cs="Times New Roman"/>
        </w:rPr>
      </w:pPr>
      <w:r>
        <w:rPr>
          <w:rFonts w:cs="Times New Roman"/>
        </w:rPr>
        <w:t xml:space="preserve">3. Levine S, Cohen M, Blanchard N, et al. Guidelines for preventing medication errors in </w:t>
      </w:r>
      <w:proofErr w:type="spellStart"/>
      <w:r>
        <w:rPr>
          <w:rFonts w:cs="Times New Roman"/>
        </w:rPr>
        <w:t>pediatrics</w:t>
      </w:r>
      <w:proofErr w:type="spellEnd"/>
      <w:r>
        <w:rPr>
          <w:rFonts w:cs="Times New Roman"/>
        </w:rPr>
        <w:t xml:space="preserve">. J </w:t>
      </w:r>
      <w:proofErr w:type="spellStart"/>
      <w:r>
        <w:rPr>
          <w:rFonts w:cs="Times New Roman"/>
        </w:rPr>
        <w:t>Pediatr</w:t>
      </w:r>
      <w:proofErr w:type="spellEnd"/>
      <w:r>
        <w:rPr>
          <w:rFonts w:cs="Times New Roman"/>
        </w:rPr>
        <w:t xml:space="preserve"> </w:t>
      </w:r>
      <w:proofErr w:type="spellStart"/>
      <w:r>
        <w:rPr>
          <w:rFonts w:cs="Times New Roman"/>
        </w:rPr>
        <w:t>Pharmacol</w:t>
      </w:r>
      <w:proofErr w:type="spellEnd"/>
      <w:r>
        <w:rPr>
          <w:rFonts w:cs="Times New Roman"/>
        </w:rPr>
        <w:t xml:space="preserve"> </w:t>
      </w:r>
      <w:proofErr w:type="spellStart"/>
      <w:r>
        <w:rPr>
          <w:rFonts w:cs="Times New Roman"/>
        </w:rPr>
        <w:t>Therapeut</w:t>
      </w:r>
      <w:proofErr w:type="spellEnd"/>
      <w:r>
        <w:rPr>
          <w:rFonts w:cs="Times New Roman"/>
        </w:rPr>
        <w:t xml:space="preserve"> 2001; 6: 427-443.</w:t>
      </w:r>
    </w:p>
    <w:p w:rsidR="00E0132D" w:rsidRDefault="00AE21AC" w:rsidP="00C03794">
      <w:pPr>
        <w:pStyle w:val="x04-footnotes"/>
        <w:ind w:left="142" w:hanging="142"/>
        <w:rPr>
          <w:rFonts w:cs="Times New Roman"/>
        </w:rPr>
      </w:pPr>
      <w:r>
        <w:rPr>
          <w:rFonts w:cs="Times New Roman"/>
        </w:rPr>
        <w:t xml:space="preserve">4. Medication Safety Self Assessment for Australian Hospitals: Institute for Safe Medication Practices USA (Adapted for Australian use by NSW Therapeutic Advisory Group and the Clinical Excellence Commission), 2007. </w:t>
      </w:r>
    </w:p>
    <w:p w:rsidR="00E0132D" w:rsidRDefault="00AE21AC">
      <w:pPr>
        <w:pStyle w:val="x04-footnotes"/>
        <w:rPr>
          <w:rFonts w:cs="Times New Roman"/>
        </w:rPr>
      </w:pPr>
      <w:r>
        <w:rPr>
          <w:rFonts w:cs="Times New Roman"/>
        </w:rPr>
        <w:t xml:space="preserve">5. Australian Commission on Safety and Quality in Health Care. National Safety and Quality Health Service Standards. Sydney, ACSQHC, 2012. </w:t>
      </w:r>
    </w:p>
    <w:p w:rsidR="00B01E77" w:rsidRDefault="00B01E77">
      <w:pPr>
        <w:spacing w:after="0"/>
        <w:rPr>
          <w:rFonts w:eastAsia="Times New Roman" w:cs="Times New Roman"/>
          <w:b/>
          <w:bCs/>
          <w:kern w:val="36"/>
          <w:sz w:val="48"/>
          <w:szCs w:val="48"/>
        </w:rPr>
      </w:pPr>
    </w:p>
    <w:sectPr w:rsidR="00B01E77"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474896"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474896"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7B62E5">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D2E87"/>
    <w:rsid w:val="00105798"/>
    <w:rsid w:val="001139CE"/>
    <w:rsid w:val="00136A82"/>
    <w:rsid w:val="0014196D"/>
    <w:rsid w:val="001B0B30"/>
    <w:rsid w:val="00251E8B"/>
    <w:rsid w:val="00265406"/>
    <w:rsid w:val="002834FA"/>
    <w:rsid w:val="002B522B"/>
    <w:rsid w:val="002D346E"/>
    <w:rsid w:val="003001B0"/>
    <w:rsid w:val="00335EC6"/>
    <w:rsid w:val="003563C3"/>
    <w:rsid w:val="003C578E"/>
    <w:rsid w:val="003C6D8B"/>
    <w:rsid w:val="003E78CF"/>
    <w:rsid w:val="004018B0"/>
    <w:rsid w:val="00416186"/>
    <w:rsid w:val="00446FEA"/>
    <w:rsid w:val="00474896"/>
    <w:rsid w:val="004B0764"/>
    <w:rsid w:val="004D04BA"/>
    <w:rsid w:val="004E42AC"/>
    <w:rsid w:val="004F5233"/>
    <w:rsid w:val="00510CAF"/>
    <w:rsid w:val="00563638"/>
    <w:rsid w:val="0056365B"/>
    <w:rsid w:val="005A754B"/>
    <w:rsid w:val="005B61D8"/>
    <w:rsid w:val="005E2FCF"/>
    <w:rsid w:val="006174E8"/>
    <w:rsid w:val="00686E36"/>
    <w:rsid w:val="00697608"/>
    <w:rsid w:val="006E077D"/>
    <w:rsid w:val="007B62E5"/>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879BE"/>
    <w:rsid w:val="00A90A11"/>
    <w:rsid w:val="00AA51DA"/>
    <w:rsid w:val="00AE21AC"/>
    <w:rsid w:val="00AE4D2A"/>
    <w:rsid w:val="00AE77BF"/>
    <w:rsid w:val="00AF02F8"/>
    <w:rsid w:val="00B01E77"/>
    <w:rsid w:val="00B44E16"/>
    <w:rsid w:val="00B45F6B"/>
    <w:rsid w:val="00B9692F"/>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7E14"/>
    <w:rsid w:val="00E71EDF"/>
    <w:rsid w:val="00E92548"/>
    <w:rsid w:val="00E93779"/>
    <w:rsid w:val="00E97DD8"/>
    <w:rsid w:val="00EC1EC9"/>
    <w:rsid w:val="00EF305C"/>
    <w:rsid w:val="00F03BA1"/>
    <w:rsid w:val="00F068AA"/>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learn.nps.org.au" TargetMode="External"/><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830</Words>
  <Characters>4736</Characters>
  <Application>Microsoft Macintosh Word</Application>
  <DocSecurity>0</DocSecurity>
  <Lines>39</Lines>
  <Paragraphs>9</Paragraphs>
  <ScaleCrop>false</ScaleCrop>
  <Company>gd</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2014-11-17T05:04:00Z</dcterms:created>
  <dcterms:modified xsi:type="dcterms:W3CDTF">2014-11-17T05:04:00Z</dcterms:modified>
</cp:coreProperties>
</file>