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32D" w:rsidRDefault="00E0132D">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Pr="00105798" w:rsidRDefault="00105798">
      <w:pPr>
        <w:divId w:val="1422870910"/>
        <w:rPr>
          <w:rFonts w:eastAsia="Times New Roman" w:cs="Times New Roman"/>
          <w:color w:val="1D4A74"/>
        </w:rPr>
      </w:pPr>
    </w:p>
    <w:p w:rsidR="00105798" w:rsidRPr="00F03BA1" w:rsidRDefault="00F03BA1" w:rsidP="00F03BA1">
      <w:pPr>
        <w:pStyle w:val="x00-cover-date"/>
        <w:divId w:val="753093417"/>
        <w:rPr>
          <w:rFonts w:cs="Times New Roman"/>
          <w:b w:val="0"/>
          <w:color w:val="FFFFFF" w:themeColor="background1"/>
          <w:sz w:val="52"/>
        </w:rPr>
      </w:pPr>
      <w:r w:rsidRPr="00F03BA1">
        <w:rPr>
          <w:rFonts w:cs="Times New Roman"/>
          <w:b w:val="0"/>
          <w:color w:val="FFFFFF" w:themeColor="background1"/>
          <w:sz w:val="52"/>
        </w:rPr>
        <w:t>Indicators</w:t>
      </w:r>
    </w:p>
    <w:p w:rsidR="00105798" w:rsidRDefault="00105798">
      <w:pPr>
        <w:pStyle w:val="x00-cover-date"/>
        <w:divId w:val="753093417"/>
        <w:rPr>
          <w:rFonts w:cs="Times New Roman"/>
        </w:rPr>
      </w:pPr>
    </w:p>
    <w:p w:rsidR="00105798" w:rsidRDefault="00105798">
      <w:pPr>
        <w:pStyle w:val="x00-cover-date"/>
        <w:divId w:val="753093417"/>
        <w:rPr>
          <w:rFonts w:cs="Times New Roman"/>
        </w:rPr>
      </w:pPr>
    </w:p>
    <w:p w:rsidR="00105798" w:rsidRDefault="00105798">
      <w:pPr>
        <w:pStyle w:val="x00-cover-date"/>
        <w:divId w:val="753093417"/>
        <w:rPr>
          <w:rFonts w:cs="Times New Roman"/>
        </w:rPr>
      </w:pPr>
    </w:p>
    <w:p w:rsidR="00105798" w:rsidRDefault="00105798" w:rsidP="00446FEA">
      <w:pPr>
        <w:pStyle w:val="x00-cover-date"/>
        <w:jc w:val="left"/>
        <w:divId w:val="753093417"/>
        <w:rPr>
          <w:rFonts w:cs="Times New Roman"/>
        </w:rPr>
      </w:pPr>
      <w:r>
        <w:rPr>
          <w:rFonts w:cs="Times New Roman"/>
        </w:rPr>
        <w:br/>
      </w:r>
    </w:p>
    <w:p w:rsidR="00105798" w:rsidRDefault="00105798">
      <w:pPr>
        <w:pStyle w:val="x00-cover-date"/>
        <w:divId w:val="753093417"/>
        <w:rPr>
          <w:rFonts w:cs="Times New Roman"/>
        </w:rPr>
      </w:pPr>
    </w:p>
    <w:p w:rsidR="00446FEA" w:rsidRDefault="00446FEA">
      <w:pPr>
        <w:pStyle w:val="x00-cover-date"/>
        <w:divId w:val="753093417"/>
        <w:rPr>
          <w:rFonts w:cs="Times New Roman"/>
        </w:rPr>
      </w:pPr>
    </w:p>
    <w:p w:rsidR="00E0132D" w:rsidRPr="00105798" w:rsidRDefault="00446FEA">
      <w:pPr>
        <w:pStyle w:val="x00-cover-date"/>
        <w:divId w:val="753093417"/>
        <w:rPr>
          <w:rFonts w:cs="Times New Roman"/>
        </w:rPr>
      </w:pPr>
      <w:r>
        <w:rPr>
          <w:rFonts w:cs="Times New Roman"/>
        </w:rPr>
        <w:br/>
      </w:r>
    </w:p>
    <w:p w:rsidR="00F3116D" w:rsidRDefault="00EC1EC9" w:rsidP="0014196D">
      <w:pPr>
        <w:rPr>
          <w:rFonts w:cs="HelveticaNeue-Light"/>
          <w:color w:val="000000"/>
          <w:spacing w:val="4"/>
          <w:szCs w:val="18"/>
          <w:lang w:val="en-GB"/>
        </w:rPr>
      </w:pPr>
      <w:r>
        <w:br w:type="page"/>
      </w:r>
    </w:p>
    <w:p w:rsidR="004B0764" w:rsidRPr="004B0764" w:rsidRDefault="004B0764" w:rsidP="004B0764">
      <w:pPr>
        <w:pStyle w:val="00pagetopleft"/>
      </w:pPr>
      <w:r w:rsidRPr="004B0764">
        <w:t>Medication ordering</w:t>
      </w:r>
    </w:p>
    <w:p w:rsidR="004B0764" w:rsidRPr="004B0764" w:rsidRDefault="004B0764" w:rsidP="004B0764">
      <w:pPr>
        <w:pStyle w:val="00pagetop2right"/>
      </w:pPr>
      <w:r w:rsidRPr="004B0764">
        <w:t xml:space="preserve">QUM domains: Safe and effective use </w:t>
      </w:r>
    </w:p>
    <w:p w:rsidR="00E0132D" w:rsidRDefault="00AE21AC" w:rsidP="00B01E77">
      <w:pPr>
        <w:pStyle w:val="00IndicatorH1"/>
      </w:pPr>
      <w:r>
        <w:t xml:space="preserve">3.5 Percentage of medication orders for intermittent therapy that are prescribed safely </w:t>
      </w:r>
    </w:p>
    <w:p w:rsidR="00E0132D" w:rsidRDefault="00AE21AC">
      <w:pPr>
        <w:pStyle w:val="x01-h2"/>
        <w:rPr>
          <w:rFonts w:cs="Times New Roman"/>
        </w:rPr>
      </w:pPr>
      <w:r>
        <w:rPr>
          <w:rFonts w:cs="Times New Roman"/>
        </w:rPr>
        <w:t>Purpose</w:t>
      </w:r>
    </w:p>
    <w:p w:rsidR="00E0132D" w:rsidRDefault="00AE21AC" w:rsidP="00C909D3">
      <w:pPr>
        <w:pStyle w:val="x02-intro"/>
      </w:pPr>
      <w:r>
        <w:t xml:space="preserve">This indicator assesses the effectiveness of processes that encourage clear and unambiguous communication of medication orders. </w:t>
      </w:r>
    </w:p>
    <w:p w:rsidR="00E0132D" w:rsidRDefault="00AE21AC">
      <w:pPr>
        <w:pStyle w:val="x01-h2"/>
        <w:rPr>
          <w:rFonts w:cs="Times New Roman"/>
        </w:rPr>
      </w:pPr>
      <w:r>
        <w:rPr>
          <w:rFonts w:cs="Times New Roman"/>
        </w:rPr>
        <w:t>Background and evidence</w:t>
      </w:r>
    </w:p>
    <w:p w:rsidR="00E0132D" w:rsidRDefault="00AE21AC" w:rsidP="00B01E77">
      <w:pPr>
        <w:pStyle w:val="02Body"/>
      </w:pPr>
      <w:r>
        <w:t>Australian and overseas incident monitoring systems continue to report adverse outcomes involving medicines intended to be administered intermittently at regular intervals longer than one day that are inadvertently administered daily. Examples include daily administration of oral methotrexate when weekly dosing was intended. Some cases have resulted in fatalities.</w:t>
      </w:r>
      <w:r>
        <w:rPr>
          <w:rStyle w:val="x02-superscript"/>
        </w:rPr>
        <w:t>1</w:t>
      </w:r>
      <w:r>
        <w:t xml:space="preserve"> Similarly, adverse outcomes have occurred when fentanyl patches were administered every 24 hours when dosing every 72 hours was intended.</w:t>
      </w:r>
      <w:r>
        <w:rPr>
          <w:rStyle w:val="x02-superscript"/>
        </w:rPr>
        <w:t>2</w:t>
      </w:r>
    </w:p>
    <w:p w:rsidR="00E0132D" w:rsidRDefault="00AE21AC">
      <w:pPr>
        <w:pStyle w:val="x01-h2"/>
        <w:rPr>
          <w:rFonts w:cs="Times New Roman"/>
        </w:rPr>
      </w:pPr>
      <w:r>
        <w:rPr>
          <w:rFonts w:cs="Times New Roman"/>
        </w:rPr>
        <w:t>Key definitions</w:t>
      </w:r>
    </w:p>
    <w:p w:rsidR="00E0132D" w:rsidRDefault="00AE21AC" w:rsidP="00B01E77">
      <w:pPr>
        <w:pStyle w:val="02Body"/>
      </w:pPr>
      <w:r>
        <w:rPr>
          <w:rStyle w:val="x02-body-bold"/>
        </w:rPr>
        <w:t>Intermittent therapy</w:t>
      </w:r>
      <w:r>
        <w:t xml:space="preserve"> refers to medicine that is intended to be administered at regular intervals, but less frequently than daily. Examples of medicines administered intermittently include bisphosphonates (e.g. alendronate), cytotoxics (e.g. oral methotrexate), transdermal opioids (e.g. buprenorphine or fentanyl patches) and depot antipsychotics.</w:t>
      </w:r>
    </w:p>
    <w:p w:rsidR="00E0132D" w:rsidRDefault="00AE21AC" w:rsidP="00B01E77">
      <w:pPr>
        <w:pStyle w:val="02Body"/>
      </w:pPr>
      <w:r>
        <w:rPr>
          <w:rStyle w:val="x02-body-bold"/>
        </w:rPr>
        <w:t>Prescribed safely</w:t>
      </w:r>
      <w:r>
        <w:t xml:space="preserve"> means that the day or days of the week the medicine is to be administered is stated in the order (e.g. Wednesday) AND the days of the week where the medicine is not to be administered are crossed out in the administration section of the medication chart. </w:t>
      </w:r>
    </w:p>
    <w:p w:rsidR="00E0132D" w:rsidRDefault="00AE21AC">
      <w:pPr>
        <w:pStyle w:val="x01-h2"/>
        <w:rPr>
          <w:rFonts w:cs="Times New Roman"/>
        </w:rPr>
      </w:pPr>
      <w:r>
        <w:rPr>
          <w:rFonts w:cs="Times New Roman"/>
        </w:rPr>
        <w:t>Data collection for local use</w:t>
      </w:r>
    </w:p>
    <w:p w:rsidR="00E0132D" w:rsidRDefault="00AE21AC" w:rsidP="00B01E77">
      <w:pPr>
        <w:pStyle w:val="02Body"/>
      </w:pPr>
      <w:r>
        <w:t xml:space="preserve">Please refer to the section </w:t>
      </w:r>
      <w:r>
        <w:rPr>
          <w:rStyle w:val="x02-body-italic"/>
        </w:rPr>
        <w:t>Using the National Quality Use of Medicines Indicators for Australian Hospitals</w:t>
      </w:r>
      <w:r>
        <w:t xml:space="preserve"> for guidance on sample selection, sample size, measurement frequency and other considerations. </w:t>
      </w:r>
    </w:p>
    <w:p w:rsidR="00E0132D" w:rsidRDefault="00AE21AC" w:rsidP="00B01E77">
      <w:pPr>
        <w:pStyle w:val="02Body"/>
      </w:pPr>
      <w:r>
        <w:rPr>
          <w:rStyle w:val="x02-body-bold"/>
        </w:rPr>
        <w:t>Inclusion criteria:</w:t>
      </w:r>
      <w:r>
        <w:t xml:space="preserve"> Medication orders for intermittent therapy of adult, paediatric and neonatal inpatients. Data may be collected on all medicines prescribed intermittently or on specific medicines or medicine groups, depending on the collection setting.</w:t>
      </w:r>
    </w:p>
    <w:p w:rsidR="00E0132D" w:rsidRDefault="00AE21AC" w:rsidP="00B01E77">
      <w:pPr>
        <w:pStyle w:val="02Body"/>
      </w:pPr>
      <w:r>
        <w:rPr>
          <w:rStyle w:val="x02-body-bold"/>
        </w:rPr>
        <w:t>Exclusion criteria:</w:t>
      </w:r>
      <w:r>
        <w:t xml:space="preserve"> Nil.</w:t>
      </w:r>
    </w:p>
    <w:p w:rsidR="00E0132D" w:rsidRDefault="00AE21AC" w:rsidP="00B01E77">
      <w:pPr>
        <w:pStyle w:val="02Body"/>
      </w:pPr>
      <w:r>
        <w:rPr>
          <w:rStyle w:val="x02-body-bold"/>
        </w:rPr>
        <w:t>Recommended data sources:</w:t>
      </w:r>
      <w:r>
        <w:t xml:space="preserve"> Medication charts.</w:t>
      </w:r>
    </w:p>
    <w:p w:rsidR="00E0132D" w:rsidRDefault="00AE21AC" w:rsidP="00B01E77">
      <w:pPr>
        <w:pStyle w:val="02Body"/>
      </w:pPr>
      <w:r>
        <w:t>The data collection tool for QUM Indicator 3.5 assists data collection and indicator calculation.</w:t>
      </w:r>
    </w:p>
    <w:p w:rsidR="00E0132D" w:rsidRDefault="00AE21AC">
      <w:pPr>
        <w:pStyle w:val="x01-h2"/>
        <w:rPr>
          <w:rFonts w:cs="Times New Roman"/>
        </w:rPr>
      </w:pPr>
      <w:r>
        <w:rPr>
          <w:rFonts w:cs="Times New Roman"/>
        </w:rPr>
        <w:t>Data collection for inter-hospital comparison</w:t>
      </w:r>
    </w:p>
    <w:p w:rsidR="00E0132D" w:rsidRDefault="00AE21AC" w:rsidP="00B01E77">
      <w:pPr>
        <w:pStyle w:val="02Body"/>
      </w:pPr>
      <w:r>
        <w:t>This indicator may be suitable for inter-hospital comparison. In this case, definitions, sampling methods and guidelines for audit and reporting need to be agreed in advance in consultation with the coordinating agency.</w:t>
      </w:r>
    </w:p>
    <w:p w:rsidR="00E0132D" w:rsidRDefault="00AE21AC">
      <w:pPr>
        <w:pStyle w:val="x01-h2"/>
        <w:rPr>
          <w:rFonts w:cs="Times New Roman"/>
        </w:rPr>
      </w:pPr>
      <w:r>
        <w:rPr>
          <w:rFonts w:cs="Times New Roman"/>
        </w:rPr>
        <w:t>Indicator calculation</w:t>
      </w:r>
    </w:p>
    <w:p w:rsidR="00E0132D" w:rsidRDefault="00B01E77" w:rsidP="00416186">
      <w:pPr>
        <w:pStyle w:val="02Body"/>
      </w:pPr>
      <w:r>
        <w:rPr>
          <w:noProof/>
          <w:lang w:val="en-US"/>
        </w:rPr>
        <w:drawing>
          <wp:inline distT="0" distB="0" distL="0" distR="0">
            <wp:extent cx="1795272" cy="652272"/>
            <wp:effectExtent l="0" t="0" r="8255" b="82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culation_v2.png"/>
                    <pic:cNvPicPr/>
                  </pic:nvPicPr>
                  <pic:blipFill>
                    <a:blip r:embed="rId7">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795272" cy="652272"/>
                    </a:xfrm>
                    <a:prstGeom prst="rect">
                      <a:avLst/>
                    </a:prstGeom>
                  </pic:spPr>
                </pic:pic>
              </a:graphicData>
            </a:graphic>
          </wp:inline>
        </w:drawing>
      </w:r>
    </w:p>
    <w:p w:rsidR="00E0132D" w:rsidRDefault="00AE21AC" w:rsidP="00B01E77">
      <w:pPr>
        <w:pStyle w:val="02Body"/>
      </w:pPr>
      <w:r>
        <w:rPr>
          <w:rStyle w:val="x02-body-bold"/>
        </w:rPr>
        <w:t>Numerator</w:t>
      </w:r>
      <w:r>
        <w:t xml:space="preserve"> = Number of medication orders for intermittent therapy that are prescribed safely</w:t>
      </w:r>
    </w:p>
    <w:p w:rsidR="00E0132D" w:rsidRDefault="00AE21AC" w:rsidP="00B01E77">
      <w:pPr>
        <w:pStyle w:val="02Body"/>
      </w:pPr>
      <w:r>
        <w:rPr>
          <w:rStyle w:val="x02-body-bold"/>
        </w:rPr>
        <w:t>Denominator</w:t>
      </w:r>
      <w:r>
        <w:t xml:space="preserve"> = Number of medication orders for intermittent therapy in sample</w:t>
      </w:r>
    </w:p>
    <w:p w:rsidR="00E0132D" w:rsidRDefault="00AE21AC">
      <w:pPr>
        <w:pStyle w:val="x01-h2"/>
        <w:rPr>
          <w:rFonts w:cs="Times New Roman"/>
        </w:rPr>
      </w:pPr>
      <w:r>
        <w:rPr>
          <w:rFonts w:cs="Times New Roman"/>
        </w:rPr>
        <w:t>Limitations and interpretation</w:t>
      </w:r>
    </w:p>
    <w:p w:rsidR="00E0132D" w:rsidRDefault="00AE21AC" w:rsidP="00B01E77">
      <w:pPr>
        <w:pStyle w:val="02Body"/>
      </w:pPr>
      <w:r>
        <w:t>This indicator does not assess safe prescribing of intermittent therapy in terms of dose level but it assesses the ability of a prescriber to clearly communicate a required interval of longer than 24 hours for any medicine to be given by any route of administration.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CF1F6"/>
        <w:tblCellMar>
          <w:top w:w="57" w:type="dxa"/>
          <w:bottom w:w="57" w:type="dxa"/>
        </w:tblCellMar>
        <w:tblLook w:val="04A0"/>
      </w:tblPr>
      <w:tblGrid>
        <w:gridCol w:w="10132"/>
      </w:tblGrid>
      <w:tr w:rsidR="00B01E77">
        <w:tc>
          <w:tcPr>
            <w:tcW w:w="10132" w:type="dxa"/>
            <w:shd w:val="clear" w:color="auto" w:fill="DCF1F6"/>
          </w:tcPr>
          <w:p w:rsidR="00B01E77" w:rsidRDefault="00B01E77" w:rsidP="00B01E77">
            <w:pPr>
              <w:pStyle w:val="x01-h2"/>
              <w:rPr>
                <w:rFonts w:cs="Times New Roman"/>
              </w:rPr>
            </w:pPr>
            <w:r>
              <w:rPr>
                <w:rFonts w:cs="Times New Roman"/>
              </w:rPr>
              <w:t>Further information</w:t>
            </w:r>
          </w:p>
          <w:p w:rsidR="00B01E77" w:rsidRDefault="00B01E77" w:rsidP="00B01E77">
            <w:pPr>
              <w:pStyle w:val="NormalWeb"/>
            </w:pPr>
            <w:r>
              <w:t>Clear instructions on how to prescribe for intermittent dosing are given in the National Inpatient Medication Chart User Guide</w:t>
            </w:r>
            <w:r>
              <w:rPr>
                <w:rStyle w:val="x02-superscript"/>
              </w:rPr>
              <w:t>3</w:t>
            </w:r>
            <w:r>
              <w:t>, available at</w:t>
            </w:r>
            <w:r w:rsidR="00416186">
              <w:t xml:space="preserve"> </w:t>
            </w:r>
            <w:hyperlink r:id="rId8" w:history="1">
              <w:r w:rsidRPr="00B01E77">
                <w:rPr>
                  <w:rStyle w:val="x02-url"/>
                </w:rPr>
                <w:t>www.safetyandquality.gov.au/publications/national-inpatient-medication-chart-user-guide-including-paediatric-versions</w:t>
              </w:r>
            </w:hyperlink>
          </w:p>
          <w:p w:rsidR="00B01E77" w:rsidRDefault="00B01E77" w:rsidP="00B01E77">
            <w:pPr>
              <w:pStyle w:val="NormalWeb"/>
            </w:pPr>
            <w:r>
              <w:t xml:space="preserve">Prescribing of intermittent dosing schedules is included in the NPS MedicineWise National Inpatient Medication Chart online training course, available at </w:t>
            </w:r>
            <w:r>
              <w:rPr>
                <w:rStyle w:val="x02-url"/>
              </w:rPr>
              <w:t>http://learn.nps.org.au</w:t>
            </w:r>
          </w:p>
          <w:p w:rsidR="00B01E77" w:rsidRDefault="00B01E77" w:rsidP="00B01E77">
            <w:pPr>
              <w:pStyle w:val="NormalWeb"/>
            </w:pPr>
            <w:r>
              <w:t>Medication Safety Self Assessment for Australian Hospitals</w:t>
            </w:r>
            <w:r>
              <w:rPr>
                <w:rStyle w:val="x02-superscript"/>
              </w:rPr>
              <w:t>4</w:t>
            </w:r>
            <w:r>
              <w:t xml:space="preserve"> (MSSA) can help identify potential strategies for improvement with this and other indicators. The MSSA encourages development of robust systems for safe prescribing, dispensing, administration and monitoring of medicines. The MSSA is available at </w:t>
            </w:r>
            <w:hyperlink r:id="rId9" w:history="1">
              <w:r w:rsidRPr="00B01E77">
                <w:rPr>
                  <w:rStyle w:val="x02-url"/>
                </w:rPr>
                <w:t>www.cec.health.nsw.gov.au</w:t>
              </w:r>
            </w:hyperlink>
          </w:p>
          <w:p w:rsidR="00B01E77" w:rsidRDefault="00B01E77" w:rsidP="00B01E77">
            <w:pPr>
              <w:pStyle w:val="NormalWeb"/>
            </w:pPr>
            <w:r>
              <w:t>This indicator can be used to assist hospitals in meeting the National Safety and Quality Health Service Standard 1 [items 1.2.1, 1.2.2, 1.5.2, 1.6.1, 1.6.2] and Standard 4 [items 4.2.1, 4.2.2, 4.4.2, 4.5.1, 4.5.2, 4.11.1].</w:t>
            </w:r>
            <w:r>
              <w:rPr>
                <w:rStyle w:val="x02-superscript"/>
              </w:rPr>
              <w:t>5</w:t>
            </w:r>
          </w:p>
        </w:tc>
      </w:tr>
    </w:tbl>
    <w:p w:rsidR="00E0132D" w:rsidRDefault="00AE21AC" w:rsidP="00416186">
      <w:pPr>
        <w:pStyle w:val="x04-footnotes"/>
        <w:spacing w:before="240"/>
        <w:rPr>
          <w:rFonts w:cs="Times New Roman"/>
        </w:rPr>
      </w:pPr>
      <w:r>
        <w:rPr>
          <w:rStyle w:val="x02-body-bold"/>
          <w:rFonts w:cs="Times New Roman"/>
        </w:rPr>
        <w:t>References</w:t>
      </w:r>
    </w:p>
    <w:p w:rsidR="00E0132D" w:rsidRDefault="00AE21AC" w:rsidP="00C03794">
      <w:pPr>
        <w:pStyle w:val="x04-footnotes"/>
        <w:ind w:left="142" w:hanging="142"/>
        <w:rPr>
          <w:rFonts w:cs="Times New Roman"/>
        </w:rPr>
      </w:pPr>
      <w:r>
        <w:rPr>
          <w:rFonts w:cs="Times New Roman"/>
        </w:rPr>
        <w:t>1. ISMP Medication Safety Alert! Methotrexate overdose due to inadvertent administration daily instead of weekly. Vol. 2007. Institute for Safe Medication Practices, 2002.</w:t>
      </w:r>
    </w:p>
    <w:p w:rsidR="00E0132D" w:rsidRDefault="00AE21AC" w:rsidP="00C03794">
      <w:pPr>
        <w:pStyle w:val="x04-footnotes"/>
        <w:ind w:left="142" w:hanging="142"/>
        <w:rPr>
          <w:rFonts w:cs="Times New Roman"/>
        </w:rPr>
      </w:pPr>
      <w:r>
        <w:rPr>
          <w:rFonts w:cs="Times New Roman"/>
        </w:rPr>
        <w:t>2. Fentanyl patches: preventable overdose. Prescrire Int 2010; 19: 22-25.</w:t>
      </w:r>
    </w:p>
    <w:p w:rsidR="00E0132D" w:rsidRDefault="00AE21AC" w:rsidP="00C03794">
      <w:pPr>
        <w:pStyle w:val="x04-footnotes"/>
        <w:ind w:left="142" w:hanging="142"/>
        <w:rPr>
          <w:rFonts w:cs="Times New Roman"/>
        </w:rPr>
      </w:pPr>
      <w:r>
        <w:rPr>
          <w:rFonts w:cs="Times New Roman"/>
        </w:rPr>
        <w:t xml:space="preserve">3. National Inpatient Medication Chart User Guide. Australian Commission on Safety and Quality in Health Care, June 2013. </w:t>
      </w:r>
    </w:p>
    <w:p w:rsidR="00E0132D" w:rsidRDefault="00AE21AC" w:rsidP="00C03794">
      <w:pPr>
        <w:pStyle w:val="x04-footnotes"/>
        <w:ind w:left="142" w:hanging="142"/>
        <w:rPr>
          <w:rFonts w:cs="Times New Roman"/>
        </w:rPr>
      </w:pPr>
      <w:r>
        <w:rPr>
          <w:rFonts w:cs="Times New Roman"/>
        </w:rPr>
        <w:t xml:space="preserve">4. Medication Safety Self Assessment for Australian Hospitals : Institute for Safe Medication Practices USA (Adapted for Australian use by NSW Therapeutic Advisory Group and the Clinical Excellence Commission), 2007. </w:t>
      </w:r>
    </w:p>
    <w:p w:rsidR="00B01E77" w:rsidRDefault="00AE21AC" w:rsidP="00A54ABA">
      <w:pPr>
        <w:pStyle w:val="x04-footnotes"/>
        <w:ind w:left="142" w:hanging="142"/>
        <w:rPr>
          <w:rFonts w:eastAsia="Times New Roman"/>
          <w:b/>
          <w:bCs/>
          <w:kern w:val="36"/>
          <w:sz w:val="48"/>
          <w:szCs w:val="48"/>
        </w:rPr>
      </w:pPr>
      <w:r>
        <w:t xml:space="preserve">5. Australian Commission on Safety and Quality in Health Care. National Safety and Quality Health Service Standards. Sydney, ACSQHC, 2012. </w:t>
      </w:r>
    </w:p>
    <w:sectPr w:rsidR="00B01E77" w:rsidSect="00EC1EC9">
      <w:headerReference w:type="default" r:id="rId10"/>
      <w:footerReference w:type="even" r:id="rId11"/>
      <w:footerReference w:type="default" r:id="rId12"/>
      <w:headerReference w:type="first" r:id="rId13"/>
      <w:pgSz w:w="11901" w:h="16840"/>
      <w:pgMar w:top="3119" w:right="851" w:bottom="964" w:left="1134" w:header="709" w:footer="709" w:gutter="0"/>
      <w:cols w:space="708"/>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794" w:rsidRDefault="00C03794" w:rsidP="00EC1EC9">
      <w:r>
        <w:separator/>
      </w:r>
    </w:p>
  </w:endnote>
  <w:endnote w:type="continuationSeparator" w:id="0">
    <w:p w:rsidR="00C03794" w:rsidRDefault="00C03794" w:rsidP="00EC1EC9">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Gotham-Bold">
    <w:altName w:val="Cambria"/>
    <w:panose1 w:val="00000000000000000000"/>
    <w:charset w:val="4D"/>
    <w:family w:val="auto"/>
    <w:notTrueType/>
    <w:pitch w:val="default"/>
    <w:sig w:usb0="00000003" w:usb1="00000000" w:usb2="00000000" w:usb3="00000000" w:csb0="00000001" w:csb1="00000000"/>
  </w:font>
  <w:font w:name="HelveticaNeue-Medium">
    <w:altName w:val="Helvetica Neue Medium"/>
    <w:panose1 w:val="00000000000000000000"/>
    <w:charset w:val="00"/>
    <w:family w:val="swiss"/>
    <w:notTrueType/>
    <w:pitch w:val="default"/>
    <w:sig w:usb0="00000003" w:usb1="00000000" w:usb2="00000000" w:usb3="00000000" w:csb0="00000001" w:csb1="00000000"/>
  </w:font>
  <w:font w:name="HelveticaNeue-LightItalic">
    <w:altName w:val="Helvetica Neue Light"/>
    <w:panose1 w:val="00000000000000000000"/>
    <w:charset w:val="4D"/>
    <w:family w:val="auto"/>
    <w:notTrueType/>
    <w:pitch w:val="default"/>
    <w:sig w:usb0="00000003" w:usb1="00000000" w:usb2="00000000" w:usb3="00000000" w:csb0="00000001" w:csb1="00000000"/>
  </w:font>
  <w:font w:name="Gotham-Book">
    <w:altName w:val="Cambria"/>
    <w:panose1 w:val="00000000000000000000"/>
    <w:charset w:val="4D"/>
    <w:family w:val="auto"/>
    <w:notTrueType/>
    <w:pitch w:val="default"/>
    <w:sig w:usb0="00000003" w:usb1="00000000" w:usb2="00000000" w:usb3="00000000" w:csb0="00000001" w:csb1="00000000"/>
  </w:font>
  <w:font w:name="Gotham-Medium">
    <w:altName w:val="Cambria"/>
    <w:panose1 w:val="00000000000000000000"/>
    <w:charset w:val="4D"/>
    <w:family w:val="auto"/>
    <w:notTrueType/>
    <w:pitch w:val="default"/>
    <w:sig w:usb0="00000003" w:usb1="00000000" w:usb2="00000000" w:usb3="00000000" w:csb0="00000001" w:csb1="00000000"/>
  </w:font>
  <w:font w:name="Gotham-Light">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2455D7" w:rsidP="00105798">
    <w:pPr>
      <w:pStyle w:val="Footer"/>
      <w:framePr w:wrap="around" w:vAnchor="text" w:hAnchor="margin" w:xAlign="right" w:y="1"/>
      <w:rPr>
        <w:rStyle w:val="PageNumber"/>
      </w:rPr>
    </w:pPr>
    <w:r>
      <w:rPr>
        <w:rStyle w:val="PageNumber"/>
      </w:rPr>
      <w:fldChar w:fldCharType="begin"/>
    </w:r>
    <w:r w:rsidR="00C03794">
      <w:rPr>
        <w:rStyle w:val="PageNumber"/>
      </w:rPr>
      <w:instrText xml:space="preserve">PAGE  </w:instrText>
    </w:r>
    <w:r>
      <w:rPr>
        <w:rStyle w:val="PageNumber"/>
      </w:rPr>
      <w:fldChar w:fldCharType="end"/>
    </w:r>
  </w:p>
  <w:p w:rsidR="00C03794" w:rsidRDefault="00C03794" w:rsidP="00EC1EC9">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Pr="00EC1EC9" w:rsidRDefault="002455D7" w:rsidP="00EC1EC9">
    <w:pPr>
      <w:pStyle w:val="Footer"/>
      <w:framePr w:wrap="around" w:vAnchor="text" w:hAnchor="page" w:x="11035" w:y="280"/>
      <w:rPr>
        <w:rStyle w:val="PageNumber"/>
      </w:rPr>
    </w:pPr>
    <w:r w:rsidRPr="00EC1EC9">
      <w:rPr>
        <w:rStyle w:val="PageNumber"/>
      </w:rPr>
      <w:fldChar w:fldCharType="begin"/>
    </w:r>
    <w:r w:rsidR="00C03794" w:rsidRPr="00EC1EC9">
      <w:rPr>
        <w:rStyle w:val="PageNumber"/>
      </w:rPr>
      <w:instrText xml:space="preserve">PAGE  </w:instrText>
    </w:r>
    <w:r w:rsidRPr="00EC1EC9">
      <w:rPr>
        <w:rStyle w:val="PageNumber"/>
      </w:rPr>
      <w:fldChar w:fldCharType="separate"/>
    </w:r>
    <w:r w:rsidR="00A54ABA">
      <w:rPr>
        <w:rStyle w:val="PageNumber"/>
        <w:noProof/>
      </w:rPr>
      <w:t>2</w:t>
    </w:r>
    <w:r w:rsidRPr="00EC1EC9">
      <w:rPr>
        <w:rStyle w:val="PageNumber"/>
      </w:rPr>
      <w:fldChar w:fldCharType="end"/>
    </w:r>
  </w:p>
  <w:p w:rsidR="00C03794" w:rsidRDefault="00C03794" w:rsidP="00EC1EC9">
    <w:pPr>
      <w:pStyle w:val="03footer"/>
      <w:ind w:right="360"/>
    </w:pPr>
    <w:r>
      <w:br/>
    </w:r>
    <w:r w:rsidRPr="00EC1EC9">
      <w:t>National Quality Use of Medicines Indicators for Australian Hospitals 2014</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794" w:rsidRDefault="00C03794" w:rsidP="00EC1EC9">
      <w:r>
        <w:separator/>
      </w:r>
    </w:p>
  </w:footnote>
  <w:footnote w:type="continuationSeparator" w:id="0">
    <w:p w:rsidR="00C03794" w:rsidRDefault="00C03794" w:rsidP="00EC1EC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C03794">
    <w:pPr>
      <w:pStyle w:val="Header"/>
    </w:pPr>
    <w:r>
      <w:rPr>
        <w:noProof/>
        <w:lang w:val="en-US"/>
      </w:rPr>
      <w:drawing>
        <wp:anchor distT="0" distB="0" distL="114300" distR="114300" simplePos="0" relativeHeight="251658240" behindDoc="1" locked="0" layoutInCell="1" allowOverlap="1">
          <wp:simplePos x="0" y="0"/>
          <wp:positionH relativeFrom="column">
            <wp:posOffset>-800100</wp:posOffset>
          </wp:positionH>
          <wp:positionV relativeFrom="paragraph">
            <wp:posOffset>-527050</wp:posOffset>
          </wp:positionV>
          <wp:extent cx="7710221" cy="1063264"/>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710221" cy="1063264"/>
                  </a:xfrm>
                  <a:prstGeom prst="rect">
                    <a:avLst/>
                  </a:prstGeom>
                  <a:extLst>
                    <a:ext uri="{FAA26D3D-D897-4be2-8F04-BA451C77F1D7}">
                      <ma14:placeholderFlag xmlns:ve="http://schemas.openxmlformats.org/markup-compatibility/2006" xmlns:ma14="http://schemas.microsoft.com/office/mac/drawingml/2011/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C03794">
    <w:pPr>
      <w:pStyle w:val="Header"/>
    </w:pPr>
    <w:r>
      <w:rPr>
        <w:noProof/>
        <w:lang w:val="en-US"/>
      </w:rPr>
      <w:drawing>
        <wp:anchor distT="0" distB="0" distL="114300" distR="114300" simplePos="0" relativeHeight="251659264" behindDoc="1" locked="0" layoutInCell="1" allowOverlap="1">
          <wp:simplePos x="0" y="0"/>
          <wp:positionH relativeFrom="column">
            <wp:posOffset>-685800</wp:posOffset>
          </wp:positionH>
          <wp:positionV relativeFrom="paragraph">
            <wp:posOffset>-412750</wp:posOffset>
          </wp:positionV>
          <wp:extent cx="7559040" cy="10692384"/>
          <wp:effectExtent l="0" t="0" r="1016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png"/>
                  <pic:cNvPicPr/>
                </pic:nvPicPr>
                <pic:blipFill>
                  <a:blip r:embed="rId1">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559040" cy="10692384"/>
                  </a:xfrm>
                  <a:prstGeom prst="rect">
                    <a:avLst/>
                  </a:prstGeom>
                  <a:extLst>
                    <a:ext uri="{FAA26D3D-D897-4be2-8F04-BA451C77F1D7}">
                      <ma14:placeholderFlag xmlns:ve="http://schemas.openxmlformats.org/markup-compatibility/2006" xmlns:ma14="http://schemas.microsoft.com/office/mac/drawingml/2011/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11088"/>
    <w:multiLevelType w:val="multilevel"/>
    <w:tmpl w:val="C22E12CA"/>
    <w:lvl w:ilvl="0">
      <w:start w:val="1"/>
      <w:numFmt w:val="bullet"/>
      <w:pStyle w:val="02Bulletlevel3"/>
      <w:lvlText w:val=""/>
      <w:lvlJc w:val="left"/>
      <w:pPr>
        <w:ind w:left="2157" w:hanging="360"/>
      </w:pPr>
      <w:rPr>
        <w:rFonts w:ascii="Symbol" w:hAnsi="Symbol" w:hint="default"/>
        <w:color w:val="1D4A74"/>
        <w:sz w:val="20"/>
      </w:rPr>
    </w:lvl>
    <w:lvl w:ilvl="1">
      <w:start w:val="1"/>
      <w:numFmt w:val="bullet"/>
      <w:pStyle w:val="02Bulletlevel2"/>
      <w:lvlText w:val="o"/>
      <w:lvlJc w:val="left"/>
      <w:pPr>
        <w:tabs>
          <w:tab w:val="num" w:pos="1440"/>
        </w:tabs>
        <w:ind w:left="1440" w:hanging="360"/>
      </w:pPr>
      <w:rPr>
        <w:rFonts w:ascii="Courier New" w:hAnsi="Courier New" w:hint="default"/>
        <w:sz w:val="20"/>
      </w:rPr>
    </w:lvl>
    <w:lvl w:ilvl="2">
      <w:start w:val="1"/>
      <w:numFmt w:val="bullet"/>
      <w:pStyle w:val="02Bulletlevel3"/>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38642B"/>
    <w:multiLevelType w:val="hybridMultilevel"/>
    <w:tmpl w:val="2E060274"/>
    <w:lvl w:ilvl="0" w:tplc="E7D0CBA8">
      <w:start w:val="1"/>
      <w:numFmt w:val="bullet"/>
      <w:pStyle w:val="02Bulletlevel2"/>
      <w:lvlText w:val="–"/>
      <w:lvlJc w:val="left"/>
      <w:pPr>
        <w:ind w:left="1069" w:hanging="360"/>
      </w:pPr>
      <w:rPr>
        <w:rFonts w:ascii="Arial" w:hAnsi="Arial" w:hint="default"/>
        <w:color w:val="5E626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3E55B4"/>
    <w:multiLevelType w:val="multilevel"/>
    <w:tmpl w:val="7BF61B4A"/>
    <w:lvl w:ilvl="0">
      <w:start w:val="1"/>
      <w:numFmt w:val="bullet"/>
      <w:pStyle w:val="02bullet"/>
      <w:lvlText w:val=""/>
      <w:lvlJc w:val="left"/>
      <w:pPr>
        <w:ind w:left="720" w:hanging="360"/>
      </w:pPr>
      <w:rPr>
        <w:rFonts w:ascii="Symbol" w:hAnsi="Symbol" w:hint="default"/>
        <w:color w:val="1D4A74"/>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TrackMoves/>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doNotBreakWrappedTables/>
    <w:doNotSnapToGridInCell/>
    <w:doNotWrapTextWithPunct/>
    <w:doNotUseEastAsianBreakRules/>
    <w:growAutofit/>
  </w:compat>
  <w:rsids>
    <w:rsidRoot w:val="006174E8"/>
    <w:rsid w:val="00052C2A"/>
    <w:rsid w:val="000605B3"/>
    <w:rsid w:val="0008720E"/>
    <w:rsid w:val="000A56D7"/>
    <w:rsid w:val="000D2E87"/>
    <w:rsid w:val="00105798"/>
    <w:rsid w:val="001139CE"/>
    <w:rsid w:val="00136A82"/>
    <w:rsid w:val="0014196D"/>
    <w:rsid w:val="001B0B30"/>
    <w:rsid w:val="002455D7"/>
    <w:rsid w:val="00251E8B"/>
    <w:rsid w:val="00265406"/>
    <w:rsid w:val="002834FA"/>
    <w:rsid w:val="002B522B"/>
    <w:rsid w:val="002D346E"/>
    <w:rsid w:val="003001B0"/>
    <w:rsid w:val="00335EC6"/>
    <w:rsid w:val="00354FB7"/>
    <w:rsid w:val="003563C3"/>
    <w:rsid w:val="003C578E"/>
    <w:rsid w:val="003C6D8B"/>
    <w:rsid w:val="003E78CF"/>
    <w:rsid w:val="004018B0"/>
    <w:rsid w:val="00416186"/>
    <w:rsid w:val="00446FEA"/>
    <w:rsid w:val="00474896"/>
    <w:rsid w:val="004B0764"/>
    <w:rsid w:val="004D04BA"/>
    <w:rsid w:val="004E42AC"/>
    <w:rsid w:val="004F5233"/>
    <w:rsid w:val="00510CAF"/>
    <w:rsid w:val="00563638"/>
    <w:rsid w:val="0056365B"/>
    <w:rsid w:val="005A754B"/>
    <w:rsid w:val="005B61D8"/>
    <w:rsid w:val="005E2FCF"/>
    <w:rsid w:val="006174E8"/>
    <w:rsid w:val="00686E36"/>
    <w:rsid w:val="00697608"/>
    <w:rsid w:val="006E077D"/>
    <w:rsid w:val="0083412A"/>
    <w:rsid w:val="00844813"/>
    <w:rsid w:val="00852DB6"/>
    <w:rsid w:val="00856734"/>
    <w:rsid w:val="00870BAF"/>
    <w:rsid w:val="008B244E"/>
    <w:rsid w:val="009655EA"/>
    <w:rsid w:val="00977CFB"/>
    <w:rsid w:val="009873FA"/>
    <w:rsid w:val="0099010B"/>
    <w:rsid w:val="009A2815"/>
    <w:rsid w:val="009C4991"/>
    <w:rsid w:val="009E2A33"/>
    <w:rsid w:val="009E3F64"/>
    <w:rsid w:val="009F7D89"/>
    <w:rsid w:val="00A17C2D"/>
    <w:rsid w:val="00A54ABA"/>
    <w:rsid w:val="00A879BE"/>
    <w:rsid w:val="00A90A11"/>
    <w:rsid w:val="00AA51DA"/>
    <w:rsid w:val="00AE21AC"/>
    <w:rsid w:val="00AE4D2A"/>
    <w:rsid w:val="00AE77BF"/>
    <w:rsid w:val="00AF02F8"/>
    <w:rsid w:val="00B01E77"/>
    <w:rsid w:val="00B44E16"/>
    <w:rsid w:val="00B45F6B"/>
    <w:rsid w:val="00B9692F"/>
    <w:rsid w:val="00BD739E"/>
    <w:rsid w:val="00BE3DD8"/>
    <w:rsid w:val="00C03794"/>
    <w:rsid w:val="00C10D3A"/>
    <w:rsid w:val="00C17664"/>
    <w:rsid w:val="00C23D10"/>
    <w:rsid w:val="00C829BA"/>
    <w:rsid w:val="00C909D3"/>
    <w:rsid w:val="00CD468E"/>
    <w:rsid w:val="00D053C2"/>
    <w:rsid w:val="00D16016"/>
    <w:rsid w:val="00D162C8"/>
    <w:rsid w:val="00D47826"/>
    <w:rsid w:val="00D752D1"/>
    <w:rsid w:val="00D86BEE"/>
    <w:rsid w:val="00E0132D"/>
    <w:rsid w:val="00E21A3B"/>
    <w:rsid w:val="00E224F2"/>
    <w:rsid w:val="00E67E14"/>
    <w:rsid w:val="00E71EDF"/>
    <w:rsid w:val="00E92548"/>
    <w:rsid w:val="00E93779"/>
    <w:rsid w:val="00E97DD8"/>
    <w:rsid w:val="00EC1EC9"/>
    <w:rsid w:val="00EF305C"/>
    <w:rsid w:val="00F03BA1"/>
    <w:rsid w:val="00F068AA"/>
    <w:rsid w:val="00F11D0D"/>
    <w:rsid w:val="00F16919"/>
    <w:rsid w:val="00F3116D"/>
    <w:rsid w:val="00F35D42"/>
    <w:rsid w:val="00F411E5"/>
    <w:rsid w:val="00F42F05"/>
    <w:rsid w:val="00F443A4"/>
    <w:rsid w:val="00F9019C"/>
    <w:rsid w:val="00FF0517"/>
  </w:rsids>
  <m:mathPr>
    <m:mathFont m:val="American Typewriter Ligh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BF"/>
    <w:pPr>
      <w:spacing w:after="120"/>
    </w:pPr>
    <w:rPr>
      <w:rFonts w:ascii="Arial" w:eastAsiaTheme="minorEastAsia" w:hAnsi="Arial" w:cstheme="minorBidi"/>
      <w:sz w:val="18"/>
    </w:rPr>
  </w:style>
  <w:style w:type="paragraph" w:styleId="Heading1">
    <w:name w:val="heading 1"/>
    <w:basedOn w:val="Normal"/>
    <w:link w:val="Heading1Char"/>
    <w:uiPriority w:val="9"/>
    <w:qFormat/>
    <w:rsid w:val="00136A8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11D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136A82"/>
    <w:rPr>
      <w:rFonts w:asciiTheme="majorHAnsi" w:eastAsiaTheme="majorEastAsia" w:hAnsiTheme="majorHAnsi" w:cstheme="majorBidi"/>
      <w:b/>
      <w:bCs/>
      <w:color w:val="345A8A" w:themeColor="accent1" w:themeShade="B5"/>
      <w:sz w:val="32"/>
      <w:szCs w:val="32"/>
    </w:rPr>
  </w:style>
  <w:style w:type="paragraph" w:customStyle="1" w:styleId="x00-cover-date">
    <w:name w:val="x00-cover-date"/>
    <w:basedOn w:val="Normal"/>
    <w:rsid w:val="00105798"/>
    <w:pPr>
      <w:spacing w:before="100" w:beforeAutospacing="1" w:after="100" w:afterAutospacing="1"/>
      <w:jc w:val="right"/>
    </w:pPr>
    <w:rPr>
      <w:b/>
      <w:color w:val="1D4A74"/>
      <w:sz w:val="44"/>
      <w:szCs w:val="44"/>
    </w:rPr>
  </w:style>
  <w:style w:type="paragraph" w:styleId="NormalWeb">
    <w:name w:val="Normal (Web)"/>
    <w:basedOn w:val="Normal"/>
    <w:uiPriority w:val="99"/>
    <w:unhideWhenUsed/>
    <w:rsid w:val="004D04BA"/>
    <w:pPr>
      <w:spacing w:before="120" w:line="240" w:lineRule="exact"/>
    </w:pPr>
    <w:rPr>
      <w:rFonts w:cs="Times New Roman"/>
      <w:color w:val="000000" w:themeColor="text1"/>
      <w:spacing w:val="4"/>
      <w:szCs w:val="18"/>
    </w:rPr>
  </w:style>
  <w:style w:type="character" w:customStyle="1" w:styleId="x02-body-bold">
    <w:name w:val="x02-body-bold"/>
    <w:basedOn w:val="DefaultParagraphFont"/>
    <w:rsid w:val="00E224F2"/>
    <w:rPr>
      <w:rFonts w:ascii="Arial" w:hAnsi="Arial"/>
      <w:b/>
    </w:rPr>
  </w:style>
  <w:style w:type="character" w:customStyle="1" w:styleId="x02-body-italic">
    <w:name w:val="x02-body-italic"/>
    <w:basedOn w:val="DefaultParagraphFont"/>
    <w:rsid w:val="00AE77BF"/>
    <w:rPr>
      <w:rFonts w:ascii="Arial" w:hAnsi="Arial"/>
      <w:i/>
    </w:rPr>
  </w:style>
  <w:style w:type="character" w:customStyle="1" w:styleId="white">
    <w:name w:val="white"/>
    <w:basedOn w:val="DefaultParagraphFont"/>
    <w:rsid w:val="00CD468E"/>
    <w:rPr>
      <w:rFonts w:ascii="Arial" w:hAnsi="Arial"/>
    </w:rPr>
  </w:style>
  <w:style w:type="paragraph" w:customStyle="1" w:styleId="x03-footer">
    <w:name w:val="x03-footer"/>
    <w:basedOn w:val="Normal"/>
    <w:rsid w:val="00105798"/>
    <w:pPr>
      <w:spacing w:before="100" w:beforeAutospacing="1" w:after="100" w:afterAutospacing="1"/>
    </w:pPr>
    <w:rPr>
      <w:color w:val="1D4A74"/>
      <w:sz w:val="14"/>
      <w:szCs w:val="14"/>
    </w:rPr>
  </w:style>
  <w:style w:type="paragraph" w:customStyle="1" w:styleId="x01-h1">
    <w:name w:val="x01-h1"/>
    <w:basedOn w:val="Normal"/>
    <w:rsid w:val="00E224F2"/>
    <w:pPr>
      <w:spacing w:before="240" w:after="360"/>
    </w:pPr>
    <w:rPr>
      <w:color w:val="1D4A74"/>
      <w:sz w:val="46"/>
      <w:szCs w:val="46"/>
    </w:rPr>
  </w:style>
  <w:style w:type="paragraph" w:customStyle="1" w:styleId="x00-contents-body">
    <w:name w:val="x00-contents-body"/>
    <w:basedOn w:val="Normal"/>
    <w:rsid w:val="00D053C2"/>
    <w:pPr>
      <w:pBdr>
        <w:top w:val="dotted" w:sz="12" w:space="1" w:color="C5C0B2"/>
        <w:bottom w:val="dotted" w:sz="8" w:space="1" w:color="5E6263"/>
        <w:between w:val="dotted" w:sz="8" w:space="1" w:color="5E6263"/>
      </w:pBdr>
      <w:tabs>
        <w:tab w:val="right" w:pos="9639"/>
      </w:tabs>
      <w:spacing w:after="360"/>
    </w:pPr>
    <w:rPr>
      <w:color w:val="666967"/>
      <w:sz w:val="20"/>
    </w:rPr>
  </w:style>
  <w:style w:type="character" w:customStyle="1" w:styleId="x02-superscript">
    <w:name w:val="x02-superscript"/>
    <w:basedOn w:val="DefaultParagraphFont"/>
    <w:rsid w:val="00AE77BF"/>
    <w:rPr>
      <w:rFonts w:ascii="Arial" w:hAnsi="Arial"/>
      <w:caps w:val="0"/>
      <w:smallCaps w:val="0"/>
      <w:strike w:val="0"/>
      <w:dstrike w:val="0"/>
      <w:vanish w:val="0"/>
      <w:vertAlign w:val="superscript"/>
    </w:rPr>
  </w:style>
  <w:style w:type="paragraph" w:customStyle="1" w:styleId="x01-h2">
    <w:name w:val="x01-h2"/>
    <w:basedOn w:val="Normal"/>
    <w:rsid w:val="00510CAF"/>
    <w:pPr>
      <w:spacing w:before="240"/>
    </w:pPr>
    <w:rPr>
      <w:color w:val="1D4A74"/>
      <w:sz w:val="28"/>
      <w:szCs w:val="28"/>
    </w:rPr>
  </w:style>
  <w:style w:type="paragraph" w:customStyle="1" w:styleId="x01-h3">
    <w:name w:val="x01-h3"/>
    <w:basedOn w:val="Normal"/>
    <w:rsid w:val="003C578E"/>
    <w:pPr>
      <w:spacing w:before="120" w:after="0"/>
    </w:pPr>
    <w:rPr>
      <w:color w:val="1D4A74"/>
      <w:sz w:val="24"/>
      <w:szCs w:val="24"/>
    </w:rPr>
  </w:style>
  <w:style w:type="paragraph" w:customStyle="1" w:styleId="x03-figure-heading">
    <w:name w:val="x03-figure-heading"/>
    <w:basedOn w:val="Normal"/>
    <w:rsid w:val="00697608"/>
    <w:pPr>
      <w:spacing w:before="240"/>
    </w:pPr>
    <w:rPr>
      <w:b/>
      <w:bCs/>
      <w:color w:val="666967"/>
      <w:sz w:val="22"/>
      <w:szCs w:val="22"/>
    </w:rPr>
  </w:style>
  <w:style w:type="character" w:customStyle="1" w:styleId="x02-body-roman">
    <w:name w:val="x02-body-roman"/>
    <w:basedOn w:val="DefaultParagraphFont"/>
    <w:rsid w:val="00AE77BF"/>
    <w:rPr>
      <w:rFonts w:ascii="Arial" w:hAnsi="Arial"/>
      <w:b/>
    </w:rPr>
  </w:style>
  <w:style w:type="paragraph" w:customStyle="1" w:styleId="x01-h2-span">
    <w:name w:val="x01-h2-span"/>
    <w:basedOn w:val="Normal"/>
    <w:rsid w:val="00CD468E"/>
    <w:pPr>
      <w:spacing w:before="240"/>
    </w:pPr>
    <w:rPr>
      <w:color w:val="1D4A74"/>
      <w:sz w:val="28"/>
      <w:szCs w:val="28"/>
    </w:rPr>
  </w:style>
  <w:style w:type="paragraph" w:customStyle="1" w:styleId="x01-h4">
    <w:name w:val="x01-h4"/>
    <w:basedOn w:val="Normal"/>
    <w:rsid w:val="00CD468E"/>
    <w:pPr>
      <w:spacing w:before="120"/>
    </w:pPr>
    <w:rPr>
      <w:b/>
      <w:bCs/>
      <w:color w:val="666967"/>
      <w:sz w:val="22"/>
      <w:szCs w:val="22"/>
    </w:rPr>
  </w:style>
  <w:style w:type="character" w:customStyle="1" w:styleId="char-style-override-2">
    <w:name w:val="char-style-override-2"/>
    <w:basedOn w:val="DefaultParagraphFont"/>
    <w:rsid w:val="00136A82"/>
  </w:style>
  <w:style w:type="paragraph" w:customStyle="1" w:styleId="x01-h5">
    <w:name w:val="x01-h5"/>
    <w:basedOn w:val="Normal"/>
    <w:rsid w:val="00CD468E"/>
    <w:pPr>
      <w:spacing w:before="120" w:after="0"/>
    </w:pPr>
    <w:rPr>
      <w:color w:val="000000" w:themeColor="text1"/>
      <w:sz w:val="22"/>
      <w:szCs w:val="22"/>
    </w:rPr>
  </w:style>
  <w:style w:type="paragraph" w:customStyle="1" w:styleId="x04-table-head-l">
    <w:name w:val="x04-table-head-l"/>
    <w:basedOn w:val="Normal"/>
    <w:rsid w:val="00CD468E"/>
    <w:pPr>
      <w:spacing w:before="100" w:beforeAutospacing="1" w:after="100" w:afterAutospacing="1"/>
    </w:pPr>
    <w:rPr>
      <w:b/>
      <w:bCs/>
      <w:color w:val="FFFFFF" w:themeColor="background1"/>
      <w:szCs w:val="18"/>
    </w:rPr>
  </w:style>
  <w:style w:type="paragraph" w:customStyle="1" w:styleId="x04-footnotes">
    <w:name w:val="x04-footnotes"/>
    <w:basedOn w:val="Normal"/>
    <w:rsid w:val="00416186"/>
    <w:pPr>
      <w:spacing w:before="60" w:after="60"/>
    </w:pPr>
    <w:rPr>
      <w:sz w:val="14"/>
    </w:rPr>
  </w:style>
  <w:style w:type="character" w:customStyle="1" w:styleId="char-style-override-3">
    <w:name w:val="char-style-override-3"/>
    <w:basedOn w:val="DefaultParagraphFont"/>
    <w:rsid w:val="00136A82"/>
  </w:style>
  <w:style w:type="character" w:customStyle="1" w:styleId="char-style-override-4">
    <w:name w:val="char-style-override-4"/>
    <w:basedOn w:val="DefaultParagraphFont"/>
    <w:rsid w:val="00136A82"/>
  </w:style>
  <w:style w:type="character" w:customStyle="1" w:styleId="x02-url">
    <w:name w:val="x02-url"/>
    <w:basedOn w:val="DefaultParagraphFont"/>
    <w:rsid w:val="00CD468E"/>
    <w:rPr>
      <w:rFonts w:ascii="Arial" w:hAnsi="Arial"/>
      <w:b/>
      <w:bCs/>
      <w:color w:val="1D4A74"/>
    </w:rPr>
  </w:style>
  <w:style w:type="character" w:customStyle="1" w:styleId="x03-gotham-medium-italic">
    <w:name w:val="x03-gotham-medium-italic"/>
    <w:basedOn w:val="DefaultParagraphFont"/>
    <w:rsid w:val="00CD468E"/>
    <w:rPr>
      <w:rFonts w:ascii="Arial" w:hAnsi="Arial"/>
      <w:b/>
      <w:bCs/>
      <w:i/>
      <w:iCs/>
      <w:color w:val="1D4A74"/>
    </w:rPr>
  </w:style>
  <w:style w:type="character" w:styleId="Hyperlink">
    <w:name w:val="Hyperlink"/>
    <w:basedOn w:val="DefaultParagraphFont"/>
    <w:uiPriority w:val="99"/>
    <w:unhideWhenUsed/>
    <w:rsid w:val="00136A82"/>
    <w:rPr>
      <w:color w:val="0000FF"/>
      <w:u w:val="single"/>
    </w:rPr>
  </w:style>
  <w:style w:type="character" w:styleId="FollowedHyperlink">
    <w:name w:val="FollowedHyperlink"/>
    <w:basedOn w:val="DefaultParagraphFont"/>
    <w:uiPriority w:val="99"/>
    <w:semiHidden/>
    <w:unhideWhenUsed/>
    <w:rsid w:val="00136A82"/>
    <w:rPr>
      <w:color w:val="800080"/>
      <w:u w:val="single"/>
    </w:rPr>
  </w:style>
  <w:style w:type="character" w:customStyle="1" w:styleId="bullets">
    <w:name w:val="bullets"/>
    <w:basedOn w:val="DefaultParagraphFont"/>
    <w:rsid w:val="00E224F2"/>
    <w:rPr>
      <w:color w:val="1D4A74"/>
    </w:rPr>
  </w:style>
  <w:style w:type="paragraph" w:customStyle="1" w:styleId="x04-body-8pt">
    <w:name w:val="x04-body-8pt"/>
    <w:basedOn w:val="Normal"/>
    <w:rsid w:val="00697608"/>
    <w:pPr>
      <w:spacing w:after="100"/>
    </w:pPr>
    <w:rPr>
      <w:sz w:val="16"/>
    </w:rPr>
  </w:style>
  <w:style w:type="paragraph" w:customStyle="1" w:styleId="para-style-override-4">
    <w:name w:val="para-style-override-4"/>
    <w:basedOn w:val="Normal"/>
    <w:rsid w:val="00136A82"/>
    <w:pPr>
      <w:spacing w:before="100" w:beforeAutospacing="1" w:after="100" w:afterAutospacing="1"/>
    </w:pPr>
  </w:style>
  <w:style w:type="paragraph" w:customStyle="1" w:styleId="x02-intro">
    <w:name w:val="x02-intro"/>
    <w:basedOn w:val="Normal"/>
    <w:rsid w:val="00CD468E"/>
    <w:pPr>
      <w:spacing w:before="120" w:after="240"/>
    </w:pPr>
    <w:rPr>
      <w:color w:val="000000" w:themeColor="text1"/>
      <w:sz w:val="24"/>
      <w:szCs w:val="24"/>
    </w:rPr>
  </w:style>
  <w:style w:type="character" w:customStyle="1" w:styleId="x02-subscript">
    <w:name w:val="x02-subscript"/>
    <w:basedOn w:val="DefaultParagraphFont"/>
    <w:rsid w:val="00AE77BF"/>
    <w:rPr>
      <w:rFonts w:ascii="Arial" w:hAnsi="Arial"/>
      <w:caps w:val="0"/>
      <w:smallCaps w:val="0"/>
      <w:strike w:val="0"/>
      <w:dstrike w:val="0"/>
      <w:vanish w:val="0"/>
      <w:vertAlign w:val="subscript"/>
    </w:rPr>
  </w:style>
  <w:style w:type="paragraph" w:customStyle="1" w:styleId="x03-references">
    <w:name w:val="x03-references"/>
    <w:basedOn w:val="Normal"/>
    <w:rsid w:val="00CD468E"/>
    <w:pPr>
      <w:spacing w:before="60"/>
    </w:pPr>
    <w:rPr>
      <w:sz w:val="14"/>
    </w:rPr>
  </w:style>
  <w:style w:type="character" w:customStyle="1" w:styleId="char-style-override-9">
    <w:name w:val="char-style-override-9"/>
    <w:basedOn w:val="DefaultParagraphFont"/>
    <w:rsid w:val="00136A82"/>
  </w:style>
  <w:style w:type="paragraph" w:customStyle="1" w:styleId="para-style-override-6">
    <w:name w:val="para-style-override-6"/>
    <w:basedOn w:val="Normal"/>
    <w:rsid w:val="00136A82"/>
    <w:pPr>
      <w:spacing w:before="100" w:beforeAutospacing="1" w:after="100" w:afterAutospacing="1"/>
    </w:pPr>
  </w:style>
  <w:style w:type="character" w:customStyle="1" w:styleId="x02-body-bold-italic">
    <w:name w:val="x02-body-bold-italic"/>
    <w:basedOn w:val="DefaultParagraphFont"/>
    <w:rsid w:val="00AE77BF"/>
    <w:rPr>
      <w:rFonts w:ascii="Arial" w:hAnsi="Arial"/>
      <w:b/>
      <w:i/>
    </w:rPr>
  </w:style>
  <w:style w:type="character" w:customStyle="1" w:styleId="char-style-override-11">
    <w:name w:val="char-style-override-11"/>
    <w:basedOn w:val="DefaultParagraphFont"/>
    <w:rsid w:val="00136A82"/>
  </w:style>
  <w:style w:type="paragraph" w:customStyle="1" w:styleId="x04-appendices-graphic-body">
    <w:name w:val="x04-appendices-graphic-body"/>
    <w:basedOn w:val="Normal"/>
    <w:rsid w:val="00136A82"/>
    <w:pPr>
      <w:spacing w:before="100" w:beforeAutospacing="1" w:after="100" w:afterAutospacing="1"/>
    </w:pPr>
  </w:style>
  <w:style w:type="character" w:customStyle="1" w:styleId="grey">
    <w:name w:val="grey"/>
    <w:basedOn w:val="DefaultParagraphFont"/>
    <w:rsid w:val="00136A82"/>
  </w:style>
  <w:style w:type="paragraph" w:customStyle="1" w:styleId="para-style-override-8">
    <w:name w:val="para-style-override-8"/>
    <w:basedOn w:val="Normal"/>
    <w:rsid w:val="00136A82"/>
    <w:pPr>
      <w:spacing w:before="100" w:beforeAutospacing="1" w:after="100" w:afterAutospacing="1"/>
    </w:pPr>
  </w:style>
  <w:style w:type="paragraph" w:styleId="Header">
    <w:name w:val="header"/>
    <w:basedOn w:val="Normal"/>
    <w:link w:val="HeaderChar"/>
    <w:uiPriority w:val="99"/>
    <w:unhideWhenUsed/>
    <w:rsid w:val="00EC1EC9"/>
    <w:pPr>
      <w:tabs>
        <w:tab w:val="center" w:pos="4320"/>
        <w:tab w:val="right" w:pos="8640"/>
      </w:tabs>
    </w:pPr>
  </w:style>
  <w:style w:type="character" w:customStyle="1" w:styleId="HeaderChar">
    <w:name w:val="Header Char"/>
    <w:basedOn w:val="DefaultParagraphFont"/>
    <w:link w:val="Header"/>
    <w:uiPriority w:val="99"/>
    <w:rsid w:val="00EC1EC9"/>
    <w:rPr>
      <w:rFonts w:ascii="Times" w:eastAsiaTheme="minorEastAsia" w:hAnsi="Times" w:cstheme="minorBidi"/>
    </w:rPr>
  </w:style>
  <w:style w:type="paragraph" w:styleId="Footer">
    <w:name w:val="footer"/>
    <w:basedOn w:val="Normal"/>
    <w:link w:val="FooterChar"/>
    <w:uiPriority w:val="99"/>
    <w:unhideWhenUsed/>
    <w:rsid w:val="00EC1EC9"/>
    <w:pPr>
      <w:tabs>
        <w:tab w:val="center" w:pos="4320"/>
        <w:tab w:val="right" w:pos="8640"/>
      </w:tabs>
    </w:pPr>
  </w:style>
  <w:style w:type="character" w:customStyle="1" w:styleId="FooterChar">
    <w:name w:val="Footer Char"/>
    <w:basedOn w:val="DefaultParagraphFont"/>
    <w:link w:val="Footer"/>
    <w:uiPriority w:val="99"/>
    <w:rsid w:val="00EC1EC9"/>
    <w:rPr>
      <w:rFonts w:ascii="Times" w:eastAsiaTheme="minorEastAsia" w:hAnsi="Times" w:cstheme="minorBidi"/>
    </w:rPr>
  </w:style>
  <w:style w:type="paragraph" w:styleId="BalloonText">
    <w:name w:val="Balloon Text"/>
    <w:basedOn w:val="Normal"/>
    <w:link w:val="BalloonTextChar"/>
    <w:uiPriority w:val="99"/>
    <w:semiHidden/>
    <w:unhideWhenUsed/>
    <w:rsid w:val="00EC1EC9"/>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C1EC9"/>
    <w:rPr>
      <w:rFonts w:ascii="Lucida Grande" w:eastAsiaTheme="minorEastAsia" w:hAnsi="Lucida Grande" w:cs="Lucida Grande"/>
      <w:sz w:val="18"/>
      <w:szCs w:val="18"/>
    </w:rPr>
  </w:style>
  <w:style w:type="paragraph" w:customStyle="1" w:styleId="03footer">
    <w:name w:val="03_footer"/>
    <w:basedOn w:val="Normal"/>
    <w:uiPriority w:val="99"/>
    <w:rsid w:val="00EC1EC9"/>
    <w:pPr>
      <w:widowControl w:val="0"/>
      <w:tabs>
        <w:tab w:val="left" w:pos="340"/>
      </w:tabs>
      <w:suppressAutoHyphens/>
      <w:autoSpaceDE w:val="0"/>
      <w:autoSpaceDN w:val="0"/>
      <w:adjustRightInd w:val="0"/>
      <w:spacing w:after="170" w:line="260" w:lineRule="atLeast"/>
      <w:textAlignment w:val="center"/>
    </w:pPr>
    <w:rPr>
      <w:rFonts w:eastAsia="Times New Roman" w:cs="HelveticaNeue-Light"/>
      <w:color w:val="1D4A74"/>
      <w:sz w:val="14"/>
      <w:szCs w:val="14"/>
      <w:lang w:val="en-GB"/>
    </w:rPr>
  </w:style>
  <w:style w:type="character" w:styleId="PageNumber">
    <w:name w:val="page number"/>
    <w:basedOn w:val="DefaultParagraphFont"/>
    <w:uiPriority w:val="99"/>
    <w:semiHidden/>
    <w:unhideWhenUsed/>
    <w:rsid w:val="00EC1EC9"/>
    <w:rPr>
      <w:rFonts w:ascii="Arial" w:hAnsi="Arial"/>
      <w:b/>
      <w:bCs/>
      <w:color w:val="1D4A74"/>
      <w:sz w:val="22"/>
      <w:szCs w:val="22"/>
    </w:rPr>
  </w:style>
  <w:style w:type="paragraph" w:customStyle="1" w:styleId="00CoverH1">
    <w:name w:val="00_Cover_H1"/>
    <w:basedOn w:val="Normal"/>
    <w:uiPriority w:val="99"/>
    <w:rsid w:val="00105798"/>
    <w:pPr>
      <w:widowControl w:val="0"/>
      <w:suppressAutoHyphens/>
      <w:autoSpaceDE w:val="0"/>
      <w:autoSpaceDN w:val="0"/>
      <w:adjustRightInd w:val="0"/>
      <w:spacing w:after="113" w:line="520" w:lineRule="atLeast"/>
      <w:jc w:val="right"/>
      <w:textAlignment w:val="center"/>
    </w:pPr>
    <w:rPr>
      <w:rFonts w:eastAsia="Times New Roman" w:cs="Gotham-Bold"/>
      <w:b/>
      <w:bCs/>
      <w:color w:val="FFFFFF"/>
      <w:spacing w:val="-5"/>
      <w:sz w:val="52"/>
      <w:szCs w:val="52"/>
      <w:lang w:val="en-GB"/>
    </w:rPr>
  </w:style>
  <w:style w:type="paragraph" w:customStyle="1" w:styleId="00Citation">
    <w:name w:val="00_Citation"/>
    <w:basedOn w:val="Normal"/>
    <w:uiPriority w:val="99"/>
    <w:rsid w:val="00E224F2"/>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line="220" w:lineRule="atLeast"/>
      <w:textAlignment w:val="center"/>
    </w:pPr>
    <w:rPr>
      <w:rFonts w:eastAsia="Times New Roman" w:cs="HelveticaNeue-Light"/>
      <w:color w:val="000000" w:themeColor="text1"/>
      <w:spacing w:val="4"/>
      <w:szCs w:val="18"/>
      <w:lang w:val="en-GB"/>
    </w:rPr>
  </w:style>
  <w:style w:type="character" w:customStyle="1" w:styleId="02bodybold">
    <w:name w:val="02_body bold"/>
    <w:uiPriority w:val="99"/>
    <w:rsid w:val="00E224F2"/>
    <w:rPr>
      <w:rFonts w:ascii="Arial" w:hAnsi="Arial" w:cs="HelveticaNeue-Medium"/>
      <w:b/>
    </w:rPr>
  </w:style>
  <w:style w:type="character" w:customStyle="1" w:styleId="02bodyitalic">
    <w:name w:val="02_body italic"/>
    <w:uiPriority w:val="99"/>
    <w:rsid w:val="00E224F2"/>
    <w:rPr>
      <w:rFonts w:ascii="HelveticaNeue-LightItalic" w:hAnsi="HelveticaNeue-LightItalic" w:cs="HelveticaNeue-LightItalic"/>
      <w:i/>
      <w:iCs/>
    </w:rPr>
  </w:style>
  <w:style w:type="paragraph" w:customStyle="1" w:styleId="00sectionhead">
    <w:name w:val="00_section head"/>
    <w:basedOn w:val="Normal"/>
    <w:uiPriority w:val="99"/>
    <w:rsid w:val="00E224F2"/>
    <w:pPr>
      <w:keepLines/>
      <w:widowControl w:val="0"/>
      <w:suppressAutoHyphens/>
      <w:autoSpaceDE w:val="0"/>
      <w:autoSpaceDN w:val="0"/>
      <w:adjustRightInd w:val="0"/>
      <w:spacing w:before="60" w:line="780" w:lineRule="atLeast"/>
      <w:textAlignment w:val="center"/>
    </w:pPr>
    <w:rPr>
      <w:rFonts w:eastAsia="Times New Roman" w:cs="Gotham-Book"/>
      <w:color w:val="1D4A74"/>
      <w:spacing w:val="-15"/>
      <w:sz w:val="74"/>
      <w:szCs w:val="74"/>
      <w:lang w:val="en-GB"/>
    </w:rPr>
  </w:style>
  <w:style w:type="character" w:customStyle="1" w:styleId="whitecolours">
    <w:name w:val="white (colours)"/>
    <w:uiPriority w:val="99"/>
    <w:rsid w:val="00E224F2"/>
    <w:rPr>
      <w:outline/>
    </w:rPr>
  </w:style>
  <w:style w:type="paragraph" w:customStyle="1" w:styleId="02Body">
    <w:name w:val="02_Body"/>
    <w:basedOn w:val="Normal"/>
    <w:uiPriority w:val="99"/>
    <w:rsid w:val="0083412A"/>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after="100" w:line="240" w:lineRule="atLeast"/>
      <w:textAlignment w:val="center"/>
    </w:pPr>
    <w:rPr>
      <w:rFonts w:eastAsia="Times New Roman" w:cs="HelveticaNeue-Light"/>
      <w:color w:val="000000"/>
      <w:spacing w:val="4"/>
      <w:szCs w:val="18"/>
      <w:lang w:val="en-GB"/>
    </w:rPr>
  </w:style>
  <w:style w:type="paragraph" w:customStyle="1" w:styleId="02bullet">
    <w:name w:val="02_bullet"/>
    <w:basedOn w:val="Normal"/>
    <w:qFormat/>
    <w:rsid w:val="009655EA"/>
    <w:pPr>
      <w:numPr>
        <w:numId w:val="1"/>
      </w:numPr>
      <w:spacing w:after="100"/>
      <w:ind w:left="714" w:hanging="357"/>
    </w:pPr>
    <w:rPr>
      <w:rFonts w:eastAsia="Times New Roman" w:cs="Times New Roman"/>
      <w:spacing w:val="4"/>
      <w:szCs w:val="18"/>
    </w:rPr>
  </w:style>
  <w:style w:type="table" w:styleId="TableGrid">
    <w:name w:val="Table Grid"/>
    <w:basedOn w:val="TableNormal"/>
    <w:uiPriority w:val="59"/>
    <w:rsid w:val="00C82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rsid w:val="00C829BA"/>
    <w:pPr>
      <w:spacing w:after="100"/>
    </w:pPr>
    <w:rPr>
      <w:rFonts w:eastAsia="Times New Roman" w:cs="Times New Roman"/>
    </w:rPr>
  </w:style>
  <w:style w:type="paragraph" w:customStyle="1" w:styleId="02Bulletlevel2">
    <w:name w:val="02_Bullet level 2"/>
    <w:basedOn w:val="Normal"/>
    <w:qFormat/>
    <w:rsid w:val="00C829BA"/>
    <w:pPr>
      <w:numPr>
        <w:numId w:val="3"/>
      </w:numPr>
    </w:pPr>
    <w:rPr>
      <w:rFonts w:eastAsia="Times New Roman" w:cs="Times New Roman"/>
    </w:rPr>
  </w:style>
  <w:style w:type="paragraph" w:customStyle="1" w:styleId="02Bulletlevel3">
    <w:name w:val="02_Bullet level 3"/>
    <w:basedOn w:val="Normal"/>
    <w:qFormat/>
    <w:rsid w:val="00C829BA"/>
    <w:pPr>
      <w:numPr>
        <w:numId w:val="2"/>
      </w:numPr>
      <w:ind w:left="2154" w:hanging="357"/>
    </w:pPr>
    <w:rPr>
      <w:rFonts w:eastAsia="Times New Roman" w:cs="Times New Roman"/>
    </w:rPr>
  </w:style>
  <w:style w:type="paragraph" w:customStyle="1" w:styleId="02Bulletnoindent">
    <w:name w:val="02_Bullet no indent"/>
    <w:basedOn w:val="02bullet"/>
    <w:qFormat/>
    <w:rsid w:val="004D04BA"/>
    <w:pPr>
      <w:ind w:left="284" w:hanging="284"/>
    </w:pPr>
  </w:style>
  <w:style w:type="paragraph" w:customStyle="1" w:styleId="00IndicatorH1">
    <w:name w:val="00_Indicator H1"/>
    <w:basedOn w:val="Normal"/>
    <w:uiPriority w:val="99"/>
    <w:rsid w:val="00265406"/>
    <w:pPr>
      <w:keepLines/>
      <w:widowControl w:val="0"/>
      <w:suppressAutoHyphens/>
      <w:autoSpaceDE w:val="0"/>
      <w:autoSpaceDN w:val="0"/>
      <w:adjustRightInd w:val="0"/>
      <w:spacing w:before="120" w:line="420" w:lineRule="atLeast"/>
      <w:textAlignment w:val="center"/>
    </w:pPr>
    <w:rPr>
      <w:rFonts w:eastAsia="Times New Roman" w:cs="Gotham-Medium"/>
      <w:b/>
      <w:bCs/>
      <w:color w:val="0099C5"/>
      <w:spacing w:val="-8"/>
      <w:sz w:val="38"/>
      <w:szCs w:val="38"/>
      <w:lang w:val="en-GB"/>
    </w:rPr>
  </w:style>
  <w:style w:type="character" w:customStyle="1" w:styleId="Heading2Char">
    <w:name w:val="Heading 2 Char"/>
    <w:basedOn w:val="DefaultParagraphFont"/>
    <w:link w:val="Heading2"/>
    <w:uiPriority w:val="9"/>
    <w:rsid w:val="00F11D0D"/>
    <w:rPr>
      <w:rFonts w:asciiTheme="majorHAnsi" w:eastAsiaTheme="majorEastAsia" w:hAnsiTheme="majorHAnsi" w:cstheme="majorBidi"/>
      <w:b/>
      <w:bCs/>
      <w:color w:val="4F81BD" w:themeColor="accent1"/>
      <w:sz w:val="26"/>
      <w:szCs w:val="26"/>
    </w:rPr>
  </w:style>
  <w:style w:type="paragraph" w:customStyle="1" w:styleId="01H1">
    <w:name w:val="01_H1"/>
    <w:basedOn w:val="Normal"/>
    <w:uiPriority w:val="99"/>
    <w:rsid w:val="00335EC6"/>
    <w:pPr>
      <w:keepLines/>
      <w:widowControl w:val="0"/>
      <w:suppressAutoHyphens/>
      <w:autoSpaceDE w:val="0"/>
      <w:autoSpaceDN w:val="0"/>
      <w:adjustRightInd w:val="0"/>
      <w:spacing w:before="57" w:after="113" w:line="480" w:lineRule="atLeast"/>
      <w:textAlignment w:val="center"/>
    </w:pPr>
    <w:rPr>
      <w:rFonts w:ascii="Gotham-Book" w:eastAsia="Times New Roman" w:hAnsi="Gotham-Book" w:cs="Gotham-Book"/>
      <w:color w:val="1A659A"/>
      <w:spacing w:val="-9"/>
      <w:sz w:val="46"/>
      <w:szCs w:val="46"/>
      <w:lang w:val="en-GB"/>
    </w:rPr>
  </w:style>
  <w:style w:type="paragraph" w:customStyle="1" w:styleId="00pagetopleft">
    <w:name w:val="00_page top left"/>
    <w:basedOn w:val="Normal"/>
    <w:uiPriority w:val="99"/>
    <w:rsid w:val="00335EC6"/>
    <w:pPr>
      <w:widowControl w:val="0"/>
      <w:suppressAutoHyphens/>
      <w:autoSpaceDE w:val="0"/>
      <w:autoSpaceDN w:val="0"/>
      <w:adjustRightInd w:val="0"/>
      <w:spacing w:before="120" w:after="68" w:line="380" w:lineRule="atLeast"/>
      <w:textAlignment w:val="center"/>
    </w:pPr>
    <w:rPr>
      <w:rFonts w:eastAsia="Times New Roman" w:cs="Gotham-Bold"/>
      <w:b/>
      <w:bCs/>
      <w:color w:val="1D4A74"/>
      <w:spacing w:val="-3"/>
      <w:sz w:val="34"/>
      <w:szCs w:val="34"/>
      <w:lang w:val="en-GB"/>
    </w:rPr>
  </w:style>
  <w:style w:type="paragraph" w:customStyle="1" w:styleId="00pagetop2right">
    <w:name w:val="00_page top 2 right"/>
    <w:basedOn w:val="Normal"/>
    <w:uiPriority w:val="99"/>
    <w:rsid w:val="00563638"/>
    <w:pPr>
      <w:widowControl w:val="0"/>
      <w:suppressAutoHyphens/>
      <w:autoSpaceDE w:val="0"/>
      <w:autoSpaceDN w:val="0"/>
      <w:adjustRightInd w:val="0"/>
      <w:spacing w:before="120" w:after="240" w:line="312" w:lineRule="atLeast"/>
      <w:textAlignment w:val="center"/>
    </w:pPr>
    <w:rPr>
      <w:rFonts w:eastAsia="Times New Roman" w:cs="Gotham-Light"/>
      <w:color w:val="1D4A74"/>
      <w:spacing w:val="-3"/>
      <w:sz w:val="26"/>
      <w:szCs w:val="26"/>
      <w:lang w:val="en-GB"/>
    </w:rPr>
  </w:style>
  <w:style w:type="paragraph" w:styleId="TOC1">
    <w:name w:val="toc 1"/>
    <w:basedOn w:val="Normal"/>
    <w:next w:val="Normal"/>
    <w:autoRedefine/>
    <w:uiPriority w:val="39"/>
    <w:unhideWhenUsed/>
    <w:rsid w:val="00BD739E"/>
    <w:pPr>
      <w:spacing w:before="120" w:after="0"/>
    </w:pPr>
    <w:rPr>
      <w:rFonts w:asciiTheme="minorHAnsi" w:hAnsiTheme="minorHAnsi"/>
      <w:b/>
      <w:sz w:val="22"/>
      <w:szCs w:val="22"/>
    </w:rPr>
  </w:style>
  <w:style w:type="paragraph" w:styleId="TOC2">
    <w:name w:val="toc 2"/>
    <w:basedOn w:val="Normal"/>
    <w:next w:val="Normal"/>
    <w:autoRedefine/>
    <w:uiPriority w:val="39"/>
    <w:unhideWhenUsed/>
    <w:rsid w:val="00BD739E"/>
    <w:pPr>
      <w:spacing w:after="0"/>
      <w:ind w:left="180"/>
    </w:pPr>
    <w:rPr>
      <w:rFonts w:asciiTheme="minorHAnsi" w:hAnsiTheme="minorHAnsi"/>
      <w:i/>
      <w:sz w:val="22"/>
      <w:szCs w:val="22"/>
    </w:rPr>
  </w:style>
  <w:style w:type="paragraph" w:styleId="TOC3">
    <w:name w:val="toc 3"/>
    <w:basedOn w:val="Normal"/>
    <w:next w:val="Normal"/>
    <w:autoRedefine/>
    <w:uiPriority w:val="39"/>
    <w:unhideWhenUsed/>
    <w:rsid w:val="00BD739E"/>
    <w:pPr>
      <w:spacing w:after="0"/>
      <w:ind w:left="360"/>
    </w:pPr>
    <w:rPr>
      <w:rFonts w:asciiTheme="minorHAnsi" w:hAnsiTheme="minorHAnsi"/>
      <w:sz w:val="22"/>
      <w:szCs w:val="22"/>
    </w:rPr>
  </w:style>
  <w:style w:type="paragraph" w:styleId="TOC4">
    <w:name w:val="toc 4"/>
    <w:basedOn w:val="Normal"/>
    <w:next w:val="Normal"/>
    <w:autoRedefine/>
    <w:uiPriority w:val="39"/>
    <w:unhideWhenUsed/>
    <w:rsid w:val="00BD739E"/>
    <w:pPr>
      <w:spacing w:after="0"/>
      <w:ind w:left="540"/>
    </w:pPr>
    <w:rPr>
      <w:rFonts w:asciiTheme="minorHAnsi" w:hAnsiTheme="minorHAnsi"/>
      <w:sz w:val="20"/>
    </w:rPr>
  </w:style>
  <w:style w:type="paragraph" w:styleId="TOC5">
    <w:name w:val="toc 5"/>
    <w:basedOn w:val="Normal"/>
    <w:next w:val="Normal"/>
    <w:autoRedefine/>
    <w:uiPriority w:val="39"/>
    <w:unhideWhenUsed/>
    <w:rsid w:val="00BD739E"/>
    <w:pPr>
      <w:spacing w:after="0"/>
      <w:ind w:left="720"/>
    </w:pPr>
    <w:rPr>
      <w:rFonts w:asciiTheme="minorHAnsi" w:hAnsiTheme="minorHAnsi"/>
      <w:sz w:val="20"/>
    </w:rPr>
  </w:style>
  <w:style w:type="paragraph" w:styleId="TOC6">
    <w:name w:val="toc 6"/>
    <w:basedOn w:val="Normal"/>
    <w:next w:val="Normal"/>
    <w:autoRedefine/>
    <w:uiPriority w:val="39"/>
    <w:unhideWhenUsed/>
    <w:rsid w:val="00BD739E"/>
    <w:pPr>
      <w:spacing w:after="0"/>
      <w:ind w:left="900"/>
    </w:pPr>
    <w:rPr>
      <w:rFonts w:asciiTheme="minorHAnsi" w:hAnsiTheme="minorHAnsi"/>
      <w:sz w:val="20"/>
    </w:rPr>
  </w:style>
  <w:style w:type="paragraph" w:styleId="TOC7">
    <w:name w:val="toc 7"/>
    <w:basedOn w:val="Normal"/>
    <w:next w:val="Normal"/>
    <w:autoRedefine/>
    <w:uiPriority w:val="39"/>
    <w:unhideWhenUsed/>
    <w:rsid w:val="00BD739E"/>
    <w:pPr>
      <w:spacing w:after="0"/>
      <w:ind w:left="1080"/>
    </w:pPr>
    <w:rPr>
      <w:rFonts w:asciiTheme="minorHAnsi" w:hAnsiTheme="minorHAnsi"/>
      <w:sz w:val="20"/>
    </w:rPr>
  </w:style>
  <w:style w:type="paragraph" w:styleId="TOC8">
    <w:name w:val="toc 8"/>
    <w:basedOn w:val="Normal"/>
    <w:next w:val="Normal"/>
    <w:autoRedefine/>
    <w:uiPriority w:val="39"/>
    <w:unhideWhenUsed/>
    <w:rsid w:val="00BD739E"/>
    <w:pPr>
      <w:spacing w:after="0"/>
      <w:ind w:left="1260"/>
    </w:pPr>
    <w:rPr>
      <w:rFonts w:asciiTheme="minorHAnsi" w:hAnsiTheme="minorHAnsi"/>
      <w:sz w:val="20"/>
    </w:rPr>
  </w:style>
  <w:style w:type="paragraph" w:styleId="TOC9">
    <w:name w:val="toc 9"/>
    <w:basedOn w:val="Normal"/>
    <w:next w:val="Normal"/>
    <w:autoRedefine/>
    <w:uiPriority w:val="39"/>
    <w:unhideWhenUsed/>
    <w:rsid w:val="00BD739E"/>
    <w:pPr>
      <w:spacing w:after="0"/>
      <w:ind w:left="1440"/>
    </w:pPr>
    <w:rPr>
      <w:rFonts w:asciiTheme="minorHAnsi" w:hAnsiTheme="minorHAnsi"/>
      <w:sz w:val="20"/>
    </w:rPr>
  </w:style>
  <w:style w:type="paragraph" w:customStyle="1" w:styleId="00pagetop1">
    <w:name w:val="00_page top 1"/>
    <w:basedOn w:val="Normal"/>
    <w:uiPriority w:val="99"/>
    <w:rsid w:val="002D346E"/>
    <w:pPr>
      <w:widowControl w:val="0"/>
      <w:suppressAutoHyphens/>
      <w:autoSpaceDE w:val="0"/>
      <w:autoSpaceDN w:val="0"/>
      <w:adjustRightInd w:val="0"/>
      <w:spacing w:after="68" w:line="312" w:lineRule="atLeast"/>
      <w:textAlignment w:val="center"/>
    </w:pPr>
    <w:rPr>
      <w:rFonts w:eastAsia="Times New Roman" w:cs="Gotham-Bold"/>
      <w:b/>
      <w:bCs/>
      <w:color w:val="0099C5"/>
      <w:spacing w:val="-3"/>
      <w:sz w:val="31"/>
      <w:szCs w:val="31"/>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BF"/>
    <w:pPr>
      <w:spacing w:after="120"/>
    </w:pPr>
    <w:rPr>
      <w:rFonts w:ascii="Arial" w:eastAsiaTheme="minorEastAsia" w:hAnsi="Arial" w:cstheme="minorBidi"/>
      <w:sz w:val="18"/>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11D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45A8A" w:themeColor="accent1" w:themeShade="B5"/>
      <w:sz w:val="32"/>
      <w:szCs w:val="32"/>
    </w:rPr>
  </w:style>
  <w:style w:type="paragraph" w:customStyle="1" w:styleId="x00-cover-date">
    <w:name w:val="x00-cover-date"/>
    <w:basedOn w:val="Normal"/>
    <w:rsid w:val="00105798"/>
    <w:pPr>
      <w:spacing w:before="100" w:beforeAutospacing="1" w:after="100" w:afterAutospacing="1"/>
      <w:jc w:val="right"/>
    </w:pPr>
    <w:rPr>
      <w:b/>
      <w:color w:val="1D4A74"/>
      <w:sz w:val="44"/>
      <w:szCs w:val="44"/>
    </w:rPr>
  </w:style>
  <w:style w:type="paragraph" w:styleId="NormalWeb">
    <w:name w:val="Normal (Web)"/>
    <w:basedOn w:val="Normal"/>
    <w:uiPriority w:val="99"/>
    <w:unhideWhenUsed/>
    <w:rsid w:val="004D04BA"/>
    <w:pPr>
      <w:spacing w:before="120" w:line="240" w:lineRule="exact"/>
    </w:pPr>
    <w:rPr>
      <w:rFonts w:cs="Times New Roman"/>
      <w:color w:val="000000" w:themeColor="text1"/>
      <w:spacing w:val="4"/>
      <w:szCs w:val="18"/>
    </w:rPr>
  </w:style>
  <w:style w:type="character" w:customStyle="1" w:styleId="x02-body-bold">
    <w:name w:val="x02-body-bold"/>
    <w:basedOn w:val="DefaultParagraphFont"/>
    <w:rsid w:val="00E224F2"/>
    <w:rPr>
      <w:rFonts w:ascii="Arial" w:hAnsi="Arial"/>
      <w:b/>
    </w:rPr>
  </w:style>
  <w:style w:type="character" w:customStyle="1" w:styleId="x02-body-italic">
    <w:name w:val="x02-body-italic"/>
    <w:basedOn w:val="DefaultParagraphFont"/>
    <w:rsid w:val="00AE77BF"/>
    <w:rPr>
      <w:rFonts w:ascii="Arial" w:hAnsi="Arial"/>
      <w:i/>
    </w:rPr>
  </w:style>
  <w:style w:type="character" w:customStyle="1" w:styleId="white">
    <w:name w:val="white"/>
    <w:basedOn w:val="DefaultParagraphFont"/>
    <w:rsid w:val="00CD468E"/>
    <w:rPr>
      <w:rFonts w:ascii="Arial" w:hAnsi="Arial"/>
    </w:rPr>
  </w:style>
  <w:style w:type="paragraph" w:customStyle="1" w:styleId="x03-footer">
    <w:name w:val="x03-footer"/>
    <w:basedOn w:val="Normal"/>
    <w:rsid w:val="00105798"/>
    <w:pPr>
      <w:spacing w:before="100" w:beforeAutospacing="1" w:after="100" w:afterAutospacing="1"/>
    </w:pPr>
    <w:rPr>
      <w:color w:val="1D4A74"/>
      <w:sz w:val="14"/>
      <w:szCs w:val="14"/>
    </w:rPr>
  </w:style>
  <w:style w:type="paragraph" w:customStyle="1" w:styleId="x01-h1">
    <w:name w:val="x01-h1"/>
    <w:basedOn w:val="Normal"/>
    <w:rsid w:val="00E224F2"/>
    <w:pPr>
      <w:spacing w:before="240" w:after="360"/>
    </w:pPr>
    <w:rPr>
      <w:color w:val="1D4A74"/>
      <w:sz w:val="46"/>
      <w:szCs w:val="46"/>
    </w:rPr>
  </w:style>
  <w:style w:type="paragraph" w:customStyle="1" w:styleId="x00-contents-body">
    <w:name w:val="x00-contents-body"/>
    <w:basedOn w:val="Normal"/>
    <w:rsid w:val="00D053C2"/>
    <w:pPr>
      <w:pBdr>
        <w:top w:val="dotted" w:sz="12" w:space="1" w:color="C5C0B2"/>
        <w:bottom w:val="dotted" w:sz="8" w:space="1" w:color="5E6263"/>
        <w:between w:val="dotted" w:sz="8" w:space="1" w:color="5E6263"/>
      </w:pBdr>
      <w:tabs>
        <w:tab w:val="right" w:pos="9639"/>
      </w:tabs>
      <w:spacing w:after="360"/>
    </w:pPr>
    <w:rPr>
      <w:color w:val="666967"/>
      <w:sz w:val="20"/>
    </w:rPr>
  </w:style>
  <w:style w:type="character" w:customStyle="1" w:styleId="x02-superscript">
    <w:name w:val="x02-superscript"/>
    <w:basedOn w:val="DefaultParagraphFont"/>
    <w:rsid w:val="00AE77BF"/>
    <w:rPr>
      <w:rFonts w:ascii="Arial" w:hAnsi="Arial"/>
      <w:caps w:val="0"/>
      <w:smallCaps w:val="0"/>
      <w:strike w:val="0"/>
      <w:dstrike w:val="0"/>
      <w:vanish w:val="0"/>
      <w:vertAlign w:val="superscript"/>
    </w:rPr>
  </w:style>
  <w:style w:type="paragraph" w:customStyle="1" w:styleId="x01-h2">
    <w:name w:val="x01-h2"/>
    <w:basedOn w:val="Normal"/>
    <w:rsid w:val="00510CAF"/>
    <w:pPr>
      <w:spacing w:before="240"/>
    </w:pPr>
    <w:rPr>
      <w:color w:val="1D4A74"/>
      <w:sz w:val="28"/>
      <w:szCs w:val="28"/>
    </w:rPr>
  </w:style>
  <w:style w:type="paragraph" w:customStyle="1" w:styleId="x01-h3">
    <w:name w:val="x01-h3"/>
    <w:basedOn w:val="Normal"/>
    <w:rsid w:val="003C578E"/>
    <w:pPr>
      <w:spacing w:before="120" w:after="0"/>
    </w:pPr>
    <w:rPr>
      <w:color w:val="1D4A74"/>
      <w:sz w:val="24"/>
      <w:szCs w:val="24"/>
    </w:rPr>
  </w:style>
  <w:style w:type="paragraph" w:customStyle="1" w:styleId="x03-figure-heading">
    <w:name w:val="x03-figure-heading"/>
    <w:basedOn w:val="Normal"/>
    <w:rsid w:val="00697608"/>
    <w:pPr>
      <w:spacing w:before="240"/>
    </w:pPr>
    <w:rPr>
      <w:b/>
      <w:bCs/>
      <w:color w:val="666967"/>
      <w:sz w:val="22"/>
      <w:szCs w:val="22"/>
    </w:rPr>
  </w:style>
  <w:style w:type="character" w:customStyle="1" w:styleId="x02-body-roman">
    <w:name w:val="x02-body-roman"/>
    <w:basedOn w:val="DefaultParagraphFont"/>
    <w:rsid w:val="00AE77BF"/>
    <w:rPr>
      <w:rFonts w:ascii="Arial" w:hAnsi="Arial"/>
      <w:b/>
    </w:rPr>
  </w:style>
  <w:style w:type="paragraph" w:customStyle="1" w:styleId="x01-h2-span">
    <w:name w:val="x01-h2-span"/>
    <w:basedOn w:val="Normal"/>
    <w:rsid w:val="00CD468E"/>
    <w:pPr>
      <w:spacing w:before="240"/>
    </w:pPr>
    <w:rPr>
      <w:color w:val="1D4A74"/>
      <w:sz w:val="28"/>
      <w:szCs w:val="28"/>
    </w:rPr>
  </w:style>
  <w:style w:type="paragraph" w:customStyle="1" w:styleId="x01-h4">
    <w:name w:val="x01-h4"/>
    <w:basedOn w:val="Normal"/>
    <w:rsid w:val="00CD468E"/>
    <w:pPr>
      <w:spacing w:before="120"/>
    </w:pPr>
    <w:rPr>
      <w:b/>
      <w:bCs/>
      <w:color w:val="666967"/>
      <w:sz w:val="22"/>
      <w:szCs w:val="22"/>
    </w:rPr>
  </w:style>
  <w:style w:type="character" w:customStyle="1" w:styleId="char-style-override-2">
    <w:name w:val="char-style-override-2"/>
    <w:basedOn w:val="DefaultParagraphFont"/>
  </w:style>
  <w:style w:type="paragraph" w:customStyle="1" w:styleId="x01-h5">
    <w:name w:val="x01-h5"/>
    <w:basedOn w:val="Normal"/>
    <w:rsid w:val="00CD468E"/>
    <w:pPr>
      <w:spacing w:before="120" w:after="0"/>
    </w:pPr>
    <w:rPr>
      <w:color w:val="000000" w:themeColor="text1"/>
      <w:sz w:val="22"/>
      <w:szCs w:val="22"/>
    </w:rPr>
  </w:style>
  <w:style w:type="paragraph" w:customStyle="1" w:styleId="x04-table-head-l">
    <w:name w:val="x04-table-head-l"/>
    <w:basedOn w:val="Normal"/>
    <w:rsid w:val="00CD468E"/>
    <w:pPr>
      <w:spacing w:before="100" w:beforeAutospacing="1" w:after="100" w:afterAutospacing="1"/>
    </w:pPr>
    <w:rPr>
      <w:b/>
      <w:bCs/>
      <w:color w:val="FFFFFF" w:themeColor="background1"/>
      <w:szCs w:val="18"/>
    </w:rPr>
  </w:style>
  <w:style w:type="paragraph" w:customStyle="1" w:styleId="x04-footnotes">
    <w:name w:val="x04-footnotes"/>
    <w:basedOn w:val="Normal"/>
    <w:rsid w:val="00416186"/>
    <w:pPr>
      <w:spacing w:before="60" w:after="60"/>
    </w:pPr>
    <w:rPr>
      <w:sz w:val="14"/>
    </w:rPr>
  </w:style>
  <w:style w:type="character" w:customStyle="1" w:styleId="char-style-override-3">
    <w:name w:val="char-style-override-3"/>
    <w:basedOn w:val="DefaultParagraphFont"/>
  </w:style>
  <w:style w:type="character" w:customStyle="1" w:styleId="char-style-override-4">
    <w:name w:val="char-style-override-4"/>
    <w:basedOn w:val="DefaultParagraphFont"/>
  </w:style>
  <w:style w:type="character" w:customStyle="1" w:styleId="x02-url">
    <w:name w:val="x02-url"/>
    <w:basedOn w:val="DefaultParagraphFont"/>
    <w:rsid w:val="00CD468E"/>
    <w:rPr>
      <w:rFonts w:ascii="Arial" w:hAnsi="Arial"/>
      <w:b/>
      <w:bCs/>
      <w:color w:val="1D4A74"/>
    </w:rPr>
  </w:style>
  <w:style w:type="character" w:customStyle="1" w:styleId="x03-gotham-medium-italic">
    <w:name w:val="x03-gotham-medium-italic"/>
    <w:basedOn w:val="DefaultParagraphFont"/>
    <w:rsid w:val="00CD468E"/>
    <w:rPr>
      <w:rFonts w:ascii="Arial" w:hAnsi="Arial"/>
      <w:b/>
      <w:bCs/>
      <w:i/>
      <w:iCs/>
      <w:color w:val="1D4A7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ullets">
    <w:name w:val="bullets"/>
    <w:basedOn w:val="DefaultParagraphFont"/>
    <w:rsid w:val="00E224F2"/>
    <w:rPr>
      <w:color w:val="1D4A74"/>
    </w:rPr>
  </w:style>
  <w:style w:type="paragraph" w:customStyle="1" w:styleId="x04-body-8pt">
    <w:name w:val="x04-body-8pt"/>
    <w:basedOn w:val="Normal"/>
    <w:rsid w:val="00697608"/>
    <w:pPr>
      <w:spacing w:after="100"/>
    </w:pPr>
    <w:rPr>
      <w:sz w:val="16"/>
    </w:rPr>
  </w:style>
  <w:style w:type="paragraph" w:customStyle="1" w:styleId="para-style-override-4">
    <w:name w:val="para-style-override-4"/>
    <w:basedOn w:val="Normal"/>
    <w:pPr>
      <w:spacing w:before="100" w:beforeAutospacing="1" w:after="100" w:afterAutospacing="1"/>
    </w:pPr>
  </w:style>
  <w:style w:type="paragraph" w:customStyle="1" w:styleId="x02-intro">
    <w:name w:val="x02-intro"/>
    <w:basedOn w:val="Normal"/>
    <w:rsid w:val="00CD468E"/>
    <w:pPr>
      <w:spacing w:before="120" w:after="240"/>
    </w:pPr>
    <w:rPr>
      <w:color w:val="000000" w:themeColor="text1"/>
      <w:sz w:val="24"/>
      <w:szCs w:val="24"/>
    </w:rPr>
  </w:style>
  <w:style w:type="character" w:customStyle="1" w:styleId="x02-subscript">
    <w:name w:val="x02-subscript"/>
    <w:basedOn w:val="DefaultParagraphFont"/>
    <w:rsid w:val="00AE77BF"/>
    <w:rPr>
      <w:rFonts w:ascii="Arial" w:hAnsi="Arial"/>
      <w:caps w:val="0"/>
      <w:smallCaps w:val="0"/>
      <w:strike w:val="0"/>
      <w:dstrike w:val="0"/>
      <w:vanish w:val="0"/>
      <w:vertAlign w:val="subscript"/>
    </w:rPr>
  </w:style>
  <w:style w:type="paragraph" w:customStyle="1" w:styleId="x03-references">
    <w:name w:val="x03-references"/>
    <w:basedOn w:val="Normal"/>
    <w:rsid w:val="00CD468E"/>
    <w:pPr>
      <w:spacing w:before="60"/>
    </w:pPr>
    <w:rPr>
      <w:sz w:val="14"/>
    </w:rPr>
  </w:style>
  <w:style w:type="character" w:customStyle="1" w:styleId="char-style-override-9">
    <w:name w:val="char-style-override-9"/>
    <w:basedOn w:val="DefaultParagraphFont"/>
  </w:style>
  <w:style w:type="paragraph" w:customStyle="1" w:styleId="para-style-override-6">
    <w:name w:val="para-style-override-6"/>
    <w:basedOn w:val="Normal"/>
    <w:pPr>
      <w:spacing w:before="100" w:beforeAutospacing="1" w:after="100" w:afterAutospacing="1"/>
    </w:pPr>
  </w:style>
  <w:style w:type="character" w:customStyle="1" w:styleId="x02-body-bold-italic">
    <w:name w:val="x02-body-bold-italic"/>
    <w:basedOn w:val="DefaultParagraphFont"/>
    <w:rsid w:val="00AE77BF"/>
    <w:rPr>
      <w:rFonts w:ascii="Arial" w:hAnsi="Arial"/>
      <w:b/>
      <w:i/>
    </w:rPr>
  </w:style>
  <w:style w:type="character" w:customStyle="1" w:styleId="char-style-override-11">
    <w:name w:val="char-style-override-11"/>
    <w:basedOn w:val="DefaultParagraphFont"/>
  </w:style>
  <w:style w:type="paragraph" w:customStyle="1" w:styleId="x04-appendices-graphic-body">
    <w:name w:val="x04-appendices-graphic-body"/>
    <w:basedOn w:val="Normal"/>
    <w:pPr>
      <w:spacing w:before="100" w:beforeAutospacing="1" w:after="100" w:afterAutospacing="1"/>
    </w:pPr>
  </w:style>
  <w:style w:type="character" w:customStyle="1" w:styleId="grey">
    <w:name w:val="grey"/>
    <w:basedOn w:val="DefaultParagraphFont"/>
  </w:style>
  <w:style w:type="paragraph" w:customStyle="1" w:styleId="para-style-override-8">
    <w:name w:val="para-style-override-8"/>
    <w:basedOn w:val="Normal"/>
    <w:pPr>
      <w:spacing w:before="100" w:beforeAutospacing="1" w:after="100" w:afterAutospacing="1"/>
    </w:pPr>
  </w:style>
  <w:style w:type="paragraph" w:styleId="Header">
    <w:name w:val="header"/>
    <w:basedOn w:val="Normal"/>
    <w:link w:val="HeaderChar"/>
    <w:uiPriority w:val="99"/>
    <w:unhideWhenUsed/>
    <w:rsid w:val="00EC1EC9"/>
    <w:pPr>
      <w:tabs>
        <w:tab w:val="center" w:pos="4320"/>
        <w:tab w:val="right" w:pos="8640"/>
      </w:tabs>
    </w:pPr>
  </w:style>
  <w:style w:type="character" w:customStyle="1" w:styleId="HeaderChar">
    <w:name w:val="Header Char"/>
    <w:basedOn w:val="DefaultParagraphFont"/>
    <w:link w:val="Header"/>
    <w:uiPriority w:val="99"/>
    <w:rsid w:val="00EC1EC9"/>
    <w:rPr>
      <w:rFonts w:ascii="Times" w:eastAsiaTheme="minorEastAsia" w:hAnsi="Times" w:cstheme="minorBidi"/>
    </w:rPr>
  </w:style>
  <w:style w:type="paragraph" w:styleId="Footer">
    <w:name w:val="footer"/>
    <w:basedOn w:val="Normal"/>
    <w:link w:val="FooterChar"/>
    <w:uiPriority w:val="99"/>
    <w:unhideWhenUsed/>
    <w:rsid w:val="00EC1EC9"/>
    <w:pPr>
      <w:tabs>
        <w:tab w:val="center" w:pos="4320"/>
        <w:tab w:val="right" w:pos="8640"/>
      </w:tabs>
    </w:pPr>
  </w:style>
  <w:style w:type="character" w:customStyle="1" w:styleId="FooterChar">
    <w:name w:val="Footer Char"/>
    <w:basedOn w:val="DefaultParagraphFont"/>
    <w:link w:val="Footer"/>
    <w:uiPriority w:val="99"/>
    <w:rsid w:val="00EC1EC9"/>
    <w:rPr>
      <w:rFonts w:ascii="Times" w:eastAsiaTheme="minorEastAsia" w:hAnsi="Times" w:cstheme="minorBidi"/>
    </w:rPr>
  </w:style>
  <w:style w:type="paragraph" w:styleId="BalloonText">
    <w:name w:val="Balloon Text"/>
    <w:basedOn w:val="Normal"/>
    <w:link w:val="BalloonTextChar"/>
    <w:uiPriority w:val="99"/>
    <w:semiHidden/>
    <w:unhideWhenUsed/>
    <w:rsid w:val="00EC1EC9"/>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C1EC9"/>
    <w:rPr>
      <w:rFonts w:ascii="Lucida Grande" w:eastAsiaTheme="minorEastAsia" w:hAnsi="Lucida Grande" w:cs="Lucida Grande"/>
      <w:sz w:val="18"/>
      <w:szCs w:val="18"/>
    </w:rPr>
  </w:style>
  <w:style w:type="paragraph" w:customStyle="1" w:styleId="03footer">
    <w:name w:val="03_footer"/>
    <w:basedOn w:val="Normal"/>
    <w:uiPriority w:val="99"/>
    <w:rsid w:val="00EC1EC9"/>
    <w:pPr>
      <w:widowControl w:val="0"/>
      <w:tabs>
        <w:tab w:val="left" w:pos="340"/>
      </w:tabs>
      <w:suppressAutoHyphens/>
      <w:autoSpaceDE w:val="0"/>
      <w:autoSpaceDN w:val="0"/>
      <w:adjustRightInd w:val="0"/>
      <w:spacing w:after="170" w:line="260" w:lineRule="atLeast"/>
      <w:textAlignment w:val="center"/>
    </w:pPr>
    <w:rPr>
      <w:rFonts w:eastAsia="Times New Roman" w:cs="HelveticaNeue-Light"/>
      <w:color w:val="1D4A74"/>
      <w:sz w:val="14"/>
      <w:szCs w:val="14"/>
      <w:lang w:val="en-GB"/>
    </w:rPr>
  </w:style>
  <w:style w:type="character" w:styleId="PageNumber">
    <w:name w:val="page number"/>
    <w:basedOn w:val="DefaultParagraphFont"/>
    <w:uiPriority w:val="99"/>
    <w:semiHidden/>
    <w:unhideWhenUsed/>
    <w:rsid w:val="00EC1EC9"/>
    <w:rPr>
      <w:rFonts w:ascii="Arial" w:hAnsi="Arial"/>
      <w:b/>
      <w:bCs/>
      <w:color w:val="1D4A74"/>
      <w:sz w:val="22"/>
      <w:szCs w:val="22"/>
    </w:rPr>
  </w:style>
  <w:style w:type="paragraph" w:customStyle="1" w:styleId="00CoverH1">
    <w:name w:val="00_Cover_H1"/>
    <w:basedOn w:val="Normal"/>
    <w:uiPriority w:val="99"/>
    <w:rsid w:val="00105798"/>
    <w:pPr>
      <w:widowControl w:val="0"/>
      <w:suppressAutoHyphens/>
      <w:autoSpaceDE w:val="0"/>
      <w:autoSpaceDN w:val="0"/>
      <w:adjustRightInd w:val="0"/>
      <w:spacing w:after="113" w:line="520" w:lineRule="atLeast"/>
      <w:jc w:val="right"/>
      <w:textAlignment w:val="center"/>
    </w:pPr>
    <w:rPr>
      <w:rFonts w:eastAsia="Times New Roman" w:cs="Gotham-Bold"/>
      <w:b/>
      <w:bCs/>
      <w:color w:val="FFFFFF"/>
      <w:spacing w:val="-5"/>
      <w:sz w:val="52"/>
      <w:szCs w:val="52"/>
      <w:lang w:val="en-GB"/>
    </w:rPr>
  </w:style>
  <w:style w:type="paragraph" w:customStyle="1" w:styleId="00Citation">
    <w:name w:val="00_Citation"/>
    <w:basedOn w:val="Normal"/>
    <w:uiPriority w:val="99"/>
    <w:rsid w:val="00E224F2"/>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line="220" w:lineRule="atLeast"/>
      <w:textAlignment w:val="center"/>
    </w:pPr>
    <w:rPr>
      <w:rFonts w:eastAsia="Times New Roman" w:cs="HelveticaNeue-Light"/>
      <w:color w:val="000000" w:themeColor="text1"/>
      <w:spacing w:val="4"/>
      <w:szCs w:val="18"/>
      <w:lang w:val="en-GB"/>
    </w:rPr>
  </w:style>
  <w:style w:type="character" w:customStyle="1" w:styleId="02bodybold">
    <w:name w:val="02_body bold"/>
    <w:uiPriority w:val="99"/>
    <w:rsid w:val="00E224F2"/>
    <w:rPr>
      <w:rFonts w:ascii="Arial" w:hAnsi="Arial" w:cs="HelveticaNeue-Medium"/>
      <w:b/>
    </w:rPr>
  </w:style>
  <w:style w:type="character" w:customStyle="1" w:styleId="02bodyitalic">
    <w:name w:val="02_body italic"/>
    <w:uiPriority w:val="99"/>
    <w:rsid w:val="00E224F2"/>
    <w:rPr>
      <w:rFonts w:ascii="HelveticaNeue-LightItalic" w:hAnsi="HelveticaNeue-LightItalic" w:cs="HelveticaNeue-LightItalic"/>
      <w:i/>
      <w:iCs/>
    </w:rPr>
  </w:style>
  <w:style w:type="paragraph" w:customStyle="1" w:styleId="00sectionhead">
    <w:name w:val="00_section head"/>
    <w:basedOn w:val="Normal"/>
    <w:uiPriority w:val="99"/>
    <w:rsid w:val="00E224F2"/>
    <w:pPr>
      <w:keepLines/>
      <w:widowControl w:val="0"/>
      <w:suppressAutoHyphens/>
      <w:autoSpaceDE w:val="0"/>
      <w:autoSpaceDN w:val="0"/>
      <w:adjustRightInd w:val="0"/>
      <w:spacing w:before="60" w:line="780" w:lineRule="atLeast"/>
      <w:textAlignment w:val="center"/>
    </w:pPr>
    <w:rPr>
      <w:rFonts w:eastAsia="Times New Roman" w:cs="Gotham-Book"/>
      <w:color w:val="1D4A74"/>
      <w:spacing w:val="-15"/>
      <w:sz w:val="74"/>
      <w:szCs w:val="74"/>
      <w:lang w:val="en-GB"/>
    </w:rPr>
  </w:style>
  <w:style w:type="character" w:customStyle="1" w:styleId="whitecolours">
    <w:name w:val="white (colours)"/>
    <w:uiPriority w:val="99"/>
    <w:rsid w:val="00E224F2"/>
    <w:rPr>
      <w:outline/>
    </w:rPr>
  </w:style>
  <w:style w:type="paragraph" w:customStyle="1" w:styleId="02Body">
    <w:name w:val="02_Body"/>
    <w:basedOn w:val="Normal"/>
    <w:uiPriority w:val="99"/>
    <w:rsid w:val="0083412A"/>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after="100" w:line="240" w:lineRule="atLeast"/>
      <w:textAlignment w:val="center"/>
    </w:pPr>
    <w:rPr>
      <w:rFonts w:eastAsia="Times New Roman" w:cs="HelveticaNeue-Light"/>
      <w:color w:val="000000"/>
      <w:spacing w:val="4"/>
      <w:szCs w:val="18"/>
      <w:lang w:val="en-GB"/>
    </w:rPr>
  </w:style>
  <w:style w:type="paragraph" w:customStyle="1" w:styleId="02bullet">
    <w:name w:val="02_bullet"/>
    <w:basedOn w:val="Normal"/>
    <w:qFormat/>
    <w:rsid w:val="009655EA"/>
    <w:pPr>
      <w:numPr>
        <w:numId w:val="1"/>
      </w:numPr>
      <w:spacing w:after="100"/>
      <w:ind w:left="714" w:hanging="357"/>
    </w:pPr>
    <w:rPr>
      <w:rFonts w:eastAsia="Times New Roman" w:cs="Times New Roman"/>
      <w:spacing w:val="4"/>
      <w:szCs w:val="18"/>
    </w:rPr>
  </w:style>
  <w:style w:type="table" w:styleId="TableGrid">
    <w:name w:val="Table Grid"/>
    <w:basedOn w:val="TableNormal"/>
    <w:uiPriority w:val="59"/>
    <w:rsid w:val="00C82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rsid w:val="00C829BA"/>
    <w:pPr>
      <w:spacing w:after="100"/>
    </w:pPr>
    <w:rPr>
      <w:rFonts w:eastAsia="Times New Roman" w:cs="Times New Roman"/>
    </w:rPr>
  </w:style>
  <w:style w:type="paragraph" w:customStyle="1" w:styleId="02Bulletlevel2">
    <w:name w:val="02_Bullet level 2"/>
    <w:basedOn w:val="Normal"/>
    <w:qFormat/>
    <w:rsid w:val="00C829BA"/>
    <w:pPr>
      <w:numPr>
        <w:numId w:val="71"/>
      </w:numPr>
    </w:pPr>
    <w:rPr>
      <w:rFonts w:eastAsia="Times New Roman" w:cs="Times New Roman"/>
    </w:rPr>
  </w:style>
  <w:style w:type="paragraph" w:customStyle="1" w:styleId="02Bulletlevel3">
    <w:name w:val="02_Bullet level 3"/>
    <w:basedOn w:val="Normal"/>
    <w:qFormat/>
    <w:rsid w:val="00C829BA"/>
    <w:pPr>
      <w:numPr>
        <w:numId w:val="11"/>
      </w:numPr>
      <w:ind w:left="2154" w:hanging="357"/>
    </w:pPr>
    <w:rPr>
      <w:rFonts w:eastAsia="Times New Roman" w:cs="Times New Roman"/>
    </w:rPr>
  </w:style>
  <w:style w:type="paragraph" w:customStyle="1" w:styleId="02Bulletnoindent">
    <w:name w:val="02_Bullet no indent"/>
    <w:basedOn w:val="02bullet"/>
    <w:qFormat/>
    <w:rsid w:val="004D04BA"/>
    <w:pPr>
      <w:ind w:left="284" w:hanging="284"/>
    </w:pPr>
  </w:style>
  <w:style w:type="paragraph" w:customStyle="1" w:styleId="00IndicatorH1">
    <w:name w:val="00_Indicator H1"/>
    <w:basedOn w:val="Normal"/>
    <w:uiPriority w:val="99"/>
    <w:rsid w:val="00265406"/>
    <w:pPr>
      <w:keepLines/>
      <w:widowControl w:val="0"/>
      <w:suppressAutoHyphens/>
      <w:autoSpaceDE w:val="0"/>
      <w:autoSpaceDN w:val="0"/>
      <w:adjustRightInd w:val="0"/>
      <w:spacing w:before="120" w:line="420" w:lineRule="atLeast"/>
      <w:textAlignment w:val="center"/>
    </w:pPr>
    <w:rPr>
      <w:rFonts w:eastAsia="Times New Roman" w:cs="Gotham-Medium"/>
      <w:b/>
      <w:bCs/>
      <w:color w:val="0099C5"/>
      <w:spacing w:val="-8"/>
      <w:sz w:val="38"/>
      <w:szCs w:val="38"/>
      <w:lang w:val="en-GB"/>
    </w:rPr>
  </w:style>
  <w:style w:type="character" w:customStyle="1" w:styleId="Heading2Char">
    <w:name w:val="Heading 2 Char"/>
    <w:basedOn w:val="DefaultParagraphFont"/>
    <w:link w:val="Heading2"/>
    <w:uiPriority w:val="9"/>
    <w:rsid w:val="00F11D0D"/>
    <w:rPr>
      <w:rFonts w:asciiTheme="majorHAnsi" w:eastAsiaTheme="majorEastAsia" w:hAnsiTheme="majorHAnsi" w:cstheme="majorBidi"/>
      <w:b/>
      <w:bCs/>
      <w:color w:val="4F81BD" w:themeColor="accent1"/>
      <w:sz w:val="26"/>
      <w:szCs w:val="26"/>
    </w:rPr>
  </w:style>
  <w:style w:type="paragraph" w:customStyle="1" w:styleId="01H1">
    <w:name w:val="01_H1"/>
    <w:basedOn w:val="Normal"/>
    <w:uiPriority w:val="99"/>
    <w:rsid w:val="00335EC6"/>
    <w:pPr>
      <w:keepLines/>
      <w:widowControl w:val="0"/>
      <w:suppressAutoHyphens/>
      <w:autoSpaceDE w:val="0"/>
      <w:autoSpaceDN w:val="0"/>
      <w:adjustRightInd w:val="0"/>
      <w:spacing w:before="57" w:after="113" w:line="480" w:lineRule="atLeast"/>
      <w:textAlignment w:val="center"/>
    </w:pPr>
    <w:rPr>
      <w:rFonts w:ascii="Gotham-Book" w:eastAsia="Times New Roman" w:hAnsi="Gotham-Book" w:cs="Gotham-Book"/>
      <w:color w:val="1A659A"/>
      <w:spacing w:val="-9"/>
      <w:sz w:val="46"/>
      <w:szCs w:val="46"/>
      <w:lang w:val="en-GB"/>
    </w:rPr>
  </w:style>
  <w:style w:type="paragraph" w:customStyle="1" w:styleId="00pagetopleft">
    <w:name w:val="00_page top left"/>
    <w:basedOn w:val="Normal"/>
    <w:uiPriority w:val="99"/>
    <w:rsid w:val="00335EC6"/>
    <w:pPr>
      <w:widowControl w:val="0"/>
      <w:suppressAutoHyphens/>
      <w:autoSpaceDE w:val="0"/>
      <w:autoSpaceDN w:val="0"/>
      <w:adjustRightInd w:val="0"/>
      <w:spacing w:before="120" w:after="68" w:line="380" w:lineRule="atLeast"/>
      <w:textAlignment w:val="center"/>
    </w:pPr>
    <w:rPr>
      <w:rFonts w:eastAsia="Times New Roman" w:cs="Gotham-Bold"/>
      <w:b/>
      <w:bCs/>
      <w:color w:val="1D4A74"/>
      <w:spacing w:val="-3"/>
      <w:sz w:val="34"/>
      <w:szCs w:val="34"/>
      <w:lang w:val="en-GB"/>
    </w:rPr>
  </w:style>
  <w:style w:type="paragraph" w:customStyle="1" w:styleId="00pagetop2right">
    <w:name w:val="00_page top 2 right"/>
    <w:basedOn w:val="Normal"/>
    <w:uiPriority w:val="99"/>
    <w:rsid w:val="00563638"/>
    <w:pPr>
      <w:widowControl w:val="0"/>
      <w:suppressAutoHyphens/>
      <w:autoSpaceDE w:val="0"/>
      <w:autoSpaceDN w:val="0"/>
      <w:adjustRightInd w:val="0"/>
      <w:spacing w:before="120" w:after="240" w:line="312" w:lineRule="atLeast"/>
      <w:textAlignment w:val="center"/>
    </w:pPr>
    <w:rPr>
      <w:rFonts w:eastAsia="Times New Roman" w:cs="Gotham-Light"/>
      <w:color w:val="1D4A74"/>
      <w:spacing w:val="-3"/>
      <w:sz w:val="26"/>
      <w:szCs w:val="26"/>
      <w:lang w:val="en-GB"/>
    </w:rPr>
  </w:style>
  <w:style w:type="paragraph" w:styleId="TOC1">
    <w:name w:val="toc 1"/>
    <w:basedOn w:val="Normal"/>
    <w:next w:val="Normal"/>
    <w:autoRedefine/>
    <w:uiPriority w:val="39"/>
    <w:unhideWhenUsed/>
    <w:rsid w:val="00BD739E"/>
    <w:pPr>
      <w:spacing w:before="120" w:after="0"/>
    </w:pPr>
    <w:rPr>
      <w:rFonts w:asciiTheme="minorHAnsi" w:hAnsiTheme="minorHAnsi"/>
      <w:b/>
      <w:sz w:val="22"/>
      <w:szCs w:val="22"/>
    </w:rPr>
  </w:style>
  <w:style w:type="paragraph" w:styleId="TOC2">
    <w:name w:val="toc 2"/>
    <w:basedOn w:val="Normal"/>
    <w:next w:val="Normal"/>
    <w:autoRedefine/>
    <w:uiPriority w:val="39"/>
    <w:unhideWhenUsed/>
    <w:rsid w:val="00BD739E"/>
    <w:pPr>
      <w:spacing w:after="0"/>
      <w:ind w:left="180"/>
    </w:pPr>
    <w:rPr>
      <w:rFonts w:asciiTheme="minorHAnsi" w:hAnsiTheme="minorHAnsi"/>
      <w:i/>
      <w:sz w:val="22"/>
      <w:szCs w:val="22"/>
    </w:rPr>
  </w:style>
  <w:style w:type="paragraph" w:styleId="TOC3">
    <w:name w:val="toc 3"/>
    <w:basedOn w:val="Normal"/>
    <w:next w:val="Normal"/>
    <w:autoRedefine/>
    <w:uiPriority w:val="39"/>
    <w:unhideWhenUsed/>
    <w:rsid w:val="00BD739E"/>
    <w:pPr>
      <w:spacing w:after="0"/>
      <w:ind w:left="360"/>
    </w:pPr>
    <w:rPr>
      <w:rFonts w:asciiTheme="minorHAnsi" w:hAnsiTheme="minorHAnsi"/>
      <w:sz w:val="22"/>
      <w:szCs w:val="22"/>
    </w:rPr>
  </w:style>
  <w:style w:type="paragraph" w:styleId="TOC4">
    <w:name w:val="toc 4"/>
    <w:basedOn w:val="Normal"/>
    <w:next w:val="Normal"/>
    <w:autoRedefine/>
    <w:uiPriority w:val="39"/>
    <w:unhideWhenUsed/>
    <w:rsid w:val="00BD739E"/>
    <w:pPr>
      <w:spacing w:after="0"/>
      <w:ind w:left="540"/>
    </w:pPr>
    <w:rPr>
      <w:rFonts w:asciiTheme="minorHAnsi" w:hAnsiTheme="minorHAnsi"/>
      <w:sz w:val="20"/>
    </w:rPr>
  </w:style>
  <w:style w:type="paragraph" w:styleId="TOC5">
    <w:name w:val="toc 5"/>
    <w:basedOn w:val="Normal"/>
    <w:next w:val="Normal"/>
    <w:autoRedefine/>
    <w:uiPriority w:val="39"/>
    <w:unhideWhenUsed/>
    <w:rsid w:val="00BD739E"/>
    <w:pPr>
      <w:spacing w:after="0"/>
      <w:ind w:left="720"/>
    </w:pPr>
    <w:rPr>
      <w:rFonts w:asciiTheme="minorHAnsi" w:hAnsiTheme="minorHAnsi"/>
      <w:sz w:val="20"/>
    </w:rPr>
  </w:style>
  <w:style w:type="paragraph" w:styleId="TOC6">
    <w:name w:val="toc 6"/>
    <w:basedOn w:val="Normal"/>
    <w:next w:val="Normal"/>
    <w:autoRedefine/>
    <w:uiPriority w:val="39"/>
    <w:unhideWhenUsed/>
    <w:rsid w:val="00BD739E"/>
    <w:pPr>
      <w:spacing w:after="0"/>
      <w:ind w:left="900"/>
    </w:pPr>
    <w:rPr>
      <w:rFonts w:asciiTheme="minorHAnsi" w:hAnsiTheme="minorHAnsi"/>
      <w:sz w:val="20"/>
    </w:rPr>
  </w:style>
  <w:style w:type="paragraph" w:styleId="TOC7">
    <w:name w:val="toc 7"/>
    <w:basedOn w:val="Normal"/>
    <w:next w:val="Normal"/>
    <w:autoRedefine/>
    <w:uiPriority w:val="39"/>
    <w:unhideWhenUsed/>
    <w:rsid w:val="00BD739E"/>
    <w:pPr>
      <w:spacing w:after="0"/>
      <w:ind w:left="1080"/>
    </w:pPr>
    <w:rPr>
      <w:rFonts w:asciiTheme="minorHAnsi" w:hAnsiTheme="minorHAnsi"/>
      <w:sz w:val="20"/>
    </w:rPr>
  </w:style>
  <w:style w:type="paragraph" w:styleId="TOC8">
    <w:name w:val="toc 8"/>
    <w:basedOn w:val="Normal"/>
    <w:next w:val="Normal"/>
    <w:autoRedefine/>
    <w:uiPriority w:val="39"/>
    <w:unhideWhenUsed/>
    <w:rsid w:val="00BD739E"/>
    <w:pPr>
      <w:spacing w:after="0"/>
      <w:ind w:left="1260"/>
    </w:pPr>
    <w:rPr>
      <w:rFonts w:asciiTheme="minorHAnsi" w:hAnsiTheme="minorHAnsi"/>
      <w:sz w:val="20"/>
    </w:rPr>
  </w:style>
  <w:style w:type="paragraph" w:styleId="TOC9">
    <w:name w:val="toc 9"/>
    <w:basedOn w:val="Normal"/>
    <w:next w:val="Normal"/>
    <w:autoRedefine/>
    <w:uiPriority w:val="39"/>
    <w:unhideWhenUsed/>
    <w:rsid w:val="00BD739E"/>
    <w:pPr>
      <w:spacing w:after="0"/>
      <w:ind w:left="1440"/>
    </w:pPr>
    <w:rPr>
      <w:rFonts w:asciiTheme="minorHAnsi" w:hAnsiTheme="minorHAnsi"/>
      <w:sz w:val="20"/>
    </w:rPr>
  </w:style>
  <w:style w:type="paragraph" w:customStyle="1" w:styleId="00pagetop1">
    <w:name w:val="00_page top 1"/>
    <w:basedOn w:val="Normal"/>
    <w:uiPriority w:val="99"/>
    <w:rsid w:val="002D346E"/>
    <w:pPr>
      <w:widowControl w:val="0"/>
      <w:suppressAutoHyphens/>
      <w:autoSpaceDE w:val="0"/>
      <w:autoSpaceDN w:val="0"/>
      <w:adjustRightInd w:val="0"/>
      <w:spacing w:after="68" w:line="312" w:lineRule="atLeast"/>
      <w:textAlignment w:val="center"/>
    </w:pPr>
    <w:rPr>
      <w:rFonts w:eastAsia="Times New Roman" w:cs="Gotham-Bold"/>
      <w:b/>
      <w:bCs/>
      <w:color w:val="0099C5"/>
      <w:spacing w:val="-3"/>
      <w:sz w:val="31"/>
      <w:szCs w:val="31"/>
      <w:lang w:val="en-GB"/>
    </w:rPr>
  </w:style>
</w:styles>
</file>

<file path=word/webSettings.xml><?xml version="1.0" encoding="utf-8"?>
<w:webSettings xmlns:r="http://schemas.openxmlformats.org/officeDocument/2006/relationships" xmlns:w="http://schemas.openxmlformats.org/wordprocessingml/2006/main">
  <w:divs>
    <w:div w:id="1770810128">
      <w:marLeft w:val="0"/>
      <w:marRight w:val="0"/>
      <w:marTop w:val="0"/>
      <w:marBottom w:val="0"/>
      <w:divBdr>
        <w:top w:val="none" w:sz="0" w:space="0" w:color="auto"/>
        <w:left w:val="none" w:sz="0" w:space="0" w:color="auto"/>
        <w:bottom w:val="none" w:sz="0" w:space="0" w:color="auto"/>
        <w:right w:val="none" w:sz="0" w:space="0" w:color="auto"/>
      </w:divBdr>
      <w:divsChild>
        <w:div w:id="1422870910">
          <w:marLeft w:val="0"/>
          <w:marRight w:val="0"/>
          <w:marTop w:val="0"/>
          <w:marBottom w:val="0"/>
          <w:divBdr>
            <w:top w:val="none" w:sz="0" w:space="0" w:color="auto"/>
            <w:left w:val="none" w:sz="0" w:space="0" w:color="auto"/>
            <w:bottom w:val="none" w:sz="0" w:space="0" w:color="auto"/>
            <w:right w:val="none" w:sz="0" w:space="0" w:color="auto"/>
          </w:divBdr>
        </w:div>
        <w:div w:id="235896055">
          <w:marLeft w:val="0"/>
          <w:marRight w:val="0"/>
          <w:marTop w:val="0"/>
          <w:marBottom w:val="0"/>
          <w:divBdr>
            <w:top w:val="none" w:sz="0" w:space="0" w:color="auto"/>
            <w:left w:val="none" w:sz="0" w:space="0" w:color="auto"/>
            <w:bottom w:val="none" w:sz="0" w:space="0" w:color="auto"/>
            <w:right w:val="none" w:sz="0" w:space="0" w:color="auto"/>
          </w:divBdr>
        </w:div>
        <w:div w:id="75309341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safetyandquality.gov.au/publications/national-inpatient-medication-chart-user-guide-including-paediatric-versions/" TargetMode="External"/><Relationship Id="rId9" Type="http://schemas.openxmlformats.org/officeDocument/2006/relationships/hyperlink" Target="http://www.cec.health.nsw.gov.au" TargetMode="External"/><Relationship Id="rId104" Type="http://schemas.microsoft.com/office/2007/relationships/stylesWithEffects" Target="stylesWithEffects.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699</Words>
  <Characters>3989</Characters>
  <Application>Microsoft Macintosh Word</Application>
  <DocSecurity>0</DocSecurity>
  <Lines>33</Lines>
  <Paragraphs>7</Paragraphs>
  <ScaleCrop>false</ScaleCrop>
  <Company>gd</Company>
  <LinksUpToDate>false</LinksUpToDate>
  <CharactersWithSpaces>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SAQ127_National_QUM_Indicators_V14.html</dc:title>
  <dc:subject/>
  <dc:creator>goga dolic</dc:creator>
  <cp:keywords/>
  <dc:description/>
  <cp:lastModifiedBy>Karita Beard</cp:lastModifiedBy>
  <cp:revision>2</cp:revision>
  <dcterms:created xsi:type="dcterms:W3CDTF">2014-11-17T05:05:00Z</dcterms:created>
  <dcterms:modified xsi:type="dcterms:W3CDTF">2014-11-17T05:05:00Z</dcterms:modified>
</cp:coreProperties>
</file>