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C909D3" w:rsidRPr="00C909D3" w:rsidRDefault="00C909D3" w:rsidP="00C909D3">
      <w:pPr>
        <w:pStyle w:val="00pagetopleft"/>
      </w:pPr>
      <w:r w:rsidRPr="00C909D3">
        <w:t>Pain management</w:t>
      </w:r>
    </w:p>
    <w:p w:rsidR="00C909D3" w:rsidRDefault="00C909D3" w:rsidP="00C909D3">
      <w:pPr>
        <w:pStyle w:val="00pagetop2right"/>
        <w:spacing w:after="0"/>
      </w:pPr>
      <w:r w:rsidRPr="00C909D3">
        <w:t xml:space="preserve">QUM domains: Safe and effective use </w:t>
      </w:r>
    </w:p>
    <w:p w:rsidR="00E0132D" w:rsidRDefault="00AE21AC" w:rsidP="00C909D3">
      <w:pPr>
        <w:pStyle w:val="00IndicatorH1"/>
      </w:pPr>
      <w:r>
        <w:t xml:space="preserve">4.2 Percentage of postoperative patients that are given a written pain management plan at discharge AND a copy is communicated to the primary care clinician </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This indicator assesses the effectiveness of processes intended to ensure that patients and their caregivers receive adequate information for safe and effective medicines management following discharge or transfer to another care level.</w:t>
      </w:r>
    </w:p>
    <w:p w:rsidR="00E0132D" w:rsidRDefault="00AE21AC">
      <w:pPr>
        <w:pStyle w:val="x01-h2"/>
        <w:rPr>
          <w:rFonts w:cs="Times New Roman"/>
        </w:rPr>
      </w:pPr>
      <w:r>
        <w:rPr>
          <w:rFonts w:cs="Times New Roman"/>
        </w:rPr>
        <w:t>Background and evidence</w:t>
      </w:r>
    </w:p>
    <w:p w:rsidR="00E0132D" w:rsidRDefault="00AE21AC" w:rsidP="00C909D3">
      <w:pPr>
        <w:pStyle w:val="02Body"/>
      </w:pPr>
      <w:r>
        <w:t>Moderate to severe pain commonly occurs in postoperative patients after transfer to community care.</w:t>
      </w:r>
      <w:r>
        <w:rPr>
          <w:rStyle w:val="x02-superscript"/>
        </w:rPr>
        <w:t>1,2</w:t>
      </w:r>
      <w:r>
        <w:t xml:space="preserve"> One-fifth of postoperative patients report that they did not receive analgesia at discharge and 10–14% report inadequate pain relief from analgesic medicine.</w:t>
      </w:r>
      <w:r>
        <w:rPr>
          <w:rStyle w:val="x02-superscript"/>
        </w:rPr>
        <w:t>1</w:t>
      </w:r>
      <w:r>
        <w:t xml:space="preserve"> Additionally, pain that is not well controlled is perceived as impacting on time of recovery from surgery.</w:t>
      </w:r>
      <w:r>
        <w:rPr>
          <w:rStyle w:val="x02-superscript"/>
        </w:rPr>
        <w:t>1</w:t>
      </w:r>
      <w:r>
        <w:t xml:space="preserve"> Ongoing postoperative pain is a risk factor for the development of chronic pain,</w:t>
      </w:r>
      <w:r>
        <w:rPr>
          <w:rStyle w:val="x02-superscript"/>
        </w:rPr>
        <w:t>3</w:t>
      </w:r>
      <w:r>
        <w:t xml:space="preserve"> and poorly controlled pain is a risk factor for myocardial infarction, pneumonia and venous thromboembolism.</w:t>
      </w:r>
      <w:r>
        <w:rPr>
          <w:rStyle w:val="x02-superscript"/>
        </w:rPr>
        <w:t>4</w:t>
      </w:r>
    </w:p>
    <w:p w:rsidR="00E0132D" w:rsidRDefault="00AE21AC" w:rsidP="00C909D3">
      <w:pPr>
        <w:pStyle w:val="02Body"/>
      </w:pPr>
      <w:r>
        <w:t>Educating patients about their medicines and communication about medicines management between hospital and community practitioners are guiding principles in the Australian Pharmaceutical Advisory Council Guiding Principles to Achieve Continuity in Medication Management.</w:t>
      </w:r>
      <w:r>
        <w:rPr>
          <w:rStyle w:val="x02-superscript"/>
        </w:rPr>
        <w:t>5</w:t>
      </w:r>
      <w:r>
        <w:t xml:space="preserve"> Recognition of the practice gap in communication of pain management at discharge was the focus of the National Prescribing Service Acute Postoperative Pain Management Drug Use Evaluation conducted in 2006.</w:t>
      </w:r>
      <w:r>
        <w:rPr>
          <w:rStyle w:val="x02-superscript"/>
        </w:rPr>
        <w:t>2</w:t>
      </w:r>
    </w:p>
    <w:p w:rsidR="00E0132D" w:rsidRDefault="00AE21AC">
      <w:pPr>
        <w:pStyle w:val="x01-h2"/>
        <w:rPr>
          <w:rFonts w:cs="Times New Roman"/>
        </w:rPr>
      </w:pPr>
      <w:r>
        <w:rPr>
          <w:rFonts w:cs="Times New Roman"/>
        </w:rPr>
        <w:t>Key definitions</w:t>
      </w:r>
    </w:p>
    <w:p w:rsidR="00E0132D" w:rsidRDefault="00AE21AC" w:rsidP="00C909D3">
      <w:pPr>
        <w:pStyle w:val="02Body"/>
      </w:pPr>
      <w:r>
        <w:rPr>
          <w:rStyle w:val="x02-body-bold"/>
        </w:rPr>
        <w:t>A written pain management plan</w:t>
      </w:r>
      <w:r>
        <w:t xml:space="preserve"> should be tailored to individual needs, desires, and circumstances,</w:t>
      </w:r>
      <w:r>
        <w:rPr>
          <w:rStyle w:val="x02-superscript"/>
        </w:rPr>
        <w:t>6</w:t>
      </w:r>
      <w:r>
        <w:t xml:space="preserve"> and be easily understood by the patient. Details should include: medicine names, dose and frequency; planned duration of analgesia; clear instructions for pain management (e.g. instructions for managing moderate, severe or ongoing pain and instructions for multimodal therapy); clear instructions for maximum daily doses. A copy of the plan given to the patient should be included in the medical record, or documentation made in the medical record that an individualised plan was given. </w:t>
      </w:r>
    </w:p>
    <w:p w:rsidR="00E0132D" w:rsidRDefault="00AE21AC" w:rsidP="00C909D3">
      <w:pPr>
        <w:pStyle w:val="02Body"/>
      </w:pPr>
      <w:r>
        <w:rPr>
          <w:rStyle w:val="x02-body-bold"/>
        </w:rPr>
        <w:t>A copy is communicated to the primary care clinician</w:t>
      </w:r>
      <w:r>
        <w:t xml:space="preserve"> means a copy of the plan is sent to the community-based health practitioner nominated by the patient, or included in the discharge summary or discharge or transfer letter. Such communication should be explicitly documented in the medical record.</w:t>
      </w:r>
    </w:p>
    <w:p w:rsidR="00E0132D" w:rsidRDefault="00AE21AC">
      <w:pPr>
        <w:pStyle w:val="x01-h2"/>
        <w:rPr>
          <w:rFonts w:cs="Times New Roman"/>
        </w:rPr>
      </w:pPr>
      <w:r>
        <w:rPr>
          <w:rFonts w:cs="Times New Roman"/>
        </w:rPr>
        <w:t>Data collection for local use</w:t>
      </w:r>
    </w:p>
    <w:p w:rsidR="00E0132D" w:rsidRDefault="00AE21AC" w:rsidP="00C909D3">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C909D3">
      <w:pPr>
        <w:pStyle w:val="02Body"/>
      </w:pPr>
      <w:r>
        <w:rPr>
          <w:rStyle w:val="x02-body-bold"/>
        </w:rPr>
        <w:t>Inclusion criteria:</w:t>
      </w:r>
      <w:r>
        <w:t xml:space="preserve"> Adult, paediatric and neonatal postoperative patients.</w:t>
      </w:r>
    </w:p>
    <w:p w:rsidR="00E0132D" w:rsidRDefault="00AE21AC" w:rsidP="00C909D3">
      <w:pPr>
        <w:pStyle w:val="02Body"/>
      </w:pPr>
      <w:r>
        <w:rPr>
          <w:rStyle w:val="x02-body-bold"/>
        </w:rPr>
        <w:t>Exclusion criteria:</w:t>
      </w:r>
      <w:r>
        <w:t xml:space="preserve"> Nil.</w:t>
      </w:r>
    </w:p>
    <w:p w:rsidR="00E0132D" w:rsidRDefault="00AE21AC" w:rsidP="00C909D3">
      <w:pPr>
        <w:pStyle w:val="02Body"/>
      </w:pPr>
      <w:r>
        <w:rPr>
          <w:rStyle w:val="x02-body-bold"/>
        </w:rPr>
        <w:t>Recommended data sources:</w:t>
      </w:r>
      <w:r>
        <w:t xml:space="preserve"> Medical records, operating theatre lists and discharge referral documentation.</w:t>
      </w:r>
    </w:p>
    <w:p w:rsidR="00E0132D" w:rsidRDefault="00AE21AC">
      <w:pPr>
        <w:pStyle w:val="NormalWeb"/>
      </w:pPr>
      <w:r>
        <w:t>The data collection tool for QUM Indicator 4.2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C909D3">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C909D3" w:rsidP="00E71EDF">
      <w:pPr>
        <w:pStyle w:val="02Body"/>
      </w:pPr>
      <w:r>
        <w:rPr>
          <w:noProof/>
          <w:lang w:val="en-US"/>
        </w:rPr>
        <w:drawing>
          <wp:inline distT="0" distB="0" distL="0" distR="0">
            <wp:extent cx="1795272" cy="652272"/>
            <wp:effectExtent l="0" t="0" r="8255"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1795272" cy="652272"/>
                    </a:xfrm>
                    <a:prstGeom prst="rect">
                      <a:avLst/>
                    </a:prstGeom>
                  </pic:spPr>
                </pic:pic>
              </a:graphicData>
            </a:graphic>
          </wp:inline>
        </w:drawing>
      </w:r>
    </w:p>
    <w:p w:rsidR="00E0132D" w:rsidRDefault="00AE21AC" w:rsidP="00C909D3">
      <w:pPr>
        <w:pStyle w:val="02Body"/>
      </w:pPr>
      <w:r>
        <w:rPr>
          <w:rStyle w:val="x02-body-bold"/>
        </w:rPr>
        <w:t>Numerator</w:t>
      </w:r>
      <w:r>
        <w:t xml:space="preserve"> = Number of postoperative patients that were given a written pain management plan at discharge AND a copy was communicated to the primary care clinician</w:t>
      </w:r>
    </w:p>
    <w:p w:rsidR="00E0132D" w:rsidRDefault="00AE21AC" w:rsidP="00C909D3">
      <w:pPr>
        <w:pStyle w:val="02Body"/>
      </w:pPr>
      <w:r>
        <w:rPr>
          <w:rStyle w:val="x02-body-bold"/>
        </w:rPr>
        <w:t>Denominator</w:t>
      </w:r>
      <w:r>
        <w:t xml:space="preserve"> = Number of postoperative patients in sample</w:t>
      </w:r>
    </w:p>
    <w:p w:rsidR="00E0132D" w:rsidRDefault="00AE21AC">
      <w:pPr>
        <w:pStyle w:val="x01-h2"/>
        <w:rPr>
          <w:rFonts w:cs="Times New Roman"/>
        </w:rPr>
      </w:pPr>
      <w:r>
        <w:rPr>
          <w:rFonts w:cs="Times New Roman"/>
        </w:rPr>
        <w:t>Limitations and interpretation</w:t>
      </w:r>
    </w:p>
    <w:p w:rsidR="00E0132D" w:rsidRDefault="00AE21AC" w:rsidP="00C909D3">
      <w:pPr>
        <w:pStyle w:val="02Body"/>
      </w:pPr>
      <w:r>
        <w:t>Data collection for this indicator relies on documentation in the medical record. Good documentation supports quality patient care</w:t>
      </w:r>
      <w:r>
        <w:rPr>
          <w:rStyle w:val="x02-superscript"/>
        </w:rPr>
        <w:t>7</w:t>
      </w:r>
      <w:r>
        <w:t xml:space="preserve"> and is a critical component of management. Poor communication can result in adverse medicine events.</w:t>
      </w:r>
      <w:r>
        <w:rPr>
          <w:rStyle w:val="x02-superscript"/>
        </w:rPr>
        <w:t>8</w:t>
      </w:r>
      <w:r>
        <w:t xml:space="preserve"> Thus it is assumed that absence of explicit documentation in the medical record means a pain management plan was not provided to the patient or their primary care clinician.</w:t>
      </w:r>
    </w:p>
    <w:p w:rsidR="00E0132D" w:rsidRDefault="00AE21AC" w:rsidP="00C909D3">
      <w:pPr>
        <w:pStyle w:val="02Body"/>
      </w:pPr>
      <w:r>
        <w:t>This indicator does not measure the quality of the written pain management plan or whether the patient’s primary care clinician actually received a copy of the plan.</w:t>
      </w:r>
    </w:p>
    <w:p w:rsidR="00E0132D" w:rsidRDefault="00AE21AC" w:rsidP="00C909D3">
      <w:pPr>
        <w:pStyle w:val="02Body"/>
      </w:pPr>
      <w:r>
        <w:t xml:space="preserve">Appropriate postoperative pain management is informed by regular pain assessment. </w:t>
      </w:r>
      <w:r>
        <w:rPr>
          <w:rStyle w:val="x02-body-italic"/>
        </w:rPr>
        <w:t>Indicator 4.1: Percentage of postoperative patients whose pain intensity is documented using an appropriate validated assessment tool</w:t>
      </w:r>
      <w:r>
        <w:t xml:space="preserve"> may also be relevant. It may be appropriate to collect Indicators 4.1 and 4.2 concurrently where possible.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F443A4">
        <w:tc>
          <w:tcPr>
            <w:tcW w:w="10132" w:type="dxa"/>
            <w:shd w:val="clear" w:color="auto" w:fill="DCF1F6"/>
          </w:tcPr>
          <w:p w:rsidR="00F443A4" w:rsidRDefault="00F443A4" w:rsidP="00F443A4">
            <w:pPr>
              <w:pStyle w:val="x01-h2"/>
              <w:rPr>
                <w:rFonts w:cs="Times New Roman"/>
              </w:rPr>
            </w:pPr>
            <w:r>
              <w:rPr>
                <w:rFonts w:cs="Times New Roman"/>
              </w:rPr>
              <w:t>Further information</w:t>
            </w:r>
          </w:p>
          <w:p w:rsidR="00F443A4" w:rsidRDefault="00F443A4" w:rsidP="00F443A4">
            <w:pPr>
              <w:pStyle w:val="02Body"/>
            </w:pPr>
            <w:r>
              <w:t>NPS acute postoperative pain (APOP) drug utilisation evaluation (DUE) toolkit is a quality improvement tool to assist hospital surgical, anaesthetic, pharmacy and nursing staff working with surgical patients to conduct an audit of patient care in the area of acute postoperative pain. The toolkit is available at</w:t>
            </w:r>
            <w:r w:rsidR="00E71EDF">
              <w:t xml:space="preserve"> </w:t>
            </w:r>
            <w:hyperlink r:id="rId8" w:history="1">
              <w:r w:rsidRPr="00F443A4">
                <w:rPr>
                  <w:rStyle w:val="x02-url"/>
                </w:rPr>
                <w:t>www.nps.org.au/health-professionals/cpd/activities/due-for-hospitals/acute-postoperative-pain/apop/</w:t>
              </w:r>
            </w:hyperlink>
          </w:p>
          <w:p w:rsidR="00F443A4" w:rsidRDefault="00F443A4" w:rsidP="00F443A4">
            <w:pPr>
              <w:pStyle w:val="02Body"/>
            </w:pPr>
            <w:r>
              <w:t>Medication Safety Self Assessment for Australian Hospitals</w:t>
            </w:r>
            <w:r>
              <w:rPr>
                <w:rStyle w:val="x02-superscript"/>
              </w:rPr>
              <w:t>9</w:t>
            </w:r>
            <w:r>
              <w:t xml:space="preserve"> (MSSA) can help identify potential strategies for improvement with this and other indicators. The MSSA encourages development of robust systems for safe prescribing, dispensing, administration and monitoring of medicines. The MSSA is available at </w:t>
            </w:r>
            <w:hyperlink r:id="rId9" w:history="1">
              <w:r w:rsidRPr="00F443A4">
                <w:rPr>
                  <w:rStyle w:val="x02-url"/>
                </w:rPr>
                <w:t>www.cec.health.nsw.gov.au</w:t>
              </w:r>
            </w:hyperlink>
          </w:p>
          <w:p w:rsidR="00F443A4" w:rsidRDefault="00F443A4" w:rsidP="00C909D3">
            <w:pPr>
              <w:pStyle w:val="02Body"/>
            </w:pPr>
            <w:r>
              <w:t>This indicator can be used to assist hospitals in meeting the National Safety and Quality Health Service Standard 1 [items 1.2.1, 1.2.2, 1.5.2, 1.6.1, 1.6.2, 1.18.1], Standard 4 [items 4.2.1, 4.2.2, 4.5.1, 4.5.2, 4.11.1, 4.13.1, 4.13.2, 4.14.1] and Standard 6 [items 6.1.1, 6.2.1, 6.3.1, 6.4.1, 6.4.2].</w:t>
            </w:r>
            <w:r>
              <w:rPr>
                <w:rStyle w:val="x02-superscript"/>
              </w:rPr>
              <w:t>10</w:t>
            </w:r>
          </w:p>
        </w:tc>
      </w:tr>
    </w:tbl>
    <w:p w:rsidR="00F443A4" w:rsidRDefault="00F443A4" w:rsidP="00C909D3">
      <w:pPr>
        <w:pStyle w:val="02Body"/>
      </w:pPr>
    </w:p>
    <w:p w:rsidR="00F443A4" w:rsidRDefault="00F443A4">
      <w:pPr>
        <w:spacing w:after="0"/>
        <w:rPr>
          <w:rFonts w:eastAsia="Times New Roman" w:cs="HelveticaNeue-Light"/>
          <w:color w:val="000000"/>
          <w:spacing w:val="4"/>
          <w:szCs w:val="18"/>
          <w:lang w:val="en-GB"/>
        </w:rPr>
      </w:pPr>
      <w:r>
        <w:br w:type="page"/>
      </w:r>
    </w:p>
    <w:p w:rsidR="00E0132D" w:rsidRDefault="00AE21AC">
      <w:pPr>
        <w:pStyle w:val="x04-footnotes"/>
        <w:rPr>
          <w:rFonts w:cs="Times New Roman"/>
        </w:rPr>
      </w:pPr>
      <w:r>
        <w:rPr>
          <w:rStyle w:val="x02-body-bold"/>
          <w:rFonts w:cs="Times New Roman"/>
        </w:rPr>
        <w:t>References</w:t>
      </w:r>
    </w:p>
    <w:p w:rsidR="00E0132D" w:rsidRDefault="00AE21AC" w:rsidP="00C03794">
      <w:pPr>
        <w:pStyle w:val="x04-footnotes"/>
        <w:ind w:left="142" w:hanging="142"/>
        <w:rPr>
          <w:rFonts w:cs="Times New Roman"/>
        </w:rPr>
      </w:pPr>
      <w:r>
        <w:rPr>
          <w:rFonts w:cs="Times New Roman"/>
        </w:rPr>
        <w:t>1. Kable A, Gibberd R, Spigelman A. Complications after discharge for surgical patients. ANZ J Surg 2004; 74: 92-97.</w:t>
      </w:r>
    </w:p>
    <w:p w:rsidR="00E0132D" w:rsidRDefault="00AE21AC" w:rsidP="00C03794">
      <w:pPr>
        <w:pStyle w:val="x04-footnotes"/>
        <w:ind w:left="142" w:hanging="142"/>
        <w:rPr>
          <w:rFonts w:cs="Times New Roman"/>
        </w:rPr>
      </w:pPr>
      <w:r>
        <w:rPr>
          <w:rFonts w:cs="Times New Roman"/>
        </w:rPr>
        <w:t>2. Acute Postoperative Pain Management, the APOP Drug Use Evaluation Project Report. National Prescribing Service, 2007.</w:t>
      </w:r>
    </w:p>
    <w:p w:rsidR="00E0132D" w:rsidRDefault="00AE21AC" w:rsidP="00C03794">
      <w:pPr>
        <w:pStyle w:val="x04-footnotes"/>
        <w:ind w:left="142" w:hanging="142"/>
        <w:rPr>
          <w:rFonts w:cs="Times New Roman"/>
        </w:rPr>
      </w:pPr>
      <w:r>
        <w:rPr>
          <w:rFonts w:cs="Times New Roman"/>
        </w:rPr>
        <w:t>3. Acute Pain Management - Scientific Evidence, 3rd edn. Australian and New Zealand College of Anaesthetists and Faculty of Pain Medicine, 2010.</w:t>
      </w:r>
    </w:p>
    <w:p w:rsidR="00E0132D" w:rsidRDefault="00AE21AC" w:rsidP="00C03794">
      <w:pPr>
        <w:pStyle w:val="x04-footnotes"/>
        <w:ind w:left="142" w:hanging="142"/>
        <w:rPr>
          <w:rFonts w:cs="Times New Roman"/>
        </w:rPr>
      </w:pPr>
      <w:r>
        <w:rPr>
          <w:rFonts w:cs="Times New Roman"/>
        </w:rPr>
        <w:t>4. Unrelieved Pain is a Major Global Healthcare Problem (fact sheet). Vol. 2006. International Association for the Study of Pain, European Federation of IASP Chapters, 2004.</w:t>
      </w:r>
    </w:p>
    <w:p w:rsidR="00E0132D" w:rsidRDefault="00AE21AC" w:rsidP="00C03794">
      <w:pPr>
        <w:pStyle w:val="x04-footnotes"/>
        <w:ind w:left="142" w:hanging="142"/>
        <w:rPr>
          <w:rFonts w:cs="Times New Roman"/>
        </w:rPr>
      </w:pPr>
      <w:r>
        <w:rPr>
          <w:rFonts w:cs="Times New Roman"/>
        </w:rPr>
        <w:t xml:space="preserve">5. Guiding Principles to Achieve Continuity in Medication Management. Australian Pharmaceutical Advisory Council, 2005. </w:t>
      </w:r>
    </w:p>
    <w:p w:rsidR="00E0132D" w:rsidRDefault="00AE21AC" w:rsidP="00C03794">
      <w:pPr>
        <w:pStyle w:val="x04-footnotes"/>
        <w:ind w:left="142" w:hanging="142"/>
        <w:rPr>
          <w:rFonts w:cs="Times New Roman"/>
        </w:rPr>
      </w:pPr>
      <w:r>
        <w:rPr>
          <w:rFonts w:cs="Times New Roman"/>
        </w:rPr>
        <w:t>6. Gordon DB, Dahl JL, Miaskowski C, et al. American Pain Society recommendations for improving the quality of acute and cancer pain management. Arch Intern Med 2005; 165: 1574-1580.</w:t>
      </w:r>
    </w:p>
    <w:p w:rsidR="00E0132D" w:rsidRDefault="00AE21AC" w:rsidP="00C03794">
      <w:pPr>
        <w:pStyle w:val="x04-footnotes"/>
        <w:ind w:left="142" w:hanging="142"/>
        <w:rPr>
          <w:rFonts w:cs="Times New Roman"/>
        </w:rPr>
      </w:pPr>
      <w:r>
        <w:rPr>
          <w:rFonts w:cs="Times New Roman"/>
        </w:rPr>
        <w:t>7. The Good Clinical Documentation Guide. National Centre for Classification in Health, Commonwealth of Australia, 2003.</w:t>
      </w:r>
    </w:p>
    <w:p w:rsidR="00E0132D" w:rsidRDefault="00AE21AC" w:rsidP="00C03794">
      <w:pPr>
        <w:pStyle w:val="x04-footnotes"/>
        <w:ind w:left="142" w:hanging="142"/>
        <w:rPr>
          <w:rFonts w:cs="Times New Roman"/>
        </w:rPr>
      </w:pPr>
      <w:r>
        <w:rPr>
          <w:rFonts w:cs="Times New Roman"/>
        </w:rPr>
        <w:t>8. MacKinnon NJ, ed. Safe and Effective: The Eight Essential Elements of an Optimal Medication-use System. Canadian Pharmacists Association, 2007.</w:t>
      </w:r>
    </w:p>
    <w:p w:rsidR="00E0132D" w:rsidRDefault="00AE21AC" w:rsidP="00C03794">
      <w:pPr>
        <w:pStyle w:val="x04-footnotes"/>
        <w:ind w:left="142" w:hanging="142"/>
        <w:rPr>
          <w:rFonts w:cs="Times New Roman"/>
        </w:rPr>
      </w:pPr>
      <w:r>
        <w:rPr>
          <w:rFonts w:cs="Times New Roman"/>
        </w:rPr>
        <w:t xml:space="preserve">9. Medication Safety Self Assessment for Australian Hospitals: Institute for Safe Medication Practices USA (Adapted for Australian use by NSW Therapeutic Advisory Group and the Clinical Excellence Commission), 2007 </w:t>
      </w:r>
    </w:p>
    <w:p w:rsidR="00E0132D" w:rsidRDefault="00AE21AC">
      <w:pPr>
        <w:pStyle w:val="x04-footnotes"/>
        <w:rPr>
          <w:rFonts w:cs="Times New Roman"/>
        </w:rPr>
      </w:pPr>
      <w:r>
        <w:rPr>
          <w:rFonts w:cs="Times New Roman"/>
        </w:rPr>
        <w:t xml:space="preserve">10. Australian Commission on Safety and Quality in Health Care. National Safety and Quality Health Service Standards. ACSQHC, 2012. </w:t>
      </w:r>
    </w:p>
    <w:p w:rsidR="00F443A4" w:rsidRDefault="00F443A4">
      <w:pPr>
        <w:spacing w:after="0"/>
        <w:rPr>
          <w:rFonts w:eastAsia="Times New Roman" w:cs="Times New Roman"/>
          <w:b/>
          <w:bCs/>
          <w:kern w:val="36"/>
          <w:sz w:val="48"/>
          <w:szCs w:val="48"/>
        </w:rPr>
      </w:pPr>
    </w:p>
    <w:sectPr w:rsidR="00F443A4" w:rsidSect="00EC1EC9">
      <w:headerReference w:type="default" r:id="rId10"/>
      <w:footerReference w:type="even" r:id="rId11"/>
      <w:footerReference w:type="default" r:id="rId12"/>
      <w:headerReference w:type="first" r:id="rId13"/>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E60E5E"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E60E5E"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005DEB">
      <w:rPr>
        <w:rStyle w:val="PageNumber"/>
        <w:noProof/>
      </w:rPr>
      <w:t>2</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710221" cy="106326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559040" cy="1069238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05DEB"/>
    <w:rsid w:val="00052C2A"/>
    <w:rsid w:val="000605B3"/>
    <w:rsid w:val="0008720E"/>
    <w:rsid w:val="000A56D7"/>
    <w:rsid w:val="000D2E87"/>
    <w:rsid w:val="00105798"/>
    <w:rsid w:val="001139CE"/>
    <w:rsid w:val="00136A82"/>
    <w:rsid w:val="0014196D"/>
    <w:rsid w:val="001B0B30"/>
    <w:rsid w:val="001E6744"/>
    <w:rsid w:val="002455D7"/>
    <w:rsid w:val="00251E8B"/>
    <w:rsid w:val="00265406"/>
    <w:rsid w:val="002834FA"/>
    <w:rsid w:val="002B522B"/>
    <w:rsid w:val="002D346E"/>
    <w:rsid w:val="003001B0"/>
    <w:rsid w:val="00335EC6"/>
    <w:rsid w:val="00354FB7"/>
    <w:rsid w:val="003563C3"/>
    <w:rsid w:val="003C578E"/>
    <w:rsid w:val="003C6D8B"/>
    <w:rsid w:val="003E78CF"/>
    <w:rsid w:val="004018B0"/>
    <w:rsid w:val="00416186"/>
    <w:rsid w:val="00446FEA"/>
    <w:rsid w:val="00474896"/>
    <w:rsid w:val="004B0764"/>
    <w:rsid w:val="004D04BA"/>
    <w:rsid w:val="004E42AC"/>
    <w:rsid w:val="004F5233"/>
    <w:rsid w:val="00510CAF"/>
    <w:rsid w:val="00512857"/>
    <w:rsid w:val="00563638"/>
    <w:rsid w:val="0056365B"/>
    <w:rsid w:val="005A754B"/>
    <w:rsid w:val="005B61D8"/>
    <w:rsid w:val="005E2FCF"/>
    <w:rsid w:val="006174E8"/>
    <w:rsid w:val="00686E36"/>
    <w:rsid w:val="00697608"/>
    <w:rsid w:val="006E077D"/>
    <w:rsid w:val="00785DF5"/>
    <w:rsid w:val="0083412A"/>
    <w:rsid w:val="00844813"/>
    <w:rsid w:val="00852DB6"/>
    <w:rsid w:val="00856734"/>
    <w:rsid w:val="00870BAF"/>
    <w:rsid w:val="008B244E"/>
    <w:rsid w:val="009655EA"/>
    <w:rsid w:val="00977CFB"/>
    <w:rsid w:val="009873FA"/>
    <w:rsid w:val="0099010B"/>
    <w:rsid w:val="009A2815"/>
    <w:rsid w:val="009C4991"/>
    <w:rsid w:val="009E2A33"/>
    <w:rsid w:val="009E3F64"/>
    <w:rsid w:val="009F7D89"/>
    <w:rsid w:val="00A17C2D"/>
    <w:rsid w:val="00A879BE"/>
    <w:rsid w:val="00A90A11"/>
    <w:rsid w:val="00AA51DA"/>
    <w:rsid w:val="00AE21AC"/>
    <w:rsid w:val="00AE4D2A"/>
    <w:rsid w:val="00AE77BF"/>
    <w:rsid w:val="00AF02F8"/>
    <w:rsid w:val="00B01E77"/>
    <w:rsid w:val="00B44E16"/>
    <w:rsid w:val="00B45F6B"/>
    <w:rsid w:val="00B9692F"/>
    <w:rsid w:val="00BD739E"/>
    <w:rsid w:val="00BE3DD8"/>
    <w:rsid w:val="00C03794"/>
    <w:rsid w:val="00C10D3A"/>
    <w:rsid w:val="00C17664"/>
    <w:rsid w:val="00C23D10"/>
    <w:rsid w:val="00C829BA"/>
    <w:rsid w:val="00C909D3"/>
    <w:rsid w:val="00CD468E"/>
    <w:rsid w:val="00D053C2"/>
    <w:rsid w:val="00D16016"/>
    <w:rsid w:val="00D162C8"/>
    <w:rsid w:val="00D47826"/>
    <w:rsid w:val="00D752D1"/>
    <w:rsid w:val="00D86BEE"/>
    <w:rsid w:val="00E0132D"/>
    <w:rsid w:val="00E21A3B"/>
    <w:rsid w:val="00E224F2"/>
    <w:rsid w:val="00E60E5E"/>
    <w:rsid w:val="00E67E14"/>
    <w:rsid w:val="00E71EDF"/>
    <w:rsid w:val="00E82D76"/>
    <w:rsid w:val="00E92548"/>
    <w:rsid w:val="00E93779"/>
    <w:rsid w:val="00E97DD8"/>
    <w:rsid w:val="00EC1EC9"/>
    <w:rsid w:val="00EC3231"/>
    <w:rsid w:val="00EF305C"/>
    <w:rsid w:val="00F03BA1"/>
    <w:rsid w:val="00F068AA"/>
    <w:rsid w:val="00F11D0D"/>
    <w:rsid w:val="00F16919"/>
    <w:rsid w:val="00F3116D"/>
    <w:rsid w:val="00F35D42"/>
    <w:rsid w:val="00F411E5"/>
    <w:rsid w:val="00F42F05"/>
    <w:rsid w:val="00F443A4"/>
    <w:rsid w:val="00F9019C"/>
    <w:rsid w:val="00F96DEE"/>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nps.org.au/health-professionals/cpd/activities/due-for-hospitals/acute-postoperative-pain/apop/" TargetMode="External"/><Relationship Id="rId9" Type="http://schemas.openxmlformats.org/officeDocument/2006/relationships/hyperlink" Target="http://www.cec.health.nsw.gov.au/" TargetMode="External"/><Relationship Id="rId104" Type="http://schemas.microsoft.com/office/2007/relationships/stylesWithEffects" Target="stylesWithEffect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1035</Words>
  <Characters>5905</Characters>
  <Application>Microsoft Macintosh Word</Application>
  <DocSecurity>0</DocSecurity>
  <Lines>49</Lines>
  <Paragraphs>11</Paragraphs>
  <ScaleCrop>false</ScaleCrop>
  <Company>gd</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2014-11-17T05:09:00Z</dcterms:created>
  <dcterms:modified xsi:type="dcterms:W3CDTF">2014-11-17T05:09:00Z</dcterms:modified>
</cp:coreProperties>
</file>