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0905BC">
      <w:pPr>
        <w:divId w:val="1422870910"/>
        <w:rPr>
          <w:rFonts w:eastAsia="Times New Roman" w:cs="Times New Roman"/>
          <w:color w:val="1D4A74"/>
        </w:rPr>
      </w:pPr>
    </w:p>
    <w:p w:rsidR="00105798" w:rsidRDefault="000905BC">
      <w:pPr>
        <w:divId w:val="1422870910"/>
        <w:rPr>
          <w:rFonts w:eastAsia="Times New Roman" w:cs="Times New Roman"/>
          <w:color w:val="1D4A74"/>
        </w:rPr>
      </w:pPr>
    </w:p>
    <w:p w:rsidR="00105798" w:rsidRDefault="000905BC">
      <w:pPr>
        <w:divId w:val="1422870910"/>
        <w:rPr>
          <w:rFonts w:eastAsia="Times New Roman" w:cs="Times New Roman"/>
          <w:color w:val="1D4A74"/>
        </w:rPr>
      </w:pPr>
    </w:p>
    <w:p w:rsidR="00105798" w:rsidRDefault="000905BC">
      <w:pPr>
        <w:divId w:val="1422870910"/>
        <w:rPr>
          <w:rFonts w:eastAsia="Times New Roman" w:cs="Times New Roman"/>
          <w:color w:val="1D4A74"/>
        </w:rPr>
      </w:pPr>
    </w:p>
    <w:p w:rsidR="00105798" w:rsidRDefault="000905BC">
      <w:pPr>
        <w:divId w:val="1422870910"/>
        <w:rPr>
          <w:rFonts w:eastAsia="Times New Roman" w:cs="Times New Roman"/>
          <w:color w:val="1D4A74"/>
        </w:rPr>
      </w:pPr>
    </w:p>
    <w:p w:rsidR="00105798" w:rsidRDefault="000905BC">
      <w:pPr>
        <w:divId w:val="1422870910"/>
        <w:rPr>
          <w:rFonts w:eastAsia="Times New Roman" w:cs="Times New Roman"/>
          <w:color w:val="1D4A74"/>
        </w:rPr>
      </w:pPr>
    </w:p>
    <w:p w:rsidR="00105798" w:rsidRPr="00105798" w:rsidRDefault="000905BC">
      <w:pPr>
        <w:divId w:val="1422870910"/>
        <w:rPr>
          <w:rFonts w:eastAsia="Times New Roman" w:cs="Times New Roman"/>
          <w:color w:val="1D4A74"/>
        </w:rPr>
      </w:pPr>
    </w:p>
    <w:p w:rsidR="00105798" w:rsidRPr="00F03BA1" w:rsidRDefault="000905BC"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0905BC">
      <w:pPr>
        <w:pStyle w:val="x00-cover-date"/>
        <w:divId w:val="753093417"/>
        <w:rPr>
          <w:rFonts w:cs="Times New Roman"/>
        </w:rPr>
      </w:pPr>
    </w:p>
    <w:p w:rsidR="00105798" w:rsidRDefault="000905BC">
      <w:pPr>
        <w:pStyle w:val="x00-cover-date"/>
        <w:divId w:val="753093417"/>
        <w:rPr>
          <w:rFonts w:cs="Times New Roman"/>
        </w:rPr>
      </w:pPr>
    </w:p>
    <w:p w:rsidR="00105798" w:rsidRDefault="000905BC">
      <w:pPr>
        <w:pStyle w:val="x00-cover-date"/>
        <w:divId w:val="753093417"/>
        <w:rPr>
          <w:rFonts w:cs="Times New Roman"/>
        </w:rPr>
      </w:pPr>
    </w:p>
    <w:p w:rsidR="00105798" w:rsidRDefault="000905BC" w:rsidP="00446FEA">
      <w:pPr>
        <w:pStyle w:val="x00-cover-date"/>
        <w:jc w:val="left"/>
        <w:divId w:val="753093417"/>
        <w:rPr>
          <w:rFonts w:cs="Times New Roman"/>
        </w:rPr>
      </w:pPr>
      <w:r>
        <w:rPr>
          <w:rFonts w:cs="Times New Roman"/>
        </w:rPr>
        <w:br/>
      </w:r>
    </w:p>
    <w:p w:rsidR="00105798" w:rsidRDefault="000905BC">
      <w:pPr>
        <w:pStyle w:val="x00-cover-date"/>
        <w:divId w:val="753093417"/>
        <w:rPr>
          <w:rFonts w:cs="Times New Roman"/>
        </w:rPr>
      </w:pPr>
    </w:p>
    <w:p w:rsidR="00446FEA" w:rsidRDefault="000905BC">
      <w:pPr>
        <w:pStyle w:val="x00-cover-date"/>
        <w:divId w:val="753093417"/>
        <w:rPr>
          <w:rFonts w:cs="Times New Roman"/>
        </w:rPr>
      </w:pPr>
    </w:p>
    <w:p w:rsidR="00E0132D" w:rsidRPr="00105798" w:rsidRDefault="000905BC">
      <w:pPr>
        <w:pStyle w:val="x00-cover-date"/>
        <w:divId w:val="753093417"/>
        <w:rPr>
          <w:rFonts w:cs="Times New Roman"/>
        </w:rPr>
      </w:pPr>
      <w:r>
        <w:rPr>
          <w:rFonts w:cs="Times New Roman"/>
        </w:rPr>
        <w:br/>
      </w:r>
    </w:p>
    <w:p w:rsidR="00957096" w:rsidRDefault="000905BC" w:rsidP="00957096">
      <w:pPr>
        <w:pStyle w:val="00IndicatorH1"/>
      </w:pPr>
      <w:r>
        <w:br w:type="page"/>
      </w:r>
      <w:r>
        <w:t>5.2 Percentage of patients with systolic heart failure that are prescribed appropriate medicines at discharge</w:t>
      </w:r>
    </w:p>
    <w:p w:rsidR="00957096" w:rsidRDefault="000905BC" w:rsidP="00957096">
      <w:pPr>
        <w:pStyle w:val="x01-h2"/>
        <w:rPr>
          <w:rFonts w:cs="Times New Roman"/>
        </w:rPr>
      </w:pPr>
      <w:r>
        <w:rPr>
          <w:rFonts w:cs="Times New Roman"/>
        </w:rPr>
        <w:t>Purpose</w:t>
      </w:r>
    </w:p>
    <w:p w:rsidR="00957096" w:rsidRDefault="000905BC" w:rsidP="00957096">
      <w:pPr>
        <w:pStyle w:val="x02-intro"/>
        <w:rPr>
          <w:rFonts w:cs="Times New Roman"/>
        </w:rPr>
      </w:pPr>
      <w:r>
        <w:rPr>
          <w:rFonts w:cs="Times New Roman"/>
        </w:rPr>
        <w:t>This indicator addresses the effec</w:t>
      </w:r>
      <w:r>
        <w:rPr>
          <w:rFonts w:cs="Times New Roman"/>
        </w:rPr>
        <w:t>tiveness of processes that promote appropriate pharmacotherapy for systolic heart failure (HF).</w:t>
      </w:r>
    </w:p>
    <w:p w:rsidR="00957096" w:rsidRDefault="000905BC" w:rsidP="00957096">
      <w:pPr>
        <w:pStyle w:val="x01-h2"/>
        <w:rPr>
          <w:rFonts w:cs="Times New Roman"/>
        </w:rPr>
      </w:pPr>
      <w:r>
        <w:rPr>
          <w:rFonts w:cs="Times New Roman"/>
        </w:rPr>
        <w:t>Background and evidence</w:t>
      </w:r>
    </w:p>
    <w:p w:rsidR="00957096" w:rsidRDefault="000905BC" w:rsidP="00957096">
      <w:pPr>
        <w:pStyle w:val="02Body"/>
      </w:pPr>
      <w:r>
        <w:t>Medication is the foundation of evidence-based HF management. Angiotensin converting enzyme inhibitors (ACEIs) or angiotensin receptor a</w:t>
      </w:r>
      <w:r>
        <w:t>ntagonists (ARAs) and beta-blockers increase survival, reduce hospitalisations and improve symptoms in patients with systolic HF when taken according to recommendations.</w:t>
      </w:r>
      <w:r>
        <w:rPr>
          <w:rStyle w:val="x02-superscript"/>
        </w:rPr>
        <w:t>1-4</w:t>
      </w:r>
      <w:r>
        <w:t xml:space="preserve"> However, gaps in applying HF treatment guidelines have been demonstrated in Austral</w:t>
      </w:r>
      <w:r>
        <w:t>ia.</w:t>
      </w:r>
      <w:r>
        <w:rPr>
          <w:rStyle w:val="x02-superscript"/>
        </w:rPr>
        <w:t>5-7</w:t>
      </w:r>
      <w:r>
        <w:t xml:space="preserve"> A similar issue has been demonstrated in international studies.</w:t>
      </w:r>
      <w:r>
        <w:rPr>
          <w:rStyle w:val="x02-superscript"/>
        </w:rPr>
        <w:t>8-9</w:t>
      </w:r>
      <w:r>
        <w:t xml:space="preserve"> The prescription of ACEIs/ARAs and beta-blockers at discharge from hospital has been shown to improve patient mortality and morbidity.</w:t>
      </w:r>
      <w:r>
        <w:rPr>
          <w:rStyle w:val="x02-superscript"/>
        </w:rPr>
        <w:t>10</w:t>
      </w:r>
    </w:p>
    <w:p w:rsidR="00957096" w:rsidRDefault="000905BC" w:rsidP="00957096">
      <w:pPr>
        <w:pStyle w:val="02Body"/>
      </w:pPr>
      <w:r>
        <w:t>ACEIs, unless not tolerated or contraindicate</w:t>
      </w:r>
      <w:r>
        <w:t>d, are recommended for all patients with systolic HF whether symptoms are mild, moderate or severe. ARAs may be used as an alternative in patients who do not tolerate ACEIs due to kinin-mediated adverse effects (e.g. cough).</w:t>
      </w:r>
      <w:r>
        <w:rPr>
          <w:rStyle w:val="x02-superscript"/>
        </w:rPr>
        <w:t>1-4</w:t>
      </w:r>
      <w:r>
        <w:t xml:space="preserve"> Selected beta-blockers are r</w:t>
      </w:r>
      <w:r>
        <w:t>ecommended, unless not tolerated or contraindicated, for all patients with systolic HF who remain mildly to moderately symptomatic despite appropriate doses of an ACEI.</w:t>
      </w:r>
      <w:r>
        <w:rPr>
          <w:rStyle w:val="x02-superscript"/>
        </w:rPr>
        <w:t>1-4</w:t>
      </w:r>
    </w:p>
    <w:p w:rsidR="00957096" w:rsidRDefault="000905BC" w:rsidP="00957096">
      <w:pPr>
        <w:pStyle w:val="02Body"/>
      </w:pPr>
      <w:r>
        <w:t>Ensuring appropriate medication management after discharge is a guiding principle of</w:t>
      </w:r>
      <w:r>
        <w:t xml:space="preserve"> the Australian Pharmaceutical Advisory Council Guiding Principles to Achieve Continuity in Medication Management.</w:t>
      </w:r>
      <w:r>
        <w:rPr>
          <w:rStyle w:val="x02-superscript"/>
        </w:rPr>
        <w:t>11</w:t>
      </w:r>
      <w:r>
        <w:t xml:space="preserve"> This indicator provides a measure of compliance with these guidelines. </w:t>
      </w:r>
    </w:p>
    <w:p w:rsidR="00957096" w:rsidRDefault="000905BC" w:rsidP="00957096">
      <w:pPr>
        <w:pStyle w:val="x01-h2"/>
        <w:rPr>
          <w:rFonts w:cs="Times New Roman"/>
        </w:rPr>
      </w:pPr>
      <w:r>
        <w:rPr>
          <w:rFonts w:cs="Times New Roman"/>
        </w:rPr>
        <w:t>Key definitions</w:t>
      </w:r>
    </w:p>
    <w:p w:rsidR="00957096" w:rsidRDefault="000905BC" w:rsidP="00957096">
      <w:pPr>
        <w:pStyle w:val="02Body"/>
      </w:pPr>
      <w:r>
        <w:rPr>
          <w:rStyle w:val="x02-body-bold"/>
        </w:rPr>
        <w:t>Systolic heart failure</w:t>
      </w:r>
      <w:r>
        <w:t xml:space="preserve"> refers to a weakened ability</w:t>
      </w:r>
      <w:r>
        <w:t xml:space="preserve"> of the heart to contract in systole, and is the most common type of chronic HF. It is diagnosed with a finding of a left ventricular ejection fraction (LVEF) of less than 40% on echocardiography.</w:t>
      </w:r>
      <w:r>
        <w:rPr>
          <w:rStyle w:val="x02-superscript"/>
        </w:rPr>
        <w:t>1</w:t>
      </w:r>
      <w:r>
        <w:t xml:space="preserve"> Patients should have documentation of either their HF type</w:t>
      </w:r>
      <w:r>
        <w:t xml:space="preserve"> or their LVEF in their discharge summary, so that the specific diagnosis is clear to ongoing care providers. For the purposes of this indicator, patients with no documentation of HF type or LVEF in their discharge summary are assumed to have systolic hear</w:t>
      </w:r>
      <w:r>
        <w:t>t failure.</w:t>
      </w:r>
    </w:p>
    <w:p w:rsidR="00957096" w:rsidRDefault="000905BC" w:rsidP="00957096">
      <w:pPr>
        <w:pStyle w:val="02Body"/>
      </w:pPr>
      <w:r>
        <w:rPr>
          <w:rStyle w:val="x02-body-bold"/>
        </w:rPr>
        <w:t>Appropriate medicines</w:t>
      </w:r>
      <w:r>
        <w:t xml:space="preserve"> means the patient is discharged on either an ACEI or ARA and a beta-blocker. Examples of suitable medicines from each class are shown in Table 1. If one or more of these medicine classes is not prescribed for the patient on</w:t>
      </w:r>
      <w:r>
        <w:t xml:space="preserve"> discharge then the medication regimen can only be deemed as “appropriate” if there is a documented reason in the patient’s discharge summary for omission of that class of medicine, such as a contraindication, allergy or a documented plan to initiate that </w:t>
      </w:r>
      <w:r>
        <w:t>class of medicine in the future.</w:t>
      </w:r>
    </w:p>
    <w:p w:rsidR="00957096" w:rsidRDefault="000905BC" w:rsidP="00957096">
      <w:pPr>
        <w:pStyle w:val="02Body"/>
      </w:pPr>
      <w:r>
        <w:rPr>
          <w:rStyle w:val="x02-body-bold"/>
        </w:rPr>
        <w:t>At discharge</w:t>
      </w:r>
      <w:r>
        <w:t xml:space="preserve"> means there is documentation in the discharge summary or letter at time of transfer to community, residential care or other hospital that these medicines are to be taken on an ongoing basis. A supply of the med</w:t>
      </w:r>
      <w:r>
        <w:t xml:space="preserve">icines may or may not be dispensed by the hospital. </w:t>
      </w:r>
    </w:p>
    <w:p w:rsidR="00957096" w:rsidRDefault="000905BC" w:rsidP="00957096">
      <w:pPr>
        <w:spacing w:after="0"/>
        <w:rPr>
          <w:rFonts w:cs="Times New Roman"/>
          <w:color w:val="1D4A74"/>
          <w:sz w:val="28"/>
          <w:szCs w:val="28"/>
        </w:rPr>
      </w:pPr>
      <w:r>
        <w:rPr>
          <w:rFonts w:cs="Times New Roman"/>
        </w:rPr>
        <w:br w:type="page"/>
      </w:r>
    </w:p>
    <w:p w:rsidR="00957096" w:rsidRDefault="000905BC" w:rsidP="00957096">
      <w:pPr>
        <w:pStyle w:val="x03-figure-heading"/>
        <w:rPr>
          <w:rFonts w:cs="Times New Roman"/>
        </w:rPr>
      </w:pPr>
      <w:r>
        <w:rPr>
          <w:rFonts w:cs="Times New Roman"/>
        </w:rPr>
        <w:t>Table 1. Appropriate medicines: medicine classes and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tblPr>
      <w:tblGrid>
        <w:gridCol w:w="1497"/>
        <w:gridCol w:w="7027"/>
      </w:tblGrid>
      <w:tr w:rsidR="00957096">
        <w:trPr>
          <w:tblHeader/>
        </w:trPr>
        <w:tc>
          <w:tcPr>
            <w:tcW w:w="0" w:type="auto"/>
            <w:shd w:val="clear" w:color="auto" w:fill="1D4A74"/>
          </w:tcPr>
          <w:p w:rsidR="00957096" w:rsidRDefault="000905BC" w:rsidP="00852DB6">
            <w:pPr>
              <w:pStyle w:val="x04-table-head-l"/>
              <w:rPr>
                <w:rFonts w:cs="Times New Roman"/>
              </w:rPr>
            </w:pPr>
            <w:r>
              <w:rPr>
                <w:rFonts w:cs="Times New Roman"/>
              </w:rPr>
              <w:t>Medicine class</w:t>
            </w:r>
          </w:p>
        </w:tc>
        <w:tc>
          <w:tcPr>
            <w:tcW w:w="0" w:type="auto"/>
            <w:shd w:val="clear" w:color="auto" w:fill="1D4A74"/>
          </w:tcPr>
          <w:p w:rsidR="00957096" w:rsidRDefault="000905BC" w:rsidP="00852DB6">
            <w:pPr>
              <w:pStyle w:val="x04-table-head-l"/>
              <w:rPr>
                <w:rFonts w:cs="Times New Roman"/>
              </w:rPr>
            </w:pPr>
            <w:r>
              <w:rPr>
                <w:rFonts w:cs="Times New Roman"/>
              </w:rPr>
              <w:t>Examples of appropriate medicines available in Australia</w:t>
            </w:r>
          </w:p>
        </w:tc>
      </w:tr>
      <w:tr w:rsidR="00957096">
        <w:tc>
          <w:tcPr>
            <w:tcW w:w="0" w:type="auto"/>
          </w:tcPr>
          <w:p w:rsidR="00957096" w:rsidRDefault="000905BC" w:rsidP="00E71EDF">
            <w:pPr>
              <w:pStyle w:val="02Body"/>
            </w:pPr>
            <w:r>
              <w:rPr>
                <w:rStyle w:val="x02-body-bold"/>
              </w:rPr>
              <w:t>ACEIs*</w:t>
            </w:r>
          </w:p>
          <w:p w:rsidR="00957096" w:rsidRDefault="000905BC" w:rsidP="00E71EDF">
            <w:pPr>
              <w:pStyle w:val="02Body"/>
            </w:pPr>
            <w:r>
              <w:rPr>
                <w:rStyle w:val="x02-body-bold"/>
              </w:rPr>
              <w:t>OR</w:t>
            </w:r>
          </w:p>
          <w:p w:rsidR="00957096" w:rsidRDefault="000905BC" w:rsidP="00E71EDF">
            <w:pPr>
              <w:pStyle w:val="02Body"/>
            </w:pPr>
            <w:r>
              <w:rPr>
                <w:rStyle w:val="x02-body-bold"/>
              </w:rPr>
              <w:t>ARAs*</w:t>
            </w:r>
          </w:p>
        </w:tc>
        <w:tc>
          <w:tcPr>
            <w:tcW w:w="0" w:type="auto"/>
          </w:tcPr>
          <w:p w:rsidR="00957096" w:rsidRDefault="000905BC" w:rsidP="00E71EDF">
            <w:pPr>
              <w:pStyle w:val="02Body"/>
            </w:pPr>
            <w:r>
              <w:t xml:space="preserve">captopril, enalapril, fosinopril, lisinopril, </w:t>
            </w:r>
            <w:r>
              <w:t>perindopril, quinapril, ramipril, trandolapril</w:t>
            </w:r>
          </w:p>
          <w:p w:rsidR="00957096" w:rsidRDefault="000905BC" w:rsidP="00E71EDF">
            <w:pPr>
              <w:pStyle w:val="02Body"/>
            </w:pPr>
            <w:r>
              <w:t>OR</w:t>
            </w:r>
          </w:p>
          <w:p w:rsidR="00957096" w:rsidRDefault="000905BC" w:rsidP="00E71EDF">
            <w:pPr>
              <w:pStyle w:val="02Body"/>
            </w:pPr>
            <w:r>
              <w:t>candesartan, eprosartan, irbesartan, losartan, olmesartan, telmisartan, valsartan</w:t>
            </w:r>
          </w:p>
        </w:tc>
      </w:tr>
      <w:tr w:rsidR="00957096">
        <w:tc>
          <w:tcPr>
            <w:tcW w:w="0" w:type="auto"/>
          </w:tcPr>
          <w:p w:rsidR="00957096" w:rsidRDefault="000905BC" w:rsidP="00E71EDF">
            <w:pPr>
              <w:pStyle w:val="02Body"/>
            </w:pPr>
            <w:r>
              <w:rPr>
                <w:rStyle w:val="x02-body-bold"/>
              </w:rPr>
              <w:t xml:space="preserve">Beta-blockers </w:t>
            </w:r>
          </w:p>
        </w:tc>
        <w:tc>
          <w:tcPr>
            <w:tcW w:w="0" w:type="auto"/>
          </w:tcPr>
          <w:p w:rsidR="00957096" w:rsidRDefault="000905BC" w:rsidP="00E71EDF">
            <w:pPr>
              <w:pStyle w:val="02Body"/>
            </w:pPr>
            <w:r>
              <w:t>bisoprolol, carvedilol, metoprolol (extended release formulation), nebivolol**</w:t>
            </w:r>
          </w:p>
        </w:tc>
      </w:tr>
    </w:tbl>
    <w:p w:rsidR="00957096" w:rsidRDefault="000905BC" w:rsidP="00957096">
      <w:pPr>
        <w:pStyle w:val="x04-footnotes"/>
        <w:rPr>
          <w:rFonts w:cs="Times New Roman"/>
        </w:rPr>
      </w:pPr>
      <w:r>
        <w:rPr>
          <w:rFonts w:cs="Times New Roman"/>
        </w:rPr>
        <w:t xml:space="preserve">* Although not all agents </w:t>
      </w:r>
      <w:r>
        <w:rPr>
          <w:rFonts w:cs="Times New Roman"/>
        </w:rPr>
        <w:t>have been studied in HF patients the clinical effects of the agents within each drug class are generally considered to be similar.</w:t>
      </w:r>
      <w:r>
        <w:rPr>
          <w:rStyle w:val="x02-superscript"/>
          <w:rFonts w:cs="Times New Roman"/>
        </w:rPr>
        <w:t>12</w:t>
      </w:r>
      <w:r>
        <w:rPr>
          <w:rFonts w:cs="Times New Roman"/>
        </w:rPr>
        <w:t xml:space="preserve"> Most HF guidelines do not distinguish between specific ACEIs or specific ARAs despite variations in approved (licensed) ind</w:t>
      </w:r>
      <w:r>
        <w:rPr>
          <w:rFonts w:cs="Times New Roman"/>
        </w:rPr>
        <w:t>ications in Australia.</w:t>
      </w:r>
      <w:r>
        <w:rPr>
          <w:rStyle w:val="x02-superscript"/>
          <w:rFonts w:cs="Times New Roman"/>
        </w:rPr>
        <w:t>1-4,12,13</w:t>
      </w:r>
    </w:p>
    <w:p w:rsidR="00957096" w:rsidRDefault="000905BC" w:rsidP="00957096">
      <w:pPr>
        <w:pStyle w:val="x04-footnotes"/>
        <w:rPr>
          <w:rFonts w:cs="Times New Roman"/>
        </w:rPr>
      </w:pPr>
      <w:r>
        <w:rPr>
          <w:rFonts w:cs="Times New Roman"/>
        </w:rPr>
        <w:t>** Nebivolol may be considered an appropriate beta-blocker in patients aged 70 years or older.</w:t>
      </w:r>
      <w:r>
        <w:rPr>
          <w:rStyle w:val="x02-superscript"/>
          <w:rFonts w:cs="Times New Roman"/>
        </w:rPr>
        <w:t>1</w:t>
      </w:r>
    </w:p>
    <w:p w:rsidR="00957096" w:rsidRDefault="000905BC" w:rsidP="00957096">
      <w:pPr>
        <w:pStyle w:val="x01-h2"/>
        <w:rPr>
          <w:rFonts w:cs="Times New Roman"/>
        </w:rPr>
      </w:pPr>
      <w:r>
        <w:rPr>
          <w:rFonts w:cs="Times New Roman"/>
        </w:rPr>
        <w:t>Data collection for local use</w:t>
      </w:r>
    </w:p>
    <w:p w:rsidR="00957096" w:rsidRDefault="000905BC" w:rsidP="00957096">
      <w:pPr>
        <w:pStyle w:val="02Body"/>
      </w:pPr>
      <w:r>
        <w:t xml:space="preserve">Please refer to the section </w:t>
      </w:r>
      <w:r>
        <w:rPr>
          <w:rStyle w:val="x02-body-italic"/>
        </w:rPr>
        <w:t xml:space="preserve">Using the National Quality Use of Medicines Indicators for Australian </w:t>
      </w:r>
      <w:r>
        <w:rPr>
          <w:rStyle w:val="x02-body-italic"/>
        </w:rPr>
        <w:t>Hospitals</w:t>
      </w:r>
      <w:r>
        <w:t xml:space="preserve"> for guidance on sample selection, sample size, measurement frequency and other considerations. </w:t>
      </w:r>
    </w:p>
    <w:p w:rsidR="00957096" w:rsidRDefault="000905BC" w:rsidP="00957096">
      <w:pPr>
        <w:pStyle w:val="02Body"/>
      </w:pPr>
      <w:r>
        <w:rPr>
          <w:rStyle w:val="x02-body-bold"/>
        </w:rPr>
        <w:t>Inclusion criteria:</w:t>
      </w:r>
      <w:r>
        <w:t xml:space="preserve"> Patients aged 18 years and over with either a principle or secondary diagnosis of HF (according to ICD coding).</w:t>
      </w:r>
    </w:p>
    <w:p w:rsidR="00957096" w:rsidRDefault="000905BC" w:rsidP="00957096">
      <w:pPr>
        <w:pStyle w:val="NormalWeb"/>
      </w:pPr>
      <w:r>
        <w:rPr>
          <w:rStyle w:val="x02-body-bold"/>
        </w:rPr>
        <w:t>Exclusion criteria</w:t>
      </w:r>
      <w:r>
        <w:rPr>
          <w:rStyle w:val="x02-body-bold"/>
        </w:rPr>
        <w:t>:</w:t>
      </w:r>
      <w:r>
        <w:t xml:space="preserve"> Patients with diastolic HF or LVEF &gt;40% documented in the discharge summary; patients receiving clinical trial medicines; patients discharged against medical advice; and patients receiving palliative/end of life care.</w:t>
      </w:r>
    </w:p>
    <w:p w:rsidR="00957096" w:rsidRDefault="000905BC" w:rsidP="00957096">
      <w:pPr>
        <w:pStyle w:val="NormalWeb"/>
      </w:pPr>
      <w:r>
        <w:rPr>
          <w:rStyle w:val="x02-body-bold"/>
        </w:rPr>
        <w:t>Recommended data sources:</w:t>
      </w:r>
      <w:r>
        <w:t xml:space="preserve"> Discharge </w:t>
      </w:r>
      <w:r>
        <w:t xml:space="preserve">referral documentation. </w:t>
      </w:r>
    </w:p>
    <w:p w:rsidR="00957096" w:rsidRDefault="000905BC" w:rsidP="00957096">
      <w:pPr>
        <w:pStyle w:val="NormalWeb"/>
      </w:pPr>
      <w:r>
        <w:t>The data collection tool for QUM Indicator 5.2 assists data collection and indicator calculation.</w:t>
      </w:r>
    </w:p>
    <w:p w:rsidR="00957096" w:rsidRDefault="000905BC" w:rsidP="00957096">
      <w:pPr>
        <w:pStyle w:val="x01-h2"/>
        <w:rPr>
          <w:rFonts w:cs="Times New Roman"/>
        </w:rPr>
      </w:pPr>
      <w:r>
        <w:rPr>
          <w:rFonts w:cs="Times New Roman"/>
        </w:rPr>
        <w:t>Data collection for inter-hospital comparison</w:t>
      </w:r>
    </w:p>
    <w:p w:rsidR="00957096" w:rsidRDefault="000905BC" w:rsidP="00957096">
      <w:pPr>
        <w:pStyle w:val="02Body"/>
      </w:pPr>
      <w:r>
        <w:t>This indicator may be suitable for inter-hospital comparison. In this case, definitions</w:t>
      </w:r>
      <w:r>
        <w:t>, sampling methods and guidelines for audit and reporting need to be agreed in advance in consultation with the coordinating agency.</w:t>
      </w:r>
    </w:p>
    <w:p w:rsidR="00957096" w:rsidRDefault="000905BC" w:rsidP="00957096">
      <w:pPr>
        <w:pStyle w:val="x01-h2"/>
        <w:rPr>
          <w:rFonts w:cs="Times New Roman"/>
        </w:rPr>
      </w:pPr>
      <w:r>
        <w:rPr>
          <w:rFonts w:cs="Times New Roman"/>
        </w:rPr>
        <w:t>Indicator calculation</w:t>
      </w:r>
    </w:p>
    <w:p w:rsidR="00957096" w:rsidRDefault="000905BC" w:rsidP="00957096">
      <w:pPr>
        <w:pStyle w:val="02Body"/>
      </w:pPr>
      <w:r>
        <w:rPr>
          <w:noProof/>
          <w:lang w:val="en-US"/>
        </w:rPr>
        <w:drawing>
          <wp:inline distT="0" distB="0" distL="0" distR="0">
            <wp:extent cx="1795272" cy="652272"/>
            <wp:effectExtent l="0" t="0" r="825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957096" w:rsidRDefault="000905BC" w:rsidP="00957096">
      <w:pPr>
        <w:pStyle w:val="02Body"/>
      </w:pPr>
      <w:r>
        <w:rPr>
          <w:rStyle w:val="x02-body-bold"/>
        </w:rPr>
        <w:t>Numerator</w:t>
      </w:r>
      <w:r>
        <w:t xml:space="preserve"> = Number of patients with systolic HF that are prescribed appropriate medicines at discha</w:t>
      </w:r>
      <w:r>
        <w:t>rge</w:t>
      </w:r>
    </w:p>
    <w:p w:rsidR="00957096" w:rsidRDefault="000905BC" w:rsidP="00957096">
      <w:pPr>
        <w:pStyle w:val="02Body"/>
      </w:pPr>
      <w:r>
        <w:rPr>
          <w:rStyle w:val="x02-body-bold"/>
        </w:rPr>
        <w:t>Denominator</w:t>
      </w:r>
      <w:r>
        <w:t xml:space="preserve"> = Number of patients with systolic HF in sample</w:t>
      </w:r>
    </w:p>
    <w:p w:rsidR="00957096" w:rsidRDefault="000905BC" w:rsidP="00957096">
      <w:pPr>
        <w:pStyle w:val="x01-h2"/>
        <w:rPr>
          <w:rFonts w:cs="Times New Roman"/>
        </w:rPr>
      </w:pPr>
      <w:r>
        <w:rPr>
          <w:rFonts w:cs="Times New Roman"/>
        </w:rPr>
        <w:t>Limitations and interpretation</w:t>
      </w:r>
    </w:p>
    <w:p w:rsidR="00957096" w:rsidRDefault="000905BC" w:rsidP="00957096">
      <w:pPr>
        <w:pStyle w:val="02Body"/>
      </w:pPr>
      <w:r>
        <w:t xml:space="preserve">This indicator looks at a bundle of care, not individual medicines. However it is recommended that individual components of the indicator are also collected to </w:t>
      </w:r>
      <w:r>
        <w:t>inform post-audit interventions.</w:t>
      </w:r>
    </w:p>
    <w:p w:rsidR="00957096" w:rsidRDefault="000905BC" w:rsidP="00957096">
      <w:pPr>
        <w:pStyle w:val="02Body"/>
      </w:pPr>
      <w:r>
        <w:t>All patients with suspected HF should undergo an echocardiogram to determine the HF type and guide management.</w:t>
      </w:r>
      <w:r>
        <w:rPr>
          <w:rStyle w:val="x02-superscript"/>
        </w:rPr>
        <w:t>1</w:t>
      </w:r>
      <w:r>
        <w:t xml:space="preserve"> The patient’s LVEF or HF type should be clearly documented in the discharge summary to inform the patient’s ong</w:t>
      </w:r>
      <w:r>
        <w:t>oing management plan. Effective communication during transitions of care is a critical component of continuity in medication management.</w:t>
      </w:r>
      <w:r>
        <w:rPr>
          <w:rStyle w:val="x02-superscript"/>
        </w:rPr>
        <w:t>11</w:t>
      </w:r>
      <w:r>
        <w:t xml:space="preserve"> Furthermore, under-use of echocardiography is recognised as a gap in the current management of HF patients in Austral</w:t>
      </w:r>
      <w:r>
        <w:t>ia.</w:t>
      </w:r>
      <w:r>
        <w:rPr>
          <w:rStyle w:val="x02-superscript"/>
        </w:rPr>
        <w:t>1</w:t>
      </w:r>
      <w:r>
        <w:t xml:space="preserve"> Therefore this indicator assumes that where an HF type or LVEF has not been explicitly documented, the type of HF has not been determined. It is recommended that the rate of undocumented LVEF or HF type is recorded to inform post-audit interventions. </w:t>
      </w:r>
      <w:r>
        <w:t>It may also be informative to look at the data on medicine use in patients with documented systolic HF separately from those with undocumented HF type.</w:t>
      </w:r>
    </w:p>
    <w:p w:rsidR="00957096" w:rsidRDefault="000905BC" w:rsidP="00957096">
      <w:pPr>
        <w:pStyle w:val="NormalWeb"/>
      </w:pPr>
      <w:r>
        <w:t xml:space="preserve">This indicator does not assess appropriate therapy in patients with HF with preserved systolic function </w:t>
      </w:r>
      <w:r>
        <w:t>(LVEF &gt;40%) for which there is no conclusive data regarding the efficacy of any medicine class.</w:t>
      </w:r>
      <w:r>
        <w:rPr>
          <w:rStyle w:val="x02-superscript"/>
        </w:rPr>
        <w:t>1</w:t>
      </w:r>
      <w:r>
        <w:t xml:space="preserve"> This indicator does not take into consideration evidence-based dosing of the individual medicines.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957096">
        <w:tc>
          <w:tcPr>
            <w:tcW w:w="10132" w:type="dxa"/>
            <w:shd w:val="clear" w:color="auto" w:fill="DCF1F6"/>
          </w:tcPr>
          <w:p w:rsidR="00957096" w:rsidRDefault="000905BC" w:rsidP="00852DB6">
            <w:pPr>
              <w:pStyle w:val="x01-h2"/>
              <w:rPr>
                <w:rFonts w:cs="Times New Roman"/>
              </w:rPr>
            </w:pPr>
            <w:r>
              <w:rPr>
                <w:rFonts w:cs="Times New Roman"/>
              </w:rPr>
              <w:t>Further information</w:t>
            </w:r>
          </w:p>
          <w:p w:rsidR="00957096" w:rsidRDefault="000905BC" w:rsidP="00852DB6">
            <w:pPr>
              <w:pStyle w:val="02Body"/>
            </w:pPr>
            <w:r>
              <w:t>Medication Safety Self Assessment for Au</w:t>
            </w:r>
            <w:r>
              <w:t>stralian Hospitals</w:t>
            </w:r>
            <w:r>
              <w:rPr>
                <w:rStyle w:val="x02-superscript"/>
              </w:rPr>
              <w:t>14</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8" w:history="1">
              <w:r w:rsidRPr="00852DB6">
                <w:rPr>
                  <w:rStyle w:val="x02-url"/>
                </w:rPr>
                <w:t>www.cec.health.nsw.gov.au</w:t>
              </w:r>
            </w:hyperlink>
          </w:p>
          <w:p w:rsidR="00957096" w:rsidRDefault="000905BC" w:rsidP="00852DB6">
            <w:pPr>
              <w:pStyle w:val="02Body"/>
            </w:pPr>
            <w:r>
              <w:t>This indicator can be used to assist hospitals in meeting the National Safety and Quality Health Service Standard 1 [items 1.2.1, 1.2.2, 1.5.2, 1.6.1, 1.6.2, 1.7.2] and Standard 4 [items 4.1.2, 4.2.2</w:t>
            </w:r>
            <w:r>
              <w:t>, 4.5.1, 4.5.2, 4.12.4].</w:t>
            </w:r>
            <w:r>
              <w:rPr>
                <w:rStyle w:val="x02-superscript"/>
              </w:rPr>
              <w:t>15</w:t>
            </w:r>
          </w:p>
        </w:tc>
      </w:tr>
    </w:tbl>
    <w:p w:rsidR="00957096" w:rsidRDefault="000905BC" w:rsidP="00957096">
      <w:pPr>
        <w:pStyle w:val="x04-footnotes"/>
        <w:spacing w:before="240"/>
        <w:rPr>
          <w:rFonts w:cs="Times New Roman"/>
        </w:rPr>
      </w:pPr>
      <w:r>
        <w:rPr>
          <w:rStyle w:val="x02-body-bold"/>
          <w:rFonts w:cs="Times New Roman"/>
        </w:rPr>
        <w:t>References</w:t>
      </w:r>
    </w:p>
    <w:p w:rsidR="00957096" w:rsidRDefault="000905BC" w:rsidP="00957096">
      <w:pPr>
        <w:pStyle w:val="x04-footnotes"/>
        <w:ind w:left="142" w:hanging="142"/>
        <w:rPr>
          <w:rFonts w:cs="Times New Roman"/>
        </w:rPr>
      </w:pPr>
      <w:r>
        <w:rPr>
          <w:rFonts w:cs="Times New Roman"/>
        </w:rPr>
        <w:t>1. National Heart Foundation and the Cardiac Society of Australia and New Zealand Chronic Heart Failure Guidelines Expert Writing Panel. Guidelines for the Prevention, Detection and Management of Chronic Heart Failure</w:t>
      </w:r>
      <w:r>
        <w:rPr>
          <w:rFonts w:cs="Times New Roman"/>
        </w:rPr>
        <w:t xml:space="preserve"> in Australia. National Heart Foundation of Australia and the Cardiac Society of Australia and New Zealand 2011.</w:t>
      </w:r>
    </w:p>
    <w:p w:rsidR="00957096" w:rsidRDefault="000905BC" w:rsidP="00957096">
      <w:pPr>
        <w:pStyle w:val="x04-footnotes"/>
        <w:ind w:left="142" w:hanging="142"/>
        <w:rPr>
          <w:rFonts w:cs="Times New Roman"/>
        </w:rPr>
      </w:pPr>
      <w:r>
        <w:rPr>
          <w:rFonts w:cs="Times New Roman"/>
        </w:rPr>
        <w:t>2. Heart Failure Society of America. 2010 Comprehensive Heart Failure Practice Guideline. J Cardiac Fail 2010; 16: e1-e194.</w:t>
      </w:r>
    </w:p>
    <w:p w:rsidR="00957096" w:rsidRDefault="000905BC" w:rsidP="00957096">
      <w:pPr>
        <w:pStyle w:val="x04-footnotes"/>
        <w:ind w:left="142" w:hanging="142"/>
        <w:rPr>
          <w:rFonts w:cs="Times New Roman"/>
        </w:rPr>
      </w:pPr>
      <w:r>
        <w:rPr>
          <w:rFonts w:cs="Times New Roman"/>
        </w:rPr>
        <w:t>3. The Task Force f</w:t>
      </w:r>
      <w:r>
        <w:rPr>
          <w:rFonts w:cs="Times New Roman"/>
        </w:rPr>
        <w:t>or the Diagnosis and Treatment of Acute and Chronic Heart Failure 2012 of the European Society of Cardiology. ESC Guidelines for the Diagnosis and Treatment of Acute and Chronic Heart Failure 2012. Eur Heart J 2012; 33: 1787–1847.</w:t>
      </w:r>
    </w:p>
    <w:p w:rsidR="00957096" w:rsidRDefault="000905BC" w:rsidP="00957096">
      <w:pPr>
        <w:pStyle w:val="x04-footnotes"/>
        <w:ind w:left="142" w:hanging="142"/>
        <w:rPr>
          <w:rFonts w:cs="Times New Roman"/>
        </w:rPr>
      </w:pPr>
      <w:r>
        <w:rPr>
          <w:rFonts w:cs="Times New Roman"/>
        </w:rPr>
        <w:t xml:space="preserve">4. American College of </w:t>
      </w:r>
      <w:r>
        <w:rPr>
          <w:rFonts w:cs="Times New Roman"/>
        </w:rPr>
        <w:t>Cardiology Foundation/American Heart Association Task Force on Practice Guidelines. 2009 focused update incorporated into the ACC/AHA 2005 Guidelines for the Diagnosis and Management of Heart Failure in Adults. Circulation 2009; 119: e391-e479.</w:t>
      </w:r>
    </w:p>
    <w:p w:rsidR="00957096" w:rsidRDefault="000905BC" w:rsidP="00957096">
      <w:pPr>
        <w:pStyle w:val="x04-footnotes"/>
        <w:ind w:left="142" w:hanging="142"/>
        <w:rPr>
          <w:rFonts w:cs="Times New Roman"/>
        </w:rPr>
      </w:pPr>
      <w:r>
        <w:rPr>
          <w:rFonts w:cs="Times New Roman"/>
        </w:rPr>
        <w:t>5. National</w:t>
      </w:r>
      <w:r>
        <w:rPr>
          <w:rFonts w:cs="Times New Roman"/>
        </w:rPr>
        <w:t xml:space="preserve"> Institute of Clinical Studies. Evidence-Practice Report Volume 1:A Review of Developments:2004-2007. Canberra: National Health and Medical Research Council, 2008</w:t>
      </w:r>
    </w:p>
    <w:p w:rsidR="00957096" w:rsidRDefault="000905BC" w:rsidP="00957096">
      <w:pPr>
        <w:pStyle w:val="x04-footnotes"/>
        <w:ind w:left="142" w:hanging="142"/>
        <w:rPr>
          <w:rFonts w:cs="Times New Roman"/>
        </w:rPr>
      </w:pPr>
      <w:r>
        <w:rPr>
          <w:rFonts w:cs="Times New Roman"/>
        </w:rPr>
        <w:t>6. Wiseman R, Scully AM and Caspers H. Quality Use of Medicines for Cardiovascular Health. Na</w:t>
      </w:r>
      <w:r>
        <w:rPr>
          <w:rFonts w:cs="Times New Roman"/>
        </w:rPr>
        <w:t>tional Heart Foundation of Australia, 2006.</w:t>
      </w:r>
    </w:p>
    <w:p w:rsidR="00957096" w:rsidRDefault="000905BC" w:rsidP="00957096">
      <w:pPr>
        <w:pStyle w:val="x04-footnotes"/>
        <w:ind w:left="142" w:hanging="142"/>
        <w:rPr>
          <w:rFonts w:cs="Times New Roman"/>
        </w:rPr>
      </w:pPr>
      <w:r>
        <w:rPr>
          <w:rFonts w:cs="Times New Roman"/>
        </w:rPr>
        <w:t>7. Senes S and Penm E. Medicines for Cardiovascular Health: Are They Used Appropriately? Australian Institute of Health and Welfare, 2007.</w:t>
      </w:r>
    </w:p>
    <w:p w:rsidR="00957096" w:rsidRDefault="000905BC" w:rsidP="00957096">
      <w:pPr>
        <w:pStyle w:val="x04-footnotes"/>
        <w:ind w:left="142" w:hanging="142"/>
        <w:rPr>
          <w:rFonts w:cs="Times New Roman"/>
        </w:rPr>
      </w:pPr>
      <w:r>
        <w:rPr>
          <w:rFonts w:cs="Times New Roman"/>
        </w:rPr>
        <w:t>8. Rodgers JE, Stough WG. Underutilization of evidence-based therapies in</w:t>
      </w:r>
      <w:r>
        <w:rPr>
          <w:rFonts w:cs="Times New Roman"/>
        </w:rPr>
        <w:t xml:space="preserve"> heart failure: the pharmacist’s role. Pharmacother 2007; 27(4): S18-S28.</w:t>
      </w:r>
    </w:p>
    <w:p w:rsidR="00957096" w:rsidRDefault="000905BC" w:rsidP="00957096">
      <w:pPr>
        <w:pStyle w:val="x04-footnotes"/>
        <w:ind w:left="142" w:hanging="142"/>
        <w:rPr>
          <w:rFonts w:cs="Times New Roman"/>
        </w:rPr>
      </w:pPr>
      <w:r>
        <w:rPr>
          <w:rFonts w:cs="Times New Roman"/>
        </w:rPr>
        <w:t>9. Calvin JE, Shanbhag S, Avery E, et al. Adherence to evidence based guidelines for heart failure in physicians and their patients: Lessons from the heart failure adherence retentio</w:t>
      </w:r>
      <w:r>
        <w:rPr>
          <w:rFonts w:cs="Times New Roman"/>
        </w:rPr>
        <w:t>n trial (HART). Congest Heart Fail 2012; 18: 73-78.</w:t>
      </w:r>
    </w:p>
    <w:p w:rsidR="00957096" w:rsidRDefault="000905BC" w:rsidP="00957096">
      <w:pPr>
        <w:pStyle w:val="x04-footnotes"/>
        <w:ind w:left="142" w:hanging="142"/>
        <w:rPr>
          <w:rFonts w:cs="Times New Roman"/>
        </w:rPr>
      </w:pPr>
      <w:r>
        <w:rPr>
          <w:rFonts w:cs="Times New Roman"/>
        </w:rPr>
        <w:t xml:space="preserve">10. Fonarow GC, Abraham WT, Albert NM, et al. for the OPTIMIZE-HF Investigators and Hospitals. Association between performance measures and clinical outcomes for patients hospitalized with heart failure. </w:t>
      </w:r>
      <w:r>
        <w:rPr>
          <w:rFonts w:cs="Times New Roman"/>
        </w:rPr>
        <w:t>JAMA 2007; 297(1): 61-70.</w:t>
      </w:r>
    </w:p>
    <w:p w:rsidR="00957096" w:rsidRDefault="000905BC" w:rsidP="00957096">
      <w:pPr>
        <w:pStyle w:val="x04-footnotes"/>
        <w:ind w:left="142" w:hanging="142"/>
        <w:rPr>
          <w:rFonts w:cs="Times New Roman"/>
        </w:rPr>
      </w:pPr>
      <w:r>
        <w:rPr>
          <w:rFonts w:cs="Times New Roman"/>
        </w:rPr>
        <w:t>11. Guiding Principles to Achieve Continuity in Medication Management. Australian Pharmaceutical Advisory Council, 2005.</w:t>
      </w:r>
    </w:p>
    <w:p w:rsidR="00957096" w:rsidRDefault="000905BC" w:rsidP="00957096">
      <w:pPr>
        <w:pStyle w:val="x04-footnotes"/>
        <w:ind w:left="142" w:hanging="142"/>
        <w:rPr>
          <w:rFonts w:cs="Times New Roman"/>
        </w:rPr>
      </w:pPr>
      <w:r>
        <w:rPr>
          <w:rFonts w:cs="Times New Roman"/>
        </w:rPr>
        <w:t>12. Australian Medicines Handbook. Australian Medicines Handbook Pty Ltd, 2012.</w:t>
      </w:r>
    </w:p>
    <w:p w:rsidR="00957096" w:rsidRDefault="000905BC" w:rsidP="00957096">
      <w:pPr>
        <w:pStyle w:val="x04-footnotes"/>
        <w:ind w:left="142" w:hanging="142"/>
        <w:rPr>
          <w:rFonts w:cs="Times New Roman"/>
        </w:rPr>
      </w:pPr>
      <w:r>
        <w:rPr>
          <w:rFonts w:cs="Times New Roman"/>
        </w:rPr>
        <w:t xml:space="preserve">13. eTG complete [Internet]. </w:t>
      </w:r>
      <w:r>
        <w:rPr>
          <w:rFonts w:cs="Times New Roman"/>
        </w:rPr>
        <w:t>Melbourne: Therapeutic Guidelines Ltd; 2012 February.</w:t>
      </w:r>
    </w:p>
    <w:p w:rsidR="00957096" w:rsidRDefault="000905BC" w:rsidP="00957096">
      <w:pPr>
        <w:pStyle w:val="x04-footnotes"/>
        <w:ind w:left="142" w:hanging="142"/>
        <w:rPr>
          <w:rFonts w:cs="Times New Roman"/>
        </w:rPr>
      </w:pPr>
      <w:r>
        <w:rPr>
          <w:rFonts w:cs="Times New Roman"/>
        </w:rPr>
        <w:t>14. Medication Safety Self Assessment for Australian Hospitals: Institute for Safe Medication Practices USA (Adapted for Australian use by NSW Therapeutic Advisory Group and the Clinical Excellence Comm</w:t>
      </w:r>
      <w:r>
        <w:rPr>
          <w:rFonts w:cs="Times New Roman"/>
        </w:rPr>
        <w:t xml:space="preserve">ission), 2007. </w:t>
      </w:r>
    </w:p>
    <w:p w:rsidR="00957096" w:rsidRDefault="000905BC" w:rsidP="00957096">
      <w:pPr>
        <w:pStyle w:val="x04-footnotes"/>
        <w:ind w:left="142" w:hanging="142"/>
        <w:rPr>
          <w:rFonts w:cs="Times New Roman"/>
        </w:rPr>
      </w:pPr>
      <w:r>
        <w:rPr>
          <w:rFonts w:cs="Times New Roman"/>
        </w:rPr>
        <w:t xml:space="preserve">15. Australian Commission on Safety and Quality in Health Care. National Safety and Quality Health Service Standards. Sydney, ACSQHC, 2012. </w:t>
      </w:r>
    </w:p>
    <w:p w:rsidR="00F3116D" w:rsidRDefault="000905BC" w:rsidP="0014196D">
      <w:pPr>
        <w:rPr>
          <w:rFonts w:cs="HelveticaNeue-Light"/>
          <w:color w:val="000000"/>
          <w:spacing w:val="4"/>
          <w:szCs w:val="18"/>
          <w:lang w:val="en-GB"/>
        </w:rPr>
      </w:pPr>
    </w:p>
    <w:sectPr w:rsidR="00F3116D"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5BC" w:rsidRDefault="000905BC" w:rsidP="00EC1EC9">
      <w:r>
        <w:separator/>
      </w:r>
    </w:p>
  </w:endnote>
  <w:endnote w:type="continuationSeparator" w:id="0">
    <w:p w:rsidR="000905BC" w:rsidRDefault="000905BC"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0905BC" w:rsidP="001057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3794" w:rsidRDefault="000905BC"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0905BC" w:rsidP="00EC1EC9">
    <w:pPr>
      <w:pStyle w:val="Footer"/>
      <w:framePr w:wrap="around" w:vAnchor="text" w:hAnchor="page" w:x="11035" w:y="280"/>
      <w:rPr>
        <w:rStyle w:val="PageNumber"/>
      </w:rPr>
    </w:pPr>
    <w:r w:rsidRPr="00EC1EC9">
      <w:rPr>
        <w:rStyle w:val="PageNumber"/>
      </w:rPr>
      <w:fldChar w:fldCharType="begin"/>
    </w:r>
    <w:r w:rsidRPr="00EC1EC9">
      <w:rPr>
        <w:rStyle w:val="PageNumber"/>
      </w:rPr>
      <w:instrText xml:space="preserve">PAGE  </w:instrText>
    </w:r>
    <w:r w:rsidRPr="00EC1EC9">
      <w:rPr>
        <w:rStyle w:val="PageNumber"/>
      </w:rPr>
      <w:fldChar w:fldCharType="separate"/>
    </w:r>
    <w:r>
      <w:rPr>
        <w:rStyle w:val="PageNumber"/>
        <w:noProof/>
      </w:rPr>
      <w:t>2</w:t>
    </w:r>
    <w:r w:rsidRPr="00EC1EC9">
      <w:rPr>
        <w:rStyle w:val="PageNumber"/>
      </w:rPr>
      <w:fldChar w:fldCharType="end"/>
    </w:r>
  </w:p>
  <w:p w:rsidR="00C03794" w:rsidRDefault="000905BC"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5BC" w:rsidRDefault="000905BC" w:rsidP="00EC1EC9">
      <w:r>
        <w:separator/>
      </w:r>
    </w:p>
  </w:footnote>
  <w:footnote w:type="continuationSeparator" w:id="0">
    <w:p w:rsidR="000905BC" w:rsidRDefault="000905BC"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0905BC">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0905BC">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905BC"/>
  </w:rsids>
  <m:mathPr>
    <m:mathFont m:val="@ＭＳ ゴシック"/>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1420</Words>
  <Characters>8099</Characters>
  <Application>Microsoft Macintosh Word</Application>
  <DocSecurity>0</DocSecurity>
  <Lines>67</Lines>
  <Paragraphs>16</Paragraphs>
  <ScaleCrop>false</ScaleCrop>
  <Company>gd</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4</cp:revision>
  <dcterms:created xsi:type="dcterms:W3CDTF">2014-11-17T05:12:00Z</dcterms:created>
  <dcterms:modified xsi:type="dcterms:W3CDTF">2014-11-18T21:48:00Z</dcterms:modified>
</cp:coreProperties>
</file>