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F3116D" w:rsidRDefault="00EC1EC9" w:rsidP="0014196D">
      <w:pPr>
        <w:rPr>
          <w:rFonts w:cs="HelveticaNeue-Light"/>
          <w:color w:val="000000"/>
          <w:spacing w:val="4"/>
          <w:szCs w:val="18"/>
          <w:lang w:val="en-GB"/>
        </w:rPr>
      </w:pPr>
      <w:r>
        <w:br w:type="page"/>
      </w:r>
    </w:p>
    <w:p w:rsidR="00852DB6" w:rsidRPr="00F443A4" w:rsidRDefault="00852DB6" w:rsidP="00852DB6">
      <w:pPr>
        <w:pStyle w:val="00pagetopleft"/>
      </w:pPr>
      <w:r w:rsidRPr="00F443A4">
        <w:t>Continuity of care</w:t>
      </w:r>
    </w:p>
    <w:p w:rsidR="00852DB6" w:rsidRPr="00F443A4" w:rsidRDefault="00852DB6" w:rsidP="00852DB6">
      <w:pPr>
        <w:pStyle w:val="00pagetop2right"/>
        <w:spacing w:after="0"/>
      </w:pPr>
      <w:r w:rsidRPr="00F443A4">
        <w:t>QUM domains: Safe and effective use</w:t>
      </w:r>
    </w:p>
    <w:p w:rsidR="00E0132D" w:rsidRDefault="00AE21AC" w:rsidP="00852DB6">
      <w:pPr>
        <w:pStyle w:val="00IndicatorH1"/>
      </w:pPr>
      <w:r>
        <w:t>5.5 Percentage of patients with a new adverse drug reaction (ADR) that are given written ADR information at discharge AND a copy is communicated to the primary care clinician</w:t>
      </w:r>
    </w:p>
    <w:p w:rsidR="00E0132D" w:rsidRDefault="00AE21AC">
      <w:pPr>
        <w:pStyle w:val="x01-h2"/>
        <w:rPr>
          <w:rFonts w:cs="Times New Roman"/>
        </w:rPr>
      </w:pPr>
      <w:r>
        <w:rPr>
          <w:rFonts w:cs="Times New Roman"/>
        </w:rPr>
        <w:t>Purpose</w:t>
      </w:r>
    </w:p>
    <w:p w:rsidR="00E0132D" w:rsidRDefault="00AE21AC">
      <w:pPr>
        <w:pStyle w:val="x02-intro"/>
        <w:rPr>
          <w:rFonts w:cs="Times New Roman"/>
        </w:rPr>
      </w:pPr>
      <w:r>
        <w:rPr>
          <w:rFonts w:cs="Times New Roman"/>
        </w:rPr>
        <w:t xml:space="preserve">This indicator assesses the effectiveness of processes intended to ensure that patients and their caregivers receive adequate information for safe and effective medication management after discharge. </w:t>
      </w:r>
    </w:p>
    <w:p w:rsidR="00E0132D" w:rsidRDefault="00AE21AC">
      <w:pPr>
        <w:pStyle w:val="x01-h2"/>
        <w:rPr>
          <w:rFonts w:cs="Times New Roman"/>
        </w:rPr>
      </w:pPr>
      <w:r>
        <w:rPr>
          <w:rFonts w:cs="Times New Roman"/>
        </w:rPr>
        <w:t>Background and evidence</w:t>
      </w:r>
    </w:p>
    <w:p w:rsidR="00E0132D" w:rsidRDefault="00AE21AC" w:rsidP="005B61D8">
      <w:pPr>
        <w:pStyle w:val="02Body"/>
      </w:pPr>
      <w:r>
        <w:t>An adverse drug reaction (ADR) is defined as “a response to a medicinal product which is noxious and unintended, and which occurs at doses normally used in man for the prophylaxis, diagnosis or therapy of disease, or for the restoration, correction or modification of physiological function”.</w:t>
      </w:r>
      <w:r>
        <w:rPr>
          <w:rStyle w:val="x02-superscript"/>
        </w:rPr>
        <w:t>1</w:t>
      </w:r>
      <w:r>
        <w:t xml:space="preserve"> This includes, but is not limited to, allergy and anaphylaxis to medicines.</w:t>
      </w:r>
    </w:p>
    <w:p w:rsidR="00E0132D" w:rsidRDefault="00AE21AC" w:rsidP="005B61D8">
      <w:pPr>
        <w:pStyle w:val="02Body"/>
      </w:pPr>
      <w:r>
        <w:t>Educating patients about their medicines and communication about medication management between hospital and community practitioners are guiding principles in the Australian Pharmaceutical Advisory Council Guiding Principles to Achieve Continuity in Medication Management.</w:t>
      </w:r>
      <w:r>
        <w:rPr>
          <w:rStyle w:val="x02-superscript"/>
        </w:rPr>
        <w:t>2</w:t>
      </w:r>
      <w:r>
        <w:t xml:space="preserve"> This indicator provides a measure of compliance with these guidelines. </w:t>
      </w:r>
    </w:p>
    <w:p w:rsidR="00E0132D" w:rsidRDefault="00AE21AC">
      <w:pPr>
        <w:pStyle w:val="x01-h2"/>
        <w:rPr>
          <w:rFonts w:cs="Times New Roman"/>
        </w:rPr>
      </w:pPr>
      <w:r>
        <w:rPr>
          <w:rFonts w:cs="Times New Roman"/>
        </w:rPr>
        <w:t>Key definitions</w:t>
      </w:r>
    </w:p>
    <w:p w:rsidR="00E0132D" w:rsidRDefault="00AE21AC" w:rsidP="005B61D8">
      <w:pPr>
        <w:pStyle w:val="02Body"/>
      </w:pPr>
      <w:r>
        <w:rPr>
          <w:rStyle w:val="x02-body-bold"/>
        </w:rPr>
        <w:t>A new adverse drug reaction</w:t>
      </w:r>
      <w:r>
        <w:t xml:space="preserve"> refers to any ADR that occurs for the first time during the current or most recent admission and is likely to affect future therapeutic decision making. Clinical judgement will be required in making this decision.</w:t>
      </w:r>
    </w:p>
    <w:p w:rsidR="00E0132D" w:rsidRDefault="00AE21AC" w:rsidP="005B61D8">
      <w:pPr>
        <w:pStyle w:val="02Body"/>
      </w:pPr>
      <w:r>
        <w:rPr>
          <w:rStyle w:val="x02-body-bold"/>
        </w:rPr>
        <w:t>Written ADR information</w:t>
      </w:r>
      <w:r>
        <w:t xml:space="preserve"> should include, as a minimum, the following:</w:t>
      </w:r>
    </w:p>
    <w:p w:rsidR="00E0132D" w:rsidRDefault="00AE21AC" w:rsidP="005B61D8">
      <w:pPr>
        <w:pStyle w:val="02bullet"/>
      </w:pPr>
      <w:r>
        <w:t>generic and brand names of the medicine(s) involved</w:t>
      </w:r>
    </w:p>
    <w:p w:rsidR="00E0132D" w:rsidRDefault="00AE21AC" w:rsidP="005B61D8">
      <w:pPr>
        <w:pStyle w:val="02bullet"/>
      </w:pPr>
      <w:r>
        <w:t>reaction(s) that occurred, described in lay terms e.g. rash, lip swelling, kidney failure</w:t>
      </w:r>
    </w:p>
    <w:p w:rsidR="00E0132D" w:rsidRDefault="00AE21AC" w:rsidP="005B61D8">
      <w:pPr>
        <w:pStyle w:val="02bullet"/>
      </w:pPr>
      <w:r>
        <w:t xml:space="preserve">advice about how to minimise the possibility of a future ADR to that medicine. </w:t>
      </w:r>
    </w:p>
    <w:p w:rsidR="00E0132D" w:rsidRDefault="00AE21AC" w:rsidP="005B61D8">
      <w:pPr>
        <w:pStyle w:val="02Body"/>
      </w:pPr>
      <w:r>
        <w:t xml:space="preserve">A copy of the information given to the patient should be included in the medical record, or explicit documentation made in the medical record that information was given. </w:t>
      </w:r>
    </w:p>
    <w:p w:rsidR="00E0132D" w:rsidRDefault="00AE21AC" w:rsidP="005B61D8">
      <w:pPr>
        <w:pStyle w:val="02Body"/>
      </w:pPr>
      <w:r>
        <w:rPr>
          <w:rStyle w:val="x02-body-bold"/>
        </w:rPr>
        <w:t xml:space="preserve">A copy is communicated to the primary care clinician </w:t>
      </w:r>
      <w:r>
        <w:t>means a copy of the plan is sent to the community-based health practitioner nominated by the patient, or included in the discharge summary or discharge letter. Such communication should be explicitly documented in the medical record.</w:t>
      </w:r>
    </w:p>
    <w:p w:rsidR="00E0132D" w:rsidRDefault="00AE21AC">
      <w:pPr>
        <w:pStyle w:val="x01-h2"/>
        <w:rPr>
          <w:rFonts w:cs="Times New Roman"/>
        </w:rPr>
      </w:pPr>
      <w:r>
        <w:rPr>
          <w:rFonts w:cs="Times New Roman"/>
        </w:rPr>
        <w:t>Data collection for local use</w:t>
      </w:r>
    </w:p>
    <w:p w:rsidR="00E0132D" w:rsidRDefault="00AE21AC" w:rsidP="005B61D8">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5B61D8">
      <w:pPr>
        <w:pStyle w:val="02Body"/>
      </w:pPr>
      <w:r>
        <w:rPr>
          <w:rStyle w:val="x02-body-bold"/>
        </w:rPr>
        <w:t>Inclusion criteria:</w:t>
      </w:r>
      <w:r>
        <w:t xml:space="preserve"> Adult, paediatric and neonatal patients who experience a new ADR during their hospital admission.</w:t>
      </w:r>
    </w:p>
    <w:p w:rsidR="00E0132D" w:rsidRDefault="00AE21AC" w:rsidP="005B61D8">
      <w:pPr>
        <w:pStyle w:val="02Body"/>
      </w:pPr>
      <w:r>
        <w:rPr>
          <w:rStyle w:val="x02-body-bold"/>
        </w:rPr>
        <w:t>Exclusion criteria:</w:t>
      </w:r>
      <w:r>
        <w:t xml:space="preserve"> Nil.</w:t>
      </w:r>
    </w:p>
    <w:p w:rsidR="00E0132D" w:rsidRDefault="00AE21AC">
      <w:pPr>
        <w:pStyle w:val="NormalWeb"/>
      </w:pPr>
      <w:r>
        <w:rPr>
          <w:rStyle w:val="x02-body-bold"/>
        </w:rPr>
        <w:t>Recommended data sources:</w:t>
      </w:r>
      <w:r>
        <w:t xml:space="preserve"> Medication charts, medical records and discharge documentation.</w:t>
      </w:r>
    </w:p>
    <w:p w:rsidR="00E0132D" w:rsidRDefault="00AE21AC" w:rsidP="005B61D8">
      <w:pPr>
        <w:pStyle w:val="02Body"/>
      </w:pPr>
      <w:r>
        <w:t>The data collection tool for QUM Indicator 5.5 assists data collection and indicator calculation.</w:t>
      </w:r>
    </w:p>
    <w:p w:rsidR="00E0132D" w:rsidRDefault="00AE21AC">
      <w:pPr>
        <w:pStyle w:val="x01-h2"/>
        <w:rPr>
          <w:rFonts w:cs="Times New Roman"/>
        </w:rPr>
      </w:pPr>
      <w:r>
        <w:rPr>
          <w:rFonts w:cs="Times New Roman"/>
        </w:rPr>
        <w:t>Data collection for inter-hospital comparison</w:t>
      </w:r>
    </w:p>
    <w:p w:rsidR="00E0132D" w:rsidRDefault="00AE21AC" w:rsidP="005B61D8">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5B61D8">
      <w:pPr>
        <w:pStyle w:val="x01-h2"/>
        <w:rPr>
          <w:rFonts w:cs="Times New Roman"/>
        </w:rPr>
      </w:pPr>
      <w:r>
        <w:rPr>
          <w:rFonts w:cs="Times New Roman"/>
          <w:noProof/>
          <w:lang w:val="en-US"/>
        </w:rPr>
        <w:drawing>
          <wp:inline distT="0" distB="0" distL="0" distR="0">
            <wp:extent cx="1795272" cy="652272"/>
            <wp:effectExtent l="0" t="0" r="8255"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95272" cy="652272"/>
                    </a:xfrm>
                    <a:prstGeom prst="rect">
                      <a:avLst/>
                    </a:prstGeom>
                  </pic:spPr>
                </pic:pic>
              </a:graphicData>
            </a:graphic>
          </wp:inline>
        </w:drawing>
      </w:r>
    </w:p>
    <w:p w:rsidR="00E0132D" w:rsidRDefault="00AE21AC" w:rsidP="005B61D8">
      <w:pPr>
        <w:pStyle w:val="02Body"/>
      </w:pPr>
      <w:r>
        <w:rPr>
          <w:rStyle w:val="x02-body-bold"/>
        </w:rPr>
        <w:t>Numerator</w:t>
      </w:r>
      <w:r>
        <w:t xml:space="preserve"> = Number of patients with a new ADR that were given written ADR information at discharge AND a copy was communicated to the primary care clinician</w:t>
      </w:r>
    </w:p>
    <w:p w:rsidR="00E0132D" w:rsidRDefault="00AE21AC" w:rsidP="005B61D8">
      <w:pPr>
        <w:pStyle w:val="02Body"/>
      </w:pPr>
      <w:r>
        <w:rPr>
          <w:rStyle w:val="x02-body-bold"/>
        </w:rPr>
        <w:t>Denominator</w:t>
      </w:r>
      <w:r>
        <w:t xml:space="preserve"> = Number of patients with a new ADR in sample</w:t>
      </w:r>
    </w:p>
    <w:p w:rsidR="00E0132D" w:rsidRDefault="00AE21AC">
      <w:pPr>
        <w:pStyle w:val="x01-h2"/>
        <w:rPr>
          <w:rFonts w:cs="Times New Roman"/>
        </w:rPr>
      </w:pPr>
      <w:r>
        <w:rPr>
          <w:rFonts w:cs="Times New Roman"/>
        </w:rPr>
        <w:t>Limitations and interpretation</w:t>
      </w:r>
    </w:p>
    <w:p w:rsidR="00E0132D" w:rsidRDefault="00AE21AC" w:rsidP="005B61D8">
      <w:pPr>
        <w:pStyle w:val="02Body"/>
      </w:pPr>
      <w:r>
        <w:t>This indicator relies on documentation in the medical record that relevant written information was provided. Good documentation supports quality patient care</w:t>
      </w:r>
      <w:r>
        <w:rPr>
          <w:rStyle w:val="x02-superscript"/>
        </w:rPr>
        <w:t>3</w:t>
      </w:r>
      <w:r>
        <w:t xml:space="preserve"> and is a critical component of management of adverse drug reactions. Poor communication can result in adverse medicine events.</w:t>
      </w:r>
      <w:r>
        <w:rPr>
          <w:rStyle w:val="x02-superscript"/>
        </w:rPr>
        <w:t>4</w:t>
      </w:r>
      <w:r>
        <w:t xml:space="preserve"> Thus for the purposes of this indicator, it is assumed that absence of explicit documentation means no written ADR information was provided to the patient or their primary care clinician.</w:t>
      </w:r>
    </w:p>
    <w:p w:rsidR="00E0132D" w:rsidRDefault="00AE21AC" w:rsidP="005B61D8">
      <w:pPr>
        <w:pStyle w:val="02Body"/>
      </w:pPr>
      <w:r>
        <w:t xml:space="preserve">This indicator does not measure the quality of the written information provided to patients regarding ADRs or whether the patient’s primary care clinician actually received a copy of the information. It does not measure whether other clinicians involved in the patient’s care were notified about the ADR.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5B61D8">
        <w:tc>
          <w:tcPr>
            <w:tcW w:w="10132" w:type="dxa"/>
            <w:shd w:val="clear" w:color="auto" w:fill="DCF1F6"/>
          </w:tcPr>
          <w:p w:rsidR="005B61D8" w:rsidRDefault="005B61D8" w:rsidP="005B61D8">
            <w:pPr>
              <w:pStyle w:val="x01-h2"/>
              <w:rPr>
                <w:rFonts w:cs="Times New Roman"/>
              </w:rPr>
            </w:pPr>
            <w:r>
              <w:rPr>
                <w:rFonts w:cs="Times New Roman"/>
              </w:rPr>
              <w:t>Further information</w:t>
            </w:r>
          </w:p>
          <w:p w:rsidR="005B61D8" w:rsidRDefault="005B61D8" w:rsidP="005B61D8">
            <w:pPr>
              <w:pStyle w:val="NormalWeb"/>
            </w:pPr>
            <w:r>
              <w:t>Medication Safety Self Assessment for Australian Hospitals</w:t>
            </w:r>
            <w:r>
              <w:rPr>
                <w:rStyle w:val="x02-superscript"/>
              </w:rPr>
              <w:t>5</w:t>
            </w:r>
            <w:r>
              <w:t xml:space="preserve"> (MSSA) can help identify potential strategies for improvement with this and other indicators. MSSA encourages development of robust systems for safe prescribing, dispensing, administration and monitoring of medicines. MSSA is available at </w:t>
            </w:r>
            <w:hyperlink r:id="rId8" w:history="1">
              <w:r w:rsidRPr="005B61D8">
                <w:rPr>
                  <w:rStyle w:val="x02-url"/>
                </w:rPr>
                <w:t>www.cec.health.nsw.gov.au</w:t>
              </w:r>
            </w:hyperlink>
          </w:p>
          <w:p w:rsidR="005B61D8" w:rsidRDefault="005B61D8" w:rsidP="005B61D8">
            <w:pPr>
              <w:pStyle w:val="NormalWeb"/>
            </w:pPr>
            <w:r>
              <w:t>This indicator can be used to assist hospitals in meeting the National Safety and Quality Health Service Standard 1 [items 1.2.1, 1.2.2, 1.5.2, 1.6.1, 1.6.2, 1.8.2, 1.18.1], Standard 4 [items 4.1.2, 4.2.2, 4.4.2, 4.5.1, 4.5.2, 4.7.1, 4.7.2, 4.12.4, 4.13.1] and Standard 6 [items 6.1.1, 6.2.1, 6.3.1, 6.4.1].</w:t>
            </w:r>
            <w:r>
              <w:rPr>
                <w:rStyle w:val="x02-superscript"/>
              </w:rPr>
              <w:t>6</w:t>
            </w:r>
          </w:p>
        </w:tc>
      </w:tr>
    </w:tbl>
    <w:p w:rsidR="00E0132D" w:rsidRDefault="00AE21AC" w:rsidP="005B61D8">
      <w:pPr>
        <w:pStyle w:val="x04-footnotes"/>
        <w:spacing w:before="240"/>
        <w:rPr>
          <w:rFonts w:cs="Times New Roman"/>
        </w:rPr>
      </w:pPr>
      <w:r>
        <w:rPr>
          <w:rStyle w:val="x02-body-bold"/>
          <w:rFonts w:cs="Times New Roman"/>
        </w:rPr>
        <w:t>References</w:t>
      </w:r>
    </w:p>
    <w:p w:rsidR="00E0132D" w:rsidRDefault="00AE21AC" w:rsidP="00C03794">
      <w:pPr>
        <w:pStyle w:val="x04-footnotes"/>
        <w:ind w:left="142" w:hanging="142"/>
        <w:rPr>
          <w:rFonts w:cs="Times New Roman"/>
        </w:rPr>
      </w:pPr>
      <w:r>
        <w:rPr>
          <w:rFonts w:cs="Times New Roman"/>
        </w:rPr>
        <w:t>1. Committee of Experts on Management of Safety and Quality in Health Care (SP-SQS) Expert Group on Safe Medication Practices. Glossary of terms related to patients and medication safety. World Health Organisation, 2005.</w:t>
      </w:r>
    </w:p>
    <w:p w:rsidR="00E0132D" w:rsidRDefault="00AE21AC" w:rsidP="00C03794">
      <w:pPr>
        <w:pStyle w:val="x04-footnotes"/>
        <w:ind w:left="142" w:hanging="142"/>
        <w:rPr>
          <w:rFonts w:cs="Times New Roman"/>
        </w:rPr>
      </w:pPr>
      <w:r>
        <w:rPr>
          <w:rFonts w:cs="Times New Roman"/>
        </w:rPr>
        <w:t>2. Guiding Principles to Achieve Continuity in Medication Management. Australian Pharmaceutical Advisory Council, 2005.</w:t>
      </w:r>
    </w:p>
    <w:p w:rsidR="00E0132D" w:rsidRDefault="00AE21AC" w:rsidP="00C03794">
      <w:pPr>
        <w:pStyle w:val="x04-footnotes"/>
        <w:ind w:left="142" w:hanging="142"/>
        <w:rPr>
          <w:rFonts w:cs="Times New Roman"/>
        </w:rPr>
      </w:pPr>
      <w:r>
        <w:rPr>
          <w:rFonts w:cs="Times New Roman"/>
        </w:rPr>
        <w:t>3. The Good Clinical Documentation Guide. National Centre for Classification in Health, Commonwealth of Australia, 2003.</w:t>
      </w:r>
    </w:p>
    <w:p w:rsidR="00E0132D" w:rsidRDefault="00AE21AC" w:rsidP="00C03794">
      <w:pPr>
        <w:pStyle w:val="x04-footnotes"/>
        <w:ind w:left="142" w:hanging="142"/>
        <w:rPr>
          <w:rFonts w:cs="Times New Roman"/>
        </w:rPr>
      </w:pPr>
      <w:r>
        <w:rPr>
          <w:rFonts w:cs="Times New Roman"/>
        </w:rPr>
        <w:t>4. MacKinnon NJ, ed. Safe and Effective: The Eight Essential Elements of an Optimal Medication-use System. Canadian Pharmacists Association, 2007</w:t>
      </w:r>
    </w:p>
    <w:p w:rsidR="00E0132D" w:rsidRDefault="00AE21AC" w:rsidP="00C03794">
      <w:pPr>
        <w:pStyle w:val="x04-footnotes"/>
        <w:ind w:left="142" w:hanging="142"/>
        <w:rPr>
          <w:rFonts w:cs="Times New Roman"/>
        </w:rPr>
      </w:pPr>
      <w:r>
        <w:rPr>
          <w:rFonts w:cs="Times New Roman"/>
        </w:rPr>
        <w:t xml:space="preserve">5. Medication Safety Self Assessment for Australian Hospitals: Institute for Safe Medication Practices USA (Adapted for Australian use by NSW Therapeutic Advisory Group and the Clinical Excellence Commission), 2007. </w:t>
      </w:r>
    </w:p>
    <w:p w:rsidR="00E0132D" w:rsidRDefault="00AE21AC" w:rsidP="00C03794">
      <w:pPr>
        <w:pStyle w:val="x04-footnotes"/>
        <w:ind w:left="142" w:hanging="142"/>
        <w:rPr>
          <w:rFonts w:cs="Times New Roman"/>
        </w:rPr>
      </w:pPr>
      <w:r>
        <w:rPr>
          <w:rFonts w:cs="Times New Roman"/>
        </w:rPr>
        <w:t xml:space="preserve">6. Australian Commission on Safety and Quality in Health Care. National Safety and Quality Health Service Standards. Sydney, ACSQHC, 2012. </w:t>
      </w:r>
    </w:p>
    <w:p w:rsidR="00554564" w:rsidRDefault="00554564" w:rsidP="005B61D8">
      <w:pPr>
        <w:pStyle w:val="00IndicatorH1"/>
      </w:pPr>
    </w:p>
    <w:p w:rsidR="00E0132D" w:rsidRDefault="00AE21AC" w:rsidP="00F16919">
      <w:pPr>
        <w:pStyle w:val="x04-footnotes"/>
        <w:ind w:left="142" w:hanging="142"/>
        <w:rPr>
          <w:rFonts w:cs="Times New Roman"/>
        </w:rPr>
      </w:pPr>
      <w:r>
        <w:rPr>
          <w:rFonts w:cs="Times New Roman"/>
        </w:rPr>
        <w:t xml:space="preserve"> </w:t>
      </w:r>
    </w:p>
    <w:sectPr w:rsidR="00E0132D" w:rsidSect="00EC1EC9">
      <w:headerReference w:type="default" r:id="rId9"/>
      <w:footerReference w:type="even" r:id="rId10"/>
      <w:footerReference w:type="default" r:id="rId11"/>
      <w:headerReference w:type="first" r:id="rId12"/>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221BC9"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221BC9"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B97C44">
      <w:rPr>
        <w:rStyle w:val="PageNumber"/>
        <w:noProof/>
      </w:rPr>
      <w:t>4</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710221" cy="106326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069238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8720E"/>
    <w:rsid w:val="000A56D7"/>
    <w:rsid w:val="000C57ED"/>
    <w:rsid w:val="000D2E87"/>
    <w:rsid w:val="00105798"/>
    <w:rsid w:val="001139CE"/>
    <w:rsid w:val="00136A82"/>
    <w:rsid w:val="0014196D"/>
    <w:rsid w:val="001B0B30"/>
    <w:rsid w:val="001E6744"/>
    <w:rsid w:val="00221BC9"/>
    <w:rsid w:val="002455D7"/>
    <w:rsid w:val="00251E8B"/>
    <w:rsid w:val="00265406"/>
    <w:rsid w:val="002828B9"/>
    <w:rsid w:val="002834FA"/>
    <w:rsid w:val="002B522B"/>
    <w:rsid w:val="002D346E"/>
    <w:rsid w:val="003001B0"/>
    <w:rsid w:val="00335EC6"/>
    <w:rsid w:val="00354FB7"/>
    <w:rsid w:val="003563C3"/>
    <w:rsid w:val="003C578E"/>
    <w:rsid w:val="003C6D8B"/>
    <w:rsid w:val="003E78CF"/>
    <w:rsid w:val="004018B0"/>
    <w:rsid w:val="00416186"/>
    <w:rsid w:val="00446FEA"/>
    <w:rsid w:val="00474896"/>
    <w:rsid w:val="004B0764"/>
    <w:rsid w:val="004D04BA"/>
    <w:rsid w:val="004E42AC"/>
    <w:rsid w:val="004F5233"/>
    <w:rsid w:val="00510CAF"/>
    <w:rsid w:val="00512857"/>
    <w:rsid w:val="00554564"/>
    <w:rsid w:val="00563638"/>
    <w:rsid w:val="0056365B"/>
    <w:rsid w:val="005A754B"/>
    <w:rsid w:val="005B61D8"/>
    <w:rsid w:val="005E2FCF"/>
    <w:rsid w:val="006174E8"/>
    <w:rsid w:val="00686E36"/>
    <w:rsid w:val="00697608"/>
    <w:rsid w:val="006E077D"/>
    <w:rsid w:val="00785DF5"/>
    <w:rsid w:val="007D0679"/>
    <w:rsid w:val="0083412A"/>
    <w:rsid w:val="00844813"/>
    <w:rsid w:val="00852DB6"/>
    <w:rsid w:val="00856734"/>
    <w:rsid w:val="00870BAF"/>
    <w:rsid w:val="008B244E"/>
    <w:rsid w:val="00942DAB"/>
    <w:rsid w:val="009655EA"/>
    <w:rsid w:val="00977CFB"/>
    <w:rsid w:val="00984C4F"/>
    <w:rsid w:val="009873FA"/>
    <w:rsid w:val="0099010B"/>
    <w:rsid w:val="009A2815"/>
    <w:rsid w:val="009C4991"/>
    <w:rsid w:val="009E2A33"/>
    <w:rsid w:val="009E3F64"/>
    <w:rsid w:val="009F7D89"/>
    <w:rsid w:val="00A12FF3"/>
    <w:rsid w:val="00A17C2D"/>
    <w:rsid w:val="00A879BE"/>
    <w:rsid w:val="00A90A11"/>
    <w:rsid w:val="00AA51DA"/>
    <w:rsid w:val="00AE21AC"/>
    <w:rsid w:val="00AE4D2A"/>
    <w:rsid w:val="00AE77BF"/>
    <w:rsid w:val="00AF02F8"/>
    <w:rsid w:val="00B01E77"/>
    <w:rsid w:val="00B44E16"/>
    <w:rsid w:val="00B45F6B"/>
    <w:rsid w:val="00B9692F"/>
    <w:rsid w:val="00B97C44"/>
    <w:rsid w:val="00BD4E97"/>
    <w:rsid w:val="00BD739E"/>
    <w:rsid w:val="00BE3DD8"/>
    <w:rsid w:val="00C03794"/>
    <w:rsid w:val="00C10D3A"/>
    <w:rsid w:val="00C17664"/>
    <w:rsid w:val="00C23D10"/>
    <w:rsid w:val="00C829BA"/>
    <w:rsid w:val="00C909D3"/>
    <w:rsid w:val="00CD468E"/>
    <w:rsid w:val="00D053C2"/>
    <w:rsid w:val="00D16016"/>
    <w:rsid w:val="00D162C8"/>
    <w:rsid w:val="00D47826"/>
    <w:rsid w:val="00D752D1"/>
    <w:rsid w:val="00D86BEE"/>
    <w:rsid w:val="00E0132D"/>
    <w:rsid w:val="00E21A3B"/>
    <w:rsid w:val="00E224F2"/>
    <w:rsid w:val="00E60E5E"/>
    <w:rsid w:val="00E67E14"/>
    <w:rsid w:val="00E71EDF"/>
    <w:rsid w:val="00E82D76"/>
    <w:rsid w:val="00E92548"/>
    <w:rsid w:val="00E93779"/>
    <w:rsid w:val="00E97DD8"/>
    <w:rsid w:val="00EA12CE"/>
    <w:rsid w:val="00EC1EC9"/>
    <w:rsid w:val="00EC3231"/>
    <w:rsid w:val="00EE5A99"/>
    <w:rsid w:val="00EF305C"/>
    <w:rsid w:val="00F03BA1"/>
    <w:rsid w:val="00F068AA"/>
    <w:rsid w:val="00F11D0D"/>
    <w:rsid w:val="00F16919"/>
    <w:rsid w:val="00F3116D"/>
    <w:rsid w:val="00F35D42"/>
    <w:rsid w:val="00F411E5"/>
    <w:rsid w:val="00F42F05"/>
    <w:rsid w:val="00F443A4"/>
    <w:rsid w:val="00F9019C"/>
    <w:rsid w:val="00F90B21"/>
    <w:rsid w:val="00F96DEE"/>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ec.health.nsw.gov.au" TargetMode="External"/><Relationship Id="rId9" Type="http://schemas.openxmlformats.org/officeDocument/2006/relationships/header" Target="header1.xml"/><Relationship Id="rId104" Type="http://schemas.microsoft.com/office/2007/relationships/stylesWithEffects" Target="stylesWithEffects.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835</Words>
  <Characters>4763</Characters>
  <Application>Microsoft Macintosh Word</Application>
  <DocSecurity>0</DocSecurity>
  <Lines>39</Lines>
  <Paragraphs>9</Paragraphs>
  <ScaleCrop>false</ScaleCrop>
  <Company>gd</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2014-11-17T05:15:00Z</dcterms:created>
  <dcterms:modified xsi:type="dcterms:W3CDTF">2014-11-17T05:15:00Z</dcterms:modified>
</cp:coreProperties>
</file>