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852DB6" w:rsidRPr="00F443A4" w:rsidRDefault="00852DB6" w:rsidP="00852DB6">
      <w:pPr>
        <w:pStyle w:val="00pagetopleft"/>
      </w:pPr>
      <w:r w:rsidRPr="00F443A4">
        <w:t>Continuity of care</w:t>
      </w:r>
    </w:p>
    <w:p w:rsidR="00852DB6" w:rsidRPr="00F443A4" w:rsidRDefault="00852DB6" w:rsidP="00852DB6">
      <w:pPr>
        <w:pStyle w:val="00pagetop2right"/>
        <w:spacing w:after="0"/>
      </w:pPr>
      <w:r w:rsidRPr="00F443A4">
        <w:t>QUM domains: Safe and effective use</w:t>
      </w:r>
    </w:p>
    <w:p w:rsidR="00E0132D" w:rsidRDefault="00AE21AC" w:rsidP="005B61D8">
      <w:pPr>
        <w:pStyle w:val="00IndicatorH1"/>
      </w:pPr>
      <w:r>
        <w:t xml:space="preserve">5.6 Percentage of patients with asthma that are given a written asthma action plan at discharge AND a copy is communicated to the primary care clinician </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This indicator assesses the effectiveness of processes intended to ensure that patients and their caregivers receive adequate information for safe and effective medication management after discharge.</w:t>
      </w:r>
    </w:p>
    <w:p w:rsidR="00E0132D" w:rsidRDefault="00AE21AC">
      <w:pPr>
        <w:pStyle w:val="x01-h2"/>
        <w:rPr>
          <w:rFonts w:cs="Times New Roman"/>
        </w:rPr>
      </w:pPr>
      <w:r>
        <w:rPr>
          <w:rFonts w:cs="Times New Roman"/>
        </w:rPr>
        <w:t>Background and evidence</w:t>
      </w:r>
    </w:p>
    <w:p w:rsidR="00E0132D" w:rsidRDefault="00AE21AC" w:rsidP="005B61D8">
      <w:pPr>
        <w:pStyle w:val="02Body"/>
      </w:pPr>
      <w:r>
        <w:t>Written individualised asthma action plans form part of patient self-management education and have been shown to improve health outcomes.</w:t>
      </w:r>
      <w:r>
        <w:rPr>
          <w:rStyle w:val="x02-superscript"/>
        </w:rPr>
        <w:t>1</w:t>
      </w:r>
      <w:r>
        <w:t xml:space="preserve"> A written asthma action plan enables patients and/or carers to recognise and respond to worsening asthma symptoms as soon as possible.</w:t>
      </w:r>
      <w:r>
        <w:rPr>
          <w:rStyle w:val="x02-superscript"/>
        </w:rPr>
        <w:t>2</w:t>
      </w:r>
    </w:p>
    <w:p w:rsidR="00E0132D" w:rsidRDefault="00AE21AC" w:rsidP="005B61D8">
      <w:pPr>
        <w:pStyle w:val="02Body"/>
      </w:pPr>
      <w:r>
        <w:t>A written asthma action plan is an example of a Medication Action Plan (MAP). MAPs are an important tool for educating patients about their medicines and communicating between hospital and community practitioners about medication management. Development of MAPs and communication between hospital and community are guiding principles in the Australian Pharmaceutical Advisory Council Guiding Principles to Achieve Continuity in Medication Management.</w:t>
      </w:r>
      <w:r>
        <w:rPr>
          <w:rStyle w:val="x02-superscript"/>
        </w:rPr>
        <w:t>3</w:t>
      </w:r>
      <w:r>
        <w:t xml:space="preserve"> This indicator provides a measure of compliance with these guidelines. </w:t>
      </w:r>
    </w:p>
    <w:p w:rsidR="00E0132D" w:rsidRDefault="00AE21AC">
      <w:pPr>
        <w:pStyle w:val="x01-h2"/>
        <w:rPr>
          <w:rFonts w:cs="Times New Roman"/>
        </w:rPr>
      </w:pPr>
      <w:r>
        <w:rPr>
          <w:rFonts w:cs="Times New Roman"/>
        </w:rPr>
        <w:t>Key definitions</w:t>
      </w:r>
    </w:p>
    <w:p w:rsidR="00E0132D" w:rsidRDefault="00AE21AC" w:rsidP="005B61D8">
      <w:pPr>
        <w:pStyle w:val="02Body"/>
      </w:pPr>
      <w:r>
        <w:rPr>
          <w:rStyle w:val="x02-body-bold"/>
        </w:rPr>
        <w:t>Patients with asthma</w:t>
      </w:r>
      <w:r>
        <w:t xml:space="preserve"> refers to patients of all ages admitted with asthma as a principle diagnosis. </w:t>
      </w:r>
    </w:p>
    <w:p w:rsidR="00E0132D" w:rsidRDefault="00AE21AC" w:rsidP="005B61D8">
      <w:pPr>
        <w:pStyle w:val="02Body"/>
      </w:pPr>
      <w:r>
        <w:rPr>
          <w:rStyle w:val="x02-body-bold"/>
        </w:rPr>
        <w:t>A written asthma action plan</w:t>
      </w:r>
      <w:r>
        <w:t xml:space="preserve"> should be individualised to the patient’s needs and should cover:</w:t>
      </w:r>
      <w:r>
        <w:rPr>
          <w:rStyle w:val="x02-superscript"/>
        </w:rPr>
        <w:t>2</w:t>
      </w:r>
    </w:p>
    <w:p w:rsidR="00E0132D" w:rsidRDefault="00AE21AC" w:rsidP="005B61D8">
      <w:pPr>
        <w:pStyle w:val="02bullet"/>
      </w:pPr>
      <w:r>
        <w:t>details of regular maintenance and preventer medicines</w:t>
      </w:r>
    </w:p>
    <w:p w:rsidR="00E0132D" w:rsidRDefault="00AE21AC" w:rsidP="005B61D8">
      <w:pPr>
        <w:pStyle w:val="02bullet"/>
      </w:pPr>
      <w:r>
        <w:t>how and when to adjust treatment in response to signs and symptoms of exacerbations</w:t>
      </w:r>
    </w:p>
    <w:p w:rsidR="00E0132D" w:rsidRDefault="00AE21AC" w:rsidP="005B61D8">
      <w:pPr>
        <w:pStyle w:val="02bullet"/>
      </w:pPr>
      <w:r>
        <w:t>how and when to start oral corticosteroids and seek medical advice for increasing asthma severity</w:t>
      </w:r>
    </w:p>
    <w:p w:rsidR="00E0132D" w:rsidRDefault="00AE21AC" w:rsidP="005B61D8">
      <w:pPr>
        <w:pStyle w:val="02bullet"/>
      </w:pPr>
      <w:r>
        <w:t>how and when to seek urgent medical help.</w:t>
      </w:r>
    </w:p>
    <w:p w:rsidR="00E0132D" w:rsidRDefault="00AE21AC" w:rsidP="005B61D8">
      <w:pPr>
        <w:pStyle w:val="02Body"/>
      </w:pPr>
      <w:r>
        <w:t xml:space="preserve">A copy of the plan given to the patient should be included in the medical record, or explicit documentation made in the medical record that an individualised plan was given. </w:t>
      </w:r>
    </w:p>
    <w:p w:rsidR="00E0132D" w:rsidRDefault="00AE21AC" w:rsidP="005B61D8">
      <w:pPr>
        <w:pStyle w:val="02Body"/>
      </w:pPr>
      <w:r>
        <w:rPr>
          <w:rStyle w:val="x02-body-bold"/>
        </w:rPr>
        <w:t xml:space="preserve">A copy is communicated to the primary care clinician </w:t>
      </w:r>
      <w:r>
        <w:t xml:space="preserve">means a copy of the plan is sent to the community-based health practitioner nominated by the patient, or included in the discharge summary or discharge letter. Such communication should be explicitly documented in the medical record. </w:t>
      </w:r>
    </w:p>
    <w:p w:rsidR="00E0132D" w:rsidRDefault="00AE21AC">
      <w:pPr>
        <w:pStyle w:val="x01-h2"/>
        <w:rPr>
          <w:rFonts w:cs="Times New Roman"/>
        </w:rPr>
      </w:pPr>
      <w:r>
        <w:rPr>
          <w:rFonts w:cs="Times New Roman"/>
        </w:rPr>
        <w:t>Data collection for local use</w:t>
      </w:r>
    </w:p>
    <w:p w:rsidR="00E0132D" w:rsidRDefault="00AE21AC" w:rsidP="005B61D8">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5B61D8">
      <w:pPr>
        <w:pStyle w:val="02Body"/>
      </w:pPr>
      <w:r>
        <w:rPr>
          <w:rStyle w:val="x02-body-bold"/>
        </w:rPr>
        <w:t>Inclusion criteria:</w:t>
      </w:r>
      <w:r>
        <w:t xml:space="preserve"> Adult and paediatric patients discharged with a principle diagnosis of asthma or asthma exacerbation.</w:t>
      </w:r>
    </w:p>
    <w:p w:rsidR="00E0132D" w:rsidRDefault="00AE21AC" w:rsidP="005B61D8">
      <w:pPr>
        <w:pStyle w:val="02Body"/>
      </w:pPr>
      <w:r>
        <w:rPr>
          <w:rStyle w:val="x02-body-bold"/>
        </w:rPr>
        <w:t>Exclusion criteria:</w:t>
      </w:r>
      <w:r>
        <w:t xml:space="preserve"> Nil.</w:t>
      </w:r>
    </w:p>
    <w:p w:rsidR="00E0132D" w:rsidRDefault="00AE21AC" w:rsidP="005B61D8">
      <w:pPr>
        <w:pStyle w:val="02Body"/>
      </w:pPr>
      <w:r>
        <w:rPr>
          <w:rStyle w:val="x02-body-bold"/>
        </w:rPr>
        <w:t>Recommended data sources:</w:t>
      </w:r>
      <w:r>
        <w:t xml:space="preserve"> Medical records and discharge documentation. </w:t>
      </w:r>
    </w:p>
    <w:p w:rsidR="00E0132D" w:rsidRDefault="00AE21AC" w:rsidP="005B61D8">
      <w:pPr>
        <w:pStyle w:val="02Body"/>
      </w:pPr>
      <w:r>
        <w:t>The data collection tool for QUM Indicator 5.6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5B61D8">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5B61D8" w:rsidP="00E71EDF">
      <w:pPr>
        <w:pStyle w:val="02Body"/>
      </w:pPr>
      <w:r>
        <w:rPr>
          <w:noProof/>
          <w:lang w:val="en-US"/>
        </w:rPr>
        <w:drawing>
          <wp:inline distT="0" distB="0" distL="0" distR="0">
            <wp:extent cx="1795272" cy="652272"/>
            <wp:effectExtent l="0" t="0" r="825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5B61D8">
      <w:pPr>
        <w:pStyle w:val="02Body"/>
      </w:pPr>
      <w:r>
        <w:rPr>
          <w:rStyle w:val="x02-body-bold"/>
        </w:rPr>
        <w:t>Numerator</w:t>
      </w:r>
      <w:r>
        <w:t xml:space="preserve"> = Number of patients with asthma that were given a written asthma action plan at discharge AND a copy was communicated to the primary care clinician</w:t>
      </w:r>
    </w:p>
    <w:p w:rsidR="00E0132D" w:rsidRDefault="00AE21AC" w:rsidP="005B61D8">
      <w:pPr>
        <w:pStyle w:val="02Body"/>
      </w:pPr>
      <w:r>
        <w:rPr>
          <w:rStyle w:val="x02-body-bold"/>
        </w:rPr>
        <w:t>Denominator</w:t>
      </w:r>
      <w:r>
        <w:t xml:space="preserve"> = Number of patients with asthma in sample</w:t>
      </w:r>
    </w:p>
    <w:p w:rsidR="00E0132D" w:rsidRDefault="00AE21AC">
      <w:pPr>
        <w:pStyle w:val="x01-h2"/>
        <w:rPr>
          <w:rFonts w:cs="Times New Roman"/>
        </w:rPr>
      </w:pPr>
      <w:r>
        <w:rPr>
          <w:rFonts w:cs="Times New Roman"/>
        </w:rPr>
        <w:t>Limitations and interpretation</w:t>
      </w:r>
    </w:p>
    <w:p w:rsidR="00E0132D" w:rsidRDefault="00AE21AC" w:rsidP="005B61D8">
      <w:pPr>
        <w:pStyle w:val="02Body"/>
      </w:pPr>
      <w:r>
        <w:t xml:space="preserve">This indicator does not examine management of patients with asthma who present to the emergency department and are referred back to the community for ongoing management. </w:t>
      </w:r>
    </w:p>
    <w:p w:rsidR="00E0132D" w:rsidRDefault="00AE21AC" w:rsidP="005B61D8">
      <w:pPr>
        <w:pStyle w:val="02Body"/>
      </w:pPr>
      <w:r>
        <w:t>This indicator relies on documentation in the medical record that a written asthma plan was provided. Good documentation supports quality patient care</w:t>
      </w:r>
      <w:r>
        <w:rPr>
          <w:rStyle w:val="x02-superscript"/>
        </w:rPr>
        <w:t>4</w:t>
      </w:r>
      <w:r>
        <w:t xml:space="preserve"> and is a critical component of management of adverse drug reactions. Poor communication can result in adverse drug events.</w:t>
      </w:r>
      <w:r>
        <w:rPr>
          <w:rStyle w:val="x02-superscript"/>
        </w:rPr>
        <w:t>5</w:t>
      </w:r>
      <w:r>
        <w:t xml:space="preserve"> Thus it is assumed that absence of explicit documentation means no written asthma plan was provided. </w:t>
      </w:r>
    </w:p>
    <w:p w:rsidR="00E0132D" w:rsidRDefault="00AE21AC" w:rsidP="005B61D8">
      <w:pPr>
        <w:pStyle w:val="02Body"/>
      </w:pPr>
      <w:r>
        <w:t>This indicator does not measure the quality of the written asthma management plan or whether the patient’s primary care clinician actually received a copy of the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5B61D8">
        <w:tc>
          <w:tcPr>
            <w:tcW w:w="10132" w:type="dxa"/>
            <w:shd w:val="clear" w:color="auto" w:fill="DCF1F6"/>
          </w:tcPr>
          <w:p w:rsidR="005B61D8" w:rsidRDefault="005B61D8" w:rsidP="005B61D8">
            <w:pPr>
              <w:pStyle w:val="x01-h2"/>
              <w:rPr>
                <w:rFonts w:cs="Times New Roman"/>
              </w:rPr>
            </w:pPr>
            <w:r>
              <w:rPr>
                <w:rFonts w:cs="Times New Roman"/>
              </w:rPr>
              <w:t>Further information</w:t>
            </w:r>
          </w:p>
          <w:p w:rsidR="005B61D8" w:rsidRDefault="005B61D8" w:rsidP="005B61D8">
            <w:pPr>
              <w:pStyle w:val="02Body"/>
            </w:pPr>
            <w:r>
              <w:t>Templates for asthma action plans are available from the Australian National Asthma Council and state Asthma Foundations and are included in general practice management software.</w:t>
            </w:r>
          </w:p>
          <w:p w:rsidR="005B61D8" w:rsidRDefault="005B61D8" w:rsidP="005B61D8">
            <w:pPr>
              <w:pStyle w:val="02Body"/>
            </w:pPr>
            <w:r>
              <w:t>Medication Safety Self Assessment for Australian Hospitals</w:t>
            </w:r>
            <w:r>
              <w:rPr>
                <w:rStyle w:val="x02-superscript"/>
              </w:rPr>
              <w:t>6</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8" w:history="1">
              <w:r w:rsidRPr="005B61D8">
                <w:rPr>
                  <w:rStyle w:val="x02-url"/>
                </w:rPr>
                <w:t>www.cec.health.nsw.gov.au</w:t>
              </w:r>
            </w:hyperlink>
          </w:p>
          <w:p w:rsidR="005B61D8" w:rsidRDefault="005B61D8" w:rsidP="005B61D8">
            <w:pPr>
              <w:pStyle w:val="02Body"/>
            </w:pPr>
            <w:r>
              <w:t>This indicator can be used to assist hospitals in meeting the National Safety and Quality Health Service Standard 1 [items 1.2.1, 1.2.2, 1.5.2, 1.6.1, 1.6.2, 1.8.2, 1.18.1], Standard 4 [items 4.2.1, 4.2.2, 4.5.1, 4.5.2, 4.12.4, 4.13.1, 4.13.2, 4.14.1] and Standard 6 [items 6.1.1, 6.2.1, 6.3.1, 6.4.1].</w:t>
            </w:r>
            <w:r>
              <w:rPr>
                <w:rStyle w:val="x02-superscript"/>
              </w:rPr>
              <w:t>7</w:t>
            </w:r>
          </w:p>
        </w:tc>
      </w:tr>
    </w:tbl>
    <w:p w:rsidR="00E0132D" w:rsidRDefault="00AE21AC" w:rsidP="005B61D8">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The British Thoracic Society. British Guideline on the Management of Asthma: A National Guideline. Scottish Intercollegiate Guidelines Network, 2012.</w:t>
      </w:r>
    </w:p>
    <w:p w:rsidR="00E0132D" w:rsidRDefault="00AE21AC" w:rsidP="00C03794">
      <w:pPr>
        <w:pStyle w:val="x04-footnotes"/>
        <w:ind w:left="142" w:hanging="142"/>
        <w:rPr>
          <w:rFonts w:cs="Times New Roman"/>
        </w:rPr>
      </w:pPr>
      <w:r>
        <w:rPr>
          <w:rFonts w:cs="Times New Roman"/>
        </w:rPr>
        <w:t xml:space="preserve">2. Australian Asthma Handbook Version 1.0 National Asthma Council Australia, Melbourne, 2014. </w:t>
      </w:r>
      <w:hyperlink r:id="rId9" w:history="1">
        <w:r w:rsidRPr="00E71EDF">
          <w:rPr>
            <w:rStyle w:val="x02-url"/>
          </w:rPr>
          <w:t>www.asthmahandbook.org.au</w:t>
        </w:r>
      </w:hyperlink>
      <w:r>
        <w:rPr>
          <w:rFonts w:cs="Times New Roman"/>
        </w:rPr>
        <w:t xml:space="preserve"> (Accessed 1 October 2014).</w:t>
      </w:r>
    </w:p>
    <w:p w:rsidR="00E0132D" w:rsidRDefault="00AE21AC" w:rsidP="00C03794">
      <w:pPr>
        <w:pStyle w:val="x04-footnotes"/>
        <w:ind w:left="142" w:hanging="142"/>
        <w:rPr>
          <w:rFonts w:cs="Times New Roman"/>
        </w:rPr>
      </w:pPr>
      <w:r>
        <w:rPr>
          <w:rFonts w:cs="Times New Roman"/>
        </w:rPr>
        <w:t>3. Guiding Principles to Achieve Continuity in Medication Management. Australian Pharmaceutical Advisory Council, 2005.</w:t>
      </w:r>
    </w:p>
    <w:p w:rsidR="00E0132D" w:rsidRDefault="00AE21AC" w:rsidP="00C03794">
      <w:pPr>
        <w:pStyle w:val="x04-footnotes"/>
        <w:ind w:left="142" w:hanging="142"/>
        <w:rPr>
          <w:rFonts w:cs="Times New Roman"/>
        </w:rPr>
      </w:pPr>
      <w:r>
        <w:rPr>
          <w:rFonts w:cs="Times New Roman"/>
        </w:rPr>
        <w:t>4. The Good Clinical Documentation Guide. National Centre for Classification in Health, Commonwealth of Australia, 2003.</w:t>
      </w:r>
    </w:p>
    <w:p w:rsidR="00E0132D" w:rsidRDefault="00AE21AC" w:rsidP="00C03794">
      <w:pPr>
        <w:pStyle w:val="x04-footnotes"/>
        <w:ind w:left="142" w:hanging="142"/>
        <w:rPr>
          <w:rFonts w:cs="Times New Roman"/>
        </w:rPr>
      </w:pPr>
      <w:r>
        <w:rPr>
          <w:rFonts w:cs="Times New Roman"/>
        </w:rPr>
        <w:t>5. MacKinnon NJ, ed. Safe and Effective: The Eight Essential Elements of an Optimal Medication-use System. Canadian Pharmacists Association, 2007.</w:t>
      </w:r>
    </w:p>
    <w:p w:rsidR="00E0132D" w:rsidRDefault="00AE21AC" w:rsidP="00C03794">
      <w:pPr>
        <w:pStyle w:val="x04-footnotes"/>
        <w:ind w:left="142" w:hanging="142"/>
        <w:rPr>
          <w:rFonts w:cs="Times New Roman"/>
        </w:rPr>
      </w:pPr>
      <w:r>
        <w:rPr>
          <w:rFonts w:cs="Times New Roman"/>
        </w:rPr>
        <w:t xml:space="preserve">6.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rPr>
          <w:rFonts w:cs="Times New Roman"/>
        </w:rPr>
      </w:pPr>
      <w:r>
        <w:rPr>
          <w:rFonts w:cs="Times New Roman"/>
        </w:rPr>
        <w:t xml:space="preserve">7. Australian Commission on Safety and Quality in Health Care. National Safety and Quality Health Service Standards. Sydney, ACSQHC, 2012. </w:t>
      </w:r>
    </w:p>
    <w:p w:rsidR="00E71EDF" w:rsidRDefault="00E71EDF">
      <w:pPr>
        <w:spacing w:after="0"/>
        <w:rPr>
          <w:rFonts w:eastAsia="Times New Roman" w:cs="Gotham-Bold"/>
          <w:b/>
          <w:bCs/>
          <w:color w:val="1D4A74"/>
          <w:spacing w:val="-3"/>
          <w:sz w:val="34"/>
          <w:szCs w:val="34"/>
          <w:lang w:val="en-GB"/>
        </w:rPr>
      </w:pPr>
    </w:p>
    <w:sectPr w:rsidR="00E71EDF" w:rsidSect="00EC1EC9">
      <w:headerReference w:type="default" r:id="rId10"/>
      <w:footerReference w:type="even" r:id="rId11"/>
      <w:footerReference w:type="default" r:id="rId12"/>
      <w:headerReference w:type="first" r:id="rId13"/>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8E73AC"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8E73AC"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D3550C">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105798"/>
    <w:rsid w:val="001139CE"/>
    <w:rsid w:val="001145FC"/>
    <w:rsid w:val="00136A82"/>
    <w:rsid w:val="0014196D"/>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D8B"/>
    <w:rsid w:val="003E78CF"/>
    <w:rsid w:val="004018B0"/>
    <w:rsid w:val="00416186"/>
    <w:rsid w:val="00446FEA"/>
    <w:rsid w:val="00474896"/>
    <w:rsid w:val="004B0764"/>
    <w:rsid w:val="004D04BA"/>
    <w:rsid w:val="004E42AC"/>
    <w:rsid w:val="004F5233"/>
    <w:rsid w:val="00510CAF"/>
    <w:rsid w:val="00512857"/>
    <w:rsid w:val="00554564"/>
    <w:rsid w:val="00563638"/>
    <w:rsid w:val="0056365B"/>
    <w:rsid w:val="005779CD"/>
    <w:rsid w:val="005A754B"/>
    <w:rsid w:val="005B61D8"/>
    <w:rsid w:val="005E2FCF"/>
    <w:rsid w:val="006174E8"/>
    <w:rsid w:val="00686E36"/>
    <w:rsid w:val="00697608"/>
    <w:rsid w:val="006E077D"/>
    <w:rsid w:val="00785DF5"/>
    <w:rsid w:val="007D0679"/>
    <w:rsid w:val="0083412A"/>
    <w:rsid w:val="00844813"/>
    <w:rsid w:val="00852DB6"/>
    <w:rsid w:val="00856734"/>
    <w:rsid w:val="00870BAF"/>
    <w:rsid w:val="008B244E"/>
    <w:rsid w:val="008E73AC"/>
    <w:rsid w:val="00942DAB"/>
    <w:rsid w:val="009655EA"/>
    <w:rsid w:val="00977CFB"/>
    <w:rsid w:val="00984C4F"/>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44E16"/>
    <w:rsid w:val="00B45F6B"/>
    <w:rsid w:val="00B9692F"/>
    <w:rsid w:val="00BD4E97"/>
    <w:rsid w:val="00BD739E"/>
    <w:rsid w:val="00BE3DD8"/>
    <w:rsid w:val="00C03794"/>
    <w:rsid w:val="00C10D3A"/>
    <w:rsid w:val="00C17664"/>
    <w:rsid w:val="00C23D10"/>
    <w:rsid w:val="00C829BA"/>
    <w:rsid w:val="00C909D3"/>
    <w:rsid w:val="00CD468E"/>
    <w:rsid w:val="00D053C2"/>
    <w:rsid w:val="00D16016"/>
    <w:rsid w:val="00D162C8"/>
    <w:rsid w:val="00D3550C"/>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yperlink" Target="http://www.asthmahandbook.org.au" TargetMode="External"/><Relationship Id="rId104" Type="http://schemas.microsoft.com/office/2007/relationships/stylesWithEffects" Target="stylesWithEffec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4952</Characters>
  <Application>Microsoft Macintosh Word</Application>
  <DocSecurity>0</DocSecurity>
  <Lines>41</Lines>
  <Paragraphs>9</Paragraphs>
  <ScaleCrop>false</ScaleCrop>
  <Company>gd</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2014-11-17T05:16:00Z</dcterms:created>
  <dcterms:modified xsi:type="dcterms:W3CDTF">2014-11-17T05:16:00Z</dcterms:modified>
</cp:coreProperties>
</file>