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AA51DA" w:rsidRPr="00AA51DA" w:rsidRDefault="00AA51DA" w:rsidP="00AA51DA">
      <w:pPr>
        <w:pStyle w:val="00pagetopleft"/>
      </w:pPr>
      <w:r w:rsidRPr="00AA51DA">
        <w:t>Hospital-wide policies</w:t>
      </w:r>
    </w:p>
    <w:p w:rsidR="00AA51DA" w:rsidRPr="00AA51DA" w:rsidRDefault="00AA51DA" w:rsidP="00AA51DA">
      <w:pPr>
        <w:pStyle w:val="00pagetop2right"/>
      </w:pPr>
      <w:r w:rsidRPr="00AA51DA">
        <w:t>QUM domain: Safe and effective use</w:t>
      </w:r>
    </w:p>
    <w:p w:rsidR="00E0132D" w:rsidRDefault="00AE21AC" w:rsidP="00AA51DA">
      <w:pPr>
        <w:pStyle w:val="00IndicatorH1"/>
      </w:pPr>
      <w:r>
        <w:t xml:space="preserve">6.1 Percentage of medication storage areas outside pharmacy where potassium ampoules are available </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the effectiveness of processes intended to prevent harm associated with inadvertent administration of concentrated potassium solutions. </w:t>
      </w:r>
    </w:p>
    <w:p w:rsidR="00E0132D" w:rsidRDefault="00AE21AC">
      <w:pPr>
        <w:pStyle w:val="x01-h2"/>
        <w:rPr>
          <w:rFonts w:cs="Times New Roman"/>
        </w:rPr>
      </w:pPr>
      <w:r>
        <w:rPr>
          <w:rFonts w:cs="Times New Roman"/>
        </w:rPr>
        <w:t>Background and evidence</w:t>
      </w:r>
    </w:p>
    <w:p w:rsidR="00E0132D" w:rsidRDefault="00AE21AC" w:rsidP="006E077D">
      <w:pPr>
        <w:pStyle w:val="02Body"/>
      </w:pPr>
      <w:r>
        <w:t>Deaths have occurred in Australia and other countries as a result of errors in administration of parenteral potassium infusions prepared using concentrated potassium ampoules or accidentally selecting potassium instead of saline ampoules.</w:t>
      </w:r>
      <w:r>
        <w:rPr>
          <w:rStyle w:val="x02-superscript"/>
        </w:rPr>
        <w:t>1</w:t>
      </w:r>
      <w:r>
        <w:t xml:space="preserve"> Data from Australian incident monitoring shows that errors in preparation of parenteral potassium infusions using potassium ampoules continue to occur. The common root cause to these errors is the availability of concentrated potassium ampoules in wards and other patient care areas.</w:t>
      </w:r>
      <w:r>
        <w:rPr>
          <w:rStyle w:val="x02-superscript"/>
        </w:rPr>
        <w:t>1</w:t>
      </w:r>
      <w:r>
        <w:t xml:space="preserve"> In 2003, the Australian Council for Safety and Quality in Health Care recommended that hospitals remove potassium ampoules from ward stock and replace them with premixed infusion solutions wherever possible.</w:t>
      </w:r>
      <w:r>
        <w:rPr>
          <w:rStyle w:val="x02-superscript"/>
        </w:rPr>
        <w:t>1</w:t>
      </w:r>
    </w:p>
    <w:p w:rsidR="00E0132D" w:rsidRDefault="00AE21AC" w:rsidP="006E077D">
      <w:pPr>
        <w:pStyle w:val="02Body"/>
      </w:pPr>
      <w:r>
        <w:t>As deaths from use of concentrated potassium ampoules have occurred even in critical care areas, premixed potassium solutions should be used preferentially in all patient care areas.</w:t>
      </w:r>
      <w:r>
        <w:rPr>
          <w:rStyle w:val="x02-superscript"/>
        </w:rPr>
        <w:t>2</w:t>
      </w:r>
      <w:proofErr w:type="gramStart"/>
      <w:r>
        <w:rPr>
          <w:rStyle w:val="x02-superscript"/>
        </w:rPr>
        <w:t>,3</w:t>
      </w:r>
      <w:proofErr w:type="gramEnd"/>
    </w:p>
    <w:p w:rsidR="00E0132D" w:rsidRDefault="00AE21AC">
      <w:pPr>
        <w:pStyle w:val="x01-h2"/>
        <w:rPr>
          <w:rFonts w:cs="Times New Roman"/>
        </w:rPr>
      </w:pPr>
      <w:r>
        <w:rPr>
          <w:rFonts w:cs="Times New Roman"/>
        </w:rPr>
        <w:t>Key definitions</w:t>
      </w:r>
    </w:p>
    <w:p w:rsidR="00E0132D" w:rsidRDefault="00AE21AC" w:rsidP="006E077D">
      <w:pPr>
        <w:pStyle w:val="02Body"/>
      </w:pPr>
      <w:r>
        <w:rPr>
          <w:rStyle w:val="x02-body-bold"/>
        </w:rPr>
        <w:t>Medication storage areas</w:t>
      </w:r>
      <w:r>
        <w:t xml:space="preserve"> means any cupboard, trolley or other place outside pharmacy where potassium may be stored, including intensive care units, emergency departments, operating theatres and other critical care areas. All medication storage areas should be included whether they are locked or not and regardless of whether risk assessments or other safety precautions have been implemented. </w:t>
      </w:r>
    </w:p>
    <w:p w:rsidR="00E0132D" w:rsidRDefault="00AE21AC" w:rsidP="006E077D">
      <w:pPr>
        <w:pStyle w:val="02Body"/>
      </w:pPr>
      <w:r>
        <w:rPr>
          <w:rStyle w:val="x02-body-bold"/>
        </w:rPr>
        <w:t>Potassium ampoules</w:t>
      </w:r>
      <w:r>
        <w:t xml:space="preserve"> means all strengths and presentations of concentrated potassium chloride or other potassium salt solutions that require dilution prior to intravenous infusion.</w:t>
      </w:r>
      <w:r>
        <w:rPr>
          <w:rStyle w:val="x02-superscript"/>
        </w:rPr>
        <w:t>1</w:t>
      </w:r>
    </w:p>
    <w:p w:rsidR="00E0132D" w:rsidRDefault="00AE21AC">
      <w:pPr>
        <w:pStyle w:val="x01-h2"/>
        <w:rPr>
          <w:rFonts w:cs="Times New Roman"/>
        </w:rPr>
      </w:pPr>
      <w:r>
        <w:rPr>
          <w:rFonts w:cs="Times New Roman"/>
        </w:rPr>
        <w:t>Data collection for local use</w:t>
      </w:r>
    </w:p>
    <w:p w:rsidR="00E0132D" w:rsidRDefault="00AE21AC" w:rsidP="006E077D">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6E077D">
      <w:pPr>
        <w:pStyle w:val="02Body"/>
      </w:pPr>
      <w:r>
        <w:rPr>
          <w:rStyle w:val="x02-body-bold"/>
        </w:rPr>
        <w:t>Inclusion criteria:</w:t>
      </w:r>
      <w:r>
        <w:t xml:space="preserve"> Medication storage areas outside pharmacy, including intensive care units, emergency departments, operating theatres and other critical care areas.</w:t>
      </w:r>
    </w:p>
    <w:p w:rsidR="00E0132D" w:rsidRDefault="00AE21AC" w:rsidP="006E077D">
      <w:pPr>
        <w:pStyle w:val="02Body"/>
      </w:pPr>
      <w:r>
        <w:rPr>
          <w:rStyle w:val="x02-body-bold"/>
        </w:rPr>
        <w:t>Exclusion criteria:</w:t>
      </w:r>
      <w:r>
        <w:t xml:space="preserve"> Nil.</w:t>
      </w:r>
    </w:p>
    <w:p w:rsidR="00E0132D" w:rsidRDefault="00AE21AC" w:rsidP="006E077D">
      <w:pPr>
        <w:pStyle w:val="02Body"/>
      </w:pPr>
      <w:r>
        <w:rPr>
          <w:rStyle w:val="x02-body-bold"/>
        </w:rPr>
        <w:t>Recommended data sources:</w:t>
      </w:r>
      <w:r>
        <w:t xml:space="preserve"> Visual inspection of medication storage areas.</w:t>
      </w:r>
    </w:p>
    <w:p w:rsidR="00E0132D" w:rsidRDefault="00AE21AC" w:rsidP="006E077D">
      <w:pPr>
        <w:pStyle w:val="02Body"/>
      </w:pPr>
      <w:r>
        <w:t>The data collection tool for QUM Indicator 6.1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6E077D">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6E077D" w:rsidP="00E71EDF">
      <w:pPr>
        <w:pStyle w:val="02Body"/>
      </w:pPr>
      <w:r>
        <w:rPr>
          <w:noProof/>
          <w:lang w:val="en-US"/>
        </w:rPr>
        <w:drawing>
          <wp:inline distT="0" distB="0" distL="0" distR="0">
            <wp:extent cx="1795272" cy="652272"/>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6E077D">
      <w:pPr>
        <w:pStyle w:val="02Body"/>
      </w:pPr>
      <w:r>
        <w:rPr>
          <w:rStyle w:val="x02-body-bold"/>
        </w:rPr>
        <w:t>Numerator</w:t>
      </w:r>
      <w:r>
        <w:t xml:space="preserve"> = number of medication storage areas outside pharmacy where potassium ampoules are available</w:t>
      </w:r>
    </w:p>
    <w:p w:rsidR="00E0132D" w:rsidRDefault="00AE21AC" w:rsidP="006E077D">
      <w:pPr>
        <w:pStyle w:val="02Body"/>
      </w:pPr>
      <w:r>
        <w:rPr>
          <w:rStyle w:val="x02-body-bold"/>
        </w:rPr>
        <w:t>Denominator</w:t>
      </w:r>
      <w:r>
        <w:t xml:space="preserve"> = number of medication storage areas outside pharmacy in sample</w:t>
      </w:r>
    </w:p>
    <w:p w:rsidR="00E0132D" w:rsidRDefault="00AE21AC">
      <w:pPr>
        <w:pStyle w:val="x01-h2"/>
        <w:rPr>
          <w:rFonts w:cs="Times New Roman"/>
        </w:rPr>
      </w:pPr>
      <w:r>
        <w:rPr>
          <w:rFonts w:cs="Times New Roman"/>
        </w:rPr>
        <w:t>Limitations and interpretation</w:t>
      </w:r>
    </w:p>
    <w:p w:rsidR="00E0132D" w:rsidRDefault="00AE21AC" w:rsidP="006E077D">
      <w:pPr>
        <w:pStyle w:val="02Body"/>
      </w:pPr>
      <w:r>
        <w:t xml:space="preserve">This indicator does not measure: </w:t>
      </w:r>
    </w:p>
    <w:p w:rsidR="00E0132D" w:rsidRDefault="00AE21AC" w:rsidP="006E077D">
      <w:pPr>
        <w:pStyle w:val="02bullet"/>
      </w:pPr>
      <w:proofErr w:type="gramStart"/>
      <w:r>
        <w:t>whether</w:t>
      </w:r>
      <w:proofErr w:type="gramEnd"/>
      <w:r>
        <w:t xml:space="preserve"> potassium ampoules are stored safely</w:t>
      </w:r>
    </w:p>
    <w:p w:rsidR="00E0132D" w:rsidRDefault="00AE21AC" w:rsidP="006E077D">
      <w:pPr>
        <w:pStyle w:val="02bullet"/>
      </w:pPr>
      <w:proofErr w:type="gramStart"/>
      <w:r>
        <w:t>whether</w:t>
      </w:r>
      <w:proofErr w:type="gramEnd"/>
      <w:r>
        <w:t xml:space="preserve"> protocols are available to guide safe potassium ampoule use</w:t>
      </w:r>
    </w:p>
    <w:p w:rsidR="00E0132D" w:rsidRDefault="00AE21AC" w:rsidP="006E077D">
      <w:pPr>
        <w:pStyle w:val="02bullet"/>
      </w:pPr>
      <w:proofErr w:type="gramStart"/>
      <w:r>
        <w:t>whether</w:t>
      </w:r>
      <w:proofErr w:type="gramEnd"/>
      <w:r>
        <w:t xml:space="preserve"> risk assessments for potassium ampoule storage and use have been performed</w:t>
      </w:r>
    </w:p>
    <w:p w:rsidR="00E0132D" w:rsidRDefault="00AE21AC" w:rsidP="006E077D">
      <w:pPr>
        <w:pStyle w:val="02bullet"/>
      </w:pPr>
      <w:proofErr w:type="gramStart"/>
      <w:r>
        <w:t>reasons</w:t>
      </w:r>
      <w:proofErr w:type="gramEnd"/>
      <w:r>
        <w:t xml:space="preserve"> for potassium ampoule availability in certain wards</w:t>
      </w:r>
    </w:p>
    <w:p w:rsidR="00E0132D" w:rsidRPr="006E077D" w:rsidRDefault="00AE21AC" w:rsidP="006E077D">
      <w:pPr>
        <w:pStyle w:val="02bullet"/>
        <w:rPr>
          <w:rStyle w:val="x02-superscript"/>
        </w:rPr>
      </w:pPr>
      <w:proofErr w:type="gramStart"/>
      <w:r>
        <w:t>reasons</w:t>
      </w:r>
      <w:proofErr w:type="gramEnd"/>
      <w:r>
        <w:t xml:space="preserve"> why potassium ampoules rather than premixed solutions are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Look w:val="04A0"/>
      </w:tblPr>
      <w:tblGrid>
        <w:gridCol w:w="10132"/>
      </w:tblGrid>
      <w:tr w:rsidR="006E077D">
        <w:tc>
          <w:tcPr>
            <w:tcW w:w="10132" w:type="dxa"/>
            <w:shd w:val="clear" w:color="auto" w:fill="DCF1F6"/>
          </w:tcPr>
          <w:p w:rsidR="006E077D" w:rsidRDefault="006E077D" w:rsidP="006E077D">
            <w:pPr>
              <w:pStyle w:val="x01-h2"/>
              <w:rPr>
                <w:rFonts w:cs="Times New Roman"/>
              </w:rPr>
            </w:pPr>
            <w:r>
              <w:rPr>
                <w:rFonts w:cs="Times New Roman"/>
              </w:rPr>
              <w:t>Further information</w:t>
            </w:r>
          </w:p>
          <w:p w:rsidR="006E077D" w:rsidRPr="006E077D" w:rsidRDefault="006E077D" w:rsidP="006E077D">
            <w:pPr>
              <w:pStyle w:val="NormalWeb"/>
              <w:rPr>
                <w:rStyle w:val="x02-url"/>
                <w:rFonts w:cstheme="minorBidi"/>
                <w:spacing w:val="0"/>
                <w:sz w:val="28"/>
                <w:szCs w:val="28"/>
              </w:rPr>
            </w:pPr>
            <w:r>
              <w:t>The Australian Commission on Safety and Quality in Health Care web page includes the safety alert, case studies and other tools to reduce the hazards associated with intravenous potassium chloride. Available from</w:t>
            </w:r>
            <w:r w:rsidR="00E71EDF">
              <w:t xml:space="preserve"> </w:t>
            </w:r>
            <w:hyperlink r:id="rId8" w:history="1">
              <w:r w:rsidRPr="006E077D">
                <w:rPr>
                  <w:rStyle w:val="x02-url"/>
                </w:rPr>
                <w:t>www.safetyandquality.gov.au/our-work/medication-safety/medication-alerts/intravenous-potassium-chloride/</w:t>
              </w:r>
            </w:hyperlink>
          </w:p>
          <w:p w:rsidR="006E077D" w:rsidRDefault="006E077D" w:rsidP="006E077D">
            <w:pPr>
              <w:pStyle w:val="NormalWeb"/>
            </w:pPr>
            <w:r>
              <w:t xml:space="preserve">A safety alert from the UK National Patient Safety Agency is available from </w:t>
            </w:r>
            <w:hyperlink r:id="rId9" w:history="1">
              <w:r w:rsidRPr="006E077D">
                <w:rPr>
                  <w:rStyle w:val="x02-url"/>
                </w:rPr>
                <w:t>www.nrls.npsa.nhs.uk/resources/?entryid45=59882</w:t>
              </w:r>
            </w:hyperlink>
          </w:p>
          <w:p w:rsidR="006E077D" w:rsidRDefault="006E077D" w:rsidP="006E077D">
            <w:pPr>
              <w:pStyle w:val="NormalWeb"/>
            </w:pPr>
            <w:r>
              <w:t>Medication Safety Self Assessment for Australian Hospitals</w:t>
            </w:r>
            <w:r>
              <w:rPr>
                <w:rStyle w:val="x02-superscript"/>
              </w:rPr>
              <w:t>4</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10" w:history="1">
              <w:r w:rsidRPr="006E077D">
                <w:rPr>
                  <w:rStyle w:val="x02-url"/>
                </w:rPr>
                <w:t>www.cec.health.nsw.gov.au</w:t>
              </w:r>
            </w:hyperlink>
          </w:p>
          <w:p w:rsidR="006E077D" w:rsidRDefault="006E077D" w:rsidP="006E077D">
            <w:pPr>
              <w:pStyle w:val="NormalWeb"/>
            </w:pPr>
            <w:r>
              <w:t>This indicator can be used to assist hospitals in meeting the National Safety and Quality Health Service Standard 1 [items 1.2.1, 1.2.2, 1.5.2, 1.6.1, 1.6.2] and Standard 4 [items 4.1.2, 4.2.2, 4.4.2, 4.5.1, 4.5.2, 4.10.1, 4.10.2, 4.10.6, 4.11.1, 4.11.2]</w:t>
            </w:r>
            <w:proofErr w:type="gramStart"/>
            <w:r>
              <w:t>.</w:t>
            </w:r>
            <w:r>
              <w:rPr>
                <w:rStyle w:val="x02-superscript"/>
              </w:rPr>
              <w:t>5</w:t>
            </w:r>
            <w:proofErr w:type="gramEnd"/>
          </w:p>
        </w:tc>
      </w:tr>
    </w:tbl>
    <w:p w:rsidR="006E077D" w:rsidRDefault="006E077D" w:rsidP="006E077D">
      <w:pPr>
        <w:pStyle w:val="x04-footnotes"/>
        <w:spacing w:before="240"/>
        <w:rPr>
          <w:rFonts w:cs="Times New Roman"/>
        </w:rPr>
      </w:pPr>
      <w:r>
        <w:rPr>
          <w:rStyle w:val="x02-body-bold"/>
          <w:rFonts w:cs="Times New Roman"/>
        </w:rPr>
        <w:t>References</w:t>
      </w:r>
    </w:p>
    <w:p w:rsidR="006E077D" w:rsidRDefault="006E077D" w:rsidP="00C03794">
      <w:pPr>
        <w:pStyle w:val="x04-footnotes"/>
        <w:ind w:left="142" w:hanging="142"/>
        <w:rPr>
          <w:rFonts w:cs="Times New Roman"/>
        </w:rPr>
      </w:pPr>
      <w:r>
        <w:rPr>
          <w:rFonts w:cs="Times New Roman"/>
        </w:rPr>
        <w:t xml:space="preserve">1. MEDICATION ALERT! Intravenous POTASSIUM CHLORIDE can be fatal if given inappropriately. </w:t>
      </w:r>
      <w:proofErr w:type="gramStart"/>
      <w:r>
        <w:rPr>
          <w:rFonts w:cs="Times New Roman"/>
        </w:rPr>
        <w:t>Australian Council for Safety and Quality in Health Care, 2003.</w:t>
      </w:r>
      <w:proofErr w:type="gramEnd"/>
    </w:p>
    <w:p w:rsidR="006E077D" w:rsidRDefault="006E077D" w:rsidP="00C03794">
      <w:pPr>
        <w:pStyle w:val="x04-footnotes"/>
        <w:ind w:left="142" w:hanging="142"/>
        <w:rPr>
          <w:rFonts w:cs="Times New Roman"/>
        </w:rPr>
      </w:pPr>
      <w:r>
        <w:rPr>
          <w:rFonts w:cs="Times New Roman"/>
        </w:rPr>
        <w:t>2. Patient Safety Bulletin: Emerging themes from reported incidents, Vol. 2007: National Patient Safety Agency, January 2007.</w:t>
      </w:r>
    </w:p>
    <w:p w:rsidR="006E077D" w:rsidRDefault="006E077D" w:rsidP="00C03794">
      <w:pPr>
        <w:pStyle w:val="x04-footnotes"/>
        <w:ind w:left="142" w:hanging="142"/>
        <w:rPr>
          <w:rFonts w:cs="Times New Roman"/>
        </w:rPr>
      </w:pPr>
      <w:r>
        <w:rPr>
          <w:rFonts w:cs="Times New Roman"/>
        </w:rPr>
        <w:t xml:space="preserve">3. Medication Errors, 2nd Edn. In: Cohen MR, </w:t>
      </w:r>
      <w:proofErr w:type="gramStart"/>
      <w:r>
        <w:rPr>
          <w:rFonts w:cs="Times New Roman"/>
        </w:rPr>
        <w:t>ed</w:t>
      </w:r>
      <w:proofErr w:type="gramEnd"/>
      <w:r>
        <w:rPr>
          <w:rFonts w:cs="Times New Roman"/>
        </w:rPr>
        <w:t>: American Pharmacists Association, 2007.</w:t>
      </w:r>
    </w:p>
    <w:p w:rsidR="006E077D" w:rsidRDefault="006E077D" w:rsidP="00C03794">
      <w:pPr>
        <w:pStyle w:val="x04-footnotes"/>
        <w:ind w:left="142" w:hanging="142"/>
        <w:rPr>
          <w:rFonts w:cs="Times New Roman"/>
        </w:rPr>
      </w:pPr>
      <w:r>
        <w:rPr>
          <w:rFonts w:cs="Times New Roman"/>
        </w:rPr>
        <w:t xml:space="preserve">4. Medication Safety Self Assessment for Australian Hospitals: Institute for Safe Medication Practices USA (Adapted for Australian use by NSW Therapeutic Advisory Group and the Clinical Excellence Commission), 2007. </w:t>
      </w:r>
    </w:p>
    <w:p w:rsidR="006E077D" w:rsidRDefault="006E077D" w:rsidP="00C03794">
      <w:pPr>
        <w:pStyle w:val="x04-footnotes"/>
        <w:ind w:left="142" w:hanging="142"/>
        <w:rPr>
          <w:rFonts w:cs="Times New Roman"/>
        </w:rPr>
      </w:pPr>
      <w:r>
        <w:rPr>
          <w:rFonts w:cs="Times New Roman"/>
        </w:rPr>
        <w:t xml:space="preserve">5. Australian Commission on Safety and Quality in Health Care. National Safety and Quality Health Service Standards. Sydney, ACSQHC, 2012. </w:t>
      </w:r>
    </w:p>
    <w:p w:rsidR="006E077D" w:rsidRDefault="006E077D">
      <w:pPr>
        <w:spacing w:after="0"/>
        <w:rPr>
          <w:rFonts w:cs="Times New Roman"/>
          <w:color w:val="000000" w:themeColor="text1"/>
          <w:spacing w:val="4"/>
          <w:szCs w:val="18"/>
        </w:rPr>
      </w:pPr>
    </w:p>
    <w:sectPr w:rsidR="006E077D" w:rsidSect="00EC1EC9">
      <w:headerReference w:type="default" r:id="rId11"/>
      <w:footerReference w:type="even" r:id="rId12"/>
      <w:footerReference w:type="default" r:id="rId13"/>
      <w:headerReference w:type="first" r:id="rId14"/>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421690"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421690"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886A7A">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54564"/>
    <w:rsid w:val="00563638"/>
    <w:rsid w:val="0056365B"/>
    <w:rsid w:val="005779CD"/>
    <w:rsid w:val="0059488F"/>
    <w:rsid w:val="005A754B"/>
    <w:rsid w:val="005B61D8"/>
    <w:rsid w:val="005E2FCF"/>
    <w:rsid w:val="00604336"/>
    <w:rsid w:val="006174E8"/>
    <w:rsid w:val="00686E36"/>
    <w:rsid w:val="00697608"/>
    <w:rsid w:val="006E077D"/>
    <w:rsid w:val="00721340"/>
    <w:rsid w:val="00785DF5"/>
    <w:rsid w:val="007A2E5D"/>
    <w:rsid w:val="007D0679"/>
    <w:rsid w:val="0083412A"/>
    <w:rsid w:val="00844813"/>
    <w:rsid w:val="00852DB6"/>
    <w:rsid w:val="00856734"/>
    <w:rsid w:val="00870BAF"/>
    <w:rsid w:val="00886A7A"/>
    <w:rsid w:val="008B244E"/>
    <w:rsid w:val="008E73AC"/>
    <w:rsid w:val="00942DAB"/>
    <w:rsid w:val="009655EA"/>
    <w:rsid w:val="00977CFB"/>
    <w:rsid w:val="00984C4F"/>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44E16"/>
    <w:rsid w:val="00B45F6B"/>
    <w:rsid w:val="00B65FDF"/>
    <w:rsid w:val="00B9692F"/>
    <w:rsid w:val="00BD4E97"/>
    <w:rsid w:val="00BD739E"/>
    <w:rsid w:val="00BE3DD8"/>
    <w:rsid w:val="00C03794"/>
    <w:rsid w:val="00C10D3A"/>
    <w:rsid w:val="00C17664"/>
    <w:rsid w:val="00C23D10"/>
    <w:rsid w:val="00C53EFF"/>
    <w:rsid w:val="00C829BA"/>
    <w:rsid w:val="00C909D3"/>
    <w:rsid w:val="00CD468E"/>
    <w:rsid w:val="00D053C2"/>
    <w:rsid w:val="00D16016"/>
    <w:rsid w:val="00D162C8"/>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alerts/intravenous-potassium-chloride/" TargetMode="External"/><Relationship Id="rId9" Type="http://schemas.openxmlformats.org/officeDocument/2006/relationships/hyperlink" Target="http://www.nrls.npsa.nhs.uk/resources/?entryid45=59882"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4435</Characters>
  <Application>Microsoft Macintosh Word</Application>
  <DocSecurity>0</DocSecurity>
  <Lines>36</Lines>
  <Paragraphs>8</Paragraphs>
  <ScaleCrop>false</ScaleCrop>
  <Company>gd</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2014-11-17T05:21:00Z</dcterms:created>
  <dcterms:modified xsi:type="dcterms:W3CDTF">2014-11-17T05:21:00Z</dcterms:modified>
</cp:coreProperties>
</file>