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6E077D" w:rsidRDefault="006E077D">
      <w:pPr>
        <w:spacing w:after="0"/>
        <w:rPr>
          <w:rFonts w:cs="Times New Roman"/>
          <w:color w:val="000000" w:themeColor="text1"/>
          <w:spacing w:val="4"/>
          <w:szCs w:val="18"/>
        </w:rPr>
      </w:pPr>
    </w:p>
    <w:p w:rsidR="006E077D" w:rsidRPr="006E077D" w:rsidRDefault="006E077D" w:rsidP="006E077D">
      <w:pPr>
        <w:pStyle w:val="00pagetopleft"/>
      </w:pPr>
      <w:r w:rsidRPr="006E077D">
        <w:t>Hospital-wide policies</w:t>
      </w:r>
    </w:p>
    <w:p w:rsidR="006E077D" w:rsidRDefault="006E077D" w:rsidP="006E077D">
      <w:pPr>
        <w:pStyle w:val="00pagetop2right"/>
        <w:spacing w:after="0"/>
      </w:pPr>
      <w:r w:rsidRPr="006E077D">
        <w:t>QUM domains: Judicious selection</w:t>
      </w:r>
    </w:p>
    <w:p w:rsidR="006E077D" w:rsidRDefault="006E077D" w:rsidP="006E077D">
      <w:pPr>
        <w:pStyle w:val="00pagetop2right"/>
        <w:spacing w:before="0" w:after="0"/>
      </w:pPr>
      <w:r w:rsidRPr="006E077D">
        <w:t>Appropriate choice</w:t>
      </w:r>
    </w:p>
    <w:p w:rsidR="006E077D" w:rsidRDefault="006E077D" w:rsidP="006E077D">
      <w:pPr>
        <w:pStyle w:val="00pagetop2right"/>
        <w:spacing w:before="0"/>
      </w:pPr>
      <w:r w:rsidRPr="006E077D">
        <w:t>Safe and effective use</w:t>
      </w:r>
    </w:p>
    <w:p w:rsidR="00E0132D" w:rsidRDefault="00AE21AC" w:rsidP="006E077D">
      <w:pPr>
        <w:pStyle w:val="00IndicatorH1"/>
      </w:pPr>
      <w:r>
        <w:t>6.2 Percentage of patients that are reviewed by a clinical pharmacist within one day of admission</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availability of timely clinical pharmacy services for all patients. </w:t>
      </w:r>
    </w:p>
    <w:p w:rsidR="00E0132D" w:rsidRDefault="00AE21AC">
      <w:pPr>
        <w:pStyle w:val="x01-h2"/>
        <w:rPr>
          <w:rFonts w:cs="Times New Roman"/>
        </w:rPr>
      </w:pPr>
      <w:r>
        <w:rPr>
          <w:rFonts w:cs="Times New Roman"/>
        </w:rPr>
        <w:t>Background and evidence</w:t>
      </w:r>
    </w:p>
    <w:p w:rsidR="00E0132D" w:rsidRDefault="00AE21AC" w:rsidP="006E077D">
      <w:pPr>
        <w:pStyle w:val="02Body"/>
      </w:pPr>
      <w:r>
        <w:t>Pharmacists undertake clinical pharmacy activities for individual patients to minimise the inherent risk associated with the use of medicines and to optimise the use of medicines. Clinical pharmacy activities support a collaborative approach (with patients, carers, prescribers and other health professionals) to medication management. Australian and overseas practice-based evidence confirms that clinical pharmacy activities reduce morbidity, mortality and the cost of care.</w:t>
      </w:r>
      <w:r>
        <w:rPr>
          <w:rStyle w:val="x02-superscript"/>
        </w:rPr>
        <w:t>1</w:t>
      </w:r>
    </w:p>
    <w:p w:rsidR="00E0132D" w:rsidRDefault="00AE21AC" w:rsidP="006E077D">
      <w:pPr>
        <w:pStyle w:val="02Body"/>
      </w:pPr>
      <w:r>
        <w:t>The services provided by clinical pharmacists to individual patients include:</w:t>
      </w:r>
    </w:p>
    <w:p w:rsidR="00E0132D" w:rsidRDefault="00AE21AC" w:rsidP="006E077D">
      <w:pPr>
        <w:pStyle w:val="02bullet"/>
      </w:pPr>
      <w:r>
        <w:t>medication reconciliation</w:t>
      </w:r>
    </w:p>
    <w:p w:rsidR="00E0132D" w:rsidRDefault="00AE21AC" w:rsidP="006E077D">
      <w:pPr>
        <w:pStyle w:val="02bullet"/>
      </w:pPr>
      <w:r>
        <w:t>assessment of current medication management</w:t>
      </w:r>
    </w:p>
    <w:p w:rsidR="00E0132D" w:rsidRDefault="00AE21AC" w:rsidP="006E077D">
      <w:pPr>
        <w:pStyle w:val="02bullet"/>
      </w:pPr>
      <w:r>
        <w:t>clinical review, therapeutic medicine monitoring</w:t>
      </w:r>
    </w:p>
    <w:p w:rsidR="00E0132D" w:rsidRDefault="00AE21AC" w:rsidP="006E077D">
      <w:pPr>
        <w:pStyle w:val="02bullet"/>
      </w:pPr>
      <w:r>
        <w:t>adverse drug reaction management</w:t>
      </w:r>
    </w:p>
    <w:p w:rsidR="00E0132D" w:rsidRDefault="00AE21AC" w:rsidP="006E077D">
      <w:pPr>
        <w:pStyle w:val="02bullet"/>
      </w:pPr>
      <w:r>
        <w:t>contribution to the medication management plan</w:t>
      </w:r>
    </w:p>
    <w:p w:rsidR="00E0132D" w:rsidRDefault="00AE21AC" w:rsidP="006E077D">
      <w:pPr>
        <w:pStyle w:val="02bullet"/>
      </w:pPr>
      <w:r>
        <w:t>provision of medicines information</w:t>
      </w:r>
    </w:p>
    <w:p w:rsidR="00E0132D" w:rsidRDefault="00AE21AC" w:rsidP="006E077D">
      <w:pPr>
        <w:pStyle w:val="02bullet"/>
      </w:pPr>
      <w:r>
        <w:t>facilitation of continuity of medication management on discharge or transfer.</w:t>
      </w:r>
      <w:r>
        <w:rPr>
          <w:rStyle w:val="x02-superscript"/>
        </w:rPr>
        <w:t>1</w:t>
      </w:r>
      <w:r>
        <w:t xml:space="preserve"> </w:t>
      </w:r>
    </w:p>
    <w:p w:rsidR="00E0132D" w:rsidRDefault="00AE21AC" w:rsidP="006E077D">
      <w:pPr>
        <w:pStyle w:val="02Body"/>
      </w:pPr>
      <w:r>
        <w:t>Clinical pharmacist review should inform prescribing decisions and therefore should be initiated as soon as possible after patient admission.</w:t>
      </w:r>
      <w:r>
        <w:rPr>
          <w:rStyle w:val="x02-superscript"/>
        </w:rPr>
        <w:t>1</w:t>
      </w:r>
    </w:p>
    <w:p w:rsidR="00E0132D" w:rsidRDefault="00AE21AC">
      <w:pPr>
        <w:pStyle w:val="x01-h2"/>
        <w:rPr>
          <w:rFonts w:cs="Times New Roman"/>
        </w:rPr>
      </w:pPr>
      <w:r>
        <w:rPr>
          <w:rFonts w:cs="Times New Roman"/>
        </w:rPr>
        <w:t>Key definitions</w:t>
      </w:r>
    </w:p>
    <w:p w:rsidR="00E0132D" w:rsidRDefault="00AE21AC" w:rsidP="006E077D">
      <w:pPr>
        <w:pStyle w:val="02Body"/>
      </w:pPr>
      <w:r>
        <w:rPr>
          <w:rStyle w:val="x02-body-bold"/>
        </w:rPr>
        <w:t>Patients</w:t>
      </w:r>
      <w:r>
        <w:t xml:space="preserve"> refers to all patients admitted for at least 24 hours. </w:t>
      </w:r>
    </w:p>
    <w:p w:rsidR="00E0132D" w:rsidRDefault="00AE21AC" w:rsidP="006E077D">
      <w:pPr>
        <w:pStyle w:val="02Body"/>
      </w:pPr>
      <w:r>
        <w:rPr>
          <w:rStyle w:val="x02-body-bold"/>
        </w:rPr>
        <w:t>Review by a clinical pharmacist</w:t>
      </w:r>
      <w:r>
        <w:t xml:space="preserve"> means there is explicit documentation by the pharmacist on the medication chart or in the medical record demonstrating that review has occurred. </w:t>
      </w:r>
    </w:p>
    <w:p w:rsidR="00E0132D" w:rsidRDefault="00AE21AC" w:rsidP="006E077D">
      <w:pPr>
        <w:pStyle w:val="02Body"/>
      </w:pPr>
      <w:r>
        <w:rPr>
          <w:rStyle w:val="x02-body-bold"/>
        </w:rPr>
        <w:t>Within one day of admission</w:t>
      </w:r>
      <w:r>
        <w:t xml:space="preserve"> means documentation of clinical pharmacist review was signed and dated by the end of the next calendar day after admission. </w:t>
      </w:r>
    </w:p>
    <w:p w:rsidR="00E0132D" w:rsidRDefault="00AE21AC">
      <w:pPr>
        <w:pStyle w:val="x01-h2"/>
        <w:rPr>
          <w:rFonts w:cs="Times New Roman"/>
        </w:rPr>
      </w:pPr>
      <w:r>
        <w:rPr>
          <w:rFonts w:cs="Times New Roman"/>
        </w:rPr>
        <w:t>Data collection for local use</w:t>
      </w:r>
    </w:p>
    <w:p w:rsidR="00E0132D" w:rsidRDefault="00AE21AC" w:rsidP="006E077D">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6E077D">
      <w:pPr>
        <w:pStyle w:val="02Body"/>
      </w:pPr>
      <w:r>
        <w:rPr>
          <w:rStyle w:val="x02-body-bold"/>
        </w:rPr>
        <w:t>Inclusion criteria:</w:t>
      </w:r>
      <w:r>
        <w:t xml:space="preserve"> Adult, paediatric and neonatal patients admitted to hospital.</w:t>
      </w:r>
    </w:p>
    <w:p w:rsidR="00E0132D" w:rsidRDefault="00AE21AC" w:rsidP="006E077D">
      <w:pPr>
        <w:pStyle w:val="02Body"/>
      </w:pPr>
      <w:r>
        <w:rPr>
          <w:rStyle w:val="x02-body-bold"/>
        </w:rPr>
        <w:t>Exclusion criteria:</w:t>
      </w:r>
      <w:r>
        <w:t xml:space="preserve"> Patients with a length of stay in hospital less than 24 hours.</w:t>
      </w:r>
    </w:p>
    <w:p w:rsidR="00E0132D" w:rsidRDefault="00AE21AC" w:rsidP="006E077D">
      <w:pPr>
        <w:pStyle w:val="02Body"/>
      </w:pPr>
      <w:r>
        <w:rPr>
          <w:rStyle w:val="x02-body-bold"/>
        </w:rPr>
        <w:t>Recommended data sources:</w:t>
      </w:r>
      <w:r>
        <w:t xml:space="preserve"> Medical records, medication management plans or reconciliation forms and medication charts.</w:t>
      </w:r>
    </w:p>
    <w:p w:rsidR="00E0132D" w:rsidRDefault="00AE21AC" w:rsidP="006E077D">
      <w:pPr>
        <w:pStyle w:val="02Body"/>
      </w:pPr>
      <w:r>
        <w:t>The data collection tool for QUM Indicator 6.2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6E077D">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6E077D" w:rsidP="00E71EDF">
      <w:pPr>
        <w:pStyle w:val="02Body"/>
      </w:pPr>
      <w:r>
        <w:rPr>
          <w:noProof/>
          <w:lang w:val="en-US"/>
        </w:rPr>
        <w:drawing>
          <wp:inline distT="0" distB="0" distL="0" distR="0">
            <wp:extent cx="1795272" cy="652272"/>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6E077D">
      <w:pPr>
        <w:pStyle w:val="02Body"/>
      </w:pPr>
      <w:r>
        <w:rPr>
          <w:rStyle w:val="x02-body-bold"/>
        </w:rPr>
        <w:t>Numerator</w:t>
      </w:r>
      <w:r>
        <w:t xml:space="preserve"> = Number of patients reviewed by a clinical pharmacist within one day of admission</w:t>
      </w:r>
    </w:p>
    <w:p w:rsidR="00E0132D" w:rsidRDefault="00AE21AC" w:rsidP="006E077D">
      <w:pPr>
        <w:pStyle w:val="02Body"/>
      </w:pPr>
      <w:r>
        <w:rPr>
          <w:rStyle w:val="x02-body-bold"/>
        </w:rPr>
        <w:t>Denominator</w:t>
      </w:r>
      <w:r>
        <w:t xml:space="preserve"> = Number of patients in sample</w:t>
      </w:r>
    </w:p>
    <w:p w:rsidR="00E0132D" w:rsidRDefault="00AE21AC">
      <w:pPr>
        <w:pStyle w:val="x01-h2"/>
        <w:rPr>
          <w:rFonts w:cs="Times New Roman"/>
        </w:rPr>
      </w:pPr>
      <w:r>
        <w:rPr>
          <w:rFonts w:cs="Times New Roman"/>
        </w:rPr>
        <w:t>Limitations and interpretation</w:t>
      </w:r>
    </w:p>
    <w:p w:rsidR="00E0132D" w:rsidRDefault="00AE21AC" w:rsidP="006E077D">
      <w:pPr>
        <w:pStyle w:val="02Body"/>
      </w:pPr>
      <w:r>
        <w:t>Data collection relies on documentation in the clinical record (generally on the medication chart) of the date of review by a clinical pharmacist. Good documentation supports quality patient care</w:t>
      </w:r>
      <w:r>
        <w:rPr>
          <w:rStyle w:val="x02-superscript"/>
        </w:rPr>
        <w:t>2</w:t>
      </w:r>
      <w:r>
        <w:t xml:space="preserve"> and is a critical component of management of adverse drug reactions. Poor communication can result in adverse medicine events.</w:t>
      </w:r>
      <w:r>
        <w:rPr>
          <w:rStyle w:val="x02-superscript"/>
        </w:rPr>
        <w:t>3</w:t>
      </w:r>
      <w:r>
        <w:t xml:space="preserve"> Thus it is assumed that absence of explicit documentation means no clinical pharmacy review was performed.</w:t>
      </w:r>
    </w:p>
    <w:p w:rsidR="00E0132D" w:rsidRDefault="00AE21AC" w:rsidP="006E077D">
      <w:pPr>
        <w:pStyle w:val="02Body"/>
      </w:pPr>
      <w:r>
        <w:t>This indicator does not assess the extent, appropriateness or quality of the clinical pharmacy service or the pharmaceutical review process provided to an individual patient.</w:t>
      </w:r>
    </w:p>
    <w:p w:rsidR="00E0132D" w:rsidRDefault="00AE21AC" w:rsidP="006E077D">
      <w:pPr>
        <w:pStyle w:val="02Body"/>
      </w:pPr>
      <w:r>
        <w:t>It is acknowledged that some patients may not require full clinical pharmacy review services and therefore the target for this indicator is not necessarily 100%. For example, uncomplicated obstetrics cases and those patients who have been reviewed by a clinical pharmacist in a pre-admission clinic may have a less urgent need for a clinical pharmacy review at admission.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6E077D">
        <w:tc>
          <w:tcPr>
            <w:tcW w:w="10132" w:type="dxa"/>
            <w:shd w:val="clear" w:color="auto" w:fill="DCF1F6"/>
          </w:tcPr>
          <w:p w:rsidR="006E077D" w:rsidRDefault="006E077D" w:rsidP="006E077D">
            <w:pPr>
              <w:pStyle w:val="x01-h2"/>
              <w:rPr>
                <w:rFonts w:cs="Times New Roman"/>
              </w:rPr>
            </w:pPr>
            <w:r>
              <w:rPr>
                <w:rFonts w:cs="Times New Roman"/>
              </w:rPr>
              <w:t>Further information</w:t>
            </w:r>
          </w:p>
          <w:p w:rsidR="006E077D" w:rsidRDefault="006E077D" w:rsidP="006E077D">
            <w:pPr>
              <w:pStyle w:val="NormalWeb"/>
            </w:pPr>
            <w:r>
              <w:t>The Society of Hospital Pharmacists of Australia has published Standards of Practice for Clinical Pharmacy</w:t>
            </w:r>
            <w:r>
              <w:rPr>
                <w:rStyle w:val="x02-superscript"/>
              </w:rPr>
              <w:t>1</w:t>
            </w:r>
            <w:r>
              <w:t xml:space="preserve"> and a number of quick guides and factsheets which support the role of clinical pharmacists in patient care, available at </w:t>
            </w:r>
            <w:hyperlink r:id="rId8" w:history="1">
              <w:r w:rsidRPr="006E077D">
                <w:rPr>
                  <w:rStyle w:val="x02-url"/>
                </w:rPr>
                <w:t>www.shpa.org.au</w:t>
              </w:r>
            </w:hyperlink>
          </w:p>
          <w:p w:rsidR="006E077D" w:rsidRDefault="006E077D" w:rsidP="006E077D">
            <w:pPr>
              <w:pStyle w:val="NormalWeb"/>
            </w:pPr>
            <w:r>
              <w:t>Medication Safety Self Assessment for Australian Hospitals</w:t>
            </w:r>
            <w:r>
              <w:rPr>
                <w:rStyle w:val="x02-superscript"/>
              </w:rPr>
              <w:t>4</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9" w:history="1">
              <w:r w:rsidRPr="006E077D">
                <w:rPr>
                  <w:rStyle w:val="x02-url"/>
                </w:rPr>
                <w:t>www.cec.health.nsw.gov.au</w:t>
              </w:r>
            </w:hyperlink>
          </w:p>
          <w:p w:rsidR="006E077D" w:rsidRDefault="006E077D" w:rsidP="006E077D">
            <w:pPr>
              <w:pStyle w:val="NormalWeb"/>
            </w:pPr>
            <w:r>
              <w:t>This indicator can be used to assist hospitals in meeting the National Safety and Quality Health Service Standard 1 [items 1.2.1, 1.2.2, 1.5.2, 1.6.1, 1.6.2, 1.8.1] and Standard 4 [items 4.1.2, 4.2.2, 4.5.1, 4.5.2, 4.6.1].</w:t>
            </w:r>
            <w:r>
              <w:rPr>
                <w:rStyle w:val="x02-superscript"/>
              </w:rPr>
              <w:t>5</w:t>
            </w:r>
          </w:p>
        </w:tc>
      </w:tr>
    </w:tbl>
    <w:p w:rsidR="006E077D" w:rsidRDefault="006E077D" w:rsidP="006E077D">
      <w:pPr>
        <w:pStyle w:val="02Body"/>
      </w:pPr>
    </w:p>
    <w:p w:rsidR="006E077D" w:rsidRDefault="006E077D">
      <w:pPr>
        <w:spacing w:after="0"/>
        <w:rPr>
          <w:rStyle w:val="x02-body-bold"/>
          <w:rFonts w:cs="HelveticaNeue-Light"/>
          <w:color w:val="000000"/>
          <w:spacing w:val="4"/>
          <w:szCs w:val="18"/>
          <w:lang w:val="en-GB"/>
        </w:rPr>
      </w:pPr>
      <w:r>
        <w:rPr>
          <w:rStyle w:val="x02-body-bold"/>
          <w:rFonts w:cs="Times New Roman"/>
        </w:rPr>
        <w:br w:type="page"/>
      </w: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Society of Hospital Pharmacists of Australia Committee of Speciality Practice in Clinical Pharmacy. SHPA Standards of Practice for Clinical Pharmacy Services. J Pharm Prac Res 2013; 43(2): s2-s5.</w:t>
      </w:r>
    </w:p>
    <w:p w:rsidR="00E0132D" w:rsidRDefault="00AE21AC" w:rsidP="00C03794">
      <w:pPr>
        <w:pStyle w:val="x04-footnotes"/>
        <w:ind w:left="142" w:hanging="142"/>
        <w:rPr>
          <w:rFonts w:cs="Times New Roman"/>
        </w:rPr>
      </w:pPr>
      <w:r>
        <w:rPr>
          <w:rFonts w:cs="Times New Roman"/>
        </w:rPr>
        <w:t>2.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3.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4.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5. Australian Commission on Safety and Quality in Health Care. National Safety and Quality Health Service Standards. Sydney, ACSQHC, 2012. </w:t>
      </w:r>
    </w:p>
    <w:p w:rsidR="006E077D" w:rsidRDefault="006E077D">
      <w:pPr>
        <w:spacing w:after="0"/>
        <w:rPr>
          <w:rFonts w:eastAsia="Times New Roman" w:cs="Times New Roman"/>
          <w:b/>
          <w:bCs/>
          <w:kern w:val="36"/>
          <w:sz w:val="48"/>
          <w:szCs w:val="48"/>
        </w:rPr>
      </w:pPr>
    </w:p>
    <w:sectPr w:rsidR="006E077D"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B25373"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B25373"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C703CB">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54564"/>
    <w:rsid w:val="00563638"/>
    <w:rsid w:val="0056365B"/>
    <w:rsid w:val="005779CD"/>
    <w:rsid w:val="0059488F"/>
    <w:rsid w:val="005A754B"/>
    <w:rsid w:val="005B61D8"/>
    <w:rsid w:val="005E2FCF"/>
    <w:rsid w:val="00604336"/>
    <w:rsid w:val="006174E8"/>
    <w:rsid w:val="00686E36"/>
    <w:rsid w:val="00697608"/>
    <w:rsid w:val="006E077D"/>
    <w:rsid w:val="00721340"/>
    <w:rsid w:val="00785DF5"/>
    <w:rsid w:val="007A2E5D"/>
    <w:rsid w:val="007D0679"/>
    <w:rsid w:val="00813A35"/>
    <w:rsid w:val="0083412A"/>
    <w:rsid w:val="00844813"/>
    <w:rsid w:val="00852DB6"/>
    <w:rsid w:val="00856734"/>
    <w:rsid w:val="00870BAF"/>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25373"/>
    <w:rsid w:val="00B44E16"/>
    <w:rsid w:val="00B45F6B"/>
    <w:rsid w:val="00B65FDF"/>
    <w:rsid w:val="00B9692F"/>
    <w:rsid w:val="00BD4E97"/>
    <w:rsid w:val="00BD739E"/>
    <w:rsid w:val="00BE3DD8"/>
    <w:rsid w:val="00C03794"/>
    <w:rsid w:val="00C10D3A"/>
    <w:rsid w:val="00C17664"/>
    <w:rsid w:val="00C23D10"/>
    <w:rsid w:val="00C53EFF"/>
    <w:rsid w:val="00C703CB"/>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hpa.org.au" TargetMode="External"/><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4592</Characters>
  <Application>Microsoft Macintosh Word</Application>
  <DocSecurity>0</DocSecurity>
  <Lines>38</Lines>
  <Paragraphs>9</Paragraphs>
  <ScaleCrop>false</ScaleCrop>
  <Company>gd</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2014-11-17T05:22:00Z</dcterms:created>
  <dcterms:modified xsi:type="dcterms:W3CDTF">2014-11-17T05:22:00Z</dcterms:modified>
</cp:coreProperties>
</file>