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D47826" w:rsidRPr="00D47826" w:rsidRDefault="00D47826" w:rsidP="00D47826">
      <w:pPr>
        <w:pStyle w:val="00pagetopleft"/>
      </w:pPr>
      <w:r w:rsidRPr="00D47826">
        <w:t>Hospital-wide policies</w:t>
      </w:r>
    </w:p>
    <w:p w:rsidR="00D47826" w:rsidRPr="00D47826" w:rsidRDefault="00D47826" w:rsidP="00D47826">
      <w:pPr>
        <w:pStyle w:val="00pagetop2right"/>
      </w:pPr>
      <w:r w:rsidRPr="00D47826">
        <w:t>QUM domain: Appropriate choice</w:t>
      </w:r>
    </w:p>
    <w:p w:rsidR="00E0132D" w:rsidRDefault="00AE21AC" w:rsidP="00D47826">
      <w:pPr>
        <w:pStyle w:val="00IndicatorH1"/>
      </w:pPr>
      <w:r>
        <w:t>6.4 Percentage of submissions for formulary listing of new chemical entities for which the drug and therapeutics committee has access to adequate information for appropriate decision making</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This indicator addresses the effectiveness of processes that promote systematic and consistent decision-making by area or hospital-based drug and therapeutics committees (DTCs).</w:t>
      </w:r>
    </w:p>
    <w:p w:rsidR="00E0132D" w:rsidRDefault="00AE21AC">
      <w:pPr>
        <w:pStyle w:val="x01-h2"/>
        <w:rPr>
          <w:rFonts w:cs="Times New Roman"/>
        </w:rPr>
      </w:pPr>
      <w:r>
        <w:rPr>
          <w:rFonts w:cs="Times New Roman"/>
        </w:rPr>
        <w:t>Background and evidence</w:t>
      </w:r>
    </w:p>
    <w:p w:rsidR="00E0132D" w:rsidRDefault="00AE21AC" w:rsidP="00D47826">
      <w:pPr>
        <w:pStyle w:val="02Body"/>
      </w:pPr>
      <w:r>
        <w:t xml:space="preserve">A structured approach to formulary additions encourages evidence-based </w:t>
      </w:r>
      <w:proofErr w:type="gramStart"/>
      <w:r>
        <w:t>decision making</w:t>
      </w:r>
      <w:proofErr w:type="gramEnd"/>
      <w:r>
        <w:t xml:space="preserve"> and promotes consistency and equity of access to medicines.</w:t>
      </w:r>
      <w:r>
        <w:rPr>
          <w:rStyle w:val="x02-superscript"/>
        </w:rPr>
        <w:t>1</w:t>
      </w:r>
      <w:r>
        <w:t xml:space="preserve"> Formulary decisions should take into account objective and appropriately detailed information including relative efficacy, safety and cost-effectiveness in comparison with current alternative therapies. Information about local clinical needs, intended use, potential safety issues and potential cost impacts will also be required if an informed decision is to be made. In some hospitals, the DTC may not make formulary decisions but will act as an advisory body to clinical units. In such cases, the same level of information is required. </w:t>
      </w:r>
    </w:p>
    <w:p w:rsidR="00E0132D" w:rsidRDefault="00AE21AC" w:rsidP="00D47826">
      <w:pPr>
        <w:pStyle w:val="02Body"/>
      </w:pPr>
      <w:r>
        <w:t>A study of Australian paediatric DTCs</w:t>
      </w:r>
      <w:r>
        <w:rPr>
          <w:rStyle w:val="x02-superscript"/>
        </w:rPr>
        <w:t>2</w:t>
      </w:r>
      <w:r>
        <w:t xml:space="preserve"> found that the quality of submission by applicants was variable and that only one of eight hospitals described the information provided by applicants as generally adequate.</w:t>
      </w:r>
      <w:r>
        <w:rPr>
          <w:rStyle w:val="x02-superscript"/>
        </w:rPr>
        <w:t>3</w:t>
      </w:r>
    </w:p>
    <w:p w:rsidR="00E0132D" w:rsidRDefault="00AE21AC" w:rsidP="00D47826">
      <w:pPr>
        <w:pStyle w:val="02Body"/>
      </w:pPr>
      <w:r>
        <w:t>Use of a standard application form for formulary submissions that includes prompts for information requirements can assist in ensuring that adequate information is provided and that consistent and transparent formulary decisions can then be made by the area- or hospital-based DTCs. A template form for formulary submissions has been prepared by the NSW Therapeutic Advisory Group</w:t>
      </w:r>
      <w:r>
        <w:rPr>
          <w:rStyle w:val="x02-superscript"/>
        </w:rPr>
        <w:t>1</w:t>
      </w:r>
      <w:r>
        <w:t xml:space="preserve"> and is available at </w:t>
      </w:r>
      <w:hyperlink r:id="rId7" w:history="1">
        <w:r w:rsidRPr="00D47826">
          <w:rPr>
            <w:rStyle w:val="x02-url"/>
          </w:rPr>
          <w:t>www.nswtag.org.au</w:t>
        </w:r>
      </w:hyperlink>
      <w:r w:rsidRPr="00D47826">
        <w:rPr>
          <w:rStyle w:val="x02-url"/>
        </w:rPr>
        <w:t>.</w:t>
      </w:r>
    </w:p>
    <w:p w:rsidR="00E0132D" w:rsidRDefault="00AE21AC">
      <w:pPr>
        <w:pStyle w:val="x01-h2"/>
        <w:rPr>
          <w:rFonts w:cs="Times New Roman"/>
        </w:rPr>
      </w:pPr>
      <w:r>
        <w:rPr>
          <w:rFonts w:cs="Times New Roman"/>
        </w:rPr>
        <w:t>Key definitions</w:t>
      </w:r>
    </w:p>
    <w:p w:rsidR="00E0132D" w:rsidRDefault="00AE21AC" w:rsidP="00D47826">
      <w:pPr>
        <w:pStyle w:val="02Body"/>
      </w:pPr>
      <w:r>
        <w:rPr>
          <w:rStyle w:val="x02-body-bold"/>
        </w:rPr>
        <w:t>Formulary</w:t>
      </w:r>
      <w:r>
        <w:t xml:space="preserve"> refers to the list of pharmaceutical </w:t>
      </w:r>
      <w:proofErr w:type="gramStart"/>
      <w:r>
        <w:t>products which</w:t>
      </w:r>
      <w:proofErr w:type="gramEnd"/>
      <w:r>
        <w:t xml:space="preserve"> have been approved by the DTC for use in the hospital or area health service.</w:t>
      </w:r>
    </w:p>
    <w:p w:rsidR="00E0132D" w:rsidRDefault="00AE21AC" w:rsidP="00D47826">
      <w:pPr>
        <w:pStyle w:val="02Body"/>
      </w:pPr>
      <w:r>
        <w:rPr>
          <w:rStyle w:val="x02-body-bold"/>
        </w:rPr>
        <w:t>Adequate information</w:t>
      </w:r>
      <w:r>
        <w:t xml:space="preserve"> means objective comparative information about clinical efficacy and safety, economic analysis and assessment of local clinical need. </w:t>
      </w:r>
    </w:p>
    <w:p w:rsidR="00E0132D" w:rsidRDefault="00AE21AC" w:rsidP="00D47826">
      <w:pPr>
        <w:pStyle w:val="02Body"/>
      </w:pPr>
      <w:r>
        <w:t xml:space="preserve">Objective comparative information about clinical efficacy and safety includes clinical trial data from well designed (blinded randomised controlled) </w:t>
      </w:r>
      <w:proofErr w:type="gramStart"/>
      <w:r>
        <w:t>studies which</w:t>
      </w:r>
      <w:proofErr w:type="gramEnd"/>
      <w:r>
        <w:t xml:space="preserve"> compare the new medicine with an appropriate comparator. The context of the clinical trial should be consistent with expected clinical practice. </w:t>
      </w:r>
    </w:p>
    <w:p w:rsidR="00E0132D" w:rsidRDefault="00AE21AC" w:rsidP="00D47826">
      <w:pPr>
        <w:pStyle w:val="02Body"/>
      </w:pPr>
      <w:r>
        <w:t>Economic analysis includes clinical trial data that include economic endpoints or modelling of economic data. The analysis may take a societal or institutional perspective and should include a sensitivity analysis, explanation of assumptions.</w:t>
      </w:r>
    </w:p>
    <w:p w:rsidR="00E0132D" w:rsidRDefault="00AE21AC" w:rsidP="00D47826">
      <w:pPr>
        <w:pStyle w:val="02Body"/>
      </w:pPr>
      <w:r>
        <w:t>Assessment of local clinical need may include any of the following:</w:t>
      </w:r>
    </w:p>
    <w:p w:rsidR="00E0132D" w:rsidRDefault="00AE21AC" w:rsidP="00D47826">
      <w:pPr>
        <w:pStyle w:val="02bullet"/>
      </w:pPr>
      <w:proofErr w:type="gramStart"/>
      <w:r>
        <w:t>therapeutic</w:t>
      </w:r>
      <w:proofErr w:type="gramEnd"/>
      <w:r>
        <w:t xml:space="preserve"> alternatives to the new drug</w:t>
      </w:r>
    </w:p>
    <w:p w:rsidR="00E0132D" w:rsidRDefault="00AE21AC" w:rsidP="00D47826">
      <w:pPr>
        <w:pStyle w:val="02bullet"/>
      </w:pPr>
      <w:proofErr w:type="gramStart"/>
      <w:r>
        <w:t>medicine</w:t>
      </w:r>
      <w:proofErr w:type="gramEnd"/>
      <w:r>
        <w:t xml:space="preserve"> utilisation information</w:t>
      </w:r>
    </w:p>
    <w:p w:rsidR="00E0132D" w:rsidRDefault="00AE21AC" w:rsidP="00D47826">
      <w:pPr>
        <w:pStyle w:val="02bullet"/>
      </w:pPr>
      <w:proofErr w:type="gramStart"/>
      <w:r>
        <w:t>relevant</w:t>
      </w:r>
      <w:proofErr w:type="gramEnd"/>
      <w:r>
        <w:t xml:space="preserve"> medication error and adverse drug reaction reports</w:t>
      </w:r>
    </w:p>
    <w:p w:rsidR="00E0132D" w:rsidRDefault="00AE21AC" w:rsidP="00D47826">
      <w:pPr>
        <w:pStyle w:val="02bullet"/>
      </w:pPr>
      <w:proofErr w:type="gramStart"/>
      <w:r>
        <w:t>readmission</w:t>
      </w:r>
      <w:proofErr w:type="gramEnd"/>
      <w:r>
        <w:t xml:space="preserve"> rates due to drug related problems</w:t>
      </w:r>
    </w:p>
    <w:p w:rsidR="00E0132D" w:rsidRDefault="00AE21AC" w:rsidP="00D47826">
      <w:pPr>
        <w:pStyle w:val="02bullet"/>
      </w:pPr>
      <w:proofErr w:type="gramStart"/>
      <w:r>
        <w:t>local</w:t>
      </w:r>
      <w:proofErr w:type="gramEnd"/>
      <w:r>
        <w:t xml:space="preserve"> antimicrobial resistance patterns</w:t>
      </w:r>
    </w:p>
    <w:p w:rsidR="00E0132D" w:rsidRDefault="00AE21AC" w:rsidP="00D47826">
      <w:pPr>
        <w:pStyle w:val="02bullet"/>
      </w:pPr>
      <w:proofErr w:type="gramStart"/>
      <w:r>
        <w:t>case</w:t>
      </w:r>
      <w:proofErr w:type="gramEnd"/>
      <w:r>
        <w:t xml:space="preserve"> mix and specialty services</w:t>
      </w:r>
    </w:p>
    <w:p w:rsidR="00E0132D" w:rsidRDefault="00AE21AC" w:rsidP="00D47826">
      <w:pPr>
        <w:pStyle w:val="02bullet"/>
      </w:pPr>
      <w:proofErr w:type="gramStart"/>
      <w:r>
        <w:t>local</w:t>
      </w:r>
      <w:proofErr w:type="gramEnd"/>
      <w:r>
        <w:t xml:space="preserve"> community health needs.</w:t>
      </w:r>
    </w:p>
    <w:p w:rsidR="00E0132D" w:rsidRDefault="00AE21AC">
      <w:pPr>
        <w:pStyle w:val="x01-h2"/>
        <w:rPr>
          <w:rFonts w:cs="Times New Roman"/>
        </w:rPr>
      </w:pPr>
      <w:r>
        <w:rPr>
          <w:rFonts w:cs="Times New Roman"/>
        </w:rPr>
        <w:t>Data collection for local use</w:t>
      </w:r>
    </w:p>
    <w:p w:rsidR="00E0132D" w:rsidRDefault="00AE21AC" w:rsidP="00D47826">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D47826">
      <w:pPr>
        <w:pStyle w:val="02Body"/>
      </w:pPr>
      <w:r>
        <w:rPr>
          <w:rStyle w:val="x02-body-bold"/>
        </w:rPr>
        <w:t>Inclusion criteria:</w:t>
      </w:r>
      <w:r>
        <w:t xml:space="preserve"> Submissions to the DTC for formulary listing of new chemical entities.</w:t>
      </w:r>
    </w:p>
    <w:p w:rsidR="00E0132D" w:rsidRDefault="00AE21AC" w:rsidP="00D47826">
      <w:pPr>
        <w:pStyle w:val="02Body"/>
      </w:pPr>
      <w:r>
        <w:rPr>
          <w:rStyle w:val="x02-body-bold"/>
        </w:rPr>
        <w:t>Exclusion criteria:</w:t>
      </w:r>
      <w:r>
        <w:t xml:space="preserve"> Nil.</w:t>
      </w:r>
    </w:p>
    <w:p w:rsidR="00E0132D" w:rsidRDefault="00AE21AC" w:rsidP="00D47826">
      <w:pPr>
        <w:pStyle w:val="02Body"/>
      </w:pPr>
      <w:r>
        <w:rPr>
          <w:rStyle w:val="x02-body-bold"/>
        </w:rPr>
        <w:t>Recommended data sources:</w:t>
      </w:r>
      <w:r>
        <w:t xml:space="preserve"> DTC minutes and relevant meeting papers.</w:t>
      </w:r>
    </w:p>
    <w:p w:rsidR="00E0132D" w:rsidRDefault="00AE21AC" w:rsidP="00D47826">
      <w:pPr>
        <w:pStyle w:val="02Body"/>
      </w:pPr>
      <w:r>
        <w:t>The data collection tool for QUM Indicator 6.4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pPr>
        <w:pStyle w:val="NormalWeb"/>
      </w:pPr>
      <w:r>
        <w:t>This indicator may be suitable for inter-hospital or inter-service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D47826" w:rsidP="00E71EDF">
      <w:pPr>
        <w:pStyle w:val="02Body"/>
      </w:pPr>
      <w:r>
        <w:rPr>
          <w:noProof/>
          <w:lang w:val="en-US"/>
        </w:rPr>
        <w:drawing>
          <wp:inline distT="0" distB="0" distL="0" distR="0">
            <wp:extent cx="1795272" cy="652272"/>
            <wp:effectExtent l="0" t="0" r="825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8">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D47826">
      <w:pPr>
        <w:pStyle w:val="02Body"/>
      </w:pPr>
      <w:r>
        <w:rPr>
          <w:rStyle w:val="x02-body-bold"/>
        </w:rPr>
        <w:t>Numerator</w:t>
      </w:r>
      <w:r>
        <w:t xml:space="preserve"> = Number of submissions for formulary listing of new chemical entities for which the DTC had access to adequate information for appropriate decision making</w:t>
      </w:r>
    </w:p>
    <w:p w:rsidR="00E0132D" w:rsidRDefault="00AE21AC" w:rsidP="00D47826">
      <w:pPr>
        <w:pStyle w:val="02Body"/>
      </w:pPr>
      <w:r>
        <w:rPr>
          <w:rStyle w:val="x02-body-bold"/>
        </w:rPr>
        <w:t>Denominator</w:t>
      </w:r>
      <w:r>
        <w:t xml:space="preserve"> = All formulary submissions for new chemical entities in sample</w:t>
      </w:r>
    </w:p>
    <w:p w:rsidR="00E0132D" w:rsidRDefault="00AE21AC">
      <w:pPr>
        <w:pStyle w:val="x01-h2"/>
        <w:rPr>
          <w:rFonts w:cs="Times New Roman"/>
        </w:rPr>
      </w:pPr>
      <w:r>
        <w:rPr>
          <w:rFonts w:cs="Times New Roman"/>
        </w:rPr>
        <w:t>Limitations and interpretation</w:t>
      </w:r>
    </w:p>
    <w:p w:rsidR="00E0132D" w:rsidRDefault="00AE21AC" w:rsidP="00D47826">
      <w:pPr>
        <w:pStyle w:val="02Body"/>
      </w:pPr>
      <w:r>
        <w:t>This indicator measures the percentage of decisions for which information was available but does not measure the quality of the information available or the quality of the DTC decision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D47826">
        <w:tc>
          <w:tcPr>
            <w:tcW w:w="10132" w:type="dxa"/>
            <w:shd w:val="clear" w:color="auto" w:fill="DCF1F6"/>
          </w:tcPr>
          <w:p w:rsidR="00D47826" w:rsidRDefault="00D47826" w:rsidP="00D47826">
            <w:pPr>
              <w:pStyle w:val="x01-h2"/>
              <w:rPr>
                <w:rFonts w:cs="Times New Roman"/>
              </w:rPr>
            </w:pPr>
            <w:r>
              <w:rPr>
                <w:rFonts w:cs="Times New Roman"/>
              </w:rPr>
              <w:t>Further information</w:t>
            </w:r>
          </w:p>
          <w:p w:rsidR="00D47826" w:rsidRDefault="00D47826" w:rsidP="00D47826">
            <w:pPr>
              <w:pStyle w:val="NormalWeb"/>
            </w:pPr>
            <w:r>
              <w:t xml:space="preserve">Decision tools for drug and therapeutics committees have been produced by NSW Therapeutic Advisory Group and are available at </w:t>
            </w:r>
            <w:hyperlink r:id="rId9" w:history="1">
              <w:r w:rsidRPr="00D47826">
                <w:rPr>
                  <w:rStyle w:val="x02-url"/>
                </w:rPr>
                <w:t>www.nswtag.org.au</w:t>
              </w:r>
            </w:hyperlink>
          </w:p>
          <w:p w:rsidR="00D47826" w:rsidRDefault="00D47826" w:rsidP="00D47826">
            <w:pPr>
              <w:pStyle w:val="NormalWeb"/>
            </w:pPr>
            <w:r>
              <w:t>Medication Safety Self Assessment for Australian Hospitals</w:t>
            </w:r>
            <w:r>
              <w:rPr>
                <w:rStyle w:val="x02-superscript"/>
              </w:rPr>
              <w:t>4</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10" w:history="1">
              <w:r w:rsidRPr="00D47826">
                <w:rPr>
                  <w:rStyle w:val="x02-url"/>
                </w:rPr>
                <w:t>www.cec.health.nsw.gov.au</w:t>
              </w:r>
            </w:hyperlink>
          </w:p>
          <w:p w:rsidR="00D47826" w:rsidRDefault="00D47826" w:rsidP="00D47826">
            <w:pPr>
              <w:pStyle w:val="NormalWeb"/>
            </w:pPr>
            <w:r>
              <w:t>This indicator can be used to assist hospitals in meeting the National Safety and Quality Health Service Standard 1 [items 1.2.1, 1.2.2, 1.5.2, 1.6.1, 1.6.2] and Standard 4 [items 4.1.1, 4.1.2, 4.2.2, 4.5.1, 4.5.2]</w:t>
            </w:r>
            <w:proofErr w:type="gramStart"/>
            <w:r>
              <w:t>.</w:t>
            </w:r>
            <w:r>
              <w:rPr>
                <w:rStyle w:val="x02-superscript"/>
              </w:rPr>
              <w:t>5</w:t>
            </w:r>
            <w:proofErr w:type="gramEnd"/>
          </w:p>
        </w:tc>
      </w:tr>
    </w:tbl>
    <w:p w:rsidR="000C351C" w:rsidRDefault="000C351C" w:rsidP="000C351C">
      <w:pPr>
        <w:spacing w:after="0"/>
        <w:rPr>
          <w:rStyle w:val="x02-body-bold"/>
          <w:rFonts w:cs="Times New Roman"/>
        </w:rPr>
      </w:pPr>
    </w:p>
    <w:p w:rsidR="00E0132D" w:rsidRPr="000C351C" w:rsidRDefault="00AE21AC" w:rsidP="000C351C">
      <w:pPr>
        <w:spacing w:after="0"/>
        <w:rPr>
          <w:b/>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Hospital formulary submission template: A decision tool for Drug and Therapeutics Committees. NSW Therapeutic Advisory Group, 2009.</w:t>
      </w:r>
    </w:p>
    <w:p w:rsidR="00E0132D" w:rsidRDefault="00AE21AC" w:rsidP="00C03794">
      <w:pPr>
        <w:pStyle w:val="x04-footnotes"/>
        <w:ind w:left="142" w:hanging="142"/>
        <w:rPr>
          <w:rFonts w:cs="Times New Roman"/>
        </w:rPr>
      </w:pPr>
      <w:r>
        <w:rPr>
          <w:rFonts w:cs="Times New Roman"/>
        </w:rPr>
        <w:t xml:space="preserve">2. Sinha YK, Craig JC, Barclay P, et al. Drug approval processes in Australian Paediatric Hospitals. </w:t>
      </w:r>
      <w:proofErr w:type="gramStart"/>
      <w:r>
        <w:rPr>
          <w:rFonts w:cs="Times New Roman"/>
        </w:rPr>
        <w:t>Arch Dis Childhood 2010; 95: 739–744.</w:t>
      </w:r>
      <w:proofErr w:type="gramEnd"/>
    </w:p>
    <w:p w:rsidR="00E0132D" w:rsidRDefault="00AE21AC" w:rsidP="00C03794">
      <w:pPr>
        <w:pStyle w:val="x04-footnotes"/>
        <w:ind w:left="142" w:hanging="142"/>
        <w:rPr>
          <w:rFonts w:cs="Times New Roman"/>
        </w:rPr>
      </w:pPr>
      <w:r>
        <w:rPr>
          <w:rFonts w:cs="Times New Roman"/>
        </w:rPr>
        <w:t>3. Personal communication. Dr Yashwant Sinha, Centre for Kidney Research, The Children’s Hospital at Westmead, 22 Feb 2012.</w:t>
      </w:r>
    </w:p>
    <w:p w:rsidR="00E0132D" w:rsidRDefault="00AE21AC" w:rsidP="00C03794">
      <w:pPr>
        <w:pStyle w:val="x04-footnotes"/>
        <w:ind w:left="142" w:hanging="142"/>
        <w:rPr>
          <w:rFonts w:cs="Times New Roman"/>
        </w:rPr>
      </w:pPr>
      <w:r>
        <w:rPr>
          <w:rFonts w:cs="Times New Roman"/>
        </w:rPr>
        <w:t xml:space="preserve">4.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5. Australian Commission on Safety and Quality in Health Care. National Safety and Quality Health Service Standards. Sydney, ACSQHC, 2012. </w:t>
      </w:r>
    </w:p>
    <w:p w:rsidR="00D47826" w:rsidRDefault="00D47826">
      <w:pPr>
        <w:spacing w:after="0"/>
        <w:rPr>
          <w:rFonts w:eastAsia="Times New Roman" w:cs="Times New Roman"/>
          <w:b/>
          <w:bCs/>
          <w:kern w:val="36"/>
          <w:sz w:val="48"/>
          <w:szCs w:val="48"/>
        </w:rPr>
      </w:pPr>
    </w:p>
    <w:sectPr w:rsidR="00D47826" w:rsidSect="00EC1EC9">
      <w:headerReference w:type="default" r:id="rId11"/>
      <w:footerReference w:type="even" r:id="rId12"/>
      <w:footerReference w:type="default" r:id="rId13"/>
      <w:headerReference w:type="first" r:id="rId14"/>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683C0B"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683C0B"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0C351C">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351C"/>
    <w:rsid w:val="000C57ED"/>
    <w:rsid w:val="000D2E87"/>
    <w:rsid w:val="00105798"/>
    <w:rsid w:val="001139CE"/>
    <w:rsid w:val="001145FC"/>
    <w:rsid w:val="00136A82"/>
    <w:rsid w:val="0014196D"/>
    <w:rsid w:val="00161700"/>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54564"/>
    <w:rsid w:val="00563638"/>
    <w:rsid w:val="0056365B"/>
    <w:rsid w:val="005779CD"/>
    <w:rsid w:val="0059488F"/>
    <w:rsid w:val="005A754B"/>
    <w:rsid w:val="005B61D8"/>
    <w:rsid w:val="005E2FCF"/>
    <w:rsid w:val="00604336"/>
    <w:rsid w:val="006174E8"/>
    <w:rsid w:val="00683C0B"/>
    <w:rsid w:val="00686E36"/>
    <w:rsid w:val="00697608"/>
    <w:rsid w:val="006E077D"/>
    <w:rsid w:val="00721340"/>
    <w:rsid w:val="00785DF5"/>
    <w:rsid w:val="007A2E5D"/>
    <w:rsid w:val="007D0679"/>
    <w:rsid w:val="007F55C8"/>
    <w:rsid w:val="00813A35"/>
    <w:rsid w:val="0083412A"/>
    <w:rsid w:val="00844813"/>
    <w:rsid w:val="00852DB6"/>
    <w:rsid w:val="00856734"/>
    <w:rsid w:val="00870BAF"/>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25373"/>
    <w:rsid w:val="00B44E16"/>
    <w:rsid w:val="00B45F6B"/>
    <w:rsid w:val="00B65FDF"/>
    <w:rsid w:val="00B9692F"/>
    <w:rsid w:val="00BD4E97"/>
    <w:rsid w:val="00BD739E"/>
    <w:rsid w:val="00BE3DD8"/>
    <w:rsid w:val="00C03794"/>
    <w:rsid w:val="00C10D3A"/>
    <w:rsid w:val="00C17664"/>
    <w:rsid w:val="00C23D10"/>
    <w:rsid w:val="00C53EFF"/>
    <w:rsid w:val="00C829BA"/>
    <w:rsid w:val="00C909D3"/>
    <w:rsid w:val="00CD468E"/>
    <w:rsid w:val="00D053C2"/>
    <w:rsid w:val="00D16016"/>
    <w:rsid w:val="00D162C8"/>
    <w:rsid w:val="00D245E9"/>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swtag.org.au" TargetMode="External"/><Relationship Id="rId8" Type="http://schemas.openxmlformats.org/officeDocument/2006/relationships/image" Target="media/image1.png"/><Relationship Id="rId9" Type="http://schemas.openxmlformats.org/officeDocument/2006/relationships/hyperlink" Target="http://www.nswtag.org.au"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4871</Characters>
  <Application>Microsoft Macintosh Word</Application>
  <DocSecurity>0</DocSecurity>
  <Lines>40</Lines>
  <Paragraphs>9</Paragraphs>
  <ScaleCrop>false</ScaleCrop>
  <Company>gd</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2014-11-17T05:24:00Z</dcterms:created>
  <dcterms:modified xsi:type="dcterms:W3CDTF">2014-11-17T05:24:00Z</dcterms:modified>
</cp:coreProperties>
</file>