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743" w:rsidRPr="006E3A98" w:rsidRDefault="00230359" w:rsidP="006E3A98">
      <w:pPr>
        <w:pBdr>
          <w:bottom w:val="single" w:sz="4" w:space="1" w:color="auto"/>
        </w:pBdr>
        <w:rPr>
          <w:rFonts w:ascii="Arial" w:hAnsi="Arial" w:cs="Arial"/>
          <w:b/>
          <w:bCs/>
          <w:color w:val="336699"/>
          <w:sz w:val="28"/>
          <w:szCs w:val="28"/>
          <w:lang w:val="en-US"/>
        </w:rPr>
      </w:pPr>
      <w:r>
        <w:rPr>
          <w:rFonts w:ascii="Arial" w:hAnsi="Arial" w:cs="Arial"/>
          <w:b/>
          <w:bCs/>
          <w:color w:val="336699"/>
          <w:sz w:val="28"/>
          <w:szCs w:val="28"/>
          <w:lang w:val="en-US"/>
        </w:rPr>
        <w:t>Tip</w:t>
      </w:r>
      <w:r w:rsidR="006E3A98" w:rsidRPr="006E3A98">
        <w:rPr>
          <w:rFonts w:ascii="Arial" w:hAnsi="Arial" w:cs="Arial"/>
          <w:b/>
          <w:bCs/>
          <w:color w:val="336699"/>
          <w:sz w:val="28"/>
          <w:szCs w:val="28"/>
          <w:lang w:val="en-US"/>
        </w:rPr>
        <w:t xml:space="preserve"> Sheet </w:t>
      </w:r>
      <w:r w:rsidR="003038DC">
        <w:rPr>
          <w:rFonts w:ascii="Arial" w:hAnsi="Arial" w:cs="Arial"/>
          <w:b/>
          <w:bCs/>
          <w:color w:val="336699"/>
          <w:sz w:val="28"/>
          <w:szCs w:val="28"/>
          <w:lang w:val="en-US"/>
        </w:rPr>
        <w:t>2</w:t>
      </w:r>
      <w:r w:rsidR="006E3A98" w:rsidRPr="006E3A98">
        <w:rPr>
          <w:rFonts w:ascii="Arial" w:hAnsi="Arial" w:cs="Arial"/>
          <w:b/>
          <w:bCs/>
          <w:color w:val="336699"/>
          <w:sz w:val="28"/>
          <w:szCs w:val="28"/>
          <w:lang w:val="en-US"/>
        </w:rPr>
        <w:t xml:space="preserve">: </w:t>
      </w:r>
      <w:bookmarkStart w:id="0" w:name="_GoBack"/>
      <w:r w:rsidR="006E3A98" w:rsidRPr="006E3A98">
        <w:rPr>
          <w:rFonts w:ascii="Arial" w:hAnsi="Arial" w:cs="Arial"/>
          <w:b/>
          <w:bCs/>
          <w:color w:val="336699"/>
          <w:sz w:val="28"/>
          <w:szCs w:val="28"/>
          <w:lang w:val="en-US"/>
        </w:rPr>
        <w:t xml:space="preserve">Getting started </w:t>
      </w:r>
      <w:r w:rsidR="003038DC">
        <w:rPr>
          <w:rFonts w:ascii="Arial" w:hAnsi="Arial" w:cs="Arial"/>
          <w:b/>
          <w:bCs/>
          <w:color w:val="336699"/>
          <w:sz w:val="28"/>
          <w:szCs w:val="28"/>
          <w:lang w:val="en-US"/>
        </w:rPr>
        <w:t>with partnerships with consumers</w:t>
      </w:r>
      <w:bookmarkEnd w:id="0"/>
    </w:p>
    <w:p w:rsidR="006E3A98" w:rsidRDefault="006E3A98" w:rsidP="006E3A98">
      <w:pPr>
        <w:rPr>
          <w:rFonts w:ascii="Arial" w:hAnsi="Arial" w:cs="Arial"/>
          <w:b/>
          <w:bCs/>
          <w:color w:val="336699"/>
          <w:sz w:val="22"/>
          <w:szCs w:val="22"/>
          <w:lang w:val="en-US"/>
        </w:rPr>
      </w:pPr>
    </w:p>
    <w:p w:rsidR="00FF533F" w:rsidRPr="00270181" w:rsidRDefault="00FF533F" w:rsidP="00270181">
      <w:pPr>
        <w:spacing w:before="120" w:after="120" w:line="280" w:lineRule="exact"/>
        <w:rPr>
          <w:rFonts w:ascii="Arial" w:hAnsi="Arial" w:cs="Arial"/>
          <w:b/>
          <w:color w:val="336699"/>
          <w:sz w:val="28"/>
          <w:szCs w:val="28"/>
          <w:lang w:val="en-US"/>
        </w:rPr>
      </w:pPr>
      <w:r w:rsidRPr="00270181">
        <w:rPr>
          <w:rFonts w:ascii="Arial" w:hAnsi="Arial" w:cs="Arial"/>
          <w:b/>
          <w:color w:val="336699"/>
          <w:sz w:val="28"/>
          <w:szCs w:val="28"/>
          <w:lang w:val="en-US"/>
        </w:rPr>
        <w:t>Before you start anything….</w:t>
      </w:r>
    </w:p>
    <w:p w:rsidR="007D0477" w:rsidRDefault="00FF533F" w:rsidP="00270181">
      <w:pPr>
        <w:spacing w:before="120" w:after="120" w:line="280" w:lineRule="exact"/>
        <w:rPr>
          <w:rFonts w:ascii="Arial" w:hAnsi="Arial" w:cs="Arial"/>
          <w:sz w:val="22"/>
          <w:szCs w:val="22"/>
        </w:rPr>
      </w:pPr>
      <w:r>
        <w:rPr>
          <w:rFonts w:ascii="Arial" w:hAnsi="Arial" w:cs="Arial"/>
          <w:sz w:val="22"/>
          <w:szCs w:val="22"/>
        </w:rPr>
        <w:t>You need to remember that t</w:t>
      </w:r>
      <w:r w:rsidRPr="00911E77">
        <w:rPr>
          <w:rFonts w:ascii="Arial" w:hAnsi="Arial" w:cs="Arial"/>
          <w:sz w:val="22"/>
          <w:szCs w:val="22"/>
        </w:rPr>
        <w:t>here is no single approach to partnering with consumers. How you choose to establish and maintain partnerships</w:t>
      </w:r>
      <w:r w:rsidR="0007081A">
        <w:rPr>
          <w:rFonts w:ascii="Arial" w:hAnsi="Arial" w:cs="Arial"/>
          <w:sz w:val="22"/>
          <w:szCs w:val="22"/>
        </w:rPr>
        <w:t xml:space="preserve"> with consumers</w:t>
      </w:r>
      <w:r w:rsidRPr="00911E77">
        <w:rPr>
          <w:rFonts w:ascii="Arial" w:hAnsi="Arial" w:cs="Arial"/>
          <w:sz w:val="22"/>
          <w:szCs w:val="22"/>
        </w:rPr>
        <w:t xml:space="preserve"> needs to reflect your organisation’s context, the purpose of the partnership, the desired outcome of the partnership and the environment in which the partnership is occurring. </w:t>
      </w:r>
    </w:p>
    <w:p w:rsidR="00FF533F" w:rsidRDefault="00FF533F" w:rsidP="00270181">
      <w:pPr>
        <w:spacing w:before="120" w:after="120" w:line="280" w:lineRule="exact"/>
        <w:rPr>
          <w:rFonts w:ascii="Arial" w:hAnsi="Arial" w:cs="Arial"/>
          <w:sz w:val="22"/>
          <w:szCs w:val="22"/>
        </w:rPr>
      </w:pPr>
      <w:r w:rsidRPr="00911E77">
        <w:rPr>
          <w:rFonts w:ascii="Arial" w:hAnsi="Arial" w:cs="Arial"/>
          <w:sz w:val="22"/>
          <w:szCs w:val="22"/>
        </w:rPr>
        <w:t>Where possible, the strategies implemented should build on pre-existing structures and may operate across different levels of the organisation.</w:t>
      </w:r>
    </w:p>
    <w:p w:rsidR="00FF533F" w:rsidRDefault="00FF533F" w:rsidP="00270181">
      <w:pPr>
        <w:spacing w:before="120" w:after="120" w:line="280" w:lineRule="exact"/>
        <w:rPr>
          <w:rFonts w:ascii="Arial" w:hAnsi="Arial" w:cs="Arial"/>
          <w:sz w:val="22"/>
          <w:szCs w:val="22"/>
        </w:rPr>
      </w:pPr>
      <w:r>
        <w:rPr>
          <w:rFonts w:ascii="Arial" w:hAnsi="Arial" w:cs="Arial"/>
          <w:sz w:val="22"/>
          <w:szCs w:val="22"/>
        </w:rPr>
        <w:t>As a first step, y</w:t>
      </w:r>
      <w:r w:rsidRPr="00FF533F">
        <w:rPr>
          <w:rFonts w:ascii="Arial" w:hAnsi="Arial" w:cs="Arial"/>
          <w:sz w:val="22"/>
          <w:szCs w:val="22"/>
        </w:rPr>
        <w:t>ou need to look at the type of governance and organi</w:t>
      </w:r>
      <w:r w:rsidR="003038DC">
        <w:rPr>
          <w:rFonts w:ascii="Arial" w:hAnsi="Arial" w:cs="Arial"/>
          <w:sz w:val="22"/>
          <w:szCs w:val="22"/>
        </w:rPr>
        <w:t>s</w:t>
      </w:r>
      <w:r w:rsidRPr="00FF533F">
        <w:rPr>
          <w:rFonts w:ascii="Arial" w:hAnsi="Arial" w:cs="Arial"/>
          <w:sz w:val="22"/>
          <w:szCs w:val="22"/>
        </w:rPr>
        <w:t xml:space="preserve">ational arrangements you already have in place, as you may already be doing things that will meet the requirements of </w:t>
      </w:r>
      <w:r w:rsidR="004D0C91">
        <w:rPr>
          <w:rFonts w:ascii="Arial" w:hAnsi="Arial" w:cs="Arial"/>
          <w:sz w:val="22"/>
          <w:szCs w:val="22"/>
        </w:rPr>
        <w:t>N</w:t>
      </w:r>
      <w:r w:rsidR="007D0477">
        <w:rPr>
          <w:rFonts w:ascii="Arial" w:hAnsi="Arial" w:cs="Arial"/>
          <w:sz w:val="22"/>
          <w:szCs w:val="22"/>
        </w:rPr>
        <w:t>ational Safety and Quality Health Service (N</w:t>
      </w:r>
      <w:r w:rsidR="004D0C91">
        <w:rPr>
          <w:rFonts w:ascii="Arial" w:hAnsi="Arial" w:cs="Arial"/>
          <w:sz w:val="22"/>
          <w:szCs w:val="22"/>
        </w:rPr>
        <w:t>SQHS</w:t>
      </w:r>
      <w:r w:rsidR="007D0477">
        <w:rPr>
          <w:rFonts w:ascii="Arial" w:hAnsi="Arial" w:cs="Arial"/>
          <w:sz w:val="22"/>
          <w:szCs w:val="22"/>
        </w:rPr>
        <w:t>)</w:t>
      </w:r>
      <w:r w:rsidR="004D0C91">
        <w:rPr>
          <w:rFonts w:ascii="Arial" w:hAnsi="Arial" w:cs="Arial"/>
          <w:sz w:val="22"/>
          <w:szCs w:val="22"/>
        </w:rPr>
        <w:t xml:space="preserve"> </w:t>
      </w:r>
      <w:r w:rsidRPr="00FF533F">
        <w:rPr>
          <w:rFonts w:ascii="Arial" w:hAnsi="Arial" w:cs="Arial"/>
          <w:sz w:val="22"/>
          <w:szCs w:val="22"/>
        </w:rPr>
        <w:t>Standard</w:t>
      </w:r>
      <w:r w:rsidR="00147B8B">
        <w:rPr>
          <w:rFonts w:ascii="Arial" w:hAnsi="Arial" w:cs="Arial"/>
          <w:sz w:val="22"/>
          <w:szCs w:val="22"/>
        </w:rPr>
        <w:t xml:space="preserve"> 2</w:t>
      </w:r>
      <w:r w:rsidRPr="00FF533F">
        <w:rPr>
          <w:rFonts w:ascii="Arial" w:hAnsi="Arial" w:cs="Arial"/>
          <w:sz w:val="22"/>
          <w:szCs w:val="22"/>
        </w:rPr>
        <w:t xml:space="preserve">. </w:t>
      </w:r>
      <w:r w:rsidRPr="00911E77">
        <w:rPr>
          <w:rFonts w:ascii="Arial" w:hAnsi="Arial" w:cs="Arial"/>
          <w:sz w:val="22"/>
          <w:szCs w:val="22"/>
        </w:rPr>
        <w:t>Some health service organisations have had systems for partnering with consumers in place for some time, other organisations may have had informal partnerships, and others may be starting</w:t>
      </w:r>
      <w:r w:rsidR="00230359">
        <w:rPr>
          <w:rFonts w:ascii="Arial" w:hAnsi="Arial" w:cs="Arial"/>
          <w:sz w:val="22"/>
          <w:szCs w:val="22"/>
        </w:rPr>
        <w:t xml:space="preserve"> to</w:t>
      </w:r>
      <w:r w:rsidRPr="00911E77">
        <w:rPr>
          <w:rFonts w:ascii="Arial" w:hAnsi="Arial" w:cs="Arial"/>
          <w:sz w:val="22"/>
          <w:szCs w:val="22"/>
        </w:rPr>
        <w:t xml:space="preserve"> explore how they could form partnerships.</w:t>
      </w:r>
      <w:r>
        <w:rPr>
          <w:rFonts w:ascii="Arial" w:hAnsi="Arial" w:cs="Arial"/>
          <w:sz w:val="22"/>
          <w:szCs w:val="22"/>
        </w:rPr>
        <w:t xml:space="preserve"> </w:t>
      </w:r>
    </w:p>
    <w:p w:rsidR="0064769F" w:rsidRPr="00270181" w:rsidRDefault="0064769F" w:rsidP="00270181">
      <w:pPr>
        <w:spacing w:before="120" w:after="120" w:line="280" w:lineRule="exact"/>
        <w:rPr>
          <w:rFonts w:ascii="Arial" w:hAnsi="Arial" w:cs="Arial"/>
          <w:b/>
          <w:color w:val="336699"/>
          <w:sz w:val="28"/>
          <w:szCs w:val="28"/>
          <w:lang w:val="en-US"/>
        </w:rPr>
      </w:pPr>
      <w:r w:rsidRPr="00270181">
        <w:rPr>
          <w:rFonts w:ascii="Arial" w:hAnsi="Arial" w:cs="Arial"/>
          <w:b/>
          <w:color w:val="336699"/>
          <w:sz w:val="28"/>
          <w:szCs w:val="28"/>
          <w:lang w:val="en-US"/>
        </w:rPr>
        <w:t>Using strategies that meet more than one action</w:t>
      </w:r>
    </w:p>
    <w:p w:rsidR="00427ED8" w:rsidRPr="00427ED8" w:rsidRDefault="0064769F" w:rsidP="0054594F">
      <w:pPr>
        <w:spacing w:before="120" w:after="120" w:line="280" w:lineRule="exact"/>
        <w:rPr>
          <w:rFonts w:ascii="Arial" w:hAnsi="Arial" w:cs="Arial"/>
          <w:sz w:val="22"/>
          <w:szCs w:val="22"/>
        </w:rPr>
      </w:pPr>
      <w:r w:rsidRPr="00427ED8">
        <w:rPr>
          <w:rFonts w:ascii="Arial" w:hAnsi="Arial" w:cs="Arial"/>
          <w:sz w:val="22"/>
          <w:szCs w:val="22"/>
        </w:rPr>
        <w:t xml:space="preserve">It is important to note that </w:t>
      </w:r>
      <w:r w:rsidR="0054594F" w:rsidRPr="00427ED8">
        <w:rPr>
          <w:rFonts w:ascii="Arial" w:hAnsi="Arial" w:cs="Arial"/>
          <w:sz w:val="22"/>
          <w:szCs w:val="22"/>
        </w:rPr>
        <w:t xml:space="preserve">there are </w:t>
      </w:r>
      <w:r w:rsidRPr="00427ED8">
        <w:rPr>
          <w:rFonts w:ascii="Arial" w:hAnsi="Arial" w:cs="Arial"/>
          <w:sz w:val="22"/>
          <w:szCs w:val="22"/>
        </w:rPr>
        <w:t xml:space="preserve">a number of actions within the </w:t>
      </w:r>
      <w:r w:rsidR="004D0C91" w:rsidRPr="00427ED8">
        <w:rPr>
          <w:rFonts w:ascii="Arial" w:hAnsi="Arial" w:cs="Arial"/>
          <w:sz w:val="22"/>
          <w:szCs w:val="22"/>
        </w:rPr>
        <w:t xml:space="preserve">NSQHS </w:t>
      </w:r>
      <w:r w:rsidRPr="00427ED8">
        <w:rPr>
          <w:rFonts w:ascii="Arial" w:hAnsi="Arial" w:cs="Arial"/>
          <w:sz w:val="22"/>
          <w:szCs w:val="22"/>
        </w:rPr>
        <w:t xml:space="preserve">Standards </w:t>
      </w:r>
      <w:r w:rsidR="0054594F" w:rsidRPr="00427ED8">
        <w:rPr>
          <w:rFonts w:ascii="Arial" w:hAnsi="Arial" w:cs="Arial"/>
          <w:sz w:val="22"/>
          <w:szCs w:val="22"/>
        </w:rPr>
        <w:t xml:space="preserve">which </w:t>
      </w:r>
      <w:r w:rsidRPr="00427ED8">
        <w:rPr>
          <w:rFonts w:ascii="Arial" w:hAnsi="Arial" w:cs="Arial"/>
          <w:sz w:val="22"/>
          <w:szCs w:val="22"/>
        </w:rPr>
        <w:t xml:space="preserve">are </w:t>
      </w:r>
      <w:proofErr w:type="gramStart"/>
      <w:r w:rsidRPr="00427ED8">
        <w:rPr>
          <w:rFonts w:ascii="Arial" w:hAnsi="Arial" w:cs="Arial"/>
          <w:sz w:val="22"/>
          <w:szCs w:val="22"/>
        </w:rPr>
        <w:t>similar</w:t>
      </w:r>
      <w:r w:rsidR="00427ED8">
        <w:rPr>
          <w:rFonts w:ascii="Arial" w:hAnsi="Arial" w:cs="Arial"/>
          <w:sz w:val="22"/>
          <w:szCs w:val="22"/>
        </w:rPr>
        <w:t>,</w:t>
      </w:r>
      <w:proofErr w:type="gramEnd"/>
      <w:r w:rsidR="0054594F" w:rsidRPr="00427ED8">
        <w:rPr>
          <w:rFonts w:ascii="Arial" w:hAnsi="Arial" w:cs="Arial"/>
          <w:sz w:val="22"/>
          <w:szCs w:val="22"/>
        </w:rPr>
        <w:t xml:space="preserve"> consequently </w:t>
      </w:r>
      <w:r w:rsidR="00427ED8">
        <w:rPr>
          <w:rFonts w:ascii="Arial" w:hAnsi="Arial" w:cs="Arial"/>
          <w:sz w:val="22"/>
          <w:szCs w:val="22"/>
        </w:rPr>
        <w:t xml:space="preserve">there may be situations where </w:t>
      </w:r>
      <w:r w:rsidR="0054594F" w:rsidRPr="00427ED8">
        <w:rPr>
          <w:rFonts w:ascii="Arial" w:hAnsi="Arial" w:cs="Arial"/>
          <w:sz w:val="22"/>
          <w:szCs w:val="22"/>
        </w:rPr>
        <w:t xml:space="preserve">you </w:t>
      </w:r>
      <w:r w:rsidR="00427ED8">
        <w:rPr>
          <w:rFonts w:ascii="Arial" w:hAnsi="Arial" w:cs="Arial"/>
          <w:sz w:val="22"/>
          <w:szCs w:val="22"/>
        </w:rPr>
        <w:t xml:space="preserve">can </w:t>
      </w:r>
      <w:r w:rsidR="0054594F" w:rsidRPr="00427ED8">
        <w:rPr>
          <w:rFonts w:ascii="Arial" w:hAnsi="Arial" w:cs="Arial"/>
          <w:sz w:val="22"/>
          <w:szCs w:val="22"/>
        </w:rPr>
        <w:t>use one strategy to address multiple actions</w:t>
      </w:r>
      <w:r w:rsidRPr="00427ED8">
        <w:rPr>
          <w:rFonts w:ascii="Arial" w:hAnsi="Arial" w:cs="Arial"/>
          <w:sz w:val="22"/>
          <w:szCs w:val="22"/>
        </w:rPr>
        <w:t xml:space="preserve">. </w:t>
      </w:r>
    </w:p>
    <w:p w:rsidR="007D0477" w:rsidRDefault="0064769F" w:rsidP="0054594F">
      <w:pPr>
        <w:spacing w:before="120" w:after="120" w:line="280" w:lineRule="exact"/>
        <w:rPr>
          <w:rFonts w:ascii="Arial" w:hAnsi="Arial" w:cs="Arial"/>
          <w:sz w:val="22"/>
          <w:szCs w:val="22"/>
        </w:rPr>
      </w:pPr>
      <w:r w:rsidRPr="00427ED8">
        <w:rPr>
          <w:rFonts w:ascii="Arial" w:hAnsi="Arial" w:cs="Arial"/>
          <w:sz w:val="22"/>
          <w:szCs w:val="22"/>
        </w:rPr>
        <w:t xml:space="preserve">For example, </w:t>
      </w:r>
      <w:r w:rsidR="0054594F" w:rsidRPr="00427ED8">
        <w:rPr>
          <w:rFonts w:ascii="Arial" w:hAnsi="Arial" w:cs="Arial"/>
          <w:sz w:val="22"/>
          <w:szCs w:val="22"/>
        </w:rPr>
        <w:t xml:space="preserve">NSQHS Standard 2 Action 2.1.1 requires that healthcare organisations involve consumers and/or carers in the governance of the organisation and Action 2.2.1 requires the establishment of mechanisms to involve consumers and/or carers in strategic and/or operational planning. </w:t>
      </w:r>
    </w:p>
    <w:p w:rsidR="00167BA7" w:rsidRDefault="0054594F" w:rsidP="0054594F">
      <w:pPr>
        <w:spacing w:before="120" w:after="120" w:line="280" w:lineRule="exact"/>
        <w:rPr>
          <w:rFonts w:ascii="Arial" w:hAnsi="Arial" w:cs="Arial"/>
          <w:sz w:val="22"/>
          <w:szCs w:val="22"/>
        </w:rPr>
      </w:pPr>
      <w:r w:rsidRPr="00427ED8">
        <w:rPr>
          <w:rFonts w:ascii="Arial" w:hAnsi="Arial" w:cs="Arial"/>
          <w:sz w:val="22"/>
          <w:szCs w:val="22"/>
        </w:rPr>
        <w:t>You</w:t>
      </w:r>
      <w:r w:rsidR="00427ED8" w:rsidRPr="00427ED8">
        <w:rPr>
          <w:rFonts w:ascii="Arial" w:hAnsi="Arial" w:cs="Arial"/>
          <w:sz w:val="22"/>
          <w:szCs w:val="22"/>
        </w:rPr>
        <w:t>r</w:t>
      </w:r>
      <w:r w:rsidRPr="00427ED8">
        <w:rPr>
          <w:rFonts w:ascii="Arial" w:hAnsi="Arial" w:cs="Arial"/>
          <w:sz w:val="22"/>
          <w:szCs w:val="22"/>
        </w:rPr>
        <w:t xml:space="preserve"> organisation could address both of these actions by</w:t>
      </w:r>
      <w:r w:rsidR="00167BA7">
        <w:rPr>
          <w:rFonts w:ascii="Arial" w:hAnsi="Arial" w:cs="Arial"/>
          <w:sz w:val="22"/>
          <w:szCs w:val="22"/>
        </w:rPr>
        <w:t>:</w:t>
      </w:r>
    </w:p>
    <w:p w:rsidR="00167BA7" w:rsidRDefault="0054594F" w:rsidP="00167BA7">
      <w:pPr>
        <w:pStyle w:val="ListParagraph"/>
        <w:numPr>
          <w:ilvl w:val="0"/>
          <w:numId w:val="11"/>
        </w:numPr>
        <w:spacing w:before="120" w:after="120" w:line="280" w:lineRule="exact"/>
        <w:rPr>
          <w:rFonts w:ascii="Arial" w:hAnsi="Arial" w:cs="Arial"/>
          <w:sz w:val="22"/>
          <w:szCs w:val="22"/>
        </w:rPr>
      </w:pPr>
      <w:r w:rsidRPr="00167BA7">
        <w:rPr>
          <w:rFonts w:ascii="Arial" w:hAnsi="Arial" w:cs="Arial"/>
          <w:sz w:val="22"/>
          <w:szCs w:val="22"/>
        </w:rPr>
        <w:t xml:space="preserve">engaging a consumer on the Board or </w:t>
      </w:r>
      <w:r w:rsidR="00BB3D90">
        <w:rPr>
          <w:rFonts w:ascii="Arial" w:hAnsi="Arial" w:cs="Arial"/>
          <w:sz w:val="22"/>
          <w:szCs w:val="22"/>
        </w:rPr>
        <w:t xml:space="preserve">an </w:t>
      </w:r>
      <w:r w:rsidRPr="00167BA7">
        <w:rPr>
          <w:rFonts w:ascii="Arial" w:hAnsi="Arial" w:cs="Arial"/>
          <w:sz w:val="22"/>
          <w:szCs w:val="22"/>
        </w:rPr>
        <w:t>executive committee</w:t>
      </w:r>
    </w:p>
    <w:p w:rsidR="00167BA7" w:rsidRDefault="0054594F" w:rsidP="00167BA7">
      <w:pPr>
        <w:pStyle w:val="ListParagraph"/>
        <w:numPr>
          <w:ilvl w:val="0"/>
          <w:numId w:val="11"/>
        </w:numPr>
        <w:spacing w:before="120" w:after="120" w:line="280" w:lineRule="exact"/>
        <w:rPr>
          <w:rFonts w:ascii="Arial" w:hAnsi="Arial" w:cs="Arial"/>
          <w:sz w:val="22"/>
          <w:szCs w:val="22"/>
        </w:rPr>
      </w:pPr>
      <w:r w:rsidRPr="00167BA7">
        <w:rPr>
          <w:rFonts w:ascii="Arial" w:hAnsi="Arial" w:cs="Arial"/>
          <w:sz w:val="22"/>
          <w:szCs w:val="22"/>
        </w:rPr>
        <w:t xml:space="preserve">establishing a consumer committee or critical friends group and including strategic and/or operational planning as a recurring agenda item at meetings </w:t>
      </w:r>
    </w:p>
    <w:p w:rsidR="0054594F" w:rsidRPr="00167BA7" w:rsidRDefault="0054594F" w:rsidP="00167BA7">
      <w:pPr>
        <w:pStyle w:val="ListParagraph"/>
        <w:numPr>
          <w:ilvl w:val="0"/>
          <w:numId w:val="11"/>
        </w:numPr>
        <w:spacing w:before="120" w:after="120" w:line="280" w:lineRule="exact"/>
        <w:rPr>
          <w:rFonts w:ascii="Arial" w:hAnsi="Arial" w:cs="Arial"/>
          <w:sz w:val="22"/>
          <w:szCs w:val="22"/>
        </w:rPr>
      </w:pPr>
      <w:proofErr w:type="gramStart"/>
      <w:r w:rsidRPr="00167BA7">
        <w:rPr>
          <w:rFonts w:ascii="Arial" w:hAnsi="Arial" w:cs="Arial"/>
          <w:sz w:val="22"/>
          <w:szCs w:val="22"/>
        </w:rPr>
        <w:t>establishing</w:t>
      </w:r>
      <w:proofErr w:type="gramEnd"/>
      <w:r w:rsidRPr="00167BA7">
        <w:rPr>
          <w:rFonts w:ascii="Arial" w:hAnsi="Arial" w:cs="Arial"/>
          <w:sz w:val="22"/>
          <w:szCs w:val="22"/>
        </w:rPr>
        <w:t xml:space="preserve"> a regular</w:t>
      </w:r>
      <w:r w:rsidR="00427ED8" w:rsidRPr="00167BA7">
        <w:rPr>
          <w:rFonts w:ascii="Arial" w:hAnsi="Arial" w:cs="Arial"/>
          <w:sz w:val="22"/>
          <w:szCs w:val="22"/>
        </w:rPr>
        <w:t>ly scheduled</w:t>
      </w:r>
      <w:r w:rsidRPr="00167BA7">
        <w:rPr>
          <w:rFonts w:ascii="Arial" w:hAnsi="Arial" w:cs="Arial"/>
          <w:sz w:val="22"/>
          <w:szCs w:val="22"/>
        </w:rPr>
        <w:t xml:space="preserve"> open forum </w:t>
      </w:r>
      <w:r w:rsidR="00427ED8" w:rsidRPr="00167BA7">
        <w:rPr>
          <w:rFonts w:ascii="Arial" w:hAnsi="Arial" w:cs="Arial"/>
          <w:sz w:val="22"/>
          <w:szCs w:val="22"/>
        </w:rPr>
        <w:t>to consult with</w:t>
      </w:r>
      <w:r w:rsidRPr="00167BA7">
        <w:rPr>
          <w:rFonts w:ascii="Arial" w:hAnsi="Arial" w:cs="Arial"/>
          <w:sz w:val="22"/>
          <w:szCs w:val="22"/>
        </w:rPr>
        <w:t xml:space="preserve"> </w:t>
      </w:r>
      <w:r w:rsidR="00427ED8" w:rsidRPr="00167BA7">
        <w:rPr>
          <w:rFonts w:ascii="Arial" w:hAnsi="Arial" w:cs="Arial"/>
          <w:sz w:val="22"/>
          <w:szCs w:val="22"/>
        </w:rPr>
        <w:t xml:space="preserve">consumers and </w:t>
      </w:r>
      <w:r w:rsidRPr="00167BA7">
        <w:rPr>
          <w:rFonts w:ascii="Arial" w:hAnsi="Arial" w:cs="Arial"/>
          <w:sz w:val="22"/>
          <w:szCs w:val="22"/>
        </w:rPr>
        <w:t xml:space="preserve">community members </w:t>
      </w:r>
      <w:r w:rsidR="00427ED8" w:rsidRPr="00167BA7">
        <w:rPr>
          <w:rFonts w:ascii="Arial" w:hAnsi="Arial" w:cs="Arial"/>
          <w:sz w:val="22"/>
          <w:szCs w:val="22"/>
        </w:rPr>
        <w:t>on strategic and operational planning for the organisation.</w:t>
      </w:r>
      <w:r w:rsidRPr="00167BA7">
        <w:rPr>
          <w:rFonts w:ascii="Arial" w:hAnsi="Arial" w:cs="Arial"/>
          <w:sz w:val="22"/>
          <w:szCs w:val="22"/>
        </w:rPr>
        <w:t xml:space="preserve">  </w:t>
      </w:r>
    </w:p>
    <w:p w:rsidR="0064769F" w:rsidRDefault="00427ED8" w:rsidP="00270181">
      <w:pPr>
        <w:spacing w:before="120" w:after="120" w:line="280" w:lineRule="exact"/>
        <w:rPr>
          <w:rFonts w:ascii="Arial" w:hAnsi="Arial" w:cs="Arial"/>
          <w:sz w:val="22"/>
          <w:szCs w:val="22"/>
        </w:rPr>
      </w:pPr>
      <w:r w:rsidRPr="00427ED8">
        <w:rPr>
          <w:rFonts w:ascii="Arial" w:hAnsi="Arial" w:cs="Arial"/>
          <w:sz w:val="22"/>
          <w:szCs w:val="22"/>
        </w:rPr>
        <w:t xml:space="preserve">When </w:t>
      </w:r>
      <w:r w:rsidR="0064769F" w:rsidRPr="00427ED8">
        <w:rPr>
          <w:rFonts w:ascii="Arial" w:hAnsi="Arial" w:cs="Arial"/>
          <w:sz w:val="22"/>
          <w:szCs w:val="22"/>
        </w:rPr>
        <w:t>thinking about the types of activities you need to undertake</w:t>
      </w:r>
      <w:r w:rsidRPr="00427ED8">
        <w:rPr>
          <w:rFonts w:ascii="Arial" w:hAnsi="Arial" w:cs="Arial"/>
          <w:sz w:val="22"/>
          <w:szCs w:val="22"/>
        </w:rPr>
        <w:t xml:space="preserve"> to meet each of the actions</w:t>
      </w:r>
      <w:r w:rsidR="0064769F" w:rsidRPr="00427ED8">
        <w:rPr>
          <w:rFonts w:ascii="Arial" w:hAnsi="Arial" w:cs="Arial"/>
          <w:sz w:val="22"/>
          <w:szCs w:val="22"/>
        </w:rPr>
        <w:t xml:space="preserve"> try and </w:t>
      </w:r>
      <w:r w:rsidRPr="00427ED8">
        <w:rPr>
          <w:rFonts w:ascii="Arial" w:hAnsi="Arial" w:cs="Arial"/>
          <w:sz w:val="22"/>
          <w:szCs w:val="22"/>
        </w:rPr>
        <w:t xml:space="preserve">group them together. This will help you to identify </w:t>
      </w:r>
      <w:r w:rsidR="0064769F" w:rsidRPr="00427ED8">
        <w:rPr>
          <w:rFonts w:ascii="Arial" w:hAnsi="Arial" w:cs="Arial"/>
          <w:sz w:val="22"/>
          <w:szCs w:val="22"/>
        </w:rPr>
        <w:t>strategies that are broad enough to help you address multiple actions.</w:t>
      </w:r>
    </w:p>
    <w:p w:rsidR="00FF533F" w:rsidRPr="00270181" w:rsidRDefault="006016FD" w:rsidP="00270181">
      <w:pPr>
        <w:spacing w:before="120" w:after="120" w:line="280" w:lineRule="exact"/>
        <w:rPr>
          <w:rFonts w:ascii="Arial" w:hAnsi="Arial" w:cs="Arial"/>
          <w:b/>
          <w:color w:val="336699"/>
          <w:sz w:val="28"/>
          <w:szCs w:val="28"/>
          <w:lang w:val="en-US"/>
        </w:rPr>
      </w:pPr>
      <w:r w:rsidRPr="00270181">
        <w:rPr>
          <w:rFonts w:ascii="Arial" w:hAnsi="Arial" w:cs="Arial"/>
          <w:b/>
          <w:color w:val="336699"/>
          <w:sz w:val="28"/>
          <w:szCs w:val="28"/>
          <w:lang w:val="en-US"/>
        </w:rPr>
        <w:t>Self-assessment</w:t>
      </w:r>
    </w:p>
    <w:p w:rsidR="0019436F" w:rsidRDefault="0007081A" w:rsidP="0019436F">
      <w:pPr>
        <w:spacing w:before="120" w:after="120" w:line="280" w:lineRule="exact"/>
        <w:rPr>
          <w:rFonts w:ascii="Arial" w:hAnsi="Arial" w:cs="Arial"/>
          <w:bCs/>
          <w:sz w:val="22"/>
          <w:szCs w:val="22"/>
          <w:lang w:val="en-US"/>
        </w:rPr>
      </w:pPr>
      <w:r>
        <w:rPr>
          <w:rFonts w:ascii="Arial" w:hAnsi="Arial" w:cs="Arial"/>
          <w:bCs/>
          <w:sz w:val="22"/>
          <w:szCs w:val="22"/>
          <w:lang w:val="en-US"/>
        </w:rPr>
        <w:t xml:space="preserve">A first step in working towards meeting </w:t>
      </w:r>
      <w:r w:rsidR="004D0C91">
        <w:rPr>
          <w:rFonts w:ascii="Arial" w:hAnsi="Arial" w:cs="Arial"/>
          <w:bCs/>
          <w:sz w:val="22"/>
          <w:szCs w:val="22"/>
          <w:lang w:val="en-US"/>
        </w:rPr>
        <w:t xml:space="preserve">NSQHS </w:t>
      </w:r>
      <w:r>
        <w:rPr>
          <w:rFonts w:ascii="Arial" w:hAnsi="Arial" w:cs="Arial"/>
          <w:bCs/>
          <w:sz w:val="22"/>
          <w:szCs w:val="22"/>
          <w:lang w:val="en-US"/>
        </w:rPr>
        <w:t xml:space="preserve">Standard 2 is to </w:t>
      </w:r>
      <w:r w:rsidR="00291687">
        <w:rPr>
          <w:rFonts w:ascii="Arial" w:hAnsi="Arial" w:cs="Arial"/>
          <w:bCs/>
          <w:sz w:val="22"/>
          <w:szCs w:val="22"/>
          <w:lang w:val="en-US"/>
        </w:rPr>
        <w:t>consider</w:t>
      </w:r>
      <w:r>
        <w:rPr>
          <w:rFonts w:ascii="Arial" w:hAnsi="Arial" w:cs="Arial"/>
          <w:bCs/>
          <w:sz w:val="22"/>
          <w:szCs w:val="22"/>
          <w:lang w:val="en-US"/>
        </w:rPr>
        <w:t xml:space="preserve"> </w:t>
      </w:r>
      <w:r w:rsidR="00D84EB1">
        <w:rPr>
          <w:rFonts w:ascii="Arial" w:hAnsi="Arial" w:cs="Arial"/>
          <w:bCs/>
          <w:sz w:val="22"/>
          <w:szCs w:val="22"/>
          <w:lang w:val="en-US"/>
        </w:rPr>
        <w:t xml:space="preserve">how your </w:t>
      </w:r>
      <w:proofErr w:type="spellStart"/>
      <w:r w:rsidR="00D84EB1">
        <w:rPr>
          <w:rFonts w:ascii="Arial" w:hAnsi="Arial" w:cs="Arial"/>
          <w:bCs/>
          <w:sz w:val="22"/>
          <w:szCs w:val="22"/>
          <w:lang w:val="en-US"/>
        </w:rPr>
        <w:t>organisation</w:t>
      </w:r>
      <w:proofErr w:type="spellEnd"/>
      <w:r w:rsidR="00D84EB1">
        <w:rPr>
          <w:rFonts w:ascii="Arial" w:hAnsi="Arial" w:cs="Arial"/>
          <w:bCs/>
          <w:sz w:val="22"/>
          <w:szCs w:val="22"/>
          <w:lang w:val="en-US"/>
        </w:rPr>
        <w:t xml:space="preserve"> currently partners with </w:t>
      </w:r>
      <w:r>
        <w:rPr>
          <w:rFonts w:ascii="Arial" w:hAnsi="Arial" w:cs="Arial"/>
          <w:bCs/>
          <w:sz w:val="22"/>
          <w:szCs w:val="22"/>
          <w:lang w:val="en-US"/>
        </w:rPr>
        <w:t>consumers</w:t>
      </w:r>
      <w:r w:rsidR="00291687">
        <w:rPr>
          <w:rFonts w:ascii="Arial" w:hAnsi="Arial" w:cs="Arial"/>
          <w:bCs/>
          <w:sz w:val="22"/>
          <w:szCs w:val="22"/>
          <w:lang w:val="en-US"/>
        </w:rPr>
        <w:t xml:space="preserve">, including looking at the structures and processes you have in place to engage with consumers across the </w:t>
      </w:r>
      <w:proofErr w:type="spellStart"/>
      <w:r w:rsidR="00291687">
        <w:rPr>
          <w:rFonts w:ascii="Arial" w:hAnsi="Arial" w:cs="Arial"/>
          <w:bCs/>
          <w:sz w:val="22"/>
          <w:szCs w:val="22"/>
          <w:lang w:val="en-US"/>
        </w:rPr>
        <w:t>organisation</w:t>
      </w:r>
      <w:proofErr w:type="spellEnd"/>
      <w:r w:rsidR="00291687">
        <w:rPr>
          <w:rFonts w:ascii="Arial" w:hAnsi="Arial" w:cs="Arial"/>
          <w:bCs/>
          <w:sz w:val="22"/>
          <w:szCs w:val="22"/>
          <w:lang w:val="en-US"/>
        </w:rPr>
        <w:t>.</w:t>
      </w:r>
      <w:r w:rsidR="0019436F">
        <w:rPr>
          <w:rFonts w:ascii="Arial" w:hAnsi="Arial" w:cs="Arial"/>
          <w:bCs/>
          <w:sz w:val="22"/>
          <w:szCs w:val="22"/>
          <w:lang w:val="en-US"/>
        </w:rPr>
        <w:t xml:space="preserve"> </w:t>
      </w:r>
      <w:r w:rsidR="007D0477">
        <w:rPr>
          <w:rFonts w:ascii="Arial" w:hAnsi="Arial" w:cs="Arial"/>
          <w:bCs/>
          <w:sz w:val="22"/>
          <w:szCs w:val="22"/>
          <w:lang w:val="en-US"/>
        </w:rPr>
        <w:t>Tip Sheet</w:t>
      </w:r>
      <w:r w:rsidR="00BB3D90">
        <w:rPr>
          <w:rFonts w:ascii="Arial" w:hAnsi="Arial" w:cs="Arial"/>
          <w:bCs/>
          <w:sz w:val="22"/>
          <w:szCs w:val="22"/>
          <w:lang w:val="en-US"/>
        </w:rPr>
        <w:t> </w:t>
      </w:r>
      <w:r w:rsidR="0019436F">
        <w:rPr>
          <w:rFonts w:ascii="Arial" w:hAnsi="Arial" w:cs="Arial"/>
          <w:bCs/>
          <w:sz w:val="22"/>
          <w:szCs w:val="22"/>
          <w:lang w:val="en-US"/>
        </w:rPr>
        <w:t xml:space="preserve">1 in this series provides information about </w:t>
      </w:r>
      <w:r w:rsidR="00291687">
        <w:rPr>
          <w:rFonts w:ascii="Arial" w:hAnsi="Arial" w:cs="Arial"/>
          <w:bCs/>
          <w:sz w:val="22"/>
          <w:szCs w:val="22"/>
          <w:lang w:val="en-US"/>
        </w:rPr>
        <w:t xml:space="preserve">who </w:t>
      </w:r>
      <w:proofErr w:type="gramStart"/>
      <w:r w:rsidR="00291687">
        <w:rPr>
          <w:rFonts w:ascii="Arial" w:hAnsi="Arial" w:cs="Arial"/>
          <w:bCs/>
          <w:sz w:val="22"/>
          <w:szCs w:val="22"/>
          <w:lang w:val="en-US"/>
        </w:rPr>
        <w:t>is</w:t>
      </w:r>
      <w:proofErr w:type="gramEnd"/>
      <w:r w:rsidR="00291687">
        <w:rPr>
          <w:rFonts w:ascii="Arial" w:hAnsi="Arial" w:cs="Arial"/>
          <w:bCs/>
          <w:sz w:val="22"/>
          <w:szCs w:val="22"/>
          <w:lang w:val="en-US"/>
        </w:rPr>
        <w:t xml:space="preserve"> a consumer and the different types of partnerships which can occur</w:t>
      </w:r>
      <w:r w:rsidR="0019436F">
        <w:rPr>
          <w:rFonts w:ascii="Arial" w:hAnsi="Arial" w:cs="Arial"/>
          <w:bCs/>
          <w:sz w:val="22"/>
          <w:szCs w:val="22"/>
          <w:lang w:val="en-US"/>
        </w:rPr>
        <w:t>.</w:t>
      </w:r>
    </w:p>
    <w:p w:rsidR="004D0C91" w:rsidRDefault="00291687" w:rsidP="00F47106">
      <w:pPr>
        <w:spacing w:before="120" w:after="120" w:line="280" w:lineRule="exact"/>
        <w:rPr>
          <w:rFonts w:ascii="Arial" w:hAnsi="Arial" w:cs="Arial"/>
          <w:bCs/>
          <w:sz w:val="22"/>
          <w:szCs w:val="22"/>
          <w:lang w:val="en-US"/>
        </w:rPr>
      </w:pPr>
      <w:r>
        <w:rPr>
          <w:rFonts w:ascii="Arial" w:hAnsi="Arial" w:cs="Arial"/>
          <w:bCs/>
          <w:sz w:val="22"/>
          <w:szCs w:val="22"/>
          <w:lang w:val="en-US"/>
        </w:rPr>
        <w:t xml:space="preserve">Using a self-assessment tool is a useful way to </w:t>
      </w:r>
      <w:r w:rsidR="004D0C91">
        <w:rPr>
          <w:rFonts w:ascii="Arial" w:hAnsi="Arial" w:cs="Arial"/>
          <w:bCs/>
          <w:sz w:val="22"/>
          <w:szCs w:val="22"/>
          <w:lang w:val="en-US"/>
        </w:rPr>
        <w:t>reflect on</w:t>
      </w:r>
      <w:r>
        <w:rPr>
          <w:rFonts w:ascii="Arial" w:hAnsi="Arial" w:cs="Arial"/>
          <w:bCs/>
          <w:sz w:val="22"/>
          <w:szCs w:val="22"/>
          <w:lang w:val="en-US"/>
        </w:rPr>
        <w:t xml:space="preserve">, and </w:t>
      </w:r>
      <w:r w:rsidR="004D0C91">
        <w:rPr>
          <w:rFonts w:ascii="Arial" w:hAnsi="Arial" w:cs="Arial"/>
          <w:bCs/>
          <w:sz w:val="22"/>
          <w:szCs w:val="22"/>
          <w:lang w:val="en-US"/>
        </w:rPr>
        <w:t xml:space="preserve">identify the extent to which your </w:t>
      </w:r>
      <w:proofErr w:type="spellStart"/>
      <w:r w:rsidR="004D0C91">
        <w:rPr>
          <w:rFonts w:ascii="Arial" w:hAnsi="Arial" w:cs="Arial"/>
          <w:bCs/>
          <w:sz w:val="22"/>
          <w:szCs w:val="22"/>
          <w:lang w:val="en-US"/>
        </w:rPr>
        <w:t>organisation</w:t>
      </w:r>
      <w:proofErr w:type="spellEnd"/>
      <w:r w:rsidR="004D0C91">
        <w:rPr>
          <w:rFonts w:ascii="Arial" w:hAnsi="Arial" w:cs="Arial"/>
          <w:bCs/>
          <w:sz w:val="22"/>
          <w:szCs w:val="22"/>
          <w:lang w:val="en-US"/>
        </w:rPr>
        <w:t xml:space="preserve"> engages with consumers</w:t>
      </w:r>
      <w:r>
        <w:rPr>
          <w:rFonts w:ascii="Arial" w:hAnsi="Arial" w:cs="Arial"/>
          <w:bCs/>
          <w:sz w:val="22"/>
          <w:szCs w:val="22"/>
          <w:lang w:val="en-US"/>
        </w:rPr>
        <w:t>. It also helps to identify gap</w:t>
      </w:r>
      <w:r w:rsidR="00230359">
        <w:rPr>
          <w:rFonts w:ascii="Arial" w:hAnsi="Arial" w:cs="Arial"/>
          <w:bCs/>
          <w:sz w:val="22"/>
          <w:szCs w:val="22"/>
          <w:lang w:val="en-US"/>
        </w:rPr>
        <w:t>s</w:t>
      </w:r>
      <w:r>
        <w:rPr>
          <w:rFonts w:ascii="Arial" w:hAnsi="Arial" w:cs="Arial"/>
          <w:bCs/>
          <w:sz w:val="22"/>
          <w:szCs w:val="22"/>
          <w:lang w:val="en-US"/>
        </w:rPr>
        <w:t xml:space="preserve"> and clarify </w:t>
      </w:r>
      <w:r w:rsidR="004D0C91">
        <w:rPr>
          <w:rFonts w:ascii="Arial" w:hAnsi="Arial" w:cs="Arial"/>
          <w:bCs/>
          <w:sz w:val="22"/>
          <w:szCs w:val="22"/>
          <w:lang w:val="en-US"/>
        </w:rPr>
        <w:t xml:space="preserve">where you may need to focus your effort to address the requirements of NSQHS Standard 2. </w:t>
      </w:r>
    </w:p>
    <w:p w:rsidR="0054106C" w:rsidRDefault="00110096" w:rsidP="0054106C">
      <w:pPr>
        <w:spacing w:before="120" w:after="120" w:line="280" w:lineRule="exact"/>
        <w:rPr>
          <w:rFonts w:ascii="Arial" w:hAnsi="Arial" w:cs="Arial"/>
          <w:bCs/>
          <w:sz w:val="22"/>
          <w:szCs w:val="22"/>
          <w:lang w:val="en-US"/>
        </w:rPr>
      </w:pPr>
      <w:r>
        <w:rPr>
          <w:rFonts w:ascii="Arial" w:hAnsi="Arial" w:cs="Arial"/>
          <w:bCs/>
          <w:sz w:val="22"/>
          <w:szCs w:val="22"/>
          <w:lang w:val="en-US"/>
        </w:rPr>
        <w:t>T</w:t>
      </w:r>
      <w:r w:rsidR="00291687">
        <w:rPr>
          <w:rFonts w:ascii="Arial" w:hAnsi="Arial" w:cs="Arial"/>
          <w:bCs/>
          <w:sz w:val="22"/>
          <w:szCs w:val="22"/>
          <w:lang w:val="en-US"/>
        </w:rPr>
        <w:t xml:space="preserve">he Commission </w:t>
      </w:r>
      <w:r w:rsidR="0019436F">
        <w:rPr>
          <w:rFonts w:ascii="Arial" w:hAnsi="Arial" w:cs="Arial"/>
          <w:bCs/>
          <w:sz w:val="22"/>
          <w:szCs w:val="22"/>
          <w:lang w:val="en-US"/>
        </w:rPr>
        <w:t>has</w:t>
      </w:r>
      <w:r>
        <w:rPr>
          <w:rFonts w:ascii="Arial" w:hAnsi="Arial" w:cs="Arial"/>
          <w:bCs/>
          <w:sz w:val="22"/>
          <w:szCs w:val="22"/>
          <w:lang w:val="en-US"/>
        </w:rPr>
        <w:t xml:space="preserve"> developed a self-assessment tool,</w:t>
      </w:r>
      <w:r w:rsidR="0019436F">
        <w:rPr>
          <w:rFonts w:ascii="Arial" w:hAnsi="Arial" w:cs="Arial"/>
          <w:bCs/>
          <w:sz w:val="22"/>
          <w:szCs w:val="22"/>
          <w:lang w:val="en-US"/>
        </w:rPr>
        <w:t xml:space="preserve"> </w:t>
      </w:r>
      <w:r w:rsidR="001F486C">
        <w:rPr>
          <w:rFonts w:ascii="Arial" w:hAnsi="Arial" w:cs="Arial"/>
          <w:bCs/>
          <w:sz w:val="22"/>
          <w:szCs w:val="22"/>
          <w:lang w:val="en-US"/>
        </w:rPr>
        <w:t xml:space="preserve">adapted from </w:t>
      </w:r>
      <w:r w:rsidR="0019436F">
        <w:rPr>
          <w:rFonts w:ascii="Arial" w:hAnsi="Arial" w:cs="Arial"/>
          <w:bCs/>
          <w:sz w:val="22"/>
          <w:szCs w:val="22"/>
          <w:lang w:val="en-US"/>
        </w:rPr>
        <w:t xml:space="preserve">work by </w:t>
      </w:r>
      <w:r w:rsidR="004D0C91">
        <w:rPr>
          <w:rFonts w:ascii="Arial" w:hAnsi="Arial" w:cs="Arial"/>
          <w:bCs/>
          <w:sz w:val="22"/>
          <w:szCs w:val="22"/>
          <w:lang w:val="en-US"/>
        </w:rPr>
        <w:t>the</w:t>
      </w:r>
      <w:r w:rsidR="00411241">
        <w:rPr>
          <w:rFonts w:ascii="Arial" w:hAnsi="Arial" w:cs="Arial"/>
          <w:bCs/>
          <w:sz w:val="22"/>
          <w:szCs w:val="22"/>
          <w:lang w:val="en-US"/>
        </w:rPr>
        <w:t xml:space="preserve"> Institute for Patient- and Family-Centered</w:t>
      </w:r>
      <w:r w:rsidR="001F486C">
        <w:rPr>
          <w:rFonts w:ascii="Arial" w:hAnsi="Arial" w:cs="Arial"/>
          <w:bCs/>
          <w:sz w:val="22"/>
          <w:szCs w:val="22"/>
          <w:lang w:val="en-US"/>
        </w:rPr>
        <w:t xml:space="preserve"> Care</w:t>
      </w:r>
      <w:r w:rsidR="004D0C91">
        <w:rPr>
          <w:rFonts w:ascii="Arial" w:hAnsi="Arial" w:cs="Arial"/>
          <w:bCs/>
          <w:sz w:val="22"/>
          <w:szCs w:val="22"/>
          <w:lang w:val="en-US"/>
        </w:rPr>
        <w:t>.</w:t>
      </w:r>
      <w:r w:rsidR="00411241">
        <w:rPr>
          <w:rFonts w:ascii="Arial" w:hAnsi="Arial" w:cs="Arial"/>
          <w:bCs/>
          <w:sz w:val="22"/>
          <w:szCs w:val="22"/>
          <w:lang w:val="en-US"/>
        </w:rPr>
        <w:t xml:space="preserve"> </w:t>
      </w:r>
      <w:r>
        <w:rPr>
          <w:rFonts w:ascii="Arial" w:hAnsi="Arial" w:cs="Arial"/>
          <w:bCs/>
          <w:sz w:val="22"/>
          <w:szCs w:val="22"/>
          <w:lang w:val="en-US"/>
        </w:rPr>
        <w:t>It</w:t>
      </w:r>
      <w:r w:rsidR="004D0C91">
        <w:rPr>
          <w:rFonts w:ascii="Arial" w:hAnsi="Arial" w:cs="Arial"/>
          <w:bCs/>
          <w:sz w:val="22"/>
          <w:szCs w:val="22"/>
          <w:lang w:val="en-US"/>
        </w:rPr>
        <w:t xml:space="preserve"> includes a </w:t>
      </w:r>
      <w:r>
        <w:rPr>
          <w:rFonts w:ascii="Arial" w:hAnsi="Arial" w:cs="Arial"/>
          <w:bCs/>
          <w:sz w:val="22"/>
          <w:szCs w:val="22"/>
          <w:lang w:val="en-US"/>
        </w:rPr>
        <w:t xml:space="preserve">table with a </w:t>
      </w:r>
      <w:r w:rsidR="004D0C91">
        <w:rPr>
          <w:rFonts w:ascii="Arial" w:hAnsi="Arial" w:cs="Arial"/>
          <w:bCs/>
          <w:sz w:val="22"/>
          <w:szCs w:val="22"/>
          <w:lang w:val="en-US"/>
        </w:rPr>
        <w:t xml:space="preserve">series of questions aimed at </w:t>
      </w:r>
      <w:r w:rsidR="004D0C91">
        <w:rPr>
          <w:rFonts w:ascii="Arial" w:hAnsi="Arial" w:cs="Arial"/>
          <w:bCs/>
          <w:sz w:val="22"/>
          <w:szCs w:val="22"/>
          <w:lang w:val="en-US"/>
        </w:rPr>
        <w:lastRenderedPageBreak/>
        <w:t>identifying</w:t>
      </w:r>
      <w:r w:rsidR="00BB3D90">
        <w:rPr>
          <w:rFonts w:ascii="Arial" w:hAnsi="Arial" w:cs="Arial"/>
          <w:bCs/>
          <w:sz w:val="22"/>
          <w:szCs w:val="22"/>
          <w:lang w:val="en-US"/>
        </w:rPr>
        <w:t xml:space="preserve"> and recording</w:t>
      </w:r>
      <w:r w:rsidR="004D0C91">
        <w:rPr>
          <w:rFonts w:ascii="Arial" w:hAnsi="Arial" w:cs="Arial"/>
          <w:bCs/>
          <w:sz w:val="22"/>
          <w:szCs w:val="22"/>
          <w:lang w:val="en-US"/>
        </w:rPr>
        <w:t xml:space="preserve"> how your </w:t>
      </w:r>
      <w:proofErr w:type="spellStart"/>
      <w:r w:rsidR="004D0C91">
        <w:rPr>
          <w:rFonts w:ascii="Arial" w:hAnsi="Arial" w:cs="Arial"/>
          <w:bCs/>
          <w:sz w:val="22"/>
          <w:szCs w:val="22"/>
          <w:lang w:val="en-US"/>
        </w:rPr>
        <w:t>organi</w:t>
      </w:r>
      <w:r w:rsidR="001F486C">
        <w:rPr>
          <w:rFonts w:ascii="Arial" w:hAnsi="Arial" w:cs="Arial"/>
          <w:bCs/>
          <w:sz w:val="22"/>
          <w:szCs w:val="22"/>
          <w:lang w:val="en-US"/>
        </w:rPr>
        <w:t>s</w:t>
      </w:r>
      <w:r w:rsidR="004D0C91">
        <w:rPr>
          <w:rFonts w:ascii="Arial" w:hAnsi="Arial" w:cs="Arial"/>
          <w:bCs/>
          <w:sz w:val="22"/>
          <w:szCs w:val="22"/>
          <w:lang w:val="en-US"/>
        </w:rPr>
        <w:t>ation</w:t>
      </w:r>
      <w:proofErr w:type="spellEnd"/>
      <w:r w:rsidR="004D0C91">
        <w:rPr>
          <w:rFonts w:ascii="Arial" w:hAnsi="Arial" w:cs="Arial"/>
          <w:bCs/>
          <w:sz w:val="22"/>
          <w:szCs w:val="22"/>
          <w:lang w:val="en-US"/>
        </w:rPr>
        <w:t xml:space="preserve"> currently partners with consumers</w:t>
      </w:r>
      <w:r w:rsidR="0019436F">
        <w:rPr>
          <w:rFonts w:ascii="Arial" w:hAnsi="Arial" w:cs="Arial"/>
          <w:bCs/>
          <w:sz w:val="22"/>
          <w:szCs w:val="22"/>
          <w:lang w:val="en-US"/>
        </w:rPr>
        <w:t xml:space="preserve"> and what systems you currently have in place which enable partnerships</w:t>
      </w:r>
      <w:r w:rsidR="004D0C91">
        <w:rPr>
          <w:rFonts w:ascii="Arial" w:hAnsi="Arial" w:cs="Arial"/>
          <w:bCs/>
          <w:sz w:val="22"/>
          <w:szCs w:val="22"/>
          <w:lang w:val="en-US"/>
        </w:rPr>
        <w:t xml:space="preserve">. </w:t>
      </w:r>
      <w:r w:rsidR="00270181">
        <w:rPr>
          <w:rFonts w:ascii="Arial" w:hAnsi="Arial" w:cs="Arial"/>
          <w:bCs/>
          <w:sz w:val="22"/>
          <w:szCs w:val="22"/>
          <w:lang w:val="en-US"/>
        </w:rPr>
        <w:t xml:space="preserve">The table also includes actions from the other nine </w:t>
      </w:r>
      <w:r w:rsidR="004D0C91">
        <w:rPr>
          <w:rFonts w:ascii="Arial" w:hAnsi="Arial" w:cs="Arial"/>
          <w:bCs/>
          <w:sz w:val="22"/>
          <w:szCs w:val="22"/>
          <w:lang w:val="en-US"/>
        </w:rPr>
        <w:t xml:space="preserve">NSQHS </w:t>
      </w:r>
      <w:r w:rsidR="00270181">
        <w:rPr>
          <w:rFonts w:ascii="Arial" w:hAnsi="Arial" w:cs="Arial"/>
          <w:bCs/>
          <w:sz w:val="22"/>
          <w:szCs w:val="22"/>
          <w:lang w:val="en-US"/>
        </w:rPr>
        <w:t xml:space="preserve">Standards which are closely related to </w:t>
      </w:r>
      <w:r w:rsidR="00BB3D90">
        <w:rPr>
          <w:rFonts w:ascii="Arial" w:hAnsi="Arial" w:cs="Arial"/>
          <w:bCs/>
          <w:sz w:val="22"/>
          <w:szCs w:val="22"/>
          <w:lang w:val="en-US"/>
        </w:rPr>
        <w:t>NSQHS Standard </w:t>
      </w:r>
      <w:r w:rsidR="00270181">
        <w:rPr>
          <w:rFonts w:ascii="Arial" w:hAnsi="Arial" w:cs="Arial"/>
          <w:bCs/>
          <w:sz w:val="22"/>
          <w:szCs w:val="22"/>
          <w:lang w:val="en-US"/>
        </w:rPr>
        <w:t>2.</w:t>
      </w:r>
      <w:r w:rsidR="00F47106">
        <w:rPr>
          <w:rFonts w:ascii="Arial" w:hAnsi="Arial" w:cs="Arial"/>
          <w:bCs/>
          <w:sz w:val="22"/>
          <w:szCs w:val="22"/>
          <w:lang w:val="en-US"/>
        </w:rPr>
        <w:t xml:space="preserve"> </w:t>
      </w:r>
      <w:r w:rsidR="0054106C">
        <w:rPr>
          <w:rFonts w:ascii="Arial" w:hAnsi="Arial" w:cs="Arial"/>
          <w:bCs/>
          <w:sz w:val="22"/>
          <w:szCs w:val="22"/>
          <w:lang w:val="en-US"/>
        </w:rPr>
        <w:t xml:space="preserve">Using this type of self-assessment tool is the first step in developing a systematic and </w:t>
      </w:r>
      <w:proofErr w:type="spellStart"/>
      <w:r w:rsidR="0054106C">
        <w:rPr>
          <w:rFonts w:ascii="Arial" w:hAnsi="Arial" w:cs="Arial"/>
          <w:bCs/>
          <w:sz w:val="22"/>
          <w:szCs w:val="22"/>
          <w:lang w:val="en-US"/>
        </w:rPr>
        <w:t>organi</w:t>
      </w:r>
      <w:r w:rsidR="00291687">
        <w:rPr>
          <w:rFonts w:ascii="Arial" w:hAnsi="Arial" w:cs="Arial"/>
          <w:bCs/>
          <w:sz w:val="22"/>
          <w:szCs w:val="22"/>
          <w:lang w:val="en-US"/>
        </w:rPr>
        <w:t>s</w:t>
      </w:r>
      <w:r w:rsidR="0054106C">
        <w:rPr>
          <w:rFonts w:ascii="Arial" w:hAnsi="Arial" w:cs="Arial"/>
          <w:bCs/>
          <w:sz w:val="22"/>
          <w:szCs w:val="22"/>
          <w:lang w:val="en-US"/>
        </w:rPr>
        <w:t>ation</w:t>
      </w:r>
      <w:proofErr w:type="spellEnd"/>
      <w:r w:rsidR="0054106C">
        <w:rPr>
          <w:rFonts w:ascii="Arial" w:hAnsi="Arial" w:cs="Arial"/>
          <w:bCs/>
          <w:sz w:val="22"/>
          <w:szCs w:val="22"/>
          <w:lang w:val="en-US"/>
        </w:rPr>
        <w:t xml:space="preserve">-wide approach to partnering with consumers. </w:t>
      </w:r>
    </w:p>
    <w:p w:rsidR="0054106C" w:rsidRDefault="004D0C91" w:rsidP="00F47106">
      <w:pPr>
        <w:spacing w:before="120" w:after="120" w:line="280" w:lineRule="exact"/>
        <w:rPr>
          <w:rFonts w:ascii="Arial" w:hAnsi="Arial" w:cs="Arial"/>
          <w:bCs/>
          <w:sz w:val="22"/>
          <w:szCs w:val="22"/>
          <w:lang w:val="en-US"/>
        </w:rPr>
      </w:pPr>
      <w:r>
        <w:rPr>
          <w:rFonts w:ascii="Arial" w:hAnsi="Arial" w:cs="Arial"/>
          <w:bCs/>
          <w:sz w:val="22"/>
          <w:szCs w:val="22"/>
          <w:lang w:val="en-US"/>
        </w:rPr>
        <w:t xml:space="preserve">This tool differs from the Commissions NSQHS Standards </w:t>
      </w:r>
      <w:r w:rsidR="0054106C">
        <w:rPr>
          <w:rFonts w:ascii="Arial" w:hAnsi="Arial" w:cs="Arial"/>
          <w:bCs/>
          <w:sz w:val="22"/>
          <w:szCs w:val="22"/>
          <w:lang w:val="en-US"/>
        </w:rPr>
        <w:t>Hospital Accreditation Workbook (</w:t>
      </w:r>
      <w:hyperlink r:id="rId9" w:history="1">
        <w:r w:rsidR="0054106C" w:rsidRPr="00D51097">
          <w:rPr>
            <w:rStyle w:val="Hyperlink"/>
            <w:rFonts w:ascii="Arial" w:hAnsi="Arial" w:cs="Arial"/>
            <w:bCs/>
            <w:sz w:val="22"/>
            <w:szCs w:val="22"/>
            <w:lang w:val="en-US"/>
          </w:rPr>
          <w:t>http://www.safetyandquality.gov.au/wp-content/uploads/2012/10/Hospital-Accreditaton-Workbook-%E2%80%93-October-2012.pdf</w:t>
        </w:r>
      </w:hyperlink>
      <w:r w:rsidR="0054106C">
        <w:rPr>
          <w:rFonts w:ascii="Arial" w:hAnsi="Arial" w:cs="Arial"/>
          <w:bCs/>
          <w:sz w:val="22"/>
          <w:szCs w:val="22"/>
          <w:lang w:val="en-US"/>
        </w:rPr>
        <w:t>). The Workbook</w:t>
      </w:r>
      <w:r>
        <w:rPr>
          <w:rFonts w:ascii="Arial" w:hAnsi="Arial" w:cs="Arial"/>
          <w:bCs/>
          <w:sz w:val="22"/>
          <w:szCs w:val="22"/>
          <w:lang w:val="en-US"/>
        </w:rPr>
        <w:t xml:space="preserve"> helps you</w:t>
      </w:r>
      <w:r w:rsidR="0054106C">
        <w:rPr>
          <w:rFonts w:ascii="Arial" w:hAnsi="Arial" w:cs="Arial"/>
          <w:bCs/>
          <w:sz w:val="22"/>
          <w:szCs w:val="22"/>
          <w:lang w:val="en-US"/>
        </w:rPr>
        <w:t xml:space="preserve">r </w:t>
      </w:r>
      <w:proofErr w:type="spellStart"/>
      <w:r w:rsidR="0054106C">
        <w:rPr>
          <w:rFonts w:ascii="Arial" w:hAnsi="Arial" w:cs="Arial"/>
          <w:bCs/>
          <w:sz w:val="22"/>
          <w:szCs w:val="22"/>
          <w:lang w:val="en-US"/>
        </w:rPr>
        <w:t>organisation</w:t>
      </w:r>
      <w:proofErr w:type="spellEnd"/>
      <w:r>
        <w:rPr>
          <w:rFonts w:ascii="Arial" w:hAnsi="Arial" w:cs="Arial"/>
          <w:bCs/>
          <w:sz w:val="22"/>
          <w:szCs w:val="22"/>
          <w:lang w:val="en-US"/>
        </w:rPr>
        <w:t xml:space="preserve"> identify </w:t>
      </w:r>
      <w:r w:rsidR="0054106C">
        <w:rPr>
          <w:rFonts w:ascii="Arial" w:hAnsi="Arial" w:cs="Arial"/>
          <w:bCs/>
          <w:sz w:val="22"/>
          <w:szCs w:val="22"/>
          <w:lang w:val="en-US"/>
        </w:rPr>
        <w:t xml:space="preserve">whether you have the </w:t>
      </w:r>
      <w:r>
        <w:rPr>
          <w:rFonts w:ascii="Arial" w:hAnsi="Arial" w:cs="Arial"/>
          <w:bCs/>
          <w:sz w:val="22"/>
          <w:szCs w:val="22"/>
          <w:lang w:val="en-US"/>
        </w:rPr>
        <w:t>evidence need</w:t>
      </w:r>
      <w:r w:rsidR="0054106C">
        <w:rPr>
          <w:rFonts w:ascii="Arial" w:hAnsi="Arial" w:cs="Arial"/>
          <w:bCs/>
          <w:sz w:val="22"/>
          <w:szCs w:val="22"/>
          <w:lang w:val="en-US"/>
        </w:rPr>
        <w:t>ed</w:t>
      </w:r>
      <w:r>
        <w:rPr>
          <w:rFonts w:ascii="Arial" w:hAnsi="Arial" w:cs="Arial"/>
          <w:bCs/>
          <w:sz w:val="22"/>
          <w:szCs w:val="22"/>
          <w:lang w:val="en-US"/>
        </w:rPr>
        <w:t xml:space="preserve"> to </w:t>
      </w:r>
      <w:r w:rsidR="001F486C">
        <w:rPr>
          <w:rFonts w:ascii="Arial" w:hAnsi="Arial" w:cs="Arial"/>
          <w:bCs/>
          <w:sz w:val="22"/>
          <w:szCs w:val="22"/>
          <w:lang w:val="en-US"/>
        </w:rPr>
        <w:t xml:space="preserve">prove that you </w:t>
      </w:r>
      <w:r>
        <w:rPr>
          <w:rFonts w:ascii="Arial" w:hAnsi="Arial" w:cs="Arial"/>
          <w:bCs/>
          <w:sz w:val="22"/>
          <w:szCs w:val="22"/>
          <w:lang w:val="en-US"/>
        </w:rPr>
        <w:t>meet the actions under the NSQHS Standards, whereas th</w:t>
      </w:r>
      <w:r w:rsidR="0054106C">
        <w:rPr>
          <w:rFonts w:ascii="Arial" w:hAnsi="Arial" w:cs="Arial"/>
          <w:bCs/>
          <w:sz w:val="22"/>
          <w:szCs w:val="22"/>
          <w:lang w:val="en-US"/>
        </w:rPr>
        <w:t>e tool below</w:t>
      </w:r>
      <w:r>
        <w:rPr>
          <w:rFonts w:ascii="Arial" w:hAnsi="Arial" w:cs="Arial"/>
          <w:bCs/>
          <w:sz w:val="22"/>
          <w:szCs w:val="22"/>
          <w:lang w:val="en-US"/>
        </w:rPr>
        <w:t xml:space="preserve"> helps you identify how your </w:t>
      </w:r>
      <w:proofErr w:type="spellStart"/>
      <w:r>
        <w:rPr>
          <w:rFonts w:ascii="Arial" w:hAnsi="Arial" w:cs="Arial"/>
          <w:bCs/>
          <w:sz w:val="22"/>
          <w:szCs w:val="22"/>
          <w:lang w:val="en-US"/>
        </w:rPr>
        <w:t>organi</w:t>
      </w:r>
      <w:r w:rsidR="001F486C">
        <w:rPr>
          <w:rFonts w:ascii="Arial" w:hAnsi="Arial" w:cs="Arial"/>
          <w:bCs/>
          <w:sz w:val="22"/>
          <w:szCs w:val="22"/>
          <w:lang w:val="en-US"/>
        </w:rPr>
        <w:t>s</w:t>
      </w:r>
      <w:r>
        <w:rPr>
          <w:rFonts w:ascii="Arial" w:hAnsi="Arial" w:cs="Arial"/>
          <w:bCs/>
          <w:sz w:val="22"/>
          <w:szCs w:val="22"/>
          <w:lang w:val="en-US"/>
        </w:rPr>
        <w:t>ation</w:t>
      </w:r>
      <w:proofErr w:type="spellEnd"/>
      <w:r>
        <w:rPr>
          <w:rFonts w:ascii="Arial" w:hAnsi="Arial" w:cs="Arial"/>
          <w:bCs/>
          <w:sz w:val="22"/>
          <w:szCs w:val="22"/>
          <w:lang w:val="en-US"/>
        </w:rPr>
        <w:t xml:space="preserve"> stands in terms of its</w:t>
      </w:r>
      <w:r w:rsidR="001F486C">
        <w:rPr>
          <w:rFonts w:ascii="Arial" w:hAnsi="Arial" w:cs="Arial"/>
          <w:bCs/>
          <w:sz w:val="22"/>
          <w:szCs w:val="22"/>
          <w:lang w:val="en-US"/>
        </w:rPr>
        <w:t xml:space="preserve"> readiness and existing infrastructure that supports </w:t>
      </w:r>
      <w:r w:rsidR="00291687">
        <w:rPr>
          <w:rFonts w:ascii="Arial" w:hAnsi="Arial" w:cs="Arial"/>
          <w:bCs/>
          <w:sz w:val="22"/>
          <w:szCs w:val="22"/>
          <w:lang w:val="en-US"/>
        </w:rPr>
        <w:t>a</w:t>
      </w:r>
      <w:r w:rsidR="007D0477">
        <w:rPr>
          <w:rFonts w:ascii="Arial" w:hAnsi="Arial" w:cs="Arial"/>
          <w:bCs/>
          <w:sz w:val="22"/>
          <w:szCs w:val="22"/>
          <w:lang w:val="en-US"/>
        </w:rPr>
        <w:t>n</w:t>
      </w:r>
      <w:r w:rsidR="00291687">
        <w:rPr>
          <w:rFonts w:ascii="Arial" w:hAnsi="Arial" w:cs="Arial"/>
          <w:bCs/>
          <w:sz w:val="22"/>
          <w:szCs w:val="22"/>
          <w:lang w:val="en-US"/>
        </w:rPr>
        <w:t xml:space="preserve"> approach to health care based on </w:t>
      </w:r>
      <w:r w:rsidR="001F486C">
        <w:rPr>
          <w:rFonts w:ascii="Arial" w:hAnsi="Arial" w:cs="Arial"/>
          <w:bCs/>
          <w:sz w:val="22"/>
          <w:szCs w:val="22"/>
          <w:lang w:val="en-US"/>
        </w:rPr>
        <w:t xml:space="preserve">partnerships with consumers. </w:t>
      </w:r>
    </w:p>
    <w:p w:rsidR="00F47106" w:rsidRDefault="007D0477" w:rsidP="00F47106">
      <w:pPr>
        <w:spacing w:before="120" w:after="120" w:line="280" w:lineRule="exact"/>
        <w:rPr>
          <w:rFonts w:ascii="Arial" w:hAnsi="Arial" w:cs="Arial"/>
          <w:sz w:val="22"/>
          <w:szCs w:val="22"/>
        </w:rPr>
      </w:pPr>
      <w:r>
        <w:rPr>
          <w:rFonts w:ascii="Arial" w:hAnsi="Arial" w:cs="Arial"/>
          <w:sz w:val="22"/>
          <w:szCs w:val="22"/>
        </w:rPr>
        <w:t xml:space="preserve">In addition, </w:t>
      </w:r>
      <w:r w:rsidR="00F47106" w:rsidRPr="00F47106">
        <w:rPr>
          <w:rFonts w:ascii="Arial" w:hAnsi="Arial" w:cs="Arial"/>
          <w:sz w:val="22"/>
          <w:szCs w:val="22"/>
        </w:rPr>
        <w:t>Queensland Health has</w:t>
      </w:r>
      <w:r w:rsidR="0054106C">
        <w:rPr>
          <w:rFonts w:ascii="Arial" w:hAnsi="Arial" w:cs="Arial"/>
          <w:sz w:val="22"/>
          <w:szCs w:val="22"/>
        </w:rPr>
        <w:t xml:space="preserve"> also</w:t>
      </w:r>
      <w:r w:rsidR="00F47106" w:rsidRPr="00F47106">
        <w:rPr>
          <w:rFonts w:ascii="Arial" w:hAnsi="Arial" w:cs="Arial"/>
          <w:sz w:val="22"/>
          <w:szCs w:val="22"/>
        </w:rPr>
        <w:t xml:space="preserve"> developed a highly detailed suite of audit tools and measurement plans, including for </w:t>
      </w:r>
      <w:r w:rsidR="004D0C91">
        <w:rPr>
          <w:rFonts w:ascii="Arial" w:hAnsi="Arial" w:cs="Arial"/>
          <w:sz w:val="22"/>
          <w:szCs w:val="22"/>
        </w:rPr>
        <w:t xml:space="preserve">NSQHS </w:t>
      </w:r>
      <w:r w:rsidR="00F47106" w:rsidRPr="00F47106">
        <w:rPr>
          <w:rFonts w:ascii="Arial" w:hAnsi="Arial" w:cs="Arial"/>
          <w:sz w:val="22"/>
          <w:szCs w:val="22"/>
        </w:rPr>
        <w:t xml:space="preserve">Standard 2. </w:t>
      </w:r>
      <w:r w:rsidR="00F47106">
        <w:rPr>
          <w:rFonts w:ascii="Arial" w:hAnsi="Arial" w:cs="Arial"/>
          <w:sz w:val="22"/>
          <w:szCs w:val="22"/>
        </w:rPr>
        <w:t xml:space="preserve">These </w:t>
      </w:r>
      <w:r w:rsidR="0054106C">
        <w:rPr>
          <w:rFonts w:ascii="Arial" w:hAnsi="Arial" w:cs="Arial"/>
          <w:sz w:val="22"/>
          <w:szCs w:val="22"/>
        </w:rPr>
        <w:t xml:space="preserve">focus on identifying evidence to demonstrate meeting actions under the NSQHS Standards and </w:t>
      </w:r>
      <w:r w:rsidR="00F47106">
        <w:rPr>
          <w:rFonts w:ascii="Arial" w:hAnsi="Arial" w:cs="Arial"/>
          <w:sz w:val="22"/>
          <w:szCs w:val="22"/>
        </w:rPr>
        <w:t xml:space="preserve">can be found at: </w:t>
      </w:r>
      <w:hyperlink r:id="rId10" w:history="1">
        <w:r w:rsidR="00F47106" w:rsidRPr="00D1612D">
          <w:rPr>
            <w:rStyle w:val="Hyperlink"/>
            <w:rFonts w:ascii="Arial" w:hAnsi="Arial" w:cs="Arial"/>
            <w:sz w:val="22"/>
            <w:szCs w:val="22"/>
          </w:rPr>
          <w:t>http://www.health.qld.gov.au/psu/safetyandquality/nsqhss-audit-tools.asp</w:t>
        </w:r>
      </w:hyperlink>
    </w:p>
    <w:p w:rsidR="00A53EC6" w:rsidRPr="00270181" w:rsidRDefault="00270181" w:rsidP="00270181">
      <w:pPr>
        <w:spacing w:before="120" w:after="120" w:line="280" w:lineRule="exact"/>
        <w:rPr>
          <w:rFonts w:ascii="Arial" w:hAnsi="Arial" w:cs="Arial"/>
          <w:b/>
          <w:bCs/>
          <w:color w:val="336699"/>
          <w:sz w:val="28"/>
          <w:szCs w:val="28"/>
          <w:lang w:val="en-US"/>
        </w:rPr>
      </w:pPr>
      <w:r>
        <w:rPr>
          <w:rFonts w:ascii="Arial" w:hAnsi="Arial" w:cs="Arial"/>
          <w:b/>
          <w:bCs/>
          <w:color w:val="336699"/>
          <w:sz w:val="28"/>
          <w:szCs w:val="28"/>
          <w:lang w:val="en-US"/>
        </w:rPr>
        <w:t xml:space="preserve">Setting the groundwork for </w:t>
      </w:r>
      <w:r w:rsidR="00A53EC6" w:rsidRPr="00270181">
        <w:rPr>
          <w:rFonts w:ascii="Arial" w:hAnsi="Arial" w:cs="Arial"/>
          <w:b/>
          <w:bCs/>
          <w:color w:val="336699"/>
          <w:sz w:val="28"/>
          <w:szCs w:val="28"/>
          <w:lang w:val="en-US"/>
        </w:rPr>
        <w:t>partner</w:t>
      </w:r>
      <w:r>
        <w:rPr>
          <w:rFonts w:ascii="Arial" w:hAnsi="Arial" w:cs="Arial"/>
          <w:b/>
          <w:bCs/>
          <w:color w:val="336699"/>
          <w:sz w:val="28"/>
          <w:szCs w:val="28"/>
          <w:lang w:val="en-US"/>
        </w:rPr>
        <w:t>ing</w:t>
      </w:r>
      <w:r w:rsidR="00A53EC6" w:rsidRPr="00270181">
        <w:rPr>
          <w:rFonts w:ascii="Arial" w:hAnsi="Arial" w:cs="Arial"/>
          <w:b/>
          <w:bCs/>
          <w:color w:val="336699"/>
          <w:sz w:val="28"/>
          <w:szCs w:val="28"/>
          <w:lang w:val="en-US"/>
        </w:rPr>
        <w:t xml:space="preserve"> with consumers</w:t>
      </w:r>
    </w:p>
    <w:p w:rsidR="00A53EC6" w:rsidRPr="00911E77" w:rsidRDefault="00A53EC6" w:rsidP="00270181">
      <w:pPr>
        <w:spacing w:before="120" w:after="120" w:line="280" w:lineRule="exact"/>
        <w:rPr>
          <w:rFonts w:ascii="Arial" w:hAnsi="Arial" w:cs="Arial"/>
          <w:sz w:val="22"/>
          <w:szCs w:val="22"/>
        </w:rPr>
      </w:pPr>
      <w:r w:rsidRPr="00911E77">
        <w:rPr>
          <w:rFonts w:ascii="Arial" w:hAnsi="Arial" w:cs="Arial"/>
          <w:sz w:val="22"/>
          <w:szCs w:val="22"/>
        </w:rPr>
        <w:t>Establishing effective partnerships with consumers</w:t>
      </w:r>
      <w:r w:rsidR="0022091E">
        <w:rPr>
          <w:rFonts w:ascii="Arial" w:hAnsi="Arial" w:cs="Arial"/>
          <w:sz w:val="22"/>
          <w:szCs w:val="22"/>
        </w:rPr>
        <w:t xml:space="preserve"> to impro</w:t>
      </w:r>
      <w:r w:rsidRPr="00911E77">
        <w:rPr>
          <w:rFonts w:ascii="Arial" w:hAnsi="Arial" w:cs="Arial"/>
          <w:sz w:val="22"/>
          <w:szCs w:val="22"/>
        </w:rPr>
        <w:t>ve safety and quality is a long term process, and requires the commitment of leaders to enable change to occur throughout the organisation.</w:t>
      </w:r>
    </w:p>
    <w:p w:rsidR="00A53EC6" w:rsidRDefault="000A459D" w:rsidP="00270181">
      <w:pPr>
        <w:spacing w:before="120" w:after="120" w:line="280" w:lineRule="exact"/>
        <w:rPr>
          <w:rFonts w:ascii="Arial" w:hAnsi="Arial" w:cs="Arial"/>
          <w:sz w:val="22"/>
          <w:szCs w:val="22"/>
        </w:rPr>
      </w:pPr>
      <w:r>
        <w:rPr>
          <w:rFonts w:ascii="Arial" w:hAnsi="Arial" w:cs="Arial"/>
          <w:sz w:val="22"/>
          <w:szCs w:val="22"/>
        </w:rPr>
        <w:t xml:space="preserve">NSQHS </w:t>
      </w:r>
      <w:r w:rsidR="00A53EC6" w:rsidRPr="00911E77">
        <w:rPr>
          <w:rFonts w:ascii="Arial" w:hAnsi="Arial" w:cs="Arial"/>
          <w:sz w:val="22"/>
          <w:szCs w:val="22"/>
        </w:rPr>
        <w:t>Standard</w:t>
      </w:r>
      <w:r>
        <w:rPr>
          <w:rFonts w:ascii="Arial" w:hAnsi="Arial" w:cs="Arial"/>
          <w:sz w:val="22"/>
          <w:szCs w:val="22"/>
        </w:rPr>
        <w:t xml:space="preserve"> 2 includes</w:t>
      </w:r>
      <w:r w:rsidR="00A53EC6" w:rsidRPr="00911E77">
        <w:rPr>
          <w:rFonts w:ascii="Arial" w:hAnsi="Arial" w:cs="Arial"/>
          <w:sz w:val="22"/>
          <w:szCs w:val="22"/>
        </w:rPr>
        <w:t xml:space="preserve"> four core actions that need to be met as part of the first accreditation assessment after January 2013. These actions, however, sit within a larger framework of activities that are needed to embed the concepts and processes of partnering with consumers within the operation of the health service in an ongoing way. </w:t>
      </w:r>
    </w:p>
    <w:p w:rsidR="00A81744" w:rsidRDefault="0022091E" w:rsidP="00270181">
      <w:pPr>
        <w:spacing w:before="120" w:after="120" w:line="280" w:lineRule="exact"/>
        <w:rPr>
          <w:rFonts w:ascii="Arial" w:hAnsi="Arial" w:cs="Arial"/>
          <w:sz w:val="22"/>
          <w:szCs w:val="22"/>
        </w:rPr>
      </w:pPr>
      <w:r>
        <w:rPr>
          <w:rFonts w:ascii="Arial" w:hAnsi="Arial" w:cs="Arial"/>
          <w:sz w:val="22"/>
          <w:szCs w:val="22"/>
        </w:rPr>
        <w:t xml:space="preserve">To address </w:t>
      </w:r>
      <w:r w:rsidR="000A459D">
        <w:rPr>
          <w:rFonts w:ascii="Arial" w:hAnsi="Arial" w:cs="Arial"/>
          <w:sz w:val="22"/>
          <w:szCs w:val="22"/>
        </w:rPr>
        <w:t xml:space="preserve">NSQHS </w:t>
      </w:r>
      <w:r>
        <w:rPr>
          <w:rFonts w:ascii="Arial" w:hAnsi="Arial" w:cs="Arial"/>
          <w:sz w:val="22"/>
          <w:szCs w:val="22"/>
        </w:rPr>
        <w:t>Standard</w:t>
      </w:r>
      <w:r w:rsidR="00A81744">
        <w:rPr>
          <w:rFonts w:ascii="Arial" w:hAnsi="Arial" w:cs="Arial"/>
          <w:sz w:val="22"/>
          <w:szCs w:val="22"/>
        </w:rPr>
        <w:t xml:space="preserve"> 2</w:t>
      </w:r>
      <w:r>
        <w:rPr>
          <w:rFonts w:ascii="Arial" w:hAnsi="Arial" w:cs="Arial"/>
          <w:sz w:val="22"/>
          <w:szCs w:val="22"/>
        </w:rPr>
        <w:t xml:space="preserve"> in a comprehensive way, systems and processes need to be put in place (or adapted) which set the expectation that consumers will be engaged in the governance, planning, design and delivery of services within the healthcare organisation.</w:t>
      </w:r>
      <w:r w:rsidR="00A81744">
        <w:rPr>
          <w:rFonts w:ascii="Arial" w:hAnsi="Arial" w:cs="Arial"/>
          <w:sz w:val="22"/>
          <w:szCs w:val="22"/>
        </w:rPr>
        <w:t xml:space="preserve"> Including this expectation in an overarching vision, framework or consumer engagement policy is a useful first step in achieving this. </w:t>
      </w:r>
    </w:p>
    <w:p w:rsidR="007D0477" w:rsidRDefault="00A81744" w:rsidP="00270181">
      <w:pPr>
        <w:spacing w:before="120" w:after="120" w:line="280" w:lineRule="exact"/>
        <w:rPr>
          <w:rFonts w:ascii="Arial" w:hAnsi="Arial" w:cs="Arial"/>
          <w:sz w:val="22"/>
          <w:szCs w:val="22"/>
        </w:rPr>
      </w:pPr>
      <w:r>
        <w:rPr>
          <w:rFonts w:ascii="Arial" w:hAnsi="Arial" w:cs="Arial"/>
          <w:sz w:val="22"/>
          <w:szCs w:val="22"/>
        </w:rPr>
        <w:t xml:space="preserve">This overarching framework can be supported by ensuring that policies and processes around governance, improvement and planning reflect the inclusive principles of partnering with consumers and include steps which engage with consumers in ways that are practical and useful for the organisation. </w:t>
      </w:r>
    </w:p>
    <w:p w:rsidR="00A81744" w:rsidRDefault="00A81744" w:rsidP="00270181">
      <w:pPr>
        <w:spacing w:before="120" w:after="120" w:line="280" w:lineRule="exact"/>
        <w:rPr>
          <w:rFonts w:ascii="Arial" w:hAnsi="Arial" w:cs="Arial"/>
          <w:sz w:val="22"/>
          <w:szCs w:val="22"/>
        </w:rPr>
      </w:pPr>
      <w:r>
        <w:rPr>
          <w:rFonts w:ascii="Arial" w:hAnsi="Arial" w:cs="Arial"/>
          <w:sz w:val="22"/>
          <w:szCs w:val="22"/>
        </w:rPr>
        <w:t xml:space="preserve">For example, when checking with consumers that an information brochure is easy to understand a small rural hospital may have a </w:t>
      </w:r>
      <w:r w:rsidR="00270181">
        <w:rPr>
          <w:rFonts w:ascii="Arial" w:hAnsi="Arial" w:cs="Arial"/>
          <w:sz w:val="22"/>
          <w:szCs w:val="22"/>
        </w:rPr>
        <w:t xml:space="preserve">simple </w:t>
      </w:r>
      <w:r>
        <w:rPr>
          <w:rFonts w:ascii="Arial" w:hAnsi="Arial" w:cs="Arial"/>
          <w:sz w:val="22"/>
          <w:szCs w:val="22"/>
        </w:rPr>
        <w:t>p</w:t>
      </w:r>
      <w:r w:rsidR="00270181">
        <w:rPr>
          <w:rFonts w:ascii="Arial" w:hAnsi="Arial" w:cs="Arial"/>
          <w:sz w:val="22"/>
          <w:szCs w:val="22"/>
        </w:rPr>
        <w:t>rocess</w:t>
      </w:r>
      <w:r>
        <w:rPr>
          <w:rFonts w:ascii="Arial" w:hAnsi="Arial" w:cs="Arial"/>
          <w:sz w:val="22"/>
          <w:szCs w:val="22"/>
        </w:rPr>
        <w:t xml:space="preserve"> </w:t>
      </w:r>
      <w:r w:rsidR="00270181">
        <w:rPr>
          <w:rFonts w:ascii="Arial" w:hAnsi="Arial" w:cs="Arial"/>
          <w:sz w:val="22"/>
          <w:szCs w:val="22"/>
        </w:rPr>
        <w:t xml:space="preserve">based on </w:t>
      </w:r>
      <w:r>
        <w:rPr>
          <w:rFonts w:ascii="Arial" w:hAnsi="Arial" w:cs="Arial"/>
          <w:sz w:val="22"/>
          <w:szCs w:val="22"/>
        </w:rPr>
        <w:t xml:space="preserve">gathering feedback from consumers within waiting rooms, whereas a local health district may have a </w:t>
      </w:r>
      <w:r w:rsidR="00270181">
        <w:rPr>
          <w:rFonts w:ascii="Arial" w:hAnsi="Arial" w:cs="Arial"/>
          <w:sz w:val="22"/>
          <w:szCs w:val="22"/>
        </w:rPr>
        <w:t xml:space="preserve">more complex </w:t>
      </w:r>
      <w:r>
        <w:rPr>
          <w:rFonts w:ascii="Arial" w:hAnsi="Arial" w:cs="Arial"/>
          <w:sz w:val="22"/>
          <w:szCs w:val="22"/>
        </w:rPr>
        <w:t xml:space="preserve">process </w:t>
      </w:r>
      <w:r w:rsidR="00270181">
        <w:rPr>
          <w:rFonts w:ascii="Arial" w:hAnsi="Arial" w:cs="Arial"/>
          <w:sz w:val="22"/>
          <w:szCs w:val="22"/>
        </w:rPr>
        <w:t xml:space="preserve">involving </w:t>
      </w:r>
      <w:r>
        <w:rPr>
          <w:rFonts w:ascii="Arial" w:hAnsi="Arial" w:cs="Arial"/>
          <w:sz w:val="22"/>
          <w:szCs w:val="22"/>
        </w:rPr>
        <w:t>conven</w:t>
      </w:r>
      <w:r w:rsidR="00270181">
        <w:rPr>
          <w:rFonts w:ascii="Arial" w:hAnsi="Arial" w:cs="Arial"/>
          <w:sz w:val="22"/>
          <w:szCs w:val="22"/>
        </w:rPr>
        <w:t>ing</w:t>
      </w:r>
      <w:r>
        <w:rPr>
          <w:rFonts w:ascii="Arial" w:hAnsi="Arial" w:cs="Arial"/>
          <w:sz w:val="22"/>
          <w:szCs w:val="22"/>
        </w:rPr>
        <w:t xml:space="preserve"> a focus group </w:t>
      </w:r>
      <w:r w:rsidR="00270181">
        <w:rPr>
          <w:rFonts w:ascii="Arial" w:hAnsi="Arial" w:cs="Arial"/>
          <w:sz w:val="22"/>
          <w:szCs w:val="22"/>
        </w:rPr>
        <w:t xml:space="preserve">so that it can more efficiently </w:t>
      </w:r>
      <w:r>
        <w:rPr>
          <w:rFonts w:ascii="Arial" w:hAnsi="Arial" w:cs="Arial"/>
          <w:sz w:val="22"/>
          <w:szCs w:val="22"/>
        </w:rPr>
        <w:t>test multiple materials at once. The method involved can vary significantly from service to service, as long as the intent is maintained and the purpose – in this case gaining meaningful and useful feedback on how to make information easier to understand – is achieved.</w:t>
      </w:r>
    </w:p>
    <w:p w:rsidR="00270181" w:rsidRPr="00270181" w:rsidRDefault="00270181" w:rsidP="00270181">
      <w:pPr>
        <w:spacing w:before="120" w:after="120" w:line="280" w:lineRule="exact"/>
        <w:rPr>
          <w:rFonts w:ascii="Arial" w:hAnsi="Arial" w:cs="Arial"/>
          <w:b/>
          <w:bCs/>
          <w:color w:val="336699"/>
          <w:sz w:val="28"/>
          <w:szCs w:val="28"/>
          <w:lang w:val="en-US"/>
        </w:rPr>
      </w:pPr>
      <w:r w:rsidRPr="00270181">
        <w:rPr>
          <w:rFonts w:ascii="Arial" w:hAnsi="Arial" w:cs="Arial"/>
          <w:b/>
          <w:bCs/>
          <w:color w:val="336699"/>
          <w:sz w:val="28"/>
          <w:szCs w:val="28"/>
          <w:lang w:val="en-US"/>
        </w:rPr>
        <w:t>Flexibility and documentation</w:t>
      </w:r>
    </w:p>
    <w:p w:rsidR="007D0477" w:rsidRDefault="0064769F" w:rsidP="00270181">
      <w:pPr>
        <w:spacing w:before="120" w:after="120" w:line="280" w:lineRule="exact"/>
        <w:rPr>
          <w:rFonts w:ascii="Arial" w:hAnsi="Arial" w:cs="Arial"/>
          <w:sz w:val="22"/>
          <w:szCs w:val="22"/>
        </w:rPr>
      </w:pPr>
      <w:r>
        <w:rPr>
          <w:rFonts w:ascii="Arial" w:hAnsi="Arial" w:cs="Arial"/>
          <w:sz w:val="22"/>
          <w:szCs w:val="22"/>
        </w:rPr>
        <w:t xml:space="preserve">Given this flexibility in the method of achieving the action, it is crucial that how the action is achieved is documented. </w:t>
      </w:r>
    </w:p>
    <w:p w:rsidR="00A81744" w:rsidRDefault="0064769F" w:rsidP="00270181">
      <w:pPr>
        <w:spacing w:before="120" w:after="120" w:line="280" w:lineRule="exact"/>
        <w:rPr>
          <w:rFonts w:ascii="Arial" w:hAnsi="Arial" w:cs="Arial"/>
          <w:sz w:val="22"/>
          <w:szCs w:val="22"/>
        </w:rPr>
      </w:pPr>
      <w:r>
        <w:rPr>
          <w:rFonts w:ascii="Arial" w:hAnsi="Arial" w:cs="Arial"/>
          <w:sz w:val="22"/>
          <w:szCs w:val="22"/>
        </w:rPr>
        <w:lastRenderedPageBreak/>
        <w:t>The more formal approaches of including consumers in committees, focus groups, workshops and planning teams will generally automatically create an evidence trail</w:t>
      </w:r>
      <w:r w:rsidR="00230359">
        <w:rPr>
          <w:rFonts w:ascii="Arial" w:hAnsi="Arial" w:cs="Arial"/>
          <w:sz w:val="22"/>
          <w:szCs w:val="22"/>
        </w:rPr>
        <w:t xml:space="preserve"> in the associated documentation for these activities</w:t>
      </w:r>
      <w:r>
        <w:rPr>
          <w:rFonts w:ascii="Arial" w:hAnsi="Arial" w:cs="Arial"/>
          <w:sz w:val="22"/>
          <w:szCs w:val="22"/>
        </w:rPr>
        <w:t>. However, effort needs to be taken to ensure that the less formal approaches, such as waiting room consultations, critical friends groups and phone surveys are recorded in some way, for example through file notes, diary entries, meeting agendas or other records.</w:t>
      </w:r>
    </w:p>
    <w:p w:rsidR="00A53EC6" w:rsidRPr="00270181" w:rsidRDefault="007D0477" w:rsidP="00270181">
      <w:pPr>
        <w:spacing w:before="120" w:after="120" w:line="280" w:lineRule="exact"/>
        <w:rPr>
          <w:rFonts w:ascii="Arial" w:hAnsi="Arial" w:cs="Arial"/>
          <w:b/>
          <w:color w:val="336699"/>
          <w:sz w:val="28"/>
          <w:szCs w:val="28"/>
          <w:lang w:val="en-US"/>
        </w:rPr>
      </w:pPr>
      <w:r>
        <w:rPr>
          <w:rFonts w:ascii="Arial" w:hAnsi="Arial" w:cs="Arial"/>
          <w:b/>
          <w:color w:val="336699"/>
          <w:sz w:val="28"/>
          <w:szCs w:val="28"/>
          <w:lang w:val="en-US"/>
        </w:rPr>
        <w:t>Further information</w:t>
      </w:r>
      <w:r w:rsidR="00270181" w:rsidRPr="00270181">
        <w:rPr>
          <w:rFonts w:ascii="Arial" w:hAnsi="Arial" w:cs="Arial"/>
          <w:b/>
          <w:color w:val="336699"/>
          <w:sz w:val="28"/>
          <w:szCs w:val="28"/>
          <w:lang w:val="en-US"/>
        </w:rPr>
        <w:t xml:space="preserve"> </w:t>
      </w:r>
    </w:p>
    <w:p w:rsidR="007D0477" w:rsidRDefault="007D0477" w:rsidP="00270181">
      <w:pPr>
        <w:spacing w:before="120" w:after="120" w:line="280" w:lineRule="exact"/>
        <w:rPr>
          <w:rStyle w:val="IntenseReference"/>
          <w:rFonts w:ascii="Arial" w:hAnsi="Arial" w:cs="Arial"/>
          <w:b w:val="0"/>
          <w:bCs w:val="0"/>
          <w:i w:val="0"/>
          <w:smallCaps w:val="0"/>
          <w:color w:val="auto"/>
          <w:spacing w:val="0"/>
          <w:sz w:val="22"/>
          <w:szCs w:val="22"/>
        </w:rPr>
      </w:pPr>
      <w:r>
        <w:rPr>
          <w:rStyle w:val="IntenseReference"/>
          <w:rFonts w:ascii="Arial" w:hAnsi="Arial" w:cs="Arial"/>
          <w:b w:val="0"/>
          <w:bCs w:val="0"/>
          <w:i w:val="0"/>
          <w:smallCaps w:val="0"/>
          <w:color w:val="auto"/>
          <w:spacing w:val="0"/>
          <w:sz w:val="22"/>
          <w:szCs w:val="22"/>
        </w:rPr>
        <w:t xml:space="preserve">Safety and Quality Improvement Guide Standard 2: Partnering with Consumers: </w:t>
      </w:r>
      <w:hyperlink r:id="rId11" w:history="1">
        <w:r w:rsidRPr="00A04728">
          <w:rPr>
            <w:rStyle w:val="Hyperlink"/>
            <w:rFonts w:ascii="Arial" w:hAnsi="Arial" w:cs="Arial"/>
            <w:sz w:val="22"/>
            <w:szCs w:val="22"/>
          </w:rPr>
          <w:t>http://www.safetyandquality.gov.au/publications/safety-and-quality-improvement-guide-standard-2-partnering-with-consumers-october-2012/</w:t>
        </w:r>
      </w:hyperlink>
    </w:p>
    <w:p w:rsidR="00F12EC1" w:rsidRPr="000A459D" w:rsidRDefault="00F12EC1" w:rsidP="00270181">
      <w:pPr>
        <w:spacing w:before="120" w:after="120" w:line="280" w:lineRule="exact"/>
        <w:rPr>
          <w:rStyle w:val="IntenseReference"/>
          <w:rFonts w:ascii="Arial" w:hAnsi="Arial" w:cs="Arial"/>
          <w:b w:val="0"/>
          <w:bCs w:val="0"/>
          <w:i w:val="0"/>
          <w:smallCaps w:val="0"/>
          <w:color w:val="auto"/>
          <w:spacing w:val="0"/>
          <w:sz w:val="22"/>
          <w:szCs w:val="22"/>
        </w:rPr>
      </w:pPr>
      <w:r w:rsidRPr="000A459D">
        <w:rPr>
          <w:rStyle w:val="IntenseReference"/>
          <w:rFonts w:ascii="Arial" w:hAnsi="Arial" w:cs="Arial"/>
          <w:b w:val="0"/>
          <w:bCs w:val="0"/>
          <w:i w:val="0"/>
          <w:smallCaps w:val="0"/>
          <w:color w:val="auto"/>
          <w:spacing w:val="0"/>
          <w:sz w:val="22"/>
          <w:szCs w:val="22"/>
        </w:rPr>
        <w:t>A toolkit for consumer participation and engagement (Paediatric Integrated Cancer Service and Australian and New Zealand Children’s Haematology and Oncology Group):</w:t>
      </w:r>
      <w:r w:rsidR="00F47106" w:rsidRPr="000A459D">
        <w:rPr>
          <w:rStyle w:val="IntenseReference"/>
          <w:rFonts w:ascii="Arial" w:hAnsi="Arial" w:cs="Arial"/>
          <w:b w:val="0"/>
          <w:bCs w:val="0"/>
          <w:i w:val="0"/>
          <w:smallCaps w:val="0"/>
          <w:color w:val="auto"/>
          <w:spacing w:val="0"/>
          <w:sz w:val="22"/>
          <w:szCs w:val="22"/>
        </w:rPr>
        <w:t xml:space="preserve"> </w:t>
      </w:r>
      <w:hyperlink r:id="rId12" w:history="1">
        <w:r w:rsidR="0000193C" w:rsidRPr="000A459D">
          <w:rPr>
            <w:rStyle w:val="Hyperlink"/>
            <w:rFonts w:ascii="Arial" w:hAnsi="Arial" w:cs="Arial"/>
            <w:sz w:val="22"/>
            <w:szCs w:val="22"/>
          </w:rPr>
          <w:t>http://www.pics.org.au/AToolkitforConsumerParticipationandEngagement</w:t>
        </w:r>
      </w:hyperlink>
    </w:p>
    <w:p w:rsidR="0000193C" w:rsidRPr="000A459D" w:rsidRDefault="0000193C" w:rsidP="00270181">
      <w:pPr>
        <w:spacing w:before="120" w:after="120" w:line="280" w:lineRule="exact"/>
        <w:rPr>
          <w:rStyle w:val="IntenseReference"/>
          <w:rFonts w:ascii="Arial" w:hAnsi="Arial" w:cs="Arial"/>
          <w:b w:val="0"/>
          <w:bCs w:val="0"/>
          <w:i w:val="0"/>
          <w:smallCaps w:val="0"/>
          <w:color w:val="auto"/>
          <w:spacing w:val="0"/>
          <w:sz w:val="22"/>
          <w:szCs w:val="22"/>
        </w:rPr>
      </w:pPr>
      <w:r w:rsidRPr="000A459D">
        <w:rPr>
          <w:rStyle w:val="IntenseReference"/>
          <w:rFonts w:ascii="Arial" w:hAnsi="Arial" w:cs="Arial"/>
          <w:b w:val="0"/>
          <w:bCs w:val="0"/>
          <w:i w:val="0"/>
          <w:smallCaps w:val="0"/>
          <w:color w:val="auto"/>
          <w:spacing w:val="0"/>
          <w:sz w:val="22"/>
          <w:szCs w:val="22"/>
        </w:rPr>
        <w:t>Consumer involvement toolkit (Cancer Australia):</w:t>
      </w:r>
      <w:r w:rsidR="00F47106" w:rsidRPr="000A459D">
        <w:rPr>
          <w:rStyle w:val="IntenseReference"/>
          <w:rFonts w:ascii="Arial" w:hAnsi="Arial" w:cs="Arial"/>
          <w:b w:val="0"/>
          <w:bCs w:val="0"/>
          <w:i w:val="0"/>
          <w:smallCaps w:val="0"/>
          <w:color w:val="auto"/>
          <w:spacing w:val="0"/>
          <w:sz w:val="22"/>
          <w:szCs w:val="22"/>
        </w:rPr>
        <w:t xml:space="preserve"> </w:t>
      </w:r>
      <w:hyperlink r:id="rId13" w:history="1">
        <w:r w:rsidRPr="000A459D">
          <w:rPr>
            <w:rStyle w:val="Hyperlink"/>
            <w:rFonts w:ascii="Arial" w:hAnsi="Arial" w:cs="Arial"/>
            <w:sz w:val="22"/>
            <w:szCs w:val="22"/>
          </w:rPr>
          <w:t>http://consumerinvolvement.canceraustralia.gov.au/</w:t>
        </w:r>
      </w:hyperlink>
    </w:p>
    <w:p w:rsidR="00F47106" w:rsidRPr="000A459D" w:rsidRDefault="0000193C">
      <w:pPr>
        <w:spacing w:before="120" w:after="120" w:line="280" w:lineRule="exact"/>
        <w:rPr>
          <w:rStyle w:val="IntenseReference"/>
          <w:rFonts w:ascii="Arial" w:hAnsi="Arial" w:cs="Arial"/>
          <w:b w:val="0"/>
          <w:bCs w:val="0"/>
          <w:i w:val="0"/>
          <w:smallCaps w:val="0"/>
          <w:color w:val="auto"/>
          <w:spacing w:val="0"/>
          <w:sz w:val="22"/>
          <w:szCs w:val="22"/>
        </w:rPr>
      </w:pPr>
      <w:r w:rsidRPr="000A459D">
        <w:rPr>
          <w:rStyle w:val="IntenseReference"/>
          <w:rFonts w:ascii="Arial" w:hAnsi="Arial" w:cs="Arial"/>
          <w:b w:val="0"/>
          <w:bCs w:val="0"/>
          <w:i w:val="0"/>
          <w:smallCaps w:val="0"/>
          <w:color w:val="auto"/>
          <w:spacing w:val="0"/>
          <w:sz w:val="22"/>
          <w:szCs w:val="22"/>
        </w:rPr>
        <w:t>Patient-based care challenge (NSW Clinical Excellence Commission):</w:t>
      </w:r>
      <w:r w:rsidR="00F47106" w:rsidRPr="000A459D">
        <w:rPr>
          <w:rStyle w:val="IntenseReference"/>
          <w:rFonts w:ascii="Arial" w:hAnsi="Arial" w:cs="Arial"/>
          <w:b w:val="0"/>
          <w:bCs w:val="0"/>
          <w:i w:val="0"/>
          <w:smallCaps w:val="0"/>
          <w:color w:val="auto"/>
          <w:spacing w:val="0"/>
          <w:sz w:val="22"/>
          <w:szCs w:val="22"/>
        </w:rPr>
        <w:t xml:space="preserve"> </w:t>
      </w:r>
      <w:hyperlink r:id="rId14" w:history="1">
        <w:r w:rsidRPr="000A459D">
          <w:rPr>
            <w:rStyle w:val="Hyperlink"/>
            <w:rFonts w:ascii="Arial" w:hAnsi="Arial" w:cs="Arial"/>
            <w:sz w:val="22"/>
            <w:szCs w:val="22"/>
          </w:rPr>
          <w:t>http://www.cec.health.nsw.gov.au/__documents/programs/partnering-with-patients/cec_patient_based_care_challenge_dl_brochure_web.pdf</w:t>
        </w:r>
      </w:hyperlink>
    </w:p>
    <w:p w:rsidR="00402B83" w:rsidRPr="000A459D" w:rsidRDefault="00402B83" w:rsidP="00402B83">
      <w:pPr>
        <w:spacing w:before="120" w:after="120" w:line="280" w:lineRule="exact"/>
        <w:rPr>
          <w:rStyle w:val="IntenseReference"/>
          <w:rFonts w:ascii="Arial" w:hAnsi="Arial" w:cs="Arial"/>
          <w:b w:val="0"/>
          <w:bCs w:val="0"/>
          <w:i w:val="0"/>
          <w:smallCaps w:val="0"/>
          <w:color w:val="auto"/>
          <w:spacing w:val="0"/>
          <w:sz w:val="22"/>
          <w:szCs w:val="22"/>
        </w:rPr>
      </w:pPr>
      <w:r w:rsidRPr="000A459D">
        <w:rPr>
          <w:rStyle w:val="IntenseReference"/>
          <w:rFonts w:ascii="Arial" w:hAnsi="Arial" w:cs="Arial"/>
          <w:b w:val="0"/>
          <w:bCs w:val="0"/>
          <w:i w:val="0"/>
          <w:smallCaps w:val="0"/>
          <w:color w:val="auto"/>
          <w:spacing w:val="0"/>
          <w:sz w:val="22"/>
          <w:szCs w:val="22"/>
        </w:rPr>
        <w:t xml:space="preserve">Standard 2 audit tool (QLD Health): </w:t>
      </w:r>
      <w:hyperlink r:id="rId15" w:history="1">
        <w:r w:rsidRPr="000A459D">
          <w:rPr>
            <w:rStyle w:val="Hyperlink"/>
            <w:rFonts w:ascii="Arial" w:hAnsi="Arial" w:cs="Arial"/>
            <w:sz w:val="22"/>
            <w:szCs w:val="22"/>
          </w:rPr>
          <w:t>http://www.health.qld.gov.au/psu/safetyandquality/nsqhss-audit-tools.asp</w:t>
        </w:r>
      </w:hyperlink>
    </w:p>
    <w:p w:rsidR="007D0477" w:rsidRDefault="00245B2E" w:rsidP="009D3E3D">
      <w:pPr>
        <w:spacing w:before="120" w:after="120" w:line="280" w:lineRule="exact"/>
        <w:rPr>
          <w:rFonts w:ascii="Arial" w:hAnsi="Arial" w:cs="Arial"/>
          <w:sz w:val="22"/>
          <w:szCs w:val="22"/>
        </w:rPr>
      </w:pPr>
      <w:hyperlink r:id="rId16" w:history="1">
        <w:r w:rsidR="007D0477" w:rsidRPr="00A04728">
          <w:rPr>
            <w:rStyle w:val="Hyperlink"/>
            <w:rFonts w:ascii="Arial" w:hAnsi="Arial" w:cs="Arial"/>
            <w:sz w:val="22"/>
            <w:szCs w:val="22"/>
          </w:rPr>
          <w:t>http://www.health.qld.gov.au/psu/safetyandquality/docs/cons-audit-facility.pdf</w:t>
        </w:r>
      </w:hyperlink>
    </w:p>
    <w:p w:rsidR="00402B83" w:rsidRPr="009D3E3D" w:rsidRDefault="00A52CEE" w:rsidP="009D3E3D">
      <w:pPr>
        <w:spacing w:before="120" w:after="120" w:line="280" w:lineRule="exact"/>
        <w:rPr>
          <w:rStyle w:val="IntenseReference"/>
          <w:rFonts w:ascii="Arial" w:hAnsi="Arial" w:cs="Arial"/>
          <w:b w:val="0"/>
          <w:bCs w:val="0"/>
          <w:i w:val="0"/>
          <w:smallCaps w:val="0"/>
          <w:color w:val="auto"/>
          <w:spacing w:val="0"/>
          <w:sz w:val="22"/>
          <w:szCs w:val="22"/>
        </w:rPr>
      </w:pPr>
      <w:r>
        <w:rPr>
          <w:rStyle w:val="IntenseReference"/>
          <w:rFonts w:ascii="Arial" w:hAnsi="Arial" w:cs="Arial"/>
          <w:b w:val="0"/>
          <w:bCs w:val="0"/>
          <w:i w:val="0"/>
          <w:smallCaps w:val="0"/>
          <w:color w:val="auto"/>
          <w:spacing w:val="0"/>
        </w:rPr>
        <w:fldChar w:fldCharType="begin"/>
      </w:r>
      <w:r>
        <w:rPr>
          <w:rStyle w:val="IntenseReference"/>
          <w:rFonts w:ascii="Arial" w:hAnsi="Arial" w:cs="Arial"/>
          <w:b w:val="0"/>
          <w:bCs w:val="0"/>
          <w:i w:val="0"/>
          <w:smallCaps w:val="0"/>
          <w:color w:val="auto"/>
          <w:spacing w:val="0"/>
        </w:rPr>
        <w:instrText xml:space="preserve"> ADDIN EN.REFLIST </w:instrText>
      </w:r>
      <w:r>
        <w:rPr>
          <w:rStyle w:val="IntenseReference"/>
          <w:rFonts w:ascii="Arial" w:hAnsi="Arial" w:cs="Arial"/>
          <w:b w:val="0"/>
          <w:bCs w:val="0"/>
          <w:i w:val="0"/>
          <w:smallCaps w:val="0"/>
          <w:color w:val="auto"/>
          <w:spacing w:val="0"/>
        </w:rPr>
        <w:fldChar w:fldCharType="end"/>
      </w:r>
    </w:p>
    <w:sectPr w:rsidR="00402B83" w:rsidRPr="009D3E3D" w:rsidSect="00F471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622" w:rsidRDefault="00882622" w:rsidP="00930783">
      <w:r>
        <w:separator/>
      </w:r>
    </w:p>
  </w:endnote>
  <w:endnote w:type="continuationSeparator" w:id="0">
    <w:p w:rsidR="00882622" w:rsidRDefault="00882622" w:rsidP="0093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622" w:rsidRDefault="00882622" w:rsidP="00930783">
      <w:r>
        <w:separator/>
      </w:r>
    </w:p>
  </w:footnote>
  <w:footnote w:type="continuationSeparator" w:id="0">
    <w:p w:rsidR="00882622" w:rsidRDefault="00882622" w:rsidP="009307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63365"/>
    <w:multiLevelType w:val="hybridMultilevel"/>
    <w:tmpl w:val="4E06C3E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32C3DD1"/>
    <w:multiLevelType w:val="hybridMultilevel"/>
    <w:tmpl w:val="2D94DEF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02169D"/>
    <w:multiLevelType w:val="hybridMultilevel"/>
    <w:tmpl w:val="66125000"/>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170526F"/>
    <w:multiLevelType w:val="hybridMultilevel"/>
    <w:tmpl w:val="6CC07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D5F36AE"/>
    <w:multiLevelType w:val="hybridMultilevel"/>
    <w:tmpl w:val="58F4DA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3F16612C"/>
    <w:multiLevelType w:val="hybridMultilevel"/>
    <w:tmpl w:val="66006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2991E5D"/>
    <w:multiLevelType w:val="hybridMultilevel"/>
    <w:tmpl w:val="053C32B4"/>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92D5C62"/>
    <w:multiLevelType w:val="hybridMultilevel"/>
    <w:tmpl w:val="D068B93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nsid w:val="5B104E11"/>
    <w:multiLevelType w:val="hybridMultilevel"/>
    <w:tmpl w:val="B5AAAD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5B7A2F80"/>
    <w:multiLevelType w:val="hybridMultilevel"/>
    <w:tmpl w:val="19089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43A1DFF"/>
    <w:multiLevelType w:val="hybridMultilevel"/>
    <w:tmpl w:val="13FC1BC2"/>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9"/>
  </w:num>
  <w:num w:numId="5">
    <w:abstractNumId w:val="3"/>
  </w:num>
  <w:num w:numId="6">
    <w:abstractNumId w:val="2"/>
  </w:num>
  <w:num w:numId="7">
    <w:abstractNumId w:val="8"/>
  </w:num>
  <w:num w:numId="8">
    <w:abstractNumId w:val="10"/>
  </w:num>
  <w:num w:numId="9">
    <w:abstractNumId w:val="6"/>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Modified Brit Medical J&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6E3A98"/>
    <w:rsid w:val="0000193C"/>
    <w:rsid w:val="00003743"/>
    <w:rsid w:val="0006071B"/>
    <w:rsid w:val="00067456"/>
    <w:rsid w:val="0007081A"/>
    <w:rsid w:val="000A459D"/>
    <w:rsid w:val="000D52F3"/>
    <w:rsid w:val="00110096"/>
    <w:rsid w:val="00147B8B"/>
    <w:rsid w:val="00167BA7"/>
    <w:rsid w:val="0019436F"/>
    <w:rsid w:val="001B3443"/>
    <w:rsid w:val="001C4E98"/>
    <w:rsid w:val="001D02E6"/>
    <w:rsid w:val="001D7A03"/>
    <w:rsid w:val="001F486C"/>
    <w:rsid w:val="0022091E"/>
    <w:rsid w:val="00230359"/>
    <w:rsid w:val="00245B2E"/>
    <w:rsid w:val="002505F3"/>
    <w:rsid w:val="00270181"/>
    <w:rsid w:val="00291687"/>
    <w:rsid w:val="003038DC"/>
    <w:rsid w:val="0030786C"/>
    <w:rsid w:val="003D17F9"/>
    <w:rsid w:val="00402B83"/>
    <w:rsid w:val="00411241"/>
    <w:rsid w:val="00427ED8"/>
    <w:rsid w:val="00430F47"/>
    <w:rsid w:val="00465A1F"/>
    <w:rsid w:val="004867E2"/>
    <w:rsid w:val="004D0C91"/>
    <w:rsid w:val="0054106C"/>
    <w:rsid w:val="0054513A"/>
    <w:rsid w:val="0054594F"/>
    <w:rsid w:val="00581209"/>
    <w:rsid w:val="005971A9"/>
    <w:rsid w:val="006016FD"/>
    <w:rsid w:val="0064769F"/>
    <w:rsid w:val="00661734"/>
    <w:rsid w:val="00661D60"/>
    <w:rsid w:val="006E3A98"/>
    <w:rsid w:val="006F6FD4"/>
    <w:rsid w:val="007B1202"/>
    <w:rsid w:val="007D0477"/>
    <w:rsid w:val="008145D7"/>
    <w:rsid w:val="008264EB"/>
    <w:rsid w:val="00880A0C"/>
    <w:rsid w:val="00882622"/>
    <w:rsid w:val="008A6BA7"/>
    <w:rsid w:val="008B08D3"/>
    <w:rsid w:val="008D46CB"/>
    <w:rsid w:val="008F3260"/>
    <w:rsid w:val="00913F3B"/>
    <w:rsid w:val="00930783"/>
    <w:rsid w:val="00934889"/>
    <w:rsid w:val="00950DFE"/>
    <w:rsid w:val="009D3E3D"/>
    <w:rsid w:val="00A4512D"/>
    <w:rsid w:val="00A52CEE"/>
    <w:rsid w:val="00A53EC6"/>
    <w:rsid w:val="00A705AF"/>
    <w:rsid w:val="00A81744"/>
    <w:rsid w:val="00AA561A"/>
    <w:rsid w:val="00B42851"/>
    <w:rsid w:val="00B849F8"/>
    <w:rsid w:val="00BB3D90"/>
    <w:rsid w:val="00C803F6"/>
    <w:rsid w:val="00C845DE"/>
    <w:rsid w:val="00CB5B1A"/>
    <w:rsid w:val="00CD02DA"/>
    <w:rsid w:val="00D84EB1"/>
    <w:rsid w:val="00DC07F7"/>
    <w:rsid w:val="00E42594"/>
    <w:rsid w:val="00E90528"/>
    <w:rsid w:val="00EE5F0A"/>
    <w:rsid w:val="00F12EC1"/>
    <w:rsid w:val="00F1638E"/>
    <w:rsid w:val="00F47106"/>
    <w:rsid w:val="00F56584"/>
    <w:rsid w:val="00FF53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3A98"/>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customStyle="1" w:styleId="Default">
    <w:name w:val="Default"/>
    <w:rsid w:val="006E3A98"/>
    <w:pPr>
      <w:autoSpaceDE w:val="0"/>
      <w:autoSpaceDN w:val="0"/>
      <w:adjustRightInd w:val="0"/>
    </w:pPr>
    <w:rPr>
      <w:rFonts w:ascii="Helvetica Neue" w:hAnsi="Helvetica Neue" w:cs="Helvetica Neue"/>
      <w:color w:val="000000"/>
      <w:sz w:val="24"/>
      <w:szCs w:val="24"/>
      <w:lang w:val="en-US" w:eastAsia="en-US"/>
    </w:rPr>
  </w:style>
  <w:style w:type="character" w:customStyle="1" w:styleId="A3">
    <w:name w:val="A3"/>
    <w:rsid w:val="006E3A98"/>
    <w:rPr>
      <w:rFonts w:cs="Helvetica Neue"/>
      <w:color w:val="000000"/>
      <w:sz w:val="22"/>
      <w:szCs w:val="22"/>
    </w:rPr>
  </w:style>
  <w:style w:type="table" w:styleId="TableGrid">
    <w:name w:val="Table Grid"/>
    <w:basedOn w:val="TableNormal"/>
    <w:rsid w:val="007B12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930783"/>
    <w:pPr>
      <w:tabs>
        <w:tab w:val="center" w:pos="4513"/>
        <w:tab w:val="right" w:pos="9026"/>
      </w:tabs>
    </w:pPr>
  </w:style>
  <w:style w:type="character" w:customStyle="1" w:styleId="HeaderChar">
    <w:name w:val="Header Char"/>
    <w:basedOn w:val="DefaultParagraphFont"/>
    <w:link w:val="Header"/>
    <w:rsid w:val="00930783"/>
    <w:rPr>
      <w:sz w:val="24"/>
      <w:szCs w:val="24"/>
      <w:lang w:eastAsia="en-US"/>
    </w:rPr>
  </w:style>
  <w:style w:type="paragraph" w:styleId="Footer">
    <w:name w:val="footer"/>
    <w:basedOn w:val="Normal"/>
    <w:link w:val="FooterChar"/>
    <w:rsid w:val="00930783"/>
    <w:pPr>
      <w:tabs>
        <w:tab w:val="center" w:pos="4513"/>
        <w:tab w:val="right" w:pos="9026"/>
      </w:tabs>
    </w:pPr>
  </w:style>
  <w:style w:type="character" w:customStyle="1" w:styleId="FooterChar">
    <w:name w:val="Footer Char"/>
    <w:basedOn w:val="DefaultParagraphFont"/>
    <w:link w:val="Footer"/>
    <w:rsid w:val="00930783"/>
    <w:rPr>
      <w:sz w:val="24"/>
      <w:szCs w:val="24"/>
      <w:lang w:eastAsia="en-US"/>
    </w:rPr>
  </w:style>
  <w:style w:type="character" w:styleId="Hyperlink">
    <w:name w:val="Hyperlink"/>
    <w:basedOn w:val="DefaultParagraphFont"/>
    <w:rsid w:val="0000193C"/>
    <w:rPr>
      <w:color w:val="0000FF" w:themeColor="hyperlink"/>
      <w:u w:val="single"/>
    </w:rPr>
  </w:style>
  <w:style w:type="paragraph" w:styleId="BalloonText">
    <w:name w:val="Balloon Text"/>
    <w:basedOn w:val="Normal"/>
    <w:link w:val="BalloonTextChar"/>
    <w:rsid w:val="009D3E3D"/>
    <w:rPr>
      <w:rFonts w:ascii="Tahoma" w:hAnsi="Tahoma" w:cs="Tahoma"/>
      <w:sz w:val="16"/>
      <w:szCs w:val="16"/>
    </w:rPr>
  </w:style>
  <w:style w:type="character" w:customStyle="1" w:styleId="BalloonTextChar">
    <w:name w:val="Balloon Text Char"/>
    <w:basedOn w:val="DefaultParagraphFont"/>
    <w:link w:val="BalloonText"/>
    <w:rsid w:val="009D3E3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3A98"/>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customStyle="1" w:styleId="Default">
    <w:name w:val="Default"/>
    <w:rsid w:val="006E3A98"/>
    <w:pPr>
      <w:autoSpaceDE w:val="0"/>
      <w:autoSpaceDN w:val="0"/>
      <w:adjustRightInd w:val="0"/>
    </w:pPr>
    <w:rPr>
      <w:rFonts w:ascii="Helvetica Neue" w:hAnsi="Helvetica Neue" w:cs="Helvetica Neue"/>
      <w:color w:val="000000"/>
      <w:sz w:val="24"/>
      <w:szCs w:val="24"/>
      <w:lang w:val="en-US" w:eastAsia="en-US"/>
    </w:rPr>
  </w:style>
  <w:style w:type="character" w:customStyle="1" w:styleId="A3">
    <w:name w:val="A3"/>
    <w:rsid w:val="006E3A98"/>
    <w:rPr>
      <w:rFonts w:cs="Helvetica Neue"/>
      <w:color w:val="000000"/>
      <w:sz w:val="22"/>
      <w:szCs w:val="22"/>
    </w:rPr>
  </w:style>
  <w:style w:type="table" w:styleId="TableGrid">
    <w:name w:val="Table Grid"/>
    <w:basedOn w:val="TableNormal"/>
    <w:rsid w:val="007B12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930783"/>
    <w:pPr>
      <w:tabs>
        <w:tab w:val="center" w:pos="4513"/>
        <w:tab w:val="right" w:pos="9026"/>
      </w:tabs>
    </w:pPr>
  </w:style>
  <w:style w:type="character" w:customStyle="1" w:styleId="HeaderChar">
    <w:name w:val="Header Char"/>
    <w:basedOn w:val="DefaultParagraphFont"/>
    <w:link w:val="Header"/>
    <w:rsid w:val="00930783"/>
    <w:rPr>
      <w:sz w:val="24"/>
      <w:szCs w:val="24"/>
      <w:lang w:eastAsia="en-US"/>
    </w:rPr>
  </w:style>
  <w:style w:type="paragraph" w:styleId="Footer">
    <w:name w:val="footer"/>
    <w:basedOn w:val="Normal"/>
    <w:link w:val="FooterChar"/>
    <w:rsid w:val="00930783"/>
    <w:pPr>
      <w:tabs>
        <w:tab w:val="center" w:pos="4513"/>
        <w:tab w:val="right" w:pos="9026"/>
      </w:tabs>
    </w:pPr>
  </w:style>
  <w:style w:type="character" w:customStyle="1" w:styleId="FooterChar">
    <w:name w:val="Footer Char"/>
    <w:basedOn w:val="DefaultParagraphFont"/>
    <w:link w:val="Footer"/>
    <w:rsid w:val="00930783"/>
    <w:rPr>
      <w:sz w:val="24"/>
      <w:szCs w:val="24"/>
      <w:lang w:eastAsia="en-US"/>
    </w:rPr>
  </w:style>
  <w:style w:type="character" w:styleId="Hyperlink">
    <w:name w:val="Hyperlink"/>
    <w:basedOn w:val="DefaultParagraphFont"/>
    <w:rsid w:val="0000193C"/>
    <w:rPr>
      <w:color w:val="0000FF" w:themeColor="hyperlink"/>
      <w:u w:val="single"/>
    </w:rPr>
  </w:style>
  <w:style w:type="paragraph" w:styleId="BalloonText">
    <w:name w:val="Balloon Text"/>
    <w:basedOn w:val="Normal"/>
    <w:link w:val="BalloonTextChar"/>
    <w:rsid w:val="009D3E3D"/>
    <w:rPr>
      <w:rFonts w:ascii="Tahoma" w:hAnsi="Tahoma" w:cs="Tahoma"/>
      <w:sz w:val="16"/>
      <w:szCs w:val="16"/>
    </w:rPr>
  </w:style>
  <w:style w:type="character" w:customStyle="1" w:styleId="BalloonTextChar">
    <w:name w:val="Balloon Text Char"/>
    <w:basedOn w:val="DefaultParagraphFont"/>
    <w:link w:val="BalloonText"/>
    <w:rsid w:val="009D3E3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nsumerinvolvement.canceraustralia.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ics.org.au/AToolkitforConsumerParticipationandEngage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ealth.qld.gov.au/psu/safetyandquality/docs/cons-audit-facility.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publications/safety-and-quality-improvement-guide-standard-2-partnering-with-consumers-october-2012/" TargetMode="External"/><Relationship Id="rId5" Type="http://schemas.openxmlformats.org/officeDocument/2006/relationships/settings" Target="settings.xml"/><Relationship Id="rId15" Type="http://schemas.openxmlformats.org/officeDocument/2006/relationships/hyperlink" Target="http://www.health.qld.gov.au/psu/safetyandquality/nsqhss-audit-tools.asp" TargetMode="External"/><Relationship Id="rId10" Type="http://schemas.openxmlformats.org/officeDocument/2006/relationships/hyperlink" Target="http://www.health.qld.gov.au/psu/safetyandquality/nsqhss-audit-tools.asp" TargetMode="External"/><Relationship Id="rId4" Type="http://schemas.microsoft.com/office/2007/relationships/stylesWithEffects" Target="stylesWithEffects.xml"/><Relationship Id="rId9" Type="http://schemas.openxmlformats.org/officeDocument/2006/relationships/hyperlink" Target="http://www.safetyandquality.gov.au/wp-content/uploads/2012/10/Hospital-Accreditaton-Workbook-%E2%80%93-October-2012.pdf" TargetMode="External"/><Relationship Id="rId14" Type="http://schemas.openxmlformats.org/officeDocument/2006/relationships/hyperlink" Target="http://www.cec.health.nsw.gov.au/__documents/programs/partnering-with-patients/cec_patient_based_care_challenge_dl_brochure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50956-4E43-464C-A3C5-4E905E4B7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1089</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8740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Poole</dc:creator>
  <cp:lastModifiedBy>Keane Kym</cp:lastModifiedBy>
  <cp:revision>2</cp:revision>
  <cp:lastPrinted>2014-06-25T04:20:00Z</cp:lastPrinted>
  <dcterms:created xsi:type="dcterms:W3CDTF">2014-08-18T05:47:00Z</dcterms:created>
  <dcterms:modified xsi:type="dcterms:W3CDTF">2014-08-18T05:47:00Z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