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03" w:rsidRPr="00296132" w:rsidRDefault="00E15403" w:rsidP="005303DA">
      <w:pPr>
        <w:keepNext/>
        <w:keepLines/>
        <w:spacing w:after="240"/>
        <w:rPr>
          <w:rFonts w:ascii="Arial" w:hAnsi="Arial" w:cs="Arial"/>
          <w:b/>
          <w:i/>
          <w:sz w:val="32"/>
          <w:szCs w:val="32"/>
          <w:lang w:val="en-US"/>
        </w:rPr>
      </w:pPr>
      <w:r w:rsidRPr="00296132">
        <w:rPr>
          <w:rFonts w:ascii="Arial" w:hAnsi="Arial" w:cs="Arial"/>
          <w:b/>
          <w:i/>
          <w:sz w:val="32"/>
          <w:szCs w:val="32"/>
          <w:lang w:val="en-US"/>
        </w:rPr>
        <w:t>Standard 2: Partnering with Consumers</w:t>
      </w:r>
    </w:p>
    <w:p w:rsidR="00E15403" w:rsidRPr="00B04E88" w:rsidRDefault="00E15403" w:rsidP="005303DA">
      <w:pPr>
        <w:keepNext/>
        <w:keepLines/>
        <w:rPr>
          <w:rFonts w:ascii="Arial" w:hAnsi="Arial" w:cs="Arial"/>
          <w:b/>
          <w:sz w:val="28"/>
          <w:szCs w:val="28"/>
          <w:lang w:val="en-US"/>
        </w:rPr>
      </w:pPr>
      <w:r w:rsidRPr="00B04E88">
        <w:rPr>
          <w:rFonts w:ascii="Arial" w:hAnsi="Arial" w:cs="Arial"/>
          <w:b/>
          <w:sz w:val="28"/>
          <w:szCs w:val="28"/>
          <w:lang w:val="en-US"/>
        </w:rPr>
        <w:t xml:space="preserve">Tip Sheet </w:t>
      </w:r>
      <w:r w:rsidR="001D6FF5" w:rsidRPr="00B04E88">
        <w:rPr>
          <w:rFonts w:ascii="Arial" w:hAnsi="Arial" w:cs="Arial"/>
          <w:b/>
          <w:sz w:val="28"/>
          <w:szCs w:val="28"/>
          <w:lang w:val="en-US"/>
        </w:rPr>
        <w:t>7</w:t>
      </w:r>
      <w:r w:rsidRPr="00B04E88">
        <w:rPr>
          <w:rFonts w:ascii="Arial" w:hAnsi="Arial" w:cs="Arial"/>
          <w:b/>
          <w:sz w:val="28"/>
          <w:szCs w:val="28"/>
          <w:lang w:val="en-US"/>
        </w:rPr>
        <w:t xml:space="preserve">: </w:t>
      </w:r>
      <w:r w:rsidR="00C0315F" w:rsidRPr="00B04E88">
        <w:rPr>
          <w:rFonts w:ascii="Arial" w:hAnsi="Arial" w:cs="Arial"/>
          <w:b/>
          <w:sz w:val="28"/>
          <w:szCs w:val="28"/>
          <w:lang w:val="en-US"/>
        </w:rPr>
        <w:t xml:space="preserve">Ideas for </w:t>
      </w:r>
      <w:r w:rsidR="00AC61C3" w:rsidRPr="00B04E88">
        <w:rPr>
          <w:rFonts w:ascii="Arial" w:hAnsi="Arial" w:cs="Arial"/>
          <w:b/>
          <w:sz w:val="28"/>
          <w:szCs w:val="28"/>
          <w:lang w:val="en-US"/>
        </w:rPr>
        <w:t xml:space="preserve">day procedure services </w:t>
      </w:r>
      <w:r w:rsidR="00C0315F" w:rsidRPr="00B04E88">
        <w:rPr>
          <w:rFonts w:ascii="Arial" w:hAnsi="Arial" w:cs="Arial"/>
          <w:b/>
          <w:sz w:val="28"/>
          <w:szCs w:val="28"/>
          <w:lang w:val="en-US"/>
        </w:rPr>
        <w:t>on engaging</w:t>
      </w:r>
      <w:r w:rsidRPr="00B04E88">
        <w:rPr>
          <w:rFonts w:ascii="Arial" w:hAnsi="Arial" w:cs="Arial"/>
          <w:b/>
          <w:sz w:val="28"/>
          <w:szCs w:val="28"/>
          <w:lang w:val="en-US"/>
        </w:rPr>
        <w:t xml:space="preserve"> with consumers </w:t>
      </w:r>
    </w:p>
    <w:p w:rsidR="00AF02C6" w:rsidRPr="00AC61C3" w:rsidRDefault="00AF02C6" w:rsidP="00C16911">
      <w:pPr>
        <w:spacing w:before="120" w:after="120" w:line="280" w:lineRule="exact"/>
        <w:rPr>
          <w:rFonts w:ascii="Arial" w:hAnsi="Arial" w:cs="Arial"/>
          <w:lang w:val="en-US"/>
        </w:rPr>
      </w:pPr>
    </w:p>
    <w:p w:rsidR="00B04E88" w:rsidRPr="00B04E88" w:rsidRDefault="00B04E88" w:rsidP="00B04E88">
      <w:pPr>
        <w:spacing w:before="120" w:after="120" w:line="280" w:lineRule="exact"/>
        <w:rPr>
          <w:rFonts w:ascii="Arial" w:hAnsi="Arial" w:cs="Arial"/>
        </w:rPr>
      </w:pPr>
      <w:r w:rsidRPr="00B04E88">
        <w:rPr>
          <w:rFonts w:ascii="Arial" w:hAnsi="Arial" w:cs="Arial"/>
        </w:rPr>
        <w:t xml:space="preserve">Day procedure services are often small </w:t>
      </w:r>
      <w:proofErr w:type="gramStart"/>
      <w:r w:rsidRPr="00B04E88">
        <w:rPr>
          <w:rFonts w:ascii="Arial" w:hAnsi="Arial" w:cs="Arial"/>
        </w:rPr>
        <w:t>organisations which</w:t>
      </w:r>
      <w:proofErr w:type="gramEnd"/>
      <w:r w:rsidRPr="00B04E88">
        <w:rPr>
          <w:rFonts w:ascii="Arial" w:hAnsi="Arial" w:cs="Arial"/>
        </w:rPr>
        <w:t xml:space="preserve"> provide a specialised range of health services or procedures. They often have a small number of regular staff, are usually private organisations with more streamlined governance structures, and do not always have ongoing contact with people who use their services. </w:t>
      </w:r>
    </w:p>
    <w:p w:rsidR="00B04E88" w:rsidRPr="00B04E88" w:rsidRDefault="00B04E88" w:rsidP="00B04E88">
      <w:pPr>
        <w:spacing w:before="120" w:after="120" w:line="280" w:lineRule="exact"/>
        <w:rPr>
          <w:rFonts w:ascii="Arial" w:hAnsi="Arial" w:cs="Arial"/>
        </w:rPr>
      </w:pPr>
      <w:r w:rsidRPr="00B04E88">
        <w:rPr>
          <w:rFonts w:ascii="Arial" w:hAnsi="Arial" w:cs="Arial"/>
        </w:rPr>
        <w:t xml:space="preserve">This means that the strategies used by hospitals to </w:t>
      </w:r>
      <w:proofErr w:type="gramStart"/>
      <w:r w:rsidRPr="00B04E88">
        <w:rPr>
          <w:rFonts w:ascii="Arial" w:hAnsi="Arial" w:cs="Arial"/>
        </w:rPr>
        <w:t>partner</w:t>
      </w:r>
      <w:proofErr w:type="gramEnd"/>
      <w:r w:rsidRPr="00B04E88">
        <w:rPr>
          <w:rFonts w:ascii="Arial" w:hAnsi="Arial" w:cs="Arial"/>
        </w:rPr>
        <w:t xml:space="preserve"> with their consumers may not always work in the same way for day procedure services. </w:t>
      </w:r>
    </w:p>
    <w:p w:rsidR="00F36B3D" w:rsidRPr="00AC61C3" w:rsidRDefault="00B04E88" w:rsidP="00B04E88">
      <w:pPr>
        <w:spacing w:before="120" w:after="120" w:line="280" w:lineRule="exact"/>
        <w:rPr>
          <w:rFonts w:ascii="Arial" w:hAnsi="Arial" w:cs="Arial"/>
          <w:lang w:val="en-US"/>
        </w:rPr>
      </w:pPr>
      <w:r w:rsidRPr="00B04E88">
        <w:rPr>
          <w:rFonts w:ascii="Arial" w:hAnsi="Arial" w:cs="Arial"/>
        </w:rPr>
        <w:t xml:space="preserve">This tip sheet describes different types of strategies that </w:t>
      </w:r>
      <w:proofErr w:type="gramStart"/>
      <w:r w:rsidRPr="00B04E88">
        <w:rPr>
          <w:rFonts w:ascii="Arial" w:hAnsi="Arial" w:cs="Arial"/>
        </w:rPr>
        <w:t>could be used</w:t>
      </w:r>
      <w:proofErr w:type="gramEnd"/>
      <w:r w:rsidRPr="00B04E88">
        <w:rPr>
          <w:rFonts w:ascii="Arial" w:hAnsi="Arial" w:cs="Arial"/>
        </w:rPr>
        <w:t xml:space="preserve"> by day procedure services to meet the actions in National Safety and Quality Health Service Standard 2 (NSQHS Standard 2).</w:t>
      </w:r>
    </w:p>
    <w:p w:rsidR="00E00421" w:rsidRDefault="00E00421" w:rsidP="00C16911">
      <w:pPr>
        <w:pStyle w:val="Heading3"/>
        <w:keepLines/>
        <w:spacing w:before="120" w:after="120" w:line="280" w:lineRule="exact"/>
        <w:rPr>
          <w:color w:val="4F81BD"/>
          <w:sz w:val="28"/>
          <w:szCs w:val="28"/>
          <w:lang w:val="en-US"/>
        </w:rPr>
      </w:pPr>
    </w:p>
    <w:p w:rsidR="009E5094" w:rsidRPr="001F0EF8" w:rsidRDefault="00293219" w:rsidP="00C16911">
      <w:pPr>
        <w:pStyle w:val="Heading3"/>
        <w:keepLines/>
        <w:spacing w:before="120" w:after="120" w:line="280" w:lineRule="exact"/>
        <w:rPr>
          <w:color w:val="4F81BD"/>
          <w:sz w:val="28"/>
          <w:szCs w:val="28"/>
          <w:lang w:val="en-US"/>
        </w:rPr>
      </w:pPr>
      <w:r>
        <w:rPr>
          <w:color w:val="4F81BD"/>
          <w:sz w:val="28"/>
          <w:szCs w:val="28"/>
          <w:lang w:val="en-US"/>
        </w:rPr>
        <w:t>One size does not fit all</w:t>
      </w:r>
    </w:p>
    <w:p w:rsidR="00B04E88" w:rsidRPr="00B04E88" w:rsidRDefault="00B04E88" w:rsidP="00B04E88">
      <w:pPr>
        <w:spacing w:before="120" w:after="120" w:line="280" w:lineRule="exact"/>
        <w:rPr>
          <w:rFonts w:ascii="Arial" w:hAnsi="Arial" w:cs="Arial"/>
        </w:rPr>
      </w:pPr>
      <w:r w:rsidRPr="00B04E88">
        <w:rPr>
          <w:rFonts w:ascii="Arial" w:hAnsi="Arial" w:cs="Arial"/>
        </w:rPr>
        <w:t xml:space="preserve"> The strategies that you choose to use to meet NSQHS Standard 2 need to be adapted to the local context of your day procedure service. How you engage consumers in partnerships needs to be meaningful, useful and achievable for your day procedure service and the consumers involved. </w:t>
      </w:r>
    </w:p>
    <w:p w:rsidR="00B04E88" w:rsidRPr="00B04E88" w:rsidRDefault="00B04E88" w:rsidP="00B04E88">
      <w:pPr>
        <w:spacing w:before="120" w:after="120" w:line="280" w:lineRule="exact"/>
        <w:rPr>
          <w:rFonts w:ascii="Arial" w:hAnsi="Arial" w:cs="Arial"/>
        </w:rPr>
      </w:pPr>
      <w:r w:rsidRPr="00B04E88">
        <w:rPr>
          <w:rFonts w:ascii="Arial" w:hAnsi="Arial" w:cs="Arial"/>
        </w:rPr>
        <w:t xml:space="preserve">For example, a small day procedure service may not be able to establish a formal consumer advisory group to meet Action 2.1.1. It may be more appropriate and achievable to hold an annual planning session involving consumers, </w:t>
      </w:r>
      <w:proofErr w:type="gramStart"/>
      <w:r w:rsidRPr="00B04E88">
        <w:rPr>
          <w:rFonts w:ascii="Arial" w:hAnsi="Arial" w:cs="Arial"/>
        </w:rPr>
        <w:t>or to</w:t>
      </w:r>
      <w:proofErr w:type="gramEnd"/>
      <w:r w:rsidRPr="00B04E88">
        <w:rPr>
          <w:rFonts w:ascii="Arial" w:hAnsi="Arial" w:cs="Arial"/>
        </w:rPr>
        <w:t xml:space="preserve"> establish an ongoing relationship with a local community organisation and engage them in discussion and decision-making processes for service planning, or to invite a consumer to be part of decision-making bodies such as a Board or governing committee. </w:t>
      </w:r>
    </w:p>
    <w:p w:rsidR="00B04E88" w:rsidRPr="00B04E88" w:rsidRDefault="00B04E88" w:rsidP="00B04E88">
      <w:pPr>
        <w:spacing w:before="120" w:after="120" w:line="280" w:lineRule="exact"/>
        <w:rPr>
          <w:rFonts w:ascii="Arial" w:hAnsi="Arial" w:cs="Arial"/>
        </w:rPr>
      </w:pPr>
      <w:r w:rsidRPr="00B04E88">
        <w:rPr>
          <w:rFonts w:ascii="Arial" w:hAnsi="Arial" w:cs="Arial"/>
        </w:rPr>
        <w:t xml:space="preserve">The strategy your day procedure service uses needs to balance the meaningful engagement of consumers in your organisational processes with the contextual framework within which your day procedure service works. </w:t>
      </w:r>
    </w:p>
    <w:p w:rsidR="000A4FE8" w:rsidRDefault="00B04E88" w:rsidP="00B04E88">
      <w:pPr>
        <w:spacing w:before="120" w:after="120" w:line="280" w:lineRule="exact"/>
        <w:rPr>
          <w:rFonts w:ascii="Arial" w:hAnsi="Arial" w:cs="Arial"/>
          <w:lang w:val="en-US"/>
        </w:rPr>
      </w:pPr>
      <w:proofErr w:type="gramStart"/>
      <w:r w:rsidRPr="00B04E88">
        <w:rPr>
          <w:rFonts w:ascii="Arial" w:hAnsi="Arial" w:cs="Arial"/>
        </w:rPr>
        <w:t>There is no one approach that will work for all day procedure services</w:t>
      </w:r>
      <w:proofErr w:type="gramEnd"/>
      <w:r w:rsidRPr="00B04E88">
        <w:rPr>
          <w:rFonts w:ascii="Arial" w:hAnsi="Arial" w:cs="Arial"/>
        </w:rPr>
        <w:t>, you need to find the approach that best suits your organisation - this is called flexible standardisation.</w:t>
      </w:r>
    </w:p>
    <w:p w:rsidR="00507A7D" w:rsidRDefault="00507A7D" w:rsidP="00C16911">
      <w:pPr>
        <w:spacing w:before="120" w:after="120" w:line="280" w:lineRule="exact"/>
        <w:rPr>
          <w:rFonts w:ascii="Arial" w:hAnsi="Arial" w:cs="Arial"/>
          <w:lang w:val="en-US"/>
        </w:rPr>
      </w:pPr>
    </w:p>
    <w:p w:rsidR="00293219" w:rsidRPr="001F0EF8" w:rsidRDefault="00B04E88" w:rsidP="00293219">
      <w:pPr>
        <w:pStyle w:val="Heading3"/>
        <w:keepLines/>
        <w:spacing w:before="120" w:after="120" w:line="280" w:lineRule="exact"/>
        <w:rPr>
          <w:color w:val="4F81BD"/>
          <w:sz w:val="28"/>
          <w:szCs w:val="28"/>
          <w:lang w:val="en-US"/>
        </w:rPr>
      </w:pPr>
      <w:r>
        <w:rPr>
          <w:color w:val="4F81BD"/>
          <w:sz w:val="28"/>
          <w:szCs w:val="28"/>
          <w:lang w:val="en-US"/>
        </w:rPr>
        <w:t>Things to think</w:t>
      </w:r>
      <w:r w:rsidR="00293219">
        <w:rPr>
          <w:color w:val="4F81BD"/>
          <w:sz w:val="28"/>
          <w:szCs w:val="28"/>
          <w:lang w:val="en-US"/>
        </w:rPr>
        <w:t xml:space="preserve"> about when starting</w:t>
      </w:r>
    </w:p>
    <w:p w:rsidR="0025143C" w:rsidRDefault="00AC61C3" w:rsidP="00C16911">
      <w:pPr>
        <w:spacing w:before="120" w:after="120" w:line="280" w:lineRule="exact"/>
        <w:rPr>
          <w:rFonts w:ascii="Arial" w:hAnsi="Arial" w:cs="Arial"/>
          <w:lang w:val="en-US"/>
        </w:rPr>
      </w:pPr>
      <w:r>
        <w:rPr>
          <w:rFonts w:ascii="Arial" w:hAnsi="Arial" w:cs="Arial"/>
          <w:lang w:val="en-US"/>
        </w:rPr>
        <w:t xml:space="preserve">When thinking about how your day procedure service can partner with consumers </w:t>
      </w:r>
      <w:r w:rsidR="00C16911">
        <w:rPr>
          <w:rFonts w:ascii="Arial" w:hAnsi="Arial" w:cs="Arial"/>
          <w:lang w:val="en-US"/>
        </w:rPr>
        <w:t>y</w:t>
      </w:r>
      <w:r w:rsidR="0025143C">
        <w:rPr>
          <w:rFonts w:ascii="Arial" w:hAnsi="Arial" w:cs="Arial"/>
          <w:lang w:val="en-US"/>
        </w:rPr>
        <w:t>ou should think strategically about:</w:t>
      </w:r>
    </w:p>
    <w:p w:rsidR="0025143C" w:rsidRDefault="00A26CDD" w:rsidP="00C16911">
      <w:pPr>
        <w:pStyle w:val="ListParagraph"/>
        <w:numPr>
          <w:ilvl w:val="0"/>
          <w:numId w:val="7"/>
        </w:numPr>
        <w:spacing w:before="120" w:after="120" w:line="280" w:lineRule="exact"/>
        <w:rPr>
          <w:rFonts w:ascii="Arial" w:hAnsi="Arial" w:cs="Arial"/>
          <w:lang w:val="en-US"/>
        </w:rPr>
      </w:pPr>
      <w:r w:rsidRPr="00C16911">
        <w:rPr>
          <w:rFonts w:ascii="Arial" w:hAnsi="Arial" w:cs="Arial"/>
          <w:b/>
          <w:lang w:val="en-US"/>
        </w:rPr>
        <w:t>Your current situation</w:t>
      </w:r>
      <w:r>
        <w:rPr>
          <w:rFonts w:ascii="Arial" w:hAnsi="Arial" w:cs="Arial"/>
          <w:lang w:val="en-US"/>
        </w:rPr>
        <w:t>:</w:t>
      </w:r>
      <w:r w:rsidRPr="00A26CDD">
        <w:rPr>
          <w:rFonts w:ascii="Arial" w:hAnsi="Arial" w:cs="Arial"/>
          <w:lang w:val="en-US"/>
        </w:rPr>
        <w:t xml:space="preserve"> including how your </w:t>
      </w:r>
      <w:r w:rsidR="00611ED8">
        <w:rPr>
          <w:rFonts w:ascii="Arial" w:hAnsi="Arial" w:cs="Arial"/>
          <w:lang w:val="en-US"/>
        </w:rPr>
        <w:t>day procedure service</w:t>
      </w:r>
      <w:r w:rsidRPr="00A26CDD">
        <w:rPr>
          <w:rFonts w:ascii="Arial" w:hAnsi="Arial" w:cs="Arial"/>
          <w:lang w:val="en-US"/>
        </w:rPr>
        <w:t xml:space="preserve"> currently engages with consumers</w:t>
      </w:r>
      <w:r>
        <w:rPr>
          <w:rFonts w:ascii="Arial" w:hAnsi="Arial" w:cs="Arial"/>
          <w:lang w:val="en-US"/>
        </w:rPr>
        <w:t>;</w:t>
      </w:r>
      <w:r w:rsidRPr="00A26CDD">
        <w:rPr>
          <w:rFonts w:ascii="Arial" w:hAnsi="Arial" w:cs="Arial"/>
          <w:lang w:val="en-US"/>
        </w:rPr>
        <w:t xml:space="preserve"> </w:t>
      </w:r>
      <w:r>
        <w:rPr>
          <w:rFonts w:ascii="Arial" w:hAnsi="Arial" w:cs="Arial"/>
          <w:lang w:val="en-US"/>
        </w:rPr>
        <w:t>the structures and processes that are</w:t>
      </w:r>
      <w:r w:rsidR="00611ED8">
        <w:rPr>
          <w:rFonts w:ascii="Arial" w:hAnsi="Arial" w:cs="Arial"/>
          <w:lang w:val="en-US"/>
        </w:rPr>
        <w:t xml:space="preserve"> already</w:t>
      </w:r>
      <w:r>
        <w:rPr>
          <w:rFonts w:ascii="Arial" w:hAnsi="Arial" w:cs="Arial"/>
          <w:lang w:val="en-US"/>
        </w:rPr>
        <w:t xml:space="preserve"> in place; where the gaps are in terms of meeting the requirements of Standard 2.</w:t>
      </w:r>
    </w:p>
    <w:p w:rsidR="00C16911" w:rsidRPr="00A26CDD" w:rsidRDefault="00C16911" w:rsidP="00C16911">
      <w:pPr>
        <w:pStyle w:val="ListParagraph"/>
        <w:spacing w:before="120" w:after="120" w:line="280" w:lineRule="exact"/>
        <w:rPr>
          <w:rFonts w:ascii="Arial" w:hAnsi="Arial" w:cs="Arial"/>
          <w:lang w:val="en-US"/>
        </w:rPr>
      </w:pPr>
    </w:p>
    <w:p w:rsidR="00C16911" w:rsidRDefault="00A26CDD" w:rsidP="00C16911">
      <w:pPr>
        <w:pStyle w:val="ListParagraph"/>
        <w:numPr>
          <w:ilvl w:val="0"/>
          <w:numId w:val="7"/>
        </w:numPr>
        <w:spacing w:before="120" w:after="120" w:line="280" w:lineRule="exact"/>
        <w:rPr>
          <w:rFonts w:ascii="Arial" w:hAnsi="Arial" w:cs="Arial"/>
          <w:lang w:val="en-US"/>
        </w:rPr>
      </w:pPr>
      <w:r w:rsidRPr="00C16911">
        <w:rPr>
          <w:rFonts w:ascii="Arial" w:hAnsi="Arial" w:cs="Arial"/>
          <w:b/>
          <w:lang w:val="en-US"/>
        </w:rPr>
        <w:lastRenderedPageBreak/>
        <w:t>The opportunities that exist</w:t>
      </w:r>
      <w:r w:rsidRPr="00C16911">
        <w:rPr>
          <w:rFonts w:ascii="Arial" w:hAnsi="Arial" w:cs="Arial"/>
          <w:lang w:val="en-US"/>
        </w:rPr>
        <w:t xml:space="preserve">: </w:t>
      </w:r>
      <w:r w:rsidR="00C16911" w:rsidRPr="00C16911">
        <w:rPr>
          <w:rFonts w:ascii="Arial" w:hAnsi="Arial" w:cs="Arial"/>
          <w:lang w:val="en-US"/>
        </w:rPr>
        <w:t xml:space="preserve">including </w:t>
      </w:r>
      <w:r w:rsidRPr="00C16911">
        <w:rPr>
          <w:rFonts w:ascii="Arial" w:hAnsi="Arial" w:cs="Arial"/>
          <w:lang w:val="en-US"/>
        </w:rPr>
        <w:t xml:space="preserve">how similar types of </w:t>
      </w:r>
      <w:r w:rsidR="00611ED8">
        <w:rPr>
          <w:rFonts w:ascii="Arial" w:hAnsi="Arial" w:cs="Arial"/>
          <w:lang w:val="en-US"/>
        </w:rPr>
        <w:t>day procedure services</w:t>
      </w:r>
      <w:r w:rsidRPr="00C16911">
        <w:rPr>
          <w:rFonts w:ascii="Arial" w:hAnsi="Arial" w:cs="Arial"/>
          <w:lang w:val="en-US"/>
        </w:rPr>
        <w:t xml:space="preserve"> that you work with engage with consumers; the relationships you currently have with local community organisations, consumers and consumer groups; whether there are champions within your organisation who can drive this work</w:t>
      </w:r>
      <w:r w:rsidR="00383571">
        <w:rPr>
          <w:rFonts w:ascii="Arial" w:hAnsi="Arial" w:cs="Arial"/>
          <w:lang w:val="en-US"/>
        </w:rPr>
        <w:t>.</w:t>
      </w:r>
    </w:p>
    <w:p w:rsidR="00C16911" w:rsidRPr="00C16911" w:rsidRDefault="00C16911" w:rsidP="00C16911">
      <w:pPr>
        <w:pStyle w:val="ListParagraph"/>
        <w:rPr>
          <w:rFonts w:ascii="Arial" w:hAnsi="Arial" w:cs="Arial"/>
          <w:lang w:val="en-US"/>
        </w:rPr>
      </w:pPr>
    </w:p>
    <w:p w:rsidR="0025143C" w:rsidRPr="00A26CDD" w:rsidRDefault="00C16911" w:rsidP="00C16911">
      <w:pPr>
        <w:pStyle w:val="ListParagraph"/>
        <w:numPr>
          <w:ilvl w:val="0"/>
          <w:numId w:val="7"/>
        </w:numPr>
        <w:spacing w:before="120" w:after="120" w:line="280" w:lineRule="exact"/>
        <w:rPr>
          <w:rFonts w:ascii="Arial" w:hAnsi="Arial" w:cs="Arial"/>
          <w:lang w:val="en-US"/>
        </w:rPr>
      </w:pPr>
      <w:r w:rsidRPr="00C16911">
        <w:rPr>
          <w:rFonts w:ascii="Arial" w:hAnsi="Arial" w:cs="Arial"/>
          <w:b/>
          <w:lang w:val="en-US"/>
        </w:rPr>
        <w:t>Ho</w:t>
      </w:r>
      <w:r w:rsidR="00A26CDD" w:rsidRPr="00C16911">
        <w:rPr>
          <w:rFonts w:ascii="Arial" w:hAnsi="Arial" w:cs="Arial"/>
          <w:b/>
          <w:lang w:val="en-US"/>
        </w:rPr>
        <w:t xml:space="preserve">w to </w:t>
      </w:r>
      <w:proofErr w:type="spellStart"/>
      <w:r w:rsidR="00A26CDD" w:rsidRPr="00C16911">
        <w:rPr>
          <w:rFonts w:ascii="Arial" w:hAnsi="Arial" w:cs="Arial"/>
          <w:b/>
          <w:lang w:val="en-US"/>
        </w:rPr>
        <w:t>maximise</w:t>
      </w:r>
      <w:proofErr w:type="spellEnd"/>
      <w:r w:rsidR="00A26CDD" w:rsidRPr="00C16911">
        <w:rPr>
          <w:rFonts w:ascii="Arial" w:hAnsi="Arial" w:cs="Arial"/>
          <w:b/>
          <w:lang w:val="en-US"/>
        </w:rPr>
        <w:t xml:space="preserve"> the effort you invest</w:t>
      </w:r>
      <w:r w:rsidR="00A26CDD" w:rsidRPr="00A26CDD">
        <w:rPr>
          <w:rFonts w:ascii="Arial" w:hAnsi="Arial" w:cs="Arial"/>
          <w:lang w:val="en-US"/>
        </w:rPr>
        <w:t xml:space="preserve">: </w:t>
      </w:r>
      <w:r w:rsidR="00A26CDD">
        <w:rPr>
          <w:rFonts w:ascii="Arial" w:hAnsi="Arial" w:cs="Arial"/>
          <w:lang w:val="en-US"/>
        </w:rPr>
        <w:t xml:space="preserve">including </w:t>
      </w:r>
      <w:r w:rsidR="00383571">
        <w:rPr>
          <w:rFonts w:ascii="Arial" w:hAnsi="Arial" w:cs="Arial"/>
          <w:lang w:val="en-US"/>
        </w:rPr>
        <w:t>how you could group activities</w:t>
      </w:r>
      <w:r w:rsidR="0025143C" w:rsidRPr="00A26CDD">
        <w:rPr>
          <w:rFonts w:ascii="Arial" w:hAnsi="Arial" w:cs="Arial"/>
          <w:lang w:val="en-US"/>
        </w:rPr>
        <w:t xml:space="preserve"> together to address mu</w:t>
      </w:r>
      <w:r w:rsidR="00A26CDD">
        <w:rPr>
          <w:rFonts w:ascii="Arial" w:hAnsi="Arial" w:cs="Arial"/>
          <w:lang w:val="en-US"/>
        </w:rPr>
        <w:t xml:space="preserve">ltiple Actions, whether you can modify existing structures or processes to meet the </w:t>
      </w:r>
      <w:r>
        <w:rPr>
          <w:rFonts w:ascii="Arial" w:hAnsi="Arial" w:cs="Arial"/>
          <w:lang w:val="en-US"/>
        </w:rPr>
        <w:t>requirements of Standard 2;</w:t>
      </w:r>
      <w:r w:rsidR="00383571">
        <w:rPr>
          <w:rFonts w:ascii="Arial" w:hAnsi="Arial" w:cs="Arial"/>
          <w:lang w:val="en-US"/>
        </w:rPr>
        <w:t xml:space="preserve"> and whether you can collaborate with other </w:t>
      </w:r>
      <w:r w:rsidR="00611ED8">
        <w:rPr>
          <w:rFonts w:ascii="Arial" w:hAnsi="Arial" w:cs="Arial"/>
          <w:lang w:val="en-US"/>
        </w:rPr>
        <w:t>day procedure services for this purpose</w:t>
      </w:r>
      <w:r w:rsidR="00383571">
        <w:rPr>
          <w:rFonts w:ascii="Arial" w:hAnsi="Arial" w:cs="Arial"/>
          <w:lang w:val="en-US"/>
        </w:rPr>
        <w:t>.</w:t>
      </w:r>
    </w:p>
    <w:p w:rsidR="0025143C" w:rsidRDefault="0025143C" w:rsidP="00C16911">
      <w:pPr>
        <w:spacing w:before="120" w:after="120" w:line="280" w:lineRule="exact"/>
        <w:rPr>
          <w:rFonts w:ascii="Arial" w:hAnsi="Arial" w:cs="Arial"/>
          <w:lang w:val="en-US"/>
        </w:rPr>
      </w:pPr>
    </w:p>
    <w:p w:rsidR="00A26CDD" w:rsidRPr="00A26CDD" w:rsidRDefault="00A26CDD" w:rsidP="00C16911">
      <w:pPr>
        <w:pStyle w:val="Heading3"/>
        <w:keepLines/>
        <w:spacing w:before="120" w:after="120" w:line="280" w:lineRule="exact"/>
        <w:rPr>
          <w:color w:val="4F81BD"/>
          <w:sz w:val="28"/>
          <w:szCs w:val="28"/>
          <w:lang w:val="en-US"/>
        </w:rPr>
      </w:pPr>
      <w:r w:rsidRPr="00A26CDD">
        <w:rPr>
          <w:color w:val="4F81BD"/>
          <w:sz w:val="28"/>
          <w:szCs w:val="28"/>
          <w:lang w:val="en-US"/>
        </w:rPr>
        <w:t xml:space="preserve">Is your day procedure service part of a </w:t>
      </w:r>
      <w:r w:rsidR="00611ED8">
        <w:rPr>
          <w:color w:val="4F81BD"/>
          <w:sz w:val="28"/>
          <w:szCs w:val="28"/>
          <w:lang w:val="en-US"/>
        </w:rPr>
        <w:t>larger group of health services</w:t>
      </w:r>
      <w:r>
        <w:rPr>
          <w:color w:val="4F81BD"/>
          <w:sz w:val="28"/>
          <w:szCs w:val="28"/>
          <w:lang w:val="en-US"/>
        </w:rPr>
        <w:t>?</w:t>
      </w:r>
    </w:p>
    <w:p w:rsidR="003A1C5C" w:rsidRPr="003A1C5C" w:rsidRDefault="003A1C5C" w:rsidP="003A1C5C">
      <w:pPr>
        <w:spacing w:before="120" w:after="120" w:line="280" w:lineRule="exact"/>
        <w:rPr>
          <w:rFonts w:ascii="Arial" w:hAnsi="Arial" w:cs="Arial"/>
          <w:lang w:val="en-US"/>
        </w:rPr>
      </w:pPr>
      <w:r w:rsidRPr="003A1C5C">
        <w:rPr>
          <w:rFonts w:ascii="Arial" w:hAnsi="Arial" w:cs="Arial"/>
          <w:lang w:val="en-US"/>
        </w:rPr>
        <w:t>If you are part of a larger group of health</w:t>
      </w:r>
      <w:r>
        <w:rPr>
          <w:rFonts w:ascii="Arial" w:hAnsi="Arial" w:cs="Arial"/>
          <w:lang w:val="en-US"/>
        </w:rPr>
        <w:t xml:space="preserve"> </w:t>
      </w:r>
      <w:r w:rsidRPr="003A1C5C">
        <w:rPr>
          <w:rFonts w:ascii="Arial" w:hAnsi="Arial" w:cs="Arial"/>
          <w:lang w:val="en-US"/>
        </w:rPr>
        <w:t>services, you should find out how your parent</w:t>
      </w:r>
      <w:r>
        <w:rPr>
          <w:rFonts w:ascii="Arial" w:hAnsi="Arial" w:cs="Arial"/>
          <w:lang w:val="en-US"/>
        </w:rPr>
        <w:t xml:space="preserve"> </w:t>
      </w:r>
      <w:r w:rsidRPr="003A1C5C">
        <w:rPr>
          <w:rFonts w:ascii="Arial" w:hAnsi="Arial" w:cs="Arial"/>
          <w:lang w:val="en-US"/>
        </w:rPr>
        <w:t xml:space="preserve">organisation </w:t>
      </w:r>
      <w:proofErr w:type="gramStart"/>
      <w:r w:rsidRPr="003A1C5C">
        <w:rPr>
          <w:rFonts w:ascii="Arial" w:hAnsi="Arial" w:cs="Arial"/>
          <w:lang w:val="en-US"/>
        </w:rPr>
        <w:t>partners</w:t>
      </w:r>
      <w:proofErr w:type="gramEnd"/>
      <w:r w:rsidRPr="003A1C5C">
        <w:rPr>
          <w:rFonts w:ascii="Arial" w:hAnsi="Arial" w:cs="Arial"/>
          <w:lang w:val="en-US"/>
        </w:rPr>
        <w:t xml:space="preserve"> w</w:t>
      </w:r>
      <w:r>
        <w:rPr>
          <w:rFonts w:ascii="Arial" w:hAnsi="Arial" w:cs="Arial"/>
          <w:lang w:val="en-US"/>
        </w:rPr>
        <w:t>ith consumers. You could contact your parent o</w:t>
      </w:r>
      <w:r w:rsidRPr="003A1C5C">
        <w:rPr>
          <w:rFonts w:ascii="Arial" w:hAnsi="Arial" w:cs="Arial"/>
          <w:lang w:val="en-US"/>
        </w:rPr>
        <w:t>rganisation and</w:t>
      </w:r>
      <w:r>
        <w:rPr>
          <w:rFonts w:ascii="Arial" w:hAnsi="Arial" w:cs="Arial"/>
          <w:lang w:val="en-US"/>
        </w:rPr>
        <w:t xml:space="preserve"> </w:t>
      </w:r>
      <w:r w:rsidRPr="003A1C5C">
        <w:rPr>
          <w:rFonts w:ascii="Arial" w:hAnsi="Arial" w:cs="Arial"/>
          <w:lang w:val="en-US"/>
        </w:rPr>
        <w:t>find out whether t</w:t>
      </w:r>
      <w:r>
        <w:rPr>
          <w:rFonts w:ascii="Arial" w:hAnsi="Arial" w:cs="Arial"/>
          <w:lang w:val="en-US"/>
        </w:rPr>
        <w:t xml:space="preserve">here is a </w:t>
      </w:r>
      <w:proofErr w:type="spellStart"/>
      <w:r>
        <w:rPr>
          <w:rFonts w:ascii="Arial" w:hAnsi="Arial" w:cs="Arial"/>
          <w:lang w:val="en-US"/>
        </w:rPr>
        <w:t>centralised</w:t>
      </w:r>
      <w:proofErr w:type="spellEnd"/>
      <w:r>
        <w:rPr>
          <w:rFonts w:ascii="Arial" w:hAnsi="Arial" w:cs="Arial"/>
          <w:lang w:val="en-US"/>
        </w:rPr>
        <w:t xml:space="preserve"> policy or </w:t>
      </w:r>
      <w:r w:rsidRPr="003A1C5C">
        <w:rPr>
          <w:rFonts w:ascii="Arial" w:hAnsi="Arial" w:cs="Arial"/>
          <w:lang w:val="en-US"/>
        </w:rPr>
        <w:t>approach to engaging with consumers, as this</w:t>
      </w:r>
      <w:r>
        <w:rPr>
          <w:rFonts w:ascii="Arial" w:hAnsi="Arial" w:cs="Arial"/>
          <w:lang w:val="en-US"/>
        </w:rPr>
        <w:t xml:space="preserve"> </w:t>
      </w:r>
      <w:r w:rsidRPr="003A1C5C">
        <w:rPr>
          <w:rFonts w:ascii="Arial" w:hAnsi="Arial" w:cs="Arial"/>
          <w:lang w:val="en-US"/>
        </w:rPr>
        <w:t>could provide a basis for any local policy you</w:t>
      </w:r>
      <w:r>
        <w:rPr>
          <w:rFonts w:ascii="Arial" w:hAnsi="Arial" w:cs="Arial"/>
          <w:lang w:val="en-US"/>
        </w:rPr>
        <w:t xml:space="preserve"> </w:t>
      </w:r>
      <w:r w:rsidRPr="003A1C5C">
        <w:rPr>
          <w:rFonts w:ascii="Arial" w:hAnsi="Arial" w:cs="Arial"/>
          <w:lang w:val="en-US"/>
        </w:rPr>
        <w:t>develop and may provide opportunities for you</w:t>
      </w:r>
      <w:r>
        <w:rPr>
          <w:rFonts w:ascii="Arial" w:hAnsi="Arial" w:cs="Arial"/>
          <w:lang w:val="en-US"/>
        </w:rPr>
        <w:t xml:space="preserve"> </w:t>
      </w:r>
      <w:r w:rsidRPr="003A1C5C">
        <w:rPr>
          <w:rFonts w:ascii="Arial" w:hAnsi="Arial" w:cs="Arial"/>
          <w:lang w:val="en-US"/>
        </w:rPr>
        <w:t>to collaborate on engagement activities.</w:t>
      </w:r>
      <w:r>
        <w:rPr>
          <w:rFonts w:ascii="Arial" w:hAnsi="Arial" w:cs="Arial"/>
          <w:lang w:val="en-US"/>
        </w:rPr>
        <w:t xml:space="preserve"> </w:t>
      </w:r>
      <w:r w:rsidRPr="003A1C5C">
        <w:rPr>
          <w:rFonts w:ascii="Arial" w:hAnsi="Arial" w:cs="Arial"/>
          <w:lang w:val="en-US"/>
        </w:rPr>
        <w:t xml:space="preserve">If there is not a </w:t>
      </w:r>
      <w:proofErr w:type="spellStart"/>
      <w:r w:rsidRPr="003A1C5C">
        <w:rPr>
          <w:rFonts w:ascii="Arial" w:hAnsi="Arial" w:cs="Arial"/>
          <w:lang w:val="en-US"/>
        </w:rPr>
        <w:t>centralised</w:t>
      </w:r>
      <w:proofErr w:type="spellEnd"/>
      <w:r w:rsidRPr="003A1C5C">
        <w:rPr>
          <w:rFonts w:ascii="Arial" w:hAnsi="Arial" w:cs="Arial"/>
          <w:lang w:val="en-US"/>
        </w:rPr>
        <w:t xml:space="preserve"> approach, it may be</w:t>
      </w:r>
      <w:r>
        <w:rPr>
          <w:rFonts w:ascii="Arial" w:hAnsi="Arial" w:cs="Arial"/>
          <w:lang w:val="en-US"/>
        </w:rPr>
        <w:t xml:space="preserve"> </w:t>
      </w:r>
      <w:r w:rsidRPr="003A1C5C">
        <w:rPr>
          <w:rFonts w:ascii="Arial" w:hAnsi="Arial" w:cs="Arial"/>
          <w:lang w:val="en-US"/>
        </w:rPr>
        <w:t>worth contacting other day procedure services</w:t>
      </w:r>
      <w:r>
        <w:rPr>
          <w:rFonts w:ascii="Arial" w:hAnsi="Arial" w:cs="Arial"/>
          <w:lang w:val="en-US"/>
        </w:rPr>
        <w:t xml:space="preserve"> </w:t>
      </w:r>
      <w:r w:rsidRPr="003A1C5C">
        <w:rPr>
          <w:rFonts w:ascii="Arial" w:hAnsi="Arial" w:cs="Arial"/>
          <w:lang w:val="en-US"/>
        </w:rPr>
        <w:t>within your broader organisation or area to find</w:t>
      </w:r>
      <w:r>
        <w:rPr>
          <w:rFonts w:ascii="Arial" w:hAnsi="Arial" w:cs="Arial"/>
          <w:lang w:val="en-US"/>
        </w:rPr>
        <w:t xml:space="preserve"> </w:t>
      </w:r>
      <w:r w:rsidRPr="003A1C5C">
        <w:rPr>
          <w:rFonts w:ascii="Arial" w:hAnsi="Arial" w:cs="Arial"/>
          <w:lang w:val="en-US"/>
        </w:rPr>
        <w:t>out whether there is opportunity to either:</w:t>
      </w:r>
    </w:p>
    <w:p w:rsidR="003A1C5C" w:rsidRPr="003A1C5C" w:rsidRDefault="003A1C5C" w:rsidP="003A1C5C">
      <w:pPr>
        <w:pStyle w:val="ListParagraph"/>
        <w:numPr>
          <w:ilvl w:val="0"/>
          <w:numId w:val="8"/>
        </w:numPr>
        <w:spacing w:before="120" w:after="120" w:line="280" w:lineRule="exact"/>
        <w:rPr>
          <w:rFonts w:ascii="Arial" w:hAnsi="Arial" w:cs="Arial"/>
          <w:lang w:val="en-US"/>
        </w:rPr>
      </w:pPr>
      <w:r w:rsidRPr="003A1C5C">
        <w:rPr>
          <w:rFonts w:ascii="Arial" w:hAnsi="Arial" w:cs="Arial"/>
          <w:lang w:val="en-US"/>
        </w:rPr>
        <w:t>learn about approaches that others have</w:t>
      </w:r>
      <w:r w:rsidRPr="003A1C5C">
        <w:rPr>
          <w:rFonts w:ascii="Arial" w:hAnsi="Arial" w:cs="Arial"/>
          <w:lang w:val="en-US"/>
        </w:rPr>
        <w:t xml:space="preserve"> </w:t>
      </w:r>
      <w:r w:rsidRPr="003A1C5C">
        <w:rPr>
          <w:rFonts w:ascii="Arial" w:hAnsi="Arial" w:cs="Arial"/>
          <w:lang w:val="en-US"/>
        </w:rPr>
        <w:t>taken (e.g. a day procedure service may have</w:t>
      </w:r>
      <w:r w:rsidRPr="003A1C5C">
        <w:rPr>
          <w:rFonts w:ascii="Arial" w:hAnsi="Arial" w:cs="Arial"/>
          <w:lang w:val="en-US"/>
        </w:rPr>
        <w:t xml:space="preserve"> </w:t>
      </w:r>
      <w:r w:rsidRPr="003A1C5C">
        <w:rPr>
          <w:rFonts w:ascii="Arial" w:hAnsi="Arial" w:cs="Arial"/>
          <w:lang w:val="en-US"/>
        </w:rPr>
        <w:t>prepared a survey for consumers to review</w:t>
      </w:r>
      <w:r w:rsidRPr="003A1C5C">
        <w:rPr>
          <w:rFonts w:ascii="Arial" w:hAnsi="Arial" w:cs="Arial"/>
          <w:lang w:val="en-US"/>
        </w:rPr>
        <w:t xml:space="preserve"> </w:t>
      </w:r>
      <w:r w:rsidRPr="003A1C5C">
        <w:rPr>
          <w:rFonts w:ascii="Arial" w:hAnsi="Arial" w:cs="Arial"/>
          <w:lang w:val="en-US"/>
        </w:rPr>
        <w:t>patient information publications and may be</w:t>
      </w:r>
      <w:r w:rsidRPr="003A1C5C">
        <w:rPr>
          <w:rFonts w:ascii="Arial" w:hAnsi="Arial" w:cs="Arial"/>
          <w:lang w:val="en-US"/>
        </w:rPr>
        <w:t xml:space="preserve"> </w:t>
      </w:r>
      <w:r w:rsidRPr="003A1C5C">
        <w:rPr>
          <w:rFonts w:ascii="Arial" w:hAnsi="Arial" w:cs="Arial"/>
          <w:lang w:val="en-US"/>
        </w:rPr>
        <w:t>able to share t</w:t>
      </w:r>
      <w:r w:rsidRPr="003A1C5C">
        <w:rPr>
          <w:rFonts w:ascii="Arial" w:hAnsi="Arial" w:cs="Arial"/>
          <w:lang w:val="en-US"/>
        </w:rPr>
        <w:t xml:space="preserve">he template or the lessons they </w:t>
      </w:r>
      <w:r w:rsidRPr="003A1C5C">
        <w:rPr>
          <w:rFonts w:ascii="Arial" w:hAnsi="Arial" w:cs="Arial"/>
          <w:lang w:val="en-US"/>
        </w:rPr>
        <w:t>have learnt)</w:t>
      </w:r>
    </w:p>
    <w:p w:rsidR="00FE2417" w:rsidRPr="003A1C5C" w:rsidRDefault="003A1C5C" w:rsidP="003A1C5C">
      <w:pPr>
        <w:pStyle w:val="ListParagraph"/>
        <w:numPr>
          <w:ilvl w:val="0"/>
          <w:numId w:val="8"/>
        </w:numPr>
        <w:spacing w:before="120" w:after="120" w:line="280" w:lineRule="exact"/>
        <w:rPr>
          <w:rFonts w:ascii="Arial" w:hAnsi="Arial" w:cs="Arial"/>
          <w:lang w:val="en-US"/>
        </w:rPr>
      </w:pPr>
      <w:r w:rsidRPr="003A1C5C">
        <w:rPr>
          <w:rFonts w:ascii="Arial" w:hAnsi="Arial" w:cs="Arial"/>
          <w:lang w:val="en-US"/>
        </w:rPr>
        <w:t>work out whether it is possible to engage</w:t>
      </w:r>
      <w:r w:rsidRPr="003A1C5C">
        <w:rPr>
          <w:rFonts w:ascii="Arial" w:hAnsi="Arial" w:cs="Arial"/>
          <w:lang w:val="en-US"/>
        </w:rPr>
        <w:t xml:space="preserve"> </w:t>
      </w:r>
      <w:r w:rsidRPr="003A1C5C">
        <w:rPr>
          <w:rFonts w:ascii="Arial" w:hAnsi="Arial" w:cs="Arial"/>
          <w:lang w:val="en-US"/>
        </w:rPr>
        <w:t>with consum</w:t>
      </w:r>
      <w:r w:rsidRPr="003A1C5C">
        <w:rPr>
          <w:rFonts w:ascii="Arial" w:hAnsi="Arial" w:cs="Arial"/>
          <w:lang w:val="en-US"/>
        </w:rPr>
        <w:t xml:space="preserve">ers collaboratively (e.g. there </w:t>
      </w:r>
      <w:r w:rsidRPr="003A1C5C">
        <w:rPr>
          <w:rFonts w:ascii="Arial" w:hAnsi="Arial" w:cs="Arial"/>
          <w:lang w:val="en-US"/>
        </w:rPr>
        <w:t>may be a day procedure service that you</w:t>
      </w:r>
      <w:r w:rsidRPr="003A1C5C">
        <w:rPr>
          <w:rFonts w:ascii="Arial" w:hAnsi="Arial" w:cs="Arial"/>
          <w:lang w:val="en-US"/>
        </w:rPr>
        <w:t xml:space="preserve"> </w:t>
      </w:r>
      <w:r w:rsidRPr="003A1C5C">
        <w:rPr>
          <w:rFonts w:ascii="Arial" w:hAnsi="Arial" w:cs="Arial"/>
          <w:lang w:val="en-US"/>
        </w:rPr>
        <w:t>could work w</w:t>
      </w:r>
      <w:r w:rsidRPr="003A1C5C">
        <w:rPr>
          <w:rFonts w:ascii="Arial" w:hAnsi="Arial" w:cs="Arial"/>
          <w:lang w:val="en-US"/>
        </w:rPr>
        <w:t xml:space="preserve">ith to co-host a focus group to </w:t>
      </w:r>
      <w:r w:rsidRPr="003A1C5C">
        <w:rPr>
          <w:rFonts w:ascii="Arial" w:hAnsi="Arial" w:cs="Arial"/>
          <w:lang w:val="en-US"/>
        </w:rPr>
        <w:t>gain feedback on information, services or</w:t>
      </w:r>
      <w:r w:rsidRPr="003A1C5C">
        <w:rPr>
          <w:rFonts w:ascii="Arial" w:hAnsi="Arial" w:cs="Arial"/>
          <w:lang w:val="en-US"/>
        </w:rPr>
        <w:t xml:space="preserve"> </w:t>
      </w:r>
      <w:r w:rsidRPr="003A1C5C">
        <w:rPr>
          <w:rFonts w:ascii="Arial" w:hAnsi="Arial" w:cs="Arial"/>
          <w:lang w:val="en-US"/>
        </w:rPr>
        <w:t>design preferences).</w:t>
      </w:r>
    </w:p>
    <w:p w:rsidR="009E5094" w:rsidRPr="003D6F21" w:rsidRDefault="007F6360" w:rsidP="003D6F21">
      <w:pPr>
        <w:pStyle w:val="Heading3"/>
        <w:rPr>
          <w:color w:val="548DD4" w:themeColor="text2" w:themeTint="99"/>
          <w:sz w:val="28"/>
        </w:rPr>
      </w:pPr>
      <w:r w:rsidRPr="003D6F21">
        <w:rPr>
          <w:color w:val="548DD4" w:themeColor="text2" w:themeTint="99"/>
          <w:sz w:val="28"/>
        </w:rPr>
        <w:t>Ways that you can engage with consumers</w:t>
      </w:r>
    </w:p>
    <w:p w:rsidR="00536C37" w:rsidRDefault="003A1C5C" w:rsidP="003A1C5C">
      <w:pPr>
        <w:spacing w:before="120" w:after="120" w:line="280" w:lineRule="exact"/>
        <w:rPr>
          <w:rFonts w:ascii="Arial" w:hAnsi="Arial" w:cs="Arial"/>
          <w:lang w:val="en-US"/>
        </w:rPr>
      </w:pPr>
      <w:proofErr w:type="gramStart"/>
      <w:r w:rsidRPr="003A1C5C">
        <w:rPr>
          <w:rFonts w:ascii="Arial" w:hAnsi="Arial" w:cs="Arial"/>
          <w:lang w:val="en-US"/>
        </w:rPr>
        <w:t>After you have identified the purpose of the</w:t>
      </w:r>
      <w:r>
        <w:rPr>
          <w:rFonts w:ascii="Arial" w:hAnsi="Arial" w:cs="Arial"/>
          <w:lang w:val="en-US"/>
        </w:rPr>
        <w:t xml:space="preserve"> </w:t>
      </w:r>
      <w:r w:rsidRPr="003A1C5C">
        <w:rPr>
          <w:rFonts w:ascii="Arial" w:hAnsi="Arial" w:cs="Arial"/>
          <w:lang w:val="en-US"/>
        </w:rPr>
        <w:t>e</w:t>
      </w:r>
      <w:r>
        <w:rPr>
          <w:rFonts w:ascii="Arial" w:hAnsi="Arial" w:cs="Arial"/>
          <w:lang w:val="en-US"/>
        </w:rPr>
        <w:t>ngagement activity (</w:t>
      </w:r>
      <w:proofErr w:type="spellStart"/>
      <w:r>
        <w:rPr>
          <w:rFonts w:ascii="Arial" w:hAnsi="Arial" w:cs="Arial"/>
          <w:lang w:val="en-US"/>
        </w:rPr>
        <w:t>eg</w:t>
      </w:r>
      <w:proofErr w:type="spellEnd"/>
      <w:r>
        <w:rPr>
          <w:rFonts w:ascii="Arial" w:hAnsi="Arial" w:cs="Arial"/>
          <w:lang w:val="en-US"/>
        </w:rPr>
        <w:t>.</w:t>
      </w:r>
      <w:proofErr w:type="gramEnd"/>
      <w:r>
        <w:rPr>
          <w:rFonts w:ascii="Arial" w:hAnsi="Arial" w:cs="Arial"/>
          <w:lang w:val="en-US"/>
        </w:rPr>
        <w:t xml:space="preserve"> Quality </w:t>
      </w:r>
      <w:r w:rsidRPr="003A1C5C">
        <w:rPr>
          <w:rFonts w:ascii="Arial" w:hAnsi="Arial" w:cs="Arial"/>
          <w:lang w:val="en-US"/>
        </w:rPr>
        <w:t>improvement</w:t>
      </w:r>
      <w:r>
        <w:rPr>
          <w:rFonts w:ascii="Arial" w:hAnsi="Arial" w:cs="Arial"/>
          <w:lang w:val="en-US"/>
        </w:rPr>
        <w:t xml:space="preserve"> </w:t>
      </w:r>
      <w:r w:rsidRPr="003A1C5C">
        <w:rPr>
          <w:rFonts w:ascii="Arial" w:hAnsi="Arial" w:cs="Arial"/>
          <w:lang w:val="en-US"/>
        </w:rPr>
        <w:t>project, f</w:t>
      </w:r>
      <w:r>
        <w:rPr>
          <w:rFonts w:ascii="Arial" w:hAnsi="Arial" w:cs="Arial"/>
          <w:lang w:val="en-US"/>
        </w:rPr>
        <w:t xml:space="preserve">eedback on patient information, </w:t>
      </w:r>
      <w:r w:rsidRPr="003A1C5C">
        <w:rPr>
          <w:rFonts w:ascii="Arial" w:hAnsi="Arial" w:cs="Arial"/>
          <w:lang w:val="en-US"/>
        </w:rPr>
        <w:t xml:space="preserve">engagement in service planning </w:t>
      </w:r>
      <w:proofErr w:type="spellStart"/>
      <w:r w:rsidRPr="003A1C5C">
        <w:rPr>
          <w:rFonts w:ascii="Arial" w:hAnsi="Arial" w:cs="Arial"/>
          <w:lang w:val="en-US"/>
        </w:rPr>
        <w:t>etc</w:t>
      </w:r>
      <w:proofErr w:type="spellEnd"/>
      <w:r w:rsidRPr="003A1C5C">
        <w:rPr>
          <w:rFonts w:ascii="Arial" w:hAnsi="Arial" w:cs="Arial"/>
          <w:lang w:val="en-US"/>
        </w:rPr>
        <w:t>) and what</w:t>
      </w:r>
      <w:r>
        <w:rPr>
          <w:rFonts w:ascii="Arial" w:hAnsi="Arial" w:cs="Arial"/>
          <w:lang w:val="en-US"/>
        </w:rPr>
        <w:t xml:space="preserve"> </w:t>
      </w:r>
      <w:r w:rsidRPr="003A1C5C">
        <w:rPr>
          <w:rFonts w:ascii="Arial" w:hAnsi="Arial" w:cs="Arial"/>
          <w:lang w:val="en-US"/>
        </w:rPr>
        <w:t>your day procedure service needs to achieve</w:t>
      </w:r>
      <w:r>
        <w:rPr>
          <w:rFonts w:ascii="Arial" w:hAnsi="Arial" w:cs="Arial"/>
          <w:lang w:val="en-US"/>
        </w:rPr>
        <w:t xml:space="preserve"> </w:t>
      </w:r>
      <w:r w:rsidRPr="003A1C5C">
        <w:rPr>
          <w:rFonts w:ascii="Arial" w:hAnsi="Arial" w:cs="Arial"/>
          <w:lang w:val="en-US"/>
        </w:rPr>
        <w:t>through this engagement, you should start</w:t>
      </w:r>
      <w:r>
        <w:rPr>
          <w:rFonts w:ascii="Arial" w:hAnsi="Arial" w:cs="Arial"/>
          <w:lang w:val="en-US"/>
        </w:rPr>
        <w:t xml:space="preserve"> </w:t>
      </w:r>
      <w:r w:rsidRPr="003A1C5C">
        <w:rPr>
          <w:rFonts w:ascii="Arial" w:hAnsi="Arial" w:cs="Arial"/>
          <w:lang w:val="en-US"/>
        </w:rPr>
        <w:t>thinking about how you can engage consumers</w:t>
      </w:r>
      <w:r>
        <w:rPr>
          <w:rFonts w:ascii="Arial" w:hAnsi="Arial" w:cs="Arial"/>
          <w:lang w:val="en-US"/>
        </w:rPr>
        <w:t xml:space="preserve"> </w:t>
      </w:r>
      <w:r w:rsidRPr="003A1C5C">
        <w:rPr>
          <w:rFonts w:ascii="Arial" w:hAnsi="Arial" w:cs="Arial"/>
          <w:lang w:val="en-US"/>
        </w:rPr>
        <w:t>for this purpose.</w:t>
      </w:r>
      <w:r>
        <w:rPr>
          <w:rFonts w:ascii="Arial" w:hAnsi="Arial" w:cs="Arial"/>
          <w:lang w:val="en-US"/>
        </w:rPr>
        <w:t xml:space="preserve"> </w:t>
      </w:r>
      <w:r w:rsidRPr="003A1C5C">
        <w:rPr>
          <w:rFonts w:ascii="Arial" w:hAnsi="Arial" w:cs="Arial"/>
          <w:lang w:val="en-US"/>
        </w:rPr>
        <w:t xml:space="preserve">There are </w:t>
      </w:r>
      <w:proofErr w:type="gramStart"/>
      <w:r w:rsidRPr="003A1C5C">
        <w:rPr>
          <w:rFonts w:ascii="Arial" w:hAnsi="Arial" w:cs="Arial"/>
          <w:lang w:val="en-US"/>
        </w:rPr>
        <w:t>a var</w:t>
      </w:r>
      <w:r>
        <w:rPr>
          <w:rFonts w:ascii="Arial" w:hAnsi="Arial" w:cs="Arial"/>
          <w:lang w:val="en-US"/>
        </w:rPr>
        <w:t>iety</w:t>
      </w:r>
      <w:proofErr w:type="gramEnd"/>
      <w:r>
        <w:rPr>
          <w:rFonts w:ascii="Arial" w:hAnsi="Arial" w:cs="Arial"/>
          <w:lang w:val="en-US"/>
        </w:rPr>
        <w:t xml:space="preserve"> of strategies for engaging </w:t>
      </w:r>
      <w:r w:rsidRPr="003A1C5C">
        <w:rPr>
          <w:rFonts w:ascii="Arial" w:hAnsi="Arial" w:cs="Arial"/>
          <w:lang w:val="en-US"/>
        </w:rPr>
        <w:t>with consumers which can be used and/or</w:t>
      </w:r>
      <w:r>
        <w:rPr>
          <w:rFonts w:ascii="Arial" w:hAnsi="Arial" w:cs="Arial"/>
          <w:lang w:val="en-US"/>
        </w:rPr>
        <w:t xml:space="preserve"> </w:t>
      </w:r>
      <w:r w:rsidRPr="003A1C5C">
        <w:rPr>
          <w:rFonts w:ascii="Arial" w:hAnsi="Arial" w:cs="Arial"/>
          <w:lang w:val="en-US"/>
        </w:rPr>
        <w:t>adapted to help you m</w:t>
      </w:r>
      <w:r>
        <w:rPr>
          <w:rFonts w:ascii="Arial" w:hAnsi="Arial" w:cs="Arial"/>
          <w:lang w:val="en-US"/>
        </w:rPr>
        <w:t xml:space="preserve">eet the requirements </w:t>
      </w:r>
      <w:r w:rsidRPr="003A1C5C">
        <w:rPr>
          <w:rFonts w:ascii="Arial" w:hAnsi="Arial" w:cs="Arial"/>
          <w:lang w:val="en-US"/>
        </w:rPr>
        <w:t>of NSQHS Standard 2. Depending on the</w:t>
      </w:r>
      <w:r>
        <w:rPr>
          <w:rFonts w:ascii="Arial" w:hAnsi="Arial" w:cs="Arial"/>
          <w:lang w:val="en-US"/>
        </w:rPr>
        <w:t xml:space="preserve"> </w:t>
      </w:r>
      <w:r w:rsidRPr="003A1C5C">
        <w:rPr>
          <w:rFonts w:ascii="Arial" w:hAnsi="Arial" w:cs="Arial"/>
          <w:lang w:val="en-US"/>
        </w:rPr>
        <w:t>complexity o</w:t>
      </w:r>
      <w:r>
        <w:rPr>
          <w:rFonts w:ascii="Arial" w:hAnsi="Arial" w:cs="Arial"/>
          <w:lang w:val="en-US"/>
        </w:rPr>
        <w:t xml:space="preserve">f the task, you may wish to use </w:t>
      </w:r>
      <w:r w:rsidRPr="003A1C5C">
        <w:rPr>
          <w:rFonts w:ascii="Arial" w:hAnsi="Arial" w:cs="Arial"/>
          <w:lang w:val="en-US"/>
        </w:rPr>
        <w:t>some of the following strategies either by</w:t>
      </w:r>
      <w:r>
        <w:rPr>
          <w:rFonts w:ascii="Arial" w:hAnsi="Arial" w:cs="Arial"/>
          <w:lang w:val="en-US"/>
        </w:rPr>
        <w:t xml:space="preserve"> </w:t>
      </w:r>
      <w:r w:rsidRPr="003A1C5C">
        <w:rPr>
          <w:rFonts w:ascii="Arial" w:hAnsi="Arial" w:cs="Arial"/>
          <w:lang w:val="en-US"/>
        </w:rPr>
        <w:t>themselves or in combination.</w:t>
      </w:r>
    </w:p>
    <w:p w:rsidR="003A1C5C" w:rsidRDefault="003A1C5C" w:rsidP="003A1C5C">
      <w:pPr>
        <w:spacing w:before="120" w:after="120" w:line="280" w:lineRule="exact"/>
        <w:rPr>
          <w:rFonts w:ascii="Arial" w:hAnsi="Arial" w:cs="Arial"/>
          <w:lang w:val="en-US"/>
        </w:rPr>
      </w:pPr>
    </w:p>
    <w:p w:rsidR="003A1C5C" w:rsidRDefault="003A1C5C" w:rsidP="003A1C5C">
      <w:pPr>
        <w:spacing w:before="120" w:after="120" w:line="280" w:lineRule="exact"/>
        <w:rPr>
          <w:rFonts w:ascii="Arial" w:hAnsi="Arial" w:cs="Arial"/>
          <w:lang w:val="en-US"/>
        </w:rPr>
      </w:pPr>
    </w:p>
    <w:p w:rsidR="003A1C5C" w:rsidRDefault="003A1C5C" w:rsidP="003A1C5C">
      <w:pPr>
        <w:spacing w:before="120" w:after="120" w:line="280" w:lineRule="exact"/>
        <w:rPr>
          <w:rFonts w:ascii="Arial" w:hAnsi="Arial" w:cs="Arial"/>
          <w:lang w:val="en-US"/>
        </w:rPr>
      </w:pPr>
    </w:p>
    <w:p w:rsidR="003A1C5C" w:rsidRDefault="003A1C5C" w:rsidP="003A1C5C">
      <w:pPr>
        <w:spacing w:before="120" w:after="120" w:line="280" w:lineRule="exact"/>
        <w:rPr>
          <w:rFonts w:ascii="Arial" w:hAnsi="Arial" w:cs="Arial"/>
          <w:lang w:val="en-US"/>
        </w:rPr>
      </w:pPr>
    </w:p>
    <w:p w:rsidR="003C7932" w:rsidRPr="00FC78D0" w:rsidRDefault="003C7932" w:rsidP="003C7932">
      <w:pPr>
        <w:pStyle w:val="Heading3"/>
        <w:keepLines/>
        <w:pBdr>
          <w:top w:val="single" w:sz="4" w:space="1" w:color="auto"/>
          <w:left w:val="single" w:sz="4" w:space="1" w:color="auto"/>
          <w:bottom w:val="single" w:sz="4" w:space="1" w:color="auto"/>
          <w:right w:val="single" w:sz="4" w:space="1" w:color="auto"/>
        </w:pBdr>
        <w:spacing w:before="120" w:after="120" w:line="280" w:lineRule="exact"/>
        <w:rPr>
          <w:color w:val="4F81BD"/>
          <w:sz w:val="28"/>
          <w:szCs w:val="28"/>
          <w:lang w:val="en-US"/>
        </w:rPr>
      </w:pPr>
      <w:r w:rsidRPr="00FC78D0">
        <w:rPr>
          <w:color w:val="4F81BD"/>
          <w:sz w:val="28"/>
          <w:szCs w:val="28"/>
          <w:lang w:val="en-US"/>
        </w:rPr>
        <w:lastRenderedPageBreak/>
        <w:t>Documenting how you engaging with</w:t>
      </w:r>
      <w:r>
        <w:rPr>
          <w:color w:val="4F81BD"/>
          <w:sz w:val="28"/>
          <w:szCs w:val="28"/>
          <w:lang w:val="en-US"/>
        </w:rPr>
        <w:t xml:space="preserve"> your </w:t>
      </w:r>
      <w:r w:rsidRPr="00FC78D0">
        <w:rPr>
          <w:color w:val="4F81BD"/>
          <w:sz w:val="28"/>
          <w:szCs w:val="28"/>
          <w:lang w:val="en-US"/>
        </w:rPr>
        <w:t xml:space="preserve">consumers </w:t>
      </w:r>
    </w:p>
    <w:p w:rsidR="003C7932" w:rsidRDefault="003C7932" w:rsidP="003C7932">
      <w:pPr>
        <w:pBdr>
          <w:top w:val="single" w:sz="4" w:space="1" w:color="auto"/>
          <w:left w:val="single" w:sz="4" w:space="1" w:color="auto"/>
          <w:bottom w:val="single" w:sz="4" w:space="1" w:color="auto"/>
          <w:right w:val="single" w:sz="4" w:space="1" w:color="auto"/>
        </w:pBdr>
        <w:spacing w:before="120" w:after="120" w:line="280" w:lineRule="exact"/>
        <w:rPr>
          <w:rFonts w:ascii="Arial" w:hAnsi="Arial" w:cs="Arial"/>
          <w:lang w:val="en-US"/>
        </w:rPr>
      </w:pPr>
      <w:r>
        <w:rPr>
          <w:rFonts w:ascii="Arial" w:hAnsi="Arial" w:cs="Arial"/>
          <w:lang w:val="en-US"/>
        </w:rPr>
        <w:t xml:space="preserve">It is important to remember to document the actions your organisation is taking to engage with consumers. </w:t>
      </w:r>
    </w:p>
    <w:p w:rsidR="003C7932" w:rsidRDefault="003C7932" w:rsidP="003C7932">
      <w:pPr>
        <w:pBdr>
          <w:top w:val="single" w:sz="4" w:space="1" w:color="auto"/>
          <w:left w:val="single" w:sz="4" w:space="1" w:color="auto"/>
          <w:bottom w:val="single" w:sz="4" w:space="1" w:color="auto"/>
          <w:right w:val="single" w:sz="4" w:space="1" w:color="auto"/>
        </w:pBdr>
        <w:spacing w:before="120" w:after="120" w:line="280" w:lineRule="exact"/>
        <w:rPr>
          <w:rFonts w:ascii="Arial" w:hAnsi="Arial" w:cs="Arial"/>
          <w:lang w:val="en-US"/>
        </w:rPr>
      </w:pPr>
      <w:r>
        <w:rPr>
          <w:rFonts w:ascii="Arial" w:hAnsi="Arial" w:cs="Arial"/>
          <w:lang w:val="en-US"/>
        </w:rPr>
        <w:t xml:space="preserve">Even if the action you have tried is unsuccessful you should record what you have done and the outcomes you have achieved. This will help you refine your approaches and determine the strategies that will work best for your day procedure service. </w:t>
      </w:r>
    </w:p>
    <w:p w:rsidR="003C7932" w:rsidRDefault="003C7932" w:rsidP="003C7932">
      <w:pPr>
        <w:pBdr>
          <w:top w:val="single" w:sz="4" w:space="1" w:color="auto"/>
          <w:left w:val="single" w:sz="4" w:space="1" w:color="auto"/>
          <w:bottom w:val="single" w:sz="4" w:space="1" w:color="auto"/>
          <w:right w:val="single" w:sz="4" w:space="1" w:color="auto"/>
        </w:pBdr>
        <w:spacing w:before="120" w:after="120" w:line="280" w:lineRule="exact"/>
        <w:rPr>
          <w:rFonts w:ascii="Arial" w:hAnsi="Arial" w:cs="Arial"/>
          <w:lang w:val="en-US"/>
        </w:rPr>
      </w:pPr>
    </w:p>
    <w:p w:rsidR="003C7932" w:rsidRDefault="003C7932" w:rsidP="00C16911">
      <w:pPr>
        <w:spacing w:before="120" w:after="120" w:line="280" w:lineRule="exact"/>
        <w:rPr>
          <w:rFonts w:ascii="Arial" w:hAnsi="Arial" w:cs="Arial"/>
          <w:lang w:val="en-US"/>
        </w:rPr>
      </w:pPr>
    </w:p>
    <w:p w:rsidR="00FE2417" w:rsidRPr="00B65F91" w:rsidRDefault="00FE2417" w:rsidP="00C16911">
      <w:pPr>
        <w:pStyle w:val="Heading2"/>
        <w:spacing w:before="120" w:after="120" w:line="280" w:lineRule="exact"/>
        <w:rPr>
          <w:rFonts w:ascii="Arial" w:hAnsi="Arial" w:cs="Arial"/>
          <w:i/>
          <w:sz w:val="24"/>
          <w:szCs w:val="24"/>
        </w:rPr>
      </w:pPr>
      <w:r>
        <w:rPr>
          <w:rFonts w:ascii="Arial" w:hAnsi="Arial" w:cs="Arial"/>
          <w:i/>
          <w:sz w:val="24"/>
          <w:szCs w:val="24"/>
        </w:rPr>
        <w:t>Face-to-face conversations</w:t>
      </w:r>
    </w:p>
    <w:p w:rsidR="00571357" w:rsidRDefault="00571357" w:rsidP="00571357">
      <w:pPr>
        <w:spacing w:before="120" w:after="120" w:line="280" w:lineRule="exact"/>
        <w:rPr>
          <w:rFonts w:ascii="Arial" w:hAnsi="Arial" w:cs="Arial"/>
        </w:rPr>
      </w:pPr>
      <w:r w:rsidRPr="00571357">
        <w:rPr>
          <w:rFonts w:ascii="Arial" w:hAnsi="Arial" w:cs="Arial"/>
        </w:rPr>
        <w:t>Face-to-face conversations can be helpful</w:t>
      </w:r>
      <w:r>
        <w:rPr>
          <w:rFonts w:ascii="Arial" w:hAnsi="Arial" w:cs="Arial"/>
        </w:rPr>
        <w:t xml:space="preserve"> </w:t>
      </w:r>
      <w:r w:rsidRPr="00571357">
        <w:rPr>
          <w:rFonts w:ascii="Arial" w:hAnsi="Arial" w:cs="Arial"/>
        </w:rPr>
        <w:t>for getting feedback on patient information</w:t>
      </w:r>
      <w:r>
        <w:rPr>
          <w:rFonts w:ascii="Arial" w:hAnsi="Arial" w:cs="Arial"/>
        </w:rPr>
        <w:t xml:space="preserve"> </w:t>
      </w:r>
      <w:r w:rsidRPr="00571357">
        <w:rPr>
          <w:rFonts w:ascii="Arial" w:hAnsi="Arial" w:cs="Arial"/>
        </w:rPr>
        <w:t>publications, identifying issues with the design</w:t>
      </w:r>
      <w:r>
        <w:rPr>
          <w:rFonts w:ascii="Arial" w:hAnsi="Arial" w:cs="Arial"/>
        </w:rPr>
        <w:t xml:space="preserve"> </w:t>
      </w:r>
      <w:r w:rsidRPr="00571357">
        <w:rPr>
          <w:rFonts w:ascii="Arial" w:hAnsi="Arial" w:cs="Arial"/>
        </w:rPr>
        <w:t>and planning of services or other quality</w:t>
      </w:r>
      <w:r>
        <w:rPr>
          <w:rFonts w:ascii="Arial" w:hAnsi="Arial" w:cs="Arial"/>
        </w:rPr>
        <w:t xml:space="preserve"> </w:t>
      </w:r>
      <w:r w:rsidRPr="00571357">
        <w:rPr>
          <w:rFonts w:ascii="Arial" w:hAnsi="Arial" w:cs="Arial"/>
        </w:rPr>
        <w:t>improvement issues. This could be in the form</w:t>
      </w:r>
      <w:r>
        <w:rPr>
          <w:rFonts w:ascii="Arial" w:hAnsi="Arial" w:cs="Arial"/>
        </w:rPr>
        <w:t xml:space="preserve"> </w:t>
      </w:r>
      <w:r w:rsidRPr="00571357">
        <w:rPr>
          <w:rFonts w:ascii="Arial" w:hAnsi="Arial" w:cs="Arial"/>
        </w:rPr>
        <w:t>of a formal interview (using consistent structured</w:t>
      </w:r>
      <w:r>
        <w:rPr>
          <w:rFonts w:ascii="Arial" w:hAnsi="Arial" w:cs="Arial"/>
        </w:rPr>
        <w:t xml:space="preserve"> </w:t>
      </w:r>
      <w:r w:rsidRPr="00571357">
        <w:rPr>
          <w:rFonts w:ascii="Arial" w:hAnsi="Arial" w:cs="Arial"/>
        </w:rPr>
        <w:t>questions) or a more casual conversation.</w:t>
      </w:r>
    </w:p>
    <w:p w:rsidR="00571357" w:rsidRDefault="00571357" w:rsidP="00571357">
      <w:pPr>
        <w:spacing w:before="120" w:after="120" w:line="280" w:lineRule="exact"/>
        <w:rPr>
          <w:rFonts w:ascii="Arial" w:hAnsi="Arial" w:cs="Arial"/>
        </w:rPr>
      </w:pPr>
    </w:p>
    <w:p w:rsidR="00FE2417" w:rsidRPr="00AC61C3" w:rsidRDefault="00FE2417" w:rsidP="00571357">
      <w:pPr>
        <w:spacing w:before="120" w:after="120" w:line="280" w:lineRule="exact"/>
        <w:rPr>
          <w:rFonts w:ascii="Arial" w:hAnsi="Arial" w:cs="Arial"/>
          <w:lang w:val="en-US"/>
        </w:rPr>
      </w:pPr>
      <w:r w:rsidRPr="00AC61C3">
        <w:rPr>
          <w:rFonts w:ascii="Arial" w:hAnsi="Arial" w:cs="Arial"/>
          <w:lang w:val="en-US"/>
        </w:rPr>
        <w:t xml:space="preserve">These interviews or </w:t>
      </w:r>
      <w:r w:rsidR="00383571">
        <w:rPr>
          <w:rFonts w:ascii="Arial" w:hAnsi="Arial" w:cs="Arial"/>
          <w:lang w:val="en-US"/>
        </w:rPr>
        <w:t>conversations</w:t>
      </w:r>
      <w:r w:rsidRPr="00AC61C3">
        <w:rPr>
          <w:rFonts w:ascii="Arial" w:hAnsi="Arial" w:cs="Arial"/>
          <w:lang w:val="en-US"/>
        </w:rPr>
        <w:t xml:space="preserve"> </w:t>
      </w:r>
      <w:proofErr w:type="gramStart"/>
      <w:r w:rsidRPr="00AC61C3">
        <w:rPr>
          <w:rFonts w:ascii="Arial" w:hAnsi="Arial" w:cs="Arial"/>
          <w:lang w:val="en-US"/>
        </w:rPr>
        <w:t>can be incorporated</w:t>
      </w:r>
      <w:proofErr w:type="gramEnd"/>
      <w:r w:rsidRPr="00AC61C3">
        <w:rPr>
          <w:rFonts w:ascii="Arial" w:hAnsi="Arial" w:cs="Arial"/>
          <w:lang w:val="en-US"/>
        </w:rPr>
        <w:t xml:space="preserve"> into existing processes. For example, you could seek </w:t>
      </w:r>
      <w:r w:rsidR="0098625C">
        <w:rPr>
          <w:rFonts w:ascii="Arial" w:hAnsi="Arial" w:cs="Arial"/>
          <w:lang w:val="en-US"/>
        </w:rPr>
        <w:t xml:space="preserve">consumer </w:t>
      </w:r>
      <w:r w:rsidRPr="00AC61C3">
        <w:rPr>
          <w:rFonts w:ascii="Arial" w:hAnsi="Arial" w:cs="Arial"/>
          <w:lang w:val="en-US"/>
        </w:rPr>
        <w:t>feedback as part of the discharge process</w:t>
      </w:r>
      <w:r w:rsidR="0098625C">
        <w:rPr>
          <w:rFonts w:ascii="Arial" w:hAnsi="Arial" w:cs="Arial"/>
          <w:lang w:val="en-US"/>
        </w:rPr>
        <w:t>, or</w:t>
      </w:r>
      <w:r w:rsidRPr="00AC61C3">
        <w:rPr>
          <w:rFonts w:ascii="Arial" w:hAnsi="Arial" w:cs="Arial"/>
          <w:lang w:val="en-US"/>
        </w:rPr>
        <w:t xml:space="preserve"> while patients are waiting for a procedure. </w:t>
      </w:r>
      <w:r w:rsidR="0098625C">
        <w:rPr>
          <w:rFonts w:ascii="Arial" w:hAnsi="Arial" w:cs="Arial"/>
          <w:lang w:val="en-US"/>
        </w:rPr>
        <w:t>You</w:t>
      </w:r>
      <w:r w:rsidRPr="00AC61C3">
        <w:rPr>
          <w:rFonts w:ascii="Arial" w:hAnsi="Arial" w:cs="Arial"/>
          <w:lang w:val="en-US"/>
        </w:rPr>
        <w:t xml:space="preserve"> might speak with a relative or </w:t>
      </w:r>
      <w:proofErr w:type="spellStart"/>
      <w:r w:rsidRPr="00AC61C3">
        <w:rPr>
          <w:rFonts w:ascii="Arial" w:hAnsi="Arial" w:cs="Arial"/>
          <w:lang w:val="en-US"/>
        </w:rPr>
        <w:t>carer</w:t>
      </w:r>
      <w:proofErr w:type="spellEnd"/>
      <w:r w:rsidRPr="00AC61C3">
        <w:rPr>
          <w:rFonts w:ascii="Arial" w:hAnsi="Arial" w:cs="Arial"/>
          <w:lang w:val="en-US"/>
        </w:rPr>
        <w:t xml:space="preserve"> while a patient is in surgery. </w:t>
      </w:r>
    </w:p>
    <w:p w:rsidR="00FE2417" w:rsidRDefault="00FE2417" w:rsidP="00C16911">
      <w:pPr>
        <w:spacing w:before="120" w:after="120" w:line="280" w:lineRule="exact"/>
        <w:rPr>
          <w:rFonts w:ascii="Arial" w:hAnsi="Arial" w:cs="Arial"/>
          <w:lang w:val="en-US"/>
        </w:rPr>
      </w:pPr>
      <w:r w:rsidRPr="00AC61C3">
        <w:rPr>
          <w:rFonts w:ascii="Arial" w:hAnsi="Arial" w:cs="Arial"/>
          <w:lang w:val="en-US"/>
        </w:rPr>
        <w:t xml:space="preserve">If your </w:t>
      </w:r>
      <w:r w:rsidR="0098625C">
        <w:rPr>
          <w:rFonts w:ascii="Arial" w:hAnsi="Arial" w:cs="Arial"/>
          <w:lang w:val="en-US"/>
        </w:rPr>
        <w:t>consumers</w:t>
      </w:r>
      <w:r w:rsidRPr="00AC61C3">
        <w:rPr>
          <w:rFonts w:ascii="Arial" w:hAnsi="Arial" w:cs="Arial"/>
          <w:lang w:val="en-US"/>
        </w:rPr>
        <w:t xml:space="preserve"> wish to give feedback but are short of time or reluctant to participate in a one-</w:t>
      </w:r>
      <w:r w:rsidR="00383571">
        <w:rPr>
          <w:rFonts w:ascii="Arial" w:hAnsi="Arial" w:cs="Arial"/>
          <w:lang w:val="en-US"/>
        </w:rPr>
        <w:t>on</w:t>
      </w:r>
      <w:r w:rsidRPr="00AC61C3">
        <w:rPr>
          <w:rFonts w:ascii="Arial" w:hAnsi="Arial" w:cs="Arial"/>
          <w:lang w:val="en-US"/>
        </w:rPr>
        <w:t xml:space="preserve">-one discussion, you </w:t>
      </w:r>
      <w:r w:rsidR="00951EA4">
        <w:rPr>
          <w:rFonts w:ascii="Arial" w:hAnsi="Arial" w:cs="Arial"/>
          <w:lang w:val="en-US"/>
        </w:rPr>
        <w:t>could</w:t>
      </w:r>
      <w:r w:rsidRPr="00AC61C3">
        <w:rPr>
          <w:rFonts w:ascii="Arial" w:hAnsi="Arial" w:cs="Arial"/>
          <w:lang w:val="en-US"/>
        </w:rPr>
        <w:t xml:space="preserve"> suggest </w:t>
      </w:r>
      <w:proofErr w:type="gramStart"/>
      <w:r w:rsidRPr="00AC61C3">
        <w:rPr>
          <w:rFonts w:ascii="Arial" w:hAnsi="Arial" w:cs="Arial"/>
          <w:lang w:val="en-US"/>
        </w:rPr>
        <w:t>that</w:t>
      </w:r>
      <w:proofErr w:type="gramEnd"/>
      <w:r w:rsidRPr="00AC61C3">
        <w:rPr>
          <w:rFonts w:ascii="Arial" w:hAnsi="Arial" w:cs="Arial"/>
          <w:lang w:val="en-US"/>
        </w:rPr>
        <w:t xml:space="preserve"> they complete a survey or participate in a focus group. Others may prefer to provide feedback via telephone at a later time.</w:t>
      </w:r>
    </w:p>
    <w:p w:rsidR="00951EA4" w:rsidRDefault="00951EA4" w:rsidP="00C16911">
      <w:pPr>
        <w:spacing w:before="120" w:after="120" w:line="280" w:lineRule="exact"/>
        <w:rPr>
          <w:rFonts w:ascii="Arial" w:hAnsi="Arial" w:cs="Arial"/>
          <w:lang w:val="en-US"/>
        </w:rPr>
      </w:pPr>
    </w:p>
    <w:p w:rsidR="00AE6AD9" w:rsidRPr="00AE6AD9" w:rsidRDefault="003D6F21" w:rsidP="00AE6AD9">
      <w:pPr>
        <w:pStyle w:val="Heading2"/>
        <w:pBdr>
          <w:top w:val="single" w:sz="4" w:space="1" w:color="auto"/>
          <w:left w:val="single" w:sz="4" w:space="1" w:color="auto"/>
          <w:bottom w:val="single" w:sz="4" w:space="1" w:color="auto"/>
          <w:right w:val="single" w:sz="4" w:space="1" w:color="auto"/>
        </w:pBdr>
        <w:spacing w:before="120" w:after="120" w:line="280" w:lineRule="exact"/>
        <w:rPr>
          <w:rFonts w:ascii="Arial" w:hAnsi="Arial" w:cs="Arial"/>
          <w:i/>
          <w:color w:val="4F81BD"/>
          <w:sz w:val="24"/>
          <w:szCs w:val="24"/>
        </w:rPr>
      </w:pPr>
      <w:r>
        <w:rPr>
          <w:rFonts w:ascii="Arial" w:hAnsi="Arial" w:cs="Arial"/>
          <w:i/>
          <w:color w:val="4F81BD"/>
          <w:sz w:val="24"/>
          <w:szCs w:val="24"/>
        </w:rPr>
        <w:t>How o</w:t>
      </w:r>
      <w:r w:rsidR="00FC78D0">
        <w:rPr>
          <w:rFonts w:ascii="Arial" w:hAnsi="Arial" w:cs="Arial"/>
          <w:i/>
          <w:color w:val="4F81BD"/>
          <w:sz w:val="24"/>
          <w:szCs w:val="24"/>
        </w:rPr>
        <w:t>ne day procedure service</w:t>
      </w:r>
      <w:r>
        <w:rPr>
          <w:rFonts w:ascii="Arial" w:hAnsi="Arial" w:cs="Arial"/>
          <w:i/>
          <w:color w:val="4F81BD"/>
          <w:sz w:val="24"/>
          <w:szCs w:val="24"/>
        </w:rPr>
        <w:t xml:space="preserve"> seeks feedback from consumers</w:t>
      </w:r>
    </w:p>
    <w:p w:rsidR="002819C9" w:rsidRDefault="00AE6AD9" w:rsidP="00AE6AD9">
      <w:pPr>
        <w:pBdr>
          <w:top w:val="single" w:sz="4" w:space="1" w:color="auto"/>
          <w:left w:val="single" w:sz="4" w:space="1" w:color="auto"/>
          <w:bottom w:val="single" w:sz="4" w:space="1" w:color="auto"/>
          <w:right w:val="single" w:sz="4" w:space="1" w:color="auto"/>
        </w:pBdr>
        <w:spacing w:before="120" w:after="120" w:line="280" w:lineRule="exact"/>
        <w:rPr>
          <w:rFonts w:ascii="Arial" w:hAnsi="Arial" w:cs="Arial"/>
          <w:lang w:val="en-US"/>
        </w:rPr>
      </w:pPr>
      <w:r>
        <w:rPr>
          <w:rFonts w:ascii="Arial" w:hAnsi="Arial" w:cs="Arial"/>
          <w:lang w:val="en-US"/>
        </w:rPr>
        <w:t>A</w:t>
      </w:r>
      <w:r w:rsidR="002819C9">
        <w:rPr>
          <w:rFonts w:ascii="Arial" w:hAnsi="Arial" w:cs="Arial"/>
          <w:lang w:val="en-US"/>
        </w:rPr>
        <w:t xml:space="preserve"> day procedure service kept a folder of their </w:t>
      </w:r>
      <w:r>
        <w:rPr>
          <w:rFonts w:ascii="Arial" w:hAnsi="Arial" w:cs="Arial"/>
          <w:lang w:val="en-US"/>
        </w:rPr>
        <w:t xml:space="preserve">patient </w:t>
      </w:r>
      <w:r w:rsidR="002819C9">
        <w:rPr>
          <w:rFonts w:ascii="Arial" w:hAnsi="Arial" w:cs="Arial"/>
          <w:lang w:val="en-US"/>
        </w:rPr>
        <w:t xml:space="preserve">information </w:t>
      </w:r>
      <w:r>
        <w:rPr>
          <w:rFonts w:ascii="Arial" w:hAnsi="Arial" w:cs="Arial"/>
          <w:lang w:val="en-US"/>
        </w:rPr>
        <w:t>publications</w:t>
      </w:r>
      <w:r w:rsidR="002819C9">
        <w:rPr>
          <w:rFonts w:ascii="Arial" w:hAnsi="Arial" w:cs="Arial"/>
          <w:lang w:val="en-US"/>
        </w:rPr>
        <w:t xml:space="preserve"> in the office waiting room. If it appeared that there was a delay for people waiting for surgery a staff member would approach a patient and ask if they would be interested in providing some feedback on a </w:t>
      </w:r>
      <w:r>
        <w:rPr>
          <w:rFonts w:ascii="Arial" w:hAnsi="Arial" w:cs="Arial"/>
          <w:lang w:val="en-US"/>
        </w:rPr>
        <w:t>publication</w:t>
      </w:r>
      <w:r w:rsidR="002819C9">
        <w:rPr>
          <w:rFonts w:ascii="Arial" w:hAnsi="Arial" w:cs="Arial"/>
          <w:lang w:val="en-US"/>
        </w:rPr>
        <w:t xml:space="preserve"> while they were waiting. </w:t>
      </w:r>
    </w:p>
    <w:p w:rsidR="002819C9" w:rsidRDefault="002819C9" w:rsidP="00AE6AD9">
      <w:pPr>
        <w:pBdr>
          <w:top w:val="single" w:sz="4" w:space="1" w:color="auto"/>
          <w:left w:val="single" w:sz="4" w:space="1" w:color="auto"/>
          <w:bottom w:val="single" w:sz="4" w:space="1" w:color="auto"/>
          <w:right w:val="single" w:sz="4" w:space="1" w:color="auto"/>
        </w:pBdr>
        <w:spacing w:before="120" w:after="120" w:line="280" w:lineRule="exact"/>
        <w:rPr>
          <w:rFonts w:ascii="Arial" w:hAnsi="Arial" w:cs="Arial"/>
          <w:lang w:val="en-US"/>
        </w:rPr>
      </w:pPr>
      <w:r>
        <w:rPr>
          <w:rFonts w:ascii="Arial" w:hAnsi="Arial" w:cs="Arial"/>
          <w:lang w:val="en-US"/>
        </w:rPr>
        <w:t xml:space="preserve">If the patient agreed the staff member would take the person to a quiet room. The staff member </w:t>
      </w:r>
      <w:r w:rsidR="00AE6AD9">
        <w:rPr>
          <w:rFonts w:ascii="Arial" w:hAnsi="Arial" w:cs="Arial"/>
          <w:lang w:val="en-US"/>
        </w:rPr>
        <w:t>would explain</w:t>
      </w:r>
      <w:r>
        <w:rPr>
          <w:rFonts w:ascii="Arial" w:hAnsi="Arial" w:cs="Arial"/>
          <w:lang w:val="en-US"/>
        </w:rPr>
        <w:t xml:space="preserve"> the process, the type of information they were seeking and how the patient</w:t>
      </w:r>
      <w:r w:rsidR="00611ED8">
        <w:rPr>
          <w:rFonts w:ascii="Arial" w:hAnsi="Arial" w:cs="Arial"/>
          <w:lang w:val="en-US"/>
        </w:rPr>
        <w:t>’</w:t>
      </w:r>
      <w:r>
        <w:rPr>
          <w:rFonts w:ascii="Arial" w:hAnsi="Arial" w:cs="Arial"/>
          <w:lang w:val="en-US"/>
        </w:rPr>
        <w:t xml:space="preserve">s feedback would be used to improve the publication. The patient would then be asked to read the publication. </w:t>
      </w:r>
    </w:p>
    <w:p w:rsidR="00AE6AD9" w:rsidRDefault="002819C9" w:rsidP="00AE6AD9">
      <w:pPr>
        <w:pBdr>
          <w:top w:val="single" w:sz="4" w:space="1" w:color="auto"/>
          <w:left w:val="single" w:sz="4" w:space="1" w:color="auto"/>
          <w:bottom w:val="single" w:sz="4" w:space="1" w:color="auto"/>
          <w:right w:val="single" w:sz="4" w:space="1" w:color="auto"/>
        </w:pBdr>
        <w:spacing w:before="120" w:after="120" w:line="280" w:lineRule="exact"/>
        <w:rPr>
          <w:rFonts w:ascii="Arial" w:hAnsi="Arial" w:cs="Arial"/>
          <w:lang w:val="en-US"/>
        </w:rPr>
      </w:pPr>
      <w:r>
        <w:rPr>
          <w:rFonts w:ascii="Arial" w:hAnsi="Arial" w:cs="Arial"/>
          <w:lang w:val="en-US"/>
        </w:rPr>
        <w:t xml:space="preserve">Once the publication was read the staff member would ask a series of questions to gauge how easily the information was read, understood and whether the person felt they were equipped to act on the information. </w:t>
      </w:r>
      <w:r w:rsidR="00AE6AD9">
        <w:rPr>
          <w:rFonts w:ascii="Arial" w:hAnsi="Arial" w:cs="Arial"/>
          <w:lang w:val="en-US"/>
        </w:rPr>
        <w:t xml:space="preserve">The questions would be adapted depending on the responses of the patient and issues identified would be explored in depth. </w:t>
      </w:r>
      <w:r>
        <w:rPr>
          <w:rFonts w:ascii="Arial" w:hAnsi="Arial" w:cs="Arial"/>
          <w:lang w:val="en-US"/>
        </w:rPr>
        <w:t>The patient w</w:t>
      </w:r>
      <w:r w:rsidR="00AE6AD9">
        <w:rPr>
          <w:rFonts w:ascii="Arial" w:hAnsi="Arial" w:cs="Arial"/>
          <w:lang w:val="en-US"/>
        </w:rPr>
        <w:t>ould be</w:t>
      </w:r>
      <w:r>
        <w:rPr>
          <w:rFonts w:ascii="Arial" w:hAnsi="Arial" w:cs="Arial"/>
          <w:lang w:val="en-US"/>
        </w:rPr>
        <w:t xml:space="preserve"> asked whether they felt there was any information missing or any changes they would make to the document. </w:t>
      </w:r>
    </w:p>
    <w:p w:rsidR="002819C9" w:rsidRDefault="002819C9" w:rsidP="00AE6AD9">
      <w:pPr>
        <w:pBdr>
          <w:top w:val="single" w:sz="4" w:space="1" w:color="auto"/>
          <w:left w:val="single" w:sz="4" w:space="1" w:color="auto"/>
          <w:bottom w:val="single" w:sz="4" w:space="1" w:color="auto"/>
          <w:right w:val="single" w:sz="4" w:space="1" w:color="auto"/>
        </w:pBdr>
        <w:spacing w:before="120" w:after="120" w:line="280" w:lineRule="exact"/>
        <w:rPr>
          <w:rFonts w:ascii="Arial" w:hAnsi="Arial" w:cs="Arial"/>
          <w:lang w:val="en-US"/>
        </w:rPr>
      </w:pPr>
      <w:r>
        <w:rPr>
          <w:rFonts w:ascii="Arial" w:hAnsi="Arial" w:cs="Arial"/>
          <w:lang w:val="en-US"/>
        </w:rPr>
        <w:t xml:space="preserve">The staff member </w:t>
      </w:r>
      <w:r w:rsidR="00AE6AD9">
        <w:rPr>
          <w:rFonts w:ascii="Arial" w:hAnsi="Arial" w:cs="Arial"/>
          <w:lang w:val="en-US"/>
        </w:rPr>
        <w:t xml:space="preserve">would </w:t>
      </w:r>
      <w:r>
        <w:rPr>
          <w:rFonts w:ascii="Arial" w:hAnsi="Arial" w:cs="Arial"/>
          <w:lang w:val="en-US"/>
        </w:rPr>
        <w:t>then explain</w:t>
      </w:r>
      <w:r w:rsidR="00AE6AD9">
        <w:rPr>
          <w:rFonts w:ascii="Arial" w:hAnsi="Arial" w:cs="Arial"/>
          <w:lang w:val="en-US"/>
        </w:rPr>
        <w:t xml:space="preserve"> </w:t>
      </w:r>
      <w:r>
        <w:rPr>
          <w:rFonts w:ascii="Arial" w:hAnsi="Arial" w:cs="Arial"/>
          <w:lang w:val="en-US"/>
        </w:rPr>
        <w:t xml:space="preserve">how they would make changes to the document. They would thank the patient and ask whether they would be interested in working with the </w:t>
      </w:r>
      <w:r w:rsidR="00611ED8">
        <w:rPr>
          <w:rFonts w:ascii="Arial" w:hAnsi="Arial" w:cs="Arial"/>
          <w:lang w:val="en-US"/>
        </w:rPr>
        <w:t>day procedure service</w:t>
      </w:r>
      <w:r>
        <w:rPr>
          <w:rFonts w:ascii="Arial" w:hAnsi="Arial" w:cs="Arial"/>
          <w:lang w:val="en-US"/>
        </w:rPr>
        <w:t xml:space="preserve"> in future on any quality improvement projects. </w:t>
      </w:r>
    </w:p>
    <w:p w:rsidR="00AE6AD9" w:rsidRPr="00AE6AD9" w:rsidRDefault="00AE6AD9" w:rsidP="00AE6AD9">
      <w:pPr>
        <w:pStyle w:val="Heading2"/>
        <w:pBdr>
          <w:top w:val="single" w:sz="4" w:space="1" w:color="auto"/>
          <w:left w:val="single" w:sz="4" w:space="1" w:color="auto"/>
          <w:bottom w:val="single" w:sz="4" w:space="1" w:color="auto"/>
          <w:right w:val="single" w:sz="4" w:space="1" w:color="auto"/>
        </w:pBdr>
        <w:spacing w:before="120" w:after="120" w:line="280" w:lineRule="exact"/>
        <w:rPr>
          <w:rFonts w:ascii="Arial" w:hAnsi="Arial" w:cs="Arial"/>
          <w:i/>
          <w:color w:val="4F81BD"/>
          <w:sz w:val="24"/>
          <w:szCs w:val="24"/>
        </w:rPr>
      </w:pPr>
      <w:r w:rsidRPr="00AE6AD9">
        <w:rPr>
          <w:rFonts w:ascii="Arial" w:hAnsi="Arial" w:cs="Arial"/>
          <w:i/>
          <w:color w:val="4F81BD"/>
          <w:sz w:val="24"/>
          <w:szCs w:val="24"/>
        </w:rPr>
        <w:lastRenderedPageBreak/>
        <w:t>Advantages and disadvantages</w:t>
      </w:r>
    </w:p>
    <w:p w:rsidR="00AE6AD9" w:rsidRDefault="00AE6AD9" w:rsidP="00AE6AD9">
      <w:pPr>
        <w:pBdr>
          <w:top w:val="single" w:sz="4" w:space="1" w:color="auto"/>
          <w:left w:val="single" w:sz="4" w:space="1" w:color="auto"/>
          <w:bottom w:val="single" w:sz="4" w:space="1" w:color="auto"/>
          <w:right w:val="single" w:sz="4" w:space="1" w:color="auto"/>
        </w:pBdr>
        <w:spacing w:before="120" w:after="120" w:line="280" w:lineRule="exact"/>
        <w:rPr>
          <w:rFonts w:ascii="Arial" w:hAnsi="Arial" w:cs="Arial"/>
          <w:lang w:val="en-US"/>
        </w:rPr>
      </w:pPr>
      <w:r>
        <w:rPr>
          <w:rFonts w:ascii="Arial" w:hAnsi="Arial" w:cs="Arial"/>
          <w:lang w:val="en-US"/>
        </w:rPr>
        <w:t xml:space="preserve">This type of approach to getting feedback from consumers can often yield valuable information. You are provided with the opportunity to ask more open-ended and probing questions, which can help you to better understand the root cause of any misunderstanding the patient may have about the </w:t>
      </w:r>
      <w:r w:rsidR="00611ED8">
        <w:rPr>
          <w:rFonts w:ascii="Arial" w:hAnsi="Arial" w:cs="Arial"/>
          <w:lang w:val="en-US"/>
        </w:rPr>
        <w:t>issue</w:t>
      </w:r>
      <w:r>
        <w:rPr>
          <w:rFonts w:ascii="Arial" w:hAnsi="Arial" w:cs="Arial"/>
          <w:lang w:val="en-US"/>
        </w:rPr>
        <w:t xml:space="preserve">. This can have an advantage over undertaking surveys, where issues may be identified but there is less opportunity to identify underlying causes or possible solutions. The disadvantages of this approach may be that it can take longer to undertake and consequently you may get feedback from </w:t>
      </w:r>
      <w:r w:rsidR="00611ED8">
        <w:rPr>
          <w:rFonts w:ascii="Arial" w:hAnsi="Arial" w:cs="Arial"/>
          <w:lang w:val="en-US"/>
        </w:rPr>
        <w:t>fewer</w:t>
      </w:r>
      <w:r>
        <w:rPr>
          <w:rFonts w:ascii="Arial" w:hAnsi="Arial" w:cs="Arial"/>
          <w:lang w:val="en-US"/>
        </w:rPr>
        <w:t xml:space="preserve"> patients.</w:t>
      </w:r>
    </w:p>
    <w:p w:rsidR="002819C9" w:rsidRDefault="002819C9" w:rsidP="00C16911">
      <w:pPr>
        <w:spacing w:before="120" w:after="120" w:line="280" w:lineRule="exact"/>
        <w:rPr>
          <w:rFonts w:ascii="Arial" w:hAnsi="Arial" w:cs="Arial"/>
          <w:lang w:val="en-US"/>
        </w:rPr>
      </w:pPr>
    </w:p>
    <w:p w:rsidR="00E7235F" w:rsidRPr="004C6C7B" w:rsidRDefault="00E7235F" w:rsidP="00E7235F">
      <w:pPr>
        <w:pStyle w:val="Heading2"/>
        <w:spacing w:before="120" w:after="120" w:line="280" w:lineRule="exact"/>
        <w:rPr>
          <w:rFonts w:ascii="Arial" w:hAnsi="Arial" w:cs="Arial"/>
          <w:b w:val="0"/>
          <w:sz w:val="24"/>
          <w:szCs w:val="24"/>
        </w:rPr>
      </w:pPr>
      <w:r>
        <w:rPr>
          <w:rFonts w:ascii="Arial" w:hAnsi="Arial" w:cs="Arial"/>
          <w:i/>
          <w:sz w:val="24"/>
          <w:szCs w:val="24"/>
        </w:rPr>
        <w:t>Telephone interviews</w:t>
      </w:r>
    </w:p>
    <w:p w:rsidR="00E7235F" w:rsidRPr="00AC61C3" w:rsidRDefault="00E7235F" w:rsidP="00E7235F">
      <w:pPr>
        <w:spacing w:before="120" w:after="120" w:line="280" w:lineRule="exact"/>
        <w:rPr>
          <w:rFonts w:ascii="Arial" w:hAnsi="Arial" w:cs="Arial"/>
          <w:lang w:val="en-US"/>
        </w:rPr>
      </w:pPr>
      <w:r w:rsidRPr="00AC61C3">
        <w:rPr>
          <w:rFonts w:ascii="Arial" w:hAnsi="Arial" w:cs="Arial"/>
          <w:lang w:val="en-US"/>
        </w:rPr>
        <w:t xml:space="preserve">Telephone interviews are similar to face-to-face discussions but held over the phone. Staff can </w:t>
      </w:r>
      <w:proofErr w:type="spellStart"/>
      <w:r w:rsidRPr="00AC61C3">
        <w:rPr>
          <w:rFonts w:ascii="Arial" w:hAnsi="Arial" w:cs="Arial"/>
          <w:lang w:val="en-US"/>
        </w:rPr>
        <w:t>organise</w:t>
      </w:r>
      <w:proofErr w:type="spellEnd"/>
      <w:r w:rsidRPr="00AC61C3">
        <w:rPr>
          <w:rFonts w:ascii="Arial" w:hAnsi="Arial" w:cs="Arial"/>
          <w:lang w:val="en-US"/>
        </w:rPr>
        <w:t xml:space="preserve"> to conduct a telephone interview with </w:t>
      </w:r>
      <w:r>
        <w:rPr>
          <w:rFonts w:ascii="Arial" w:hAnsi="Arial" w:cs="Arial"/>
          <w:lang w:val="en-US"/>
        </w:rPr>
        <w:t>consumers</w:t>
      </w:r>
      <w:r w:rsidRPr="00AC61C3">
        <w:rPr>
          <w:rFonts w:ascii="Arial" w:hAnsi="Arial" w:cs="Arial"/>
          <w:lang w:val="en-US"/>
        </w:rPr>
        <w:t xml:space="preserve"> before they leave the facility. This means that interviews can be scheduled at</w:t>
      </w:r>
      <w:r>
        <w:rPr>
          <w:rFonts w:ascii="Arial" w:hAnsi="Arial" w:cs="Arial"/>
          <w:lang w:val="en-US"/>
        </w:rPr>
        <w:t xml:space="preserve"> a time that suits both staff and consumers</w:t>
      </w:r>
      <w:r w:rsidRPr="00AC61C3">
        <w:rPr>
          <w:rFonts w:ascii="Arial" w:hAnsi="Arial" w:cs="Arial"/>
          <w:lang w:val="en-US"/>
        </w:rPr>
        <w:t>.</w:t>
      </w:r>
    </w:p>
    <w:p w:rsidR="00E7235F" w:rsidRDefault="00E7235F" w:rsidP="00E7235F">
      <w:pPr>
        <w:spacing w:before="120" w:after="120" w:line="280" w:lineRule="exact"/>
        <w:rPr>
          <w:rFonts w:ascii="Arial" w:hAnsi="Arial" w:cs="Arial"/>
          <w:lang w:val="en-US"/>
        </w:rPr>
      </w:pPr>
      <w:r>
        <w:rPr>
          <w:rFonts w:ascii="Arial" w:hAnsi="Arial" w:cs="Arial"/>
          <w:lang w:val="en-US"/>
        </w:rPr>
        <w:t xml:space="preserve">Providing the consumer with an outline of the topic, the type of information that is being sought and how the information from the interview will be used </w:t>
      </w:r>
      <w:r w:rsidRPr="00AC61C3">
        <w:rPr>
          <w:rFonts w:ascii="Arial" w:hAnsi="Arial" w:cs="Arial"/>
          <w:lang w:val="en-US"/>
        </w:rPr>
        <w:t>before they leave the s</w:t>
      </w:r>
      <w:r>
        <w:rPr>
          <w:rFonts w:ascii="Arial" w:hAnsi="Arial" w:cs="Arial"/>
          <w:lang w:val="en-US"/>
        </w:rPr>
        <w:t>ervice gives them</w:t>
      </w:r>
      <w:r w:rsidRPr="00AC61C3">
        <w:rPr>
          <w:rFonts w:ascii="Arial" w:hAnsi="Arial" w:cs="Arial"/>
          <w:lang w:val="en-US"/>
        </w:rPr>
        <w:t xml:space="preserve"> time to</w:t>
      </w:r>
      <w:r>
        <w:rPr>
          <w:rFonts w:ascii="Arial" w:hAnsi="Arial" w:cs="Arial"/>
          <w:lang w:val="en-US"/>
        </w:rPr>
        <w:t xml:space="preserve"> consider their views and </w:t>
      </w:r>
      <w:r w:rsidRPr="00AC61C3">
        <w:rPr>
          <w:rFonts w:ascii="Arial" w:hAnsi="Arial" w:cs="Arial"/>
          <w:lang w:val="en-US"/>
        </w:rPr>
        <w:t xml:space="preserve">prepare their responses before you telephone. </w:t>
      </w:r>
    </w:p>
    <w:p w:rsidR="00E7235F" w:rsidRPr="00AC61C3" w:rsidRDefault="00E7235F" w:rsidP="00C16911">
      <w:pPr>
        <w:spacing w:before="120" w:after="120" w:line="280" w:lineRule="exact"/>
        <w:rPr>
          <w:rFonts w:ascii="Arial" w:hAnsi="Arial" w:cs="Arial"/>
          <w:lang w:val="en-US"/>
        </w:rPr>
      </w:pPr>
    </w:p>
    <w:p w:rsidR="00FE2417" w:rsidRPr="003476FC" w:rsidRDefault="002F6DD1" w:rsidP="00C16911">
      <w:pPr>
        <w:pStyle w:val="Heading2"/>
        <w:spacing w:before="120" w:after="120" w:line="280" w:lineRule="exact"/>
        <w:rPr>
          <w:rFonts w:ascii="Arial" w:hAnsi="Arial" w:cs="Arial"/>
          <w:i/>
          <w:sz w:val="24"/>
          <w:szCs w:val="24"/>
        </w:rPr>
      </w:pPr>
      <w:r>
        <w:rPr>
          <w:rFonts w:ascii="Arial" w:hAnsi="Arial" w:cs="Arial"/>
          <w:i/>
          <w:sz w:val="24"/>
          <w:szCs w:val="24"/>
        </w:rPr>
        <w:t>Surveys and questionnaires</w:t>
      </w:r>
    </w:p>
    <w:p w:rsidR="0098625C" w:rsidRDefault="007F6360" w:rsidP="00C16911">
      <w:pPr>
        <w:spacing w:before="120" w:after="120" w:line="280" w:lineRule="exact"/>
        <w:rPr>
          <w:rFonts w:ascii="Arial" w:hAnsi="Arial" w:cs="Arial"/>
          <w:lang w:val="en-US"/>
        </w:rPr>
      </w:pPr>
      <w:r>
        <w:rPr>
          <w:rFonts w:ascii="Arial" w:hAnsi="Arial" w:cs="Arial"/>
          <w:lang w:val="en-US"/>
        </w:rPr>
        <w:t xml:space="preserve">A survey can be a useful way of getting </w:t>
      </w:r>
      <w:r w:rsidR="0098625C">
        <w:rPr>
          <w:rFonts w:ascii="Arial" w:hAnsi="Arial" w:cs="Arial"/>
          <w:lang w:val="en-US"/>
        </w:rPr>
        <w:t xml:space="preserve">structured </w:t>
      </w:r>
      <w:r>
        <w:rPr>
          <w:rFonts w:ascii="Arial" w:hAnsi="Arial" w:cs="Arial"/>
          <w:lang w:val="en-US"/>
        </w:rPr>
        <w:t>feedback on a range of issues</w:t>
      </w:r>
      <w:r w:rsidR="0098625C">
        <w:rPr>
          <w:rFonts w:ascii="Arial" w:hAnsi="Arial" w:cs="Arial"/>
          <w:lang w:val="en-US"/>
        </w:rPr>
        <w:t xml:space="preserve"> such as patient information publications, safety issues, quality improvement activities, service design, layout and other consumer concerns</w:t>
      </w:r>
      <w:r>
        <w:rPr>
          <w:rFonts w:ascii="Arial" w:hAnsi="Arial" w:cs="Arial"/>
          <w:lang w:val="en-US"/>
        </w:rPr>
        <w:t xml:space="preserve">. </w:t>
      </w:r>
    </w:p>
    <w:p w:rsidR="00FE2417" w:rsidRPr="00AC61C3" w:rsidRDefault="0098625C" w:rsidP="00C16911">
      <w:pPr>
        <w:spacing w:before="120" w:after="120" w:line="280" w:lineRule="exact"/>
        <w:rPr>
          <w:rFonts w:ascii="Arial" w:hAnsi="Arial" w:cs="Arial"/>
          <w:lang w:val="en-US"/>
        </w:rPr>
      </w:pPr>
      <w:r>
        <w:rPr>
          <w:rFonts w:ascii="Arial" w:hAnsi="Arial" w:cs="Arial"/>
          <w:lang w:val="en-US"/>
        </w:rPr>
        <w:t xml:space="preserve">Surveys can be delivered </w:t>
      </w:r>
      <w:r w:rsidR="00536C37">
        <w:rPr>
          <w:rFonts w:ascii="Arial" w:hAnsi="Arial" w:cs="Arial"/>
          <w:lang w:val="en-US"/>
        </w:rPr>
        <w:t>through</w:t>
      </w:r>
      <w:r w:rsidR="00FE2417" w:rsidRPr="00AC61C3">
        <w:rPr>
          <w:rFonts w:ascii="Arial" w:hAnsi="Arial" w:cs="Arial"/>
          <w:lang w:val="en-US"/>
        </w:rPr>
        <w:t xml:space="preserve"> face-to-face interviews, written and electronic forms, and telephone calls. There are advantages and disadvantages to each method and you should consider these within the context of your service.</w:t>
      </w:r>
    </w:p>
    <w:p w:rsidR="00536C37" w:rsidRDefault="0098625C" w:rsidP="00536C37">
      <w:pPr>
        <w:spacing w:before="120" w:after="120" w:line="280" w:lineRule="exact"/>
        <w:rPr>
          <w:rFonts w:ascii="Arial" w:hAnsi="Arial" w:cs="Arial"/>
          <w:lang w:val="en-US"/>
        </w:rPr>
      </w:pPr>
      <w:r>
        <w:rPr>
          <w:rFonts w:ascii="Arial" w:hAnsi="Arial" w:cs="Arial"/>
          <w:lang w:val="en-US"/>
        </w:rPr>
        <w:t xml:space="preserve">Consumers will often have to wait for a short period of time in your waiting rooms. When consumers arrive you could provide them with a survey, explain the purpose of the survey and how their information will be used. Completed surveys could be provided anonymously to a feedback box, then collated regularly and used to inform different improvement activities. </w:t>
      </w:r>
    </w:p>
    <w:p w:rsidR="0098625C" w:rsidRDefault="0098625C" w:rsidP="00536C37">
      <w:pPr>
        <w:spacing w:before="120" w:after="120" w:line="280" w:lineRule="exact"/>
        <w:rPr>
          <w:rFonts w:ascii="Arial" w:hAnsi="Arial" w:cs="Arial"/>
          <w:lang w:val="en-US"/>
        </w:rPr>
      </w:pPr>
      <w:r>
        <w:rPr>
          <w:rFonts w:ascii="Arial" w:hAnsi="Arial" w:cs="Arial"/>
          <w:lang w:val="en-US"/>
        </w:rPr>
        <w:t xml:space="preserve">Alternatively, a short survey could be prepared and included in </w:t>
      </w:r>
      <w:r w:rsidR="00536C37">
        <w:rPr>
          <w:rFonts w:ascii="Arial" w:hAnsi="Arial" w:cs="Arial"/>
          <w:lang w:val="en-US"/>
        </w:rPr>
        <w:t xml:space="preserve">either the pre-admission letter, or </w:t>
      </w:r>
      <w:r w:rsidR="00611ED8">
        <w:rPr>
          <w:rFonts w:ascii="Arial" w:hAnsi="Arial" w:cs="Arial"/>
          <w:lang w:val="en-US"/>
        </w:rPr>
        <w:t>a</w:t>
      </w:r>
      <w:r>
        <w:rPr>
          <w:rFonts w:ascii="Arial" w:hAnsi="Arial" w:cs="Arial"/>
          <w:lang w:val="en-US"/>
        </w:rPr>
        <w:t xml:space="preserve"> follow-up letter sent to consumers after their procedure. </w:t>
      </w:r>
      <w:r w:rsidR="00536C37">
        <w:rPr>
          <w:rFonts w:ascii="Arial" w:hAnsi="Arial" w:cs="Arial"/>
          <w:lang w:val="en-US"/>
        </w:rPr>
        <w:t>Surveys could also be included on your web site</w:t>
      </w:r>
      <w:r w:rsidR="00FC78D0">
        <w:rPr>
          <w:rFonts w:ascii="Arial" w:hAnsi="Arial" w:cs="Arial"/>
          <w:lang w:val="en-US"/>
        </w:rPr>
        <w:t>, and links could be sent to people who have used your services</w:t>
      </w:r>
      <w:r w:rsidR="00536C37">
        <w:rPr>
          <w:rFonts w:ascii="Arial" w:hAnsi="Arial" w:cs="Arial"/>
          <w:lang w:val="en-US"/>
        </w:rPr>
        <w:t>.</w:t>
      </w:r>
    </w:p>
    <w:p w:rsidR="00536C37" w:rsidRPr="00AC61C3" w:rsidRDefault="00951EA4" w:rsidP="00536C37">
      <w:pPr>
        <w:spacing w:before="120" w:after="120" w:line="280" w:lineRule="exact"/>
        <w:rPr>
          <w:rFonts w:ascii="Arial" w:hAnsi="Arial" w:cs="Arial"/>
          <w:lang w:val="en-US"/>
        </w:rPr>
      </w:pPr>
      <w:r>
        <w:rPr>
          <w:rFonts w:ascii="Arial" w:hAnsi="Arial" w:cs="Arial"/>
          <w:lang w:val="en-US"/>
        </w:rPr>
        <w:t xml:space="preserve">If </w:t>
      </w:r>
      <w:r w:rsidR="00536C37">
        <w:rPr>
          <w:rFonts w:ascii="Arial" w:hAnsi="Arial" w:cs="Arial"/>
          <w:lang w:val="en-US"/>
        </w:rPr>
        <w:t xml:space="preserve">your </w:t>
      </w:r>
      <w:r w:rsidR="00611ED8">
        <w:rPr>
          <w:rFonts w:ascii="Arial" w:hAnsi="Arial" w:cs="Arial"/>
          <w:lang w:val="en-US"/>
        </w:rPr>
        <w:t>day procedure service</w:t>
      </w:r>
      <w:r w:rsidR="00536C37">
        <w:rPr>
          <w:rFonts w:ascii="Arial" w:hAnsi="Arial" w:cs="Arial"/>
          <w:lang w:val="en-US"/>
        </w:rPr>
        <w:t xml:space="preserve"> </w:t>
      </w:r>
      <w:r w:rsidR="00FC78D0">
        <w:rPr>
          <w:rFonts w:ascii="Arial" w:hAnsi="Arial" w:cs="Arial"/>
          <w:lang w:val="en-US"/>
        </w:rPr>
        <w:t>has</w:t>
      </w:r>
      <w:r w:rsidR="00536C37">
        <w:rPr>
          <w:rFonts w:ascii="Arial" w:hAnsi="Arial" w:cs="Arial"/>
          <w:lang w:val="en-US"/>
        </w:rPr>
        <w:t xml:space="preserve"> relationships with local community organisations you could provide surveys to these organisation</w:t>
      </w:r>
      <w:r w:rsidR="00FC78D0">
        <w:rPr>
          <w:rFonts w:ascii="Arial" w:hAnsi="Arial" w:cs="Arial"/>
          <w:lang w:val="en-US"/>
        </w:rPr>
        <w:t>s</w:t>
      </w:r>
      <w:r w:rsidR="00536C37">
        <w:rPr>
          <w:rFonts w:ascii="Arial" w:hAnsi="Arial" w:cs="Arial"/>
          <w:lang w:val="en-US"/>
        </w:rPr>
        <w:t xml:space="preserve"> to distribute to their members to help inform your service planning and design. </w:t>
      </w:r>
    </w:p>
    <w:p w:rsidR="00951EA4" w:rsidRDefault="00536C37" w:rsidP="00536C37">
      <w:pPr>
        <w:spacing w:before="120" w:after="120" w:line="280" w:lineRule="exact"/>
        <w:rPr>
          <w:rFonts w:ascii="Arial" w:hAnsi="Arial" w:cs="Arial"/>
          <w:lang w:val="en-US"/>
        </w:rPr>
      </w:pPr>
      <w:r>
        <w:rPr>
          <w:rFonts w:ascii="Arial" w:hAnsi="Arial" w:cs="Arial"/>
          <w:lang w:val="en-US"/>
        </w:rPr>
        <w:t xml:space="preserve">Surveys could focus on a particular issue (such as layout of the service, accessibility of the web site, content of a patient information publication or sufficiency of the information provided preceding the procedure) or could take a broader view of consumer experience of service delivery. </w:t>
      </w:r>
    </w:p>
    <w:p w:rsidR="0098625C" w:rsidRDefault="00536C37" w:rsidP="00536C37">
      <w:pPr>
        <w:spacing w:before="120" w:after="120" w:line="280" w:lineRule="exact"/>
        <w:rPr>
          <w:rFonts w:ascii="Arial" w:hAnsi="Arial" w:cs="Arial"/>
          <w:lang w:val="en-US"/>
        </w:rPr>
      </w:pPr>
      <w:r>
        <w:rPr>
          <w:rFonts w:ascii="Arial" w:hAnsi="Arial" w:cs="Arial"/>
          <w:lang w:val="en-US"/>
        </w:rPr>
        <w:lastRenderedPageBreak/>
        <w:t xml:space="preserve">Once a reasonable amount </w:t>
      </w:r>
      <w:r w:rsidR="00FC78D0">
        <w:rPr>
          <w:rFonts w:ascii="Arial" w:hAnsi="Arial" w:cs="Arial"/>
          <w:lang w:val="en-US"/>
        </w:rPr>
        <w:t>of feedback was received on a survey</w:t>
      </w:r>
      <w:r>
        <w:rPr>
          <w:rFonts w:ascii="Arial" w:hAnsi="Arial" w:cs="Arial"/>
          <w:lang w:val="en-US"/>
        </w:rPr>
        <w:t xml:space="preserve">, </w:t>
      </w:r>
      <w:r w:rsidR="00FC78D0">
        <w:rPr>
          <w:rFonts w:ascii="Arial" w:hAnsi="Arial" w:cs="Arial"/>
          <w:lang w:val="en-US"/>
        </w:rPr>
        <w:t xml:space="preserve">a summary of the findings could be provided to the governance group and </w:t>
      </w:r>
      <w:r>
        <w:rPr>
          <w:rFonts w:ascii="Arial" w:hAnsi="Arial" w:cs="Arial"/>
          <w:lang w:val="en-US"/>
        </w:rPr>
        <w:t xml:space="preserve">action could be taken to respond to any issues identified. </w:t>
      </w:r>
    </w:p>
    <w:p w:rsidR="00FC78D0" w:rsidRDefault="00FC78D0" w:rsidP="00536C37">
      <w:pPr>
        <w:spacing w:before="120" w:after="120" w:line="280" w:lineRule="exact"/>
        <w:rPr>
          <w:rFonts w:ascii="Arial" w:hAnsi="Arial" w:cs="Arial"/>
          <w:lang w:val="en-US"/>
        </w:rPr>
      </w:pPr>
    </w:p>
    <w:p w:rsidR="00FE2417" w:rsidRPr="00F36B3D" w:rsidRDefault="002F6DD1" w:rsidP="00C16911">
      <w:pPr>
        <w:pStyle w:val="Heading2"/>
        <w:spacing w:before="120" w:after="120" w:line="280" w:lineRule="exact"/>
        <w:rPr>
          <w:rFonts w:ascii="Arial" w:hAnsi="Arial" w:cs="Arial"/>
          <w:i/>
          <w:color w:val="4F81BD"/>
          <w:sz w:val="24"/>
          <w:szCs w:val="24"/>
        </w:rPr>
      </w:pPr>
      <w:r>
        <w:rPr>
          <w:rFonts w:ascii="Arial" w:hAnsi="Arial" w:cs="Arial"/>
          <w:i/>
          <w:color w:val="4F81BD"/>
          <w:sz w:val="24"/>
          <w:szCs w:val="24"/>
        </w:rPr>
        <w:t>F</w:t>
      </w:r>
      <w:r w:rsidR="00FE2417" w:rsidRPr="00F36B3D">
        <w:rPr>
          <w:rFonts w:ascii="Arial" w:hAnsi="Arial" w:cs="Arial"/>
          <w:i/>
          <w:color w:val="4F81BD"/>
          <w:sz w:val="24"/>
          <w:szCs w:val="24"/>
        </w:rPr>
        <w:t>ocus group</w:t>
      </w:r>
      <w:r>
        <w:rPr>
          <w:rFonts w:ascii="Arial" w:hAnsi="Arial" w:cs="Arial"/>
          <w:i/>
          <w:color w:val="4F81BD"/>
          <w:sz w:val="24"/>
          <w:szCs w:val="24"/>
        </w:rPr>
        <w:t>s</w:t>
      </w:r>
      <w:r w:rsidR="00FE2417" w:rsidRPr="00F36B3D">
        <w:rPr>
          <w:rFonts w:ascii="Arial" w:hAnsi="Arial" w:cs="Arial"/>
          <w:i/>
          <w:color w:val="4F81BD"/>
          <w:sz w:val="24"/>
          <w:szCs w:val="24"/>
        </w:rPr>
        <w:t xml:space="preserve"> </w:t>
      </w:r>
      <w:r>
        <w:rPr>
          <w:rFonts w:ascii="Arial" w:hAnsi="Arial" w:cs="Arial"/>
          <w:i/>
          <w:color w:val="4F81BD"/>
          <w:sz w:val="24"/>
          <w:szCs w:val="24"/>
        </w:rPr>
        <w:t>and workshops</w:t>
      </w:r>
    </w:p>
    <w:p w:rsidR="00FC78D0" w:rsidRDefault="00A6241A" w:rsidP="00C16911">
      <w:pPr>
        <w:spacing w:before="120" w:after="120" w:line="280" w:lineRule="exact"/>
        <w:rPr>
          <w:rFonts w:ascii="Arial" w:hAnsi="Arial" w:cs="Arial"/>
          <w:lang w:val="en-US"/>
        </w:rPr>
      </w:pPr>
      <w:r>
        <w:rPr>
          <w:rFonts w:ascii="Arial" w:hAnsi="Arial" w:cs="Arial"/>
          <w:lang w:val="en-US"/>
        </w:rPr>
        <w:t>F</w:t>
      </w:r>
      <w:r w:rsidR="00FC78D0">
        <w:rPr>
          <w:rFonts w:ascii="Arial" w:hAnsi="Arial" w:cs="Arial"/>
          <w:lang w:val="en-US"/>
        </w:rPr>
        <w:t>ocus group or workshop</w:t>
      </w:r>
      <w:r>
        <w:rPr>
          <w:rFonts w:ascii="Arial" w:hAnsi="Arial" w:cs="Arial"/>
          <w:lang w:val="en-US"/>
        </w:rPr>
        <w:t>s</w:t>
      </w:r>
      <w:r w:rsidR="00FC78D0">
        <w:rPr>
          <w:rFonts w:ascii="Arial" w:hAnsi="Arial" w:cs="Arial"/>
          <w:lang w:val="en-US"/>
        </w:rPr>
        <w:t xml:space="preserve"> with consumers </w:t>
      </w:r>
      <w:r>
        <w:rPr>
          <w:rFonts w:ascii="Arial" w:hAnsi="Arial" w:cs="Arial"/>
          <w:lang w:val="en-US"/>
        </w:rPr>
        <w:t>can often</w:t>
      </w:r>
      <w:r w:rsidR="00FC78D0">
        <w:rPr>
          <w:rFonts w:ascii="Arial" w:hAnsi="Arial" w:cs="Arial"/>
          <w:lang w:val="en-US"/>
        </w:rPr>
        <w:t xml:space="preserve"> get a more in-depth understanding </w:t>
      </w:r>
      <w:r>
        <w:rPr>
          <w:rFonts w:ascii="Arial" w:hAnsi="Arial" w:cs="Arial"/>
          <w:lang w:val="en-US"/>
        </w:rPr>
        <w:t>or exploration of options for</w:t>
      </w:r>
      <w:r w:rsidR="00FC78D0">
        <w:rPr>
          <w:rFonts w:ascii="Arial" w:hAnsi="Arial" w:cs="Arial"/>
          <w:lang w:val="en-US"/>
        </w:rPr>
        <w:t xml:space="preserve"> a particular issue. </w:t>
      </w:r>
    </w:p>
    <w:p w:rsidR="00FE2417" w:rsidRPr="00AC61C3" w:rsidRDefault="00FE2417" w:rsidP="00C16911">
      <w:pPr>
        <w:spacing w:before="120" w:after="120" w:line="280" w:lineRule="exact"/>
        <w:rPr>
          <w:rFonts w:ascii="Arial" w:hAnsi="Arial" w:cs="Arial"/>
          <w:lang w:val="en-US"/>
        </w:rPr>
      </w:pPr>
      <w:r w:rsidRPr="00AC61C3">
        <w:rPr>
          <w:rFonts w:ascii="Arial" w:hAnsi="Arial" w:cs="Arial"/>
          <w:lang w:val="en-US"/>
        </w:rPr>
        <w:t xml:space="preserve">A focus group is a semi-structured interview with a group of consumers. It allows key issues of concern to be explored in detail with participants. A focus group </w:t>
      </w:r>
      <w:r w:rsidR="00FC78D0">
        <w:rPr>
          <w:rFonts w:ascii="Arial" w:hAnsi="Arial" w:cs="Arial"/>
          <w:lang w:val="en-US"/>
        </w:rPr>
        <w:t xml:space="preserve">generally involves </w:t>
      </w:r>
      <w:r w:rsidRPr="00AC61C3">
        <w:rPr>
          <w:rFonts w:ascii="Arial" w:hAnsi="Arial" w:cs="Arial"/>
          <w:lang w:val="en-US"/>
        </w:rPr>
        <w:t xml:space="preserve">up to twelve participants and </w:t>
      </w:r>
      <w:r w:rsidR="00FC78D0">
        <w:rPr>
          <w:rFonts w:ascii="Arial" w:hAnsi="Arial" w:cs="Arial"/>
          <w:lang w:val="en-US"/>
        </w:rPr>
        <w:t xml:space="preserve">is </w:t>
      </w:r>
      <w:r w:rsidRPr="00AC61C3">
        <w:rPr>
          <w:rFonts w:ascii="Arial" w:hAnsi="Arial" w:cs="Arial"/>
          <w:lang w:val="en-US"/>
        </w:rPr>
        <w:t xml:space="preserve">no longer than two hours. </w:t>
      </w:r>
      <w:r w:rsidR="002B1F99">
        <w:rPr>
          <w:rFonts w:ascii="Arial" w:hAnsi="Arial" w:cs="Arial"/>
          <w:lang w:val="en-US"/>
        </w:rPr>
        <w:t>A facilit</w:t>
      </w:r>
      <w:r w:rsidR="00951EA4">
        <w:rPr>
          <w:rFonts w:ascii="Arial" w:hAnsi="Arial" w:cs="Arial"/>
          <w:lang w:val="en-US"/>
        </w:rPr>
        <w:t>at</w:t>
      </w:r>
      <w:r w:rsidR="002B1F99">
        <w:rPr>
          <w:rFonts w:ascii="Arial" w:hAnsi="Arial" w:cs="Arial"/>
          <w:lang w:val="en-US"/>
        </w:rPr>
        <w:t>or leads the group through the structured interview questions and uses the information gathered to identify key themes, options and opportunities</w:t>
      </w:r>
      <w:r w:rsidRPr="00AC61C3">
        <w:rPr>
          <w:rFonts w:ascii="Arial" w:hAnsi="Arial" w:cs="Arial"/>
          <w:lang w:val="en-US"/>
        </w:rPr>
        <w:t>.</w:t>
      </w:r>
    </w:p>
    <w:p w:rsidR="00FC78D0" w:rsidRDefault="00FC78D0" w:rsidP="00C16911">
      <w:pPr>
        <w:spacing w:before="120" w:after="120" w:line="280" w:lineRule="exact"/>
        <w:rPr>
          <w:rFonts w:ascii="Arial" w:hAnsi="Arial" w:cs="Arial"/>
          <w:lang w:val="en-US"/>
        </w:rPr>
      </w:pPr>
      <w:r>
        <w:rPr>
          <w:rFonts w:ascii="Arial" w:hAnsi="Arial" w:cs="Arial"/>
          <w:lang w:val="en-US"/>
        </w:rPr>
        <w:t>A workshop is generally longer than a focus group and can invo</w:t>
      </w:r>
      <w:r w:rsidR="002B1F99">
        <w:rPr>
          <w:rFonts w:ascii="Arial" w:hAnsi="Arial" w:cs="Arial"/>
          <w:lang w:val="en-US"/>
        </w:rPr>
        <w:t>lve more people. Rather than an interview format,</w:t>
      </w:r>
      <w:r>
        <w:rPr>
          <w:rFonts w:ascii="Arial" w:hAnsi="Arial" w:cs="Arial"/>
          <w:lang w:val="en-US"/>
        </w:rPr>
        <w:t xml:space="preserve"> there is a structured agenda</w:t>
      </w:r>
      <w:r w:rsidR="002B1F99">
        <w:rPr>
          <w:rFonts w:ascii="Arial" w:hAnsi="Arial" w:cs="Arial"/>
          <w:lang w:val="en-US"/>
        </w:rPr>
        <w:t xml:space="preserve"> which poses a series of problems to be solved.</w:t>
      </w:r>
      <w:r>
        <w:rPr>
          <w:rFonts w:ascii="Arial" w:hAnsi="Arial" w:cs="Arial"/>
          <w:lang w:val="en-US"/>
        </w:rPr>
        <w:t xml:space="preserve"> Workshops often involve small group activities where groups discuss specific issues and try and come up with workable solutions for identified issues.</w:t>
      </w:r>
      <w:r w:rsidR="002B1F99">
        <w:rPr>
          <w:rFonts w:ascii="Arial" w:hAnsi="Arial" w:cs="Arial"/>
          <w:lang w:val="en-US"/>
        </w:rPr>
        <w:t xml:space="preserve"> A facilitator leads the workshop and uses the information gathered to identify themes, issues and possible solutions.</w:t>
      </w:r>
    </w:p>
    <w:p w:rsidR="00FE2417" w:rsidRPr="00AC61C3" w:rsidRDefault="00FE2417" w:rsidP="00C16911">
      <w:pPr>
        <w:spacing w:before="120" w:after="120" w:line="280" w:lineRule="exact"/>
        <w:rPr>
          <w:rFonts w:ascii="Arial" w:hAnsi="Arial" w:cs="Arial"/>
          <w:lang w:val="en-US"/>
        </w:rPr>
      </w:pPr>
      <w:r w:rsidRPr="00AC61C3">
        <w:rPr>
          <w:rFonts w:ascii="Arial" w:hAnsi="Arial" w:cs="Arial"/>
          <w:lang w:val="en-US"/>
        </w:rPr>
        <w:t>To find participants for a focus group</w:t>
      </w:r>
      <w:r w:rsidR="00FC78D0">
        <w:rPr>
          <w:rFonts w:ascii="Arial" w:hAnsi="Arial" w:cs="Arial"/>
          <w:lang w:val="en-US"/>
        </w:rPr>
        <w:t xml:space="preserve"> or workshop</w:t>
      </w:r>
      <w:r w:rsidRPr="00AC61C3">
        <w:rPr>
          <w:rFonts w:ascii="Arial" w:hAnsi="Arial" w:cs="Arial"/>
          <w:lang w:val="en-US"/>
        </w:rPr>
        <w:t xml:space="preserve"> you might have brochures</w:t>
      </w:r>
      <w:r w:rsidR="00620A24">
        <w:rPr>
          <w:rFonts w:ascii="Arial" w:hAnsi="Arial" w:cs="Arial"/>
          <w:lang w:val="en-US"/>
        </w:rPr>
        <w:t>,</w:t>
      </w:r>
      <w:r w:rsidRPr="00AC61C3">
        <w:rPr>
          <w:rFonts w:ascii="Arial" w:hAnsi="Arial" w:cs="Arial"/>
          <w:lang w:val="en-US"/>
        </w:rPr>
        <w:t xml:space="preserve"> flyers or a sign</w:t>
      </w:r>
      <w:r w:rsidR="002B1F99">
        <w:rPr>
          <w:rFonts w:ascii="Arial" w:hAnsi="Arial" w:cs="Arial"/>
          <w:lang w:val="en-US"/>
        </w:rPr>
        <w:t>-</w:t>
      </w:r>
      <w:r w:rsidRPr="00AC61C3">
        <w:rPr>
          <w:rFonts w:ascii="Arial" w:hAnsi="Arial" w:cs="Arial"/>
          <w:lang w:val="en-US"/>
        </w:rPr>
        <w:t>up</w:t>
      </w:r>
      <w:r w:rsidR="002B1F99">
        <w:rPr>
          <w:rFonts w:ascii="Arial" w:hAnsi="Arial" w:cs="Arial"/>
          <w:lang w:val="en-US"/>
        </w:rPr>
        <w:t xml:space="preserve"> sheet</w:t>
      </w:r>
      <w:r w:rsidRPr="00AC61C3">
        <w:rPr>
          <w:rFonts w:ascii="Arial" w:hAnsi="Arial" w:cs="Arial"/>
          <w:lang w:val="en-US"/>
        </w:rPr>
        <w:t xml:space="preserve"> in the waiting area</w:t>
      </w:r>
      <w:r w:rsidR="002B1F99">
        <w:rPr>
          <w:rFonts w:ascii="Arial" w:hAnsi="Arial" w:cs="Arial"/>
          <w:lang w:val="en-US"/>
        </w:rPr>
        <w:t>. You could also</w:t>
      </w:r>
      <w:r w:rsidRPr="00AC61C3">
        <w:rPr>
          <w:rFonts w:ascii="Arial" w:hAnsi="Arial" w:cs="Arial"/>
          <w:lang w:val="en-US"/>
        </w:rPr>
        <w:t xml:space="preserve"> speak to patients and family members at the time of discharge</w:t>
      </w:r>
      <w:r w:rsidR="00620A24">
        <w:rPr>
          <w:rFonts w:ascii="Arial" w:hAnsi="Arial" w:cs="Arial"/>
          <w:lang w:val="en-US"/>
        </w:rPr>
        <w:t>, work with local community organisations to source participants</w:t>
      </w:r>
      <w:r w:rsidRPr="00AC61C3">
        <w:rPr>
          <w:rFonts w:ascii="Arial" w:hAnsi="Arial" w:cs="Arial"/>
          <w:lang w:val="en-US"/>
        </w:rPr>
        <w:t xml:space="preserve"> or advertise on your web site. You might also contact individuals who have previously provided feedback (privacy and confidentiality permitting) or ask other staff to nominate suitable patients or family members. </w:t>
      </w:r>
    </w:p>
    <w:p w:rsidR="00FE2417" w:rsidRDefault="00FE2417" w:rsidP="00C16911">
      <w:pPr>
        <w:spacing w:before="120" w:after="120" w:line="280" w:lineRule="exact"/>
        <w:rPr>
          <w:rFonts w:ascii="Arial" w:hAnsi="Arial" w:cs="Arial"/>
          <w:lang w:val="en-US"/>
        </w:rPr>
      </w:pPr>
    </w:p>
    <w:p w:rsidR="00FE2417" w:rsidRPr="005303DA" w:rsidRDefault="00FE2417" w:rsidP="00C16911">
      <w:pPr>
        <w:pStyle w:val="NormalWeb"/>
        <w:keepNext/>
        <w:keepLines/>
        <w:spacing w:before="120" w:beforeAutospacing="0" w:after="120" w:afterAutospacing="0" w:line="280" w:lineRule="exact"/>
        <w:rPr>
          <w:rFonts w:ascii="Arial" w:hAnsi="Arial" w:cs="Arial"/>
          <w:b/>
          <w:i/>
          <w:color w:val="4F81BD"/>
        </w:rPr>
      </w:pPr>
      <w:r w:rsidRPr="005303DA">
        <w:rPr>
          <w:rFonts w:ascii="Arial" w:hAnsi="Arial" w:cs="Arial"/>
          <w:b/>
          <w:i/>
          <w:color w:val="4F81BD"/>
        </w:rPr>
        <w:t xml:space="preserve">A </w:t>
      </w:r>
      <w:r w:rsidR="00D50BB5">
        <w:rPr>
          <w:rFonts w:ascii="Arial" w:hAnsi="Arial" w:cs="Arial"/>
          <w:b/>
          <w:i/>
          <w:color w:val="4F81BD"/>
        </w:rPr>
        <w:t xml:space="preserve">consumer </w:t>
      </w:r>
      <w:r w:rsidRPr="005303DA">
        <w:rPr>
          <w:rFonts w:ascii="Arial" w:hAnsi="Arial" w:cs="Arial"/>
          <w:b/>
          <w:i/>
          <w:color w:val="4F81BD"/>
        </w:rPr>
        <w:t>advisory group</w:t>
      </w:r>
    </w:p>
    <w:p w:rsidR="00B70733" w:rsidRPr="00B70733" w:rsidRDefault="00B70733" w:rsidP="00B70733">
      <w:pPr>
        <w:spacing w:before="120" w:after="120" w:line="280" w:lineRule="exact"/>
        <w:rPr>
          <w:rFonts w:ascii="Arial" w:hAnsi="Arial" w:cs="Arial"/>
        </w:rPr>
      </w:pPr>
      <w:r w:rsidRPr="00B70733">
        <w:rPr>
          <w:rFonts w:ascii="Arial" w:hAnsi="Arial" w:cs="Arial"/>
        </w:rPr>
        <w:t>Most health services already have a board or</w:t>
      </w:r>
      <w:r>
        <w:rPr>
          <w:rFonts w:ascii="Arial" w:hAnsi="Arial" w:cs="Arial"/>
        </w:rPr>
        <w:t xml:space="preserve"> </w:t>
      </w:r>
      <w:r w:rsidRPr="00B70733">
        <w:rPr>
          <w:rFonts w:ascii="Arial" w:hAnsi="Arial" w:cs="Arial"/>
        </w:rPr>
        <w:t>governing committee in place that</w:t>
      </w:r>
      <w:r>
        <w:rPr>
          <w:rFonts w:ascii="Arial" w:hAnsi="Arial" w:cs="Arial"/>
        </w:rPr>
        <w:t xml:space="preserve"> </w:t>
      </w:r>
      <w:r w:rsidRPr="00B70733">
        <w:rPr>
          <w:rFonts w:ascii="Arial" w:hAnsi="Arial" w:cs="Arial"/>
        </w:rPr>
        <w:t>provides</w:t>
      </w:r>
      <w:r>
        <w:rPr>
          <w:rFonts w:ascii="Arial" w:hAnsi="Arial" w:cs="Arial"/>
        </w:rPr>
        <w:t xml:space="preserve"> </w:t>
      </w:r>
      <w:r w:rsidRPr="00B70733">
        <w:rPr>
          <w:rFonts w:ascii="Arial" w:hAnsi="Arial" w:cs="Arial"/>
        </w:rPr>
        <w:t>advice and guidance about the design,</w:t>
      </w:r>
      <w:r>
        <w:rPr>
          <w:rFonts w:ascii="Arial" w:hAnsi="Arial" w:cs="Arial"/>
        </w:rPr>
        <w:t xml:space="preserve"> </w:t>
      </w:r>
      <w:r w:rsidRPr="00B70733">
        <w:rPr>
          <w:rFonts w:ascii="Arial" w:hAnsi="Arial" w:cs="Arial"/>
        </w:rPr>
        <w:t>planning, delivery and evaluation of health</w:t>
      </w:r>
      <w:r>
        <w:rPr>
          <w:rFonts w:ascii="Arial" w:hAnsi="Arial" w:cs="Arial"/>
        </w:rPr>
        <w:t xml:space="preserve"> </w:t>
      </w:r>
      <w:r w:rsidRPr="00B70733">
        <w:rPr>
          <w:rFonts w:ascii="Arial" w:hAnsi="Arial" w:cs="Arial"/>
        </w:rPr>
        <w:t>services. A simple way of engaging consumers</w:t>
      </w:r>
      <w:r>
        <w:rPr>
          <w:rFonts w:ascii="Arial" w:hAnsi="Arial" w:cs="Arial"/>
        </w:rPr>
        <w:t xml:space="preserve"> </w:t>
      </w:r>
      <w:r w:rsidRPr="00B70733">
        <w:rPr>
          <w:rFonts w:ascii="Arial" w:hAnsi="Arial" w:cs="Arial"/>
        </w:rPr>
        <w:t>in the governance of your day procedure service</w:t>
      </w:r>
      <w:r>
        <w:rPr>
          <w:rFonts w:ascii="Arial" w:hAnsi="Arial" w:cs="Arial"/>
        </w:rPr>
        <w:t xml:space="preserve"> </w:t>
      </w:r>
      <w:r w:rsidRPr="00B70733">
        <w:rPr>
          <w:rFonts w:ascii="Arial" w:hAnsi="Arial" w:cs="Arial"/>
        </w:rPr>
        <w:t>would be to invite a consumer to be part of this</w:t>
      </w:r>
      <w:r>
        <w:rPr>
          <w:rFonts w:ascii="Arial" w:hAnsi="Arial" w:cs="Arial"/>
        </w:rPr>
        <w:t xml:space="preserve"> </w:t>
      </w:r>
      <w:r w:rsidRPr="00B70733">
        <w:rPr>
          <w:rFonts w:ascii="Arial" w:hAnsi="Arial" w:cs="Arial"/>
        </w:rPr>
        <w:t xml:space="preserve">formal group. If you were to take this </w:t>
      </w:r>
      <w:proofErr w:type="gramStart"/>
      <w:r w:rsidRPr="00B70733">
        <w:rPr>
          <w:rFonts w:ascii="Arial" w:hAnsi="Arial" w:cs="Arial"/>
        </w:rPr>
        <w:t>approach</w:t>
      </w:r>
      <w:proofErr w:type="gramEnd"/>
      <w:r w:rsidRPr="00B70733">
        <w:rPr>
          <w:rFonts w:ascii="Arial" w:hAnsi="Arial" w:cs="Arial"/>
        </w:rPr>
        <w:t xml:space="preserve"> it</w:t>
      </w:r>
      <w:r>
        <w:rPr>
          <w:rFonts w:ascii="Arial" w:hAnsi="Arial" w:cs="Arial"/>
        </w:rPr>
        <w:t xml:space="preserve"> </w:t>
      </w:r>
      <w:r w:rsidRPr="00B70733">
        <w:rPr>
          <w:rFonts w:ascii="Arial" w:hAnsi="Arial" w:cs="Arial"/>
        </w:rPr>
        <w:t>is reasonable that the consumer is asked to sign</w:t>
      </w:r>
      <w:r>
        <w:rPr>
          <w:rFonts w:ascii="Arial" w:hAnsi="Arial" w:cs="Arial"/>
        </w:rPr>
        <w:t xml:space="preserve"> </w:t>
      </w:r>
      <w:r w:rsidRPr="00B70733">
        <w:rPr>
          <w:rFonts w:ascii="Arial" w:hAnsi="Arial" w:cs="Arial"/>
        </w:rPr>
        <w:t xml:space="preserve">an agreement to ensure that any </w:t>
      </w:r>
      <w:r>
        <w:rPr>
          <w:rFonts w:ascii="Arial" w:hAnsi="Arial" w:cs="Arial"/>
        </w:rPr>
        <w:t>f</w:t>
      </w:r>
      <w:r w:rsidRPr="00B70733">
        <w:rPr>
          <w:rFonts w:ascii="Arial" w:hAnsi="Arial" w:cs="Arial"/>
        </w:rPr>
        <w:t>inancial or</w:t>
      </w:r>
      <w:r>
        <w:rPr>
          <w:rFonts w:ascii="Arial" w:hAnsi="Arial" w:cs="Arial"/>
        </w:rPr>
        <w:t xml:space="preserve"> </w:t>
      </w:r>
      <w:r w:rsidRPr="00B70733">
        <w:rPr>
          <w:rFonts w:ascii="Arial" w:hAnsi="Arial" w:cs="Arial"/>
        </w:rPr>
        <w:t>other sensitive information that they might have</w:t>
      </w:r>
      <w:r>
        <w:rPr>
          <w:rFonts w:ascii="Arial" w:hAnsi="Arial" w:cs="Arial"/>
        </w:rPr>
        <w:t xml:space="preserve"> </w:t>
      </w:r>
      <w:r w:rsidRPr="00B70733">
        <w:rPr>
          <w:rFonts w:ascii="Arial" w:hAnsi="Arial" w:cs="Arial"/>
        </w:rPr>
        <w:t>access to remains confidential.</w:t>
      </w:r>
      <w:r>
        <w:rPr>
          <w:rFonts w:ascii="Arial" w:hAnsi="Arial" w:cs="Arial"/>
        </w:rPr>
        <w:t xml:space="preserve"> </w:t>
      </w:r>
      <w:r w:rsidRPr="00B70733">
        <w:rPr>
          <w:rFonts w:ascii="Arial" w:hAnsi="Arial" w:cs="Arial"/>
        </w:rPr>
        <w:t>If it is not possible to engage a consumer on</w:t>
      </w:r>
      <w:r>
        <w:rPr>
          <w:rFonts w:ascii="Arial" w:hAnsi="Arial" w:cs="Arial"/>
        </w:rPr>
        <w:t xml:space="preserve"> </w:t>
      </w:r>
      <w:r w:rsidRPr="00B70733">
        <w:rPr>
          <w:rFonts w:ascii="Arial" w:hAnsi="Arial" w:cs="Arial"/>
        </w:rPr>
        <w:t>your board or governing committee establishing</w:t>
      </w:r>
      <w:r>
        <w:rPr>
          <w:rFonts w:ascii="Arial" w:hAnsi="Arial" w:cs="Arial"/>
        </w:rPr>
        <w:t xml:space="preserve"> </w:t>
      </w:r>
      <w:r w:rsidRPr="00B70733">
        <w:rPr>
          <w:rFonts w:ascii="Arial" w:hAnsi="Arial" w:cs="Arial"/>
        </w:rPr>
        <w:t>a consumer advisory group to provide advice</w:t>
      </w:r>
      <w:r>
        <w:rPr>
          <w:rFonts w:ascii="Arial" w:hAnsi="Arial" w:cs="Arial"/>
        </w:rPr>
        <w:t xml:space="preserve"> </w:t>
      </w:r>
      <w:r w:rsidRPr="00B70733">
        <w:rPr>
          <w:rFonts w:ascii="Arial" w:hAnsi="Arial" w:cs="Arial"/>
        </w:rPr>
        <w:t>and input to the formal governance group</w:t>
      </w:r>
      <w:r>
        <w:rPr>
          <w:rFonts w:ascii="Arial" w:hAnsi="Arial" w:cs="Arial"/>
        </w:rPr>
        <w:t xml:space="preserve"> </w:t>
      </w:r>
      <w:r w:rsidRPr="00B70733">
        <w:rPr>
          <w:rFonts w:ascii="Arial" w:hAnsi="Arial" w:cs="Arial"/>
        </w:rPr>
        <w:t>may be an option. Consumer advisory groups</w:t>
      </w:r>
      <w:r>
        <w:rPr>
          <w:rFonts w:ascii="Arial" w:hAnsi="Arial" w:cs="Arial"/>
        </w:rPr>
        <w:t xml:space="preserve"> </w:t>
      </w:r>
      <w:r w:rsidRPr="00B70733">
        <w:rPr>
          <w:rFonts w:ascii="Arial" w:hAnsi="Arial" w:cs="Arial"/>
        </w:rPr>
        <w:t>tend to be small groups of people who meet</w:t>
      </w:r>
      <w:r>
        <w:rPr>
          <w:rFonts w:ascii="Arial" w:hAnsi="Arial" w:cs="Arial"/>
        </w:rPr>
        <w:t xml:space="preserve"> </w:t>
      </w:r>
      <w:r w:rsidRPr="00B70733">
        <w:rPr>
          <w:rFonts w:ascii="Arial" w:hAnsi="Arial" w:cs="Arial"/>
        </w:rPr>
        <w:t>face to face a few times a year, as well as</w:t>
      </w:r>
      <w:r>
        <w:rPr>
          <w:rFonts w:ascii="Arial" w:hAnsi="Arial" w:cs="Arial"/>
        </w:rPr>
        <w:t xml:space="preserve"> </w:t>
      </w:r>
      <w:r w:rsidRPr="00B70733">
        <w:rPr>
          <w:rFonts w:ascii="Arial" w:hAnsi="Arial" w:cs="Arial"/>
        </w:rPr>
        <w:t xml:space="preserve">communicating via </w:t>
      </w:r>
      <w:proofErr w:type="gramStart"/>
      <w:r w:rsidRPr="00B70733">
        <w:rPr>
          <w:rFonts w:ascii="Arial" w:hAnsi="Arial" w:cs="Arial"/>
        </w:rPr>
        <w:t>email</w:t>
      </w:r>
      <w:proofErr w:type="gramEnd"/>
      <w:r w:rsidRPr="00B70733">
        <w:rPr>
          <w:rFonts w:ascii="Arial" w:hAnsi="Arial" w:cs="Arial"/>
        </w:rPr>
        <w:t xml:space="preserve"> and phone.</w:t>
      </w:r>
    </w:p>
    <w:p w:rsidR="00B70733" w:rsidRPr="00B70733" w:rsidRDefault="00B70733" w:rsidP="00B70733">
      <w:pPr>
        <w:spacing w:before="120" w:after="120" w:line="280" w:lineRule="exact"/>
        <w:rPr>
          <w:rFonts w:ascii="Arial" w:hAnsi="Arial" w:cs="Arial"/>
        </w:rPr>
      </w:pPr>
      <w:r w:rsidRPr="00B70733">
        <w:rPr>
          <w:rFonts w:ascii="Arial" w:hAnsi="Arial" w:cs="Arial"/>
        </w:rPr>
        <w:t>A consumer advisory group provides a formal</w:t>
      </w:r>
      <w:r>
        <w:rPr>
          <w:rFonts w:ascii="Arial" w:hAnsi="Arial" w:cs="Arial"/>
        </w:rPr>
        <w:t xml:space="preserve"> </w:t>
      </w:r>
      <w:r w:rsidRPr="00B70733">
        <w:rPr>
          <w:rFonts w:ascii="Arial" w:hAnsi="Arial" w:cs="Arial"/>
        </w:rPr>
        <w:t>structure for seeking consumer views on</w:t>
      </w:r>
      <w:r>
        <w:rPr>
          <w:rFonts w:ascii="Arial" w:hAnsi="Arial" w:cs="Arial"/>
        </w:rPr>
        <w:t xml:space="preserve"> </w:t>
      </w:r>
      <w:r w:rsidRPr="00B70733">
        <w:rPr>
          <w:rFonts w:ascii="Arial" w:hAnsi="Arial" w:cs="Arial"/>
        </w:rPr>
        <w:t>organisational issues. As it is a more formal</w:t>
      </w:r>
      <w:r>
        <w:rPr>
          <w:rFonts w:ascii="Arial" w:hAnsi="Arial" w:cs="Arial"/>
        </w:rPr>
        <w:t xml:space="preserve"> </w:t>
      </w:r>
      <w:r w:rsidRPr="00B70733">
        <w:rPr>
          <w:rFonts w:ascii="Arial" w:hAnsi="Arial" w:cs="Arial"/>
        </w:rPr>
        <w:t>approach to consumer engagement, it does</w:t>
      </w:r>
      <w:r>
        <w:rPr>
          <w:rFonts w:ascii="Arial" w:hAnsi="Arial" w:cs="Arial"/>
        </w:rPr>
        <w:t xml:space="preserve"> </w:t>
      </w:r>
      <w:r w:rsidRPr="00B70733">
        <w:rPr>
          <w:rFonts w:ascii="Arial" w:hAnsi="Arial" w:cs="Arial"/>
        </w:rPr>
        <w:t>require planning and ongoing support.</w:t>
      </w:r>
      <w:r>
        <w:rPr>
          <w:rFonts w:ascii="Arial" w:hAnsi="Arial" w:cs="Arial"/>
        </w:rPr>
        <w:t xml:space="preserve"> </w:t>
      </w:r>
      <w:r w:rsidRPr="00B70733">
        <w:rPr>
          <w:rFonts w:ascii="Arial" w:hAnsi="Arial" w:cs="Arial"/>
        </w:rPr>
        <w:t xml:space="preserve">A formal recruitment process </w:t>
      </w:r>
      <w:proofErr w:type="gramStart"/>
      <w:r w:rsidRPr="00B70733">
        <w:rPr>
          <w:rFonts w:ascii="Arial" w:hAnsi="Arial" w:cs="Arial"/>
        </w:rPr>
        <w:t>may be</w:t>
      </w:r>
      <w:r>
        <w:rPr>
          <w:rFonts w:ascii="Arial" w:hAnsi="Arial" w:cs="Arial"/>
        </w:rPr>
        <w:t xml:space="preserve"> </w:t>
      </w:r>
      <w:r w:rsidRPr="00B70733">
        <w:rPr>
          <w:rFonts w:ascii="Arial" w:hAnsi="Arial" w:cs="Arial"/>
        </w:rPr>
        <w:t>needed</w:t>
      </w:r>
      <w:proofErr w:type="gramEnd"/>
      <w:r>
        <w:rPr>
          <w:rFonts w:ascii="Arial" w:hAnsi="Arial" w:cs="Arial"/>
        </w:rPr>
        <w:t xml:space="preserve"> </w:t>
      </w:r>
      <w:r w:rsidRPr="00B70733">
        <w:rPr>
          <w:rFonts w:ascii="Arial" w:hAnsi="Arial" w:cs="Arial"/>
        </w:rPr>
        <w:t>to select consumers who represent your target</w:t>
      </w:r>
      <w:r>
        <w:rPr>
          <w:rFonts w:ascii="Arial" w:hAnsi="Arial" w:cs="Arial"/>
        </w:rPr>
        <w:t xml:space="preserve"> </w:t>
      </w:r>
      <w:r w:rsidRPr="00B70733">
        <w:rPr>
          <w:rFonts w:ascii="Arial" w:hAnsi="Arial" w:cs="Arial"/>
        </w:rPr>
        <w:t>audience, and members of the group would</w:t>
      </w:r>
      <w:r>
        <w:rPr>
          <w:rFonts w:ascii="Arial" w:hAnsi="Arial" w:cs="Arial"/>
        </w:rPr>
        <w:t xml:space="preserve"> </w:t>
      </w:r>
      <w:r w:rsidRPr="00B70733">
        <w:rPr>
          <w:rFonts w:ascii="Arial" w:hAnsi="Arial" w:cs="Arial"/>
        </w:rPr>
        <w:t>need to be supported to participate and attend</w:t>
      </w:r>
      <w:r>
        <w:rPr>
          <w:rFonts w:ascii="Arial" w:hAnsi="Arial" w:cs="Arial"/>
        </w:rPr>
        <w:t xml:space="preserve"> </w:t>
      </w:r>
      <w:r w:rsidRPr="00B70733">
        <w:rPr>
          <w:rFonts w:ascii="Arial" w:hAnsi="Arial" w:cs="Arial"/>
        </w:rPr>
        <w:t>meetings.</w:t>
      </w:r>
    </w:p>
    <w:p w:rsidR="00D50BB5" w:rsidRDefault="00B70733" w:rsidP="00B70733">
      <w:pPr>
        <w:spacing w:before="120" w:after="120" w:line="280" w:lineRule="exact"/>
        <w:rPr>
          <w:rFonts w:ascii="Arial" w:hAnsi="Arial" w:cs="Arial"/>
          <w:lang w:val="en-US"/>
        </w:rPr>
      </w:pPr>
      <w:r w:rsidRPr="00B70733">
        <w:rPr>
          <w:rFonts w:ascii="Arial" w:hAnsi="Arial" w:cs="Arial"/>
        </w:rPr>
        <w:t>A consumer advisory group offers an ongoing</w:t>
      </w:r>
      <w:r>
        <w:rPr>
          <w:rFonts w:ascii="Arial" w:hAnsi="Arial" w:cs="Arial"/>
        </w:rPr>
        <w:t xml:space="preserve"> </w:t>
      </w:r>
      <w:r w:rsidRPr="00B70733">
        <w:rPr>
          <w:rFonts w:ascii="Arial" w:hAnsi="Arial" w:cs="Arial"/>
        </w:rPr>
        <w:t>mechanism for gathering feedback and, like</w:t>
      </w:r>
      <w:r>
        <w:rPr>
          <w:rFonts w:ascii="Arial" w:hAnsi="Arial" w:cs="Arial"/>
        </w:rPr>
        <w:t xml:space="preserve"> </w:t>
      </w:r>
      <w:r w:rsidRPr="00B70733">
        <w:rPr>
          <w:rFonts w:ascii="Arial" w:hAnsi="Arial" w:cs="Arial"/>
        </w:rPr>
        <w:t>a focus group, can be a means for obtaining</w:t>
      </w:r>
      <w:r>
        <w:rPr>
          <w:rFonts w:ascii="Arial" w:hAnsi="Arial" w:cs="Arial"/>
        </w:rPr>
        <w:t xml:space="preserve"> </w:t>
      </w:r>
      <w:r w:rsidRPr="00B70733">
        <w:rPr>
          <w:rFonts w:ascii="Arial" w:hAnsi="Arial" w:cs="Arial"/>
        </w:rPr>
        <w:t>feedback from consumers about other aspects</w:t>
      </w:r>
      <w:r>
        <w:rPr>
          <w:rFonts w:ascii="Arial" w:hAnsi="Arial" w:cs="Arial"/>
        </w:rPr>
        <w:t xml:space="preserve"> </w:t>
      </w:r>
      <w:r w:rsidRPr="00B70733">
        <w:rPr>
          <w:rFonts w:ascii="Arial" w:hAnsi="Arial" w:cs="Arial"/>
        </w:rPr>
        <w:t>of care.</w:t>
      </w:r>
    </w:p>
    <w:p w:rsidR="00D50BB5" w:rsidRPr="00D50BB5" w:rsidRDefault="00D50BB5" w:rsidP="00D50BB5">
      <w:pPr>
        <w:pStyle w:val="NormalWeb"/>
        <w:keepNext/>
        <w:keepLines/>
        <w:spacing w:before="120" w:beforeAutospacing="0" w:after="120" w:afterAutospacing="0" w:line="280" w:lineRule="exact"/>
        <w:rPr>
          <w:rFonts w:ascii="Arial" w:hAnsi="Arial" w:cs="Arial"/>
          <w:b/>
          <w:i/>
          <w:color w:val="4F81BD"/>
        </w:rPr>
      </w:pPr>
      <w:r w:rsidRPr="00D50BB5">
        <w:rPr>
          <w:rFonts w:ascii="Arial" w:hAnsi="Arial" w:cs="Arial"/>
          <w:b/>
          <w:i/>
          <w:color w:val="4F81BD"/>
        </w:rPr>
        <w:lastRenderedPageBreak/>
        <w:t>A consumer virtual panel</w:t>
      </w:r>
    </w:p>
    <w:p w:rsidR="00D50BB5" w:rsidRDefault="00D50BB5" w:rsidP="00C16911">
      <w:pPr>
        <w:spacing w:before="120" w:after="120" w:line="280" w:lineRule="exact"/>
        <w:rPr>
          <w:rFonts w:ascii="Arial" w:hAnsi="Arial" w:cs="Arial"/>
          <w:lang w:val="en-US"/>
        </w:rPr>
      </w:pPr>
      <w:r>
        <w:rPr>
          <w:rFonts w:ascii="Arial" w:hAnsi="Arial" w:cs="Arial"/>
          <w:lang w:val="en-US"/>
        </w:rPr>
        <w:t xml:space="preserve">An alternative to a formal consumer advisory group could be to convene a virtual advisory panel of consumers. A virtual advisory panel can </w:t>
      </w:r>
      <w:r w:rsidR="00951EA4">
        <w:rPr>
          <w:rFonts w:ascii="Arial" w:hAnsi="Arial" w:cs="Arial"/>
          <w:lang w:val="en-US"/>
        </w:rPr>
        <w:t>involve</w:t>
      </w:r>
      <w:r>
        <w:rPr>
          <w:rFonts w:ascii="Arial" w:hAnsi="Arial" w:cs="Arial"/>
          <w:lang w:val="en-US"/>
        </w:rPr>
        <w:t xml:space="preserve"> a larger number of consumers than a conventional advisory group</w:t>
      </w:r>
      <w:r w:rsidR="00A6241A">
        <w:rPr>
          <w:rFonts w:ascii="Arial" w:hAnsi="Arial" w:cs="Arial"/>
          <w:lang w:val="en-US"/>
        </w:rPr>
        <w:t>, as there is no requirement to meet face to face and the majority of communication is undertaken via email and electronic surveys</w:t>
      </w:r>
      <w:r>
        <w:rPr>
          <w:rFonts w:ascii="Arial" w:hAnsi="Arial" w:cs="Arial"/>
          <w:lang w:val="en-US"/>
        </w:rPr>
        <w:t>.</w:t>
      </w:r>
    </w:p>
    <w:p w:rsidR="00D50BB5" w:rsidRDefault="00A6241A" w:rsidP="00C16911">
      <w:pPr>
        <w:spacing w:before="120" w:after="120" w:line="280" w:lineRule="exact"/>
        <w:rPr>
          <w:rFonts w:ascii="Arial" w:hAnsi="Arial" w:cs="Arial"/>
          <w:lang w:val="en-US"/>
        </w:rPr>
      </w:pPr>
      <w:r>
        <w:rPr>
          <w:rFonts w:ascii="Arial" w:hAnsi="Arial" w:cs="Arial"/>
          <w:lang w:val="en-US"/>
        </w:rPr>
        <w:t>An invitation could be extended</w:t>
      </w:r>
      <w:r w:rsidR="00D50BB5">
        <w:rPr>
          <w:rFonts w:ascii="Arial" w:hAnsi="Arial" w:cs="Arial"/>
          <w:lang w:val="en-US"/>
        </w:rPr>
        <w:t xml:space="preserve"> to every consumer who used your services to participate in </w:t>
      </w:r>
      <w:r>
        <w:rPr>
          <w:rFonts w:ascii="Arial" w:hAnsi="Arial" w:cs="Arial"/>
          <w:lang w:val="en-US"/>
        </w:rPr>
        <w:t xml:space="preserve">a </w:t>
      </w:r>
      <w:r w:rsidR="00211455">
        <w:rPr>
          <w:rFonts w:ascii="Arial" w:hAnsi="Arial" w:cs="Arial"/>
          <w:lang w:val="en-US"/>
        </w:rPr>
        <w:t>virtual</w:t>
      </w:r>
      <w:r w:rsidR="00D50BB5">
        <w:rPr>
          <w:rFonts w:ascii="Arial" w:hAnsi="Arial" w:cs="Arial"/>
          <w:lang w:val="en-US"/>
        </w:rPr>
        <w:t xml:space="preserve"> advisory panel</w:t>
      </w:r>
      <w:r>
        <w:rPr>
          <w:rFonts w:ascii="Arial" w:hAnsi="Arial" w:cs="Arial"/>
          <w:lang w:val="en-US"/>
        </w:rPr>
        <w:t>. A register of interest could be established detailing participants contact details and any particular areas of interest</w:t>
      </w:r>
      <w:r w:rsidR="00D50BB5">
        <w:rPr>
          <w:rFonts w:ascii="Arial" w:hAnsi="Arial" w:cs="Arial"/>
          <w:lang w:val="en-US"/>
        </w:rPr>
        <w:t xml:space="preserve"> </w:t>
      </w:r>
    </w:p>
    <w:p w:rsidR="00A6241A" w:rsidRDefault="00D50BB5" w:rsidP="00C16911">
      <w:pPr>
        <w:spacing w:before="120" w:after="120" w:line="280" w:lineRule="exact"/>
        <w:rPr>
          <w:rFonts w:ascii="Arial" w:hAnsi="Arial" w:cs="Arial"/>
          <w:lang w:val="en-US"/>
        </w:rPr>
      </w:pPr>
      <w:r>
        <w:rPr>
          <w:rFonts w:ascii="Arial" w:hAnsi="Arial" w:cs="Arial"/>
          <w:lang w:val="en-US"/>
        </w:rPr>
        <w:t>When feedback</w:t>
      </w:r>
      <w:r w:rsidR="00A6241A">
        <w:rPr>
          <w:rFonts w:ascii="Arial" w:hAnsi="Arial" w:cs="Arial"/>
          <w:lang w:val="en-US"/>
        </w:rPr>
        <w:t xml:space="preserve">, input or consumer views are needed </w:t>
      </w:r>
      <w:r>
        <w:rPr>
          <w:rFonts w:ascii="Arial" w:hAnsi="Arial" w:cs="Arial"/>
          <w:lang w:val="en-US"/>
        </w:rPr>
        <w:t>on a particular issue or topic</w:t>
      </w:r>
      <w:r w:rsidR="00A6241A">
        <w:rPr>
          <w:rFonts w:ascii="Arial" w:hAnsi="Arial" w:cs="Arial"/>
          <w:lang w:val="en-US"/>
        </w:rPr>
        <w:t xml:space="preserve"> either the entire panel or members who have indicated an </w:t>
      </w:r>
      <w:r w:rsidR="00211455">
        <w:rPr>
          <w:rFonts w:ascii="Arial" w:hAnsi="Arial" w:cs="Arial"/>
          <w:lang w:val="en-US"/>
        </w:rPr>
        <w:t>interests</w:t>
      </w:r>
      <w:r w:rsidR="00A6241A">
        <w:rPr>
          <w:rFonts w:ascii="Arial" w:hAnsi="Arial" w:cs="Arial"/>
          <w:lang w:val="en-US"/>
        </w:rPr>
        <w:t xml:space="preserve"> in the issue could be emailed with a request.</w:t>
      </w:r>
      <w:r>
        <w:rPr>
          <w:rFonts w:ascii="Arial" w:hAnsi="Arial" w:cs="Arial"/>
          <w:lang w:val="en-US"/>
        </w:rPr>
        <w:t xml:space="preserve"> </w:t>
      </w:r>
      <w:r w:rsidR="00A6241A">
        <w:rPr>
          <w:rFonts w:ascii="Arial" w:hAnsi="Arial" w:cs="Arial"/>
          <w:lang w:val="en-US"/>
        </w:rPr>
        <w:t>R</w:t>
      </w:r>
      <w:r>
        <w:rPr>
          <w:rFonts w:ascii="Arial" w:hAnsi="Arial" w:cs="Arial"/>
          <w:lang w:val="en-US"/>
        </w:rPr>
        <w:t>equest</w:t>
      </w:r>
      <w:r w:rsidR="00A6241A">
        <w:rPr>
          <w:rFonts w:ascii="Arial" w:hAnsi="Arial" w:cs="Arial"/>
          <w:lang w:val="en-US"/>
        </w:rPr>
        <w:t xml:space="preserve">s for input could be informal </w:t>
      </w:r>
      <w:r>
        <w:rPr>
          <w:rFonts w:ascii="Arial" w:hAnsi="Arial" w:cs="Arial"/>
          <w:lang w:val="en-US"/>
        </w:rPr>
        <w:t xml:space="preserve">free form feedback, or </w:t>
      </w:r>
      <w:r w:rsidR="00A6241A">
        <w:rPr>
          <w:rFonts w:ascii="Arial" w:hAnsi="Arial" w:cs="Arial"/>
          <w:lang w:val="en-US"/>
        </w:rPr>
        <w:t xml:space="preserve">a survey could be prepared </w:t>
      </w:r>
      <w:r>
        <w:rPr>
          <w:rFonts w:ascii="Arial" w:hAnsi="Arial" w:cs="Arial"/>
          <w:lang w:val="en-US"/>
        </w:rPr>
        <w:t xml:space="preserve">seeking specific feedback. </w:t>
      </w:r>
    </w:p>
    <w:p w:rsidR="00D50BB5" w:rsidRDefault="00D50BB5" w:rsidP="00C16911">
      <w:pPr>
        <w:spacing w:before="120" w:after="120" w:line="280" w:lineRule="exact"/>
        <w:rPr>
          <w:rFonts w:ascii="Arial" w:hAnsi="Arial" w:cs="Arial"/>
          <w:lang w:val="en-US"/>
        </w:rPr>
      </w:pPr>
      <w:r>
        <w:rPr>
          <w:rFonts w:ascii="Arial" w:hAnsi="Arial" w:cs="Arial"/>
          <w:lang w:val="en-US"/>
        </w:rPr>
        <w:t xml:space="preserve">Members who had an interest and capacity could respond to </w:t>
      </w:r>
      <w:r w:rsidR="00A6241A">
        <w:rPr>
          <w:rFonts w:ascii="Arial" w:hAnsi="Arial" w:cs="Arial"/>
          <w:lang w:val="en-US"/>
        </w:rPr>
        <w:t>the</w:t>
      </w:r>
      <w:r>
        <w:rPr>
          <w:rFonts w:ascii="Arial" w:hAnsi="Arial" w:cs="Arial"/>
          <w:lang w:val="en-US"/>
        </w:rPr>
        <w:t xml:space="preserve"> request. </w:t>
      </w:r>
      <w:r w:rsidR="00A6241A">
        <w:rPr>
          <w:rFonts w:ascii="Arial" w:hAnsi="Arial" w:cs="Arial"/>
          <w:lang w:val="en-US"/>
        </w:rPr>
        <w:t xml:space="preserve">Feedback would then be </w:t>
      </w:r>
      <w:proofErr w:type="spellStart"/>
      <w:r w:rsidR="00A6241A">
        <w:rPr>
          <w:rFonts w:ascii="Arial" w:hAnsi="Arial" w:cs="Arial"/>
          <w:lang w:val="en-US"/>
        </w:rPr>
        <w:t>summarised</w:t>
      </w:r>
      <w:proofErr w:type="spellEnd"/>
      <w:r>
        <w:rPr>
          <w:rFonts w:ascii="Arial" w:hAnsi="Arial" w:cs="Arial"/>
          <w:lang w:val="en-US"/>
        </w:rPr>
        <w:t xml:space="preserve"> and report </w:t>
      </w:r>
      <w:r w:rsidR="00A6241A">
        <w:rPr>
          <w:rFonts w:ascii="Arial" w:hAnsi="Arial" w:cs="Arial"/>
          <w:lang w:val="en-US"/>
        </w:rPr>
        <w:t xml:space="preserve">provided </w:t>
      </w:r>
      <w:r>
        <w:rPr>
          <w:rFonts w:ascii="Arial" w:hAnsi="Arial" w:cs="Arial"/>
          <w:lang w:val="en-US"/>
        </w:rPr>
        <w:t xml:space="preserve">back to the </w:t>
      </w:r>
      <w:r w:rsidR="00A6241A">
        <w:rPr>
          <w:rFonts w:ascii="Arial" w:hAnsi="Arial" w:cs="Arial"/>
          <w:lang w:val="en-US"/>
        </w:rPr>
        <w:t>panel</w:t>
      </w:r>
      <w:r>
        <w:rPr>
          <w:rFonts w:ascii="Arial" w:hAnsi="Arial" w:cs="Arial"/>
          <w:lang w:val="en-US"/>
        </w:rPr>
        <w:t xml:space="preserve"> outlining the findings of the request and the action that would be taken.</w:t>
      </w:r>
    </w:p>
    <w:p w:rsidR="00E00421" w:rsidRDefault="00E00421">
      <w:pPr>
        <w:spacing w:after="200" w:line="276" w:lineRule="auto"/>
        <w:rPr>
          <w:rFonts w:ascii="Arial" w:hAnsi="Arial" w:cs="Arial"/>
          <w:lang w:val="en-US"/>
        </w:rPr>
      </w:pPr>
      <w:r>
        <w:rPr>
          <w:rFonts w:ascii="Arial" w:hAnsi="Arial" w:cs="Arial"/>
          <w:lang w:val="en-US"/>
        </w:rPr>
        <w:br w:type="page"/>
      </w:r>
    </w:p>
    <w:p w:rsidR="00285A18" w:rsidRDefault="00285A18" w:rsidP="00C16911">
      <w:pPr>
        <w:spacing w:before="120" w:after="120" w:line="280" w:lineRule="exact"/>
        <w:rPr>
          <w:rFonts w:ascii="Arial" w:hAnsi="Arial" w:cs="Arial"/>
          <w:lang w:val="en-US"/>
        </w:rPr>
      </w:pPr>
    </w:p>
    <w:p w:rsidR="003C7932" w:rsidRPr="00285A18" w:rsidRDefault="003C7932" w:rsidP="00285A18">
      <w:pPr>
        <w:pStyle w:val="Heading3"/>
        <w:keepLines/>
        <w:pBdr>
          <w:top w:val="single" w:sz="4" w:space="1" w:color="auto"/>
          <w:left w:val="single" w:sz="4" w:space="4" w:color="auto"/>
          <w:bottom w:val="single" w:sz="4" w:space="1" w:color="auto"/>
          <w:right w:val="single" w:sz="4" w:space="4" w:color="auto"/>
        </w:pBdr>
        <w:spacing w:before="120" w:after="120" w:line="280" w:lineRule="exact"/>
        <w:rPr>
          <w:color w:val="4F81BD"/>
          <w:sz w:val="28"/>
          <w:szCs w:val="28"/>
          <w:lang w:val="en-US"/>
        </w:rPr>
      </w:pPr>
      <w:r w:rsidRPr="00285A18">
        <w:rPr>
          <w:color w:val="4F81BD"/>
          <w:sz w:val="28"/>
          <w:szCs w:val="28"/>
          <w:lang w:val="en-US"/>
        </w:rPr>
        <w:t>What do you do with the feedback you get?</w:t>
      </w:r>
    </w:p>
    <w:p w:rsidR="00B70733" w:rsidRPr="00B70733" w:rsidRDefault="00B70733" w:rsidP="00B70733">
      <w:pPr>
        <w:pBdr>
          <w:top w:val="single" w:sz="4" w:space="1" w:color="auto"/>
          <w:left w:val="single" w:sz="4" w:space="4" w:color="auto"/>
          <w:bottom w:val="single" w:sz="4" w:space="1" w:color="auto"/>
          <w:right w:val="single" w:sz="4" w:space="4" w:color="auto"/>
        </w:pBdr>
        <w:spacing w:before="120" w:after="120" w:line="280" w:lineRule="exact"/>
        <w:rPr>
          <w:rFonts w:ascii="Arial" w:hAnsi="Arial" w:cs="Arial"/>
        </w:rPr>
      </w:pPr>
      <w:r w:rsidRPr="00B70733">
        <w:rPr>
          <w:rFonts w:ascii="Arial" w:hAnsi="Arial" w:cs="Arial"/>
        </w:rPr>
        <w:t>Once you have received feedback from consumers about your publications (or any other part of</w:t>
      </w:r>
      <w:r>
        <w:rPr>
          <w:rFonts w:ascii="Arial" w:hAnsi="Arial" w:cs="Arial"/>
        </w:rPr>
        <w:t xml:space="preserve"> </w:t>
      </w:r>
      <w:r w:rsidRPr="00B70733">
        <w:rPr>
          <w:rFonts w:ascii="Arial" w:hAnsi="Arial" w:cs="Arial"/>
        </w:rPr>
        <w:t>your day procedure service) then you should integrate that feedback into your ongoing quality</w:t>
      </w:r>
      <w:r>
        <w:rPr>
          <w:rFonts w:ascii="Arial" w:hAnsi="Arial" w:cs="Arial"/>
        </w:rPr>
        <w:t xml:space="preserve"> </w:t>
      </w:r>
      <w:r w:rsidRPr="00B70733">
        <w:rPr>
          <w:rFonts w:ascii="Arial" w:hAnsi="Arial" w:cs="Arial"/>
        </w:rPr>
        <w:t>improvement process.</w:t>
      </w:r>
    </w:p>
    <w:p w:rsidR="00B70733" w:rsidRPr="00B70733" w:rsidRDefault="00B70733" w:rsidP="00B70733">
      <w:pPr>
        <w:pBdr>
          <w:top w:val="single" w:sz="4" w:space="1" w:color="auto"/>
          <w:left w:val="single" w:sz="4" w:space="4" w:color="auto"/>
          <w:bottom w:val="single" w:sz="4" w:space="1" w:color="auto"/>
          <w:right w:val="single" w:sz="4" w:space="4" w:color="auto"/>
        </w:pBdr>
        <w:spacing w:before="120" w:after="120" w:line="280" w:lineRule="exact"/>
        <w:rPr>
          <w:rFonts w:ascii="Arial" w:hAnsi="Arial" w:cs="Arial"/>
        </w:rPr>
      </w:pPr>
      <w:r w:rsidRPr="00B70733">
        <w:rPr>
          <w:rFonts w:ascii="Arial" w:hAnsi="Arial" w:cs="Arial"/>
        </w:rPr>
        <w:t>You should record the information provided, analyse the comments, identify where changes can be</w:t>
      </w:r>
      <w:r>
        <w:rPr>
          <w:rFonts w:ascii="Arial" w:hAnsi="Arial" w:cs="Arial"/>
        </w:rPr>
        <w:t xml:space="preserve"> </w:t>
      </w:r>
      <w:r w:rsidRPr="00B70733">
        <w:rPr>
          <w:rFonts w:ascii="Arial" w:hAnsi="Arial" w:cs="Arial"/>
        </w:rPr>
        <w:t>made and make those changes. Once you have made the changes you should let your consumers</w:t>
      </w:r>
      <w:r>
        <w:rPr>
          <w:rFonts w:ascii="Arial" w:hAnsi="Arial" w:cs="Arial"/>
        </w:rPr>
        <w:t xml:space="preserve"> </w:t>
      </w:r>
      <w:r w:rsidRPr="00B70733">
        <w:rPr>
          <w:rFonts w:ascii="Arial" w:hAnsi="Arial" w:cs="Arial"/>
        </w:rPr>
        <w:t>know what you have done in response to their feedback.</w:t>
      </w:r>
    </w:p>
    <w:p w:rsidR="00951EA4" w:rsidRDefault="00B70733" w:rsidP="00B70733">
      <w:pPr>
        <w:pBdr>
          <w:top w:val="single" w:sz="4" w:space="1" w:color="auto"/>
          <w:left w:val="single" w:sz="4" w:space="4" w:color="auto"/>
          <w:bottom w:val="single" w:sz="4" w:space="1" w:color="auto"/>
          <w:right w:val="single" w:sz="4" w:space="4" w:color="auto"/>
        </w:pBdr>
        <w:spacing w:before="120" w:after="120" w:line="280" w:lineRule="exact"/>
        <w:rPr>
          <w:rFonts w:ascii="Arial" w:hAnsi="Arial" w:cs="Arial"/>
          <w:lang w:val="en-US"/>
        </w:rPr>
      </w:pPr>
      <w:r w:rsidRPr="00B70733">
        <w:rPr>
          <w:rFonts w:ascii="Arial" w:hAnsi="Arial" w:cs="Arial"/>
        </w:rPr>
        <w:t>Getting feedback from consumers on your publications or any other aspect of your service is a</w:t>
      </w:r>
      <w:r>
        <w:rPr>
          <w:rFonts w:ascii="Arial" w:hAnsi="Arial" w:cs="Arial"/>
        </w:rPr>
        <w:t xml:space="preserve"> </w:t>
      </w:r>
      <w:r w:rsidRPr="00B70733">
        <w:rPr>
          <w:rFonts w:ascii="Arial" w:hAnsi="Arial" w:cs="Arial"/>
        </w:rPr>
        <w:t>quality improvement project. Consequently, your actions should mimic the stages of a quality</w:t>
      </w:r>
      <w:r>
        <w:rPr>
          <w:rFonts w:ascii="Arial" w:hAnsi="Arial" w:cs="Arial"/>
        </w:rPr>
        <w:t xml:space="preserve"> </w:t>
      </w:r>
      <w:r w:rsidRPr="00B70733">
        <w:rPr>
          <w:rFonts w:ascii="Arial" w:hAnsi="Arial" w:cs="Arial"/>
        </w:rPr>
        <w:t>improvement cycle, just on a smaller scale.</w:t>
      </w:r>
    </w:p>
    <w:p w:rsidR="003C7932" w:rsidRPr="00285A18" w:rsidRDefault="003C7932" w:rsidP="00285A18">
      <w:pPr>
        <w:pBdr>
          <w:top w:val="single" w:sz="4" w:space="1" w:color="auto"/>
          <w:left w:val="single" w:sz="4" w:space="4" w:color="auto"/>
          <w:bottom w:val="single" w:sz="4" w:space="1" w:color="auto"/>
          <w:right w:val="single" w:sz="4" w:space="4" w:color="auto"/>
        </w:pBdr>
        <w:spacing w:before="120" w:after="120" w:line="280" w:lineRule="exact"/>
        <w:rPr>
          <w:rFonts w:ascii="Arial" w:hAnsi="Arial" w:cs="Arial"/>
          <w:u w:val="single"/>
          <w:lang w:val="en-US"/>
        </w:rPr>
      </w:pPr>
      <w:r w:rsidRPr="00285A18">
        <w:rPr>
          <w:rFonts w:ascii="Arial" w:hAnsi="Arial" w:cs="Arial"/>
          <w:u w:val="single"/>
          <w:lang w:val="en-US"/>
        </w:rPr>
        <w:t>Figure 1: Plan, do, check, act quality improvement cycle</w:t>
      </w:r>
    </w:p>
    <w:p w:rsidR="00356E70" w:rsidRPr="00AC61C3" w:rsidRDefault="00356E70" w:rsidP="00285A18">
      <w:pPr>
        <w:pBdr>
          <w:top w:val="single" w:sz="4" w:space="1" w:color="auto"/>
          <w:left w:val="single" w:sz="4" w:space="4" w:color="auto"/>
          <w:bottom w:val="single" w:sz="4" w:space="1" w:color="auto"/>
          <w:right w:val="single" w:sz="4" w:space="4" w:color="auto"/>
        </w:pBdr>
        <w:spacing w:before="120" w:after="120" w:line="280" w:lineRule="exact"/>
        <w:rPr>
          <w:rFonts w:ascii="Arial" w:hAnsi="Arial" w:cs="Arial"/>
          <w:lang w:val="en-US"/>
        </w:rPr>
      </w:pPr>
    </w:p>
    <w:p w:rsidR="00211455" w:rsidRDefault="003C7932" w:rsidP="00356E70">
      <w:pPr>
        <w:pBdr>
          <w:top w:val="single" w:sz="4" w:space="1" w:color="auto"/>
          <w:left w:val="single" w:sz="4" w:space="4" w:color="auto"/>
          <w:bottom w:val="single" w:sz="4" w:space="1" w:color="auto"/>
          <w:right w:val="single" w:sz="4" w:space="4" w:color="auto"/>
        </w:pBdr>
        <w:spacing w:after="200" w:line="276" w:lineRule="auto"/>
        <w:rPr>
          <w:rFonts w:ascii="Arial" w:hAnsi="Arial" w:cs="Arial"/>
          <w:b/>
          <w:bCs/>
          <w:color w:val="336699"/>
          <w:sz w:val="28"/>
          <w:szCs w:val="28"/>
          <w:lang w:val="en-US"/>
        </w:rPr>
      </w:pPr>
      <w:r>
        <w:rPr>
          <w:rFonts w:ascii="Arial" w:hAnsi="Arial" w:cs="Arial"/>
          <w:b/>
          <w:bCs/>
          <w:noProof/>
          <w:color w:val="336699"/>
          <w:sz w:val="28"/>
          <w:szCs w:val="28"/>
        </w:rPr>
        <w:drawing>
          <wp:inline distT="0" distB="0" distL="0" distR="0" wp14:anchorId="13495625" wp14:editId="7F7A8827">
            <wp:extent cx="5486400" cy="3200400"/>
            <wp:effectExtent l="0" t="1905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85A18" w:rsidRDefault="00285A18" w:rsidP="00356E70">
      <w:pPr>
        <w:pBdr>
          <w:top w:val="single" w:sz="4" w:space="1" w:color="auto"/>
          <w:left w:val="single" w:sz="4" w:space="4" w:color="auto"/>
          <w:bottom w:val="single" w:sz="4" w:space="1" w:color="auto"/>
          <w:right w:val="single" w:sz="4" w:space="4" w:color="auto"/>
        </w:pBdr>
        <w:spacing w:after="200" w:line="276" w:lineRule="auto"/>
        <w:rPr>
          <w:rFonts w:ascii="Arial" w:hAnsi="Arial" w:cs="Arial"/>
          <w:b/>
          <w:bCs/>
          <w:color w:val="336699"/>
          <w:sz w:val="28"/>
          <w:szCs w:val="28"/>
          <w:lang w:val="en-US"/>
        </w:rPr>
      </w:pPr>
    </w:p>
    <w:p w:rsidR="003C7932" w:rsidRDefault="003C7932">
      <w:pPr>
        <w:spacing w:after="200" w:line="276" w:lineRule="auto"/>
        <w:rPr>
          <w:color w:val="336699"/>
          <w:sz w:val="28"/>
          <w:szCs w:val="28"/>
          <w:lang w:val="en-US"/>
        </w:rPr>
      </w:pPr>
    </w:p>
    <w:p w:rsidR="00C67307" w:rsidRPr="003D6F21" w:rsidRDefault="00C67307" w:rsidP="00C67307">
      <w:pPr>
        <w:pStyle w:val="Heading3"/>
        <w:rPr>
          <w:color w:val="548DD4" w:themeColor="text2" w:themeTint="99"/>
          <w:sz w:val="28"/>
          <w:lang w:val="en-US"/>
        </w:rPr>
      </w:pPr>
      <w:r w:rsidRPr="003D6F21">
        <w:rPr>
          <w:color w:val="548DD4" w:themeColor="text2" w:themeTint="99"/>
          <w:sz w:val="28"/>
          <w:lang w:val="en-US"/>
        </w:rPr>
        <w:t>What hat is the consumer wearing?</w:t>
      </w:r>
    </w:p>
    <w:p w:rsidR="003C7932" w:rsidRPr="00C67307" w:rsidRDefault="00C67307" w:rsidP="00C67307">
      <w:pPr>
        <w:rPr>
          <w:rFonts w:eastAsiaTheme="minorHAnsi"/>
          <w:lang w:eastAsia="en-US"/>
        </w:rPr>
      </w:pPr>
      <w:r w:rsidRPr="00C67307">
        <w:rPr>
          <w:rFonts w:ascii="Arial" w:eastAsiaTheme="minorHAnsi" w:hAnsi="Arial" w:cs="Arial"/>
          <w:lang w:eastAsia="en-US"/>
        </w:rPr>
        <w:t>Any consumer who works in partnership with</w:t>
      </w:r>
      <w:r>
        <w:rPr>
          <w:rFonts w:ascii="Arial" w:eastAsiaTheme="minorHAnsi" w:hAnsi="Arial" w:cs="Arial"/>
          <w:lang w:eastAsia="en-US"/>
        </w:rPr>
        <w:t xml:space="preserve"> </w:t>
      </w:r>
      <w:r w:rsidRPr="00C67307">
        <w:rPr>
          <w:rFonts w:ascii="Arial" w:eastAsiaTheme="minorHAnsi" w:hAnsi="Arial" w:cs="Arial"/>
          <w:lang w:eastAsia="en-US"/>
        </w:rPr>
        <w:t>your organisation needs to participate in that</w:t>
      </w:r>
      <w:r>
        <w:rPr>
          <w:rFonts w:ascii="Arial" w:eastAsiaTheme="minorHAnsi" w:hAnsi="Arial" w:cs="Arial"/>
          <w:lang w:eastAsia="en-US"/>
        </w:rPr>
        <w:t xml:space="preserve"> </w:t>
      </w:r>
      <w:r w:rsidRPr="00C67307">
        <w:rPr>
          <w:rFonts w:ascii="Arial" w:eastAsiaTheme="minorHAnsi" w:hAnsi="Arial" w:cs="Arial"/>
          <w:lang w:eastAsia="en-US"/>
        </w:rPr>
        <w:t>role principally as a consumer. The consumer</w:t>
      </w:r>
      <w:r>
        <w:rPr>
          <w:rFonts w:ascii="Arial" w:eastAsiaTheme="minorHAnsi" w:hAnsi="Arial" w:cs="Arial"/>
          <w:lang w:eastAsia="en-US"/>
        </w:rPr>
        <w:t xml:space="preserve"> </w:t>
      </w:r>
      <w:r w:rsidRPr="00C67307">
        <w:rPr>
          <w:rFonts w:ascii="Arial" w:eastAsiaTheme="minorHAnsi" w:hAnsi="Arial" w:cs="Arial"/>
          <w:lang w:eastAsia="en-US"/>
        </w:rPr>
        <w:t>should not be conflicted by other roles. For</w:t>
      </w:r>
      <w:r>
        <w:rPr>
          <w:rFonts w:ascii="Arial" w:eastAsiaTheme="minorHAnsi" w:hAnsi="Arial" w:cs="Arial"/>
          <w:lang w:eastAsia="en-US"/>
        </w:rPr>
        <w:t xml:space="preserve"> </w:t>
      </w:r>
      <w:r w:rsidRPr="00C67307">
        <w:rPr>
          <w:rFonts w:ascii="Arial" w:eastAsiaTheme="minorHAnsi" w:hAnsi="Arial" w:cs="Arial"/>
          <w:lang w:eastAsia="en-US"/>
        </w:rPr>
        <w:t>example, on</w:t>
      </w:r>
      <w:r>
        <w:rPr>
          <w:rFonts w:ascii="Arial" w:eastAsiaTheme="minorHAnsi" w:hAnsi="Arial" w:cs="Arial"/>
          <w:lang w:eastAsia="en-US"/>
        </w:rPr>
        <w:t xml:space="preserve">e of your clinicians (such as a </w:t>
      </w:r>
      <w:r w:rsidRPr="00C67307">
        <w:rPr>
          <w:rFonts w:ascii="Arial" w:eastAsiaTheme="minorHAnsi" w:hAnsi="Arial" w:cs="Arial"/>
          <w:lang w:eastAsia="en-US"/>
        </w:rPr>
        <w:t>GP or a visiting medical officer) may also be</w:t>
      </w:r>
      <w:r>
        <w:rPr>
          <w:rFonts w:ascii="Arial" w:eastAsiaTheme="minorHAnsi" w:hAnsi="Arial" w:cs="Arial"/>
          <w:lang w:eastAsia="en-US"/>
        </w:rPr>
        <w:t xml:space="preserve"> </w:t>
      </w:r>
      <w:r w:rsidRPr="00C67307">
        <w:rPr>
          <w:rFonts w:ascii="Arial" w:eastAsiaTheme="minorHAnsi" w:hAnsi="Arial" w:cs="Arial"/>
          <w:lang w:eastAsia="en-US"/>
        </w:rPr>
        <w:t>a consumer of your organisation’s services</w:t>
      </w:r>
      <w:r>
        <w:rPr>
          <w:rFonts w:ascii="Arial" w:eastAsiaTheme="minorHAnsi" w:hAnsi="Arial" w:cs="Arial"/>
          <w:lang w:eastAsia="en-US"/>
        </w:rPr>
        <w:t xml:space="preserve"> </w:t>
      </w:r>
      <w:r w:rsidRPr="00C67307">
        <w:rPr>
          <w:rFonts w:ascii="Arial" w:eastAsiaTheme="minorHAnsi" w:hAnsi="Arial" w:cs="Arial"/>
          <w:lang w:eastAsia="en-US"/>
        </w:rPr>
        <w:t xml:space="preserve">however; as that is their principle </w:t>
      </w:r>
      <w:proofErr w:type="gramStart"/>
      <w:r w:rsidRPr="00C67307">
        <w:rPr>
          <w:rFonts w:ascii="Arial" w:eastAsiaTheme="minorHAnsi" w:hAnsi="Arial" w:cs="Arial"/>
          <w:lang w:eastAsia="en-US"/>
        </w:rPr>
        <w:t>role</w:t>
      </w:r>
      <w:proofErr w:type="gramEnd"/>
      <w:r w:rsidRPr="00C67307">
        <w:rPr>
          <w:rFonts w:ascii="Arial" w:eastAsiaTheme="minorHAnsi" w:hAnsi="Arial" w:cs="Arial"/>
          <w:lang w:eastAsia="en-US"/>
        </w:rPr>
        <w:t xml:space="preserve"> they</w:t>
      </w:r>
      <w:r>
        <w:rPr>
          <w:rFonts w:ascii="Arial" w:eastAsiaTheme="minorHAnsi" w:hAnsi="Arial" w:cs="Arial"/>
          <w:lang w:eastAsia="en-US"/>
        </w:rPr>
        <w:t xml:space="preserve"> </w:t>
      </w:r>
      <w:r w:rsidRPr="00C67307">
        <w:rPr>
          <w:rFonts w:ascii="Arial" w:eastAsiaTheme="minorHAnsi" w:hAnsi="Arial" w:cs="Arial"/>
          <w:lang w:eastAsia="en-US"/>
        </w:rPr>
        <w:t>canno</w:t>
      </w:r>
      <w:r w:rsidRPr="00C67307">
        <w:rPr>
          <w:rFonts w:ascii="Arial" w:eastAsiaTheme="minorHAnsi" w:hAnsi="Arial" w:cs="Arial"/>
          <w:lang w:eastAsia="en-US"/>
        </w:rPr>
        <w:t xml:space="preserve">t also be considered a consumer </w:t>
      </w:r>
      <w:r w:rsidRPr="00C67307">
        <w:rPr>
          <w:rFonts w:ascii="Arial" w:eastAsiaTheme="minorHAnsi" w:hAnsi="Arial" w:cs="Arial"/>
          <w:lang w:eastAsia="en-US"/>
        </w:rPr>
        <w:t>representative.</w:t>
      </w:r>
      <w:r w:rsidR="003C7932">
        <w:rPr>
          <w:lang w:val="en-US"/>
        </w:rPr>
        <w:br w:type="page"/>
      </w:r>
    </w:p>
    <w:p w:rsidR="00D16967" w:rsidRPr="00B65F91" w:rsidRDefault="00D16967" w:rsidP="00C16911">
      <w:pPr>
        <w:pStyle w:val="Heading3"/>
        <w:keepLines/>
        <w:spacing w:before="120" w:after="120" w:line="280" w:lineRule="exact"/>
        <w:rPr>
          <w:color w:val="336699"/>
          <w:sz w:val="28"/>
          <w:szCs w:val="28"/>
          <w:lang w:val="en-US"/>
        </w:rPr>
      </w:pPr>
      <w:r>
        <w:rPr>
          <w:color w:val="336699"/>
          <w:sz w:val="28"/>
          <w:szCs w:val="28"/>
          <w:lang w:val="en-US"/>
        </w:rPr>
        <w:lastRenderedPageBreak/>
        <w:t>Further information</w:t>
      </w:r>
    </w:p>
    <w:p w:rsidR="00536C37" w:rsidRPr="00EE03FC" w:rsidRDefault="002B1F99" w:rsidP="00EE03FC">
      <w:pPr>
        <w:pStyle w:val="NormalWeb"/>
        <w:keepNext/>
        <w:keepLines/>
        <w:spacing w:before="120" w:beforeAutospacing="0" w:after="120" w:afterAutospacing="0" w:line="280" w:lineRule="exact"/>
        <w:rPr>
          <w:rFonts w:ascii="Arial" w:hAnsi="Arial" w:cs="Arial"/>
          <w:b/>
          <w:i/>
          <w:color w:val="4F81BD"/>
        </w:rPr>
      </w:pPr>
      <w:r w:rsidRPr="00EE03FC">
        <w:rPr>
          <w:rFonts w:ascii="Arial" w:hAnsi="Arial" w:cs="Arial"/>
          <w:b/>
          <w:i/>
          <w:color w:val="4F81BD"/>
        </w:rPr>
        <w:t>T</w:t>
      </w:r>
      <w:r w:rsidR="006143A1">
        <w:rPr>
          <w:rFonts w:ascii="Arial" w:hAnsi="Arial" w:cs="Arial"/>
          <w:b/>
          <w:i/>
          <w:color w:val="4F81BD"/>
        </w:rPr>
        <w:t xml:space="preserve">oolkits with </w:t>
      </w:r>
      <w:r w:rsidR="002F6DD1">
        <w:rPr>
          <w:rFonts w:ascii="Arial" w:hAnsi="Arial" w:cs="Arial"/>
          <w:b/>
          <w:i/>
          <w:color w:val="4F81BD"/>
        </w:rPr>
        <w:t xml:space="preserve">information about </w:t>
      </w:r>
      <w:r w:rsidR="006143A1">
        <w:rPr>
          <w:rFonts w:ascii="Arial" w:hAnsi="Arial" w:cs="Arial"/>
          <w:b/>
          <w:i/>
          <w:color w:val="4F81BD"/>
        </w:rPr>
        <w:t>methods and techniq</w:t>
      </w:r>
      <w:r w:rsidRPr="00EE03FC">
        <w:rPr>
          <w:rFonts w:ascii="Arial" w:hAnsi="Arial" w:cs="Arial"/>
          <w:b/>
          <w:i/>
          <w:color w:val="4F81BD"/>
        </w:rPr>
        <w:t>ues for</w:t>
      </w:r>
      <w:r w:rsidR="00536C37" w:rsidRPr="00EE03FC">
        <w:rPr>
          <w:rFonts w:ascii="Arial" w:hAnsi="Arial" w:cs="Arial"/>
          <w:b/>
          <w:i/>
          <w:color w:val="4F81BD"/>
        </w:rPr>
        <w:t xml:space="preserve"> engaging </w:t>
      </w:r>
      <w:r w:rsidRPr="00EE03FC">
        <w:rPr>
          <w:rFonts w:ascii="Arial" w:hAnsi="Arial" w:cs="Arial"/>
          <w:b/>
          <w:i/>
          <w:color w:val="4F81BD"/>
        </w:rPr>
        <w:t>consumers</w:t>
      </w:r>
    </w:p>
    <w:p w:rsidR="003D6F21" w:rsidRPr="00E00421" w:rsidRDefault="003D6F21" w:rsidP="003D6F21">
      <w:pPr>
        <w:autoSpaceDE w:val="0"/>
        <w:autoSpaceDN w:val="0"/>
        <w:adjustRightInd w:val="0"/>
        <w:rPr>
          <w:rFonts w:ascii="Arial" w:eastAsiaTheme="minorHAnsi" w:hAnsi="Arial" w:cs="Arial"/>
          <w:color w:val="008FA6"/>
          <w:lang w:eastAsia="en-US"/>
        </w:rPr>
      </w:pPr>
      <w:r w:rsidRPr="00E00421">
        <w:rPr>
          <w:rFonts w:ascii="Arial" w:eastAsiaTheme="minorHAnsi" w:hAnsi="Arial" w:cs="Arial"/>
          <w:color w:val="000000"/>
          <w:lang w:eastAsia="en-US"/>
        </w:rPr>
        <w:t xml:space="preserve">Cancer Australia </w:t>
      </w:r>
      <w:r w:rsidRPr="00E00421">
        <w:rPr>
          <w:rFonts w:ascii="Arial" w:eastAsiaTheme="minorHAnsi" w:hAnsi="Arial" w:cs="Arial"/>
          <w:color w:val="000000"/>
          <w:lang w:eastAsia="en-US"/>
        </w:rPr>
        <w:t>- Consumer involvemen</w:t>
      </w:r>
      <w:bookmarkStart w:id="0" w:name="_GoBack"/>
      <w:bookmarkEnd w:id="0"/>
      <w:r w:rsidRPr="00E00421">
        <w:rPr>
          <w:rFonts w:ascii="Arial" w:eastAsiaTheme="minorHAnsi" w:hAnsi="Arial" w:cs="Arial"/>
          <w:color w:val="000000"/>
          <w:lang w:eastAsia="en-US"/>
        </w:rPr>
        <w:t xml:space="preserve">t toolkit: </w:t>
      </w:r>
      <w:hyperlink r:id="rId11" w:history="1">
        <w:r w:rsidRPr="00E00421">
          <w:rPr>
            <w:rStyle w:val="Hyperlink"/>
            <w:rFonts w:ascii="Arial" w:eastAsiaTheme="minorHAnsi" w:hAnsi="Arial" w:cs="Arial"/>
            <w:lang w:eastAsia="en-US"/>
          </w:rPr>
          <w:t>http://consumerinvolvement.canceraustralia.gov.au/</w:t>
        </w:r>
      </w:hyperlink>
      <w:r w:rsidRPr="00E00421">
        <w:rPr>
          <w:rFonts w:ascii="Arial" w:eastAsiaTheme="minorHAnsi" w:hAnsi="Arial" w:cs="Arial"/>
          <w:color w:val="008FA6"/>
          <w:lang w:eastAsia="en-US"/>
        </w:rPr>
        <w:t xml:space="preserve"> </w:t>
      </w:r>
    </w:p>
    <w:p w:rsidR="003D6F21" w:rsidRPr="00E00421" w:rsidRDefault="003D6F21" w:rsidP="003D6F21">
      <w:pPr>
        <w:autoSpaceDE w:val="0"/>
        <w:autoSpaceDN w:val="0"/>
        <w:adjustRightInd w:val="0"/>
        <w:rPr>
          <w:rFonts w:ascii="Arial" w:eastAsiaTheme="minorHAnsi" w:hAnsi="Arial" w:cs="Arial"/>
          <w:color w:val="008FA6"/>
          <w:lang w:eastAsia="en-US"/>
        </w:rPr>
      </w:pPr>
    </w:p>
    <w:p w:rsidR="003D6F21" w:rsidRPr="00E00421" w:rsidRDefault="003D6F21" w:rsidP="003D6F21">
      <w:pPr>
        <w:autoSpaceDE w:val="0"/>
        <w:autoSpaceDN w:val="0"/>
        <w:adjustRightInd w:val="0"/>
        <w:rPr>
          <w:rFonts w:ascii="Arial" w:eastAsiaTheme="minorHAnsi" w:hAnsi="Arial" w:cs="Arial"/>
          <w:color w:val="008FA6"/>
          <w:lang w:eastAsia="en-US"/>
        </w:rPr>
      </w:pPr>
      <w:proofErr w:type="gramStart"/>
      <w:r w:rsidRPr="00E00421">
        <w:rPr>
          <w:rFonts w:ascii="Arial" w:eastAsiaTheme="minorHAnsi" w:hAnsi="Arial" w:cs="Arial"/>
          <w:color w:val="000000"/>
          <w:lang w:eastAsia="en-US"/>
        </w:rPr>
        <w:t>Department of Health and Human Services Tasmania - Your care, your say: Consumer, carer and</w:t>
      </w:r>
      <w:r w:rsidRPr="00E00421">
        <w:rPr>
          <w:rFonts w:ascii="Arial" w:eastAsiaTheme="minorHAnsi" w:hAnsi="Arial" w:cs="Arial"/>
          <w:color w:val="000000"/>
          <w:lang w:eastAsia="en-US"/>
        </w:rPr>
        <w:t xml:space="preserve"> </w:t>
      </w:r>
      <w:r w:rsidRPr="00E00421">
        <w:rPr>
          <w:rFonts w:ascii="Arial" w:eastAsiaTheme="minorHAnsi" w:hAnsi="Arial" w:cs="Arial"/>
          <w:color w:val="000000"/>
          <w:lang w:eastAsia="en-US"/>
        </w:rPr>
        <w:t>community engagement.</w:t>
      </w:r>
      <w:proofErr w:type="gramEnd"/>
      <w:r w:rsidRPr="00E00421">
        <w:rPr>
          <w:rFonts w:ascii="Arial" w:eastAsiaTheme="minorHAnsi" w:hAnsi="Arial" w:cs="Arial"/>
          <w:color w:val="000000"/>
          <w:lang w:eastAsia="en-US"/>
        </w:rPr>
        <w:t xml:space="preserve"> A guide to engagement techniques: </w:t>
      </w:r>
      <w:hyperlink r:id="rId12" w:history="1">
        <w:r w:rsidRPr="00E00421">
          <w:rPr>
            <w:rStyle w:val="Hyperlink"/>
            <w:rFonts w:ascii="Arial" w:eastAsiaTheme="minorHAnsi" w:hAnsi="Arial" w:cs="Arial"/>
            <w:lang w:eastAsia="en-US"/>
          </w:rPr>
          <w:t>https://www.dhhs.tas.gov.au/__data/assets/pdf_file/0008/76283/Toolkit_December_2010_finalised.pdf</w:t>
        </w:r>
      </w:hyperlink>
    </w:p>
    <w:p w:rsidR="003D6F21" w:rsidRPr="00E00421" w:rsidRDefault="003D6F21" w:rsidP="003D6F21">
      <w:pPr>
        <w:autoSpaceDE w:val="0"/>
        <w:autoSpaceDN w:val="0"/>
        <w:adjustRightInd w:val="0"/>
        <w:rPr>
          <w:rFonts w:ascii="Arial" w:eastAsiaTheme="minorHAnsi" w:hAnsi="Arial" w:cs="Arial"/>
          <w:color w:val="008FA6"/>
          <w:lang w:eastAsia="en-US"/>
        </w:rPr>
      </w:pPr>
    </w:p>
    <w:p w:rsidR="003D6F21" w:rsidRPr="00E00421" w:rsidRDefault="003D6F21" w:rsidP="003D6F21">
      <w:pPr>
        <w:autoSpaceDE w:val="0"/>
        <w:autoSpaceDN w:val="0"/>
        <w:adjustRightInd w:val="0"/>
        <w:rPr>
          <w:rFonts w:ascii="Arial" w:eastAsiaTheme="minorHAnsi" w:hAnsi="Arial" w:cs="Arial"/>
          <w:color w:val="008FA6"/>
          <w:lang w:eastAsia="en-US"/>
        </w:rPr>
      </w:pPr>
      <w:r w:rsidRPr="00E00421">
        <w:rPr>
          <w:rFonts w:ascii="Arial" w:eastAsiaTheme="minorHAnsi" w:hAnsi="Arial" w:cs="Arial"/>
          <w:color w:val="000000"/>
          <w:lang w:eastAsia="en-US"/>
        </w:rPr>
        <w:t>QLD Health - Engaging Queenslanders: A guide to community engagement methods and techniques:</w:t>
      </w:r>
      <w:r w:rsidRPr="00E00421">
        <w:rPr>
          <w:rFonts w:ascii="Arial" w:eastAsiaTheme="minorHAnsi" w:hAnsi="Arial" w:cs="Arial"/>
          <w:color w:val="000000"/>
          <w:lang w:eastAsia="en-US"/>
        </w:rPr>
        <w:t xml:space="preserve"> </w:t>
      </w:r>
      <w:hyperlink r:id="rId13" w:history="1">
        <w:r w:rsidRPr="00E00421">
          <w:rPr>
            <w:rStyle w:val="Hyperlink"/>
            <w:rFonts w:ascii="Arial" w:eastAsiaTheme="minorHAnsi" w:hAnsi="Arial" w:cs="Arial"/>
            <w:lang w:eastAsia="en-US"/>
          </w:rPr>
          <w:t>http://www.qld.gov.au/web/community-engagement/guides-factsheets/documents/engagingqueenslanders-methods-and-techniques.pdf</w:t>
        </w:r>
      </w:hyperlink>
      <w:r w:rsidRPr="00E00421">
        <w:rPr>
          <w:rFonts w:ascii="Arial" w:eastAsiaTheme="minorHAnsi" w:hAnsi="Arial" w:cs="Arial"/>
          <w:color w:val="008FA6"/>
          <w:lang w:eastAsia="en-US"/>
        </w:rPr>
        <w:t xml:space="preserve"> </w:t>
      </w:r>
    </w:p>
    <w:p w:rsidR="003D6F21" w:rsidRPr="00E00421" w:rsidRDefault="003D6F21" w:rsidP="003D6F21">
      <w:pPr>
        <w:autoSpaceDE w:val="0"/>
        <w:autoSpaceDN w:val="0"/>
        <w:adjustRightInd w:val="0"/>
        <w:rPr>
          <w:rFonts w:ascii="Arial" w:eastAsiaTheme="minorHAnsi" w:hAnsi="Arial" w:cs="Arial"/>
          <w:color w:val="008FA6"/>
          <w:lang w:eastAsia="en-US"/>
        </w:rPr>
      </w:pPr>
    </w:p>
    <w:p w:rsidR="003D6F21" w:rsidRPr="00E00421" w:rsidRDefault="003D6F21" w:rsidP="003D6F21">
      <w:pPr>
        <w:autoSpaceDE w:val="0"/>
        <w:autoSpaceDN w:val="0"/>
        <w:adjustRightInd w:val="0"/>
        <w:rPr>
          <w:rFonts w:ascii="Arial" w:eastAsiaTheme="minorHAnsi" w:hAnsi="Arial" w:cs="Arial"/>
          <w:color w:val="008FA6"/>
          <w:lang w:eastAsia="en-US"/>
        </w:rPr>
      </w:pPr>
      <w:r w:rsidRPr="00E00421">
        <w:rPr>
          <w:rFonts w:ascii="Arial" w:eastAsiaTheme="minorHAnsi" w:hAnsi="Arial" w:cs="Arial"/>
          <w:color w:val="000000"/>
          <w:lang w:eastAsia="en-US"/>
        </w:rPr>
        <w:t xml:space="preserve">The Scottish Health Council – Participation toolkit: </w:t>
      </w:r>
      <w:hyperlink r:id="rId14" w:history="1">
        <w:r w:rsidRPr="00E00421">
          <w:rPr>
            <w:rStyle w:val="Hyperlink"/>
            <w:rFonts w:ascii="Arial" w:eastAsiaTheme="minorHAnsi" w:hAnsi="Arial" w:cs="Arial"/>
            <w:lang w:eastAsia="en-US"/>
          </w:rPr>
          <w:t>http://www.scottishhealthcouncil.org/patient__public_participation/participation_toolkit/the_participation_toolkit.aspx#.VO0bbflTbzY</w:t>
        </w:r>
      </w:hyperlink>
      <w:r w:rsidRPr="00E00421">
        <w:rPr>
          <w:rFonts w:ascii="Arial" w:eastAsiaTheme="minorHAnsi" w:hAnsi="Arial" w:cs="Arial"/>
          <w:color w:val="008FA6"/>
          <w:lang w:eastAsia="en-US"/>
        </w:rPr>
        <w:t xml:space="preserve"> </w:t>
      </w:r>
    </w:p>
    <w:p w:rsidR="003D6F21" w:rsidRPr="00E00421" w:rsidRDefault="003D6F21" w:rsidP="003D6F21">
      <w:pPr>
        <w:autoSpaceDE w:val="0"/>
        <w:autoSpaceDN w:val="0"/>
        <w:adjustRightInd w:val="0"/>
        <w:rPr>
          <w:rFonts w:ascii="Arial" w:eastAsiaTheme="minorHAnsi" w:hAnsi="Arial" w:cs="Arial"/>
          <w:color w:val="000000"/>
          <w:lang w:eastAsia="en-US"/>
        </w:rPr>
      </w:pPr>
    </w:p>
    <w:p w:rsidR="00356E70" w:rsidRPr="00E00421" w:rsidRDefault="003D6F21" w:rsidP="003D6F21">
      <w:pPr>
        <w:autoSpaceDE w:val="0"/>
        <w:autoSpaceDN w:val="0"/>
        <w:adjustRightInd w:val="0"/>
        <w:rPr>
          <w:rStyle w:val="Hyperlink"/>
          <w:rFonts w:ascii="Arial" w:hAnsi="Arial" w:cs="Arial"/>
          <w:lang w:val="en-US"/>
        </w:rPr>
      </w:pPr>
      <w:proofErr w:type="gramStart"/>
      <w:r w:rsidRPr="00E00421">
        <w:rPr>
          <w:rFonts w:ascii="Arial" w:eastAsiaTheme="minorHAnsi" w:hAnsi="Arial" w:cs="Arial"/>
          <w:color w:val="000000"/>
          <w:lang w:eastAsia="en-US"/>
        </w:rPr>
        <w:t>Victorian Department of Health - Effective engagement: Building relationships with community and</w:t>
      </w:r>
      <w:r w:rsidRPr="00E00421">
        <w:rPr>
          <w:rFonts w:ascii="Arial" w:eastAsiaTheme="minorHAnsi" w:hAnsi="Arial" w:cs="Arial"/>
          <w:color w:val="000000"/>
          <w:lang w:eastAsia="en-US"/>
        </w:rPr>
        <w:t xml:space="preserve"> </w:t>
      </w:r>
      <w:r w:rsidRPr="00E00421">
        <w:rPr>
          <w:rFonts w:ascii="Arial" w:eastAsiaTheme="minorHAnsi" w:hAnsi="Arial" w:cs="Arial"/>
          <w:color w:val="000000"/>
          <w:lang w:eastAsia="en-US"/>
        </w:rPr>
        <w:t>other stakeholders.</w:t>
      </w:r>
      <w:proofErr w:type="gramEnd"/>
      <w:r w:rsidRPr="00E00421">
        <w:rPr>
          <w:rFonts w:ascii="Arial" w:eastAsiaTheme="minorHAnsi" w:hAnsi="Arial" w:cs="Arial"/>
          <w:color w:val="000000"/>
          <w:lang w:eastAsia="en-US"/>
        </w:rPr>
        <w:t xml:space="preserve"> Book </w:t>
      </w:r>
      <w:proofErr w:type="gramStart"/>
      <w:r w:rsidRPr="00E00421">
        <w:rPr>
          <w:rFonts w:ascii="Arial" w:eastAsiaTheme="minorHAnsi" w:hAnsi="Arial" w:cs="Arial"/>
          <w:color w:val="000000"/>
          <w:lang w:eastAsia="en-US"/>
        </w:rPr>
        <w:t>3</w:t>
      </w:r>
      <w:proofErr w:type="gramEnd"/>
      <w:r w:rsidRPr="00E00421">
        <w:rPr>
          <w:rFonts w:ascii="Arial" w:eastAsiaTheme="minorHAnsi" w:hAnsi="Arial" w:cs="Arial"/>
          <w:color w:val="000000"/>
          <w:lang w:eastAsia="en-US"/>
        </w:rPr>
        <w:t xml:space="preserve"> The engagement toolkit: </w:t>
      </w:r>
      <w:hyperlink r:id="rId15" w:history="1">
        <w:r w:rsidRPr="00E00421">
          <w:rPr>
            <w:rStyle w:val="Hyperlink"/>
            <w:rFonts w:ascii="Arial" w:eastAsiaTheme="minorHAnsi" w:hAnsi="Arial" w:cs="Arial"/>
            <w:lang w:eastAsia="en-US"/>
          </w:rPr>
          <w:t>http://www.dse.vic.gov.au/__data/assets/pdf_file/0003/105825/Book_3_-_The_Engagement_Toolkit.pdf</w:t>
        </w:r>
      </w:hyperlink>
      <w:r w:rsidRPr="00E00421">
        <w:rPr>
          <w:rFonts w:ascii="Arial" w:eastAsiaTheme="minorHAnsi" w:hAnsi="Arial" w:cs="Arial"/>
          <w:color w:val="008FA6"/>
          <w:lang w:eastAsia="en-US"/>
        </w:rPr>
        <w:t xml:space="preserve"> </w:t>
      </w:r>
    </w:p>
    <w:p w:rsidR="00356E70" w:rsidRDefault="00356E70" w:rsidP="00C16911">
      <w:pPr>
        <w:spacing w:before="120" w:after="120" w:line="280" w:lineRule="exact"/>
        <w:rPr>
          <w:rFonts w:ascii="Arial" w:hAnsi="Arial" w:cs="Arial"/>
          <w:lang w:val="en-US"/>
        </w:rPr>
      </w:pPr>
    </w:p>
    <w:sectPr w:rsidR="00356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6840"/>
    <w:multiLevelType w:val="hybridMultilevel"/>
    <w:tmpl w:val="47E4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DD794E"/>
    <w:multiLevelType w:val="hybridMultilevel"/>
    <w:tmpl w:val="F60E1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730B0C"/>
    <w:multiLevelType w:val="hybridMultilevel"/>
    <w:tmpl w:val="12A22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F70AB0"/>
    <w:multiLevelType w:val="hybridMultilevel"/>
    <w:tmpl w:val="66B4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B23261"/>
    <w:multiLevelType w:val="hybridMultilevel"/>
    <w:tmpl w:val="DC4835D2"/>
    <w:lvl w:ilvl="0" w:tplc="0A9C83C0">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D7B56BA"/>
    <w:multiLevelType w:val="hybridMultilevel"/>
    <w:tmpl w:val="C4989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27F53D2"/>
    <w:multiLevelType w:val="hybridMultilevel"/>
    <w:tmpl w:val="CF885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470407F"/>
    <w:multiLevelType w:val="hybridMultilevel"/>
    <w:tmpl w:val="E85EE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03"/>
    <w:rsid w:val="00013D82"/>
    <w:rsid w:val="00051CB6"/>
    <w:rsid w:val="00070088"/>
    <w:rsid w:val="000A4FE8"/>
    <w:rsid w:val="001D6FF5"/>
    <w:rsid w:val="001F0EF8"/>
    <w:rsid w:val="00211455"/>
    <w:rsid w:val="0025143C"/>
    <w:rsid w:val="00275B3A"/>
    <w:rsid w:val="002819C9"/>
    <w:rsid w:val="00285A18"/>
    <w:rsid w:val="002919D3"/>
    <w:rsid w:val="00293219"/>
    <w:rsid w:val="002A2987"/>
    <w:rsid w:val="002B1F99"/>
    <w:rsid w:val="002F6DD1"/>
    <w:rsid w:val="00356E70"/>
    <w:rsid w:val="00381625"/>
    <w:rsid w:val="00383571"/>
    <w:rsid w:val="003A1C5C"/>
    <w:rsid w:val="003C4CAC"/>
    <w:rsid w:val="003C7932"/>
    <w:rsid w:val="003D6F21"/>
    <w:rsid w:val="003F226D"/>
    <w:rsid w:val="00451F83"/>
    <w:rsid w:val="004768DD"/>
    <w:rsid w:val="004D51C8"/>
    <w:rsid w:val="004E07A7"/>
    <w:rsid w:val="004F1CBB"/>
    <w:rsid w:val="004F5305"/>
    <w:rsid w:val="00507A7D"/>
    <w:rsid w:val="005303DA"/>
    <w:rsid w:val="00536C37"/>
    <w:rsid w:val="00571357"/>
    <w:rsid w:val="005759E5"/>
    <w:rsid w:val="00593681"/>
    <w:rsid w:val="00611ED8"/>
    <w:rsid w:val="006143A1"/>
    <w:rsid w:val="00620180"/>
    <w:rsid w:val="00620A24"/>
    <w:rsid w:val="00680CC6"/>
    <w:rsid w:val="00700522"/>
    <w:rsid w:val="00782823"/>
    <w:rsid w:val="007C400A"/>
    <w:rsid w:val="007F6360"/>
    <w:rsid w:val="00801F64"/>
    <w:rsid w:val="00851F8F"/>
    <w:rsid w:val="008742A1"/>
    <w:rsid w:val="008D4C44"/>
    <w:rsid w:val="00943DB7"/>
    <w:rsid w:val="00951EA4"/>
    <w:rsid w:val="00954C66"/>
    <w:rsid w:val="0098625C"/>
    <w:rsid w:val="009908BC"/>
    <w:rsid w:val="009E5094"/>
    <w:rsid w:val="00A26CDD"/>
    <w:rsid w:val="00A42CBB"/>
    <w:rsid w:val="00A6241A"/>
    <w:rsid w:val="00A7628A"/>
    <w:rsid w:val="00AB5260"/>
    <w:rsid w:val="00AC61C3"/>
    <w:rsid w:val="00AE6AD9"/>
    <w:rsid w:val="00AF02C6"/>
    <w:rsid w:val="00B04E88"/>
    <w:rsid w:val="00B70733"/>
    <w:rsid w:val="00BA2A99"/>
    <w:rsid w:val="00C0315F"/>
    <w:rsid w:val="00C106CB"/>
    <w:rsid w:val="00C16911"/>
    <w:rsid w:val="00C32090"/>
    <w:rsid w:val="00C540A8"/>
    <w:rsid w:val="00C67307"/>
    <w:rsid w:val="00CD17E5"/>
    <w:rsid w:val="00D16967"/>
    <w:rsid w:val="00D50BB5"/>
    <w:rsid w:val="00D530EB"/>
    <w:rsid w:val="00E00421"/>
    <w:rsid w:val="00E15403"/>
    <w:rsid w:val="00E70AEE"/>
    <w:rsid w:val="00E7235F"/>
    <w:rsid w:val="00E843C8"/>
    <w:rsid w:val="00EE03FC"/>
    <w:rsid w:val="00EE740E"/>
    <w:rsid w:val="00F36B3D"/>
    <w:rsid w:val="00F4595A"/>
    <w:rsid w:val="00F773EA"/>
    <w:rsid w:val="00FC78D0"/>
    <w:rsid w:val="00FE2417"/>
    <w:rsid w:val="00FE5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03"/>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CD17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15403"/>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5403"/>
    <w:rPr>
      <w:rFonts w:ascii="Arial" w:eastAsia="Times New Roman" w:hAnsi="Arial" w:cs="Arial"/>
      <w:b/>
      <w:bCs/>
      <w:sz w:val="26"/>
      <w:szCs w:val="26"/>
      <w:lang w:eastAsia="en-AU"/>
    </w:rPr>
  </w:style>
  <w:style w:type="character" w:customStyle="1" w:styleId="Heading2Char">
    <w:name w:val="Heading 2 Char"/>
    <w:basedOn w:val="DefaultParagraphFont"/>
    <w:link w:val="Heading2"/>
    <w:uiPriority w:val="9"/>
    <w:rsid w:val="00CD17E5"/>
    <w:rPr>
      <w:rFonts w:asciiTheme="majorHAnsi" w:eastAsiaTheme="majorEastAsia" w:hAnsiTheme="majorHAnsi" w:cstheme="majorBidi"/>
      <w:b/>
      <w:bCs/>
      <w:color w:val="4F81BD" w:themeColor="accent1"/>
      <w:sz w:val="26"/>
      <w:szCs w:val="26"/>
      <w:lang w:eastAsia="en-AU"/>
    </w:rPr>
  </w:style>
  <w:style w:type="paragraph" w:styleId="NormalWeb">
    <w:name w:val="Normal (Web)"/>
    <w:basedOn w:val="Normal"/>
    <w:rsid w:val="00FE2417"/>
    <w:pPr>
      <w:spacing w:before="100" w:beforeAutospacing="1" w:after="100" w:afterAutospacing="1"/>
    </w:pPr>
    <w:rPr>
      <w:lang w:val="en-US" w:eastAsia="en-US"/>
    </w:rPr>
  </w:style>
  <w:style w:type="character" w:styleId="Hyperlink">
    <w:name w:val="Hyperlink"/>
    <w:rsid w:val="00D16967"/>
    <w:rPr>
      <w:color w:val="0000FF"/>
      <w:u w:val="single"/>
    </w:rPr>
  </w:style>
  <w:style w:type="table" w:styleId="TableGrid">
    <w:name w:val="Table Grid"/>
    <w:basedOn w:val="TableNormal"/>
    <w:uiPriority w:val="59"/>
    <w:rsid w:val="0059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305"/>
    <w:pPr>
      <w:ind w:left="720"/>
      <w:contextualSpacing/>
    </w:pPr>
  </w:style>
  <w:style w:type="paragraph" w:styleId="BalloonText">
    <w:name w:val="Balloon Text"/>
    <w:basedOn w:val="Normal"/>
    <w:link w:val="BalloonTextChar"/>
    <w:uiPriority w:val="99"/>
    <w:semiHidden/>
    <w:unhideWhenUsed/>
    <w:rsid w:val="004768DD"/>
    <w:rPr>
      <w:rFonts w:ascii="Tahoma" w:hAnsi="Tahoma" w:cs="Tahoma"/>
      <w:sz w:val="16"/>
      <w:szCs w:val="16"/>
    </w:rPr>
  </w:style>
  <w:style w:type="character" w:customStyle="1" w:styleId="BalloonTextChar">
    <w:name w:val="Balloon Text Char"/>
    <w:basedOn w:val="DefaultParagraphFont"/>
    <w:link w:val="BalloonText"/>
    <w:uiPriority w:val="99"/>
    <w:semiHidden/>
    <w:rsid w:val="004768DD"/>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7C40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403"/>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unhideWhenUsed/>
    <w:qFormat/>
    <w:rsid w:val="00CD17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15403"/>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15403"/>
    <w:rPr>
      <w:rFonts w:ascii="Arial" w:eastAsia="Times New Roman" w:hAnsi="Arial" w:cs="Arial"/>
      <w:b/>
      <w:bCs/>
      <w:sz w:val="26"/>
      <w:szCs w:val="26"/>
      <w:lang w:eastAsia="en-AU"/>
    </w:rPr>
  </w:style>
  <w:style w:type="character" w:customStyle="1" w:styleId="Heading2Char">
    <w:name w:val="Heading 2 Char"/>
    <w:basedOn w:val="DefaultParagraphFont"/>
    <w:link w:val="Heading2"/>
    <w:uiPriority w:val="9"/>
    <w:rsid w:val="00CD17E5"/>
    <w:rPr>
      <w:rFonts w:asciiTheme="majorHAnsi" w:eastAsiaTheme="majorEastAsia" w:hAnsiTheme="majorHAnsi" w:cstheme="majorBidi"/>
      <w:b/>
      <w:bCs/>
      <w:color w:val="4F81BD" w:themeColor="accent1"/>
      <w:sz w:val="26"/>
      <w:szCs w:val="26"/>
      <w:lang w:eastAsia="en-AU"/>
    </w:rPr>
  </w:style>
  <w:style w:type="paragraph" w:styleId="NormalWeb">
    <w:name w:val="Normal (Web)"/>
    <w:basedOn w:val="Normal"/>
    <w:rsid w:val="00FE2417"/>
    <w:pPr>
      <w:spacing w:before="100" w:beforeAutospacing="1" w:after="100" w:afterAutospacing="1"/>
    </w:pPr>
    <w:rPr>
      <w:lang w:val="en-US" w:eastAsia="en-US"/>
    </w:rPr>
  </w:style>
  <w:style w:type="character" w:styleId="Hyperlink">
    <w:name w:val="Hyperlink"/>
    <w:rsid w:val="00D16967"/>
    <w:rPr>
      <w:color w:val="0000FF"/>
      <w:u w:val="single"/>
    </w:rPr>
  </w:style>
  <w:style w:type="table" w:styleId="TableGrid">
    <w:name w:val="Table Grid"/>
    <w:basedOn w:val="TableNormal"/>
    <w:uiPriority w:val="59"/>
    <w:rsid w:val="00593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305"/>
    <w:pPr>
      <w:ind w:left="720"/>
      <w:contextualSpacing/>
    </w:pPr>
  </w:style>
  <w:style w:type="paragraph" w:styleId="BalloonText">
    <w:name w:val="Balloon Text"/>
    <w:basedOn w:val="Normal"/>
    <w:link w:val="BalloonTextChar"/>
    <w:uiPriority w:val="99"/>
    <w:semiHidden/>
    <w:unhideWhenUsed/>
    <w:rsid w:val="004768DD"/>
    <w:rPr>
      <w:rFonts w:ascii="Tahoma" w:hAnsi="Tahoma" w:cs="Tahoma"/>
      <w:sz w:val="16"/>
      <w:szCs w:val="16"/>
    </w:rPr>
  </w:style>
  <w:style w:type="character" w:customStyle="1" w:styleId="BalloonTextChar">
    <w:name w:val="Balloon Text Char"/>
    <w:basedOn w:val="DefaultParagraphFont"/>
    <w:link w:val="BalloonText"/>
    <w:uiPriority w:val="99"/>
    <w:semiHidden/>
    <w:rsid w:val="004768DD"/>
    <w:rPr>
      <w:rFonts w:ascii="Tahoma" w:eastAsia="Times New Roman" w:hAnsi="Tahoma" w:cs="Tahoma"/>
      <w:sz w:val="16"/>
      <w:szCs w:val="16"/>
      <w:lang w:eastAsia="en-AU"/>
    </w:rPr>
  </w:style>
  <w:style w:type="character" w:styleId="FollowedHyperlink">
    <w:name w:val="FollowedHyperlink"/>
    <w:basedOn w:val="DefaultParagraphFont"/>
    <w:uiPriority w:val="99"/>
    <w:semiHidden/>
    <w:unhideWhenUsed/>
    <w:rsid w:val="007C40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qld.gov.au/web/community-engagement/guides-factsheets/documents/engagingqueenslanders-methods-and-techniques.pdf" TargetMode="Externa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hyperlink" Target="https://www.dhhs.tas.gov.au/__data/assets/pdf_file/0008/76283/Toolkit_December_2010_finalised.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consumerinvolvement.canceraustralia.gov.au/" TargetMode="External"/><Relationship Id="rId5" Type="http://schemas.openxmlformats.org/officeDocument/2006/relationships/webSettings" Target="webSettings.xml"/><Relationship Id="rId15" Type="http://schemas.openxmlformats.org/officeDocument/2006/relationships/hyperlink" Target="http://www.dse.vic.gov.au/__data/assets/pdf_file/0003/105825/Book_3_-_The_Engagement_Toolkit.pdf" TargetMode="Externa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www.scottishhealthcouncil.org/patient__public_participation/participation_toolkit/the_participation_toolkit.aspx#.VO0bbflTbz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A2FC54-AB67-4063-9739-49496F7EA6B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AU"/>
        </a:p>
      </dgm:t>
    </dgm:pt>
    <dgm:pt modelId="{18A03CA8-06A2-4B7F-A6E9-1824909B6B53}">
      <dgm:prSet phldrT="[Text]" custT="1"/>
      <dgm:spPr>
        <a:solidFill>
          <a:schemeClr val="accent1">
            <a:hueOff val="0"/>
            <a:satOff val="0"/>
            <a:lumOff val="0"/>
            <a:alpha val="33000"/>
          </a:schemeClr>
        </a:solidFill>
        <a:ln>
          <a:solidFill>
            <a:schemeClr val="tx2">
              <a:lumMod val="60000"/>
              <a:lumOff val="40000"/>
            </a:schemeClr>
          </a:solidFill>
        </a:ln>
      </dgm:spPr>
      <dgm:t>
        <a:bodyPr/>
        <a:lstStyle/>
        <a:p>
          <a:r>
            <a:rPr lang="en-AU" sz="2000" b="1">
              <a:solidFill>
                <a:schemeClr val="accent1">
                  <a:lumMod val="75000"/>
                </a:schemeClr>
              </a:solidFill>
              <a:latin typeface="Arial" panose="020B0604020202020204" pitchFamily="34" charset="0"/>
              <a:cs typeface="Arial" panose="020B0604020202020204" pitchFamily="34" charset="0"/>
            </a:rPr>
            <a:t>Plan! </a:t>
          </a:r>
          <a:r>
            <a:rPr lang="en-AU" sz="800" b="1">
              <a:solidFill>
                <a:schemeClr val="accent1">
                  <a:lumMod val="75000"/>
                </a:schemeClr>
              </a:solidFill>
              <a:latin typeface="Arial" panose="020B0604020202020204" pitchFamily="34" charset="0"/>
              <a:cs typeface="Arial" panose="020B0604020202020204" pitchFamily="34" charset="0"/>
            </a:rPr>
            <a:t/>
          </a:r>
          <a:br>
            <a:rPr lang="en-AU" sz="800" b="1">
              <a:solidFill>
                <a:schemeClr val="accent1">
                  <a:lumMod val="75000"/>
                </a:schemeClr>
              </a:solidFill>
              <a:latin typeface="Arial" panose="020B0604020202020204" pitchFamily="34" charset="0"/>
              <a:cs typeface="Arial" panose="020B0604020202020204" pitchFamily="34" charset="0"/>
            </a:rPr>
          </a:br>
          <a:r>
            <a:rPr lang="en-AU" sz="800" b="1">
              <a:solidFill>
                <a:schemeClr val="accent1">
                  <a:lumMod val="75000"/>
                </a:schemeClr>
              </a:solidFill>
              <a:latin typeface="+mn-lt"/>
              <a:cs typeface="Arial" panose="020B0604020202020204" pitchFamily="34" charset="0"/>
            </a:rPr>
            <a:t>(Plan improvements, including getting feedback from consumers)</a:t>
          </a:r>
        </a:p>
      </dgm:t>
    </dgm:pt>
    <dgm:pt modelId="{503CB2BD-89C6-4A8A-BA6A-E5CC91AD33FF}" type="parTrans" cxnId="{64C4A59E-C6EC-4AB4-8DA2-58A365D7B3D4}">
      <dgm:prSet/>
      <dgm:spPr/>
      <dgm:t>
        <a:bodyPr/>
        <a:lstStyle/>
        <a:p>
          <a:endParaRPr lang="en-AU"/>
        </a:p>
      </dgm:t>
    </dgm:pt>
    <dgm:pt modelId="{E5F206AC-39DE-41E9-A9A8-38CE92870653}" type="sibTrans" cxnId="{64C4A59E-C6EC-4AB4-8DA2-58A365D7B3D4}">
      <dgm:prSet/>
      <dgm:spPr>
        <a:gradFill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76200">
          <a:solidFill>
            <a:schemeClr val="tx2">
              <a:lumMod val="60000"/>
              <a:lumOff val="40000"/>
            </a:schemeClr>
          </a:solidFill>
        </a:ln>
      </dgm:spPr>
      <dgm:t>
        <a:bodyPr/>
        <a:lstStyle/>
        <a:p>
          <a:endParaRPr lang="en-AU"/>
        </a:p>
      </dgm:t>
    </dgm:pt>
    <dgm:pt modelId="{C65D5E38-410C-45A8-951D-51BAF984405A}">
      <dgm:prSet phldrT="[Text]" custT="1"/>
      <dgm:spPr>
        <a:solidFill>
          <a:schemeClr val="accent1">
            <a:hueOff val="0"/>
            <a:satOff val="0"/>
            <a:lumOff val="0"/>
            <a:alpha val="33000"/>
          </a:schemeClr>
        </a:solidFill>
        <a:ln>
          <a:solidFill>
            <a:schemeClr val="tx2">
              <a:lumMod val="60000"/>
              <a:lumOff val="40000"/>
            </a:schemeClr>
          </a:solidFill>
        </a:ln>
      </dgm:spPr>
      <dgm:t>
        <a:bodyPr/>
        <a:lstStyle/>
        <a:p>
          <a:r>
            <a:rPr lang="en-AU" sz="2000" b="1">
              <a:solidFill>
                <a:schemeClr val="accent1">
                  <a:lumMod val="75000"/>
                </a:schemeClr>
              </a:solidFill>
            </a:rPr>
            <a:t>Do!</a:t>
          </a:r>
          <a:r>
            <a:rPr lang="en-AU" sz="800" b="1">
              <a:solidFill>
                <a:schemeClr val="accent1">
                  <a:lumMod val="75000"/>
                </a:schemeClr>
              </a:solidFill>
            </a:rPr>
            <a:t/>
          </a:r>
          <a:br>
            <a:rPr lang="en-AU" sz="800" b="1">
              <a:solidFill>
                <a:schemeClr val="accent1">
                  <a:lumMod val="75000"/>
                </a:schemeClr>
              </a:solidFill>
            </a:rPr>
          </a:br>
          <a:r>
            <a:rPr lang="en-AU" sz="800" b="1">
              <a:solidFill>
                <a:schemeClr val="accent1">
                  <a:lumMod val="75000"/>
                </a:schemeClr>
              </a:solidFill>
            </a:rPr>
            <a:t>(Implement the improvements to address consumers concerns)</a:t>
          </a:r>
        </a:p>
      </dgm:t>
    </dgm:pt>
    <dgm:pt modelId="{BE5817D9-4EEB-4553-975E-7743EE8E671C}" type="parTrans" cxnId="{3E4E2FB6-CB4F-4BA7-9B4A-4B410929C90E}">
      <dgm:prSet/>
      <dgm:spPr/>
      <dgm:t>
        <a:bodyPr/>
        <a:lstStyle/>
        <a:p>
          <a:endParaRPr lang="en-AU"/>
        </a:p>
      </dgm:t>
    </dgm:pt>
    <dgm:pt modelId="{301C0DEF-3FE8-40AA-A56F-DA7E9F57B61D}" type="sibTrans" cxnId="{3E4E2FB6-CB4F-4BA7-9B4A-4B410929C90E}">
      <dgm:prSet/>
      <dgm:spPr>
        <a:ln w="76200">
          <a:solidFill>
            <a:schemeClr val="tx2">
              <a:lumMod val="60000"/>
              <a:lumOff val="40000"/>
            </a:schemeClr>
          </a:solidFill>
        </a:ln>
      </dgm:spPr>
      <dgm:t>
        <a:bodyPr/>
        <a:lstStyle/>
        <a:p>
          <a:endParaRPr lang="en-AU"/>
        </a:p>
      </dgm:t>
    </dgm:pt>
    <dgm:pt modelId="{00FE76F6-242F-4581-AFB3-051265D09ECA}">
      <dgm:prSet phldrT="[Text]" custT="1"/>
      <dgm:spPr>
        <a:solidFill>
          <a:schemeClr val="accent1">
            <a:hueOff val="0"/>
            <a:satOff val="0"/>
            <a:lumOff val="0"/>
            <a:alpha val="33000"/>
          </a:schemeClr>
        </a:solidFill>
        <a:ln>
          <a:solidFill>
            <a:schemeClr val="tx2">
              <a:lumMod val="60000"/>
              <a:lumOff val="40000"/>
            </a:schemeClr>
          </a:solidFill>
        </a:ln>
      </dgm:spPr>
      <dgm:t>
        <a:bodyPr/>
        <a:lstStyle/>
        <a:p>
          <a:r>
            <a:rPr lang="en-AU" sz="2000" b="1">
              <a:solidFill>
                <a:schemeClr val="accent1">
                  <a:lumMod val="75000"/>
                </a:schemeClr>
              </a:solidFill>
            </a:rPr>
            <a:t>Check !</a:t>
          </a:r>
          <a:r>
            <a:rPr lang="en-AU" sz="800" b="1">
              <a:solidFill>
                <a:schemeClr val="accent1">
                  <a:lumMod val="75000"/>
                </a:schemeClr>
              </a:solidFill>
            </a:rPr>
            <a:t/>
          </a:r>
          <a:br>
            <a:rPr lang="en-AU" sz="800" b="1">
              <a:solidFill>
                <a:schemeClr val="accent1">
                  <a:lumMod val="75000"/>
                </a:schemeClr>
              </a:solidFill>
            </a:rPr>
          </a:br>
          <a:r>
            <a:rPr lang="en-AU" sz="800" b="1">
              <a:solidFill>
                <a:schemeClr val="accent1">
                  <a:lumMod val="75000"/>
                </a:schemeClr>
              </a:solidFill>
            </a:rPr>
            <a:t>(Check back with consumers. Are the improvements doing what we wanted? Can we improve more?)</a:t>
          </a:r>
        </a:p>
      </dgm:t>
    </dgm:pt>
    <dgm:pt modelId="{09D6EBD4-C67C-4467-9A6D-70B17E7388A7}" type="parTrans" cxnId="{5D843E7D-AEFD-4340-AAA5-E2CB8E966F90}">
      <dgm:prSet/>
      <dgm:spPr/>
      <dgm:t>
        <a:bodyPr/>
        <a:lstStyle/>
        <a:p>
          <a:endParaRPr lang="en-AU"/>
        </a:p>
      </dgm:t>
    </dgm:pt>
    <dgm:pt modelId="{7940CCFE-7DFA-490F-BAA3-DC5973435FE9}" type="sibTrans" cxnId="{5D843E7D-AEFD-4340-AAA5-E2CB8E966F90}">
      <dgm:prSet/>
      <dgm:spPr>
        <a:ln w="76200">
          <a:solidFill>
            <a:schemeClr val="tx2">
              <a:lumMod val="60000"/>
              <a:lumOff val="40000"/>
            </a:schemeClr>
          </a:solidFill>
        </a:ln>
      </dgm:spPr>
      <dgm:t>
        <a:bodyPr/>
        <a:lstStyle/>
        <a:p>
          <a:endParaRPr lang="en-AU"/>
        </a:p>
      </dgm:t>
    </dgm:pt>
    <dgm:pt modelId="{0E002FC1-827A-41B4-A9F8-CF24521E412A}">
      <dgm:prSet phldrT="[Text]" custT="1"/>
      <dgm:spPr>
        <a:solidFill>
          <a:schemeClr val="accent1">
            <a:hueOff val="0"/>
            <a:satOff val="0"/>
            <a:lumOff val="0"/>
            <a:alpha val="33000"/>
          </a:schemeClr>
        </a:solidFill>
        <a:ln>
          <a:solidFill>
            <a:schemeClr val="tx2">
              <a:lumMod val="60000"/>
              <a:lumOff val="40000"/>
            </a:schemeClr>
          </a:solidFill>
        </a:ln>
      </dgm:spPr>
      <dgm:t>
        <a:bodyPr/>
        <a:lstStyle/>
        <a:p>
          <a:r>
            <a:rPr lang="en-AU" sz="2000" b="1">
              <a:solidFill>
                <a:schemeClr val="accent1">
                  <a:lumMod val="75000"/>
                </a:schemeClr>
              </a:solidFill>
            </a:rPr>
            <a:t>Act!</a:t>
          </a:r>
          <a:r>
            <a:rPr lang="en-AU" sz="800" b="1">
              <a:solidFill>
                <a:schemeClr val="accent1">
                  <a:lumMod val="75000"/>
                </a:schemeClr>
              </a:solidFill>
            </a:rPr>
            <a:t/>
          </a:r>
          <a:br>
            <a:rPr lang="en-AU" sz="800" b="1">
              <a:solidFill>
                <a:schemeClr val="accent1">
                  <a:lumMod val="75000"/>
                </a:schemeClr>
              </a:solidFill>
            </a:rPr>
          </a:br>
          <a:r>
            <a:rPr lang="en-AU" sz="800" b="1">
              <a:solidFill>
                <a:schemeClr val="accent1">
                  <a:lumMod val="75000"/>
                </a:schemeClr>
              </a:solidFill>
            </a:rPr>
            <a:t>(Make refinements to the improvements and identify new improvement projects)</a:t>
          </a:r>
        </a:p>
      </dgm:t>
    </dgm:pt>
    <dgm:pt modelId="{EFC0BF45-BEBE-40EF-8DAF-B55448845897}" type="parTrans" cxnId="{89E6E75B-EC77-4E4B-B09A-23C1B99B838F}">
      <dgm:prSet/>
      <dgm:spPr/>
      <dgm:t>
        <a:bodyPr/>
        <a:lstStyle/>
        <a:p>
          <a:endParaRPr lang="en-AU"/>
        </a:p>
      </dgm:t>
    </dgm:pt>
    <dgm:pt modelId="{190A4C01-1676-4A55-AE3B-2C5270FB672F}" type="sibTrans" cxnId="{89E6E75B-EC77-4E4B-B09A-23C1B99B838F}">
      <dgm:prSet/>
      <dgm:spPr>
        <a:ln w="76200">
          <a:solidFill>
            <a:schemeClr val="tx2">
              <a:lumMod val="60000"/>
              <a:lumOff val="40000"/>
            </a:schemeClr>
          </a:solidFill>
        </a:ln>
      </dgm:spPr>
      <dgm:t>
        <a:bodyPr/>
        <a:lstStyle/>
        <a:p>
          <a:endParaRPr lang="en-AU"/>
        </a:p>
      </dgm:t>
    </dgm:pt>
    <dgm:pt modelId="{A31BCF52-719E-46C1-B53E-BB778C427FA5}" type="pres">
      <dgm:prSet presAssocID="{58A2FC54-AB67-4063-9739-49496F7EA6B5}" presName="cycle" presStyleCnt="0">
        <dgm:presLayoutVars>
          <dgm:dir/>
          <dgm:resizeHandles val="exact"/>
        </dgm:presLayoutVars>
      </dgm:prSet>
      <dgm:spPr/>
      <dgm:t>
        <a:bodyPr/>
        <a:lstStyle/>
        <a:p>
          <a:endParaRPr lang="en-AU"/>
        </a:p>
      </dgm:t>
    </dgm:pt>
    <dgm:pt modelId="{05001772-8824-45FB-ACA7-03BB58EA4E23}" type="pres">
      <dgm:prSet presAssocID="{18A03CA8-06A2-4B7F-A6E9-1824909B6B53}" presName="node" presStyleLbl="node1" presStyleIdx="0" presStyleCnt="4" custScaleX="139893">
        <dgm:presLayoutVars>
          <dgm:bulletEnabled val="1"/>
        </dgm:presLayoutVars>
      </dgm:prSet>
      <dgm:spPr/>
      <dgm:t>
        <a:bodyPr/>
        <a:lstStyle/>
        <a:p>
          <a:endParaRPr lang="en-AU"/>
        </a:p>
      </dgm:t>
    </dgm:pt>
    <dgm:pt modelId="{F2CAF386-F273-4C2A-B1C4-61F9F138E424}" type="pres">
      <dgm:prSet presAssocID="{18A03CA8-06A2-4B7F-A6E9-1824909B6B53}" presName="spNode" presStyleCnt="0"/>
      <dgm:spPr/>
    </dgm:pt>
    <dgm:pt modelId="{B21288D6-4CCF-4BC4-B6A9-7061A95C16C7}" type="pres">
      <dgm:prSet presAssocID="{E5F206AC-39DE-41E9-A9A8-38CE92870653}" presName="sibTrans" presStyleLbl="sibTrans1D1" presStyleIdx="0" presStyleCnt="4"/>
      <dgm:spPr/>
      <dgm:t>
        <a:bodyPr/>
        <a:lstStyle/>
        <a:p>
          <a:endParaRPr lang="en-AU"/>
        </a:p>
      </dgm:t>
    </dgm:pt>
    <dgm:pt modelId="{2A96BC4B-CCE2-497A-97BC-38D2C6D4231D}" type="pres">
      <dgm:prSet presAssocID="{C65D5E38-410C-45A8-951D-51BAF984405A}" presName="node" presStyleLbl="node1" presStyleIdx="1" presStyleCnt="4" custScaleX="136373">
        <dgm:presLayoutVars>
          <dgm:bulletEnabled val="1"/>
        </dgm:presLayoutVars>
      </dgm:prSet>
      <dgm:spPr/>
      <dgm:t>
        <a:bodyPr/>
        <a:lstStyle/>
        <a:p>
          <a:endParaRPr lang="en-AU"/>
        </a:p>
      </dgm:t>
    </dgm:pt>
    <dgm:pt modelId="{ED23EB29-2795-4B29-A47B-E6AF313E8783}" type="pres">
      <dgm:prSet presAssocID="{C65D5E38-410C-45A8-951D-51BAF984405A}" presName="spNode" presStyleCnt="0"/>
      <dgm:spPr/>
    </dgm:pt>
    <dgm:pt modelId="{9955A05A-5AB9-4158-BEA9-4B575B7CEFA1}" type="pres">
      <dgm:prSet presAssocID="{301C0DEF-3FE8-40AA-A56F-DA7E9F57B61D}" presName="sibTrans" presStyleLbl="sibTrans1D1" presStyleIdx="1" presStyleCnt="4"/>
      <dgm:spPr/>
      <dgm:t>
        <a:bodyPr/>
        <a:lstStyle/>
        <a:p>
          <a:endParaRPr lang="en-AU"/>
        </a:p>
      </dgm:t>
    </dgm:pt>
    <dgm:pt modelId="{90AF2C65-B76E-4BA5-9E96-FB6E0B68DCED}" type="pres">
      <dgm:prSet presAssocID="{00FE76F6-242F-4581-AFB3-051265D09ECA}" presName="node" presStyleLbl="node1" presStyleIdx="2" presStyleCnt="4" custScaleX="145218" custRadScaleRad="98808">
        <dgm:presLayoutVars>
          <dgm:bulletEnabled val="1"/>
        </dgm:presLayoutVars>
      </dgm:prSet>
      <dgm:spPr/>
      <dgm:t>
        <a:bodyPr/>
        <a:lstStyle/>
        <a:p>
          <a:endParaRPr lang="en-AU"/>
        </a:p>
      </dgm:t>
    </dgm:pt>
    <dgm:pt modelId="{372E982A-C01D-4026-84ED-68234D40CA12}" type="pres">
      <dgm:prSet presAssocID="{00FE76F6-242F-4581-AFB3-051265D09ECA}" presName="spNode" presStyleCnt="0"/>
      <dgm:spPr/>
    </dgm:pt>
    <dgm:pt modelId="{295FD2E3-290F-4587-995A-518B2DBE3520}" type="pres">
      <dgm:prSet presAssocID="{7940CCFE-7DFA-490F-BAA3-DC5973435FE9}" presName="sibTrans" presStyleLbl="sibTrans1D1" presStyleIdx="2" presStyleCnt="4"/>
      <dgm:spPr/>
      <dgm:t>
        <a:bodyPr/>
        <a:lstStyle/>
        <a:p>
          <a:endParaRPr lang="en-AU"/>
        </a:p>
      </dgm:t>
    </dgm:pt>
    <dgm:pt modelId="{5A1E5AA6-5901-45B0-AD49-7A647123FB83}" type="pres">
      <dgm:prSet presAssocID="{0E002FC1-827A-41B4-A9F8-CF24521E412A}" presName="node" presStyleLbl="node1" presStyleIdx="3" presStyleCnt="4" custScaleX="131596">
        <dgm:presLayoutVars>
          <dgm:bulletEnabled val="1"/>
        </dgm:presLayoutVars>
      </dgm:prSet>
      <dgm:spPr/>
      <dgm:t>
        <a:bodyPr/>
        <a:lstStyle/>
        <a:p>
          <a:endParaRPr lang="en-AU"/>
        </a:p>
      </dgm:t>
    </dgm:pt>
    <dgm:pt modelId="{D3F0BABD-F7FC-4610-BD42-735EF89CF5C1}" type="pres">
      <dgm:prSet presAssocID="{0E002FC1-827A-41B4-A9F8-CF24521E412A}" presName="spNode" presStyleCnt="0"/>
      <dgm:spPr/>
    </dgm:pt>
    <dgm:pt modelId="{6C1D61E4-BCFF-410A-9B08-35595C2F1D7B}" type="pres">
      <dgm:prSet presAssocID="{190A4C01-1676-4A55-AE3B-2C5270FB672F}" presName="sibTrans" presStyleLbl="sibTrans1D1" presStyleIdx="3" presStyleCnt="4"/>
      <dgm:spPr/>
      <dgm:t>
        <a:bodyPr/>
        <a:lstStyle/>
        <a:p>
          <a:endParaRPr lang="en-AU"/>
        </a:p>
      </dgm:t>
    </dgm:pt>
  </dgm:ptLst>
  <dgm:cxnLst>
    <dgm:cxn modelId="{5D843E7D-AEFD-4340-AAA5-E2CB8E966F90}" srcId="{58A2FC54-AB67-4063-9739-49496F7EA6B5}" destId="{00FE76F6-242F-4581-AFB3-051265D09ECA}" srcOrd="2" destOrd="0" parTransId="{09D6EBD4-C67C-4467-9A6D-70B17E7388A7}" sibTransId="{7940CCFE-7DFA-490F-BAA3-DC5973435FE9}"/>
    <dgm:cxn modelId="{5BD0DD26-9392-4925-A603-D6CA528B09AF}" type="presOf" srcId="{58A2FC54-AB67-4063-9739-49496F7EA6B5}" destId="{A31BCF52-719E-46C1-B53E-BB778C427FA5}" srcOrd="0" destOrd="0" presId="urn:microsoft.com/office/officeart/2005/8/layout/cycle5"/>
    <dgm:cxn modelId="{BE092840-0DED-47F4-8014-5F2FA93124B2}" type="presOf" srcId="{E5F206AC-39DE-41E9-A9A8-38CE92870653}" destId="{B21288D6-4CCF-4BC4-B6A9-7061A95C16C7}" srcOrd="0" destOrd="0" presId="urn:microsoft.com/office/officeart/2005/8/layout/cycle5"/>
    <dgm:cxn modelId="{89E6E75B-EC77-4E4B-B09A-23C1B99B838F}" srcId="{58A2FC54-AB67-4063-9739-49496F7EA6B5}" destId="{0E002FC1-827A-41B4-A9F8-CF24521E412A}" srcOrd="3" destOrd="0" parTransId="{EFC0BF45-BEBE-40EF-8DAF-B55448845897}" sibTransId="{190A4C01-1676-4A55-AE3B-2C5270FB672F}"/>
    <dgm:cxn modelId="{C85DC7DC-8470-4726-BC28-8BDD286A963B}" type="presOf" srcId="{190A4C01-1676-4A55-AE3B-2C5270FB672F}" destId="{6C1D61E4-BCFF-410A-9B08-35595C2F1D7B}" srcOrd="0" destOrd="0" presId="urn:microsoft.com/office/officeart/2005/8/layout/cycle5"/>
    <dgm:cxn modelId="{4CC6DB91-A125-4CC7-B724-7A87D35A5FCA}" type="presOf" srcId="{18A03CA8-06A2-4B7F-A6E9-1824909B6B53}" destId="{05001772-8824-45FB-ACA7-03BB58EA4E23}" srcOrd="0" destOrd="0" presId="urn:microsoft.com/office/officeart/2005/8/layout/cycle5"/>
    <dgm:cxn modelId="{59B0C57B-07DF-4A43-87CD-B612B1B287E3}" type="presOf" srcId="{C65D5E38-410C-45A8-951D-51BAF984405A}" destId="{2A96BC4B-CCE2-497A-97BC-38D2C6D4231D}" srcOrd="0" destOrd="0" presId="urn:microsoft.com/office/officeart/2005/8/layout/cycle5"/>
    <dgm:cxn modelId="{93D3F6F6-04D1-44C8-A161-C22ED34498F3}" type="presOf" srcId="{301C0DEF-3FE8-40AA-A56F-DA7E9F57B61D}" destId="{9955A05A-5AB9-4158-BEA9-4B575B7CEFA1}" srcOrd="0" destOrd="0" presId="urn:microsoft.com/office/officeart/2005/8/layout/cycle5"/>
    <dgm:cxn modelId="{C17323E8-CE59-4BCB-97A4-21E69998E70D}" type="presOf" srcId="{7940CCFE-7DFA-490F-BAA3-DC5973435FE9}" destId="{295FD2E3-290F-4587-995A-518B2DBE3520}" srcOrd="0" destOrd="0" presId="urn:microsoft.com/office/officeart/2005/8/layout/cycle5"/>
    <dgm:cxn modelId="{C4E62E4F-FDD1-4C9C-89B4-6C2B11A8999F}" type="presOf" srcId="{0E002FC1-827A-41B4-A9F8-CF24521E412A}" destId="{5A1E5AA6-5901-45B0-AD49-7A647123FB83}" srcOrd="0" destOrd="0" presId="urn:microsoft.com/office/officeart/2005/8/layout/cycle5"/>
    <dgm:cxn modelId="{64C4A59E-C6EC-4AB4-8DA2-58A365D7B3D4}" srcId="{58A2FC54-AB67-4063-9739-49496F7EA6B5}" destId="{18A03CA8-06A2-4B7F-A6E9-1824909B6B53}" srcOrd="0" destOrd="0" parTransId="{503CB2BD-89C6-4A8A-BA6A-E5CC91AD33FF}" sibTransId="{E5F206AC-39DE-41E9-A9A8-38CE92870653}"/>
    <dgm:cxn modelId="{3E4E2FB6-CB4F-4BA7-9B4A-4B410929C90E}" srcId="{58A2FC54-AB67-4063-9739-49496F7EA6B5}" destId="{C65D5E38-410C-45A8-951D-51BAF984405A}" srcOrd="1" destOrd="0" parTransId="{BE5817D9-4EEB-4553-975E-7743EE8E671C}" sibTransId="{301C0DEF-3FE8-40AA-A56F-DA7E9F57B61D}"/>
    <dgm:cxn modelId="{331B95A1-721E-4CE9-8B84-07CC962796D6}" type="presOf" srcId="{00FE76F6-242F-4581-AFB3-051265D09ECA}" destId="{90AF2C65-B76E-4BA5-9E96-FB6E0B68DCED}" srcOrd="0" destOrd="0" presId="urn:microsoft.com/office/officeart/2005/8/layout/cycle5"/>
    <dgm:cxn modelId="{A1F9B9CD-6D6D-4462-92F6-CF1CA4F65EAD}" type="presParOf" srcId="{A31BCF52-719E-46C1-B53E-BB778C427FA5}" destId="{05001772-8824-45FB-ACA7-03BB58EA4E23}" srcOrd="0" destOrd="0" presId="urn:microsoft.com/office/officeart/2005/8/layout/cycle5"/>
    <dgm:cxn modelId="{399986B6-1126-4D97-940B-1EA5B75EBC34}" type="presParOf" srcId="{A31BCF52-719E-46C1-B53E-BB778C427FA5}" destId="{F2CAF386-F273-4C2A-B1C4-61F9F138E424}" srcOrd="1" destOrd="0" presId="urn:microsoft.com/office/officeart/2005/8/layout/cycle5"/>
    <dgm:cxn modelId="{7317C722-A253-4577-A601-CF74BF17B97D}" type="presParOf" srcId="{A31BCF52-719E-46C1-B53E-BB778C427FA5}" destId="{B21288D6-4CCF-4BC4-B6A9-7061A95C16C7}" srcOrd="2" destOrd="0" presId="urn:microsoft.com/office/officeart/2005/8/layout/cycle5"/>
    <dgm:cxn modelId="{C2B90C4B-A39F-46EE-AF14-3EC488E8D8A1}" type="presParOf" srcId="{A31BCF52-719E-46C1-B53E-BB778C427FA5}" destId="{2A96BC4B-CCE2-497A-97BC-38D2C6D4231D}" srcOrd="3" destOrd="0" presId="urn:microsoft.com/office/officeart/2005/8/layout/cycle5"/>
    <dgm:cxn modelId="{543AF57C-7517-415A-A40C-FA77B2736DFF}" type="presParOf" srcId="{A31BCF52-719E-46C1-B53E-BB778C427FA5}" destId="{ED23EB29-2795-4B29-A47B-E6AF313E8783}" srcOrd="4" destOrd="0" presId="urn:microsoft.com/office/officeart/2005/8/layout/cycle5"/>
    <dgm:cxn modelId="{59B8B418-86C6-4F83-9A34-081C35C1194F}" type="presParOf" srcId="{A31BCF52-719E-46C1-B53E-BB778C427FA5}" destId="{9955A05A-5AB9-4158-BEA9-4B575B7CEFA1}" srcOrd="5" destOrd="0" presId="urn:microsoft.com/office/officeart/2005/8/layout/cycle5"/>
    <dgm:cxn modelId="{13F3CC0F-065D-4AC6-9933-0C32066D395F}" type="presParOf" srcId="{A31BCF52-719E-46C1-B53E-BB778C427FA5}" destId="{90AF2C65-B76E-4BA5-9E96-FB6E0B68DCED}" srcOrd="6" destOrd="0" presId="urn:microsoft.com/office/officeart/2005/8/layout/cycle5"/>
    <dgm:cxn modelId="{4E2CA214-EEA3-4CF9-8717-32B74DBCF69C}" type="presParOf" srcId="{A31BCF52-719E-46C1-B53E-BB778C427FA5}" destId="{372E982A-C01D-4026-84ED-68234D40CA12}" srcOrd="7" destOrd="0" presId="urn:microsoft.com/office/officeart/2005/8/layout/cycle5"/>
    <dgm:cxn modelId="{8190F027-6D35-45F1-924E-411AA88F36A7}" type="presParOf" srcId="{A31BCF52-719E-46C1-B53E-BB778C427FA5}" destId="{295FD2E3-290F-4587-995A-518B2DBE3520}" srcOrd="8" destOrd="0" presId="urn:microsoft.com/office/officeart/2005/8/layout/cycle5"/>
    <dgm:cxn modelId="{4DD8629F-558F-4B07-BE17-919076F5F849}" type="presParOf" srcId="{A31BCF52-719E-46C1-B53E-BB778C427FA5}" destId="{5A1E5AA6-5901-45B0-AD49-7A647123FB83}" srcOrd="9" destOrd="0" presId="urn:microsoft.com/office/officeart/2005/8/layout/cycle5"/>
    <dgm:cxn modelId="{A1340FEF-834E-4E67-B4B8-579CD82F49B5}" type="presParOf" srcId="{A31BCF52-719E-46C1-B53E-BB778C427FA5}" destId="{D3F0BABD-F7FC-4610-BD42-735EF89CF5C1}" srcOrd="10" destOrd="0" presId="urn:microsoft.com/office/officeart/2005/8/layout/cycle5"/>
    <dgm:cxn modelId="{D6340BA9-86E2-41BF-8B19-F655D452728E}" type="presParOf" srcId="{A31BCF52-719E-46C1-B53E-BB778C427FA5}" destId="{6C1D61E4-BCFF-410A-9B08-35595C2F1D7B}" srcOrd="11" destOrd="0" presId="urn:microsoft.com/office/officeart/2005/8/layout/cycle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01772-8824-45FB-ACA7-03BB58EA4E23}">
      <dsp:nvSpPr>
        <dsp:cNvPr id="0" name=""/>
        <dsp:cNvSpPr/>
      </dsp:nvSpPr>
      <dsp:spPr>
        <a:xfrm>
          <a:off x="1930378" y="1764"/>
          <a:ext cx="1598352" cy="742659"/>
        </a:xfrm>
        <a:prstGeom prst="roundRect">
          <a:avLst/>
        </a:prstGeom>
        <a:solidFill>
          <a:schemeClr val="accent1">
            <a:hueOff val="0"/>
            <a:satOff val="0"/>
            <a:lumOff val="0"/>
            <a:alpha val="33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b="1" kern="1200">
              <a:solidFill>
                <a:schemeClr val="accent1">
                  <a:lumMod val="75000"/>
                </a:schemeClr>
              </a:solidFill>
              <a:latin typeface="Arial" panose="020B0604020202020204" pitchFamily="34" charset="0"/>
              <a:cs typeface="Arial" panose="020B0604020202020204" pitchFamily="34" charset="0"/>
            </a:rPr>
            <a:t>Plan! </a:t>
          </a:r>
          <a:r>
            <a:rPr lang="en-AU" sz="800" b="1" kern="1200">
              <a:solidFill>
                <a:schemeClr val="accent1">
                  <a:lumMod val="75000"/>
                </a:schemeClr>
              </a:solidFill>
              <a:latin typeface="Arial" panose="020B0604020202020204" pitchFamily="34" charset="0"/>
              <a:cs typeface="Arial" panose="020B0604020202020204" pitchFamily="34" charset="0"/>
            </a:rPr>
            <a:t/>
          </a:r>
          <a:br>
            <a:rPr lang="en-AU" sz="800" b="1" kern="1200">
              <a:solidFill>
                <a:schemeClr val="accent1">
                  <a:lumMod val="75000"/>
                </a:schemeClr>
              </a:solidFill>
              <a:latin typeface="Arial" panose="020B0604020202020204" pitchFamily="34" charset="0"/>
              <a:cs typeface="Arial" panose="020B0604020202020204" pitchFamily="34" charset="0"/>
            </a:rPr>
          </a:br>
          <a:r>
            <a:rPr lang="en-AU" sz="800" b="1" kern="1200">
              <a:solidFill>
                <a:schemeClr val="accent1">
                  <a:lumMod val="75000"/>
                </a:schemeClr>
              </a:solidFill>
              <a:latin typeface="+mn-lt"/>
              <a:cs typeface="Arial" panose="020B0604020202020204" pitchFamily="34" charset="0"/>
            </a:rPr>
            <a:t>(Plan improvements, including getting feedback from consumers)</a:t>
          </a:r>
        </a:p>
      </dsp:txBody>
      <dsp:txXfrm>
        <a:off x="1966632" y="38018"/>
        <a:ext cx="1525844" cy="670151"/>
      </dsp:txXfrm>
    </dsp:sp>
    <dsp:sp modelId="{B21288D6-4CCF-4BC4-B6A9-7061A95C16C7}">
      <dsp:nvSpPr>
        <dsp:cNvPr id="0" name=""/>
        <dsp:cNvSpPr/>
      </dsp:nvSpPr>
      <dsp:spPr>
        <a:xfrm>
          <a:off x="1502449" y="373093"/>
          <a:ext cx="2454212" cy="2454212"/>
        </a:xfrm>
        <a:custGeom>
          <a:avLst/>
          <a:gdLst/>
          <a:ahLst/>
          <a:cxnLst/>
          <a:rect l="0" t="0" r="0" b="0"/>
          <a:pathLst>
            <a:path>
              <a:moveTo>
                <a:pt x="2123182" y="388752"/>
              </a:moveTo>
              <a:arcTo wR="1227106" hR="1227106" stAng="19014367" swAng="1152655"/>
            </a:path>
          </a:pathLst>
        </a:custGeom>
        <a:noFill/>
        <a:ln w="76200" cap="flat" cmpd="sng" algn="ctr">
          <a:solidFill>
            <a:schemeClr val="tx2">
              <a:lumMod val="60000"/>
              <a:lumOff val="40000"/>
            </a:schemeClr>
          </a:solidFill>
          <a:prstDash val="solid"/>
          <a:tailEnd type="arrow"/>
        </a:ln>
        <a:effectLst/>
      </dsp:spPr>
      <dsp:style>
        <a:lnRef idx="1">
          <a:scrgbClr r="0" g="0" b="0"/>
        </a:lnRef>
        <a:fillRef idx="0">
          <a:scrgbClr r="0" g="0" b="0"/>
        </a:fillRef>
        <a:effectRef idx="0">
          <a:scrgbClr r="0" g="0" b="0"/>
        </a:effectRef>
        <a:fontRef idx="minor"/>
      </dsp:style>
    </dsp:sp>
    <dsp:sp modelId="{2A96BC4B-CCE2-497A-97BC-38D2C6D4231D}">
      <dsp:nvSpPr>
        <dsp:cNvPr id="0" name=""/>
        <dsp:cNvSpPr/>
      </dsp:nvSpPr>
      <dsp:spPr>
        <a:xfrm>
          <a:off x="3177593" y="1228870"/>
          <a:ext cx="1558134" cy="742659"/>
        </a:xfrm>
        <a:prstGeom prst="roundRect">
          <a:avLst/>
        </a:prstGeom>
        <a:solidFill>
          <a:schemeClr val="accent1">
            <a:hueOff val="0"/>
            <a:satOff val="0"/>
            <a:lumOff val="0"/>
            <a:alpha val="33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b="1" kern="1200">
              <a:solidFill>
                <a:schemeClr val="accent1">
                  <a:lumMod val="75000"/>
                </a:schemeClr>
              </a:solidFill>
            </a:rPr>
            <a:t>Do!</a:t>
          </a:r>
          <a:r>
            <a:rPr lang="en-AU" sz="800" b="1" kern="1200">
              <a:solidFill>
                <a:schemeClr val="accent1">
                  <a:lumMod val="75000"/>
                </a:schemeClr>
              </a:solidFill>
            </a:rPr>
            <a:t/>
          </a:r>
          <a:br>
            <a:rPr lang="en-AU" sz="800" b="1" kern="1200">
              <a:solidFill>
                <a:schemeClr val="accent1">
                  <a:lumMod val="75000"/>
                </a:schemeClr>
              </a:solidFill>
            </a:rPr>
          </a:br>
          <a:r>
            <a:rPr lang="en-AU" sz="800" b="1" kern="1200">
              <a:solidFill>
                <a:schemeClr val="accent1">
                  <a:lumMod val="75000"/>
                </a:schemeClr>
              </a:solidFill>
            </a:rPr>
            <a:t>(Implement the improvements to address consumers concerns)</a:t>
          </a:r>
        </a:p>
      </dsp:txBody>
      <dsp:txXfrm>
        <a:off x="3213847" y="1265124"/>
        <a:ext cx="1485626" cy="670151"/>
      </dsp:txXfrm>
    </dsp:sp>
    <dsp:sp modelId="{9955A05A-5AB9-4158-BEA9-4B575B7CEFA1}">
      <dsp:nvSpPr>
        <dsp:cNvPr id="0" name=""/>
        <dsp:cNvSpPr/>
      </dsp:nvSpPr>
      <dsp:spPr>
        <a:xfrm>
          <a:off x="1511892" y="344567"/>
          <a:ext cx="2454212" cy="2454212"/>
        </a:xfrm>
        <a:custGeom>
          <a:avLst/>
          <a:gdLst/>
          <a:ahLst/>
          <a:cxnLst/>
          <a:rect l="0" t="0" r="0" b="0"/>
          <a:pathLst>
            <a:path>
              <a:moveTo>
                <a:pt x="2341371" y="1741111"/>
              </a:moveTo>
              <a:arcTo wR="1227106" hR="1227106" stAng="1485820" swAng="1052942"/>
            </a:path>
          </a:pathLst>
        </a:custGeom>
        <a:noFill/>
        <a:ln w="76200" cap="flat" cmpd="sng" algn="ctr">
          <a:solidFill>
            <a:schemeClr val="tx2">
              <a:lumMod val="60000"/>
              <a:lumOff val="40000"/>
            </a:schemeClr>
          </a:solidFill>
          <a:prstDash val="solid"/>
          <a:tailEnd type="arrow"/>
        </a:ln>
        <a:effectLst/>
      </dsp:spPr>
      <dsp:style>
        <a:lnRef idx="1">
          <a:scrgbClr r="0" g="0" b="0"/>
        </a:lnRef>
        <a:fillRef idx="0">
          <a:scrgbClr r="0" g="0" b="0"/>
        </a:fillRef>
        <a:effectRef idx="0">
          <a:scrgbClr r="0" g="0" b="0"/>
        </a:effectRef>
        <a:fontRef idx="minor"/>
      </dsp:style>
    </dsp:sp>
    <dsp:sp modelId="{90AF2C65-B76E-4BA5-9E96-FB6E0B68DCED}">
      <dsp:nvSpPr>
        <dsp:cNvPr id="0" name=""/>
        <dsp:cNvSpPr/>
      </dsp:nvSpPr>
      <dsp:spPr>
        <a:xfrm>
          <a:off x="1899958" y="2441349"/>
          <a:ext cx="1659193" cy="742659"/>
        </a:xfrm>
        <a:prstGeom prst="roundRect">
          <a:avLst/>
        </a:prstGeom>
        <a:solidFill>
          <a:schemeClr val="accent1">
            <a:hueOff val="0"/>
            <a:satOff val="0"/>
            <a:lumOff val="0"/>
            <a:alpha val="33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b="1" kern="1200">
              <a:solidFill>
                <a:schemeClr val="accent1">
                  <a:lumMod val="75000"/>
                </a:schemeClr>
              </a:solidFill>
            </a:rPr>
            <a:t>Check !</a:t>
          </a:r>
          <a:r>
            <a:rPr lang="en-AU" sz="800" b="1" kern="1200">
              <a:solidFill>
                <a:schemeClr val="accent1">
                  <a:lumMod val="75000"/>
                </a:schemeClr>
              </a:solidFill>
            </a:rPr>
            <a:t/>
          </a:r>
          <a:br>
            <a:rPr lang="en-AU" sz="800" b="1" kern="1200">
              <a:solidFill>
                <a:schemeClr val="accent1">
                  <a:lumMod val="75000"/>
                </a:schemeClr>
              </a:solidFill>
            </a:rPr>
          </a:br>
          <a:r>
            <a:rPr lang="en-AU" sz="800" b="1" kern="1200">
              <a:solidFill>
                <a:schemeClr val="accent1">
                  <a:lumMod val="75000"/>
                </a:schemeClr>
              </a:solidFill>
            </a:rPr>
            <a:t>(Check back with consumers. Are the improvements doing what we wanted? Can we improve more?)</a:t>
          </a:r>
        </a:p>
      </dsp:txBody>
      <dsp:txXfrm>
        <a:off x="1936212" y="2477603"/>
        <a:ext cx="1586685" cy="670151"/>
      </dsp:txXfrm>
    </dsp:sp>
    <dsp:sp modelId="{295FD2E3-290F-4587-995A-518B2DBE3520}">
      <dsp:nvSpPr>
        <dsp:cNvPr id="0" name=""/>
        <dsp:cNvSpPr/>
      </dsp:nvSpPr>
      <dsp:spPr>
        <a:xfrm>
          <a:off x="1493005" y="344567"/>
          <a:ext cx="2454212" cy="2454212"/>
        </a:xfrm>
        <a:custGeom>
          <a:avLst/>
          <a:gdLst/>
          <a:ahLst/>
          <a:cxnLst/>
          <a:rect l="0" t="0" r="0" b="0"/>
          <a:pathLst>
            <a:path>
              <a:moveTo>
                <a:pt x="319683" y="2053164"/>
              </a:moveTo>
              <a:arcTo wR="1227106" hR="1227106" stAng="8261238" swAng="1052942"/>
            </a:path>
          </a:pathLst>
        </a:custGeom>
        <a:noFill/>
        <a:ln w="76200" cap="flat" cmpd="sng" algn="ctr">
          <a:solidFill>
            <a:schemeClr val="tx2">
              <a:lumMod val="60000"/>
              <a:lumOff val="40000"/>
            </a:schemeClr>
          </a:solidFill>
          <a:prstDash val="solid"/>
          <a:tailEnd type="arrow"/>
        </a:ln>
        <a:effectLst/>
      </dsp:spPr>
      <dsp:style>
        <a:lnRef idx="1">
          <a:scrgbClr r="0" g="0" b="0"/>
        </a:lnRef>
        <a:fillRef idx="0">
          <a:scrgbClr r="0" g="0" b="0"/>
        </a:fillRef>
        <a:effectRef idx="0">
          <a:scrgbClr r="0" g="0" b="0"/>
        </a:effectRef>
        <a:fontRef idx="minor"/>
      </dsp:style>
    </dsp:sp>
    <dsp:sp modelId="{5A1E5AA6-5901-45B0-AD49-7A647123FB83}">
      <dsp:nvSpPr>
        <dsp:cNvPr id="0" name=""/>
        <dsp:cNvSpPr/>
      </dsp:nvSpPr>
      <dsp:spPr>
        <a:xfrm>
          <a:off x="750671" y="1228870"/>
          <a:ext cx="1503554" cy="742659"/>
        </a:xfrm>
        <a:prstGeom prst="roundRect">
          <a:avLst/>
        </a:prstGeom>
        <a:solidFill>
          <a:schemeClr val="accent1">
            <a:hueOff val="0"/>
            <a:satOff val="0"/>
            <a:lumOff val="0"/>
            <a:alpha val="33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AU" sz="2000" b="1" kern="1200">
              <a:solidFill>
                <a:schemeClr val="accent1">
                  <a:lumMod val="75000"/>
                </a:schemeClr>
              </a:solidFill>
            </a:rPr>
            <a:t>Act!</a:t>
          </a:r>
          <a:r>
            <a:rPr lang="en-AU" sz="800" b="1" kern="1200">
              <a:solidFill>
                <a:schemeClr val="accent1">
                  <a:lumMod val="75000"/>
                </a:schemeClr>
              </a:solidFill>
            </a:rPr>
            <a:t/>
          </a:r>
          <a:br>
            <a:rPr lang="en-AU" sz="800" b="1" kern="1200">
              <a:solidFill>
                <a:schemeClr val="accent1">
                  <a:lumMod val="75000"/>
                </a:schemeClr>
              </a:solidFill>
            </a:rPr>
          </a:br>
          <a:r>
            <a:rPr lang="en-AU" sz="800" b="1" kern="1200">
              <a:solidFill>
                <a:schemeClr val="accent1">
                  <a:lumMod val="75000"/>
                </a:schemeClr>
              </a:solidFill>
            </a:rPr>
            <a:t>(Make refinements to the improvements and identify new improvement projects)</a:t>
          </a:r>
        </a:p>
      </dsp:txBody>
      <dsp:txXfrm>
        <a:off x="786925" y="1265124"/>
        <a:ext cx="1431046" cy="670151"/>
      </dsp:txXfrm>
    </dsp:sp>
    <dsp:sp modelId="{6C1D61E4-BCFF-410A-9B08-35595C2F1D7B}">
      <dsp:nvSpPr>
        <dsp:cNvPr id="0" name=""/>
        <dsp:cNvSpPr/>
      </dsp:nvSpPr>
      <dsp:spPr>
        <a:xfrm>
          <a:off x="1502449" y="373093"/>
          <a:ext cx="2454212" cy="2454212"/>
        </a:xfrm>
        <a:custGeom>
          <a:avLst/>
          <a:gdLst/>
          <a:ahLst/>
          <a:cxnLst/>
          <a:rect l="0" t="0" r="0" b="0"/>
          <a:pathLst>
            <a:path>
              <a:moveTo>
                <a:pt x="105071" y="730287"/>
              </a:moveTo>
              <a:arcTo wR="1227106" hR="1227106" stAng="12232978" swAng="1152655"/>
            </a:path>
          </a:pathLst>
        </a:custGeom>
        <a:noFill/>
        <a:ln w="76200" cap="flat" cmpd="sng" algn="ctr">
          <a:solidFill>
            <a:schemeClr val="tx2">
              <a:lumMod val="60000"/>
              <a:lumOff val="4000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1830</TotalTime>
  <Pages>8</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Ludowici Robyn</dc:creator>
  <cp:lastModifiedBy>Lillianna Crino</cp:lastModifiedBy>
  <cp:revision>19</cp:revision>
  <cp:lastPrinted>2015-01-08T23:40:00Z</cp:lastPrinted>
  <dcterms:created xsi:type="dcterms:W3CDTF">2015-01-08T23:41:00Z</dcterms:created>
  <dcterms:modified xsi:type="dcterms:W3CDTF">2015-06-22T04:22:00Z</dcterms:modified>
</cp:coreProperties>
</file>