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80" w:rsidRDefault="006C0B80" w:rsidP="0020098C">
      <w:pPr>
        <w:pStyle w:val="Frontpagesubhead"/>
        <w:rPr>
          <w:rFonts w:ascii="Arial" w:hAnsi="Arial" w:cs="Arial"/>
          <w:b/>
          <w:color w:val="000000" w:themeColor="text1"/>
          <w:sz w:val="32"/>
          <w:szCs w:val="32"/>
        </w:rPr>
      </w:pPr>
    </w:p>
    <w:p w:rsidR="006C0B80" w:rsidRDefault="0020098C" w:rsidP="006C0B80">
      <w:pPr>
        <w:pStyle w:val="Frontpagesubhead"/>
        <w:jc w:val="center"/>
        <w:rPr>
          <w:rFonts w:ascii="Arial" w:hAnsi="Arial" w:cs="Arial"/>
          <w:b/>
          <w:color w:val="000000" w:themeColor="text1"/>
          <w:sz w:val="32"/>
          <w:szCs w:val="32"/>
        </w:rPr>
      </w:pPr>
      <w:bookmarkStart w:id="0" w:name="_GoBack"/>
      <w:r>
        <w:rPr>
          <w:rFonts w:ascii="Arial" w:hAnsi="Arial" w:cs="Arial"/>
          <w:noProof/>
        </w:rPr>
        <w:drawing>
          <wp:inline distT="0" distB="0" distL="0" distR="0" wp14:anchorId="006B13AD" wp14:editId="26DE89DF">
            <wp:extent cx="4371975" cy="561975"/>
            <wp:effectExtent l="0" t="0" r="9525" b="9525"/>
            <wp:docPr id="18" name="Picture 19" title="Australian Commission on Safety and Quality in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4371975" cy="561975"/>
                    </a:xfrm>
                    <a:prstGeom prst="rect">
                      <a:avLst/>
                    </a:prstGeom>
                    <a:noFill/>
                    <a:ln w="9525">
                      <a:noFill/>
                      <a:miter lim="800000"/>
                      <a:headEnd/>
                      <a:tailEnd/>
                    </a:ln>
                  </pic:spPr>
                </pic:pic>
              </a:graphicData>
            </a:graphic>
          </wp:inline>
        </w:drawing>
      </w:r>
      <w:bookmarkEnd w:id="0"/>
    </w:p>
    <w:p w:rsidR="006C0B80" w:rsidRDefault="006C0B80" w:rsidP="006C0B80">
      <w:pPr>
        <w:pStyle w:val="Frontpagesubhead"/>
        <w:jc w:val="center"/>
        <w:rPr>
          <w:rFonts w:ascii="Arial" w:hAnsi="Arial" w:cs="Arial"/>
          <w:b/>
          <w:color w:val="000000" w:themeColor="text1"/>
          <w:sz w:val="32"/>
          <w:szCs w:val="32"/>
        </w:rPr>
      </w:pPr>
    </w:p>
    <w:p w:rsidR="006C0B80" w:rsidRDefault="006C0B80" w:rsidP="006C0B80">
      <w:pPr>
        <w:pStyle w:val="Frontpagesubhead"/>
        <w:jc w:val="center"/>
        <w:rPr>
          <w:rFonts w:ascii="Arial" w:hAnsi="Arial" w:cs="Arial"/>
          <w:b/>
          <w:color w:val="000000" w:themeColor="text1"/>
          <w:sz w:val="32"/>
          <w:szCs w:val="32"/>
        </w:rPr>
      </w:pPr>
    </w:p>
    <w:p w:rsidR="006C0B80" w:rsidRDefault="006C0B80" w:rsidP="006C0B80">
      <w:pPr>
        <w:pStyle w:val="Frontpagesubhead"/>
        <w:jc w:val="center"/>
        <w:rPr>
          <w:rFonts w:ascii="Arial" w:hAnsi="Arial" w:cs="Arial"/>
          <w:b/>
          <w:color w:val="000000" w:themeColor="text1"/>
          <w:sz w:val="32"/>
          <w:szCs w:val="32"/>
        </w:rPr>
      </w:pPr>
    </w:p>
    <w:p w:rsidR="006C0B80" w:rsidRDefault="006C0B80" w:rsidP="006C0B80">
      <w:pPr>
        <w:pStyle w:val="Frontpagesubhead"/>
        <w:jc w:val="center"/>
        <w:rPr>
          <w:rFonts w:ascii="Arial" w:hAnsi="Arial" w:cs="Arial"/>
          <w:b/>
          <w:color w:val="000000" w:themeColor="text1"/>
          <w:sz w:val="32"/>
          <w:szCs w:val="32"/>
        </w:rPr>
      </w:pPr>
    </w:p>
    <w:p w:rsidR="006C0B80" w:rsidRDefault="006C0B80" w:rsidP="006C0B80">
      <w:pPr>
        <w:pStyle w:val="Frontpagesubhead"/>
        <w:jc w:val="center"/>
        <w:rPr>
          <w:rFonts w:ascii="Arial" w:hAnsi="Arial" w:cs="Arial"/>
          <w:b/>
          <w:color w:val="000000" w:themeColor="text1"/>
          <w:sz w:val="32"/>
          <w:szCs w:val="32"/>
        </w:rPr>
      </w:pPr>
    </w:p>
    <w:p w:rsidR="006C0B80" w:rsidRPr="006C0B80" w:rsidRDefault="006C0B80" w:rsidP="006C0B80">
      <w:pPr>
        <w:pStyle w:val="Frontpagesubhead"/>
        <w:jc w:val="center"/>
        <w:rPr>
          <w:rFonts w:ascii="Arial" w:hAnsi="Arial" w:cs="Arial"/>
          <w:b/>
          <w:color w:val="000000" w:themeColor="text1"/>
          <w:sz w:val="32"/>
          <w:szCs w:val="32"/>
        </w:rPr>
      </w:pPr>
    </w:p>
    <w:p w:rsidR="00EB4B9D" w:rsidRDefault="002375D0" w:rsidP="000D5088">
      <w:pPr>
        <w:pStyle w:val="Frontpagesubhead"/>
        <w:jc w:val="center"/>
        <w:rPr>
          <w:rFonts w:ascii="Arial" w:hAnsi="Arial" w:cs="Arial"/>
          <w:b/>
          <w:color w:val="000000" w:themeColor="text1"/>
          <w:sz w:val="32"/>
          <w:szCs w:val="32"/>
        </w:rPr>
      </w:pPr>
      <w:bookmarkStart w:id="1" w:name="_Toc402448401"/>
      <w:r>
        <w:rPr>
          <w:rFonts w:ascii="Arial" w:hAnsi="Arial" w:cs="Arial"/>
          <w:b/>
          <w:color w:val="000000" w:themeColor="text1"/>
          <w:sz w:val="32"/>
          <w:szCs w:val="32"/>
        </w:rPr>
        <w:t xml:space="preserve">Third </w:t>
      </w:r>
      <w:r w:rsidR="000D5088">
        <w:rPr>
          <w:rFonts w:ascii="Arial" w:hAnsi="Arial" w:cs="Arial"/>
          <w:b/>
          <w:color w:val="000000" w:themeColor="text1"/>
          <w:sz w:val="32"/>
          <w:szCs w:val="32"/>
        </w:rPr>
        <w:t xml:space="preserve">Clinical Safety </w:t>
      </w:r>
      <w:r w:rsidR="00464324">
        <w:rPr>
          <w:rFonts w:ascii="Arial" w:hAnsi="Arial" w:cs="Arial"/>
          <w:b/>
          <w:color w:val="000000" w:themeColor="text1"/>
          <w:sz w:val="32"/>
          <w:szCs w:val="32"/>
        </w:rPr>
        <w:t>Review of the Personally Controlled Electronic Health Record (</w:t>
      </w:r>
      <w:r w:rsidR="00523021">
        <w:rPr>
          <w:rFonts w:ascii="Arial" w:hAnsi="Arial" w:cs="Arial"/>
          <w:b/>
          <w:color w:val="000000" w:themeColor="text1"/>
          <w:sz w:val="32"/>
          <w:szCs w:val="32"/>
        </w:rPr>
        <w:t>PCEHR</w:t>
      </w:r>
      <w:r w:rsidR="00464324">
        <w:rPr>
          <w:rFonts w:ascii="Arial" w:hAnsi="Arial" w:cs="Arial"/>
          <w:b/>
          <w:color w:val="000000" w:themeColor="text1"/>
          <w:sz w:val="32"/>
          <w:szCs w:val="32"/>
        </w:rPr>
        <w:t>)</w:t>
      </w:r>
      <w:r w:rsidR="00EB4B9D">
        <w:rPr>
          <w:rFonts w:ascii="Arial" w:hAnsi="Arial" w:cs="Arial"/>
          <w:b/>
          <w:color w:val="000000" w:themeColor="text1"/>
          <w:sz w:val="32"/>
          <w:szCs w:val="32"/>
        </w:rPr>
        <w:t xml:space="preserve"> </w:t>
      </w:r>
    </w:p>
    <w:p w:rsidR="006C0B80" w:rsidRPr="006C0B80" w:rsidRDefault="002E6CD8" w:rsidP="000D5088">
      <w:pPr>
        <w:pStyle w:val="Frontpagesubhead"/>
        <w:jc w:val="center"/>
        <w:rPr>
          <w:rFonts w:ascii="Arial" w:hAnsi="Arial" w:cs="Arial"/>
          <w:b/>
          <w:color w:val="000000" w:themeColor="text1"/>
          <w:sz w:val="32"/>
          <w:szCs w:val="32"/>
        </w:rPr>
      </w:pPr>
      <w:r>
        <w:rPr>
          <w:rFonts w:ascii="Arial" w:hAnsi="Arial" w:cs="Arial"/>
          <w:b/>
          <w:color w:val="000000" w:themeColor="text1"/>
          <w:sz w:val="32"/>
          <w:szCs w:val="32"/>
        </w:rPr>
        <w:t>December 2013</w:t>
      </w:r>
    </w:p>
    <w:p w:rsidR="006C0B80" w:rsidRDefault="006C0B80" w:rsidP="006C0B80">
      <w:pPr>
        <w:pStyle w:val="Frontpagesubhead"/>
        <w:jc w:val="center"/>
        <w:rPr>
          <w:rFonts w:ascii="Arial" w:hAnsi="Arial" w:cs="Arial"/>
          <w:b/>
          <w:color w:val="000000" w:themeColor="text1"/>
          <w:sz w:val="32"/>
          <w:szCs w:val="32"/>
        </w:rPr>
      </w:pPr>
    </w:p>
    <w:p w:rsidR="00EC070E" w:rsidRPr="00EC070E" w:rsidRDefault="00EC070E" w:rsidP="00EC070E">
      <w:pPr>
        <w:pStyle w:val="HeadingLevel1NoNumber"/>
        <w:jc w:val="center"/>
        <w:rPr>
          <w:rFonts w:ascii="Arial" w:hAnsi="Arial" w:cs="Arial"/>
          <w:i/>
          <w:sz w:val="20"/>
          <w:szCs w:val="22"/>
          <w:lang w:bidi="en-US"/>
        </w:rPr>
      </w:pPr>
      <w:bookmarkStart w:id="2" w:name="_Toc403469563"/>
      <w:bookmarkStart w:id="3" w:name="_Toc403470080"/>
      <w:r w:rsidRPr="005A20DB">
        <w:rPr>
          <w:rFonts w:ascii="Arial" w:hAnsi="Arial" w:cs="Arial"/>
          <w:i/>
          <w:sz w:val="20"/>
          <w:szCs w:val="22"/>
          <w:lang w:bidi="en-US"/>
        </w:rPr>
        <w:t xml:space="preserve">Undertaken by </w:t>
      </w:r>
      <w:r>
        <w:rPr>
          <w:rFonts w:ascii="Arial" w:hAnsi="Arial" w:cs="Arial"/>
          <w:i/>
          <w:sz w:val="20"/>
          <w:szCs w:val="22"/>
          <w:lang w:bidi="en-US"/>
        </w:rPr>
        <w:t>PwC</w:t>
      </w:r>
      <w:r w:rsidRPr="005A20DB">
        <w:rPr>
          <w:rFonts w:ascii="Arial" w:hAnsi="Arial" w:cs="Arial"/>
          <w:i/>
          <w:sz w:val="20"/>
          <w:szCs w:val="22"/>
          <w:lang w:bidi="en-US"/>
        </w:rPr>
        <w:t xml:space="preserve"> on behalf of</w:t>
      </w:r>
      <w:bookmarkEnd w:id="2"/>
      <w:bookmarkEnd w:id="3"/>
    </w:p>
    <w:p w:rsidR="006C0B80" w:rsidRPr="006C0B80" w:rsidRDefault="006C0B80" w:rsidP="006C0B80">
      <w:pPr>
        <w:pStyle w:val="Frontpagesubhead"/>
        <w:jc w:val="center"/>
        <w:rPr>
          <w:rFonts w:ascii="Arial" w:hAnsi="Arial" w:cs="Arial"/>
          <w:b/>
          <w:color w:val="000000" w:themeColor="text1"/>
          <w:sz w:val="22"/>
          <w:lang w:bidi="en-US"/>
        </w:rPr>
      </w:pPr>
      <w:r w:rsidRPr="006C0B80">
        <w:rPr>
          <w:rFonts w:ascii="Arial" w:hAnsi="Arial" w:cs="Arial"/>
          <w:b/>
          <w:color w:val="000000" w:themeColor="text1"/>
          <w:sz w:val="22"/>
          <w:lang w:bidi="en-US"/>
        </w:rPr>
        <w:t>Australian Commission on Safety and Quality in Health</w:t>
      </w:r>
      <w:r w:rsidR="000A6F8D">
        <w:rPr>
          <w:rFonts w:ascii="Arial" w:hAnsi="Arial" w:cs="Arial"/>
          <w:b/>
          <w:color w:val="000000" w:themeColor="text1"/>
          <w:sz w:val="22"/>
          <w:lang w:bidi="en-US"/>
        </w:rPr>
        <w:t xml:space="preserve"> C</w:t>
      </w:r>
      <w:r w:rsidRPr="006C0B80">
        <w:rPr>
          <w:rFonts w:ascii="Arial" w:hAnsi="Arial" w:cs="Arial"/>
          <w:b/>
          <w:color w:val="000000" w:themeColor="text1"/>
          <w:sz w:val="22"/>
          <w:lang w:bidi="en-US"/>
        </w:rPr>
        <w:t>are</w:t>
      </w:r>
      <w:bookmarkStart w:id="4" w:name="_Toc402448402"/>
      <w:bookmarkEnd w:id="1"/>
    </w:p>
    <w:bookmarkEnd w:id="4"/>
    <w:p w:rsidR="006C0B80" w:rsidRPr="006C0B80" w:rsidRDefault="006C0B80" w:rsidP="006C0B80">
      <w:pPr>
        <w:pStyle w:val="Frontpagesubhead"/>
        <w:jc w:val="center"/>
        <w:rPr>
          <w:rFonts w:ascii="Arial" w:hAnsi="Arial" w:cs="Arial"/>
          <w:b/>
          <w:color w:val="000000" w:themeColor="text1"/>
          <w:sz w:val="22"/>
          <w:lang w:bidi="en-US"/>
        </w:rPr>
      </w:pPr>
    </w:p>
    <w:p w:rsidR="006C0B80" w:rsidRDefault="006C0B80" w:rsidP="006C0B80">
      <w:pPr>
        <w:pStyle w:val="Heading2"/>
      </w:pPr>
      <w:bookmarkStart w:id="5" w:name="_Toc374390386"/>
    </w:p>
    <w:p w:rsidR="006C0B80" w:rsidRDefault="006C0B80" w:rsidP="006C0B80">
      <w:pPr>
        <w:pStyle w:val="Heading2"/>
      </w:pPr>
    </w:p>
    <w:p w:rsidR="006C0B80" w:rsidRDefault="006C0B80" w:rsidP="006C0B80">
      <w:pPr>
        <w:pStyle w:val="Heading2"/>
      </w:pPr>
    </w:p>
    <w:p w:rsidR="006C0B80" w:rsidRDefault="006C0B80" w:rsidP="006C0B80">
      <w:pPr>
        <w:pStyle w:val="Heading2"/>
      </w:pPr>
    </w:p>
    <w:p w:rsidR="006C0B80" w:rsidRDefault="006C0B80" w:rsidP="006C0B80">
      <w:pPr>
        <w:pStyle w:val="Heading2"/>
      </w:pPr>
    </w:p>
    <w:p w:rsidR="00D14A54" w:rsidRDefault="00D14A54" w:rsidP="00D14A54"/>
    <w:p w:rsidR="00D14A54" w:rsidRDefault="00D14A54" w:rsidP="00D14A54"/>
    <w:p w:rsidR="00D14A54" w:rsidRDefault="00D14A54" w:rsidP="00D14A54"/>
    <w:p w:rsidR="00D14A54" w:rsidRDefault="00D14A54" w:rsidP="00D14A54"/>
    <w:p w:rsidR="00D14A54" w:rsidRPr="00D14A54" w:rsidRDefault="00D14A54" w:rsidP="00D14A54"/>
    <w:p w:rsidR="006C0B80" w:rsidRDefault="006C0B80" w:rsidP="006C0B80">
      <w:pPr>
        <w:pStyle w:val="Heading2"/>
      </w:pPr>
    </w:p>
    <w:p w:rsidR="006C0B80" w:rsidRDefault="006C0B80" w:rsidP="006C0B80">
      <w:pPr>
        <w:pStyle w:val="Heading2"/>
      </w:pPr>
    </w:p>
    <w:p w:rsidR="006C0B80" w:rsidRDefault="006C0B80" w:rsidP="006C0B80">
      <w:pPr>
        <w:pStyle w:val="Heading2"/>
      </w:pPr>
    </w:p>
    <w:p w:rsidR="00523021" w:rsidRPr="00523021" w:rsidRDefault="00523021" w:rsidP="00523021"/>
    <w:p w:rsidR="006C0B80" w:rsidRPr="006C0B80" w:rsidRDefault="006C0B80" w:rsidP="006C0B80">
      <w:pPr>
        <w:pStyle w:val="BodyText"/>
      </w:pPr>
    </w:p>
    <w:sdt>
      <w:sdtPr>
        <w:rPr>
          <w:bCs/>
        </w:rPr>
        <w:id w:val="-70431785"/>
        <w:docPartObj>
          <w:docPartGallery w:val="Table of Contents"/>
          <w:docPartUnique/>
        </w:docPartObj>
      </w:sdtPr>
      <w:sdtEndPr>
        <w:rPr>
          <w:bCs w:val="0"/>
          <w:noProof/>
        </w:rPr>
      </w:sdtEndPr>
      <w:sdtContent>
        <w:p w:rsidR="005431B1" w:rsidRPr="00CC64DB" w:rsidRDefault="006C0B80" w:rsidP="00CC64DB">
          <w:pPr>
            <w:pStyle w:val="TOC3"/>
            <w:rPr>
              <w:rStyle w:val="Hyperlink"/>
              <w:rFonts w:ascii="Arial" w:hAnsi="Arial" w:cs="Arial"/>
              <w:b/>
              <w:noProof/>
              <w:color w:val="000000" w:themeColor="text1"/>
              <w:u w:val="none"/>
            </w:rPr>
          </w:pPr>
          <w:r w:rsidRPr="00CC64DB">
            <w:rPr>
              <w:rStyle w:val="Hyperlink"/>
              <w:rFonts w:ascii="Arial" w:hAnsi="Arial" w:cs="Arial"/>
              <w:b/>
              <w:noProof/>
              <w:color w:val="000000" w:themeColor="text1"/>
              <w:u w:val="none"/>
            </w:rPr>
            <w:t>Contents</w:t>
          </w:r>
          <w:r w:rsidRPr="00CC64DB">
            <w:rPr>
              <w:rStyle w:val="Hyperlink"/>
              <w:rFonts w:ascii="Arial" w:hAnsi="Arial" w:cs="Arial"/>
              <w:b/>
              <w:noProof/>
              <w:color w:val="000000" w:themeColor="text1"/>
              <w:u w:val="none"/>
            </w:rPr>
            <w:fldChar w:fldCharType="begin"/>
          </w:r>
          <w:r w:rsidRPr="00CC64DB">
            <w:rPr>
              <w:rStyle w:val="Hyperlink"/>
              <w:rFonts w:ascii="Arial" w:hAnsi="Arial" w:cs="Arial"/>
              <w:b/>
              <w:noProof/>
              <w:color w:val="000000" w:themeColor="text1"/>
              <w:u w:val="none"/>
            </w:rPr>
            <w:instrText xml:space="preserve"> TOC \o "1-3" \h \z \u </w:instrText>
          </w:r>
          <w:r w:rsidRPr="00CC64DB">
            <w:rPr>
              <w:rStyle w:val="Hyperlink"/>
              <w:rFonts w:ascii="Arial" w:hAnsi="Arial" w:cs="Arial"/>
              <w:b/>
              <w:noProof/>
              <w:color w:val="000000" w:themeColor="text1"/>
              <w:u w:val="none"/>
            </w:rPr>
            <w:fldChar w:fldCharType="separate"/>
          </w:r>
        </w:p>
        <w:p w:rsidR="005431B1" w:rsidRPr="00CC64DB" w:rsidRDefault="00064695" w:rsidP="00CC64DB">
          <w:pPr>
            <w:pStyle w:val="TOC3"/>
            <w:rPr>
              <w:rStyle w:val="Hyperlink"/>
              <w:rFonts w:ascii="Arial" w:hAnsi="Arial" w:cs="Arial"/>
              <w:noProof/>
              <w:color w:val="000000" w:themeColor="text1"/>
              <w:u w:val="none"/>
            </w:rPr>
          </w:pPr>
          <w:hyperlink w:anchor="_Toc403470081" w:history="1">
            <w:r w:rsidR="005431B1" w:rsidRPr="00CC64DB">
              <w:rPr>
                <w:rStyle w:val="Hyperlink"/>
                <w:rFonts w:ascii="Arial" w:hAnsi="Arial" w:cs="Arial"/>
                <w:noProof/>
                <w:color w:val="000000" w:themeColor="text1"/>
                <w:u w:val="none"/>
              </w:rPr>
              <w:t>1.</w:t>
            </w:r>
            <w:r w:rsidR="005431B1" w:rsidRPr="00CC64DB">
              <w:rPr>
                <w:rStyle w:val="Hyperlink"/>
                <w:rFonts w:ascii="Arial" w:hAnsi="Arial" w:cs="Arial"/>
                <w:noProof/>
                <w:color w:val="000000" w:themeColor="text1"/>
                <w:u w:val="none"/>
              </w:rPr>
              <w:tab/>
              <w:t>Overview of findings</w:t>
            </w:r>
            <w:r w:rsidR="005431B1" w:rsidRPr="00CC64DB">
              <w:rPr>
                <w:rStyle w:val="Hyperlink"/>
                <w:rFonts w:ascii="Arial" w:hAnsi="Arial" w:cs="Arial"/>
                <w:noProof/>
                <w:webHidden/>
                <w:color w:val="000000" w:themeColor="text1"/>
                <w:u w:val="none"/>
              </w:rPr>
              <w:tab/>
            </w:r>
            <w:r w:rsidR="005431B1" w:rsidRPr="00CC64DB">
              <w:rPr>
                <w:rStyle w:val="Hyperlink"/>
                <w:rFonts w:ascii="Arial" w:hAnsi="Arial" w:cs="Arial"/>
                <w:noProof/>
                <w:webHidden/>
                <w:color w:val="000000" w:themeColor="text1"/>
                <w:u w:val="none"/>
              </w:rPr>
              <w:fldChar w:fldCharType="begin"/>
            </w:r>
            <w:r w:rsidR="005431B1" w:rsidRPr="00CC64DB">
              <w:rPr>
                <w:rStyle w:val="Hyperlink"/>
                <w:rFonts w:ascii="Arial" w:hAnsi="Arial" w:cs="Arial"/>
                <w:noProof/>
                <w:webHidden/>
                <w:color w:val="000000" w:themeColor="text1"/>
                <w:u w:val="none"/>
              </w:rPr>
              <w:instrText xml:space="preserve"> PAGEREF _Toc403470081 \h </w:instrText>
            </w:r>
            <w:r w:rsidR="005431B1" w:rsidRPr="00CC64DB">
              <w:rPr>
                <w:rStyle w:val="Hyperlink"/>
                <w:rFonts w:ascii="Arial" w:hAnsi="Arial" w:cs="Arial"/>
                <w:noProof/>
                <w:webHidden/>
                <w:color w:val="000000" w:themeColor="text1"/>
                <w:u w:val="none"/>
              </w:rPr>
            </w:r>
            <w:r w:rsidR="005431B1" w:rsidRPr="00CC64DB">
              <w:rPr>
                <w:rStyle w:val="Hyperlink"/>
                <w:rFonts w:ascii="Arial" w:hAnsi="Arial" w:cs="Arial"/>
                <w:noProof/>
                <w:webHidden/>
                <w:color w:val="000000" w:themeColor="text1"/>
                <w:u w:val="none"/>
              </w:rPr>
              <w:fldChar w:fldCharType="separate"/>
            </w:r>
            <w:r w:rsidR="009E27CA">
              <w:rPr>
                <w:rStyle w:val="Hyperlink"/>
                <w:rFonts w:ascii="Arial" w:hAnsi="Arial" w:cs="Arial"/>
                <w:noProof/>
                <w:webHidden/>
                <w:color w:val="000000" w:themeColor="text1"/>
                <w:u w:val="none"/>
              </w:rPr>
              <w:t>1</w:t>
            </w:r>
            <w:r w:rsidR="005431B1" w:rsidRPr="00CC64DB">
              <w:rPr>
                <w:rStyle w:val="Hyperlink"/>
                <w:rFonts w:ascii="Arial" w:hAnsi="Arial" w:cs="Arial"/>
                <w:noProof/>
                <w:webHidden/>
                <w:color w:val="000000" w:themeColor="text1"/>
                <w:u w:val="none"/>
              </w:rPr>
              <w:fldChar w:fldCharType="end"/>
            </w:r>
          </w:hyperlink>
        </w:p>
        <w:p w:rsidR="005431B1" w:rsidRPr="00CC64DB" w:rsidRDefault="00064695" w:rsidP="00CC64DB">
          <w:pPr>
            <w:pStyle w:val="TOC3"/>
            <w:rPr>
              <w:rStyle w:val="Hyperlink"/>
              <w:rFonts w:ascii="Arial" w:hAnsi="Arial" w:cs="Arial"/>
              <w:noProof/>
              <w:color w:val="000000" w:themeColor="text1"/>
              <w:u w:val="none"/>
            </w:rPr>
          </w:pPr>
          <w:hyperlink w:anchor="_Toc403470082" w:history="1">
            <w:r w:rsidR="005431B1" w:rsidRPr="00CC64DB">
              <w:rPr>
                <w:rStyle w:val="Hyperlink"/>
                <w:rFonts w:ascii="Arial" w:hAnsi="Arial" w:cs="Arial"/>
                <w:noProof/>
                <w:color w:val="000000" w:themeColor="text1"/>
                <w:u w:val="none"/>
              </w:rPr>
              <w:t>2.</w:t>
            </w:r>
            <w:r w:rsidR="005431B1" w:rsidRPr="00CC64DB">
              <w:rPr>
                <w:rStyle w:val="Hyperlink"/>
                <w:rFonts w:ascii="Arial" w:hAnsi="Arial" w:cs="Arial"/>
                <w:noProof/>
                <w:color w:val="000000" w:themeColor="text1"/>
                <w:u w:val="none"/>
              </w:rPr>
              <w:tab/>
              <w:t>Background</w:t>
            </w:r>
            <w:r w:rsidR="005431B1" w:rsidRPr="00CC64DB">
              <w:rPr>
                <w:rStyle w:val="Hyperlink"/>
                <w:rFonts w:ascii="Arial" w:hAnsi="Arial" w:cs="Arial"/>
                <w:noProof/>
                <w:webHidden/>
                <w:color w:val="000000" w:themeColor="text1"/>
                <w:u w:val="none"/>
              </w:rPr>
              <w:tab/>
            </w:r>
            <w:r w:rsidR="005431B1" w:rsidRPr="00CC64DB">
              <w:rPr>
                <w:rStyle w:val="Hyperlink"/>
                <w:rFonts w:ascii="Arial" w:hAnsi="Arial" w:cs="Arial"/>
                <w:noProof/>
                <w:webHidden/>
                <w:color w:val="000000" w:themeColor="text1"/>
                <w:u w:val="none"/>
              </w:rPr>
              <w:fldChar w:fldCharType="begin"/>
            </w:r>
            <w:r w:rsidR="005431B1" w:rsidRPr="00CC64DB">
              <w:rPr>
                <w:rStyle w:val="Hyperlink"/>
                <w:rFonts w:ascii="Arial" w:hAnsi="Arial" w:cs="Arial"/>
                <w:noProof/>
                <w:webHidden/>
                <w:color w:val="000000" w:themeColor="text1"/>
                <w:u w:val="none"/>
              </w:rPr>
              <w:instrText xml:space="preserve"> PAGEREF _Toc403470082 \h </w:instrText>
            </w:r>
            <w:r w:rsidR="005431B1" w:rsidRPr="00CC64DB">
              <w:rPr>
                <w:rStyle w:val="Hyperlink"/>
                <w:rFonts w:ascii="Arial" w:hAnsi="Arial" w:cs="Arial"/>
                <w:noProof/>
                <w:webHidden/>
                <w:color w:val="000000" w:themeColor="text1"/>
                <w:u w:val="none"/>
              </w:rPr>
            </w:r>
            <w:r w:rsidR="005431B1" w:rsidRPr="00CC64DB">
              <w:rPr>
                <w:rStyle w:val="Hyperlink"/>
                <w:rFonts w:ascii="Arial" w:hAnsi="Arial" w:cs="Arial"/>
                <w:noProof/>
                <w:webHidden/>
                <w:color w:val="000000" w:themeColor="text1"/>
                <w:u w:val="none"/>
              </w:rPr>
              <w:fldChar w:fldCharType="separate"/>
            </w:r>
            <w:r w:rsidR="009E27CA">
              <w:rPr>
                <w:rStyle w:val="Hyperlink"/>
                <w:rFonts w:ascii="Arial" w:hAnsi="Arial" w:cs="Arial"/>
                <w:noProof/>
                <w:webHidden/>
                <w:color w:val="000000" w:themeColor="text1"/>
                <w:u w:val="none"/>
              </w:rPr>
              <w:t>1</w:t>
            </w:r>
            <w:r w:rsidR="005431B1" w:rsidRPr="00CC64DB">
              <w:rPr>
                <w:rStyle w:val="Hyperlink"/>
                <w:rFonts w:ascii="Arial" w:hAnsi="Arial" w:cs="Arial"/>
                <w:noProof/>
                <w:webHidden/>
                <w:color w:val="000000" w:themeColor="text1"/>
                <w:u w:val="none"/>
              </w:rPr>
              <w:fldChar w:fldCharType="end"/>
            </w:r>
          </w:hyperlink>
        </w:p>
        <w:p w:rsidR="005431B1" w:rsidRPr="00CC64DB" w:rsidRDefault="00064695" w:rsidP="00CC64DB">
          <w:pPr>
            <w:pStyle w:val="TOC3"/>
            <w:rPr>
              <w:rStyle w:val="Hyperlink"/>
              <w:rFonts w:ascii="Arial" w:hAnsi="Arial" w:cs="Arial"/>
              <w:noProof/>
              <w:color w:val="000000" w:themeColor="text1"/>
              <w:u w:val="none"/>
            </w:rPr>
          </w:pPr>
          <w:hyperlink w:anchor="_Toc403470083" w:history="1">
            <w:r w:rsidR="005431B1" w:rsidRPr="00CC64DB">
              <w:rPr>
                <w:rStyle w:val="Hyperlink"/>
                <w:rFonts w:ascii="Arial" w:hAnsi="Arial" w:cs="Arial"/>
                <w:noProof/>
                <w:color w:val="000000" w:themeColor="text1"/>
                <w:u w:val="none"/>
              </w:rPr>
              <w:t>3.</w:t>
            </w:r>
            <w:r w:rsidR="005431B1" w:rsidRPr="00CC64DB">
              <w:rPr>
                <w:rStyle w:val="Hyperlink"/>
                <w:rFonts w:ascii="Arial" w:hAnsi="Arial" w:cs="Arial"/>
                <w:noProof/>
                <w:color w:val="000000" w:themeColor="text1"/>
                <w:u w:val="none"/>
              </w:rPr>
              <w:tab/>
              <w:t>Review objectives and scope</w:t>
            </w:r>
            <w:r w:rsidR="005431B1" w:rsidRPr="00CC64DB">
              <w:rPr>
                <w:rStyle w:val="Hyperlink"/>
                <w:rFonts w:ascii="Arial" w:hAnsi="Arial" w:cs="Arial"/>
                <w:noProof/>
                <w:webHidden/>
                <w:color w:val="000000" w:themeColor="text1"/>
                <w:u w:val="none"/>
              </w:rPr>
              <w:tab/>
            </w:r>
            <w:r w:rsidR="005431B1" w:rsidRPr="00CC64DB">
              <w:rPr>
                <w:rStyle w:val="Hyperlink"/>
                <w:rFonts w:ascii="Arial" w:hAnsi="Arial" w:cs="Arial"/>
                <w:noProof/>
                <w:webHidden/>
                <w:color w:val="000000" w:themeColor="text1"/>
                <w:u w:val="none"/>
              </w:rPr>
              <w:fldChar w:fldCharType="begin"/>
            </w:r>
            <w:r w:rsidR="005431B1" w:rsidRPr="00CC64DB">
              <w:rPr>
                <w:rStyle w:val="Hyperlink"/>
                <w:rFonts w:ascii="Arial" w:hAnsi="Arial" w:cs="Arial"/>
                <w:noProof/>
                <w:webHidden/>
                <w:color w:val="000000" w:themeColor="text1"/>
                <w:u w:val="none"/>
              </w:rPr>
              <w:instrText xml:space="preserve"> PAGEREF _Toc403470083 \h </w:instrText>
            </w:r>
            <w:r w:rsidR="005431B1" w:rsidRPr="00CC64DB">
              <w:rPr>
                <w:rStyle w:val="Hyperlink"/>
                <w:rFonts w:ascii="Arial" w:hAnsi="Arial" w:cs="Arial"/>
                <w:noProof/>
                <w:webHidden/>
                <w:color w:val="000000" w:themeColor="text1"/>
                <w:u w:val="none"/>
              </w:rPr>
            </w:r>
            <w:r w:rsidR="005431B1" w:rsidRPr="00CC64DB">
              <w:rPr>
                <w:rStyle w:val="Hyperlink"/>
                <w:rFonts w:ascii="Arial" w:hAnsi="Arial" w:cs="Arial"/>
                <w:noProof/>
                <w:webHidden/>
                <w:color w:val="000000" w:themeColor="text1"/>
                <w:u w:val="none"/>
              </w:rPr>
              <w:fldChar w:fldCharType="separate"/>
            </w:r>
            <w:r w:rsidR="009E27CA">
              <w:rPr>
                <w:rStyle w:val="Hyperlink"/>
                <w:rFonts w:ascii="Arial" w:hAnsi="Arial" w:cs="Arial"/>
                <w:noProof/>
                <w:webHidden/>
                <w:color w:val="000000" w:themeColor="text1"/>
                <w:u w:val="none"/>
              </w:rPr>
              <w:t>2</w:t>
            </w:r>
            <w:r w:rsidR="005431B1" w:rsidRPr="00CC64DB">
              <w:rPr>
                <w:rStyle w:val="Hyperlink"/>
                <w:rFonts w:ascii="Arial" w:hAnsi="Arial" w:cs="Arial"/>
                <w:noProof/>
                <w:webHidden/>
                <w:color w:val="000000" w:themeColor="text1"/>
                <w:u w:val="none"/>
              </w:rPr>
              <w:fldChar w:fldCharType="end"/>
            </w:r>
          </w:hyperlink>
        </w:p>
        <w:p w:rsidR="005431B1" w:rsidRPr="00CC64DB" w:rsidRDefault="00064695" w:rsidP="00CC64DB">
          <w:pPr>
            <w:pStyle w:val="TOC3"/>
            <w:rPr>
              <w:rStyle w:val="Hyperlink"/>
              <w:rFonts w:ascii="Arial" w:hAnsi="Arial" w:cs="Arial"/>
              <w:noProof/>
              <w:color w:val="000000" w:themeColor="text1"/>
              <w:u w:val="none"/>
            </w:rPr>
          </w:pPr>
          <w:hyperlink w:anchor="_Toc403470084" w:history="1">
            <w:r w:rsidR="005431B1" w:rsidRPr="00CC64DB">
              <w:rPr>
                <w:rStyle w:val="Hyperlink"/>
                <w:rFonts w:ascii="Arial" w:hAnsi="Arial" w:cs="Arial"/>
                <w:noProof/>
                <w:color w:val="000000" w:themeColor="text1"/>
                <w:u w:val="none"/>
              </w:rPr>
              <w:t>4.</w:t>
            </w:r>
            <w:r w:rsidR="005431B1" w:rsidRPr="00CC64DB">
              <w:rPr>
                <w:rStyle w:val="Hyperlink"/>
                <w:rFonts w:ascii="Arial" w:hAnsi="Arial" w:cs="Arial"/>
                <w:noProof/>
                <w:color w:val="000000" w:themeColor="text1"/>
                <w:u w:val="none"/>
              </w:rPr>
              <w:tab/>
              <w:t>Overall methodology</w:t>
            </w:r>
            <w:r w:rsidR="005431B1" w:rsidRPr="00CC64DB">
              <w:rPr>
                <w:rStyle w:val="Hyperlink"/>
                <w:rFonts w:ascii="Arial" w:hAnsi="Arial" w:cs="Arial"/>
                <w:noProof/>
                <w:webHidden/>
                <w:color w:val="000000" w:themeColor="text1"/>
                <w:u w:val="none"/>
              </w:rPr>
              <w:tab/>
            </w:r>
            <w:r w:rsidR="005431B1" w:rsidRPr="00CC64DB">
              <w:rPr>
                <w:rStyle w:val="Hyperlink"/>
                <w:rFonts w:ascii="Arial" w:hAnsi="Arial" w:cs="Arial"/>
                <w:noProof/>
                <w:webHidden/>
                <w:color w:val="000000" w:themeColor="text1"/>
                <w:u w:val="none"/>
              </w:rPr>
              <w:fldChar w:fldCharType="begin"/>
            </w:r>
            <w:r w:rsidR="005431B1" w:rsidRPr="00CC64DB">
              <w:rPr>
                <w:rStyle w:val="Hyperlink"/>
                <w:rFonts w:ascii="Arial" w:hAnsi="Arial" w:cs="Arial"/>
                <w:noProof/>
                <w:webHidden/>
                <w:color w:val="000000" w:themeColor="text1"/>
                <w:u w:val="none"/>
              </w:rPr>
              <w:instrText xml:space="preserve"> PAGEREF _Toc403470084 \h </w:instrText>
            </w:r>
            <w:r w:rsidR="005431B1" w:rsidRPr="00CC64DB">
              <w:rPr>
                <w:rStyle w:val="Hyperlink"/>
                <w:rFonts w:ascii="Arial" w:hAnsi="Arial" w:cs="Arial"/>
                <w:noProof/>
                <w:webHidden/>
                <w:color w:val="000000" w:themeColor="text1"/>
                <w:u w:val="none"/>
              </w:rPr>
            </w:r>
            <w:r w:rsidR="005431B1" w:rsidRPr="00CC64DB">
              <w:rPr>
                <w:rStyle w:val="Hyperlink"/>
                <w:rFonts w:ascii="Arial" w:hAnsi="Arial" w:cs="Arial"/>
                <w:noProof/>
                <w:webHidden/>
                <w:color w:val="000000" w:themeColor="text1"/>
                <w:u w:val="none"/>
              </w:rPr>
              <w:fldChar w:fldCharType="separate"/>
            </w:r>
            <w:r w:rsidR="009E27CA">
              <w:rPr>
                <w:rStyle w:val="Hyperlink"/>
                <w:rFonts w:ascii="Arial" w:hAnsi="Arial" w:cs="Arial"/>
                <w:noProof/>
                <w:webHidden/>
                <w:color w:val="000000" w:themeColor="text1"/>
                <w:u w:val="none"/>
              </w:rPr>
              <w:t>2</w:t>
            </w:r>
            <w:r w:rsidR="005431B1" w:rsidRPr="00CC64DB">
              <w:rPr>
                <w:rStyle w:val="Hyperlink"/>
                <w:rFonts w:ascii="Arial" w:hAnsi="Arial" w:cs="Arial"/>
                <w:noProof/>
                <w:webHidden/>
                <w:color w:val="000000" w:themeColor="text1"/>
                <w:u w:val="none"/>
              </w:rPr>
              <w:fldChar w:fldCharType="end"/>
            </w:r>
          </w:hyperlink>
        </w:p>
        <w:p w:rsidR="005431B1" w:rsidRPr="00CC64DB" w:rsidRDefault="00064695" w:rsidP="00CC64DB">
          <w:pPr>
            <w:pStyle w:val="TOC3"/>
            <w:rPr>
              <w:rStyle w:val="Hyperlink"/>
              <w:rFonts w:ascii="Arial" w:hAnsi="Arial" w:cs="Arial"/>
              <w:noProof/>
              <w:color w:val="000000" w:themeColor="text1"/>
              <w:u w:val="none"/>
            </w:rPr>
          </w:pPr>
          <w:hyperlink w:anchor="_Toc403470085" w:history="1">
            <w:r w:rsidR="005431B1" w:rsidRPr="00CC64DB">
              <w:rPr>
                <w:rStyle w:val="Hyperlink"/>
                <w:rFonts w:ascii="Arial" w:hAnsi="Arial" w:cs="Arial"/>
                <w:noProof/>
                <w:color w:val="000000" w:themeColor="text1"/>
                <w:u w:val="none"/>
              </w:rPr>
              <w:t>5.</w:t>
            </w:r>
            <w:r w:rsidR="005431B1" w:rsidRPr="00CC64DB">
              <w:rPr>
                <w:rStyle w:val="Hyperlink"/>
                <w:rFonts w:ascii="Arial" w:hAnsi="Arial" w:cs="Arial"/>
                <w:noProof/>
                <w:color w:val="000000" w:themeColor="text1"/>
                <w:u w:val="none"/>
              </w:rPr>
              <w:tab/>
              <w:t>Key Review Areas</w:t>
            </w:r>
            <w:r w:rsidR="005431B1" w:rsidRPr="00CC64DB">
              <w:rPr>
                <w:rStyle w:val="Hyperlink"/>
                <w:rFonts w:ascii="Arial" w:hAnsi="Arial" w:cs="Arial"/>
                <w:noProof/>
                <w:webHidden/>
                <w:color w:val="000000" w:themeColor="text1"/>
                <w:u w:val="none"/>
              </w:rPr>
              <w:tab/>
            </w:r>
            <w:r w:rsidR="005431B1" w:rsidRPr="00CC64DB">
              <w:rPr>
                <w:rStyle w:val="Hyperlink"/>
                <w:rFonts w:ascii="Arial" w:hAnsi="Arial" w:cs="Arial"/>
                <w:noProof/>
                <w:webHidden/>
                <w:color w:val="000000" w:themeColor="text1"/>
                <w:u w:val="none"/>
              </w:rPr>
              <w:fldChar w:fldCharType="begin"/>
            </w:r>
            <w:r w:rsidR="005431B1" w:rsidRPr="00CC64DB">
              <w:rPr>
                <w:rStyle w:val="Hyperlink"/>
                <w:rFonts w:ascii="Arial" w:hAnsi="Arial" w:cs="Arial"/>
                <w:noProof/>
                <w:webHidden/>
                <w:color w:val="000000" w:themeColor="text1"/>
                <w:u w:val="none"/>
              </w:rPr>
              <w:instrText xml:space="preserve"> PAGEREF _Toc403470085 \h </w:instrText>
            </w:r>
            <w:r w:rsidR="005431B1" w:rsidRPr="00CC64DB">
              <w:rPr>
                <w:rStyle w:val="Hyperlink"/>
                <w:rFonts w:ascii="Arial" w:hAnsi="Arial" w:cs="Arial"/>
                <w:noProof/>
                <w:webHidden/>
                <w:color w:val="000000" w:themeColor="text1"/>
                <w:u w:val="none"/>
              </w:rPr>
            </w:r>
            <w:r w:rsidR="005431B1" w:rsidRPr="00CC64DB">
              <w:rPr>
                <w:rStyle w:val="Hyperlink"/>
                <w:rFonts w:ascii="Arial" w:hAnsi="Arial" w:cs="Arial"/>
                <w:noProof/>
                <w:webHidden/>
                <w:color w:val="000000" w:themeColor="text1"/>
                <w:u w:val="none"/>
              </w:rPr>
              <w:fldChar w:fldCharType="separate"/>
            </w:r>
            <w:r w:rsidR="009E27CA">
              <w:rPr>
                <w:rStyle w:val="Hyperlink"/>
                <w:rFonts w:ascii="Arial" w:hAnsi="Arial" w:cs="Arial"/>
                <w:noProof/>
                <w:webHidden/>
                <w:color w:val="000000" w:themeColor="text1"/>
                <w:u w:val="none"/>
              </w:rPr>
              <w:t>2</w:t>
            </w:r>
            <w:r w:rsidR="005431B1" w:rsidRPr="00CC64DB">
              <w:rPr>
                <w:rStyle w:val="Hyperlink"/>
                <w:rFonts w:ascii="Arial" w:hAnsi="Arial" w:cs="Arial"/>
                <w:noProof/>
                <w:webHidden/>
                <w:color w:val="000000" w:themeColor="text1"/>
                <w:u w:val="none"/>
              </w:rPr>
              <w:fldChar w:fldCharType="end"/>
            </w:r>
          </w:hyperlink>
        </w:p>
        <w:p w:rsidR="005431B1" w:rsidRPr="00CC64DB" w:rsidRDefault="00064695" w:rsidP="009E27CA">
          <w:pPr>
            <w:pStyle w:val="TOC3"/>
            <w:tabs>
              <w:tab w:val="clear" w:pos="8495"/>
              <w:tab w:val="right" w:pos="8505"/>
            </w:tabs>
            <w:ind w:left="1417" w:right="237"/>
            <w:rPr>
              <w:rStyle w:val="Hyperlink"/>
              <w:rFonts w:ascii="Arial" w:hAnsi="Arial" w:cs="Arial"/>
              <w:noProof/>
              <w:color w:val="000000" w:themeColor="text1"/>
              <w:u w:val="none"/>
            </w:rPr>
          </w:pPr>
          <w:hyperlink w:anchor="_Toc403470086" w:history="1">
            <w:r w:rsidR="005431B1" w:rsidRPr="00CC64DB">
              <w:rPr>
                <w:rStyle w:val="Hyperlink"/>
                <w:rFonts w:ascii="Arial" w:hAnsi="Arial" w:cs="Arial"/>
                <w:noProof/>
                <w:color w:val="000000" w:themeColor="text1"/>
                <w:u w:val="none"/>
              </w:rPr>
              <w:t>5.1 Review area 1: A review of a sample of de-identified PCEHR records</w:t>
            </w:r>
            <w:r w:rsidR="005431B1" w:rsidRPr="00CC64DB">
              <w:rPr>
                <w:rStyle w:val="Hyperlink"/>
                <w:rFonts w:ascii="Arial" w:hAnsi="Arial" w:cs="Arial"/>
                <w:noProof/>
                <w:webHidden/>
                <w:color w:val="000000" w:themeColor="text1"/>
                <w:u w:val="none"/>
              </w:rPr>
              <w:tab/>
            </w:r>
            <w:r w:rsidR="005431B1" w:rsidRPr="00CC64DB">
              <w:rPr>
                <w:rStyle w:val="Hyperlink"/>
                <w:rFonts w:ascii="Arial" w:hAnsi="Arial" w:cs="Arial"/>
                <w:noProof/>
                <w:webHidden/>
                <w:color w:val="000000" w:themeColor="text1"/>
                <w:u w:val="none"/>
              </w:rPr>
              <w:fldChar w:fldCharType="begin"/>
            </w:r>
            <w:r w:rsidR="005431B1" w:rsidRPr="00CC64DB">
              <w:rPr>
                <w:rStyle w:val="Hyperlink"/>
                <w:rFonts w:ascii="Arial" w:hAnsi="Arial" w:cs="Arial"/>
                <w:noProof/>
                <w:webHidden/>
                <w:color w:val="000000" w:themeColor="text1"/>
                <w:u w:val="none"/>
              </w:rPr>
              <w:instrText xml:space="preserve"> PAGEREF _Toc403470086 \h </w:instrText>
            </w:r>
            <w:r w:rsidR="005431B1" w:rsidRPr="00CC64DB">
              <w:rPr>
                <w:rStyle w:val="Hyperlink"/>
                <w:rFonts w:ascii="Arial" w:hAnsi="Arial" w:cs="Arial"/>
                <w:noProof/>
                <w:webHidden/>
                <w:color w:val="000000" w:themeColor="text1"/>
                <w:u w:val="none"/>
              </w:rPr>
            </w:r>
            <w:r w:rsidR="005431B1" w:rsidRPr="00CC64DB">
              <w:rPr>
                <w:rStyle w:val="Hyperlink"/>
                <w:rFonts w:ascii="Arial" w:hAnsi="Arial" w:cs="Arial"/>
                <w:noProof/>
                <w:webHidden/>
                <w:color w:val="000000" w:themeColor="text1"/>
                <w:u w:val="none"/>
              </w:rPr>
              <w:fldChar w:fldCharType="separate"/>
            </w:r>
            <w:r w:rsidR="009E27CA">
              <w:rPr>
                <w:rStyle w:val="Hyperlink"/>
                <w:rFonts w:ascii="Arial" w:hAnsi="Arial" w:cs="Arial"/>
                <w:noProof/>
                <w:webHidden/>
                <w:color w:val="000000" w:themeColor="text1"/>
                <w:u w:val="none"/>
              </w:rPr>
              <w:t>2</w:t>
            </w:r>
            <w:r w:rsidR="005431B1" w:rsidRPr="00CC64DB">
              <w:rPr>
                <w:rStyle w:val="Hyperlink"/>
                <w:rFonts w:ascii="Arial" w:hAnsi="Arial" w:cs="Arial"/>
                <w:noProof/>
                <w:webHidden/>
                <w:color w:val="000000" w:themeColor="text1"/>
                <w:u w:val="none"/>
              </w:rPr>
              <w:fldChar w:fldCharType="end"/>
            </w:r>
          </w:hyperlink>
        </w:p>
        <w:p w:rsidR="005431B1" w:rsidRPr="00CC64DB" w:rsidRDefault="00064695" w:rsidP="009E27CA">
          <w:pPr>
            <w:pStyle w:val="TOC3"/>
            <w:tabs>
              <w:tab w:val="clear" w:pos="8495"/>
              <w:tab w:val="right" w:pos="8505"/>
            </w:tabs>
            <w:ind w:left="1417" w:right="237"/>
            <w:rPr>
              <w:rStyle w:val="Hyperlink"/>
              <w:rFonts w:ascii="Arial" w:hAnsi="Arial" w:cs="Arial"/>
              <w:noProof/>
              <w:color w:val="000000" w:themeColor="text1"/>
              <w:u w:val="none"/>
            </w:rPr>
          </w:pPr>
          <w:hyperlink w:anchor="_Toc403470087" w:history="1">
            <w:r w:rsidR="005431B1" w:rsidRPr="00CC64DB">
              <w:rPr>
                <w:rStyle w:val="Hyperlink"/>
                <w:rFonts w:ascii="Arial" w:hAnsi="Arial" w:cs="Arial"/>
                <w:noProof/>
                <w:color w:val="000000" w:themeColor="text1"/>
                <w:u w:val="none"/>
              </w:rPr>
              <w:t xml:space="preserve">5.2 </w:t>
            </w:r>
            <w:r w:rsidR="004D3C5D">
              <w:rPr>
                <w:rStyle w:val="Hyperlink"/>
                <w:rFonts w:ascii="Arial" w:hAnsi="Arial" w:cs="Arial"/>
                <w:noProof/>
                <w:color w:val="000000" w:themeColor="text1"/>
                <w:u w:val="none"/>
              </w:rPr>
              <w:t>Review</w:t>
            </w:r>
            <w:r w:rsidR="005431B1" w:rsidRPr="00CC64DB">
              <w:rPr>
                <w:rStyle w:val="Hyperlink"/>
                <w:rFonts w:ascii="Arial" w:hAnsi="Arial" w:cs="Arial"/>
                <w:noProof/>
                <w:color w:val="000000" w:themeColor="text1"/>
                <w:u w:val="none"/>
              </w:rPr>
              <w:t xml:space="preserve"> area 2: An investigation of the use by healthcare providers of </w:t>
            </w:r>
            <w:r w:rsidR="009E27CA">
              <w:rPr>
                <w:rStyle w:val="Hyperlink"/>
                <w:rFonts w:ascii="Arial" w:hAnsi="Arial" w:cs="Arial"/>
                <w:noProof/>
                <w:color w:val="000000" w:themeColor="text1"/>
                <w:u w:val="none"/>
              </w:rPr>
              <w:br/>
            </w:r>
            <w:r w:rsidR="005431B1" w:rsidRPr="00CC64DB">
              <w:rPr>
                <w:rStyle w:val="Hyperlink"/>
                <w:rFonts w:ascii="Arial" w:hAnsi="Arial" w:cs="Arial"/>
                <w:noProof/>
                <w:color w:val="000000" w:themeColor="text1"/>
                <w:u w:val="none"/>
              </w:rPr>
              <w:t>the National Prescription and Dispense Repository (NPDR)</w:t>
            </w:r>
            <w:r w:rsidR="005431B1" w:rsidRPr="00CC64DB">
              <w:rPr>
                <w:rStyle w:val="Hyperlink"/>
                <w:rFonts w:ascii="Arial" w:hAnsi="Arial" w:cs="Arial"/>
                <w:noProof/>
                <w:webHidden/>
                <w:color w:val="000000" w:themeColor="text1"/>
                <w:u w:val="none"/>
              </w:rPr>
              <w:tab/>
            </w:r>
            <w:r w:rsidR="005431B1" w:rsidRPr="00CC64DB">
              <w:rPr>
                <w:rStyle w:val="Hyperlink"/>
                <w:rFonts w:ascii="Arial" w:hAnsi="Arial" w:cs="Arial"/>
                <w:noProof/>
                <w:webHidden/>
                <w:color w:val="000000" w:themeColor="text1"/>
                <w:u w:val="none"/>
              </w:rPr>
              <w:fldChar w:fldCharType="begin"/>
            </w:r>
            <w:r w:rsidR="005431B1" w:rsidRPr="00CC64DB">
              <w:rPr>
                <w:rStyle w:val="Hyperlink"/>
                <w:rFonts w:ascii="Arial" w:hAnsi="Arial" w:cs="Arial"/>
                <w:noProof/>
                <w:webHidden/>
                <w:color w:val="000000" w:themeColor="text1"/>
                <w:u w:val="none"/>
              </w:rPr>
              <w:instrText xml:space="preserve"> PAGEREF _Toc403470087 \h </w:instrText>
            </w:r>
            <w:r w:rsidR="005431B1" w:rsidRPr="00CC64DB">
              <w:rPr>
                <w:rStyle w:val="Hyperlink"/>
                <w:rFonts w:ascii="Arial" w:hAnsi="Arial" w:cs="Arial"/>
                <w:noProof/>
                <w:webHidden/>
                <w:color w:val="000000" w:themeColor="text1"/>
                <w:u w:val="none"/>
              </w:rPr>
            </w:r>
            <w:r w:rsidR="005431B1" w:rsidRPr="00CC64DB">
              <w:rPr>
                <w:rStyle w:val="Hyperlink"/>
                <w:rFonts w:ascii="Arial" w:hAnsi="Arial" w:cs="Arial"/>
                <w:noProof/>
                <w:webHidden/>
                <w:color w:val="000000" w:themeColor="text1"/>
                <w:u w:val="none"/>
              </w:rPr>
              <w:fldChar w:fldCharType="separate"/>
            </w:r>
            <w:r w:rsidR="009E27CA">
              <w:rPr>
                <w:rStyle w:val="Hyperlink"/>
                <w:rFonts w:ascii="Arial" w:hAnsi="Arial" w:cs="Arial"/>
                <w:noProof/>
                <w:webHidden/>
                <w:color w:val="000000" w:themeColor="text1"/>
                <w:u w:val="none"/>
              </w:rPr>
              <w:t>4</w:t>
            </w:r>
            <w:r w:rsidR="005431B1" w:rsidRPr="00CC64DB">
              <w:rPr>
                <w:rStyle w:val="Hyperlink"/>
                <w:rFonts w:ascii="Arial" w:hAnsi="Arial" w:cs="Arial"/>
                <w:noProof/>
                <w:webHidden/>
                <w:color w:val="000000" w:themeColor="text1"/>
                <w:u w:val="none"/>
              </w:rPr>
              <w:fldChar w:fldCharType="end"/>
            </w:r>
          </w:hyperlink>
        </w:p>
        <w:p w:rsidR="005431B1" w:rsidRPr="00CC64DB" w:rsidRDefault="00064695" w:rsidP="009E27CA">
          <w:pPr>
            <w:pStyle w:val="TOC3"/>
            <w:tabs>
              <w:tab w:val="clear" w:pos="8495"/>
              <w:tab w:val="right" w:pos="8505"/>
            </w:tabs>
            <w:ind w:left="1417" w:right="237"/>
            <w:rPr>
              <w:rStyle w:val="Hyperlink"/>
              <w:rFonts w:ascii="Arial" w:hAnsi="Arial" w:cs="Arial"/>
              <w:noProof/>
              <w:color w:val="000000" w:themeColor="text1"/>
              <w:u w:val="none"/>
            </w:rPr>
          </w:pPr>
          <w:hyperlink w:anchor="_Toc403470088" w:history="1">
            <w:r w:rsidR="005431B1" w:rsidRPr="00CC64DB">
              <w:rPr>
                <w:rStyle w:val="Hyperlink"/>
                <w:rFonts w:ascii="Arial" w:hAnsi="Arial" w:cs="Arial"/>
                <w:noProof/>
                <w:color w:val="000000" w:themeColor="text1"/>
                <w:u w:val="none"/>
              </w:rPr>
              <w:t xml:space="preserve">5.3 </w:t>
            </w:r>
            <w:r w:rsidR="004D3C5D">
              <w:rPr>
                <w:rStyle w:val="Hyperlink"/>
                <w:rFonts w:ascii="Arial" w:hAnsi="Arial" w:cs="Arial"/>
                <w:noProof/>
                <w:color w:val="000000" w:themeColor="text1"/>
                <w:u w:val="none"/>
              </w:rPr>
              <w:t>Review</w:t>
            </w:r>
            <w:r w:rsidR="005431B1" w:rsidRPr="00CC64DB">
              <w:rPr>
                <w:rStyle w:val="Hyperlink"/>
                <w:rFonts w:ascii="Arial" w:hAnsi="Arial" w:cs="Arial"/>
                <w:noProof/>
                <w:color w:val="000000" w:themeColor="text1"/>
                <w:u w:val="none"/>
              </w:rPr>
              <w:t xml:space="preserve"> area 3: To review and develop incident identification, selection </w:t>
            </w:r>
            <w:r w:rsidR="009E27CA">
              <w:rPr>
                <w:rStyle w:val="Hyperlink"/>
                <w:rFonts w:ascii="Arial" w:hAnsi="Arial" w:cs="Arial"/>
                <w:noProof/>
                <w:color w:val="000000" w:themeColor="text1"/>
                <w:u w:val="none"/>
              </w:rPr>
              <w:br/>
            </w:r>
            <w:r w:rsidR="005431B1" w:rsidRPr="00CC64DB">
              <w:rPr>
                <w:rStyle w:val="Hyperlink"/>
                <w:rFonts w:ascii="Arial" w:hAnsi="Arial" w:cs="Arial"/>
                <w:noProof/>
                <w:color w:val="000000" w:themeColor="text1"/>
                <w:u w:val="none"/>
              </w:rPr>
              <w:t xml:space="preserve">and review processes for the CGAG, with scenario planning and </w:t>
            </w:r>
            <w:r w:rsidR="009E27CA">
              <w:rPr>
                <w:rStyle w:val="Hyperlink"/>
                <w:rFonts w:ascii="Arial" w:hAnsi="Arial" w:cs="Arial"/>
                <w:noProof/>
                <w:color w:val="000000" w:themeColor="text1"/>
                <w:u w:val="none"/>
              </w:rPr>
              <w:br/>
            </w:r>
            <w:r w:rsidR="005431B1" w:rsidRPr="00CC64DB">
              <w:rPr>
                <w:rStyle w:val="Hyperlink"/>
                <w:rFonts w:ascii="Arial" w:hAnsi="Arial" w:cs="Arial"/>
                <w:noProof/>
                <w:color w:val="000000" w:themeColor="text1"/>
                <w:u w:val="none"/>
              </w:rPr>
              <w:t>mapping for</w:t>
            </w:r>
            <w:r w:rsidR="00CC64DB">
              <w:rPr>
                <w:rStyle w:val="Hyperlink"/>
                <w:rFonts w:ascii="Arial" w:hAnsi="Arial" w:cs="Arial"/>
                <w:noProof/>
                <w:color w:val="000000" w:themeColor="text1"/>
                <w:u w:val="none"/>
              </w:rPr>
              <w:t xml:space="preserve"> </w:t>
            </w:r>
            <w:r w:rsidR="005431B1" w:rsidRPr="00CC64DB">
              <w:rPr>
                <w:rStyle w:val="Hyperlink"/>
                <w:rFonts w:ascii="Arial" w:hAnsi="Arial" w:cs="Arial"/>
                <w:noProof/>
                <w:color w:val="000000" w:themeColor="text1"/>
                <w:u w:val="none"/>
              </w:rPr>
              <w:t>incident review and reporting</w:t>
            </w:r>
            <w:r w:rsidR="005431B1" w:rsidRPr="00CC64DB">
              <w:rPr>
                <w:rStyle w:val="Hyperlink"/>
                <w:rFonts w:ascii="Arial" w:hAnsi="Arial" w:cs="Arial"/>
                <w:noProof/>
                <w:webHidden/>
                <w:color w:val="000000" w:themeColor="text1"/>
                <w:u w:val="none"/>
              </w:rPr>
              <w:tab/>
            </w:r>
            <w:r w:rsidR="005431B1" w:rsidRPr="00CC64DB">
              <w:rPr>
                <w:rStyle w:val="Hyperlink"/>
                <w:rFonts w:ascii="Arial" w:hAnsi="Arial" w:cs="Arial"/>
                <w:noProof/>
                <w:webHidden/>
                <w:color w:val="000000" w:themeColor="text1"/>
                <w:u w:val="none"/>
              </w:rPr>
              <w:fldChar w:fldCharType="begin"/>
            </w:r>
            <w:r w:rsidR="005431B1" w:rsidRPr="00CC64DB">
              <w:rPr>
                <w:rStyle w:val="Hyperlink"/>
                <w:rFonts w:ascii="Arial" w:hAnsi="Arial" w:cs="Arial"/>
                <w:noProof/>
                <w:webHidden/>
                <w:color w:val="000000" w:themeColor="text1"/>
                <w:u w:val="none"/>
              </w:rPr>
              <w:instrText xml:space="preserve"> PAGEREF _Toc403470088 \h </w:instrText>
            </w:r>
            <w:r w:rsidR="005431B1" w:rsidRPr="00CC64DB">
              <w:rPr>
                <w:rStyle w:val="Hyperlink"/>
                <w:rFonts w:ascii="Arial" w:hAnsi="Arial" w:cs="Arial"/>
                <w:noProof/>
                <w:webHidden/>
                <w:color w:val="000000" w:themeColor="text1"/>
                <w:u w:val="none"/>
              </w:rPr>
            </w:r>
            <w:r w:rsidR="005431B1" w:rsidRPr="00CC64DB">
              <w:rPr>
                <w:rStyle w:val="Hyperlink"/>
                <w:rFonts w:ascii="Arial" w:hAnsi="Arial" w:cs="Arial"/>
                <w:noProof/>
                <w:webHidden/>
                <w:color w:val="000000" w:themeColor="text1"/>
                <w:u w:val="none"/>
              </w:rPr>
              <w:fldChar w:fldCharType="separate"/>
            </w:r>
            <w:r w:rsidR="009E27CA">
              <w:rPr>
                <w:rStyle w:val="Hyperlink"/>
                <w:rFonts w:ascii="Arial" w:hAnsi="Arial" w:cs="Arial"/>
                <w:noProof/>
                <w:webHidden/>
                <w:color w:val="000000" w:themeColor="text1"/>
                <w:u w:val="none"/>
              </w:rPr>
              <w:t>6</w:t>
            </w:r>
            <w:r w:rsidR="005431B1" w:rsidRPr="00CC64DB">
              <w:rPr>
                <w:rStyle w:val="Hyperlink"/>
                <w:rFonts w:ascii="Arial" w:hAnsi="Arial" w:cs="Arial"/>
                <w:noProof/>
                <w:webHidden/>
                <w:color w:val="000000" w:themeColor="text1"/>
                <w:u w:val="none"/>
              </w:rPr>
              <w:fldChar w:fldCharType="end"/>
            </w:r>
          </w:hyperlink>
        </w:p>
        <w:p w:rsidR="005431B1" w:rsidRPr="00CC64DB" w:rsidRDefault="00CC64DB" w:rsidP="00CC64DB">
          <w:pPr>
            <w:pStyle w:val="TOC3"/>
            <w:rPr>
              <w:rStyle w:val="Hyperlink"/>
              <w:rFonts w:ascii="Arial" w:hAnsi="Arial" w:cs="Arial"/>
              <w:noProof/>
              <w:color w:val="000000" w:themeColor="text1"/>
              <w:u w:val="none"/>
            </w:rPr>
          </w:pPr>
          <w:r>
            <w:rPr>
              <w:rStyle w:val="Hyperlink"/>
              <w:rFonts w:ascii="Arial" w:hAnsi="Arial" w:cs="Arial"/>
              <w:noProof/>
              <w:color w:val="000000" w:themeColor="text1"/>
              <w:u w:val="none"/>
            </w:rPr>
            <w:t xml:space="preserve">6. </w:t>
          </w:r>
          <w:hyperlink w:anchor="_Toc403470089" w:history="1">
            <w:r w:rsidR="005431B1" w:rsidRPr="00CC64DB">
              <w:rPr>
                <w:rStyle w:val="Hyperlink"/>
                <w:rFonts w:ascii="Arial" w:hAnsi="Arial" w:cs="Arial"/>
                <w:noProof/>
                <w:color w:val="000000" w:themeColor="text1"/>
                <w:u w:val="none"/>
              </w:rPr>
              <w:t>Conclusion</w:t>
            </w:r>
            <w:r w:rsidR="005431B1" w:rsidRPr="00CC64DB">
              <w:rPr>
                <w:rStyle w:val="Hyperlink"/>
                <w:rFonts w:ascii="Arial" w:hAnsi="Arial" w:cs="Arial"/>
                <w:noProof/>
                <w:webHidden/>
                <w:color w:val="000000" w:themeColor="text1"/>
                <w:u w:val="none"/>
              </w:rPr>
              <w:tab/>
            </w:r>
            <w:r w:rsidR="001617E6">
              <w:rPr>
                <w:rStyle w:val="Hyperlink"/>
                <w:rFonts w:ascii="Arial" w:hAnsi="Arial" w:cs="Arial"/>
                <w:noProof/>
                <w:webHidden/>
                <w:color w:val="000000" w:themeColor="text1"/>
                <w:u w:val="none"/>
              </w:rPr>
              <w:t xml:space="preserve"> </w:t>
            </w:r>
            <w:r w:rsidR="005431B1" w:rsidRPr="00CC64DB">
              <w:rPr>
                <w:rStyle w:val="Hyperlink"/>
                <w:rFonts w:ascii="Arial" w:hAnsi="Arial" w:cs="Arial"/>
                <w:noProof/>
                <w:webHidden/>
                <w:color w:val="000000" w:themeColor="text1"/>
                <w:u w:val="none"/>
              </w:rPr>
              <w:fldChar w:fldCharType="begin"/>
            </w:r>
            <w:r w:rsidR="005431B1" w:rsidRPr="00CC64DB">
              <w:rPr>
                <w:rStyle w:val="Hyperlink"/>
                <w:rFonts w:ascii="Arial" w:hAnsi="Arial" w:cs="Arial"/>
                <w:noProof/>
                <w:webHidden/>
                <w:color w:val="000000" w:themeColor="text1"/>
                <w:u w:val="none"/>
              </w:rPr>
              <w:instrText xml:space="preserve"> PAGEREF _Toc403470089 \h </w:instrText>
            </w:r>
            <w:r w:rsidR="005431B1" w:rsidRPr="00CC64DB">
              <w:rPr>
                <w:rStyle w:val="Hyperlink"/>
                <w:rFonts w:ascii="Arial" w:hAnsi="Arial" w:cs="Arial"/>
                <w:noProof/>
                <w:webHidden/>
                <w:color w:val="000000" w:themeColor="text1"/>
                <w:u w:val="none"/>
              </w:rPr>
            </w:r>
            <w:r w:rsidR="005431B1" w:rsidRPr="00CC64DB">
              <w:rPr>
                <w:rStyle w:val="Hyperlink"/>
                <w:rFonts w:ascii="Arial" w:hAnsi="Arial" w:cs="Arial"/>
                <w:noProof/>
                <w:webHidden/>
                <w:color w:val="000000" w:themeColor="text1"/>
                <w:u w:val="none"/>
              </w:rPr>
              <w:fldChar w:fldCharType="separate"/>
            </w:r>
            <w:r w:rsidR="009E27CA">
              <w:rPr>
                <w:rStyle w:val="Hyperlink"/>
                <w:rFonts w:ascii="Arial" w:hAnsi="Arial" w:cs="Arial"/>
                <w:noProof/>
                <w:webHidden/>
                <w:color w:val="000000" w:themeColor="text1"/>
                <w:u w:val="none"/>
              </w:rPr>
              <w:t>10</w:t>
            </w:r>
            <w:r w:rsidR="005431B1" w:rsidRPr="00CC64DB">
              <w:rPr>
                <w:rStyle w:val="Hyperlink"/>
                <w:rFonts w:ascii="Arial" w:hAnsi="Arial" w:cs="Arial"/>
                <w:noProof/>
                <w:webHidden/>
                <w:color w:val="000000" w:themeColor="text1"/>
                <w:u w:val="none"/>
              </w:rPr>
              <w:fldChar w:fldCharType="end"/>
            </w:r>
          </w:hyperlink>
        </w:p>
        <w:p w:rsidR="006C0B80" w:rsidRDefault="006C0B80" w:rsidP="00CC64DB">
          <w:pPr>
            <w:pStyle w:val="TOC3"/>
          </w:pPr>
          <w:r w:rsidRPr="00CC64DB">
            <w:rPr>
              <w:rStyle w:val="Hyperlink"/>
              <w:rFonts w:ascii="Arial" w:hAnsi="Arial" w:cs="Arial"/>
              <w:b/>
              <w:color w:val="000000" w:themeColor="text1"/>
              <w:u w:val="none"/>
            </w:rPr>
            <w:fldChar w:fldCharType="end"/>
          </w:r>
        </w:p>
      </w:sdtContent>
    </w:sdt>
    <w:p w:rsidR="006C0B80" w:rsidRDefault="006C0B80" w:rsidP="006C0B80">
      <w:pPr>
        <w:pStyle w:val="Heading2"/>
      </w:pPr>
    </w:p>
    <w:p w:rsidR="006C0B80" w:rsidRDefault="006C0B80" w:rsidP="006C0B80">
      <w:pPr>
        <w:pStyle w:val="BodyText"/>
      </w:pPr>
    </w:p>
    <w:p w:rsidR="006C0B80" w:rsidRDefault="004D3C5D" w:rsidP="004D3C5D">
      <w:pPr>
        <w:pStyle w:val="BodyText"/>
        <w:tabs>
          <w:tab w:val="left" w:pos="2907"/>
        </w:tabs>
      </w:pPr>
      <w:r>
        <w:tab/>
      </w:r>
    </w:p>
    <w:p w:rsidR="006C0B80" w:rsidRDefault="006C0B80" w:rsidP="006C0B80">
      <w:pPr>
        <w:pStyle w:val="BodyText"/>
      </w:pPr>
    </w:p>
    <w:p w:rsidR="006C0B80" w:rsidRDefault="006C0B80" w:rsidP="006C0B80">
      <w:pPr>
        <w:pStyle w:val="BodyText"/>
      </w:pPr>
    </w:p>
    <w:p w:rsidR="006C0B80" w:rsidRDefault="006C0B80" w:rsidP="006C0B80">
      <w:pPr>
        <w:pStyle w:val="BodyText"/>
      </w:pPr>
    </w:p>
    <w:p w:rsidR="006C0B80" w:rsidRDefault="006C0B80" w:rsidP="006C0B80">
      <w:pPr>
        <w:pStyle w:val="BodyText"/>
      </w:pPr>
    </w:p>
    <w:p w:rsidR="006C0B80" w:rsidRDefault="006C0B80" w:rsidP="006C0B80">
      <w:pPr>
        <w:pStyle w:val="BodyText"/>
      </w:pPr>
    </w:p>
    <w:p w:rsidR="006C0B80" w:rsidRDefault="006C0B80" w:rsidP="006C0B80">
      <w:pPr>
        <w:pStyle w:val="BodyText"/>
      </w:pPr>
    </w:p>
    <w:p w:rsidR="006C0B80" w:rsidRDefault="006C0B80" w:rsidP="006C0B80">
      <w:pPr>
        <w:pStyle w:val="BodyText"/>
      </w:pPr>
    </w:p>
    <w:p w:rsidR="005431B1" w:rsidRDefault="005431B1" w:rsidP="006C0B80">
      <w:pPr>
        <w:pStyle w:val="BodyText"/>
        <w:sectPr w:rsidR="005431B1">
          <w:footerReference w:type="default" r:id="rId10"/>
          <w:pgSz w:w="11906" w:h="16838"/>
          <w:pgMar w:top="1440" w:right="1440" w:bottom="1440" w:left="1440" w:header="708" w:footer="708" w:gutter="0"/>
          <w:cols w:space="708"/>
          <w:docGrid w:linePitch="360"/>
        </w:sectPr>
      </w:pPr>
    </w:p>
    <w:p w:rsidR="002E6CD8" w:rsidRDefault="002E6CD8" w:rsidP="006C0B80">
      <w:pPr>
        <w:pStyle w:val="BodyText"/>
      </w:pPr>
    </w:p>
    <w:p w:rsidR="006A0DC6" w:rsidRPr="006C0B80" w:rsidRDefault="006A0DC6" w:rsidP="006C0B80">
      <w:pPr>
        <w:pStyle w:val="Heading1"/>
        <w:numPr>
          <w:ilvl w:val="0"/>
          <w:numId w:val="16"/>
        </w:numPr>
        <w:spacing w:before="240" w:after="120" w:line="480" w:lineRule="atLeast"/>
        <w:ind w:hanging="720"/>
        <w:jc w:val="both"/>
        <w:rPr>
          <w:color w:val="548DD4" w:themeColor="text2" w:themeTint="99"/>
          <w:sz w:val="32"/>
          <w:szCs w:val="32"/>
        </w:rPr>
      </w:pPr>
      <w:bookmarkStart w:id="6" w:name="_Toc403470081"/>
      <w:r w:rsidRPr="006C0B80">
        <w:rPr>
          <w:color w:val="548DD4" w:themeColor="text2" w:themeTint="99"/>
          <w:sz w:val="32"/>
          <w:szCs w:val="32"/>
        </w:rPr>
        <w:t>Overview of findings</w:t>
      </w:r>
      <w:bookmarkEnd w:id="6"/>
    </w:p>
    <w:p w:rsidR="007021C1" w:rsidRPr="006C0B80" w:rsidRDefault="007021C1" w:rsidP="006C0B80">
      <w:pPr>
        <w:pStyle w:val="BodyText"/>
        <w:spacing w:before="120" w:after="120" w:line="280" w:lineRule="atLeast"/>
        <w:rPr>
          <w:rFonts w:ascii="Arial" w:hAnsi="Arial" w:cs="Arial"/>
        </w:rPr>
      </w:pPr>
      <w:r w:rsidRPr="006C0B80">
        <w:rPr>
          <w:rFonts w:ascii="Arial" w:hAnsi="Arial" w:cs="Arial"/>
        </w:rPr>
        <w:t xml:space="preserve">The </w:t>
      </w:r>
      <w:r w:rsidR="00464324">
        <w:rPr>
          <w:rFonts w:ascii="Arial" w:hAnsi="Arial" w:cs="Arial"/>
        </w:rPr>
        <w:t xml:space="preserve">Third </w:t>
      </w:r>
      <w:r w:rsidR="00102483">
        <w:rPr>
          <w:rFonts w:ascii="Arial" w:hAnsi="Arial" w:cs="Arial"/>
        </w:rPr>
        <w:t>C</w:t>
      </w:r>
      <w:r w:rsidR="00464324">
        <w:rPr>
          <w:rFonts w:ascii="Arial" w:hAnsi="Arial" w:cs="Arial"/>
        </w:rPr>
        <w:t>linical Safety Review of the Personally Controlled E</w:t>
      </w:r>
      <w:r w:rsidR="00102483">
        <w:rPr>
          <w:rFonts w:ascii="Arial" w:hAnsi="Arial" w:cs="Arial"/>
        </w:rPr>
        <w:t>lectronic Health Record (the Third Review</w:t>
      </w:r>
      <w:r w:rsidR="00464324">
        <w:rPr>
          <w:rFonts w:ascii="Arial" w:hAnsi="Arial" w:cs="Arial"/>
        </w:rPr>
        <w:t xml:space="preserve">) was conducted in the period </w:t>
      </w:r>
      <w:r w:rsidRPr="006C0B80">
        <w:rPr>
          <w:rFonts w:ascii="Arial" w:hAnsi="Arial" w:cs="Arial"/>
        </w:rPr>
        <w:t xml:space="preserve">October to December 2013. </w:t>
      </w:r>
    </w:p>
    <w:p w:rsidR="007021C1" w:rsidRPr="006C0B80" w:rsidRDefault="007021C1" w:rsidP="006C0B80">
      <w:pPr>
        <w:pStyle w:val="BodyText"/>
        <w:spacing w:before="120" w:after="120" w:line="280" w:lineRule="atLeast"/>
        <w:rPr>
          <w:rFonts w:ascii="Arial" w:hAnsi="Arial" w:cs="Arial"/>
        </w:rPr>
      </w:pPr>
      <w:r w:rsidRPr="006C0B80">
        <w:rPr>
          <w:rFonts w:ascii="Arial" w:hAnsi="Arial" w:cs="Arial"/>
        </w:rPr>
        <w:t xml:space="preserve">The key findings and recommendations presented in this report are based on the analysis of the qualitative and quantitative data collected throughout the audit across the three </w:t>
      </w:r>
      <w:r w:rsidR="001D5CFB" w:rsidRPr="006C0B80">
        <w:rPr>
          <w:rFonts w:ascii="Arial" w:hAnsi="Arial" w:cs="Arial"/>
        </w:rPr>
        <w:t>key review</w:t>
      </w:r>
      <w:r w:rsidRPr="006C0B80">
        <w:rPr>
          <w:rFonts w:ascii="Arial" w:hAnsi="Arial" w:cs="Arial"/>
        </w:rPr>
        <w:t xml:space="preserve"> areas. </w:t>
      </w:r>
    </w:p>
    <w:p w:rsidR="00464324" w:rsidRDefault="002C1B3E" w:rsidP="006C0B80">
      <w:pPr>
        <w:pStyle w:val="BodyText"/>
        <w:spacing w:before="120" w:after="120" w:line="280" w:lineRule="atLeast"/>
        <w:rPr>
          <w:rFonts w:ascii="Arial" w:hAnsi="Arial" w:cs="Arial"/>
        </w:rPr>
      </w:pPr>
      <w:r w:rsidRPr="006C0B80">
        <w:rPr>
          <w:rFonts w:ascii="Arial" w:hAnsi="Arial" w:cs="Arial"/>
        </w:rPr>
        <w:t xml:space="preserve">Within the three key review areas there were a total of 15 findings. The findings have been classified according to the risk ratings developed for the first two audits (a rating scale of critical, major, moderate, minor, </w:t>
      </w:r>
      <w:proofErr w:type="gramStart"/>
      <w:r w:rsidRPr="006C0B80">
        <w:rPr>
          <w:rFonts w:ascii="Arial" w:hAnsi="Arial" w:cs="Arial"/>
        </w:rPr>
        <w:t>minimum</w:t>
      </w:r>
      <w:proofErr w:type="gramEnd"/>
      <w:r w:rsidRPr="006C0B80">
        <w:rPr>
          <w:rFonts w:ascii="Arial" w:hAnsi="Arial" w:cs="Arial"/>
        </w:rPr>
        <w:t xml:space="preserve">). </w:t>
      </w:r>
      <w:r w:rsidR="007021C1" w:rsidRPr="006C0B80">
        <w:rPr>
          <w:rFonts w:ascii="Arial" w:hAnsi="Arial" w:cs="Arial"/>
        </w:rPr>
        <w:t xml:space="preserve">Within the three </w:t>
      </w:r>
      <w:r w:rsidR="001D5CFB" w:rsidRPr="006C0B80">
        <w:rPr>
          <w:rFonts w:ascii="Arial" w:hAnsi="Arial" w:cs="Arial"/>
        </w:rPr>
        <w:t>key review</w:t>
      </w:r>
      <w:r w:rsidR="007021C1" w:rsidRPr="006C0B80">
        <w:rPr>
          <w:rFonts w:ascii="Arial" w:hAnsi="Arial" w:cs="Arial"/>
        </w:rPr>
        <w:t xml:space="preserve"> areas t</w:t>
      </w:r>
      <w:r w:rsidR="002D7DDB" w:rsidRPr="006C0B80">
        <w:rPr>
          <w:rFonts w:ascii="Arial" w:hAnsi="Arial" w:cs="Arial"/>
        </w:rPr>
        <w:t xml:space="preserve">here were 1 Critical, 4 Major, </w:t>
      </w:r>
      <w:r w:rsidR="007021C1" w:rsidRPr="006C0B80">
        <w:rPr>
          <w:rFonts w:ascii="Arial" w:hAnsi="Arial" w:cs="Arial"/>
        </w:rPr>
        <w:t>6 Moderate, 2 Minor and 3 Minimum findings. The findings have been classified according to the risk ratings developed for</w:t>
      </w:r>
      <w:r w:rsidR="001D5CFB" w:rsidRPr="006C0B80">
        <w:rPr>
          <w:rFonts w:ascii="Arial" w:hAnsi="Arial" w:cs="Arial"/>
        </w:rPr>
        <w:t xml:space="preserve"> the first and second audits</w:t>
      </w:r>
      <w:r w:rsidR="007021C1" w:rsidRPr="006C0B80">
        <w:rPr>
          <w:rFonts w:ascii="Arial" w:hAnsi="Arial" w:cs="Arial"/>
        </w:rPr>
        <w:t>.</w:t>
      </w:r>
      <w:r w:rsidRPr="006C0B80">
        <w:rPr>
          <w:rFonts w:ascii="Arial" w:hAnsi="Arial" w:cs="Arial"/>
        </w:rPr>
        <w:t xml:space="preserve"> The </w:t>
      </w:r>
      <w:r w:rsidR="00464324">
        <w:rPr>
          <w:rFonts w:ascii="Arial" w:hAnsi="Arial" w:cs="Arial"/>
        </w:rPr>
        <w:t>15</w:t>
      </w:r>
      <w:r w:rsidRPr="006C0B80">
        <w:rPr>
          <w:rFonts w:ascii="Arial" w:hAnsi="Arial" w:cs="Arial"/>
        </w:rPr>
        <w:t xml:space="preserve"> key findings resulted in 15 recommendations for consideration. The key findings and recommendations are detailed below. </w:t>
      </w:r>
    </w:p>
    <w:p w:rsidR="002E6CD8" w:rsidRPr="00523021" w:rsidRDefault="002E6CD8" w:rsidP="002E6CD8">
      <w:pPr>
        <w:pStyle w:val="BodyText"/>
        <w:numPr>
          <w:ilvl w:val="0"/>
          <w:numId w:val="2"/>
        </w:numPr>
        <w:spacing w:before="120" w:after="120" w:line="240" w:lineRule="atLeast"/>
        <w:rPr>
          <w:rFonts w:ascii="Arial" w:hAnsi="Arial" w:cs="Arial"/>
        </w:rPr>
      </w:pPr>
      <w:r w:rsidRPr="00523021">
        <w:rPr>
          <w:rFonts w:ascii="Arial" w:hAnsi="Arial" w:cs="Arial"/>
        </w:rPr>
        <w:t xml:space="preserve">Across the three </w:t>
      </w:r>
      <w:r>
        <w:rPr>
          <w:rFonts w:ascii="Arial" w:hAnsi="Arial" w:cs="Arial"/>
        </w:rPr>
        <w:t xml:space="preserve">key areas the Third Review </w:t>
      </w:r>
      <w:r w:rsidRPr="00523021">
        <w:rPr>
          <w:rFonts w:ascii="Arial" w:hAnsi="Arial" w:cs="Arial"/>
        </w:rPr>
        <w:t>has highlighted that for some clinicians, the PCEHR is enhancing the care they are able to provide.  This is particularly the case for patients with chronic and complex conditions who attend multiple service providers. Clinicians reported that the PCEHR provided another source of information for them on which to base quality care for their patients. Most providers did not report clinical safety incidents or issues with their use of the system. However, some of the evidence collected through the audit has also drawn attention to the challenges faced in relation to the data contained within individual PCEHRs, medication safety and incident management.</w:t>
      </w:r>
    </w:p>
    <w:p w:rsidR="002E6CD8" w:rsidRPr="00523021" w:rsidRDefault="002E6CD8" w:rsidP="002E6CD8">
      <w:pPr>
        <w:pStyle w:val="BodyText"/>
        <w:spacing w:before="120" w:after="120" w:line="240" w:lineRule="atLeast"/>
        <w:rPr>
          <w:rFonts w:ascii="Arial" w:hAnsi="Arial" w:cs="Arial"/>
        </w:rPr>
      </w:pPr>
      <w:r w:rsidRPr="00523021">
        <w:rPr>
          <w:rFonts w:ascii="Arial" w:hAnsi="Arial" w:cs="Arial"/>
        </w:rPr>
        <w:t>Taken together, the key findings and recommendations provide key agencies with a basis for further improving the clinical safety of the PCEHR.</w:t>
      </w:r>
    </w:p>
    <w:p w:rsidR="00F62F9A" w:rsidRPr="006C0B80" w:rsidRDefault="00F62F9A" w:rsidP="006C0B80">
      <w:pPr>
        <w:pStyle w:val="Heading1"/>
        <w:numPr>
          <w:ilvl w:val="0"/>
          <w:numId w:val="16"/>
        </w:numPr>
        <w:spacing w:before="240" w:after="120" w:line="480" w:lineRule="atLeast"/>
        <w:ind w:hanging="720"/>
        <w:jc w:val="both"/>
        <w:rPr>
          <w:color w:val="548DD4" w:themeColor="text2" w:themeTint="99"/>
          <w:sz w:val="32"/>
          <w:szCs w:val="32"/>
        </w:rPr>
      </w:pPr>
      <w:bookmarkStart w:id="7" w:name="_Toc403470082"/>
      <w:r w:rsidRPr="006C0B80">
        <w:rPr>
          <w:color w:val="548DD4" w:themeColor="text2" w:themeTint="99"/>
          <w:sz w:val="32"/>
          <w:szCs w:val="32"/>
        </w:rPr>
        <w:t>Background</w:t>
      </w:r>
      <w:bookmarkEnd w:id="7"/>
      <w:r w:rsidRPr="006C0B80">
        <w:rPr>
          <w:color w:val="548DD4" w:themeColor="text2" w:themeTint="99"/>
          <w:sz w:val="32"/>
          <w:szCs w:val="32"/>
        </w:rPr>
        <w:t xml:space="preserve"> </w:t>
      </w:r>
      <w:bookmarkEnd w:id="5"/>
    </w:p>
    <w:p w:rsidR="007021C1" w:rsidRPr="006C0B80" w:rsidRDefault="007021C1" w:rsidP="006C0B80">
      <w:pPr>
        <w:pStyle w:val="BodyText"/>
        <w:spacing w:before="120" w:after="120" w:line="280" w:lineRule="atLeast"/>
        <w:rPr>
          <w:rFonts w:ascii="Arial" w:hAnsi="Arial" w:cs="Arial"/>
          <w:color w:val="000000" w:themeColor="text1"/>
        </w:rPr>
      </w:pPr>
      <w:r w:rsidRPr="006C0B80">
        <w:rPr>
          <w:rFonts w:ascii="Arial" w:hAnsi="Arial" w:cs="Arial"/>
          <w:color w:val="000000" w:themeColor="text1"/>
        </w:rPr>
        <w:t xml:space="preserve">Electronic Health Records (EHRs) are an essential newer part of our health system, and the recently implemented Personally Controlled Electronic Health Record (PCEHR) aims to support improvements in the sharing and accessibility of patient information across healthcare organisation boundaries. Whilst consumer registration for the PCEHR has reached </w:t>
      </w:r>
      <w:r w:rsidRPr="006C0B80">
        <w:rPr>
          <w:rFonts w:ascii="Arial" w:hAnsi="Arial" w:cs="Arial"/>
          <w:bCs/>
          <w:color w:val="000000" w:themeColor="text1"/>
          <w:lang w:val="en-GB"/>
        </w:rPr>
        <w:t>1,178,98</w:t>
      </w:r>
      <w:r w:rsidR="00D53666">
        <w:rPr>
          <w:rFonts w:ascii="Arial" w:hAnsi="Arial" w:cs="Arial"/>
          <w:bCs/>
          <w:color w:val="000000" w:themeColor="text1"/>
          <w:lang w:val="en-GB"/>
        </w:rPr>
        <w:t>0</w:t>
      </w:r>
      <w:r w:rsidRPr="006C0B80">
        <w:rPr>
          <w:rStyle w:val="FootnoteReference"/>
          <w:rFonts w:ascii="Arial" w:hAnsi="Arial" w:cs="Arial"/>
          <w:bCs/>
          <w:color w:val="000000" w:themeColor="text1"/>
          <w:lang w:val="en-GB"/>
        </w:rPr>
        <w:footnoteReference w:id="1"/>
      </w:r>
      <w:r w:rsidRPr="006C0B80">
        <w:rPr>
          <w:rFonts w:ascii="Arial" w:hAnsi="Arial" w:cs="Arial"/>
          <w:bCs/>
          <w:color w:val="000000" w:themeColor="text1"/>
        </w:rPr>
        <w:t xml:space="preserve">, </w:t>
      </w:r>
      <w:r w:rsidRPr="006C0B80">
        <w:rPr>
          <w:rFonts w:ascii="Arial" w:hAnsi="Arial" w:cs="Arial"/>
          <w:color w:val="000000" w:themeColor="text1"/>
        </w:rPr>
        <w:t>there has been incremental progress in clinician enrolments, deployment capabilities and content of the PCEHR, and real-world clinical interactions with the PCEHR infrastructure by web portal and clinical software systems.</w:t>
      </w:r>
    </w:p>
    <w:p w:rsidR="007021C1" w:rsidRPr="006C0B80" w:rsidRDefault="007021C1" w:rsidP="006C0B80">
      <w:pPr>
        <w:pStyle w:val="BodyText"/>
        <w:spacing w:before="120" w:after="120" w:line="280" w:lineRule="atLeast"/>
        <w:rPr>
          <w:rFonts w:ascii="Arial" w:hAnsi="Arial" w:cs="Arial"/>
          <w:color w:val="000000" w:themeColor="text1"/>
        </w:rPr>
      </w:pPr>
      <w:r w:rsidRPr="006C0B80">
        <w:rPr>
          <w:rFonts w:ascii="Arial" w:hAnsi="Arial" w:cs="Arial"/>
          <w:color w:val="000000" w:themeColor="text1"/>
        </w:rPr>
        <w:t xml:space="preserve">It is important to note that the PCEHR was not intended to replace current clinical information systems used by Australian health care providers; rather, it was intended to play a supportive role. Patient safety and patient centred quality have emerged as key drivers in healthcare reform, however, patients still experience needless harm and processes are not as efficient as they could be.  In the area of eHealth, implementation is still inconsistent across health care systems and providers, and this inconsistency leads to equally variable implications for patient safety.  Recent evidence has highlighted substantial and often unexpected risks resulting from the use of EHRs and other forms of health information </w:t>
      </w:r>
      <w:r w:rsidRPr="006C0B80">
        <w:rPr>
          <w:rFonts w:ascii="Arial" w:hAnsi="Arial" w:cs="Arial"/>
          <w:color w:val="000000" w:themeColor="text1"/>
        </w:rPr>
        <w:lastRenderedPageBreak/>
        <w:t>technology. These concerns are compounded by the pace of EHR development and implementation.  It is therefore highly appropriate to be concerned about potential safety issues from the use of the PCEHR.</w:t>
      </w:r>
    </w:p>
    <w:p w:rsidR="007021C1" w:rsidRDefault="007021C1" w:rsidP="006C0B80">
      <w:pPr>
        <w:pStyle w:val="BodyText"/>
        <w:spacing w:before="120" w:after="120" w:line="280" w:lineRule="atLeast"/>
        <w:rPr>
          <w:rFonts w:ascii="Arial" w:hAnsi="Arial" w:cs="Arial"/>
          <w:color w:val="000000" w:themeColor="text1"/>
        </w:rPr>
      </w:pPr>
      <w:r w:rsidRPr="006C0B80">
        <w:rPr>
          <w:rFonts w:ascii="Arial" w:hAnsi="Arial" w:cs="Arial"/>
          <w:color w:val="000000" w:themeColor="text1"/>
        </w:rPr>
        <w:t>A clinical governance structure has been put in place to oversee, monitor and report on clinical safety issues associated with the use of the PCEHR.  Given the nature of the new environment, the reality of the variable uptake and nature of clinical information and of clinical information technology, and the importance of ensuring that systems are safe and reliable in use, this is not a straight-forward challenge.</w:t>
      </w:r>
    </w:p>
    <w:p w:rsidR="002E6CD8" w:rsidRPr="006C0B80" w:rsidRDefault="002E6CD8" w:rsidP="006C0B80">
      <w:pPr>
        <w:pStyle w:val="BodyText"/>
        <w:spacing w:before="120" w:after="120" w:line="280" w:lineRule="atLeast"/>
        <w:rPr>
          <w:rFonts w:ascii="Arial" w:hAnsi="Arial" w:cs="Arial"/>
          <w:color w:val="000000" w:themeColor="text1"/>
        </w:rPr>
      </w:pPr>
    </w:p>
    <w:p w:rsidR="007021C1" w:rsidRPr="006C0B80" w:rsidRDefault="007021C1" w:rsidP="006C0B80">
      <w:pPr>
        <w:pStyle w:val="Heading1"/>
        <w:numPr>
          <w:ilvl w:val="0"/>
          <w:numId w:val="16"/>
        </w:numPr>
        <w:spacing w:before="240" w:after="120" w:line="280" w:lineRule="atLeast"/>
        <w:ind w:hanging="720"/>
        <w:jc w:val="both"/>
        <w:rPr>
          <w:color w:val="548DD4" w:themeColor="text2" w:themeTint="99"/>
          <w:sz w:val="32"/>
          <w:szCs w:val="32"/>
        </w:rPr>
      </w:pPr>
      <w:bookmarkStart w:id="8" w:name="_Toc403470083"/>
      <w:r w:rsidRPr="006C0B80">
        <w:rPr>
          <w:color w:val="548DD4" w:themeColor="text2" w:themeTint="99"/>
          <w:sz w:val="32"/>
          <w:szCs w:val="32"/>
        </w:rPr>
        <w:t>Review objectives and scope</w:t>
      </w:r>
      <w:bookmarkEnd w:id="8"/>
    </w:p>
    <w:p w:rsidR="00F62F9A" w:rsidRPr="00D14A54" w:rsidRDefault="00F62F9A" w:rsidP="00D14A54">
      <w:pPr>
        <w:pStyle w:val="BodyText"/>
        <w:numPr>
          <w:ilvl w:val="0"/>
          <w:numId w:val="4"/>
        </w:numPr>
        <w:spacing w:before="120" w:after="120" w:line="280" w:lineRule="atLeast"/>
        <w:rPr>
          <w:rFonts w:ascii="Arial" w:hAnsi="Arial" w:cs="Arial"/>
        </w:rPr>
      </w:pPr>
      <w:r w:rsidRPr="00D14A54">
        <w:rPr>
          <w:rFonts w:ascii="Arial" w:hAnsi="Arial" w:cs="Arial"/>
        </w:rPr>
        <w:t xml:space="preserve">The objectives of </w:t>
      </w:r>
      <w:r w:rsidR="0082351F" w:rsidRPr="00D14A54">
        <w:rPr>
          <w:rFonts w:ascii="Arial" w:hAnsi="Arial" w:cs="Arial"/>
        </w:rPr>
        <w:t xml:space="preserve">the </w:t>
      </w:r>
      <w:r w:rsidR="00102483">
        <w:rPr>
          <w:rFonts w:ascii="Arial" w:hAnsi="Arial" w:cs="Arial"/>
        </w:rPr>
        <w:t>Third Review</w:t>
      </w:r>
      <w:r w:rsidRPr="00D14A54">
        <w:rPr>
          <w:rFonts w:ascii="Arial" w:hAnsi="Arial" w:cs="Arial"/>
        </w:rPr>
        <w:t xml:space="preserve"> as agreed by the PCEHR Clinical Governance Advisory Group (CGAG)</w:t>
      </w:r>
      <w:r w:rsidR="00F165AE" w:rsidRPr="00D14A54">
        <w:rPr>
          <w:rFonts w:ascii="Arial" w:hAnsi="Arial" w:cs="Arial"/>
        </w:rPr>
        <w:t xml:space="preserve"> we</w:t>
      </w:r>
      <w:r w:rsidRPr="00D14A54">
        <w:rPr>
          <w:rFonts w:ascii="Arial" w:hAnsi="Arial" w:cs="Arial"/>
        </w:rPr>
        <w:t xml:space="preserve">re centred around three key </w:t>
      </w:r>
      <w:r w:rsidR="004D3C5D">
        <w:rPr>
          <w:rFonts w:ascii="Arial" w:hAnsi="Arial" w:cs="Arial"/>
        </w:rPr>
        <w:t>review</w:t>
      </w:r>
      <w:r w:rsidRPr="00D14A54">
        <w:rPr>
          <w:rFonts w:ascii="Arial" w:hAnsi="Arial" w:cs="Arial"/>
        </w:rPr>
        <w:t xml:space="preserve"> areas:</w:t>
      </w:r>
    </w:p>
    <w:p w:rsidR="00F62F9A" w:rsidRPr="00D14A54" w:rsidRDefault="00F62F9A" w:rsidP="00F62F9A">
      <w:pPr>
        <w:pStyle w:val="BodyText"/>
        <w:numPr>
          <w:ilvl w:val="0"/>
          <w:numId w:val="3"/>
        </w:numPr>
        <w:rPr>
          <w:rFonts w:ascii="Arial" w:hAnsi="Arial" w:cs="Arial"/>
        </w:rPr>
      </w:pPr>
      <w:r w:rsidRPr="00D14A54">
        <w:rPr>
          <w:rFonts w:ascii="Arial" w:hAnsi="Arial" w:cs="Arial"/>
        </w:rPr>
        <w:t>A review of a sample of de-identified PCEHR records</w:t>
      </w:r>
    </w:p>
    <w:p w:rsidR="00F62F9A" w:rsidRPr="00D14A54" w:rsidRDefault="00F62F9A" w:rsidP="00F62F9A">
      <w:pPr>
        <w:pStyle w:val="BodyText"/>
        <w:numPr>
          <w:ilvl w:val="0"/>
          <w:numId w:val="3"/>
        </w:numPr>
        <w:rPr>
          <w:rFonts w:ascii="Arial" w:hAnsi="Arial" w:cs="Arial"/>
        </w:rPr>
      </w:pPr>
      <w:r w:rsidRPr="00D14A54">
        <w:rPr>
          <w:rFonts w:ascii="Arial" w:hAnsi="Arial" w:cs="Arial"/>
        </w:rPr>
        <w:t>An investigation of the use by healthcare providers of the National Prescription and Dispense Repository (NPDR)</w:t>
      </w:r>
    </w:p>
    <w:p w:rsidR="00F62F9A" w:rsidRPr="00D14A54" w:rsidRDefault="00F62F9A" w:rsidP="00F62F9A">
      <w:pPr>
        <w:pStyle w:val="BodyText"/>
        <w:numPr>
          <w:ilvl w:val="0"/>
          <w:numId w:val="3"/>
        </w:numPr>
        <w:rPr>
          <w:rFonts w:ascii="Arial" w:hAnsi="Arial" w:cs="Arial"/>
        </w:rPr>
      </w:pPr>
      <w:r w:rsidRPr="00D14A54">
        <w:rPr>
          <w:rFonts w:ascii="Arial" w:hAnsi="Arial" w:cs="Arial"/>
        </w:rPr>
        <w:t>To review and develop incident identification, selection and review processes for the CGAG, with scenario planning and mapping for incident review and reporting.</w:t>
      </w:r>
    </w:p>
    <w:p w:rsidR="007021C1" w:rsidRPr="00D14A54" w:rsidRDefault="007021C1" w:rsidP="00D14A54">
      <w:pPr>
        <w:pStyle w:val="Heading1"/>
        <w:numPr>
          <w:ilvl w:val="0"/>
          <w:numId w:val="3"/>
        </w:numPr>
        <w:spacing w:before="240" w:after="120" w:line="480" w:lineRule="atLeast"/>
        <w:ind w:left="720" w:hanging="720"/>
        <w:rPr>
          <w:color w:val="548DD4" w:themeColor="text2" w:themeTint="99"/>
          <w:sz w:val="32"/>
          <w:szCs w:val="32"/>
        </w:rPr>
      </w:pPr>
      <w:bookmarkStart w:id="9" w:name="_Toc373491702"/>
      <w:bookmarkStart w:id="10" w:name="_Toc373494741"/>
      <w:bookmarkStart w:id="11" w:name="_Toc373496172"/>
      <w:bookmarkStart w:id="12" w:name="_Toc373496857"/>
      <w:bookmarkStart w:id="13" w:name="_Toc373496994"/>
      <w:bookmarkStart w:id="14" w:name="_Toc373494744"/>
      <w:bookmarkStart w:id="15" w:name="_Toc373494745"/>
      <w:bookmarkStart w:id="16" w:name="_Toc373496175"/>
      <w:bookmarkStart w:id="17" w:name="_Toc373496860"/>
      <w:bookmarkStart w:id="18" w:name="_Toc373496997"/>
      <w:bookmarkStart w:id="19" w:name="_Toc373496177"/>
      <w:bookmarkStart w:id="20" w:name="_Toc373496862"/>
      <w:bookmarkStart w:id="21" w:name="_Toc373496999"/>
      <w:bookmarkStart w:id="22" w:name="_Toc403470084"/>
      <w:bookmarkStart w:id="23" w:name="_Toc374390389"/>
      <w:bookmarkEnd w:id="9"/>
      <w:bookmarkEnd w:id="10"/>
      <w:bookmarkEnd w:id="11"/>
      <w:bookmarkEnd w:id="12"/>
      <w:bookmarkEnd w:id="13"/>
      <w:bookmarkEnd w:id="14"/>
      <w:bookmarkEnd w:id="15"/>
      <w:bookmarkEnd w:id="16"/>
      <w:bookmarkEnd w:id="17"/>
      <w:bookmarkEnd w:id="18"/>
      <w:bookmarkEnd w:id="19"/>
      <w:bookmarkEnd w:id="20"/>
      <w:bookmarkEnd w:id="21"/>
      <w:r w:rsidRPr="00D14A54">
        <w:rPr>
          <w:color w:val="548DD4" w:themeColor="text2" w:themeTint="99"/>
          <w:sz w:val="32"/>
          <w:szCs w:val="32"/>
        </w:rPr>
        <w:t>Overall methodology</w:t>
      </w:r>
      <w:bookmarkEnd w:id="22"/>
    </w:p>
    <w:p w:rsidR="007021C1" w:rsidRPr="00D14A54" w:rsidRDefault="007021C1" w:rsidP="007021C1">
      <w:pPr>
        <w:pStyle w:val="BodyText"/>
        <w:numPr>
          <w:ilvl w:val="0"/>
          <w:numId w:val="4"/>
        </w:numPr>
        <w:rPr>
          <w:rFonts w:ascii="Arial" w:hAnsi="Arial" w:cs="Arial"/>
        </w:rPr>
      </w:pPr>
      <w:r w:rsidRPr="00D14A54">
        <w:rPr>
          <w:rFonts w:ascii="Arial" w:hAnsi="Arial" w:cs="Arial"/>
        </w:rPr>
        <w:t xml:space="preserve">The </w:t>
      </w:r>
      <w:r w:rsidR="00102483">
        <w:rPr>
          <w:rFonts w:ascii="Arial" w:hAnsi="Arial" w:cs="Arial"/>
        </w:rPr>
        <w:t>review</w:t>
      </w:r>
      <w:r w:rsidRPr="00D14A54">
        <w:rPr>
          <w:rFonts w:ascii="Arial" w:hAnsi="Arial" w:cs="Arial"/>
        </w:rPr>
        <w:t xml:space="preserve"> approach was structured as per the three </w:t>
      </w:r>
      <w:r w:rsidR="002C1B3E" w:rsidRPr="00D14A54">
        <w:rPr>
          <w:rFonts w:ascii="Arial" w:hAnsi="Arial" w:cs="Arial"/>
        </w:rPr>
        <w:t xml:space="preserve">key review </w:t>
      </w:r>
      <w:r w:rsidRPr="00D14A54">
        <w:rPr>
          <w:rFonts w:ascii="Arial" w:hAnsi="Arial" w:cs="Arial"/>
        </w:rPr>
        <w:t>areas of the audit:</w:t>
      </w:r>
    </w:p>
    <w:p w:rsidR="007021C1" w:rsidRPr="00D14A54" w:rsidRDefault="00AF72BA" w:rsidP="007021C1">
      <w:pPr>
        <w:pStyle w:val="BodyText"/>
        <w:numPr>
          <w:ilvl w:val="0"/>
          <w:numId w:val="4"/>
        </w:numPr>
        <w:rPr>
          <w:rFonts w:ascii="Arial" w:hAnsi="Arial" w:cs="Arial"/>
        </w:rPr>
      </w:pPr>
      <w:r w:rsidRPr="00D14A54">
        <w:rPr>
          <w:rFonts w:ascii="Arial" w:hAnsi="Arial" w:cs="Arial"/>
          <w:b/>
        </w:rPr>
        <w:t>Review area</w:t>
      </w:r>
      <w:r w:rsidR="007021C1" w:rsidRPr="00D14A54">
        <w:rPr>
          <w:rFonts w:ascii="Arial" w:hAnsi="Arial" w:cs="Arial"/>
          <w:b/>
        </w:rPr>
        <w:t xml:space="preserve"> 1:</w:t>
      </w:r>
      <w:r w:rsidR="007021C1" w:rsidRPr="00D14A54">
        <w:rPr>
          <w:rFonts w:ascii="Arial" w:hAnsi="Arial" w:cs="Arial"/>
        </w:rPr>
        <w:t xml:space="preserve"> Data collection and analysis of 112 de-identified PCEHR records was undertaken.</w:t>
      </w:r>
    </w:p>
    <w:p w:rsidR="007021C1" w:rsidRPr="00D14A54" w:rsidRDefault="00AF72BA" w:rsidP="007021C1">
      <w:pPr>
        <w:pStyle w:val="BodyText"/>
        <w:numPr>
          <w:ilvl w:val="0"/>
          <w:numId w:val="4"/>
        </w:numPr>
        <w:rPr>
          <w:rFonts w:ascii="Arial" w:hAnsi="Arial" w:cs="Arial"/>
        </w:rPr>
      </w:pPr>
      <w:r w:rsidRPr="00D14A54">
        <w:rPr>
          <w:rFonts w:ascii="Arial" w:hAnsi="Arial" w:cs="Arial"/>
          <w:b/>
        </w:rPr>
        <w:t>Review area</w:t>
      </w:r>
      <w:r w:rsidR="007021C1" w:rsidRPr="00D14A54">
        <w:rPr>
          <w:rFonts w:ascii="Arial" w:hAnsi="Arial" w:cs="Arial"/>
          <w:b/>
        </w:rPr>
        <w:t xml:space="preserve"> 2:</w:t>
      </w:r>
      <w:r w:rsidR="007021C1" w:rsidRPr="00D14A54">
        <w:rPr>
          <w:rFonts w:ascii="Arial" w:hAnsi="Arial" w:cs="Arial"/>
        </w:rPr>
        <w:t xml:space="preserve"> An investigation of the National Prescription and Dispense Repository (NPDR) included data analysis, an online survey for Pharmacists (with 12 responses), site visits to general practices and pharmacies (six site visits) and consultation with key stakeholders.  </w:t>
      </w:r>
    </w:p>
    <w:p w:rsidR="007021C1" w:rsidRPr="00D14A54" w:rsidRDefault="00AF72BA" w:rsidP="007021C1">
      <w:pPr>
        <w:pStyle w:val="BodyText"/>
        <w:numPr>
          <w:ilvl w:val="0"/>
          <w:numId w:val="4"/>
        </w:numPr>
        <w:rPr>
          <w:rFonts w:ascii="Arial" w:hAnsi="Arial" w:cs="Arial"/>
        </w:rPr>
      </w:pPr>
      <w:r w:rsidRPr="00D14A54">
        <w:rPr>
          <w:rFonts w:ascii="Arial" w:hAnsi="Arial" w:cs="Arial"/>
          <w:b/>
        </w:rPr>
        <w:t>Review area</w:t>
      </w:r>
      <w:r w:rsidR="007021C1" w:rsidRPr="00D14A54">
        <w:rPr>
          <w:rFonts w:ascii="Arial" w:hAnsi="Arial" w:cs="Arial"/>
          <w:b/>
        </w:rPr>
        <w:t xml:space="preserve"> 3:</w:t>
      </w:r>
      <w:r w:rsidR="007021C1" w:rsidRPr="00D14A54">
        <w:rPr>
          <w:rFonts w:ascii="Arial" w:hAnsi="Arial" w:cs="Arial"/>
        </w:rPr>
        <w:t xml:space="preserve"> A desktop review of background material and current incident management processes was undertaken, stakeholder interviews were conducted with key agencies (DHS, DoH, NEHTA and UNSW), and process mapping of clinical safety incidents reported to date was completed. A workshop was held to discuss findings and propose recommendations for the way forward.  </w:t>
      </w:r>
    </w:p>
    <w:p w:rsidR="00D14A54" w:rsidRPr="00D14A54" w:rsidRDefault="007021C1" w:rsidP="00D14A54">
      <w:pPr>
        <w:pStyle w:val="Heading1"/>
        <w:numPr>
          <w:ilvl w:val="0"/>
          <w:numId w:val="3"/>
        </w:numPr>
        <w:spacing w:before="240" w:after="120" w:line="280" w:lineRule="atLeast"/>
        <w:ind w:left="720" w:hanging="720"/>
        <w:jc w:val="both"/>
        <w:rPr>
          <w:color w:val="548DD4" w:themeColor="text2" w:themeTint="99"/>
          <w:sz w:val="32"/>
          <w:szCs w:val="32"/>
        </w:rPr>
      </w:pPr>
      <w:bookmarkStart w:id="24" w:name="_Toc403470085"/>
      <w:r w:rsidRPr="00D14A54">
        <w:rPr>
          <w:color w:val="548DD4" w:themeColor="text2" w:themeTint="99"/>
          <w:sz w:val="32"/>
          <w:szCs w:val="32"/>
        </w:rPr>
        <w:t>Key</w:t>
      </w:r>
      <w:r w:rsidR="00D14A54" w:rsidRPr="00D14A54">
        <w:rPr>
          <w:color w:val="548DD4" w:themeColor="text2" w:themeTint="99"/>
          <w:sz w:val="32"/>
          <w:szCs w:val="32"/>
        </w:rPr>
        <w:t xml:space="preserve"> Review Areas</w:t>
      </w:r>
      <w:bookmarkEnd w:id="24"/>
      <w:r w:rsidRPr="00D14A54">
        <w:rPr>
          <w:color w:val="548DD4" w:themeColor="text2" w:themeTint="99"/>
          <w:sz w:val="32"/>
          <w:szCs w:val="32"/>
        </w:rPr>
        <w:t xml:space="preserve"> </w:t>
      </w:r>
    </w:p>
    <w:p w:rsidR="00E2489C" w:rsidRPr="00D14A54" w:rsidRDefault="00D14A54" w:rsidP="00D14A54">
      <w:pPr>
        <w:pStyle w:val="Heading3"/>
        <w:spacing w:before="240" w:after="120" w:line="280" w:lineRule="atLeast"/>
        <w:ind w:left="720" w:hanging="720"/>
        <w:rPr>
          <w:color w:val="548DD4" w:themeColor="text2" w:themeTint="99"/>
          <w:sz w:val="24"/>
          <w:szCs w:val="24"/>
        </w:rPr>
      </w:pPr>
      <w:bookmarkStart w:id="25" w:name="_Toc403470086"/>
      <w:r>
        <w:rPr>
          <w:color w:val="548DD4" w:themeColor="text2" w:themeTint="99"/>
          <w:sz w:val="24"/>
          <w:szCs w:val="24"/>
        </w:rPr>
        <w:t xml:space="preserve">5.1 </w:t>
      </w:r>
      <w:r w:rsidR="00D53666">
        <w:rPr>
          <w:color w:val="548DD4" w:themeColor="text2" w:themeTint="99"/>
          <w:sz w:val="24"/>
          <w:szCs w:val="24"/>
        </w:rPr>
        <w:tab/>
      </w:r>
      <w:r w:rsidRPr="00D14A54">
        <w:rPr>
          <w:color w:val="548DD4" w:themeColor="text2" w:themeTint="99"/>
          <w:sz w:val="24"/>
          <w:szCs w:val="24"/>
        </w:rPr>
        <w:t>R</w:t>
      </w:r>
      <w:r w:rsidR="007021C1" w:rsidRPr="00D14A54">
        <w:rPr>
          <w:color w:val="548DD4" w:themeColor="text2" w:themeTint="99"/>
          <w:sz w:val="24"/>
          <w:szCs w:val="24"/>
        </w:rPr>
        <w:t>eview</w:t>
      </w:r>
      <w:r w:rsidR="00F62F9A" w:rsidRPr="00D14A54">
        <w:rPr>
          <w:color w:val="548DD4" w:themeColor="text2" w:themeTint="99"/>
          <w:sz w:val="24"/>
          <w:szCs w:val="24"/>
        </w:rPr>
        <w:t xml:space="preserve"> area 1</w:t>
      </w:r>
      <w:bookmarkEnd w:id="23"/>
      <w:r w:rsidR="00F165AE" w:rsidRPr="00D14A54">
        <w:rPr>
          <w:color w:val="548DD4" w:themeColor="text2" w:themeTint="99"/>
          <w:sz w:val="24"/>
          <w:szCs w:val="24"/>
        </w:rPr>
        <w:t>: A review of a sample of de-identified PCEHR records</w:t>
      </w:r>
      <w:bookmarkEnd w:id="25"/>
    </w:p>
    <w:p w:rsidR="009D663A" w:rsidRPr="00D14A54" w:rsidRDefault="009D663A" w:rsidP="00F62F9A">
      <w:pPr>
        <w:pStyle w:val="BodyText"/>
        <w:numPr>
          <w:ilvl w:val="0"/>
          <w:numId w:val="2"/>
        </w:numPr>
        <w:rPr>
          <w:rFonts w:ascii="Arial" w:hAnsi="Arial" w:cs="Arial"/>
        </w:rPr>
      </w:pPr>
      <w:r w:rsidRPr="00D14A54">
        <w:rPr>
          <w:rFonts w:ascii="Arial" w:hAnsi="Arial" w:cs="Arial"/>
          <w:b/>
          <w:i/>
        </w:rPr>
        <w:t>Audit approach</w:t>
      </w:r>
      <w:r w:rsidRPr="00D14A54">
        <w:rPr>
          <w:rFonts w:ascii="Arial" w:hAnsi="Arial" w:cs="Arial"/>
        </w:rPr>
        <w:t>:</w:t>
      </w:r>
    </w:p>
    <w:p w:rsidR="00E2489C" w:rsidRPr="00CC64DB" w:rsidRDefault="009D663A" w:rsidP="00F62F9A">
      <w:pPr>
        <w:pStyle w:val="BodyText"/>
        <w:numPr>
          <w:ilvl w:val="0"/>
          <w:numId w:val="2"/>
        </w:numPr>
        <w:rPr>
          <w:rFonts w:ascii="Arial" w:hAnsi="Arial" w:cs="Arial"/>
          <w:b/>
        </w:rPr>
      </w:pPr>
      <w:r w:rsidRPr="00CC64DB">
        <w:rPr>
          <w:rFonts w:ascii="Arial" w:hAnsi="Arial" w:cs="Arial"/>
        </w:rPr>
        <w:t>A sample of 112 de-identified records containing a range of clinical documents were analysed and assessed against published standards. Issues and inconsistencies were identified and recommendations formulated.</w:t>
      </w:r>
    </w:p>
    <w:p w:rsidR="002E6CD8" w:rsidRDefault="002E6CD8">
      <w:pPr>
        <w:rPr>
          <w:rFonts w:ascii="Arial" w:hAnsi="Arial" w:cs="Arial"/>
          <w:b/>
        </w:rPr>
      </w:pPr>
      <w:r>
        <w:rPr>
          <w:rFonts w:ascii="Arial" w:hAnsi="Arial" w:cs="Arial"/>
          <w:b/>
        </w:rPr>
        <w:br w:type="page"/>
      </w:r>
    </w:p>
    <w:p w:rsidR="009D663A" w:rsidRPr="00D14A54" w:rsidRDefault="009D663A" w:rsidP="00F62F9A">
      <w:pPr>
        <w:pStyle w:val="BodyText"/>
        <w:numPr>
          <w:ilvl w:val="0"/>
          <w:numId w:val="2"/>
        </w:numPr>
        <w:rPr>
          <w:rFonts w:ascii="Arial" w:hAnsi="Arial" w:cs="Arial"/>
          <w:b/>
        </w:rPr>
      </w:pPr>
      <w:r w:rsidRPr="00D14A54">
        <w:rPr>
          <w:rFonts w:ascii="Arial" w:hAnsi="Arial" w:cs="Arial"/>
          <w:b/>
        </w:rPr>
        <w:lastRenderedPageBreak/>
        <w:t>Key finding 1: There was a period of time</w:t>
      </w:r>
      <w:r w:rsidR="00D71B35" w:rsidRPr="00D14A54">
        <w:rPr>
          <w:rFonts w:ascii="Arial" w:hAnsi="Arial" w:cs="Arial"/>
          <w:b/>
        </w:rPr>
        <w:t xml:space="preserve"> where software calls to validate IHI numbers were not being processed correctly</w:t>
      </w:r>
    </w:p>
    <w:p w:rsidR="00D71B35" w:rsidRPr="00D14A54" w:rsidRDefault="00D71B35" w:rsidP="00F62F9A">
      <w:pPr>
        <w:pStyle w:val="BodyText"/>
        <w:numPr>
          <w:ilvl w:val="0"/>
          <w:numId w:val="2"/>
        </w:numPr>
        <w:rPr>
          <w:rFonts w:ascii="Arial" w:hAnsi="Arial" w:cs="Arial"/>
        </w:rPr>
      </w:pPr>
      <w:r w:rsidRPr="00D14A54">
        <w:rPr>
          <w:rFonts w:ascii="Arial" w:hAnsi="Arial" w:cs="Arial"/>
          <w:i/>
        </w:rPr>
        <w:t>Risk rating: Major</w:t>
      </w:r>
    </w:p>
    <w:p w:rsidR="00D71B35" w:rsidRPr="00D14A54" w:rsidRDefault="00D71B35" w:rsidP="00F62F9A">
      <w:pPr>
        <w:pStyle w:val="BodyText"/>
        <w:numPr>
          <w:ilvl w:val="0"/>
          <w:numId w:val="2"/>
        </w:numPr>
        <w:rPr>
          <w:rFonts w:ascii="Arial" w:hAnsi="Arial" w:cs="Arial"/>
        </w:rPr>
      </w:pPr>
      <w:r w:rsidRPr="00D14A54">
        <w:rPr>
          <w:rFonts w:ascii="Arial" w:hAnsi="Arial" w:cs="Arial"/>
        </w:rPr>
        <w:t>The audit identified a</w:t>
      </w:r>
      <w:r w:rsidR="00E2489C" w:rsidRPr="00D14A54">
        <w:rPr>
          <w:rFonts w:ascii="Arial" w:hAnsi="Arial" w:cs="Arial"/>
        </w:rPr>
        <w:t>n</w:t>
      </w:r>
      <w:r w:rsidRPr="00D14A54">
        <w:rPr>
          <w:rFonts w:ascii="Arial" w:hAnsi="Arial" w:cs="Arial"/>
        </w:rPr>
        <w:t xml:space="preserve"> issue where the Healthcare Identifiers Service (HI Service) was not matching clinical documents to the correct PCEHR records. It is understood this primarily occurred when clinical software made business-to-business calls to utilise the historical search function in the HI Service. The consequences of this issue </w:t>
      </w:r>
      <w:r w:rsidR="00E2489C" w:rsidRPr="00D14A54">
        <w:rPr>
          <w:rFonts w:ascii="Arial" w:hAnsi="Arial" w:cs="Arial"/>
        </w:rPr>
        <w:t>would be</w:t>
      </w:r>
      <w:r w:rsidRPr="00D14A54">
        <w:rPr>
          <w:rFonts w:ascii="Arial" w:hAnsi="Arial" w:cs="Arial"/>
        </w:rPr>
        <w:t xml:space="preserve"> very serious </w:t>
      </w:r>
      <w:r w:rsidR="00E2489C" w:rsidRPr="00D14A54">
        <w:rPr>
          <w:rFonts w:ascii="Arial" w:hAnsi="Arial" w:cs="Arial"/>
        </w:rPr>
        <w:t xml:space="preserve">if </w:t>
      </w:r>
      <w:r w:rsidRPr="00D14A54">
        <w:rPr>
          <w:rFonts w:ascii="Arial" w:hAnsi="Arial" w:cs="Arial"/>
        </w:rPr>
        <w:t xml:space="preserve">information </w:t>
      </w:r>
      <w:r w:rsidR="00E2489C" w:rsidRPr="00D14A54">
        <w:rPr>
          <w:rFonts w:ascii="Arial" w:hAnsi="Arial" w:cs="Arial"/>
        </w:rPr>
        <w:t xml:space="preserve">was </w:t>
      </w:r>
      <w:r w:rsidRPr="00D14A54">
        <w:rPr>
          <w:rFonts w:ascii="Arial" w:hAnsi="Arial" w:cs="Arial"/>
        </w:rPr>
        <w:t>linked to the incorrect PCEHR</w:t>
      </w:r>
      <w:r w:rsidR="00E2489C" w:rsidRPr="00D14A54">
        <w:rPr>
          <w:rFonts w:ascii="Arial" w:hAnsi="Arial" w:cs="Arial"/>
        </w:rPr>
        <w:t>,</w:t>
      </w:r>
      <w:r w:rsidR="00C467E6" w:rsidRPr="00D14A54">
        <w:rPr>
          <w:rFonts w:ascii="Arial" w:hAnsi="Arial" w:cs="Arial"/>
        </w:rPr>
        <w:t xml:space="preserve"> and </w:t>
      </w:r>
      <w:r w:rsidR="00E2489C" w:rsidRPr="00D14A54">
        <w:rPr>
          <w:rFonts w:ascii="Arial" w:hAnsi="Arial" w:cs="Arial"/>
        </w:rPr>
        <w:t xml:space="preserve">would </w:t>
      </w:r>
      <w:r w:rsidR="00C467E6" w:rsidRPr="00D14A54">
        <w:rPr>
          <w:rFonts w:ascii="Arial" w:hAnsi="Arial" w:cs="Arial"/>
        </w:rPr>
        <w:t>represent a serious PCEHR system failure</w:t>
      </w:r>
      <w:r w:rsidRPr="00D14A54">
        <w:rPr>
          <w:rFonts w:ascii="Arial" w:hAnsi="Arial" w:cs="Arial"/>
        </w:rPr>
        <w:t>.</w:t>
      </w:r>
      <w:r w:rsidR="00E2489C" w:rsidRPr="00D14A54">
        <w:rPr>
          <w:rFonts w:ascii="Arial" w:hAnsi="Arial" w:cs="Arial"/>
        </w:rPr>
        <w:t xml:space="preserve">  At the time of the review there was no documented investigation and analysis into this issue.</w:t>
      </w:r>
    </w:p>
    <w:p w:rsidR="00C467E6" w:rsidRPr="00D14A54" w:rsidRDefault="00C467E6" w:rsidP="00F62F9A">
      <w:pPr>
        <w:pStyle w:val="BodyText"/>
        <w:numPr>
          <w:ilvl w:val="0"/>
          <w:numId w:val="2"/>
        </w:numPr>
        <w:rPr>
          <w:rFonts w:ascii="Arial" w:hAnsi="Arial" w:cs="Arial"/>
        </w:rPr>
      </w:pPr>
      <w:r w:rsidRPr="00D14A54">
        <w:rPr>
          <w:rFonts w:ascii="Arial" w:hAnsi="Arial" w:cs="Arial"/>
        </w:rPr>
        <w:t>I</w:t>
      </w:r>
      <w:r w:rsidR="00E62477" w:rsidRPr="00D14A54">
        <w:rPr>
          <w:rFonts w:ascii="Arial" w:hAnsi="Arial" w:cs="Arial"/>
        </w:rPr>
        <w:t>t was recommended that i</w:t>
      </w:r>
      <w:r w:rsidRPr="00D14A54">
        <w:rPr>
          <w:rFonts w:ascii="Arial" w:hAnsi="Arial" w:cs="Arial"/>
        </w:rPr>
        <w:t>nvestigation and analysis of the IHI system failure should be undertaken and depending on the findings, appropriate protocols and management procedures may need to be created or updated.</w:t>
      </w:r>
      <w:r w:rsidR="00C96A9E">
        <w:rPr>
          <w:rStyle w:val="FootnoteReference"/>
          <w:rFonts w:ascii="Arial" w:hAnsi="Arial"/>
        </w:rPr>
        <w:footnoteReference w:id="2"/>
      </w:r>
    </w:p>
    <w:p w:rsidR="00D71B35" w:rsidRPr="00D14A54" w:rsidRDefault="00D71B35" w:rsidP="00F62F9A">
      <w:pPr>
        <w:pStyle w:val="BodyText"/>
        <w:numPr>
          <w:ilvl w:val="0"/>
          <w:numId w:val="2"/>
        </w:numPr>
        <w:rPr>
          <w:rFonts w:ascii="Arial" w:hAnsi="Arial" w:cs="Arial"/>
        </w:rPr>
      </w:pPr>
      <w:r w:rsidRPr="00CC64DB">
        <w:rPr>
          <w:rFonts w:ascii="Arial" w:hAnsi="Arial" w:cs="Arial"/>
          <w:b/>
          <w:i/>
        </w:rPr>
        <w:t>Recommendation</w:t>
      </w:r>
      <w:r w:rsidR="00C467E6" w:rsidRPr="00CC64DB">
        <w:rPr>
          <w:rFonts w:ascii="Arial" w:hAnsi="Arial" w:cs="Arial"/>
          <w:b/>
          <w:i/>
        </w:rPr>
        <w:t xml:space="preserve"> 1</w:t>
      </w:r>
      <w:r w:rsidRPr="00CC64DB">
        <w:rPr>
          <w:rFonts w:ascii="Arial" w:hAnsi="Arial" w:cs="Arial"/>
          <w:b/>
          <w:i/>
        </w:rPr>
        <w:t>:</w:t>
      </w:r>
      <w:r w:rsidRPr="00D14A54">
        <w:rPr>
          <w:rFonts w:ascii="Arial" w:hAnsi="Arial" w:cs="Arial"/>
          <w:i/>
        </w:rPr>
        <w:t xml:space="preserve"> Priority review and analysis of the issue of attribution of the IHI to PCEHRs</w:t>
      </w:r>
    </w:p>
    <w:p w:rsidR="00E2489C" w:rsidRPr="00D14A54" w:rsidRDefault="00E2489C" w:rsidP="00F62F9A">
      <w:pPr>
        <w:pStyle w:val="BodyText"/>
        <w:numPr>
          <w:ilvl w:val="0"/>
          <w:numId w:val="2"/>
        </w:numPr>
        <w:rPr>
          <w:rFonts w:ascii="Arial" w:hAnsi="Arial" w:cs="Arial"/>
        </w:rPr>
      </w:pPr>
    </w:p>
    <w:p w:rsidR="00D71B35" w:rsidRPr="00D14A54" w:rsidRDefault="00D71B35" w:rsidP="00F62F9A">
      <w:pPr>
        <w:pStyle w:val="BodyText"/>
        <w:numPr>
          <w:ilvl w:val="0"/>
          <w:numId w:val="2"/>
        </w:numPr>
        <w:rPr>
          <w:rFonts w:ascii="Arial" w:hAnsi="Arial" w:cs="Arial"/>
        </w:rPr>
      </w:pPr>
      <w:r w:rsidRPr="00D14A54">
        <w:rPr>
          <w:rFonts w:ascii="Arial" w:hAnsi="Arial" w:cs="Arial"/>
          <w:b/>
        </w:rPr>
        <w:t>Key finding 2: There is evidence to suggest there is some inconsistency in the presentation of data between the clinician desktop software and the PCEHR</w:t>
      </w:r>
    </w:p>
    <w:p w:rsidR="00D71B35" w:rsidRPr="00D14A54" w:rsidRDefault="00D71B35" w:rsidP="00F62F9A">
      <w:pPr>
        <w:pStyle w:val="BodyText"/>
        <w:numPr>
          <w:ilvl w:val="0"/>
          <w:numId w:val="2"/>
        </w:numPr>
        <w:rPr>
          <w:rFonts w:ascii="Arial" w:hAnsi="Arial" w:cs="Arial"/>
        </w:rPr>
      </w:pPr>
      <w:r w:rsidRPr="00D14A54">
        <w:rPr>
          <w:rFonts w:ascii="Arial" w:hAnsi="Arial" w:cs="Arial"/>
          <w:i/>
        </w:rPr>
        <w:t>Risk rating: Major</w:t>
      </w:r>
    </w:p>
    <w:p w:rsidR="00D71B35" w:rsidRPr="00D14A54" w:rsidRDefault="00C467E6" w:rsidP="00F62F9A">
      <w:pPr>
        <w:pStyle w:val="BodyText"/>
        <w:numPr>
          <w:ilvl w:val="0"/>
          <w:numId w:val="2"/>
        </w:numPr>
        <w:rPr>
          <w:rFonts w:ascii="Arial" w:hAnsi="Arial" w:cs="Arial"/>
        </w:rPr>
      </w:pPr>
      <w:r w:rsidRPr="00D14A54">
        <w:rPr>
          <w:rFonts w:ascii="Arial" w:hAnsi="Arial" w:cs="Arial"/>
        </w:rPr>
        <w:t>Interviews with clinicians revealed differences in the display of data between their desktop software and the provider portal of the PCEHR, particularly via the B2B view.</w:t>
      </w:r>
      <w:r w:rsidR="00F5655B" w:rsidRPr="00D14A54">
        <w:rPr>
          <w:rFonts w:ascii="Arial" w:hAnsi="Arial" w:cs="Arial"/>
        </w:rPr>
        <w:t xml:space="preserve"> This audit did not link the de-identified data back to the desktop software meaning an assessment of the integrity of the data could not be made, </w:t>
      </w:r>
      <w:r w:rsidR="00E2489C" w:rsidRPr="00D14A54">
        <w:rPr>
          <w:rFonts w:ascii="Arial" w:hAnsi="Arial" w:cs="Arial"/>
        </w:rPr>
        <w:t xml:space="preserve">however </w:t>
      </w:r>
      <w:r w:rsidR="00F5655B" w:rsidRPr="00D14A54">
        <w:rPr>
          <w:rFonts w:ascii="Arial" w:hAnsi="Arial" w:cs="Arial"/>
        </w:rPr>
        <w:t>it is vital there is consistency in the information for patient safety.</w:t>
      </w:r>
    </w:p>
    <w:p w:rsidR="00F5655B" w:rsidRPr="00D14A54" w:rsidRDefault="00F5655B" w:rsidP="00F62F9A">
      <w:pPr>
        <w:pStyle w:val="BodyText"/>
        <w:numPr>
          <w:ilvl w:val="0"/>
          <w:numId w:val="2"/>
        </w:numPr>
        <w:rPr>
          <w:rFonts w:ascii="Arial" w:hAnsi="Arial" w:cs="Arial"/>
        </w:rPr>
      </w:pPr>
      <w:r w:rsidRPr="00D14A54">
        <w:rPr>
          <w:rFonts w:ascii="Arial" w:hAnsi="Arial" w:cs="Arial"/>
        </w:rPr>
        <w:t>Of the Shared Health Summaries reviewed it was noted there was duplicate recording of medication information in the medicines component. Additionally, the transcription of data from a data item in one component to a data item in another component could lead to the development of incorrect clinical reasoning depending on the nature of the entry and the context of the transcription.</w:t>
      </w:r>
    </w:p>
    <w:p w:rsidR="007369F3" w:rsidRPr="00D14A54" w:rsidRDefault="007369F3" w:rsidP="002D7DDB">
      <w:pPr>
        <w:pStyle w:val="PwCNormal"/>
        <w:rPr>
          <w:rFonts w:ascii="Arial" w:hAnsi="Arial"/>
          <w:sz w:val="22"/>
        </w:rPr>
      </w:pPr>
      <w:r w:rsidRPr="00CC64DB">
        <w:rPr>
          <w:rFonts w:ascii="Arial" w:hAnsi="Arial"/>
          <w:b/>
          <w:i/>
          <w:sz w:val="22"/>
        </w:rPr>
        <w:t>Recommendation 2:</w:t>
      </w:r>
      <w:r w:rsidRPr="00D14A54">
        <w:rPr>
          <w:rFonts w:ascii="Arial" w:hAnsi="Arial"/>
          <w:i/>
          <w:sz w:val="22"/>
        </w:rPr>
        <w:t xml:space="preserve"> </w:t>
      </w:r>
      <w:r w:rsidR="002D7DDB" w:rsidRPr="00D14A54">
        <w:rPr>
          <w:rFonts w:ascii="Arial" w:hAnsi="Arial"/>
          <w:i/>
          <w:snapToGrid/>
          <w:sz w:val="22"/>
        </w:rPr>
        <w:t>The Commission seek to undertake an end-to-end examination of the presentation of the clinical data within the PCEHR.</w:t>
      </w:r>
    </w:p>
    <w:p w:rsidR="00E2489C" w:rsidRPr="00D14A54" w:rsidRDefault="00E2489C" w:rsidP="00F62F9A">
      <w:pPr>
        <w:pStyle w:val="BodyText"/>
        <w:numPr>
          <w:ilvl w:val="0"/>
          <w:numId w:val="2"/>
        </w:numPr>
        <w:rPr>
          <w:rFonts w:ascii="Arial" w:hAnsi="Arial" w:cs="Arial"/>
        </w:rPr>
      </w:pPr>
    </w:p>
    <w:p w:rsidR="00307D9C" w:rsidRPr="00D14A54" w:rsidRDefault="00307D9C" w:rsidP="00F62F9A">
      <w:pPr>
        <w:pStyle w:val="BodyText"/>
        <w:numPr>
          <w:ilvl w:val="0"/>
          <w:numId w:val="2"/>
        </w:numPr>
        <w:rPr>
          <w:rFonts w:ascii="Arial" w:hAnsi="Arial" w:cs="Arial"/>
        </w:rPr>
      </w:pPr>
      <w:r w:rsidRPr="00D14A54">
        <w:rPr>
          <w:rFonts w:ascii="Arial" w:hAnsi="Arial" w:cs="Arial"/>
          <w:b/>
        </w:rPr>
        <w:t>Key finding 3: The quality of the clinical information and data in the PCEHR could lead to misinterpretation and errors</w:t>
      </w:r>
    </w:p>
    <w:p w:rsidR="002D23F5" w:rsidRPr="00D14A54" w:rsidRDefault="002D23F5" w:rsidP="00F62F9A">
      <w:pPr>
        <w:pStyle w:val="BodyText"/>
        <w:numPr>
          <w:ilvl w:val="0"/>
          <w:numId w:val="2"/>
        </w:numPr>
        <w:rPr>
          <w:rFonts w:ascii="Arial" w:hAnsi="Arial" w:cs="Arial"/>
          <w:i/>
        </w:rPr>
      </w:pPr>
      <w:r w:rsidRPr="00D14A54">
        <w:rPr>
          <w:rFonts w:ascii="Arial" w:hAnsi="Arial" w:cs="Arial"/>
          <w:i/>
        </w:rPr>
        <w:t xml:space="preserve">Risk rating: </w:t>
      </w:r>
      <w:r w:rsidR="00215AC7" w:rsidRPr="00D14A54">
        <w:rPr>
          <w:rFonts w:ascii="Arial" w:hAnsi="Arial" w:cs="Arial"/>
          <w:i/>
        </w:rPr>
        <w:t>Minor</w:t>
      </w:r>
    </w:p>
    <w:p w:rsidR="00307D9C" w:rsidRPr="00D14A54" w:rsidRDefault="006C6782" w:rsidP="00F62F9A">
      <w:pPr>
        <w:pStyle w:val="BodyText"/>
        <w:numPr>
          <w:ilvl w:val="0"/>
          <w:numId w:val="2"/>
        </w:numPr>
        <w:rPr>
          <w:rFonts w:ascii="Arial" w:hAnsi="Arial" w:cs="Arial"/>
        </w:rPr>
      </w:pPr>
      <w:r w:rsidRPr="00D14A54">
        <w:rPr>
          <w:rFonts w:ascii="Arial" w:hAnsi="Arial" w:cs="Arial"/>
        </w:rPr>
        <w:lastRenderedPageBreak/>
        <w:t xml:space="preserve">Anomalies in the data within individual records were noted which could impact on effective and safe clinical care. These </w:t>
      </w:r>
      <w:r w:rsidR="00F165AE" w:rsidRPr="00D14A54">
        <w:rPr>
          <w:rFonts w:ascii="Arial" w:hAnsi="Arial" w:cs="Arial"/>
        </w:rPr>
        <w:t>included</w:t>
      </w:r>
      <w:r w:rsidRPr="00D14A54">
        <w:rPr>
          <w:rFonts w:ascii="Arial" w:hAnsi="Arial" w:cs="Arial"/>
        </w:rPr>
        <w:t>:</w:t>
      </w:r>
    </w:p>
    <w:p w:rsidR="006C6782" w:rsidRPr="00D14A54" w:rsidRDefault="006C6782" w:rsidP="006C6782">
      <w:pPr>
        <w:pStyle w:val="BodyText"/>
        <w:numPr>
          <w:ilvl w:val="0"/>
          <w:numId w:val="7"/>
        </w:numPr>
        <w:rPr>
          <w:rFonts w:ascii="Arial" w:hAnsi="Arial" w:cs="Arial"/>
        </w:rPr>
      </w:pPr>
      <w:r w:rsidRPr="00D14A54">
        <w:rPr>
          <w:rFonts w:ascii="Arial" w:hAnsi="Arial" w:cs="Arial"/>
        </w:rPr>
        <w:t>Allergies and adverse reactions (e.g. population of the ‘agent description’ with brand name and free text use of the therapeutic class descriptors),</w:t>
      </w:r>
    </w:p>
    <w:p w:rsidR="006C6782" w:rsidRPr="00D14A54" w:rsidRDefault="006C6782" w:rsidP="006C6782">
      <w:pPr>
        <w:pStyle w:val="BodyText"/>
        <w:numPr>
          <w:ilvl w:val="0"/>
          <w:numId w:val="7"/>
        </w:numPr>
        <w:rPr>
          <w:rFonts w:ascii="Arial" w:hAnsi="Arial" w:cs="Arial"/>
        </w:rPr>
      </w:pPr>
      <w:r w:rsidRPr="00D14A54">
        <w:rPr>
          <w:rFonts w:ascii="Arial" w:hAnsi="Arial" w:cs="Arial"/>
        </w:rPr>
        <w:t>Current and past medical history (e.g. inappropriate use of abbreviations potentially leading to confusion, use of shorthand for dosing instructions, capture of past medical history in the incorrect clinical documents),</w:t>
      </w:r>
    </w:p>
    <w:p w:rsidR="006C6782" w:rsidRPr="00D14A54" w:rsidRDefault="006C6782" w:rsidP="006C6782">
      <w:pPr>
        <w:pStyle w:val="BodyText"/>
        <w:numPr>
          <w:ilvl w:val="0"/>
          <w:numId w:val="7"/>
        </w:numPr>
        <w:rPr>
          <w:rFonts w:ascii="Arial" w:hAnsi="Arial" w:cs="Arial"/>
        </w:rPr>
      </w:pPr>
      <w:r w:rsidRPr="00D14A54">
        <w:rPr>
          <w:rFonts w:ascii="Arial" w:hAnsi="Arial" w:cs="Arial"/>
        </w:rPr>
        <w:t>Medication information (e.g. duplication of medication information, and use of unsanctioned status entries).</w:t>
      </w:r>
    </w:p>
    <w:p w:rsidR="006C6782" w:rsidRPr="00D14A54" w:rsidRDefault="006C6782" w:rsidP="006C6782">
      <w:pPr>
        <w:pStyle w:val="BodyText"/>
        <w:rPr>
          <w:rFonts w:ascii="Arial" w:hAnsi="Arial" w:cs="Arial"/>
        </w:rPr>
      </w:pPr>
      <w:r w:rsidRPr="00D14A54">
        <w:rPr>
          <w:rFonts w:ascii="Arial" w:hAnsi="Arial" w:cs="Arial"/>
        </w:rPr>
        <w:t>The standards for clinical documents outline the information which should be included in each of the clinical documents</w:t>
      </w:r>
      <w:r w:rsidR="00481D1C" w:rsidRPr="00D14A54">
        <w:rPr>
          <w:rFonts w:ascii="Arial" w:hAnsi="Arial" w:cs="Arial"/>
        </w:rPr>
        <w:t>, and have been develop</w:t>
      </w:r>
      <w:r w:rsidR="00E2489C" w:rsidRPr="00D14A54">
        <w:rPr>
          <w:rFonts w:ascii="Arial" w:hAnsi="Arial" w:cs="Arial"/>
        </w:rPr>
        <w:t>ed</w:t>
      </w:r>
      <w:r w:rsidR="00481D1C" w:rsidRPr="00D14A54">
        <w:rPr>
          <w:rFonts w:ascii="Arial" w:hAnsi="Arial" w:cs="Arial"/>
        </w:rPr>
        <w:t xml:space="preserve"> in consultation with key agencies and stakeholders. </w:t>
      </w:r>
      <w:r w:rsidR="00F165AE" w:rsidRPr="00D14A54">
        <w:rPr>
          <w:rFonts w:ascii="Arial" w:hAnsi="Arial" w:cs="Arial"/>
        </w:rPr>
        <w:t>Individual</w:t>
      </w:r>
      <w:r w:rsidR="00481D1C" w:rsidRPr="00D14A54">
        <w:rPr>
          <w:rFonts w:ascii="Arial" w:hAnsi="Arial" w:cs="Arial"/>
        </w:rPr>
        <w:t xml:space="preserve"> clinicians </w:t>
      </w:r>
      <w:r w:rsidR="00F165AE" w:rsidRPr="00D14A54">
        <w:rPr>
          <w:rFonts w:ascii="Arial" w:hAnsi="Arial" w:cs="Arial"/>
        </w:rPr>
        <w:t>determine the</w:t>
      </w:r>
      <w:r w:rsidR="00481D1C" w:rsidRPr="00D14A54">
        <w:rPr>
          <w:rFonts w:ascii="Arial" w:hAnsi="Arial" w:cs="Arial"/>
        </w:rPr>
        <w:t xml:space="preserve"> information included in the documents of individual patients</w:t>
      </w:r>
      <w:r w:rsidR="002D23F5" w:rsidRPr="00D14A54">
        <w:rPr>
          <w:rFonts w:ascii="Arial" w:hAnsi="Arial" w:cs="Arial"/>
        </w:rPr>
        <w:t xml:space="preserve"> which can impact upon the safety and quality of the records in the PCEHR</w:t>
      </w:r>
      <w:r w:rsidR="00481D1C" w:rsidRPr="00D14A54">
        <w:rPr>
          <w:rFonts w:ascii="Arial" w:hAnsi="Arial" w:cs="Arial"/>
        </w:rPr>
        <w:t>.</w:t>
      </w:r>
    </w:p>
    <w:p w:rsidR="002D23F5" w:rsidRPr="00D14A54" w:rsidRDefault="002D23F5" w:rsidP="006C6782">
      <w:pPr>
        <w:pStyle w:val="BodyText"/>
        <w:rPr>
          <w:rFonts w:ascii="Arial" w:hAnsi="Arial" w:cs="Arial"/>
          <w:i/>
        </w:rPr>
      </w:pPr>
      <w:r w:rsidRPr="00CC64DB">
        <w:rPr>
          <w:rFonts w:ascii="Arial" w:hAnsi="Arial" w:cs="Arial"/>
          <w:b/>
          <w:i/>
        </w:rPr>
        <w:t>Recommendation 3:</w:t>
      </w:r>
      <w:r w:rsidRPr="00D14A54">
        <w:rPr>
          <w:rFonts w:ascii="Arial" w:hAnsi="Arial" w:cs="Arial"/>
          <w:i/>
        </w:rPr>
        <w:t xml:space="preserve"> </w:t>
      </w:r>
      <w:r w:rsidR="002D7DDB" w:rsidRPr="00D14A54">
        <w:rPr>
          <w:rFonts w:ascii="Arial" w:hAnsi="Arial" w:cs="Arial"/>
          <w:i/>
        </w:rPr>
        <w:t>Consider, in collaboration with professional colleges, how awareness of actions taken in creating clinical records could lead to unintended safety and quality issues.</w:t>
      </w:r>
    </w:p>
    <w:p w:rsidR="002D23F5" w:rsidRPr="00D14A54" w:rsidRDefault="002D23F5" w:rsidP="006C6782">
      <w:pPr>
        <w:pStyle w:val="BodyText"/>
        <w:rPr>
          <w:rFonts w:ascii="Arial" w:hAnsi="Arial" w:cs="Arial"/>
          <w:i/>
        </w:rPr>
      </w:pPr>
      <w:r w:rsidRPr="00CC64DB">
        <w:rPr>
          <w:rFonts w:ascii="Arial" w:hAnsi="Arial" w:cs="Arial"/>
          <w:b/>
          <w:i/>
        </w:rPr>
        <w:t>Recommendation</w:t>
      </w:r>
      <w:r w:rsidR="00D53666">
        <w:rPr>
          <w:rFonts w:ascii="Arial" w:hAnsi="Arial" w:cs="Arial"/>
          <w:b/>
          <w:i/>
        </w:rPr>
        <w:t xml:space="preserve"> </w:t>
      </w:r>
      <w:r w:rsidRPr="00CC64DB">
        <w:rPr>
          <w:rFonts w:ascii="Arial" w:hAnsi="Arial" w:cs="Arial"/>
          <w:b/>
          <w:i/>
        </w:rPr>
        <w:t>4:</w:t>
      </w:r>
      <w:r w:rsidRPr="00D14A54">
        <w:rPr>
          <w:rFonts w:ascii="Arial" w:hAnsi="Arial" w:cs="Arial"/>
          <w:i/>
        </w:rPr>
        <w:t xml:space="preserve"> </w:t>
      </w:r>
      <w:r w:rsidR="002D7DDB" w:rsidRPr="00D14A54">
        <w:rPr>
          <w:rFonts w:ascii="Arial" w:hAnsi="Arial" w:cs="Arial"/>
          <w:i/>
        </w:rPr>
        <w:t>Investigate and confirm whether non-conformance with NEHTA standards in recorded clinical data is in accordance with expected clinical software performance.</w:t>
      </w:r>
    </w:p>
    <w:p w:rsidR="00E2489C" w:rsidRPr="00D14A54" w:rsidRDefault="00E2489C" w:rsidP="006C6782">
      <w:pPr>
        <w:pStyle w:val="BodyText"/>
        <w:rPr>
          <w:rFonts w:ascii="Arial" w:hAnsi="Arial" w:cs="Arial"/>
          <w:b/>
        </w:rPr>
      </w:pPr>
    </w:p>
    <w:p w:rsidR="002D23F5" w:rsidRPr="00D14A54" w:rsidRDefault="002D23F5" w:rsidP="006C6782">
      <w:pPr>
        <w:pStyle w:val="BodyText"/>
        <w:rPr>
          <w:rFonts w:ascii="Arial" w:hAnsi="Arial" w:cs="Arial"/>
          <w:b/>
        </w:rPr>
      </w:pPr>
      <w:r w:rsidRPr="00D14A54">
        <w:rPr>
          <w:rFonts w:ascii="Arial" w:hAnsi="Arial" w:cs="Arial"/>
          <w:b/>
        </w:rPr>
        <w:t xml:space="preserve">Key finding </w:t>
      </w:r>
      <w:r w:rsidR="00403C70" w:rsidRPr="00D14A54">
        <w:rPr>
          <w:rFonts w:ascii="Arial" w:hAnsi="Arial" w:cs="Arial"/>
          <w:b/>
        </w:rPr>
        <w:t>4</w:t>
      </w:r>
      <w:r w:rsidRPr="00D14A54">
        <w:rPr>
          <w:rFonts w:ascii="Arial" w:hAnsi="Arial" w:cs="Arial"/>
          <w:b/>
        </w:rPr>
        <w:t>: Restrictions on investigation of data related issues place challenging restraints on providing technical support</w:t>
      </w:r>
    </w:p>
    <w:p w:rsidR="002D23F5" w:rsidRPr="00D14A54" w:rsidRDefault="002D23F5" w:rsidP="006C6782">
      <w:pPr>
        <w:pStyle w:val="BodyText"/>
        <w:rPr>
          <w:rFonts w:ascii="Arial" w:hAnsi="Arial" w:cs="Arial"/>
          <w:i/>
        </w:rPr>
      </w:pPr>
      <w:r w:rsidRPr="00D14A54">
        <w:rPr>
          <w:rFonts w:ascii="Arial" w:hAnsi="Arial" w:cs="Arial"/>
          <w:i/>
        </w:rPr>
        <w:t>Risk rating: Major</w:t>
      </w:r>
    </w:p>
    <w:p w:rsidR="002D23F5" w:rsidRPr="00D14A54" w:rsidRDefault="002D23F5" w:rsidP="006C6782">
      <w:pPr>
        <w:pStyle w:val="BodyText"/>
        <w:rPr>
          <w:rFonts w:ascii="Arial" w:hAnsi="Arial" w:cs="Arial"/>
        </w:rPr>
      </w:pPr>
      <w:r w:rsidRPr="00D14A54">
        <w:rPr>
          <w:rFonts w:ascii="Arial" w:hAnsi="Arial" w:cs="Arial"/>
        </w:rPr>
        <w:t>Current legislative and privacy constraints of the PCEHR are impacting on how key agencies and stakeholders can work to identify and rectify issues that arise when using live data in individual records. This may be a contributing factor to some of the present issues around different user experiences of the PCEHR.</w:t>
      </w:r>
    </w:p>
    <w:p w:rsidR="007369F3" w:rsidRPr="00523021" w:rsidRDefault="002D23F5" w:rsidP="002D7DDB">
      <w:pPr>
        <w:pStyle w:val="PwCNormal"/>
        <w:rPr>
          <w:rFonts w:ascii="Arial" w:hAnsi="Arial"/>
          <w:sz w:val="22"/>
        </w:rPr>
      </w:pPr>
      <w:r w:rsidRPr="00CC64DB">
        <w:rPr>
          <w:rFonts w:ascii="Arial" w:hAnsi="Arial"/>
          <w:b/>
          <w:i/>
          <w:sz w:val="22"/>
        </w:rPr>
        <w:t>Recommendation 5:</w:t>
      </w:r>
      <w:r w:rsidRPr="00D14A54">
        <w:rPr>
          <w:rFonts w:ascii="Arial" w:hAnsi="Arial"/>
          <w:i/>
          <w:sz w:val="22"/>
        </w:rPr>
        <w:t xml:space="preserve"> </w:t>
      </w:r>
      <w:r w:rsidR="002D7DDB" w:rsidRPr="00D14A54">
        <w:rPr>
          <w:rFonts w:ascii="Arial" w:hAnsi="Arial"/>
          <w:i/>
          <w:snapToGrid/>
          <w:sz w:val="22"/>
        </w:rPr>
        <w:t xml:space="preserve">DoH </w:t>
      </w:r>
      <w:proofErr w:type="gramStart"/>
      <w:r w:rsidR="002D7DDB" w:rsidRPr="00D14A54">
        <w:rPr>
          <w:rFonts w:ascii="Arial" w:hAnsi="Arial"/>
          <w:i/>
          <w:snapToGrid/>
          <w:sz w:val="22"/>
        </w:rPr>
        <w:t>review</w:t>
      </w:r>
      <w:proofErr w:type="gramEnd"/>
      <w:r w:rsidR="002D7DDB" w:rsidRPr="00D14A54">
        <w:rPr>
          <w:rFonts w:ascii="Arial" w:hAnsi="Arial"/>
          <w:i/>
          <w:snapToGrid/>
          <w:sz w:val="22"/>
        </w:rPr>
        <w:t xml:space="preserve"> the potential to better support investigation and resolution of issues involving clinical data.</w:t>
      </w:r>
    </w:p>
    <w:p w:rsidR="00523021" w:rsidRPr="00D14A54" w:rsidRDefault="00523021" w:rsidP="002D7DDB">
      <w:pPr>
        <w:pStyle w:val="PwCNormal"/>
        <w:rPr>
          <w:rFonts w:ascii="Arial" w:hAnsi="Arial"/>
          <w:sz w:val="22"/>
        </w:rPr>
      </w:pPr>
    </w:p>
    <w:p w:rsidR="00E2489C" w:rsidRPr="00523021" w:rsidRDefault="00D14A54" w:rsidP="00523021">
      <w:pPr>
        <w:pStyle w:val="Heading3"/>
        <w:spacing w:before="240" w:after="120" w:line="280" w:lineRule="atLeast"/>
        <w:ind w:left="720" w:hanging="720"/>
        <w:jc w:val="both"/>
        <w:rPr>
          <w:color w:val="548DD4" w:themeColor="text2" w:themeTint="99"/>
          <w:sz w:val="24"/>
          <w:szCs w:val="24"/>
        </w:rPr>
      </w:pPr>
      <w:bookmarkStart w:id="26" w:name="_Toc374390390"/>
      <w:bookmarkStart w:id="27" w:name="_Toc403470087"/>
      <w:r w:rsidRPr="00D14A54">
        <w:rPr>
          <w:color w:val="548DD4" w:themeColor="text2" w:themeTint="99"/>
          <w:sz w:val="24"/>
          <w:szCs w:val="24"/>
        </w:rPr>
        <w:t xml:space="preserve">5.2 </w:t>
      </w:r>
      <w:r w:rsidR="00D53666">
        <w:rPr>
          <w:color w:val="548DD4" w:themeColor="text2" w:themeTint="99"/>
          <w:sz w:val="24"/>
          <w:szCs w:val="24"/>
        </w:rPr>
        <w:tab/>
      </w:r>
      <w:r w:rsidR="001617E6">
        <w:rPr>
          <w:color w:val="548DD4" w:themeColor="text2" w:themeTint="99"/>
          <w:sz w:val="24"/>
          <w:szCs w:val="24"/>
        </w:rPr>
        <w:t>Review</w:t>
      </w:r>
      <w:r w:rsidR="00F62F9A" w:rsidRPr="00D14A54">
        <w:rPr>
          <w:color w:val="548DD4" w:themeColor="text2" w:themeTint="99"/>
          <w:sz w:val="24"/>
          <w:szCs w:val="24"/>
        </w:rPr>
        <w:t xml:space="preserve"> area 2</w:t>
      </w:r>
      <w:bookmarkEnd w:id="26"/>
      <w:r w:rsidR="00F165AE" w:rsidRPr="00D14A54">
        <w:rPr>
          <w:color w:val="548DD4" w:themeColor="text2" w:themeTint="99"/>
          <w:sz w:val="24"/>
          <w:szCs w:val="24"/>
        </w:rPr>
        <w:t>: An investigation of the use by healthcare providers of the National Prescription and Dispense Repository (NPDR)</w:t>
      </w:r>
      <w:bookmarkEnd w:id="27"/>
    </w:p>
    <w:p w:rsidR="00215AC7" w:rsidRPr="00D14A54" w:rsidRDefault="00215AC7" w:rsidP="00D14A54">
      <w:pPr>
        <w:pStyle w:val="BodyText"/>
        <w:spacing w:before="120" w:after="120" w:line="280" w:lineRule="atLeast"/>
        <w:rPr>
          <w:rFonts w:ascii="Arial" w:hAnsi="Arial" w:cs="Arial"/>
          <w:b/>
          <w:i/>
        </w:rPr>
      </w:pPr>
      <w:r w:rsidRPr="00D14A54">
        <w:rPr>
          <w:rFonts w:ascii="Arial" w:hAnsi="Arial" w:cs="Arial"/>
          <w:b/>
          <w:i/>
        </w:rPr>
        <w:t>Audit approach</w:t>
      </w:r>
    </w:p>
    <w:p w:rsidR="00215AC7" w:rsidRPr="00D14A54" w:rsidRDefault="001617E6" w:rsidP="00D14A54">
      <w:pPr>
        <w:pStyle w:val="BodyText"/>
        <w:spacing w:before="120" w:after="120" w:line="280" w:lineRule="atLeast"/>
        <w:rPr>
          <w:rFonts w:ascii="Arial" w:hAnsi="Arial" w:cs="Arial"/>
        </w:rPr>
      </w:pPr>
      <w:r>
        <w:rPr>
          <w:rFonts w:ascii="Arial" w:hAnsi="Arial" w:cs="Arial"/>
        </w:rPr>
        <w:t>Review</w:t>
      </w:r>
      <w:r w:rsidR="00215AC7" w:rsidRPr="00D14A54">
        <w:rPr>
          <w:rFonts w:ascii="Arial" w:hAnsi="Arial" w:cs="Arial"/>
        </w:rPr>
        <w:t xml:space="preserve"> area 2 focused on the data related to the National Prescription and Dispense Repository (NPDR).</w:t>
      </w:r>
      <w:r w:rsidR="005A046C" w:rsidRPr="00D14A54">
        <w:rPr>
          <w:rFonts w:ascii="Arial" w:hAnsi="Arial" w:cs="Arial"/>
        </w:rPr>
        <w:t xml:space="preserve"> In particular, the PBS data were</w:t>
      </w:r>
      <w:r w:rsidR="00215AC7" w:rsidRPr="00D14A54">
        <w:rPr>
          <w:rFonts w:ascii="Arial" w:hAnsi="Arial" w:cs="Arial"/>
        </w:rPr>
        <w:t xml:space="preserve"> analysed to identify any issues or inconsistencies and findings were explored with key agencies and stakeholders.</w:t>
      </w:r>
    </w:p>
    <w:p w:rsidR="00E2489C" w:rsidRPr="00D14A54" w:rsidRDefault="00E2489C" w:rsidP="00D14A54">
      <w:pPr>
        <w:pStyle w:val="BodyText"/>
        <w:spacing w:before="120" w:after="120" w:line="280" w:lineRule="atLeast"/>
        <w:rPr>
          <w:rFonts w:ascii="Arial" w:hAnsi="Arial" w:cs="Arial"/>
          <w:b/>
        </w:rPr>
      </w:pPr>
    </w:p>
    <w:p w:rsidR="00215AC7" w:rsidRPr="00D14A54" w:rsidRDefault="00215AC7" w:rsidP="00D14A54">
      <w:pPr>
        <w:pStyle w:val="BodyText"/>
        <w:spacing w:before="120" w:after="120" w:line="280" w:lineRule="atLeast"/>
        <w:rPr>
          <w:rFonts w:ascii="Arial" w:hAnsi="Arial" w:cs="Arial"/>
          <w:b/>
        </w:rPr>
      </w:pPr>
      <w:r w:rsidRPr="00D14A54">
        <w:rPr>
          <w:rFonts w:ascii="Arial" w:hAnsi="Arial" w:cs="Arial"/>
          <w:b/>
        </w:rPr>
        <w:lastRenderedPageBreak/>
        <w:t xml:space="preserve">Key finding </w:t>
      </w:r>
      <w:r w:rsidR="00403C70" w:rsidRPr="00D14A54">
        <w:rPr>
          <w:rFonts w:ascii="Arial" w:hAnsi="Arial" w:cs="Arial"/>
          <w:b/>
        </w:rPr>
        <w:t>5</w:t>
      </w:r>
      <w:r w:rsidRPr="00D14A54">
        <w:rPr>
          <w:rFonts w:ascii="Arial" w:hAnsi="Arial" w:cs="Arial"/>
          <w:b/>
        </w:rPr>
        <w:t>: There is evidence that medication directions, when displayed in health summaries, can be displayed in a confusing, misleading or erroneous fashion</w:t>
      </w:r>
    </w:p>
    <w:p w:rsidR="00624427" w:rsidRPr="00D14A54" w:rsidRDefault="00624427" w:rsidP="00D14A54">
      <w:pPr>
        <w:pStyle w:val="BodyText"/>
        <w:spacing w:before="120" w:after="120" w:line="280" w:lineRule="atLeast"/>
        <w:rPr>
          <w:rFonts w:ascii="Arial" w:hAnsi="Arial" w:cs="Arial"/>
          <w:i/>
        </w:rPr>
      </w:pPr>
      <w:r w:rsidRPr="00D14A54">
        <w:rPr>
          <w:rFonts w:ascii="Arial" w:hAnsi="Arial" w:cs="Arial"/>
          <w:i/>
        </w:rPr>
        <w:t>Risk rating: Critical</w:t>
      </w:r>
    </w:p>
    <w:p w:rsidR="00215AC7" w:rsidRPr="00D14A54" w:rsidRDefault="00215AC7" w:rsidP="00D14A54">
      <w:pPr>
        <w:pStyle w:val="BodyText"/>
        <w:spacing w:before="120" w:after="120" w:line="280" w:lineRule="atLeast"/>
        <w:rPr>
          <w:rFonts w:ascii="Arial" w:hAnsi="Arial" w:cs="Arial"/>
        </w:rPr>
      </w:pPr>
      <w:r w:rsidRPr="00D14A54">
        <w:rPr>
          <w:rFonts w:ascii="Arial" w:hAnsi="Arial" w:cs="Arial"/>
        </w:rPr>
        <w:t>Analysis of the medication lists included as part of the Shared Health Summaries (SHS) revealed a source of error. There was the potential where the directions for a medication entered by the clinician could be incorrectly interpreted when presented in the SHS. This was evident for non-standard directions for intermittent dosed medications such as</w:t>
      </w:r>
      <w:r w:rsidR="00624427" w:rsidRPr="00D14A54">
        <w:rPr>
          <w:rFonts w:ascii="Arial" w:hAnsi="Arial" w:cs="Arial"/>
        </w:rPr>
        <w:t xml:space="preserve"> three-</w:t>
      </w:r>
      <w:r w:rsidRPr="00D14A54">
        <w:rPr>
          <w:rFonts w:ascii="Arial" w:hAnsi="Arial" w:cs="Arial"/>
        </w:rPr>
        <w:t>monthly injections</w:t>
      </w:r>
      <w:r w:rsidR="00624427" w:rsidRPr="00D14A54">
        <w:rPr>
          <w:rFonts w:ascii="Arial" w:hAnsi="Arial" w:cs="Arial"/>
        </w:rPr>
        <w:t>.</w:t>
      </w:r>
    </w:p>
    <w:p w:rsidR="00624427" w:rsidRPr="00D14A54" w:rsidRDefault="00624427" w:rsidP="00D14A54">
      <w:pPr>
        <w:pStyle w:val="BodyText"/>
        <w:spacing w:before="120" w:after="120" w:line="280" w:lineRule="atLeast"/>
        <w:rPr>
          <w:rFonts w:ascii="Arial" w:hAnsi="Arial" w:cs="Arial"/>
        </w:rPr>
      </w:pPr>
      <w:r w:rsidRPr="00D14A54">
        <w:rPr>
          <w:rFonts w:ascii="Arial" w:hAnsi="Arial" w:cs="Arial"/>
        </w:rPr>
        <w:t>Inconsistencies between the medication directions typed into the clinician desktop software and what is displayed in the clinical documents of the PCEHR has the very real likelihood of creating confusion and miscommunication between clinicians and consumers.</w:t>
      </w:r>
    </w:p>
    <w:p w:rsidR="00624427" w:rsidRPr="00D14A54" w:rsidRDefault="00624427" w:rsidP="00D14A54">
      <w:pPr>
        <w:pStyle w:val="BodyText"/>
        <w:spacing w:before="120" w:after="120" w:line="280" w:lineRule="atLeast"/>
        <w:rPr>
          <w:rFonts w:ascii="Arial" w:hAnsi="Arial" w:cs="Arial"/>
          <w:i/>
        </w:rPr>
      </w:pPr>
      <w:r w:rsidRPr="00CC64DB">
        <w:rPr>
          <w:rFonts w:ascii="Arial" w:hAnsi="Arial" w:cs="Arial"/>
          <w:b/>
          <w:i/>
        </w:rPr>
        <w:t>Recommendation 6</w:t>
      </w:r>
      <w:r w:rsidRPr="00D14A54">
        <w:rPr>
          <w:rFonts w:ascii="Arial" w:hAnsi="Arial" w:cs="Arial"/>
          <w:i/>
        </w:rPr>
        <w:t xml:space="preserve">: </w:t>
      </w:r>
      <w:r w:rsidR="002D7DDB" w:rsidRPr="00D14A54">
        <w:rPr>
          <w:rFonts w:ascii="Arial" w:hAnsi="Arial" w:cs="Arial"/>
          <w:i/>
        </w:rPr>
        <w:t>NIO, DoH and Commission to review the presentation of medication directions in all clinical documents as a high priority.</w:t>
      </w:r>
    </w:p>
    <w:p w:rsidR="00E2489C" w:rsidRPr="00D14A54" w:rsidRDefault="00E2489C" w:rsidP="00D14A54">
      <w:pPr>
        <w:pStyle w:val="BodyText"/>
        <w:spacing w:before="120" w:after="120" w:line="280" w:lineRule="atLeast"/>
        <w:rPr>
          <w:rFonts w:ascii="Arial" w:hAnsi="Arial" w:cs="Arial"/>
          <w:b/>
        </w:rPr>
      </w:pPr>
    </w:p>
    <w:p w:rsidR="00624427" w:rsidRPr="00D14A54" w:rsidRDefault="00624427" w:rsidP="00D14A54">
      <w:pPr>
        <w:pStyle w:val="BodyText"/>
        <w:spacing w:before="120" w:after="120" w:line="280" w:lineRule="atLeast"/>
        <w:rPr>
          <w:rFonts w:ascii="Arial" w:hAnsi="Arial" w:cs="Arial"/>
          <w:b/>
        </w:rPr>
      </w:pPr>
      <w:r w:rsidRPr="00D14A54">
        <w:rPr>
          <w:rFonts w:ascii="Arial" w:hAnsi="Arial" w:cs="Arial"/>
          <w:b/>
        </w:rPr>
        <w:t xml:space="preserve">Key finding </w:t>
      </w:r>
      <w:r w:rsidR="00403C70" w:rsidRPr="00D14A54">
        <w:rPr>
          <w:rFonts w:ascii="Arial" w:hAnsi="Arial" w:cs="Arial"/>
          <w:b/>
        </w:rPr>
        <w:t>6</w:t>
      </w:r>
      <w:r w:rsidRPr="00D14A54">
        <w:rPr>
          <w:rFonts w:ascii="Arial" w:hAnsi="Arial" w:cs="Arial"/>
          <w:b/>
        </w:rPr>
        <w:t>: Data analysis found no evidence to suggest medication data has been attributed to the wrong PCEHR</w:t>
      </w:r>
    </w:p>
    <w:p w:rsidR="00624427" w:rsidRPr="00D14A54" w:rsidRDefault="00624427" w:rsidP="00D14A54">
      <w:pPr>
        <w:pStyle w:val="BodyText"/>
        <w:spacing w:before="120" w:after="120" w:line="280" w:lineRule="atLeast"/>
        <w:rPr>
          <w:rFonts w:ascii="Arial" w:hAnsi="Arial" w:cs="Arial"/>
          <w:i/>
        </w:rPr>
      </w:pPr>
      <w:r w:rsidRPr="00D14A54">
        <w:rPr>
          <w:rFonts w:ascii="Arial" w:hAnsi="Arial" w:cs="Arial"/>
          <w:i/>
        </w:rPr>
        <w:t>Risk rating: Minimum</w:t>
      </w:r>
    </w:p>
    <w:p w:rsidR="00624427" w:rsidRPr="00D14A54" w:rsidRDefault="00624427" w:rsidP="00D14A54">
      <w:pPr>
        <w:pStyle w:val="BodyText"/>
        <w:spacing w:before="120" w:after="120" w:line="280" w:lineRule="atLeast"/>
        <w:rPr>
          <w:rFonts w:ascii="Arial" w:hAnsi="Arial" w:cs="Arial"/>
        </w:rPr>
      </w:pPr>
      <w:r w:rsidRPr="00D14A54">
        <w:rPr>
          <w:rFonts w:ascii="Arial" w:hAnsi="Arial" w:cs="Arial"/>
        </w:rPr>
        <w:t>Analysis of the PBS data, prescription records and dispense records did not identify instances of inconsistency within individual patient records. Not all patients, however, had each of the three records present in the data set and the de-identification of the prescription and dispense records removed the medication descriptors. The differences in record types present in the individual PCEHRs is most likely due to the level to which individual clinicians are using the PCEHR for their patients.</w:t>
      </w:r>
    </w:p>
    <w:p w:rsidR="00E2489C" w:rsidRPr="00D14A54" w:rsidRDefault="00E2489C" w:rsidP="00D14A54">
      <w:pPr>
        <w:pStyle w:val="BodyText"/>
        <w:spacing w:before="120" w:after="120" w:line="280" w:lineRule="atLeast"/>
        <w:rPr>
          <w:rFonts w:ascii="Arial" w:hAnsi="Arial" w:cs="Arial"/>
          <w:b/>
        </w:rPr>
      </w:pPr>
    </w:p>
    <w:p w:rsidR="00624427" w:rsidRPr="00D14A54" w:rsidRDefault="00624427" w:rsidP="00D14A54">
      <w:pPr>
        <w:pStyle w:val="BodyText"/>
        <w:spacing w:before="120" w:after="120" w:line="280" w:lineRule="atLeast"/>
        <w:rPr>
          <w:rFonts w:ascii="Arial" w:hAnsi="Arial" w:cs="Arial"/>
          <w:b/>
        </w:rPr>
      </w:pPr>
      <w:r w:rsidRPr="00D14A54">
        <w:rPr>
          <w:rFonts w:ascii="Arial" w:hAnsi="Arial" w:cs="Arial"/>
          <w:b/>
        </w:rPr>
        <w:t xml:space="preserve">Key finding </w:t>
      </w:r>
      <w:r w:rsidR="00403C70" w:rsidRPr="00D14A54">
        <w:rPr>
          <w:rFonts w:ascii="Arial" w:hAnsi="Arial" w:cs="Arial"/>
          <w:b/>
        </w:rPr>
        <w:t>7</w:t>
      </w:r>
      <w:r w:rsidRPr="00D14A54">
        <w:rPr>
          <w:rFonts w:ascii="Arial" w:hAnsi="Arial" w:cs="Arial"/>
          <w:b/>
        </w:rPr>
        <w:t>: Clinicians lack the confidence to fully utilise the end-to-end NPDR and PCEHR solution in their everyday practice</w:t>
      </w:r>
    </w:p>
    <w:p w:rsidR="00624427" w:rsidRPr="00D14A54" w:rsidRDefault="00624427" w:rsidP="00D14A54">
      <w:pPr>
        <w:pStyle w:val="BodyText"/>
        <w:spacing w:before="120" w:after="120" w:line="280" w:lineRule="atLeast"/>
        <w:rPr>
          <w:rFonts w:ascii="Arial" w:hAnsi="Arial" w:cs="Arial"/>
          <w:i/>
        </w:rPr>
      </w:pPr>
      <w:r w:rsidRPr="00D14A54">
        <w:rPr>
          <w:rFonts w:ascii="Arial" w:hAnsi="Arial" w:cs="Arial"/>
          <w:i/>
        </w:rPr>
        <w:t>Risk rating: Moderate</w:t>
      </w:r>
    </w:p>
    <w:p w:rsidR="00624427" w:rsidRPr="00D14A54" w:rsidRDefault="00624427" w:rsidP="00D14A54">
      <w:pPr>
        <w:pStyle w:val="BodyText"/>
        <w:spacing w:before="120" w:after="120" w:line="280" w:lineRule="atLeast"/>
        <w:rPr>
          <w:rFonts w:ascii="Arial" w:hAnsi="Arial" w:cs="Arial"/>
        </w:rPr>
      </w:pPr>
      <w:r w:rsidRPr="00D14A54">
        <w:rPr>
          <w:rFonts w:ascii="Arial" w:hAnsi="Arial" w:cs="Arial"/>
        </w:rPr>
        <w:t>The transfer of encrypted medication information following generation of prescription and dispensing activities to the PCEHR is carried out through security measures designed to protect the integrity of the data. This means there is a small chance of corruption of the information during the transfer of information.</w:t>
      </w:r>
    </w:p>
    <w:p w:rsidR="00624427" w:rsidRPr="00D14A54" w:rsidRDefault="00624427" w:rsidP="00D14A54">
      <w:pPr>
        <w:pStyle w:val="BodyText"/>
        <w:spacing w:before="120" w:after="120" w:line="280" w:lineRule="atLeast"/>
        <w:rPr>
          <w:rFonts w:ascii="Arial" w:hAnsi="Arial" w:cs="Arial"/>
        </w:rPr>
      </w:pPr>
      <w:r w:rsidRPr="00D14A54">
        <w:rPr>
          <w:rFonts w:ascii="Arial" w:hAnsi="Arial" w:cs="Arial"/>
        </w:rPr>
        <w:t>Sources of error are likely dependent on human factors and highlight the importance of entering the correct information at the point of both prescribing and dispensing. No recent examples were identified where there was corruption in the medication information once it had been entered into the PCEHR system.</w:t>
      </w:r>
    </w:p>
    <w:p w:rsidR="00624427" w:rsidRPr="00D14A54" w:rsidRDefault="00F533F8" w:rsidP="00D14A54">
      <w:pPr>
        <w:pStyle w:val="BodyText"/>
        <w:spacing w:before="120" w:after="120" w:line="280" w:lineRule="atLeast"/>
        <w:rPr>
          <w:rFonts w:ascii="Arial" w:hAnsi="Arial" w:cs="Arial"/>
        </w:rPr>
      </w:pPr>
      <w:r w:rsidRPr="00D14A54">
        <w:rPr>
          <w:rFonts w:ascii="Arial" w:hAnsi="Arial" w:cs="Arial"/>
        </w:rPr>
        <w:t>Clinicians fe</w:t>
      </w:r>
      <w:r w:rsidR="005A046C" w:rsidRPr="00D14A54">
        <w:rPr>
          <w:rFonts w:ascii="Arial" w:hAnsi="Arial" w:cs="Arial"/>
        </w:rPr>
        <w:t>lt</w:t>
      </w:r>
      <w:r w:rsidRPr="00D14A54">
        <w:rPr>
          <w:rFonts w:ascii="Arial" w:hAnsi="Arial" w:cs="Arial"/>
        </w:rPr>
        <w:t xml:space="preserve"> they would benefit from the ability to familiarise themselves with the functions of the PCEHR via a test site or test patient rather than on live patient records. A test environment would also be of benefit to software vendors to</w:t>
      </w:r>
      <w:r w:rsidR="005A046C" w:rsidRPr="00D14A54">
        <w:rPr>
          <w:rFonts w:ascii="Arial" w:hAnsi="Arial" w:cs="Arial"/>
        </w:rPr>
        <w:t xml:space="preserve"> better</w:t>
      </w:r>
      <w:r w:rsidRPr="00D14A54">
        <w:rPr>
          <w:rFonts w:ascii="Arial" w:hAnsi="Arial" w:cs="Arial"/>
        </w:rPr>
        <w:t xml:space="preserve"> understand the performance of their products.</w:t>
      </w:r>
    </w:p>
    <w:p w:rsidR="00F533F8" w:rsidRPr="00D14A54" w:rsidRDefault="00F533F8" w:rsidP="00D14A54">
      <w:pPr>
        <w:pStyle w:val="BodyText"/>
        <w:spacing w:before="120" w:after="120" w:line="280" w:lineRule="atLeast"/>
        <w:rPr>
          <w:rFonts w:ascii="Arial" w:hAnsi="Arial" w:cs="Arial"/>
          <w:i/>
        </w:rPr>
      </w:pPr>
      <w:r w:rsidRPr="00CC64DB">
        <w:rPr>
          <w:rFonts w:ascii="Arial" w:hAnsi="Arial" w:cs="Arial"/>
          <w:b/>
          <w:i/>
        </w:rPr>
        <w:t>Recommendation 7:</w:t>
      </w:r>
      <w:r w:rsidRPr="00D14A54">
        <w:rPr>
          <w:rFonts w:ascii="Arial" w:hAnsi="Arial" w:cs="Arial"/>
          <w:i/>
        </w:rPr>
        <w:t xml:space="preserve"> Development of a PCEHR test environment for clinicians and software vendors and associated education for clinicians</w:t>
      </w:r>
    </w:p>
    <w:p w:rsidR="00E2489C" w:rsidRPr="00D14A54" w:rsidRDefault="00E2489C" w:rsidP="00D14A54">
      <w:pPr>
        <w:pStyle w:val="BodyText"/>
        <w:spacing w:before="120" w:after="120" w:line="280" w:lineRule="atLeast"/>
        <w:rPr>
          <w:rFonts w:ascii="Arial" w:hAnsi="Arial" w:cs="Arial"/>
          <w:b/>
        </w:rPr>
      </w:pPr>
    </w:p>
    <w:p w:rsidR="00F533F8" w:rsidRPr="00D14A54" w:rsidRDefault="00F533F8" w:rsidP="00D14A54">
      <w:pPr>
        <w:pStyle w:val="BodyText"/>
        <w:spacing w:before="120" w:after="120" w:line="280" w:lineRule="atLeast"/>
        <w:rPr>
          <w:rFonts w:ascii="Arial" w:hAnsi="Arial" w:cs="Arial"/>
          <w:b/>
        </w:rPr>
      </w:pPr>
      <w:r w:rsidRPr="00D14A54">
        <w:rPr>
          <w:rFonts w:ascii="Arial" w:hAnsi="Arial" w:cs="Arial"/>
          <w:b/>
        </w:rPr>
        <w:t xml:space="preserve">Key finding </w:t>
      </w:r>
      <w:r w:rsidR="00403C70" w:rsidRPr="00D14A54">
        <w:rPr>
          <w:rFonts w:ascii="Arial" w:hAnsi="Arial" w:cs="Arial"/>
          <w:b/>
        </w:rPr>
        <w:t>8</w:t>
      </w:r>
      <w:r w:rsidRPr="00D14A54">
        <w:rPr>
          <w:rFonts w:ascii="Arial" w:hAnsi="Arial" w:cs="Arial"/>
          <w:b/>
        </w:rPr>
        <w:t>: Medication data in the PCEHR is aiding clinical decisions</w:t>
      </w:r>
    </w:p>
    <w:p w:rsidR="00F533F8" w:rsidRPr="00D14A54" w:rsidRDefault="00F533F8" w:rsidP="00D14A54">
      <w:pPr>
        <w:pStyle w:val="BodyText"/>
        <w:spacing w:before="120" w:after="120" w:line="280" w:lineRule="atLeast"/>
        <w:rPr>
          <w:rFonts w:ascii="Arial" w:hAnsi="Arial" w:cs="Arial"/>
          <w:i/>
        </w:rPr>
      </w:pPr>
      <w:r w:rsidRPr="00D14A54">
        <w:rPr>
          <w:rFonts w:ascii="Arial" w:hAnsi="Arial" w:cs="Arial"/>
          <w:i/>
        </w:rPr>
        <w:t>Risk rating: Moderate</w:t>
      </w:r>
    </w:p>
    <w:p w:rsidR="00F533F8" w:rsidRPr="00D14A54" w:rsidRDefault="00F533F8" w:rsidP="00D14A54">
      <w:pPr>
        <w:pStyle w:val="BodyText"/>
        <w:spacing w:before="120" w:after="120" w:line="280" w:lineRule="atLeast"/>
        <w:rPr>
          <w:rFonts w:ascii="Arial" w:hAnsi="Arial" w:cs="Arial"/>
        </w:rPr>
      </w:pPr>
      <w:r w:rsidRPr="00D14A54">
        <w:rPr>
          <w:rFonts w:ascii="Arial" w:hAnsi="Arial" w:cs="Arial"/>
        </w:rPr>
        <w:t xml:space="preserve">The clinical utility of the PCEHR </w:t>
      </w:r>
      <w:r w:rsidR="005A046C" w:rsidRPr="00D14A54">
        <w:rPr>
          <w:rFonts w:ascii="Arial" w:hAnsi="Arial" w:cs="Arial"/>
        </w:rPr>
        <w:t>wa</w:t>
      </w:r>
      <w:r w:rsidRPr="00D14A54">
        <w:rPr>
          <w:rFonts w:ascii="Arial" w:hAnsi="Arial" w:cs="Arial"/>
        </w:rPr>
        <w:t>s recognised by clinicians</w:t>
      </w:r>
      <w:r w:rsidR="005A046C" w:rsidRPr="00D14A54">
        <w:rPr>
          <w:rFonts w:ascii="Arial" w:hAnsi="Arial" w:cs="Arial"/>
        </w:rPr>
        <w:t xml:space="preserve"> although it was found that many had limited experience of its use. It wa</w:t>
      </w:r>
      <w:r w:rsidRPr="00D14A54">
        <w:rPr>
          <w:rFonts w:ascii="Arial" w:hAnsi="Arial" w:cs="Arial"/>
        </w:rPr>
        <w:t xml:space="preserve">s acknowledged that the PCEHR </w:t>
      </w:r>
      <w:r w:rsidR="005A046C" w:rsidRPr="00D14A54">
        <w:rPr>
          <w:rFonts w:ascii="Arial" w:hAnsi="Arial" w:cs="Arial"/>
        </w:rPr>
        <w:t>is</w:t>
      </w:r>
      <w:r w:rsidRPr="00D14A54">
        <w:rPr>
          <w:rFonts w:ascii="Arial" w:hAnsi="Arial" w:cs="Arial"/>
        </w:rPr>
        <w:t xml:space="preserve"> not the sole source of information for a patient’s medical history.</w:t>
      </w:r>
    </w:p>
    <w:p w:rsidR="00215AC7" w:rsidRPr="00D14A54" w:rsidRDefault="00724B4D" w:rsidP="00D14A54">
      <w:pPr>
        <w:pStyle w:val="BodyText"/>
        <w:spacing w:before="120" w:after="120" w:line="280" w:lineRule="atLeast"/>
        <w:rPr>
          <w:rFonts w:ascii="Arial" w:hAnsi="Arial" w:cs="Arial"/>
        </w:rPr>
      </w:pPr>
      <w:r w:rsidRPr="00D14A54">
        <w:rPr>
          <w:rFonts w:ascii="Arial" w:hAnsi="Arial" w:cs="Arial"/>
        </w:rPr>
        <w:t xml:space="preserve">The medication information can be recorded in a range of documents in a PCEHR and clinicians access some of the records as part of </w:t>
      </w:r>
      <w:r w:rsidR="005A046C" w:rsidRPr="00D14A54">
        <w:rPr>
          <w:rFonts w:ascii="Arial" w:hAnsi="Arial" w:cs="Arial"/>
        </w:rPr>
        <w:t xml:space="preserve">the </w:t>
      </w:r>
      <w:r w:rsidRPr="00D14A54">
        <w:rPr>
          <w:rFonts w:ascii="Arial" w:hAnsi="Arial" w:cs="Arial"/>
        </w:rPr>
        <w:t>care and clinical decision making process. Understanding the benefits and limitations of the different medication information across the medication lists, prescription records and PBS data can provide a summary of the current medications used by patients.</w:t>
      </w:r>
    </w:p>
    <w:p w:rsidR="00724B4D" w:rsidRPr="00D14A54" w:rsidRDefault="005A046C" w:rsidP="00D14A54">
      <w:pPr>
        <w:pStyle w:val="BodyText"/>
        <w:spacing w:before="120" w:after="120" w:line="280" w:lineRule="atLeast"/>
        <w:rPr>
          <w:rFonts w:ascii="Arial" w:hAnsi="Arial" w:cs="Arial"/>
        </w:rPr>
      </w:pPr>
      <w:r w:rsidRPr="00D14A54">
        <w:rPr>
          <w:rFonts w:ascii="Arial" w:hAnsi="Arial" w:cs="Arial"/>
        </w:rPr>
        <w:t>It was identified that n</w:t>
      </w:r>
      <w:r w:rsidR="00724B4D" w:rsidRPr="00D14A54">
        <w:rPr>
          <w:rFonts w:ascii="Arial" w:hAnsi="Arial" w:cs="Arial"/>
        </w:rPr>
        <w:t>ot all clinicians access the medication information due to a range of factors.</w:t>
      </w:r>
    </w:p>
    <w:p w:rsidR="00724B4D" w:rsidRPr="00D14A54" w:rsidRDefault="00724B4D" w:rsidP="00D14A54">
      <w:pPr>
        <w:pStyle w:val="BodyText"/>
        <w:spacing w:before="120" w:after="120" w:line="280" w:lineRule="atLeast"/>
        <w:rPr>
          <w:rFonts w:ascii="Arial" w:hAnsi="Arial" w:cs="Arial"/>
          <w:i/>
        </w:rPr>
      </w:pPr>
      <w:r w:rsidRPr="00CC64DB">
        <w:rPr>
          <w:rFonts w:ascii="Arial" w:hAnsi="Arial" w:cs="Arial"/>
          <w:b/>
          <w:i/>
        </w:rPr>
        <w:t>Recommendation 8:</w:t>
      </w:r>
      <w:r w:rsidRPr="00D14A54">
        <w:rPr>
          <w:rFonts w:ascii="Arial" w:hAnsi="Arial" w:cs="Arial"/>
          <w:i/>
        </w:rPr>
        <w:t xml:space="preserve"> Education and training for clinicians in the use of the medication information in the PCEHR</w:t>
      </w:r>
    </w:p>
    <w:p w:rsidR="00D921EB" w:rsidRPr="00D14A54" w:rsidRDefault="00D921EB" w:rsidP="00D14A54">
      <w:pPr>
        <w:pStyle w:val="BodyText"/>
        <w:spacing w:before="120" w:after="120" w:line="280" w:lineRule="atLeast"/>
        <w:rPr>
          <w:rFonts w:ascii="Arial" w:hAnsi="Arial" w:cs="Arial"/>
          <w:b/>
        </w:rPr>
      </w:pPr>
    </w:p>
    <w:p w:rsidR="00724B4D" w:rsidRPr="00D14A54" w:rsidRDefault="00724B4D" w:rsidP="00D14A54">
      <w:pPr>
        <w:pStyle w:val="BodyText"/>
        <w:spacing w:before="120" w:after="120" w:line="280" w:lineRule="atLeast"/>
        <w:rPr>
          <w:rFonts w:ascii="Arial" w:hAnsi="Arial" w:cs="Arial"/>
          <w:b/>
        </w:rPr>
      </w:pPr>
      <w:r w:rsidRPr="00D14A54">
        <w:rPr>
          <w:rFonts w:ascii="Arial" w:hAnsi="Arial" w:cs="Arial"/>
          <w:b/>
        </w:rPr>
        <w:t xml:space="preserve">Key finding </w:t>
      </w:r>
      <w:r w:rsidR="00403C70" w:rsidRPr="00D14A54">
        <w:rPr>
          <w:rFonts w:ascii="Arial" w:hAnsi="Arial" w:cs="Arial"/>
          <w:b/>
        </w:rPr>
        <w:t>9</w:t>
      </w:r>
      <w:r w:rsidRPr="00D14A54">
        <w:rPr>
          <w:rFonts w:ascii="Arial" w:hAnsi="Arial" w:cs="Arial"/>
          <w:b/>
        </w:rPr>
        <w:t>: Different software interfaces with the PCEHR is creating different clinician experiences which may have an impact on clinical safety</w:t>
      </w:r>
    </w:p>
    <w:p w:rsidR="00724B4D" w:rsidRPr="00D14A54" w:rsidRDefault="00724B4D" w:rsidP="00D14A54">
      <w:pPr>
        <w:pStyle w:val="BodyText"/>
        <w:spacing w:before="120" w:after="120" w:line="280" w:lineRule="atLeast"/>
        <w:rPr>
          <w:rFonts w:ascii="Arial" w:hAnsi="Arial" w:cs="Arial"/>
          <w:i/>
        </w:rPr>
      </w:pPr>
      <w:r w:rsidRPr="00D14A54">
        <w:rPr>
          <w:rFonts w:ascii="Arial" w:hAnsi="Arial" w:cs="Arial"/>
          <w:i/>
        </w:rPr>
        <w:t>Risk rating: Major</w:t>
      </w:r>
    </w:p>
    <w:p w:rsidR="00724B4D" w:rsidRPr="00D14A54" w:rsidRDefault="00724B4D" w:rsidP="00D14A54">
      <w:pPr>
        <w:pStyle w:val="BodyText"/>
        <w:spacing w:before="120" w:after="120" w:line="280" w:lineRule="atLeast"/>
        <w:rPr>
          <w:rFonts w:ascii="Arial" w:hAnsi="Arial" w:cs="Arial"/>
        </w:rPr>
      </w:pPr>
      <w:r w:rsidRPr="00D14A54">
        <w:rPr>
          <w:rFonts w:ascii="Arial" w:hAnsi="Arial" w:cs="Arial"/>
        </w:rPr>
        <w:t>Stakeholder consultation identified the interface variations between the different software suit</w:t>
      </w:r>
      <w:r w:rsidR="005A046C" w:rsidRPr="00D14A54">
        <w:rPr>
          <w:rFonts w:ascii="Arial" w:hAnsi="Arial" w:cs="Arial"/>
        </w:rPr>
        <w:t>e</w:t>
      </w:r>
      <w:r w:rsidRPr="00D14A54">
        <w:rPr>
          <w:rFonts w:ascii="Arial" w:hAnsi="Arial" w:cs="Arial"/>
        </w:rPr>
        <w:t>s used by GPs and Pharmacists. If clinicians are working across multiple sites the difference between the</w:t>
      </w:r>
      <w:r w:rsidR="005A046C" w:rsidRPr="00D14A54">
        <w:rPr>
          <w:rFonts w:ascii="Arial" w:hAnsi="Arial" w:cs="Arial"/>
        </w:rPr>
        <w:t xml:space="preserve"> multiple</w:t>
      </w:r>
      <w:r w:rsidRPr="00D14A54">
        <w:rPr>
          <w:rFonts w:ascii="Arial" w:hAnsi="Arial" w:cs="Arial"/>
        </w:rPr>
        <w:t xml:space="preserve"> interfaces may lead to confusion in where to locate the medication information for each patient through the desktop software.</w:t>
      </w:r>
    </w:p>
    <w:p w:rsidR="00724B4D" w:rsidRPr="00D14A54" w:rsidRDefault="00724B4D" w:rsidP="00D14A54">
      <w:pPr>
        <w:pStyle w:val="BodyText"/>
        <w:spacing w:before="120" w:after="120" w:line="280" w:lineRule="atLeast"/>
        <w:rPr>
          <w:rFonts w:ascii="Arial" w:hAnsi="Arial" w:cs="Arial"/>
        </w:rPr>
      </w:pPr>
      <w:r w:rsidRPr="00D14A54">
        <w:rPr>
          <w:rFonts w:ascii="Arial" w:hAnsi="Arial" w:cs="Arial"/>
        </w:rPr>
        <w:t>Accessing the PCEHR adds time to the work processes of both GPs and Pharmacists which may be the result of the technical processes of the systems rather than a clinical safety aspect.</w:t>
      </w:r>
    </w:p>
    <w:p w:rsidR="00724B4D" w:rsidRPr="00D14A54" w:rsidRDefault="00724B4D" w:rsidP="00D14A54">
      <w:pPr>
        <w:pStyle w:val="BodyText"/>
        <w:spacing w:before="120" w:after="120" w:line="280" w:lineRule="atLeast"/>
        <w:rPr>
          <w:rFonts w:ascii="Arial" w:hAnsi="Arial" w:cs="Arial"/>
        </w:rPr>
      </w:pPr>
      <w:r w:rsidRPr="00D14A54">
        <w:rPr>
          <w:rFonts w:ascii="Arial" w:hAnsi="Arial" w:cs="Arial"/>
        </w:rPr>
        <w:t>Standardisation of the presentation of medicines information between the PBS data, prescription records and dispensed records would improve understanding and interpretation of the true medication use by individuals</w:t>
      </w:r>
      <w:r w:rsidR="00294C34" w:rsidRPr="00D14A54">
        <w:rPr>
          <w:rFonts w:ascii="Arial" w:hAnsi="Arial" w:cs="Arial"/>
        </w:rPr>
        <w:t>. This should also include a definition for what constitutes the PBS and MBS data and how it can be used to inform clinical decisions.</w:t>
      </w:r>
    </w:p>
    <w:p w:rsidR="00724B4D" w:rsidRPr="00D14A54" w:rsidRDefault="00724B4D" w:rsidP="00D14A54">
      <w:pPr>
        <w:pStyle w:val="BodyText"/>
        <w:spacing w:before="120" w:after="120" w:line="280" w:lineRule="atLeast"/>
        <w:rPr>
          <w:rFonts w:ascii="Arial" w:hAnsi="Arial" w:cs="Arial"/>
          <w:i/>
        </w:rPr>
      </w:pPr>
      <w:r w:rsidRPr="00CC64DB">
        <w:rPr>
          <w:rFonts w:ascii="Arial" w:hAnsi="Arial" w:cs="Arial"/>
          <w:b/>
          <w:i/>
        </w:rPr>
        <w:t>Recommendation 9:</w:t>
      </w:r>
      <w:r w:rsidRPr="00D14A54">
        <w:rPr>
          <w:rFonts w:ascii="Arial" w:hAnsi="Arial" w:cs="Arial"/>
          <w:i/>
        </w:rPr>
        <w:t xml:space="preserve"> Consider greater consistency and/or standardisation of the presentation of medicines information sourced from the PCEHR</w:t>
      </w:r>
    </w:p>
    <w:p w:rsidR="00D14A54" w:rsidRDefault="00D14A54" w:rsidP="00D14A54">
      <w:pPr>
        <w:pStyle w:val="Heading3"/>
      </w:pPr>
      <w:bookmarkStart w:id="28" w:name="_Toc374390391"/>
    </w:p>
    <w:p w:rsidR="00CD3AE4" w:rsidRPr="00D14A54" w:rsidRDefault="00D14A54" w:rsidP="00D14A54">
      <w:pPr>
        <w:pStyle w:val="Heading3"/>
        <w:spacing w:before="240" w:after="120" w:line="280" w:lineRule="atLeast"/>
        <w:ind w:left="720" w:hanging="720"/>
        <w:jc w:val="both"/>
        <w:rPr>
          <w:color w:val="548DD4" w:themeColor="text2" w:themeTint="99"/>
          <w:sz w:val="24"/>
          <w:szCs w:val="24"/>
        </w:rPr>
      </w:pPr>
      <w:bookmarkStart w:id="29" w:name="_Toc403469571"/>
      <w:bookmarkStart w:id="30" w:name="_Toc403470088"/>
      <w:r w:rsidRPr="00D14A54">
        <w:rPr>
          <w:color w:val="548DD4" w:themeColor="text2" w:themeTint="99"/>
          <w:sz w:val="24"/>
          <w:szCs w:val="24"/>
        </w:rPr>
        <w:t xml:space="preserve">5.3 </w:t>
      </w:r>
      <w:r w:rsidR="00D53666">
        <w:rPr>
          <w:color w:val="548DD4" w:themeColor="text2" w:themeTint="99"/>
          <w:sz w:val="24"/>
          <w:szCs w:val="24"/>
        </w:rPr>
        <w:tab/>
      </w:r>
      <w:r w:rsidR="00BF7C3A">
        <w:rPr>
          <w:color w:val="548DD4" w:themeColor="text2" w:themeTint="99"/>
          <w:sz w:val="24"/>
          <w:szCs w:val="24"/>
        </w:rPr>
        <w:t>Review</w:t>
      </w:r>
      <w:r w:rsidR="00F62F9A" w:rsidRPr="00D14A54">
        <w:rPr>
          <w:color w:val="548DD4" w:themeColor="text2" w:themeTint="99"/>
          <w:sz w:val="24"/>
          <w:szCs w:val="24"/>
        </w:rPr>
        <w:t xml:space="preserve"> area 3</w:t>
      </w:r>
      <w:bookmarkEnd w:id="28"/>
      <w:r w:rsidR="005A046C" w:rsidRPr="00D14A54">
        <w:rPr>
          <w:color w:val="548DD4" w:themeColor="text2" w:themeTint="99"/>
          <w:sz w:val="24"/>
          <w:szCs w:val="24"/>
        </w:rPr>
        <w:t>: To review and develop incident identification, selection and review processes for the CGAG, with scenario planning and mapping for incident review and reporting</w:t>
      </w:r>
      <w:bookmarkEnd w:id="29"/>
      <w:bookmarkEnd w:id="30"/>
    </w:p>
    <w:p w:rsidR="00294C34" w:rsidRPr="00D14A54" w:rsidRDefault="00294C34" w:rsidP="00D14A54">
      <w:pPr>
        <w:pStyle w:val="BodyText"/>
        <w:numPr>
          <w:ilvl w:val="0"/>
          <w:numId w:val="2"/>
        </w:numPr>
        <w:spacing w:before="120" w:after="120" w:line="280" w:lineRule="atLeast"/>
        <w:contextualSpacing/>
        <w:rPr>
          <w:rFonts w:ascii="Arial" w:hAnsi="Arial" w:cs="Arial"/>
          <w:b/>
          <w:i/>
        </w:rPr>
      </w:pPr>
      <w:r w:rsidRPr="00D14A54">
        <w:rPr>
          <w:rFonts w:ascii="Arial" w:hAnsi="Arial" w:cs="Arial"/>
          <w:b/>
          <w:i/>
        </w:rPr>
        <w:t>Audit approach</w:t>
      </w:r>
    </w:p>
    <w:p w:rsidR="00294C34" w:rsidRPr="00D14A54" w:rsidRDefault="00294C34" w:rsidP="00D14A54">
      <w:pPr>
        <w:pStyle w:val="BodyText"/>
        <w:numPr>
          <w:ilvl w:val="0"/>
          <w:numId w:val="2"/>
        </w:numPr>
        <w:spacing w:before="120" w:after="120" w:line="280" w:lineRule="atLeast"/>
        <w:contextualSpacing/>
        <w:rPr>
          <w:rFonts w:ascii="Arial" w:hAnsi="Arial" w:cs="Arial"/>
        </w:rPr>
      </w:pPr>
      <w:r w:rsidRPr="00D14A54">
        <w:rPr>
          <w:rFonts w:ascii="Arial" w:hAnsi="Arial" w:cs="Arial"/>
        </w:rPr>
        <w:t>Documentation was provided which outlined the current incident management processes and reports. Verification of these processes were undertaken to identify issues and discuss findings from other comparative systems</w:t>
      </w:r>
      <w:r w:rsidR="005A046C" w:rsidRPr="00D14A54">
        <w:rPr>
          <w:rFonts w:ascii="Arial" w:hAnsi="Arial" w:cs="Arial"/>
        </w:rPr>
        <w:t>.</w:t>
      </w:r>
    </w:p>
    <w:p w:rsidR="00CD3AE4" w:rsidRPr="00D14A54" w:rsidRDefault="00CD3AE4" w:rsidP="00D14A54">
      <w:pPr>
        <w:pStyle w:val="BodyText"/>
        <w:spacing w:before="120" w:after="120" w:line="280" w:lineRule="atLeast"/>
        <w:contextualSpacing/>
        <w:rPr>
          <w:rFonts w:ascii="Arial" w:hAnsi="Arial" w:cs="Arial"/>
          <w:b/>
        </w:rPr>
      </w:pPr>
    </w:p>
    <w:p w:rsidR="00294C34" w:rsidRPr="00D14A54" w:rsidRDefault="00294C34" w:rsidP="00D14A54">
      <w:pPr>
        <w:pStyle w:val="BodyText"/>
        <w:spacing w:before="120" w:after="120" w:line="280" w:lineRule="atLeast"/>
        <w:contextualSpacing/>
        <w:rPr>
          <w:rFonts w:ascii="Arial" w:hAnsi="Arial" w:cs="Arial"/>
          <w:b/>
        </w:rPr>
      </w:pPr>
      <w:r w:rsidRPr="00D14A54">
        <w:rPr>
          <w:rFonts w:ascii="Arial" w:hAnsi="Arial" w:cs="Arial"/>
          <w:b/>
        </w:rPr>
        <w:lastRenderedPageBreak/>
        <w:t>Key finding 1</w:t>
      </w:r>
      <w:r w:rsidR="00403C70" w:rsidRPr="00D14A54">
        <w:rPr>
          <w:rFonts w:ascii="Arial" w:hAnsi="Arial" w:cs="Arial"/>
          <w:b/>
        </w:rPr>
        <w:t>0</w:t>
      </w:r>
      <w:r w:rsidRPr="00D14A54">
        <w:rPr>
          <w:rFonts w:ascii="Arial" w:hAnsi="Arial" w:cs="Arial"/>
          <w:b/>
        </w:rPr>
        <w:t>: Gaps in the current “PCEHR safety system” were determined based on characteristics of good practice safety systems</w:t>
      </w:r>
    </w:p>
    <w:p w:rsidR="00294C34" w:rsidRPr="00D14A54" w:rsidRDefault="00294C34" w:rsidP="00D14A54">
      <w:pPr>
        <w:pStyle w:val="BodyText"/>
        <w:spacing w:before="120" w:after="120" w:line="280" w:lineRule="atLeast"/>
        <w:contextualSpacing/>
        <w:rPr>
          <w:rFonts w:ascii="Arial" w:hAnsi="Arial" w:cs="Arial"/>
          <w:i/>
        </w:rPr>
      </w:pPr>
      <w:r w:rsidRPr="00D14A54">
        <w:rPr>
          <w:rFonts w:ascii="Arial" w:hAnsi="Arial" w:cs="Arial"/>
          <w:i/>
        </w:rPr>
        <w:t>Risk rating: Moderate</w:t>
      </w:r>
    </w:p>
    <w:p w:rsidR="00294C34" w:rsidRPr="00D14A54" w:rsidRDefault="00294C34" w:rsidP="00D14A54">
      <w:pPr>
        <w:pStyle w:val="BodyText"/>
        <w:spacing w:before="120" w:after="120" w:line="280" w:lineRule="atLeast"/>
        <w:contextualSpacing/>
        <w:rPr>
          <w:rFonts w:ascii="Arial" w:hAnsi="Arial" w:cs="Arial"/>
        </w:rPr>
      </w:pPr>
      <w:r w:rsidRPr="00D14A54">
        <w:rPr>
          <w:rFonts w:ascii="Arial" w:hAnsi="Arial" w:cs="Arial"/>
        </w:rPr>
        <w:t>There are a range of good practice safety systems from both national and international health systems applicable to the PCEHR which include:</w:t>
      </w:r>
    </w:p>
    <w:p w:rsidR="00294C34" w:rsidRPr="00D14A54" w:rsidRDefault="00294C34" w:rsidP="00294C34">
      <w:pPr>
        <w:pStyle w:val="BodyText"/>
        <w:numPr>
          <w:ilvl w:val="0"/>
          <w:numId w:val="9"/>
        </w:numPr>
        <w:rPr>
          <w:rFonts w:ascii="Arial" w:hAnsi="Arial" w:cs="Arial"/>
        </w:rPr>
      </w:pPr>
      <w:r w:rsidRPr="00D14A54">
        <w:rPr>
          <w:rFonts w:ascii="Arial" w:hAnsi="Arial" w:cs="Arial"/>
        </w:rPr>
        <w:t>Strong core processes underpinning the incident management framework,</w:t>
      </w:r>
    </w:p>
    <w:p w:rsidR="00294C34" w:rsidRPr="00D14A54" w:rsidRDefault="00294C34" w:rsidP="00294C34">
      <w:pPr>
        <w:pStyle w:val="BodyText"/>
        <w:numPr>
          <w:ilvl w:val="0"/>
          <w:numId w:val="9"/>
        </w:numPr>
        <w:rPr>
          <w:rFonts w:ascii="Arial" w:hAnsi="Arial" w:cs="Arial"/>
        </w:rPr>
      </w:pPr>
      <w:r w:rsidRPr="00D14A54">
        <w:rPr>
          <w:rFonts w:ascii="Arial" w:hAnsi="Arial" w:cs="Arial"/>
        </w:rPr>
        <w:t>Standardised design of the incident management reporting system,</w:t>
      </w:r>
    </w:p>
    <w:p w:rsidR="00294C34" w:rsidRPr="00D14A54" w:rsidRDefault="00294C34" w:rsidP="00294C34">
      <w:pPr>
        <w:pStyle w:val="BodyText"/>
        <w:numPr>
          <w:ilvl w:val="0"/>
          <w:numId w:val="9"/>
        </w:numPr>
        <w:rPr>
          <w:rFonts w:ascii="Arial" w:hAnsi="Arial" w:cs="Arial"/>
        </w:rPr>
      </w:pPr>
      <w:r w:rsidRPr="00D14A54">
        <w:rPr>
          <w:rFonts w:ascii="Arial" w:hAnsi="Arial" w:cs="Arial"/>
        </w:rPr>
        <w:t>Good governance structures to support streamlined incident management processes,</w:t>
      </w:r>
    </w:p>
    <w:p w:rsidR="00294C34" w:rsidRPr="00D14A54" w:rsidRDefault="00294C34" w:rsidP="00294C34">
      <w:pPr>
        <w:pStyle w:val="BodyText"/>
        <w:numPr>
          <w:ilvl w:val="0"/>
          <w:numId w:val="9"/>
        </w:numPr>
        <w:rPr>
          <w:rFonts w:ascii="Arial" w:hAnsi="Arial" w:cs="Arial"/>
        </w:rPr>
      </w:pPr>
      <w:r w:rsidRPr="00D14A54">
        <w:rPr>
          <w:rFonts w:ascii="Arial" w:hAnsi="Arial" w:cs="Arial"/>
        </w:rPr>
        <w:t>Clinical governance requirements and reporting framework.</w:t>
      </w:r>
    </w:p>
    <w:p w:rsidR="00501709" w:rsidRPr="00D14A54" w:rsidRDefault="00501709" w:rsidP="00D14A54">
      <w:pPr>
        <w:pStyle w:val="BodyText"/>
        <w:spacing w:before="120" w:after="120" w:line="280" w:lineRule="atLeast"/>
        <w:rPr>
          <w:rFonts w:ascii="Arial" w:hAnsi="Arial" w:cs="Arial"/>
        </w:rPr>
      </w:pPr>
      <w:r w:rsidRPr="00D14A54">
        <w:rPr>
          <w:rFonts w:ascii="Arial" w:hAnsi="Arial" w:cs="Arial"/>
        </w:rPr>
        <w:t>The scope of incidents to be managed through the PCEHR incident reporting and management systems must be clearly defined and a process established for referring on issues which should be managed by the different key agencies as relevant.</w:t>
      </w:r>
    </w:p>
    <w:p w:rsidR="00294C34" w:rsidRPr="00D14A54" w:rsidRDefault="00294C34" w:rsidP="00D14A54">
      <w:pPr>
        <w:pStyle w:val="BodyText"/>
        <w:spacing w:before="120" w:after="120" w:line="280" w:lineRule="atLeast"/>
        <w:rPr>
          <w:rFonts w:ascii="Arial" w:hAnsi="Arial" w:cs="Arial"/>
          <w:i/>
        </w:rPr>
      </w:pPr>
      <w:r w:rsidRPr="00CC64DB">
        <w:rPr>
          <w:rFonts w:ascii="Arial" w:hAnsi="Arial" w:cs="Arial"/>
          <w:b/>
          <w:i/>
        </w:rPr>
        <w:t>Recommendation 10:</w:t>
      </w:r>
      <w:r w:rsidRPr="00D14A54">
        <w:rPr>
          <w:rFonts w:ascii="Arial" w:hAnsi="Arial" w:cs="Arial"/>
          <w:i/>
        </w:rPr>
        <w:t xml:space="preserve"> </w:t>
      </w:r>
      <w:r w:rsidR="002D7DDB" w:rsidRPr="00D14A54">
        <w:rPr>
          <w:rFonts w:ascii="Arial" w:hAnsi="Arial" w:cs="Arial"/>
          <w:i/>
        </w:rPr>
        <w:t>The Commission work with DoH and NEHTA to develop a performance framework and reporting system to support CGAG in their objective of providing advice on the clinical safety of the PCEHR and to support continuous quality improvement.</w:t>
      </w:r>
    </w:p>
    <w:p w:rsidR="00CD3AE4" w:rsidRPr="00D14A54" w:rsidRDefault="00CD3AE4" w:rsidP="00D14A54">
      <w:pPr>
        <w:pStyle w:val="BodyText"/>
        <w:spacing w:before="120" w:after="120" w:line="280" w:lineRule="atLeast"/>
        <w:rPr>
          <w:rFonts w:ascii="Arial" w:hAnsi="Arial" w:cs="Arial"/>
          <w:b/>
        </w:rPr>
      </w:pPr>
    </w:p>
    <w:p w:rsidR="00294C34" w:rsidRPr="00D14A54" w:rsidRDefault="00ED34EA" w:rsidP="00D14A54">
      <w:pPr>
        <w:pStyle w:val="BodyText"/>
        <w:spacing w:before="120" w:after="120" w:line="280" w:lineRule="atLeast"/>
        <w:rPr>
          <w:rFonts w:ascii="Arial" w:hAnsi="Arial" w:cs="Arial"/>
          <w:b/>
        </w:rPr>
      </w:pPr>
      <w:r w:rsidRPr="00D14A54">
        <w:rPr>
          <w:rFonts w:ascii="Arial" w:hAnsi="Arial" w:cs="Arial"/>
          <w:b/>
        </w:rPr>
        <w:t>Key finding 1</w:t>
      </w:r>
      <w:r w:rsidR="00403C70" w:rsidRPr="00D14A54">
        <w:rPr>
          <w:rFonts w:ascii="Arial" w:hAnsi="Arial" w:cs="Arial"/>
          <w:b/>
        </w:rPr>
        <w:t>1</w:t>
      </w:r>
      <w:r w:rsidRPr="00D14A54">
        <w:rPr>
          <w:rFonts w:ascii="Arial" w:hAnsi="Arial" w:cs="Arial"/>
          <w:b/>
        </w:rPr>
        <w:t>: The clinical safety incident documentation and reports had limited and varying levels of detail on the incident investigation process, findings of the investigation and outcomes</w:t>
      </w:r>
    </w:p>
    <w:p w:rsidR="00ED34EA" w:rsidRPr="00D14A54" w:rsidRDefault="00ED34EA" w:rsidP="00D14A54">
      <w:pPr>
        <w:pStyle w:val="BodyText"/>
        <w:spacing w:before="120" w:after="120" w:line="280" w:lineRule="atLeast"/>
        <w:rPr>
          <w:rFonts w:ascii="Arial" w:hAnsi="Arial" w:cs="Arial"/>
          <w:i/>
        </w:rPr>
      </w:pPr>
      <w:r w:rsidRPr="00D14A54">
        <w:rPr>
          <w:rFonts w:ascii="Arial" w:hAnsi="Arial" w:cs="Arial"/>
          <w:i/>
        </w:rPr>
        <w:t>Risk rating: Moderate</w:t>
      </w:r>
    </w:p>
    <w:p w:rsidR="00ED34EA" w:rsidRPr="00D14A54" w:rsidRDefault="00ED34EA" w:rsidP="00D14A54">
      <w:pPr>
        <w:pStyle w:val="BodyText"/>
        <w:spacing w:before="120" w:after="120" w:line="280" w:lineRule="atLeast"/>
        <w:rPr>
          <w:rFonts w:ascii="Arial" w:hAnsi="Arial" w:cs="Arial"/>
        </w:rPr>
      </w:pPr>
      <w:r w:rsidRPr="00D14A54">
        <w:rPr>
          <w:rFonts w:ascii="Arial" w:hAnsi="Arial" w:cs="Arial"/>
        </w:rPr>
        <w:t>Examining the 12 reported clinical incidents, it was identified there was limited detail surrounding each of the incidents, and varying consistency in terms of the reporting process. The key findings from this analysis include:</w:t>
      </w:r>
    </w:p>
    <w:p w:rsidR="00ED34EA" w:rsidRPr="00D14A54" w:rsidRDefault="002D7DDB" w:rsidP="00ED34EA">
      <w:pPr>
        <w:pStyle w:val="BodyText"/>
        <w:numPr>
          <w:ilvl w:val="0"/>
          <w:numId w:val="10"/>
        </w:numPr>
        <w:rPr>
          <w:rFonts w:ascii="Arial" w:hAnsi="Arial" w:cs="Arial"/>
        </w:rPr>
      </w:pPr>
      <w:r w:rsidRPr="00D14A54">
        <w:rPr>
          <w:rFonts w:ascii="Arial" w:hAnsi="Arial" w:cs="Arial"/>
        </w:rPr>
        <w:t>NEHTAs</w:t>
      </w:r>
      <w:r w:rsidR="00ED34EA" w:rsidRPr="00D14A54">
        <w:rPr>
          <w:rFonts w:ascii="Arial" w:hAnsi="Arial" w:cs="Arial"/>
        </w:rPr>
        <w:t xml:space="preserve"> </w:t>
      </w:r>
      <w:r w:rsidRPr="00D14A54">
        <w:rPr>
          <w:rFonts w:ascii="Arial" w:hAnsi="Arial" w:cs="Arial"/>
        </w:rPr>
        <w:t xml:space="preserve">Clinical Safety Service </w:t>
      </w:r>
      <w:r w:rsidR="00ED34EA" w:rsidRPr="00D14A54">
        <w:rPr>
          <w:rFonts w:ascii="Arial" w:hAnsi="Arial" w:cs="Arial"/>
        </w:rPr>
        <w:t>Incident Assessments were not completed for all incidents</w:t>
      </w:r>
    </w:p>
    <w:p w:rsidR="00ED34EA" w:rsidRPr="00D14A54" w:rsidRDefault="00ED34EA" w:rsidP="00ED34EA">
      <w:pPr>
        <w:pStyle w:val="BodyText"/>
        <w:numPr>
          <w:ilvl w:val="0"/>
          <w:numId w:val="10"/>
        </w:numPr>
        <w:rPr>
          <w:rFonts w:ascii="Arial" w:hAnsi="Arial" w:cs="Arial"/>
        </w:rPr>
      </w:pPr>
      <w:r w:rsidRPr="00D14A54">
        <w:rPr>
          <w:rFonts w:ascii="Arial" w:hAnsi="Arial" w:cs="Arial"/>
        </w:rPr>
        <w:t>There was a lack of consistency in approach and documentation provided for incidents</w:t>
      </w:r>
    </w:p>
    <w:p w:rsidR="00ED34EA" w:rsidRPr="00D14A54" w:rsidRDefault="00ED34EA" w:rsidP="00ED34EA">
      <w:pPr>
        <w:pStyle w:val="BodyText"/>
        <w:numPr>
          <w:ilvl w:val="0"/>
          <w:numId w:val="10"/>
        </w:numPr>
        <w:rPr>
          <w:rFonts w:ascii="Arial" w:hAnsi="Arial" w:cs="Arial"/>
        </w:rPr>
      </w:pPr>
      <w:r w:rsidRPr="00D14A54">
        <w:rPr>
          <w:rFonts w:ascii="Arial" w:hAnsi="Arial" w:cs="Arial"/>
        </w:rPr>
        <w:t>There was ambiguity in the process of addressing the incident, including the communication trail</w:t>
      </w:r>
    </w:p>
    <w:p w:rsidR="00ED34EA" w:rsidRPr="00D14A54" w:rsidRDefault="00ED34EA" w:rsidP="00ED34EA">
      <w:pPr>
        <w:pStyle w:val="BodyText"/>
        <w:numPr>
          <w:ilvl w:val="0"/>
          <w:numId w:val="10"/>
        </w:numPr>
        <w:rPr>
          <w:rFonts w:ascii="Arial" w:hAnsi="Arial" w:cs="Arial"/>
        </w:rPr>
      </w:pPr>
      <w:r w:rsidRPr="00D14A54">
        <w:rPr>
          <w:rFonts w:ascii="Arial" w:hAnsi="Arial" w:cs="Arial"/>
        </w:rPr>
        <w:t xml:space="preserve">There did not appear to be any feedback loop on the outcomes of </w:t>
      </w:r>
      <w:r w:rsidR="00501709" w:rsidRPr="00D14A54">
        <w:rPr>
          <w:rFonts w:ascii="Arial" w:hAnsi="Arial" w:cs="Arial"/>
        </w:rPr>
        <w:t>incident revi</w:t>
      </w:r>
      <w:r w:rsidRPr="00D14A54">
        <w:rPr>
          <w:rFonts w:ascii="Arial" w:hAnsi="Arial" w:cs="Arial"/>
        </w:rPr>
        <w:t>ew</w:t>
      </w:r>
      <w:r w:rsidR="00501709" w:rsidRPr="00D14A54">
        <w:rPr>
          <w:rFonts w:ascii="Arial" w:hAnsi="Arial" w:cs="Arial"/>
        </w:rPr>
        <w:t>s</w:t>
      </w:r>
    </w:p>
    <w:p w:rsidR="00ED34EA" w:rsidRPr="00D14A54" w:rsidRDefault="00ED34EA" w:rsidP="00ED34EA">
      <w:pPr>
        <w:pStyle w:val="BodyText"/>
        <w:numPr>
          <w:ilvl w:val="0"/>
          <w:numId w:val="10"/>
        </w:numPr>
        <w:rPr>
          <w:rFonts w:ascii="Arial" w:hAnsi="Arial" w:cs="Arial"/>
        </w:rPr>
      </w:pPr>
      <w:r w:rsidRPr="00D14A54">
        <w:rPr>
          <w:rFonts w:ascii="Arial" w:hAnsi="Arial" w:cs="Arial"/>
        </w:rPr>
        <w:t>There were mul</w:t>
      </w:r>
      <w:r w:rsidR="00501709" w:rsidRPr="00D14A54">
        <w:rPr>
          <w:rFonts w:ascii="Arial" w:hAnsi="Arial" w:cs="Arial"/>
        </w:rPr>
        <w:t>tiple clinical incident records</w:t>
      </w:r>
      <w:r w:rsidRPr="00D14A54">
        <w:rPr>
          <w:rFonts w:ascii="Arial" w:hAnsi="Arial" w:cs="Arial"/>
        </w:rPr>
        <w:t xml:space="preserve"> relating to the same initial incident</w:t>
      </w:r>
    </w:p>
    <w:p w:rsidR="00ED34EA" w:rsidRPr="00D14A54" w:rsidRDefault="00ED34EA" w:rsidP="00ED34EA">
      <w:pPr>
        <w:pStyle w:val="BodyText"/>
        <w:numPr>
          <w:ilvl w:val="0"/>
          <w:numId w:val="10"/>
        </w:numPr>
        <w:rPr>
          <w:rFonts w:ascii="Arial" w:hAnsi="Arial" w:cs="Arial"/>
        </w:rPr>
      </w:pPr>
      <w:r w:rsidRPr="00D14A54">
        <w:rPr>
          <w:rFonts w:ascii="Arial" w:hAnsi="Arial" w:cs="Arial"/>
        </w:rPr>
        <w:t>It remains unclear if all available and relevant supporting information was included in the appropriate system</w:t>
      </w:r>
    </w:p>
    <w:p w:rsidR="00ED34EA" w:rsidRPr="00D14A54" w:rsidRDefault="00ED34EA" w:rsidP="00ED34EA">
      <w:pPr>
        <w:pStyle w:val="BodyText"/>
        <w:numPr>
          <w:ilvl w:val="0"/>
          <w:numId w:val="10"/>
        </w:numPr>
        <w:rPr>
          <w:rFonts w:ascii="Arial" w:hAnsi="Arial" w:cs="Arial"/>
        </w:rPr>
      </w:pPr>
      <w:r w:rsidRPr="00D14A54">
        <w:rPr>
          <w:rFonts w:ascii="Arial" w:hAnsi="Arial" w:cs="Arial"/>
        </w:rPr>
        <w:t>The risk assessment scores and frameworks used in the incident management process appear to differ.</w:t>
      </w:r>
    </w:p>
    <w:p w:rsidR="00ED34EA" w:rsidRPr="00D14A54" w:rsidRDefault="00ED34EA" w:rsidP="00D14A54">
      <w:pPr>
        <w:pStyle w:val="BodyText"/>
        <w:spacing w:before="120" w:after="120" w:line="280" w:lineRule="atLeast"/>
        <w:rPr>
          <w:rFonts w:ascii="Arial" w:hAnsi="Arial" w:cs="Arial"/>
        </w:rPr>
      </w:pPr>
      <w:r w:rsidRPr="00D14A54">
        <w:rPr>
          <w:rFonts w:ascii="Arial" w:hAnsi="Arial" w:cs="Arial"/>
        </w:rPr>
        <w:t xml:space="preserve">A review of the current PCEHR incident management system and principles of good practice safety systems revealed opportunities for improvement in the PCEHR system. There is an opportunity for key agencies to work together to take immediate action to make </w:t>
      </w:r>
      <w:r w:rsidRPr="00D14A54">
        <w:rPr>
          <w:rFonts w:ascii="Arial" w:hAnsi="Arial" w:cs="Arial"/>
        </w:rPr>
        <w:lastRenderedPageBreak/>
        <w:t>improvements to the incident management processes, information captured and reporting. Such a review should include:</w:t>
      </w:r>
    </w:p>
    <w:p w:rsidR="00ED34EA" w:rsidRPr="00D14A54" w:rsidRDefault="00ED34EA" w:rsidP="00ED34EA">
      <w:pPr>
        <w:pStyle w:val="BodyText"/>
        <w:numPr>
          <w:ilvl w:val="0"/>
          <w:numId w:val="11"/>
        </w:numPr>
        <w:rPr>
          <w:rFonts w:ascii="Arial" w:hAnsi="Arial" w:cs="Arial"/>
        </w:rPr>
      </w:pPr>
      <w:r w:rsidRPr="00D14A54">
        <w:rPr>
          <w:rFonts w:ascii="Arial" w:hAnsi="Arial" w:cs="Arial"/>
        </w:rPr>
        <w:t>Governance structures</w:t>
      </w:r>
    </w:p>
    <w:p w:rsidR="00ED34EA" w:rsidRPr="00D14A54" w:rsidRDefault="00ED34EA" w:rsidP="00ED34EA">
      <w:pPr>
        <w:pStyle w:val="BodyText"/>
        <w:numPr>
          <w:ilvl w:val="0"/>
          <w:numId w:val="11"/>
        </w:numPr>
        <w:rPr>
          <w:rFonts w:ascii="Arial" w:hAnsi="Arial" w:cs="Arial"/>
        </w:rPr>
      </w:pPr>
      <w:r w:rsidRPr="00D14A54">
        <w:rPr>
          <w:rFonts w:ascii="Arial" w:hAnsi="Arial" w:cs="Arial"/>
        </w:rPr>
        <w:t>Policies</w:t>
      </w:r>
    </w:p>
    <w:p w:rsidR="00ED34EA" w:rsidRPr="00D14A54" w:rsidRDefault="00ED34EA" w:rsidP="00ED34EA">
      <w:pPr>
        <w:pStyle w:val="BodyText"/>
        <w:numPr>
          <w:ilvl w:val="0"/>
          <w:numId w:val="11"/>
        </w:numPr>
        <w:rPr>
          <w:rFonts w:ascii="Arial" w:hAnsi="Arial" w:cs="Arial"/>
        </w:rPr>
      </w:pPr>
      <w:r w:rsidRPr="00D14A54">
        <w:rPr>
          <w:rFonts w:ascii="Arial" w:hAnsi="Arial" w:cs="Arial"/>
        </w:rPr>
        <w:t>Consistency of information</w:t>
      </w:r>
    </w:p>
    <w:p w:rsidR="00ED34EA" w:rsidRPr="00D14A54" w:rsidRDefault="00ED34EA" w:rsidP="00ED34EA">
      <w:pPr>
        <w:pStyle w:val="BodyText"/>
        <w:numPr>
          <w:ilvl w:val="0"/>
          <w:numId w:val="11"/>
        </w:numPr>
        <w:rPr>
          <w:rFonts w:ascii="Arial" w:hAnsi="Arial" w:cs="Arial"/>
        </w:rPr>
      </w:pPr>
      <w:r w:rsidRPr="00D14A54">
        <w:rPr>
          <w:rFonts w:ascii="Arial" w:hAnsi="Arial" w:cs="Arial"/>
        </w:rPr>
        <w:t>Timeliness of the reported information.</w:t>
      </w:r>
    </w:p>
    <w:p w:rsidR="00ED34EA" w:rsidRPr="00D14A54" w:rsidRDefault="00ED34EA" w:rsidP="00D14A54">
      <w:pPr>
        <w:pStyle w:val="BodyText"/>
        <w:spacing w:before="120" w:after="120" w:line="280" w:lineRule="atLeast"/>
        <w:rPr>
          <w:rFonts w:ascii="Arial" w:hAnsi="Arial" w:cs="Arial"/>
          <w:i/>
        </w:rPr>
      </w:pPr>
      <w:r w:rsidRPr="00CC64DB">
        <w:rPr>
          <w:rFonts w:ascii="Arial" w:hAnsi="Arial" w:cs="Arial"/>
          <w:b/>
          <w:i/>
        </w:rPr>
        <w:t>Recommendation 11:</w:t>
      </w:r>
      <w:r w:rsidRPr="00D14A54">
        <w:rPr>
          <w:rFonts w:ascii="Arial" w:hAnsi="Arial" w:cs="Arial"/>
          <w:i/>
        </w:rPr>
        <w:t xml:space="preserve"> </w:t>
      </w:r>
      <w:r w:rsidR="002D7DDB" w:rsidRPr="00D14A54">
        <w:rPr>
          <w:rFonts w:ascii="Arial" w:hAnsi="Arial" w:cs="Arial"/>
          <w:i/>
        </w:rPr>
        <w:t>DoH and NEHTA take immediate action to improve the end-to-end incident management process including the consistency of information captured, coordination of the process, timeliness of reporting and the provision of feedback.</w:t>
      </w:r>
    </w:p>
    <w:p w:rsidR="00CD3AE4" w:rsidRPr="00D14A54" w:rsidRDefault="00CD3AE4" w:rsidP="00D14A54">
      <w:pPr>
        <w:pStyle w:val="BodyText"/>
        <w:spacing w:before="120" w:after="120" w:line="280" w:lineRule="atLeast"/>
        <w:rPr>
          <w:rFonts w:ascii="Arial" w:hAnsi="Arial" w:cs="Arial"/>
          <w:b/>
        </w:rPr>
      </w:pPr>
    </w:p>
    <w:p w:rsidR="00294C34" w:rsidRPr="00D14A54" w:rsidRDefault="003C1110" w:rsidP="00D14A54">
      <w:pPr>
        <w:pStyle w:val="BodyText"/>
        <w:spacing w:before="120" w:after="120" w:line="280" w:lineRule="atLeast"/>
        <w:rPr>
          <w:rFonts w:ascii="Arial" w:hAnsi="Arial" w:cs="Arial"/>
          <w:b/>
        </w:rPr>
      </w:pPr>
      <w:r w:rsidRPr="00D14A54">
        <w:rPr>
          <w:rFonts w:ascii="Arial" w:hAnsi="Arial" w:cs="Arial"/>
          <w:b/>
        </w:rPr>
        <w:t>Key finding 1</w:t>
      </w:r>
      <w:r w:rsidR="00403C70" w:rsidRPr="00D14A54">
        <w:rPr>
          <w:rFonts w:ascii="Arial" w:hAnsi="Arial" w:cs="Arial"/>
          <w:b/>
        </w:rPr>
        <w:t>2</w:t>
      </w:r>
      <w:r w:rsidRPr="00D14A54">
        <w:rPr>
          <w:rFonts w:ascii="Arial" w:hAnsi="Arial" w:cs="Arial"/>
          <w:b/>
        </w:rPr>
        <w:t>: The 1800 PCEHR1 hotline was not considered to be a convenient channel for reporting incidents by users of the system</w:t>
      </w:r>
    </w:p>
    <w:p w:rsidR="003C1110" w:rsidRPr="00D14A54" w:rsidRDefault="003C1110" w:rsidP="00D14A54">
      <w:pPr>
        <w:pStyle w:val="BodyText"/>
        <w:spacing w:before="120" w:after="120" w:line="280" w:lineRule="atLeast"/>
        <w:rPr>
          <w:rFonts w:ascii="Arial" w:hAnsi="Arial" w:cs="Arial"/>
          <w:i/>
        </w:rPr>
      </w:pPr>
      <w:r w:rsidRPr="00D14A54">
        <w:rPr>
          <w:rFonts w:ascii="Arial" w:hAnsi="Arial" w:cs="Arial"/>
          <w:i/>
        </w:rPr>
        <w:t>Risk rating: Moderate</w:t>
      </w:r>
    </w:p>
    <w:p w:rsidR="003C1110" w:rsidRPr="00D14A54" w:rsidRDefault="003C1110" w:rsidP="00D14A54">
      <w:pPr>
        <w:pStyle w:val="BodyText"/>
        <w:spacing w:before="120" w:after="120" w:line="280" w:lineRule="atLeast"/>
        <w:rPr>
          <w:rFonts w:ascii="Arial" w:hAnsi="Arial" w:cs="Arial"/>
        </w:rPr>
      </w:pPr>
      <w:r w:rsidRPr="00D14A54">
        <w:rPr>
          <w:rFonts w:ascii="Arial" w:hAnsi="Arial" w:cs="Arial"/>
        </w:rPr>
        <w:t>The importance of a reporting channel that is user friendly and convenient was raised. It was stated that a hotline is not necessarily convenient for all users of the system, especially if the caller is a clinician who then has to wait. Ideally an online/electronic reporting channel should be in place, even if this is in addition to other reporting mechanisms. It was considered that this would also facilitate more consistent reporting of the required information.  Further, in the PCEHR system, it needs to be clearly evident how an individual may go about making an incident report.</w:t>
      </w:r>
    </w:p>
    <w:p w:rsidR="003C1110" w:rsidRPr="00D14A54" w:rsidRDefault="003C1110" w:rsidP="00D14A54">
      <w:pPr>
        <w:pStyle w:val="BodyText"/>
        <w:spacing w:before="120" w:after="120" w:line="280" w:lineRule="atLeast"/>
        <w:rPr>
          <w:rFonts w:ascii="Arial" w:hAnsi="Arial" w:cs="Arial"/>
        </w:rPr>
      </w:pPr>
      <w:r w:rsidRPr="00D14A54">
        <w:rPr>
          <w:rFonts w:ascii="Arial" w:hAnsi="Arial" w:cs="Arial"/>
        </w:rPr>
        <w:t xml:space="preserve">Capturing accurate information about clinical safety and subsequent incidents is </w:t>
      </w:r>
      <w:proofErr w:type="gramStart"/>
      <w:r w:rsidRPr="00D14A54">
        <w:rPr>
          <w:rFonts w:ascii="Arial" w:hAnsi="Arial" w:cs="Arial"/>
        </w:rPr>
        <w:t>key</w:t>
      </w:r>
      <w:proofErr w:type="gramEnd"/>
      <w:r w:rsidRPr="00D14A54">
        <w:rPr>
          <w:rFonts w:ascii="Arial" w:hAnsi="Arial" w:cs="Arial"/>
        </w:rPr>
        <w:t xml:space="preserve"> to providing the foundation of a safe PCEHR system for all users. Additionally, it is well known that effective clinical governance must be supported by a good reporting culture.</w:t>
      </w:r>
    </w:p>
    <w:p w:rsidR="003C1110" w:rsidRPr="00D14A54" w:rsidRDefault="003C1110" w:rsidP="00D14A54">
      <w:pPr>
        <w:pStyle w:val="BodyText"/>
        <w:spacing w:before="120" w:after="120" w:line="280" w:lineRule="atLeast"/>
        <w:rPr>
          <w:rFonts w:ascii="Arial" w:hAnsi="Arial" w:cs="Arial"/>
          <w:i/>
        </w:rPr>
      </w:pPr>
      <w:r w:rsidRPr="00CC64DB">
        <w:rPr>
          <w:rFonts w:ascii="Arial" w:hAnsi="Arial" w:cs="Arial"/>
          <w:b/>
          <w:i/>
        </w:rPr>
        <w:t>Recommendation 12</w:t>
      </w:r>
      <w:r w:rsidRPr="00D14A54">
        <w:rPr>
          <w:rFonts w:ascii="Arial" w:hAnsi="Arial" w:cs="Arial"/>
          <w:i/>
        </w:rPr>
        <w:t>: Relevant agencies work together to develop an online mechanism whereby incidents can be electronically reported.</w:t>
      </w:r>
    </w:p>
    <w:p w:rsidR="00CD3AE4" w:rsidRPr="00D14A54" w:rsidRDefault="00CD3AE4" w:rsidP="00D14A54">
      <w:pPr>
        <w:pStyle w:val="BodyText"/>
        <w:spacing w:before="120" w:after="120" w:line="280" w:lineRule="atLeast"/>
        <w:rPr>
          <w:rFonts w:ascii="Arial" w:hAnsi="Arial" w:cs="Arial"/>
          <w:b/>
        </w:rPr>
      </w:pPr>
    </w:p>
    <w:p w:rsidR="003C1110" w:rsidRPr="00D14A54" w:rsidRDefault="003C1110" w:rsidP="00D14A54">
      <w:pPr>
        <w:pStyle w:val="BodyText"/>
        <w:spacing w:before="120" w:after="120" w:line="280" w:lineRule="atLeast"/>
        <w:rPr>
          <w:rFonts w:ascii="Arial" w:hAnsi="Arial" w:cs="Arial"/>
          <w:b/>
        </w:rPr>
      </w:pPr>
      <w:r w:rsidRPr="00D14A54">
        <w:rPr>
          <w:rFonts w:ascii="Arial" w:hAnsi="Arial" w:cs="Arial"/>
          <w:b/>
        </w:rPr>
        <w:t>Key finding 1</w:t>
      </w:r>
      <w:r w:rsidR="00403C70" w:rsidRPr="00D14A54">
        <w:rPr>
          <w:rFonts w:ascii="Arial" w:hAnsi="Arial" w:cs="Arial"/>
          <w:b/>
        </w:rPr>
        <w:t>3</w:t>
      </w:r>
      <w:r w:rsidRPr="00D14A54">
        <w:rPr>
          <w:rFonts w:ascii="Arial" w:hAnsi="Arial" w:cs="Arial"/>
          <w:b/>
        </w:rPr>
        <w:t>: Clear communication and continuing education related to reporting and the use of the PCEHR system is necessary to support the future growth of the system</w:t>
      </w:r>
    </w:p>
    <w:p w:rsidR="003C1110" w:rsidRPr="00D14A54" w:rsidRDefault="003C1110" w:rsidP="00D14A54">
      <w:pPr>
        <w:pStyle w:val="BodyText"/>
        <w:spacing w:before="120" w:after="120" w:line="280" w:lineRule="atLeast"/>
        <w:rPr>
          <w:rFonts w:ascii="Arial" w:hAnsi="Arial" w:cs="Arial"/>
          <w:i/>
        </w:rPr>
      </w:pPr>
      <w:r w:rsidRPr="00D14A54">
        <w:rPr>
          <w:rFonts w:ascii="Arial" w:hAnsi="Arial" w:cs="Arial"/>
          <w:i/>
        </w:rPr>
        <w:t>Risk rating: Moderate</w:t>
      </w:r>
    </w:p>
    <w:p w:rsidR="003C1110" w:rsidRPr="00D14A54" w:rsidRDefault="003C1110" w:rsidP="00D14A54">
      <w:pPr>
        <w:pStyle w:val="BodyText"/>
        <w:spacing w:before="120" w:after="120" w:line="280" w:lineRule="atLeast"/>
        <w:rPr>
          <w:rFonts w:ascii="Arial" w:hAnsi="Arial" w:cs="Arial"/>
        </w:rPr>
      </w:pPr>
      <w:r w:rsidRPr="00D14A54">
        <w:rPr>
          <w:rFonts w:ascii="Arial" w:hAnsi="Arial" w:cs="Arial"/>
        </w:rPr>
        <w:t>A number of points were raised in relation to communication and education for users on the PCEHR including:</w:t>
      </w:r>
    </w:p>
    <w:p w:rsidR="003C1110" w:rsidRPr="00D14A54" w:rsidRDefault="003C1110" w:rsidP="003C1110">
      <w:pPr>
        <w:pStyle w:val="BodyText"/>
        <w:numPr>
          <w:ilvl w:val="0"/>
          <w:numId w:val="12"/>
        </w:numPr>
        <w:rPr>
          <w:rFonts w:ascii="Arial" w:hAnsi="Arial" w:cs="Arial"/>
        </w:rPr>
      </w:pPr>
      <w:r w:rsidRPr="00D14A54">
        <w:rPr>
          <w:rFonts w:ascii="Arial" w:hAnsi="Arial" w:cs="Arial"/>
        </w:rPr>
        <w:t>Clear instructions for reporting</w:t>
      </w:r>
    </w:p>
    <w:p w:rsidR="003C1110" w:rsidRPr="00D14A54" w:rsidRDefault="003C1110" w:rsidP="003C1110">
      <w:pPr>
        <w:pStyle w:val="BodyText"/>
        <w:numPr>
          <w:ilvl w:val="0"/>
          <w:numId w:val="12"/>
        </w:numPr>
        <w:rPr>
          <w:rFonts w:ascii="Arial" w:hAnsi="Arial" w:cs="Arial"/>
        </w:rPr>
      </w:pPr>
      <w:r w:rsidRPr="00D14A54">
        <w:rPr>
          <w:rFonts w:ascii="Arial" w:hAnsi="Arial" w:cs="Arial"/>
        </w:rPr>
        <w:t>A certain level of literacy/confidence or empowerment on behalf of users</w:t>
      </w:r>
    </w:p>
    <w:p w:rsidR="003C1110" w:rsidRPr="00D14A54" w:rsidRDefault="003C1110" w:rsidP="003C1110">
      <w:pPr>
        <w:pStyle w:val="BodyText"/>
        <w:numPr>
          <w:ilvl w:val="0"/>
          <w:numId w:val="12"/>
        </w:numPr>
        <w:rPr>
          <w:rFonts w:ascii="Arial" w:hAnsi="Arial" w:cs="Arial"/>
        </w:rPr>
      </w:pPr>
      <w:r w:rsidRPr="00D14A54">
        <w:rPr>
          <w:rFonts w:ascii="Arial" w:hAnsi="Arial" w:cs="Arial"/>
        </w:rPr>
        <w:t>Support systems in place</w:t>
      </w:r>
    </w:p>
    <w:p w:rsidR="003C1110" w:rsidRPr="00D14A54" w:rsidRDefault="003C1110" w:rsidP="003C1110">
      <w:pPr>
        <w:pStyle w:val="BodyText"/>
        <w:numPr>
          <w:ilvl w:val="0"/>
          <w:numId w:val="12"/>
        </w:numPr>
        <w:rPr>
          <w:rFonts w:ascii="Arial" w:hAnsi="Arial" w:cs="Arial"/>
        </w:rPr>
      </w:pPr>
      <w:r w:rsidRPr="00D14A54">
        <w:rPr>
          <w:rFonts w:ascii="Arial" w:hAnsi="Arial" w:cs="Arial"/>
        </w:rPr>
        <w:t>Linking education sessions with continuing professional developed points.</w:t>
      </w:r>
    </w:p>
    <w:p w:rsidR="003C1110" w:rsidRPr="00D14A54" w:rsidRDefault="003C1110" w:rsidP="00D14A54">
      <w:pPr>
        <w:pStyle w:val="BodyText"/>
        <w:spacing w:before="120" w:after="120" w:line="280" w:lineRule="atLeast"/>
        <w:rPr>
          <w:rFonts w:ascii="Arial" w:hAnsi="Arial" w:cs="Arial"/>
        </w:rPr>
      </w:pPr>
      <w:r w:rsidRPr="00D14A54">
        <w:rPr>
          <w:rFonts w:ascii="Arial" w:hAnsi="Arial" w:cs="Arial"/>
        </w:rPr>
        <w:t>One way to achieve a shared understanding of the clinical safety of the PCEHR across all stakeholder groups would be to develop a strategy under which targeted communication and education may be rolled out</w:t>
      </w:r>
    </w:p>
    <w:p w:rsidR="003C1110" w:rsidRPr="00D14A54" w:rsidRDefault="003C1110" w:rsidP="00D14A54">
      <w:pPr>
        <w:pStyle w:val="BodyText"/>
        <w:spacing w:before="120" w:after="120" w:line="280" w:lineRule="atLeast"/>
        <w:rPr>
          <w:rFonts w:ascii="Arial" w:hAnsi="Arial" w:cs="Arial"/>
          <w:i/>
        </w:rPr>
      </w:pPr>
      <w:r w:rsidRPr="00CC64DB">
        <w:rPr>
          <w:rFonts w:ascii="Arial" w:hAnsi="Arial" w:cs="Arial"/>
          <w:b/>
          <w:i/>
        </w:rPr>
        <w:lastRenderedPageBreak/>
        <w:t>Recommendation 13</w:t>
      </w:r>
      <w:r w:rsidRPr="00D14A54">
        <w:rPr>
          <w:rFonts w:ascii="Arial" w:hAnsi="Arial" w:cs="Arial"/>
          <w:i/>
        </w:rPr>
        <w:t xml:space="preserve">: </w:t>
      </w:r>
      <w:r w:rsidR="002D7DDB" w:rsidRPr="00D14A54">
        <w:rPr>
          <w:rFonts w:ascii="Arial" w:hAnsi="Arial" w:cs="Arial"/>
          <w:i/>
        </w:rPr>
        <w:t xml:space="preserve">A strategy for communication and education relevant to the clinical safety of the PCEHR </w:t>
      </w:r>
      <w:proofErr w:type="gramStart"/>
      <w:r w:rsidR="002D7DDB" w:rsidRPr="00D14A54">
        <w:rPr>
          <w:rFonts w:ascii="Arial" w:hAnsi="Arial" w:cs="Arial"/>
          <w:i/>
        </w:rPr>
        <w:t>be</w:t>
      </w:r>
      <w:proofErr w:type="gramEnd"/>
      <w:r w:rsidR="002D7DDB" w:rsidRPr="00D14A54">
        <w:rPr>
          <w:rFonts w:ascii="Arial" w:hAnsi="Arial" w:cs="Arial"/>
          <w:i/>
        </w:rPr>
        <w:t xml:space="preserve"> developed with input from the Commission and other key agencies.</w:t>
      </w:r>
    </w:p>
    <w:p w:rsidR="00CD3AE4" w:rsidRPr="00D14A54" w:rsidRDefault="00CD3AE4" w:rsidP="00D14A54">
      <w:pPr>
        <w:pStyle w:val="BodyText"/>
        <w:spacing w:before="120" w:after="120" w:line="280" w:lineRule="atLeast"/>
        <w:rPr>
          <w:rFonts w:ascii="Arial" w:hAnsi="Arial" w:cs="Arial"/>
          <w:b/>
        </w:rPr>
      </w:pPr>
    </w:p>
    <w:p w:rsidR="003C1110" w:rsidRPr="00D14A54" w:rsidRDefault="003C1110" w:rsidP="00F31636">
      <w:pPr>
        <w:rPr>
          <w:rFonts w:ascii="Arial" w:hAnsi="Arial" w:cs="Arial"/>
          <w:b/>
        </w:rPr>
      </w:pPr>
      <w:r w:rsidRPr="00D14A54">
        <w:rPr>
          <w:rFonts w:ascii="Arial" w:hAnsi="Arial" w:cs="Arial"/>
          <w:b/>
        </w:rPr>
        <w:t>Key finding 1</w:t>
      </w:r>
      <w:r w:rsidR="00403C70" w:rsidRPr="00D14A54">
        <w:rPr>
          <w:rFonts w:ascii="Arial" w:hAnsi="Arial" w:cs="Arial"/>
          <w:b/>
        </w:rPr>
        <w:t>4</w:t>
      </w:r>
      <w:r w:rsidRPr="00D14A54">
        <w:rPr>
          <w:rFonts w:ascii="Arial" w:hAnsi="Arial" w:cs="Arial"/>
          <w:b/>
        </w:rPr>
        <w:t>: The current PCEHR legislation and protection for those reporting incidents is a deterrent to fostering a good reporting culture</w:t>
      </w:r>
    </w:p>
    <w:p w:rsidR="003C1110" w:rsidRPr="00D14A54" w:rsidRDefault="003C1110" w:rsidP="00D14A54">
      <w:pPr>
        <w:pStyle w:val="BodyText"/>
        <w:spacing w:before="120" w:after="120" w:line="280" w:lineRule="atLeast"/>
        <w:rPr>
          <w:rFonts w:ascii="Arial" w:hAnsi="Arial" w:cs="Arial"/>
          <w:i/>
        </w:rPr>
      </w:pPr>
      <w:r w:rsidRPr="00D14A54">
        <w:rPr>
          <w:rFonts w:ascii="Arial" w:hAnsi="Arial" w:cs="Arial"/>
          <w:i/>
        </w:rPr>
        <w:t>Risk rating: Minimum</w:t>
      </w:r>
    </w:p>
    <w:p w:rsidR="003C1110" w:rsidRPr="00D14A54" w:rsidRDefault="00316A48" w:rsidP="00D14A54">
      <w:pPr>
        <w:pStyle w:val="BodyText"/>
        <w:spacing w:before="120" w:after="120" w:line="280" w:lineRule="atLeast"/>
        <w:rPr>
          <w:rFonts w:ascii="Arial" w:hAnsi="Arial" w:cs="Arial"/>
        </w:rPr>
      </w:pPr>
      <w:r w:rsidRPr="00D14A54">
        <w:rPr>
          <w:rFonts w:ascii="Arial" w:hAnsi="Arial" w:cs="Arial"/>
        </w:rPr>
        <w:t>The legislation and protection enabling a good reporting culture are important components of driving the future success of the PCEHR system. Important elements to consider include:</w:t>
      </w:r>
    </w:p>
    <w:p w:rsidR="00316A48" w:rsidRPr="00D14A54" w:rsidRDefault="00316A48" w:rsidP="00316A48">
      <w:pPr>
        <w:pStyle w:val="BodyText"/>
        <w:numPr>
          <w:ilvl w:val="0"/>
          <w:numId w:val="13"/>
        </w:numPr>
        <w:rPr>
          <w:rFonts w:ascii="Arial" w:hAnsi="Arial" w:cs="Arial"/>
        </w:rPr>
      </w:pPr>
      <w:r w:rsidRPr="00D14A54">
        <w:rPr>
          <w:rFonts w:ascii="Arial" w:hAnsi="Arial" w:cs="Arial"/>
        </w:rPr>
        <w:t>Legislation/confidentiality agreements should be in place that protect the individual reporting the incident and encourage the reporting of incidents</w:t>
      </w:r>
    </w:p>
    <w:p w:rsidR="00316A48" w:rsidRPr="00D14A54" w:rsidRDefault="00316A48" w:rsidP="00316A48">
      <w:pPr>
        <w:pStyle w:val="BodyText"/>
        <w:numPr>
          <w:ilvl w:val="0"/>
          <w:numId w:val="13"/>
        </w:numPr>
        <w:rPr>
          <w:rFonts w:ascii="Arial" w:hAnsi="Arial" w:cs="Arial"/>
        </w:rPr>
      </w:pPr>
      <w:r w:rsidRPr="00D14A54">
        <w:rPr>
          <w:rFonts w:ascii="Arial" w:hAnsi="Arial" w:cs="Arial"/>
        </w:rPr>
        <w:t>Foster an environment or culture where people are encouraged to report incidents</w:t>
      </w:r>
    </w:p>
    <w:p w:rsidR="00316A48" w:rsidRPr="00D14A54" w:rsidRDefault="00316A48" w:rsidP="00D14A54">
      <w:pPr>
        <w:pStyle w:val="PwCNormal"/>
        <w:numPr>
          <w:ilvl w:val="0"/>
          <w:numId w:val="0"/>
        </w:numPr>
        <w:spacing w:before="120" w:after="120" w:line="280" w:lineRule="atLeast"/>
        <w:jc w:val="both"/>
        <w:rPr>
          <w:rFonts w:ascii="Arial" w:hAnsi="Arial"/>
          <w:sz w:val="22"/>
        </w:rPr>
      </w:pPr>
      <w:r w:rsidRPr="00D14A54">
        <w:rPr>
          <w:rFonts w:ascii="Arial" w:hAnsi="Arial"/>
          <w:sz w:val="22"/>
        </w:rPr>
        <w:t xml:space="preserve">A key component of monitoring the clinical safety of the PCEHR is a consistent approach to reporting by all system users. As in any incident reporting system the focus must be on the potential improvements to users and services that have resulted or should result from the identification of clinical safety issues. A culture of openness where errors/risk are acknowledged, reported and managed is a high priority. The limitations of the current legislation are currently considered prohibitive in achieving this.  </w:t>
      </w:r>
    </w:p>
    <w:p w:rsidR="00294C34" w:rsidRPr="00D14A54" w:rsidRDefault="00316A48" w:rsidP="00D14A54">
      <w:pPr>
        <w:pStyle w:val="BodyText"/>
        <w:spacing w:before="120" w:after="120" w:line="280" w:lineRule="atLeast"/>
        <w:rPr>
          <w:rFonts w:ascii="Arial" w:hAnsi="Arial" w:cs="Arial"/>
        </w:rPr>
      </w:pPr>
      <w:r w:rsidRPr="00D14A54">
        <w:rPr>
          <w:rFonts w:ascii="Arial" w:hAnsi="Arial" w:cs="Arial"/>
        </w:rPr>
        <w:t>In addition, the legislation should also allow for the auditing of clinical safety issues and enable cross matching of records with consumers (based on their consent) to further identify potential issues.</w:t>
      </w:r>
    </w:p>
    <w:p w:rsidR="00316A48" w:rsidRPr="00D14A54" w:rsidRDefault="00316A48" w:rsidP="00D14A54">
      <w:pPr>
        <w:pStyle w:val="BodyText"/>
        <w:spacing w:before="120" w:after="120" w:line="280" w:lineRule="atLeast"/>
        <w:rPr>
          <w:rFonts w:ascii="Arial" w:hAnsi="Arial" w:cs="Arial"/>
          <w:i/>
        </w:rPr>
      </w:pPr>
      <w:r w:rsidRPr="00CC64DB">
        <w:rPr>
          <w:rFonts w:ascii="Arial" w:hAnsi="Arial" w:cs="Arial"/>
          <w:b/>
          <w:i/>
        </w:rPr>
        <w:t>Recommendation 14:</w:t>
      </w:r>
      <w:r w:rsidRPr="00D14A54">
        <w:rPr>
          <w:rFonts w:ascii="Arial" w:hAnsi="Arial" w:cs="Arial"/>
          <w:i/>
        </w:rPr>
        <w:t xml:space="preserve"> A review of the PCEHR legislation and protection for consumers/providers in reporting incidents </w:t>
      </w:r>
      <w:proofErr w:type="gramStart"/>
      <w:r w:rsidRPr="00D14A54">
        <w:rPr>
          <w:rFonts w:ascii="Arial" w:hAnsi="Arial" w:cs="Arial"/>
          <w:i/>
        </w:rPr>
        <w:t>be</w:t>
      </w:r>
      <w:proofErr w:type="gramEnd"/>
      <w:r w:rsidRPr="00D14A54">
        <w:rPr>
          <w:rFonts w:ascii="Arial" w:hAnsi="Arial" w:cs="Arial"/>
          <w:i/>
        </w:rPr>
        <w:t xml:space="preserve"> undertaken</w:t>
      </w:r>
      <w:r w:rsidR="002D7DDB" w:rsidRPr="00D14A54">
        <w:rPr>
          <w:rFonts w:ascii="Arial" w:hAnsi="Arial" w:cs="Arial"/>
          <w:i/>
        </w:rPr>
        <w:t>.</w:t>
      </w:r>
    </w:p>
    <w:p w:rsidR="00CD3AE4" w:rsidRPr="00D14A54" w:rsidRDefault="00CD3AE4" w:rsidP="00D14A54">
      <w:pPr>
        <w:pStyle w:val="BodyText"/>
        <w:spacing w:before="120" w:after="120" w:line="280" w:lineRule="atLeast"/>
        <w:rPr>
          <w:rFonts w:ascii="Arial" w:hAnsi="Arial" w:cs="Arial"/>
          <w:b/>
        </w:rPr>
      </w:pPr>
    </w:p>
    <w:p w:rsidR="00316A48" w:rsidRPr="00D14A54" w:rsidRDefault="00316A48" w:rsidP="00D14A54">
      <w:pPr>
        <w:pStyle w:val="BodyText"/>
        <w:spacing w:before="120" w:after="120" w:line="280" w:lineRule="atLeast"/>
        <w:rPr>
          <w:rFonts w:ascii="Arial" w:hAnsi="Arial" w:cs="Arial"/>
          <w:b/>
        </w:rPr>
      </w:pPr>
      <w:r w:rsidRPr="00D14A54">
        <w:rPr>
          <w:rFonts w:ascii="Arial" w:hAnsi="Arial" w:cs="Arial"/>
          <w:b/>
        </w:rPr>
        <w:t>Key finding 1</w:t>
      </w:r>
      <w:r w:rsidR="00403C70" w:rsidRPr="00D14A54">
        <w:rPr>
          <w:rFonts w:ascii="Arial" w:hAnsi="Arial" w:cs="Arial"/>
          <w:b/>
        </w:rPr>
        <w:t>5</w:t>
      </w:r>
      <w:r w:rsidRPr="00D14A54">
        <w:rPr>
          <w:rFonts w:ascii="Arial" w:hAnsi="Arial" w:cs="Arial"/>
          <w:b/>
        </w:rPr>
        <w:t>: The PCEHR system does not currently integrate well with GP reporting requirements or other risk management and patient safety systems</w:t>
      </w:r>
    </w:p>
    <w:p w:rsidR="00316A48" w:rsidRPr="00D14A54" w:rsidRDefault="00C64A69" w:rsidP="00D14A54">
      <w:pPr>
        <w:pStyle w:val="BodyText"/>
        <w:spacing w:before="120" w:after="120" w:line="280" w:lineRule="atLeast"/>
        <w:rPr>
          <w:rFonts w:ascii="Arial" w:hAnsi="Arial" w:cs="Arial"/>
          <w:i/>
        </w:rPr>
      </w:pPr>
      <w:r w:rsidRPr="00D14A54">
        <w:rPr>
          <w:rFonts w:ascii="Arial" w:hAnsi="Arial" w:cs="Arial"/>
          <w:i/>
        </w:rPr>
        <w:t>Risk rating: Minimum</w:t>
      </w:r>
    </w:p>
    <w:p w:rsidR="00C64A69" w:rsidRPr="00D14A54" w:rsidRDefault="00C64A69" w:rsidP="00D14A54">
      <w:pPr>
        <w:pStyle w:val="BodyText"/>
        <w:spacing w:before="120" w:after="120" w:line="280" w:lineRule="atLeast"/>
        <w:rPr>
          <w:rFonts w:ascii="Arial" w:hAnsi="Arial" w:cs="Arial"/>
        </w:rPr>
      </w:pPr>
      <w:r w:rsidRPr="00D14A54">
        <w:rPr>
          <w:rFonts w:ascii="Arial" w:hAnsi="Arial" w:cs="Arial"/>
        </w:rPr>
        <w:t>Key components for the future success of the PCEHR system include its ability to integrate with other risk management and patient safety systems as well as being adaptable to the small business environment.</w:t>
      </w:r>
    </w:p>
    <w:p w:rsidR="00C64A69" w:rsidRPr="00D14A54" w:rsidRDefault="00C64A69" w:rsidP="00D14A54">
      <w:pPr>
        <w:pStyle w:val="PwCNormal"/>
        <w:spacing w:before="120" w:after="120" w:line="280" w:lineRule="atLeast"/>
        <w:jc w:val="both"/>
        <w:rPr>
          <w:rFonts w:ascii="Arial" w:hAnsi="Arial"/>
          <w:sz w:val="22"/>
        </w:rPr>
      </w:pPr>
      <w:r w:rsidRPr="00D14A54">
        <w:rPr>
          <w:rFonts w:ascii="Arial" w:hAnsi="Arial"/>
          <w:sz w:val="22"/>
        </w:rPr>
        <w:t>It would be beneficial to develop a broader, system wide incident reporting map or process that goes beyond just the PCEHR. This would highlight where there is scope overlap and to more clearly define roles/accountabilities; increase awareness of how PCEHR reporting fits into the bigger picture; drive significant change and improvement in reporting through the whole system.</w:t>
      </w:r>
    </w:p>
    <w:p w:rsidR="00C64A69" w:rsidRPr="00D14A54" w:rsidRDefault="00C64A69" w:rsidP="00D14A54">
      <w:pPr>
        <w:pStyle w:val="BodyText"/>
        <w:spacing w:before="120" w:after="120" w:line="280" w:lineRule="atLeast"/>
        <w:rPr>
          <w:rFonts w:ascii="Arial" w:hAnsi="Arial" w:cs="Arial"/>
          <w:i/>
        </w:rPr>
      </w:pPr>
      <w:r w:rsidRPr="00CC64DB">
        <w:rPr>
          <w:rFonts w:ascii="Arial" w:hAnsi="Arial" w:cs="Arial"/>
          <w:b/>
          <w:i/>
        </w:rPr>
        <w:t>Recommendation 15:</w:t>
      </w:r>
      <w:r w:rsidRPr="00D14A54">
        <w:rPr>
          <w:rFonts w:ascii="Arial" w:hAnsi="Arial" w:cs="Arial"/>
          <w:i/>
        </w:rPr>
        <w:t xml:space="preserve"> </w:t>
      </w:r>
      <w:r w:rsidR="002D7DDB" w:rsidRPr="00D14A54">
        <w:rPr>
          <w:rFonts w:ascii="Arial" w:hAnsi="Arial" w:cs="Arial"/>
          <w:i/>
        </w:rPr>
        <w:t>The Commission, key professional bodies and other relevant stakeholders work collaboratively to discuss the future of clinical safety and the incident reporting culture in the primary care setting and the supporting governance structures.</w:t>
      </w:r>
    </w:p>
    <w:p w:rsidR="00F31636" w:rsidRDefault="00F31636">
      <w:pPr>
        <w:rPr>
          <w:rFonts w:asciiTheme="majorHAnsi" w:eastAsiaTheme="majorEastAsia" w:hAnsiTheme="majorHAnsi" w:cstheme="majorBidi"/>
          <w:b/>
          <w:bCs/>
          <w:color w:val="548DD4" w:themeColor="text2" w:themeTint="99"/>
          <w:sz w:val="32"/>
          <w:szCs w:val="32"/>
        </w:rPr>
      </w:pPr>
      <w:bookmarkStart w:id="31" w:name="_Toc373491758"/>
      <w:bookmarkStart w:id="32" w:name="_Toc373494758"/>
      <w:bookmarkStart w:id="33" w:name="_Toc373496189"/>
      <w:bookmarkStart w:id="34" w:name="_Toc373496874"/>
      <w:bookmarkStart w:id="35" w:name="_Toc373497011"/>
      <w:bookmarkStart w:id="36" w:name="_Toc402456742"/>
      <w:bookmarkStart w:id="37" w:name="_Toc403470089"/>
      <w:bookmarkEnd w:id="31"/>
      <w:bookmarkEnd w:id="32"/>
      <w:bookmarkEnd w:id="33"/>
      <w:bookmarkEnd w:id="34"/>
      <w:bookmarkEnd w:id="35"/>
      <w:r>
        <w:rPr>
          <w:color w:val="548DD4" w:themeColor="text2" w:themeTint="99"/>
          <w:sz w:val="32"/>
          <w:szCs w:val="32"/>
        </w:rPr>
        <w:br w:type="page"/>
      </w:r>
    </w:p>
    <w:p w:rsidR="00F62F9A" w:rsidRPr="00D14A54" w:rsidRDefault="00CC517C" w:rsidP="00F31636">
      <w:pPr>
        <w:pStyle w:val="Heading1"/>
        <w:spacing w:before="240" w:after="120" w:line="480" w:lineRule="atLeast"/>
        <w:jc w:val="both"/>
        <w:rPr>
          <w:color w:val="548DD4" w:themeColor="text2" w:themeTint="99"/>
          <w:sz w:val="32"/>
          <w:szCs w:val="32"/>
        </w:rPr>
      </w:pPr>
      <w:r>
        <w:rPr>
          <w:color w:val="548DD4" w:themeColor="text2" w:themeTint="99"/>
          <w:sz w:val="32"/>
          <w:szCs w:val="32"/>
        </w:rPr>
        <w:lastRenderedPageBreak/>
        <w:t>Conclusion</w:t>
      </w:r>
      <w:bookmarkEnd w:id="36"/>
      <w:bookmarkEnd w:id="37"/>
    </w:p>
    <w:p w:rsidR="00F62F9A" w:rsidRPr="00523021" w:rsidRDefault="00F62F9A" w:rsidP="00523021">
      <w:pPr>
        <w:pStyle w:val="BodyText"/>
        <w:numPr>
          <w:ilvl w:val="0"/>
          <w:numId w:val="2"/>
        </w:numPr>
        <w:spacing w:before="120" w:after="120" w:line="240" w:lineRule="atLeast"/>
        <w:rPr>
          <w:rFonts w:ascii="Arial" w:hAnsi="Arial" w:cs="Arial"/>
        </w:rPr>
      </w:pPr>
      <w:r w:rsidRPr="00523021">
        <w:rPr>
          <w:rFonts w:ascii="Arial" w:hAnsi="Arial" w:cs="Arial"/>
        </w:rPr>
        <w:t>Across the three priorities the audit has highlighted areas that for some clinicians, the PCEHR is enhancing the care they are able to provide.  This is particularly the case for patients with chronic and complex conditions who attend multiple service providers. Clinicians reported that the PCEHR provided another source of information for them on which to base quality care for their patients. Most providers did not report clinical safety incidents or issues with their use of the system. However, some of the evidence collected through the audit has also drawn attention to the challenges faced in relation to the data contained within individual PCEHRs, medication safety and incident management.</w:t>
      </w:r>
    </w:p>
    <w:p w:rsidR="00F62F9A" w:rsidRPr="00523021" w:rsidRDefault="00F62F9A" w:rsidP="00523021">
      <w:pPr>
        <w:pStyle w:val="BodyText"/>
        <w:spacing w:before="120" w:after="120" w:line="240" w:lineRule="atLeast"/>
        <w:rPr>
          <w:rFonts w:ascii="Arial" w:hAnsi="Arial" w:cs="Arial"/>
        </w:rPr>
      </w:pPr>
      <w:r w:rsidRPr="00523021">
        <w:rPr>
          <w:rFonts w:ascii="Arial" w:hAnsi="Arial" w:cs="Arial"/>
        </w:rPr>
        <w:t>Taken together, the key findings and recommendations provide key agencies with a basis for further improving the clinical safety of the PCEHR.</w:t>
      </w:r>
    </w:p>
    <w:p w:rsidR="008C6E4B" w:rsidRDefault="008C6E4B"/>
    <w:sectPr w:rsidR="008C6E4B" w:rsidSect="005431B1">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167" w:rsidRDefault="002B3167" w:rsidP="00F62F9A">
      <w:r>
        <w:separator/>
      </w:r>
    </w:p>
  </w:endnote>
  <w:endnote w:type="continuationSeparator" w:id="0">
    <w:p w:rsidR="002B3167" w:rsidRDefault="002B3167" w:rsidP="00F6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charset w:val="00"/>
    <w:family w:val="auto"/>
    <w:pitch w:val="variable"/>
    <w:sig w:usb0="8000002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5">
    <w:altName w:val="Times New Roman"/>
    <w:charset w:val="00"/>
    <w:family w:val="auto"/>
    <w:pitch w:val="variable"/>
    <w:sig w:usb0="00000003" w:usb1="00000000" w:usb2="00000000" w:usb3="00000000" w:csb0="00000001" w:csb1="00000000"/>
  </w:font>
  <w:font w:name="Univers">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B1" w:rsidRDefault="005431B1">
    <w:pPr>
      <w:pStyle w:val="Footer"/>
      <w:jc w:val="center"/>
    </w:pPr>
  </w:p>
  <w:p w:rsidR="009E5D27" w:rsidRDefault="009E5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249213"/>
      <w:docPartObj>
        <w:docPartGallery w:val="Page Numbers (Bottom of Page)"/>
        <w:docPartUnique/>
      </w:docPartObj>
    </w:sdtPr>
    <w:sdtEndPr>
      <w:rPr>
        <w:noProof/>
      </w:rPr>
    </w:sdtEndPr>
    <w:sdtContent>
      <w:p w:rsidR="005431B1" w:rsidRDefault="005431B1">
        <w:pPr>
          <w:pStyle w:val="Footer"/>
          <w:jc w:val="center"/>
        </w:pPr>
        <w:r>
          <w:fldChar w:fldCharType="begin"/>
        </w:r>
        <w:r>
          <w:instrText xml:space="preserve"> PAGE   \* MERGEFORMAT </w:instrText>
        </w:r>
        <w:r>
          <w:fldChar w:fldCharType="separate"/>
        </w:r>
        <w:r w:rsidR="00064695">
          <w:rPr>
            <w:noProof/>
          </w:rPr>
          <w:t>10</w:t>
        </w:r>
        <w:r>
          <w:rPr>
            <w:noProof/>
          </w:rPr>
          <w:fldChar w:fldCharType="end"/>
        </w:r>
      </w:p>
    </w:sdtContent>
  </w:sdt>
  <w:p w:rsidR="005431B1" w:rsidRDefault="00543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167" w:rsidRDefault="002B3167" w:rsidP="00F62F9A">
      <w:r>
        <w:separator/>
      </w:r>
    </w:p>
  </w:footnote>
  <w:footnote w:type="continuationSeparator" w:id="0">
    <w:p w:rsidR="002B3167" w:rsidRDefault="002B3167" w:rsidP="00F62F9A">
      <w:r>
        <w:continuationSeparator/>
      </w:r>
    </w:p>
  </w:footnote>
  <w:footnote w:id="1">
    <w:p w:rsidR="007021C1" w:rsidRPr="00112EA1" w:rsidRDefault="007021C1" w:rsidP="007021C1">
      <w:pPr>
        <w:pStyle w:val="FootnoteText"/>
        <w:rPr>
          <w:rFonts w:ascii="Univers" w:hAnsi="Univers"/>
          <w:sz w:val="16"/>
          <w:szCs w:val="16"/>
        </w:rPr>
      </w:pPr>
      <w:r w:rsidRPr="00E95459">
        <w:rPr>
          <w:rStyle w:val="FootnoteReference"/>
          <w:rFonts w:ascii="Univers" w:hAnsi="Univers"/>
          <w:sz w:val="16"/>
          <w:szCs w:val="16"/>
        </w:rPr>
        <w:footnoteRef/>
      </w:r>
      <w:r w:rsidRPr="00E95459">
        <w:rPr>
          <w:rFonts w:ascii="Univers" w:hAnsi="Univers"/>
          <w:sz w:val="16"/>
          <w:szCs w:val="16"/>
        </w:rPr>
        <w:t xml:space="preserve"> </w:t>
      </w:r>
      <w:proofErr w:type="gramStart"/>
      <w:r w:rsidRPr="00E95459">
        <w:rPr>
          <w:rFonts w:ascii="Univers" w:hAnsi="Univers"/>
          <w:sz w:val="16"/>
          <w:szCs w:val="16"/>
        </w:rPr>
        <w:t>As at November 2013, Department of Health</w:t>
      </w:r>
      <w:r>
        <w:rPr>
          <w:rFonts w:ascii="Univers" w:hAnsi="Univers"/>
          <w:sz w:val="16"/>
          <w:szCs w:val="16"/>
        </w:rPr>
        <w:t>.</w:t>
      </w:r>
      <w:proofErr w:type="gramEnd"/>
    </w:p>
  </w:footnote>
  <w:footnote w:id="2">
    <w:p w:rsidR="00C96A9E" w:rsidRPr="00C96A9E" w:rsidRDefault="00C96A9E">
      <w:pPr>
        <w:pStyle w:val="FootnoteText"/>
        <w:rPr>
          <w:lang w:val="en-US"/>
        </w:rPr>
      </w:pPr>
      <w:r>
        <w:rPr>
          <w:rStyle w:val="FootnoteReference"/>
        </w:rPr>
        <w:footnoteRef/>
      </w:r>
      <w:r>
        <w:t xml:space="preserve"> </w:t>
      </w:r>
      <w:r>
        <w:rPr>
          <w:lang w:val="en-US"/>
        </w:rPr>
        <w:t xml:space="preserve">Note: Subsequent information indicated that an investigation into this issue was underway when the audit commenced, which identified </w:t>
      </w:r>
      <w:r w:rsidRPr="00C96A9E">
        <w:rPr>
          <w:lang w:val="en-US"/>
        </w:rPr>
        <w:t>that it was o</w:t>
      </w:r>
      <w:r w:rsidR="00AB239C">
        <w:rPr>
          <w:lang w:val="en-US"/>
        </w:rPr>
        <w:t>nly some software calls (</w:t>
      </w:r>
      <w:proofErr w:type="spellStart"/>
      <w:r w:rsidR="00AB239C">
        <w:rPr>
          <w:lang w:val="en-US"/>
        </w:rPr>
        <w:t>i.e</w:t>
      </w:r>
      <w:proofErr w:type="spellEnd"/>
      <w:r>
        <w:rPr>
          <w:lang w:val="en-US"/>
        </w:rPr>
        <w:t xml:space="preserve">  </w:t>
      </w:r>
      <w:r w:rsidRPr="00C96A9E">
        <w:rPr>
          <w:lang w:val="en-US"/>
        </w:rPr>
        <w:t xml:space="preserve">those </w:t>
      </w:r>
      <w:proofErr w:type="spellStart"/>
      <w:r w:rsidRPr="00C96A9E">
        <w:rPr>
          <w:lang w:val="en-US"/>
        </w:rPr>
        <w:t>utilising</w:t>
      </w:r>
      <w:proofErr w:type="spellEnd"/>
      <w:r w:rsidRPr="00C96A9E">
        <w:rPr>
          <w:lang w:val="en-US"/>
        </w:rPr>
        <w:t xml:space="preserve"> the historical se</w:t>
      </w:r>
      <w:r>
        <w:rPr>
          <w:lang w:val="en-US"/>
        </w:rPr>
        <w:t>arch flag) that were affected and</w:t>
      </w:r>
      <w:r w:rsidRPr="00C96A9E">
        <w:rPr>
          <w:lang w:val="en-US"/>
        </w:rPr>
        <w:t xml:space="preserve"> of the </w:t>
      </w:r>
      <w:proofErr w:type="spellStart"/>
      <w:r w:rsidRPr="00C96A9E">
        <w:rPr>
          <w:lang w:val="en-US"/>
        </w:rPr>
        <w:t>ehealth</w:t>
      </w:r>
      <w:proofErr w:type="spellEnd"/>
      <w:r w:rsidRPr="00C96A9E">
        <w:rPr>
          <w:lang w:val="en-US"/>
        </w:rPr>
        <w:t xml:space="preserve"> records affected by this issu</w:t>
      </w:r>
      <w:r>
        <w:rPr>
          <w:lang w:val="en-US"/>
        </w:rPr>
        <w:t xml:space="preserve">e, none had clinical documents </w:t>
      </w:r>
      <w:r w:rsidRPr="00C96A9E">
        <w:rPr>
          <w:lang w:val="en-US"/>
        </w:rPr>
        <w:t>associated with them</w:t>
      </w:r>
      <w:r>
        <w:rPr>
          <w:lang w:val="en-US"/>
        </w:rPr>
        <w:t xml:space="preserve"> at the point of investigation. Advice was provided that the</w:t>
      </w:r>
      <w:r w:rsidRPr="00C96A9E">
        <w:rPr>
          <w:lang w:val="en-US"/>
        </w:rPr>
        <w:t xml:space="preserve"> resolution of the incident was</w:t>
      </w:r>
      <w:r>
        <w:rPr>
          <w:lang w:val="en-US"/>
        </w:rPr>
        <w:t xml:space="preserve"> completed concurrently to the </w:t>
      </w:r>
      <w:proofErr w:type="spellStart"/>
      <w:r>
        <w:rPr>
          <w:lang w:val="en-US"/>
        </w:rPr>
        <w:t>finalisation</w:t>
      </w:r>
      <w:proofErr w:type="spellEnd"/>
      <w:r>
        <w:rPr>
          <w:lang w:val="en-US"/>
        </w:rPr>
        <w:t xml:space="preserve"> of the audit. </w:t>
      </w:r>
      <w:r w:rsidRPr="00C96A9E">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C0E3BDA"/>
    <w:lvl w:ilvl="0">
      <w:start w:val="1"/>
      <w:numFmt w:val="bullet"/>
      <w:pStyle w:val="ListBullet3"/>
      <w:lvlText w:val="-"/>
      <w:lvlJc w:val="left"/>
      <w:pPr>
        <w:tabs>
          <w:tab w:val="num" w:pos="680"/>
        </w:tabs>
        <w:ind w:left="680" w:hanging="340"/>
      </w:pPr>
      <w:rPr>
        <w:rFonts w:ascii="9999999" w:hAnsi="9999999" w:hint="default"/>
      </w:rPr>
    </w:lvl>
  </w:abstractNum>
  <w:abstractNum w:abstractNumId="1">
    <w:nsid w:val="0051543F"/>
    <w:multiLevelType w:val="hybridMultilevel"/>
    <w:tmpl w:val="7DCEB9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2AD6666"/>
    <w:multiLevelType w:val="hybridMultilevel"/>
    <w:tmpl w:val="E338965E"/>
    <w:lvl w:ilvl="0" w:tplc="0408ED96">
      <w:start w:val="1"/>
      <w:numFmt w:val="bullet"/>
      <w:pStyle w:val="ListBullet"/>
      <w:lvlText w:val=""/>
      <w:lvlJc w:val="left"/>
      <w:pPr>
        <w:ind w:left="360" w:hanging="360"/>
      </w:pPr>
      <w:rPr>
        <w:rFonts w:ascii="Symbol" w:hAnsi="Symbol" w:hint="default"/>
        <w:color w:val="1F497D"/>
        <w:sz w:val="22"/>
      </w:rPr>
    </w:lvl>
    <w:lvl w:ilvl="1" w:tplc="3388512C">
      <w:numFmt w:val="bullet"/>
      <w:lvlText w:val="•"/>
      <w:lvlJc w:val="left"/>
      <w:pPr>
        <w:ind w:left="1650" w:hanging="570"/>
      </w:pPr>
      <w:rPr>
        <w:rFonts w:ascii="Univers 45 Light" w:eastAsia="Times New Roman" w:hAnsi="Univers 45 Light"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56E04F0"/>
    <w:multiLevelType w:val="hybridMultilevel"/>
    <w:tmpl w:val="15804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E451A42"/>
    <w:multiLevelType w:val="hybridMultilevel"/>
    <w:tmpl w:val="01E89A6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B8609E6"/>
    <w:multiLevelType w:val="hybridMultilevel"/>
    <w:tmpl w:val="FA146B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2554654"/>
    <w:multiLevelType w:val="hybridMultilevel"/>
    <w:tmpl w:val="ED9C22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3AC16F1"/>
    <w:multiLevelType w:val="hybridMultilevel"/>
    <w:tmpl w:val="BED6B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C3B60EA"/>
    <w:multiLevelType w:val="multilevel"/>
    <w:tmpl w:val="F474C808"/>
    <w:lvl w:ilvl="0">
      <w:start w:val="1"/>
      <w:numFmt w:val="decimal"/>
      <w:lvlText w:val="%1"/>
      <w:lvlJc w:val="left"/>
      <w:pPr>
        <w:tabs>
          <w:tab w:val="num" w:pos="0"/>
        </w:tabs>
        <w:ind w:left="0" w:hanging="964"/>
      </w:pPr>
      <w:rPr>
        <w:rFonts w:cs="Times New Roman" w:hint="default"/>
      </w:rPr>
    </w:lvl>
    <w:lvl w:ilvl="1">
      <w:start w:val="1"/>
      <w:numFmt w:val="decimal"/>
      <w:lvlText w:val="%1.%2"/>
      <w:lvlJc w:val="left"/>
      <w:pPr>
        <w:tabs>
          <w:tab w:val="num" w:pos="0"/>
        </w:tabs>
        <w:ind w:left="0" w:hanging="964"/>
      </w:pPr>
      <w:rPr>
        <w:rFonts w:cs="Times New Roman" w:hint="default"/>
      </w:rPr>
    </w:lvl>
    <w:lvl w:ilvl="2">
      <w:start w:val="1"/>
      <w:numFmt w:val="decimal"/>
      <w:lvlText w:val="%1.%2.%3"/>
      <w:lvlJc w:val="left"/>
      <w:pPr>
        <w:tabs>
          <w:tab w:val="num" w:pos="0"/>
        </w:tabs>
        <w:ind w:left="0" w:hanging="964"/>
      </w:pPr>
      <w:rPr>
        <w:rFonts w:cs="Times New Roman" w:hint="default"/>
      </w:rPr>
    </w:lvl>
    <w:lvl w:ilvl="3">
      <w:start w:val="1"/>
      <w:numFmt w:val="decimal"/>
      <w:lvlText w:val="%1.%2.%3.%4"/>
      <w:lvlJc w:val="left"/>
      <w:pPr>
        <w:tabs>
          <w:tab w:val="num" w:pos="20"/>
        </w:tabs>
        <w:ind w:left="0" w:hanging="9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3CC51BF4"/>
    <w:multiLevelType w:val="hybridMultilevel"/>
    <w:tmpl w:val="F492260E"/>
    <w:lvl w:ilvl="0" w:tplc="F00ED9E6">
      <w:start w:val="1"/>
      <w:numFmt w:val="decimal"/>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55927A7A"/>
    <w:multiLevelType w:val="multilevel"/>
    <w:tmpl w:val="F9B2DCCE"/>
    <w:lvl w:ilvl="0">
      <w:start w:val="1"/>
      <w:numFmt w:val="bullet"/>
      <w:lvlText w:val=""/>
      <w:lvlJc w:val="left"/>
      <w:pPr>
        <w:ind w:left="0" w:firstLine="0"/>
      </w:pPr>
      <w:rPr>
        <w:rFonts w:ascii="Symbol" w:hAnsi="Symbol"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11">
    <w:nsid w:val="616662E9"/>
    <w:multiLevelType w:val="hybridMultilevel"/>
    <w:tmpl w:val="7F80EB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3917BB9"/>
    <w:multiLevelType w:val="multilevel"/>
    <w:tmpl w:val="4E5C847A"/>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567" w:firstLine="0"/>
      </w:pPr>
      <w:rPr>
        <w:rFonts w:hint="default"/>
      </w:rPr>
    </w:lvl>
    <w:lvl w:ilvl="2">
      <w:start w:val="1"/>
      <w:numFmt w:val="none"/>
      <w:pStyle w:val="Indent2"/>
      <w:suff w:val="nothing"/>
      <w:lvlText w:val=""/>
      <w:lvlJc w:val="left"/>
      <w:pPr>
        <w:ind w:left="1134" w:firstLine="0"/>
      </w:pPr>
      <w:rPr>
        <w:rFonts w:hint="default"/>
      </w:rPr>
    </w:lvl>
    <w:lvl w:ilvl="3">
      <w:start w:val="1"/>
      <w:numFmt w:val="none"/>
      <w:pStyle w:val="Indent3"/>
      <w:suff w:val="nothing"/>
      <w:lvlText w:val=""/>
      <w:lvlJc w:val="left"/>
      <w:pPr>
        <w:ind w:left="1701" w:firstLine="0"/>
      </w:pPr>
      <w:rPr>
        <w:rFonts w:hint="default"/>
      </w:rPr>
    </w:lvl>
    <w:lvl w:ilvl="4">
      <w:start w:val="1"/>
      <w:numFmt w:val="none"/>
      <w:pStyle w:val="Indent4"/>
      <w:suff w:val="nothing"/>
      <w:lvlText w:val=""/>
      <w:lvlJc w:val="left"/>
      <w:pPr>
        <w:ind w:left="2268" w:firstLine="0"/>
      </w:pPr>
      <w:rPr>
        <w:rFonts w:hint="default"/>
      </w:rPr>
    </w:lvl>
    <w:lvl w:ilvl="5">
      <w:start w:val="1"/>
      <w:numFmt w:val="none"/>
      <w:pStyle w:val="Indent5"/>
      <w:suff w:val="nothing"/>
      <w:lvlText w:val=""/>
      <w:lvlJc w:val="left"/>
      <w:pPr>
        <w:ind w:left="2835" w:firstLine="0"/>
      </w:pPr>
      <w:rPr>
        <w:rFonts w:hint="default"/>
      </w:rPr>
    </w:lvl>
    <w:lvl w:ilvl="6">
      <w:start w:val="1"/>
      <w:numFmt w:val="none"/>
      <w:pStyle w:val="Indent6"/>
      <w:suff w:val="nothing"/>
      <w:lvlText w:val=""/>
      <w:lvlJc w:val="left"/>
      <w:pPr>
        <w:ind w:left="3402" w:firstLine="0"/>
      </w:pPr>
      <w:rPr>
        <w:rFonts w:hint="default"/>
      </w:rPr>
    </w:lvl>
    <w:lvl w:ilvl="7">
      <w:start w:val="1"/>
      <w:numFmt w:val="none"/>
      <w:pStyle w:val="Indent7"/>
      <w:suff w:val="nothing"/>
      <w:lvlText w:val=""/>
      <w:lvlJc w:val="left"/>
      <w:pPr>
        <w:ind w:left="3969" w:firstLine="0"/>
      </w:pPr>
      <w:rPr>
        <w:rFonts w:hint="default"/>
      </w:rPr>
    </w:lvl>
    <w:lvl w:ilvl="8">
      <w:start w:val="1"/>
      <w:numFmt w:val="none"/>
      <w:pStyle w:val="Indent8"/>
      <w:suff w:val="nothing"/>
      <w:lvlText w:val=""/>
      <w:lvlJc w:val="left"/>
      <w:pPr>
        <w:ind w:left="4536" w:firstLine="0"/>
      </w:pPr>
      <w:rPr>
        <w:rFonts w:hint="default"/>
      </w:rPr>
    </w:lvl>
  </w:abstractNum>
  <w:abstractNum w:abstractNumId="13">
    <w:nsid w:val="76E175A4"/>
    <w:multiLevelType w:val="hybridMultilevel"/>
    <w:tmpl w:val="E7A09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EA8460C"/>
    <w:multiLevelType w:val="multilevel"/>
    <w:tmpl w:val="090451DA"/>
    <w:styleLink w:val="IndentList"/>
    <w:lvl w:ilvl="0">
      <w:start w:val="1"/>
      <w:numFmt w:val="none"/>
      <w:suff w:val="nothing"/>
      <w:lvlText w:val=""/>
      <w:lvlJc w:val="left"/>
      <w:rPr>
        <w:rFonts w:cs="Times New Roman" w:hint="default"/>
        <w:color w:val="auto"/>
      </w:rPr>
    </w:lvl>
    <w:lvl w:ilvl="1">
      <w:start w:val="1"/>
      <w:numFmt w:val="none"/>
      <w:lvlRestart w:val="0"/>
      <w:suff w:val="nothing"/>
      <w:lvlText w:val=""/>
      <w:lvlJc w:val="left"/>
      <w:pPr>
        <w:ind w:left="567"/>
      </w:pPr>
      <w:rPr>
        <w:rFonts w:cs="Times New Roman" w:hint="default"/>
      </w:rPr>
    </w:lvl>
    <w:lvl w:ilvl="2">
      <w:start w:val="1"/>
      <w:numFmt w:val="none"/>
      <w:lvlRestart w:val="0"/>
      <w:suff w:val="nothing"/>
      <w:lvlText w:val=""/>
      <w:lvlJc w:val="left"/>
      <w:pPr>
        <w:ind w:left="1134"/>
      </w:pPr>
      <w:rPr>
        <w:rFonts w:cs="Times New Roman" w:hint="default"/>
      </w:rPr>
    </w:lvl>
    <w:lvl w:ilvl="3">
      <w:start w:val="1"/>
      <w:numFmt w:val="none"/>
      <w:lvlRestart w:val="0"/>
      <w:suff w:val="nothing"/>
      <w:lvlText w:val=""/>
      <w:lvlJc w:val="left"/>
      <w:pPr>
        <w:ind w:left="1701"/>
      </w:pPr>
      <w:rPr>
        <w:rFonts w:cs="Times New Roman" w:hint="default"/>
      </w:rPr>
    </w:lvl>
    <w:lvl w:ilvl="4">
      <w:start w:val="1"/>
      <w:numFmt w:val="none"/>
      <w:lvlRestart w:val="0"/>
      <w:suff w:val="nothing"/>
      <w:lvlText w:val=""/>
      <w:lvlJc w:val="left"/>
      <w:pPr>
        <w:ind w:left="2268"/>
      </w:pPr>
      <w:rPr>
        <w:rFonts w:cs="Times New Roman" w:hint="default"/>
      </w:rPr>
    </w:lvl>
    <w:lvl w:ilvl="5">
      <w:start w:val="1"/>
      <w:numFmt w:val="none"/>
      <w:lvlRestart w:val="0"/>
      <w:suff w:val="nothing"/>
      <w:lvlText w:val=""/>
      <w:lvlJc w:val="left"/>
      <w:pPr>
        <w:ind w:left="2835"/>
      </w:pPr>
      <w:rPr>
        <w:rFonts w:cs="Times New Roman" w:hint="default"/>
      </w:rPr>
    </w:lvl>
    <w:lvl w:ilvl="6">
      <w:start w:val="1"/>
      <w:numFmt w:val="none"/>
      <w:lvlRestart w:val="0"/>
      <w:suff w:val="nothing"/>
      <w:lvlText w:val=""/>
      <w:lvlJc w:val="left"/>
      <w:pPr>
        <w:ind w:left="3402"/>
      </w:pPr>
      <w:rPr>
        <w:rFonts w:cs="Times New Roman" w:hint="default"/>
      </w:rPr>
    </w:lvl>
    <w:lvl w:ilvl="7">
      <w:start w:val="1"/>
      <w:numFmt w:val="none"/>
      <w:lvlRestart w:val="0"/>
      <w:suff w:val="nothing"/>
      <w:lvlText w:val=""/>
      <w:lvlJc w:val="left"/>
      <w:pPr>
        <w:ind w:left="3969"/>
      </w:pPr>
      <w:rPr>
        <w:rFonts w:cs="Times New Roman" w:hint="default"/>
      </w:rPr>
    </w:lvl>
    <w:lvl w:ilvl="8">
      <w:start w:val="1"/>
      <w:numFmt w:val="none"/>
      <w:lvlRestart w:val="0"/>
      <w:suff w:val="nothing"/>
      <w:lvlText w:val=""/>
      <w:lvlJc w:val="left"/>
      <w:pPr>
        <w:ind w:left="4536"/>
      </w:pPr>
      <w:rPr>
        <w:rFonts w:cs="Times New Roman" w:hint="default"/>
      </w:rPr>
    </w:lvl>
  </w:abstractNum>
  <w:num w:numId="1">
    <w:abstractNumId w:val="8"/>
  </w:num>
  <w:num w:numId="2">
    <w:abstractNumId w:val="12"/>
  </w:num>
  <w:num w:numId="3">
    <w:abstractNumId w:val="4"/>
  </w:num>
  <w:num w:numId="4">
    <w:abstractNumId w:val="14"/>
  </w:num>
  <w:num w:numId="5">
    <w:abstractNumId w:val="9"/>
  </w:num>
  <w:num w:numId="6">
    <w:abstractNumId w:val="10"/>
  </w:num>
  <w:num w:numId="7">
    <w:abstractNumId w:val="11"/>
  </w:num>
  <w:num w:numId="8">
    <w:abstractNumId w:val="8"/>
  </w:num>
  <w:num w:numId="9">
    <w:abstractNumId w:val="13"/>
  </w:num>
  <w:num w:numId="10">
    <w:abstractNumId w:val="7"/>
  </w:num>
  <w:num w:numId="11">
    <w:abstractNumId w:val="5"/>
  </w:num>
  <w:num w:numId="12">
    <w:abstractNumId w:val="3"/>
  </w:num>
  <w:num w:numId="13">
    <w:abstractNumId w:val="1"/>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F9A"/>
    <w:rsid w:val="00037327"/>
    <w:rsid w:val="00064695"/>
    <w:rsid w:val="00064790"/>
    <w:rsid w:val="000A6F8D"/>
    <w:rsid w:val="000D5088"/>
    <w:rsid w:val="000D7A2F"/>
    <w:rsid w:val="00102483"/>
    <w:rsid w:val="001033EC"/>
    <w:rsid w:val="001617E6"/>
    <w:rsid w:val="00193C32"/>
    <w:rsid w:val="001A0DEB"/>
    <w:rsid w:val="001D5CFB"/>
    <w:rsid w:val="001F403F"/>
    <w:rsid w:val="0020098C"/>
    <w:rsid w:val="00204111"/>
    <w:rsid w:val="00215AC7"/>
    <w:rsid w:val="002345F4"/>
    <w:rsid w:val="002375D0"/>
    <w:rsid w:val="00294C34"/>
    <w:rsid w:val="002B3167"/>
    <w:rsid w:val="002C1B3E"/>
    <w:rsid w:val="002D23F5"/>
    <w:rsid w:val="002D7DDB"/>
    <w:rsid w:val="002E6CD8"/>
    <w:rsid w:val="00307D9C"/>
    <w:rsid w:val="00316A48"/>
    <w:rsid w:val="003A59C2"/>
    <w:rsid w:val="003C1110"/>
    <w:rsid w:val="003E54BB"/>
    <w:rsid w:val="00403C70"/>
    <w:rsid w:val="004543FC"/>
    <w:rsid w:val="00464324"/>
    <w:rsid w:val="00481D1C"/>
    <w:rsid w:val="004A2BB4"/>
    <w:rsid w:val="004D3C5D"/>
    <w:rsid w:val="00501709"/>
    <w:rsid w:val="00523021"/>
    <w:rsid w:val="005431B1"/>
    <w:rsid w:val="005A046C"/>
    <w:rsid w:val="005A7628"/>
    <w:rsid w:val="00624427"/>
    <w:rsid w:val="00654C43"/>
    <w:rsid w:val="006A0DC6"/>
    <w:rsid w:val="006C0B80"/>
    <w:rsid w:val="006C6782"/>
    <w:rsid w:val="007021C1"/>
    <w:rsid w:val="00724B4D"/>
    <w:rsid w:val="007369F3"/>
    <w:rsid w:val="00742813"/>
    <w:rsid w:val="007553EA"/>
    <w:rsid w:val="007B50B5"/>
    <w:rsid w:val="007C1D66"/>
    <w:rsid w:val="0082351F"/>
    <w:rsid w:val="00830EC8"/>
    <w:rsid w:val="008C6E4B"/>
    <w:rsid w:val="008F4A60"/>
    <w:rsid w:val="00917200"/>
    <w:rsid w:val="00972F33"/>
    <w:rsid w:val="009D663A"/>
    <w:rsid w:val="009E27CA"/>
    <w:rsid w:val="009E5D27"/>
    <w:rsid w:val="00AB239C"/>
    <w:rsid w:val="00AD3CE8"/>
    <w:rsid w:val="00AF72BA"/>
    <w:rsid w:val="00B068B0"/>
    <w:rsid w:val="00BB0188"/>
    <w:rsid w:val="00BF7C3A"/>
    <w:rsid w:val="00C1073F"/>
    <w:rsid w:val="00C35855"/>
    <w:rsid w:val="00C467E6"/>
    <w:rsid w:val="00C64A69"/>
    <w:rsid w:val="00C96A9E"/>
    <w:rsid w:val="00CC517C"/>
    <w:rsid w:val="00CC64DB"/>
    <w:rsid w:val="00CD3AE4"/>
    <w:rsid w:val="00D14A54"/>
    <w:rsid w:val="00D51324"/>
    <w:rsid w:val="00D53666"/>
    <w:rsid w:val="00D71B35"/>
    <w:rsid w:val="00D921EB"/>
    <w:rsid w:val="00DC1943"/>
    <w:rsid w:val="00E0051E"/>
    <w:rsid w:val="00E2489C"/>
    <w:rsid w:val="00E62477"/>
    <w:rsid w:val="00E77255"/>
    <w:rsid w:val="00EA2B14"/>
    <w:rsid w:val="00EB4B9D"/>
    <w:rsid w:val="00EC070E"/>
    <w:rsid w:val="00ED34EA"/>
    <w:rsid w:val="00EF0774"/>
    <w:rsid w:val="00F165AE"/>
    <w:rsid w:val="00F31636"/>
    <w:rsid w:val="00F34781"/>
    <w:rsid w:val="00F3723D"/>
    <w:rsid w:val="00F533F8"/>
    <w:rsid w:val="00F5655B"/>
    <w:rsid w:val="00F62F9A"/>
    <w:rsid w:val="00FC1C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80"/>
  </w:style>
  <w:style w:type="paragraph" w:styleId="Heading1">
    <w:name w:val="heading 1"/>
    <w:basedOn w:val="Normal"/>
    <w:next w:val="Normal"/>
    <w:link w:val="Heading1Char"/>
    <w:uiPriority w:val="9"/>
    <w:qFormat/>
    <w:rsid w:val="006C0B8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Chapter Heading (Short)"/>
    <w:basedOn w:val="Normal"/>
    <w:next w:val="Normal"/>
    <w:link w:val="Heading2Char"/>
    <w:uiPriority w:val="9"/>
    <w:unhideWhenUsed/>
    <w:qFormat/>
    <w:rsid w:val="006C0B8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0B80"/>
    <w:pPr>
      <w:spacing w:before="200" w:after="0" w:line="271" w:lineRule="auto"/>
      <w:outlineLvl w:val="2"/>
    </w:pPr>
    <w:rPr>
      <w:rFonts w:asciiTheme="majorHAnsi" w:eastAsiaTheme="majorEastAsia" w:hAnsiTheme="majorHAnsi" w:cstheme="majorBidi"/>
      <w:b/>
      <w:bCs/>
    </w:rPr>
  </w:style>
  <w:style w:type="paragraph" w:styleId="Heading4">
    <w:name w:val="heading 4"/>
    <w:aliases w:val="Appendix Heading (Short)"/>
    <w:basedOn w:val="Normal"/>
    <w:next w:val="Normal"/>
    <w:link w:val="Heading4Char"/>
    <w:uiPriority w:val="9"/>
    <w:unhideWhenUsed/>
    <w:qFormat/>
    <w:rsid w:val="006C0B8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C0B8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0B8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0B8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0B8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C0B8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B80"/>
    <w:rPr>
      <w:rFonts w:asciiTheme="majorHAnsi" w:eastAsiaTheme="majorEastAsia" w:hAnsiTheme="majorHAnsi" w:cstheme="majorBidi"/>
      <w:b/>
      <w:bCs/>
      <w:sz w:val="28"/>
      <w:szCs w:val="28"/>
    </w:rPr>
  </w:style>
  <w:style w:type="character" w:customStyle="1" w:styleId="Heading2Char">
    <w:name w:val="Heading 2 Char"/>
    <w:aliases w:val="Chapter Heading (Short) Char"/>
    <w:basedOn w:val="DefaultParagraphFont"/>
    <w:link w:val="Heading2"/>
    <w:uiPriority w:val="9"/>
    <w:rsid w:val="006C0B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0B80"/>
    <w:rPr>
      <w:rFonts w:asciiTheme="majorHAnsi" w:eastAsiaTheme="majorEastAsia" w:hAnsiTheme="majorHAnsi" w:cstheme="majorBidi"/>
      <w:b/>
      <w:bCs/>
    </w:rPr>
  </w:style>
  <w:style w:type="character" w:customStyle="1" w:styleId="Heading4Char">
    <w:name w:val="Heading 4 Char"/>
    <w:aliases w:val="Appendix Heading (Short) Char"/>
    <w:basedOn w:val="DefaultParagraphFont"/>
    <w:link w:val="Heading4"/>
    <w:uiPriority w:val="9"/>
    <w:rsid w:val="006C0B80"/>
    <w:rPr>
      <w:rFonts w:asciiTheme="majorHAnsi" w:eastAsiaTheme="majorEastAsia" w:hAnsiTheme="majorHAnsi" w:cstheme="majorBidi"/>
      <w:b/>
      <w:bCs/>
      <w:i/>
      <w:iCs/>
    </w:rPr>
  </w:style>
  <w:style w:type="paragraph" w:styleId="BodyText">
    <w:name w:val="Body Text"/>
    <w:basedOn w:val="Normal"/>
    <w:link w:val="BodyTextChar"/>
    <w:rsid w:val="00F62F9A"/>
    <w:pPr>
      <w:spacing w:before="130" w:after="130"/>
      <w:jc w:val="both"/>
    </w:pPr>
    <w:rPr>
      <w:rFonts w:ascii="Univers 45 Light" w:hAnsi="Univers 45 Light"/>
    </w:rPr>
  </w:style>
  <w:style w:type="character" w:customStyle="1" w:styleId="BodyTextChar">
    <w:name w:val="Body Text Char"/>
    <w:basedOn w:val="DefaultParagraphFont"/>
    <w:link w:val="BodyText"/>
    <w:rsid w:val="00F62F9A"/>
    <w:rPr>
      <w:rFonts w:ascii="Univers 45 Light" w:eastAsia="Times New Roman" w:hAnsi="Univers 45 Light" w:cs="Times New Roman"/>
      <w:szCs w:val="20"/>
    </w:rPr>
  </w:style>
  <w:style w:type="paragraph" w:styleId="FootnoteText">
    <w:name w:val="footnote text"/>
    <w:basedOn w:val="Normal"/>
    <w:link w:val="FootnoteTextChar"/>
    <w:uiPriority w:val="99"/>
    <w:rsid w:val="00F62F9A"/>
    <w:rPr>
      <w:sz w:val="18"/>
    </w:rPr>
  </w:style>
  <w:style w:type="character" w:customStyle="1" w:styleId="FootnoteTextChar">
    <w:name w:val="Footnote Text Char"/>
    <w:basedOn w:val="DefaultParagraphFont"/>
    <w:link w:val="FootnoteText"/>
    <w:uiPriority w:val="99"/>
    <w:rsid w:val="00F62F9A"/>
    <w:rPr>
      <w:rFonts w:ascii="Times New Roman" w:eastAsia="Times New Roman" w:hAnsi="Times New Roman" w:cs="Times New Roman"/>
      <w:sz w:val="18"/>
      <w:szCs w:val="20"/>
    </w:rPr>
  </w:style>
  <w:style w:type="paragraph" w:styleId="Caption">
    <w:name w:val="caption"/>
    <w:aliases w:val="Text Caption"/>
    <w:basedOn w:val="Normal"/>
    <w:next w:val="BodyText"/>
    <w:uiPriority w:val="35"/>
    <w:rsid w:val="00F62F9A"/>
    <w:pPr>
      <w:keepNext/>
      <w:spacing w:before="120" w:after="120"/>
    </w:pPr>
    <w:rPr>
      <w:rFonts w:ascii="Univers 45 Light" w:hAnsi="Univers 45 Light"/>
      <w:bCs/>
      <w:i/>
    </w:rPr>
  </w:style>
  <w:style w:type="character" w:styleId="FootnoteReference">
    <w:name w:val="footnote reference"/>
    <w:uiPriority w:val="99"/>
    <w:rsid w:val="00F62F9A"/>
    <w:rPr>
      <w:rFonts w:cs="Times New Roman"/>
      <w:vertAlign w:val="superscript"/>
    </w:rPr>
  </w:style>
  <w:style w:type="paragraph" w:customStyle="1" w:styleId="HeadingLevel1NoNumber">
    <w:name w:val="HeadingLevel1NoNumber"/>
    <w:basedOn w:val="Heading1"/>
    <w:rsid w:val="00F62F9A"/>
  </w:style>
  <w:style w:type="paragraph" w:customStyle="1" w:styleId="Indent1">
    <w:name w:val="Indent 1"/>
    <w:basedOn w:val="Normal"/>
    <w:rsid w:val="00F62F9A"/>
    <w:pPr>
      <w:numPr>
        <w:ilvl w:val="1"/>
        <w:numId w:val="2"/>
      </w:numPr>
      <w:kinsoku w:val="0"/>
      <w:overflowPunct w:val="0"/>
      <w:autoSpaceDE w:val="0"/>
      <w:autoSpaceDN w:val="0"/>
      <w:adjustRightInd w:val="0"/>
      <w:snapToGrid w:val="0"/>
      <w:spacing w:before="100" w:after="100"/>
    </w:pPr>
    <w:rPr>
      <w:rFonts w:ascii="Georgia" w:hAnsi="Georgia"/>
      <w:snapToGrid w:val="0"/>
      <w:sz w:val="20"/>
    </w:rPr>
  </w:style>
  <w:style w:type="paragraph" w:customStyle="1" w:styleId="Indent2">
    <w:name w:val="Indent 2"/>
    <w:basedOn w:val="Indent1"/>
    <w:rsid w:val="00F62F9A"/>
    <w:pPr>
      <w:numPr>
        <w:ilvl w:val="2"/>
      </w:numPr>
    </w:pPr>
  </w:style>
  <w:style w:type="paragraph" w:customStyle="1" w:styleId="Indent3">
    <w:name w:val="Indent 3"/>
    <w:basedOn w:val="Indent2"/>
    <w:rsid w:val="00F62F9A"/>
    <w:pPr>
      <w:numPr>
        <w:ilvl w:val="3"/>
      </w:numPr>
    </w:pPr>
  </w:style>
  <w:style w:type="paragraph" w:customStyle="1" w:styleId="Indent5">
    <w:name w:val="Indent 5"/>
    <w:basedOn w:val="Indent4"/>
    <w:rsid w:val="00F62F9A"/>
    <w:pPr>
      <w:numPr>
        <w:ilvl w:val="5"/>
      </w:numPr>
    </w:pPr>
  </w:style>
  <w:style w:type="paragraph" w:customStyle="1" w:styleId="Indent6">
    <w:name w:val="Indent 6"/>
    <w:basedOn w:val="Indent5"/>
    <w:rsid w:val="00F62F9A"/>
    <w:pPr>
      <w:numPr>
        <w:ilvl w:val="6"/>
      </w:numPr>
    </w:pPr>
  </w:style>
  <w:style w:type="paragraph" w:customStyle="1" w:styleId="Indent7">
    <w:name w:val="Indent 7"/>
    <w:basedOn w:val="Indent6"/>
    <w:rsid w:val="00F62F9A"/>
    <w:pPr>
      <w:numPr>
        <w:ilvl w:val="7"/>
      </w:numPr>
    </w:pPr>
  </w:style>
  <w:style w:type="paragraph" w:customStyle="1" w:styleId="Indent4">
    <w:name w:val="Indent 4"/>
    <w:basedOn w:val="Indent3"/>
    <w:rsid w:val="00F62F9A"/>
    <w:pPr>
      <w:numPr>
        <w:ilvl w:val="4"/>
      </w:numPr>
    </w:pPr>
  </w:style>
  <w:style w:type="paragraph" w:customStyle="1" w:styleId="PwCNormal">
    <w:name w:val="PwC Normal"/>
    <w:aliases w:val="n"/>
    <w:basedOn w:val="Normal"/>
    <w:link w:val="PwCNormalChar"/>
    <w:rsid w:val="00F62F9A"/>
    <w:pPr>
      <w:numPr>
        <w:numId w:val="2"/>
      </w:numPr>
      <w:kinsoku w:val="0"/>
      <w:overflowPunct w:val="0"/>
      <w:autoSpaceDE w:val="0"/>
      <w:autoSpaceDN w:val="0"/>
      <w:adjustRightInd w:val="0"/>
      <w:snapToGrid w:val="0"/>
      <w:spacing w:after="240"/>
    </w:pPr>
    <w:rPr>
      <w:rFonts w:ascii="Georgia" w:hAnsi="Georgia" w:cs="Arial"/>
      <w:snapToGrid w:val="0"/>
      <w:sz w:val="20"/>
    </w:rPr>
  </w:style>
  <w:style w:type="paragraph" w:customStyle="1" w:styleId="Indent8">
    <w:name w:val="Indent 8"/>
    <w:basedOn w:val="Indent7"/>
    <w:rsid w:val="00F62F9A"/>
    <w:pPr>
      <w:numPr>
        <w:ilvl w:val="8"/>
      </w:numPr>
    </w:pPr>
  </w:style>
  <w:style w:type="numbering" w:customStyle="1" w:styleId="IndentList">
    <w:name w:val="IndentList"/>
    <w:rsid w:val="00F62F9A"/>
    <w:pPr>
      <w:numPr>
        <w:numId w:val="4"/>
      </w:numPr>
    </w:pPr>
  </w:style>
  <w:style w:type="character" w:customStyle="1" w:styleId="Heading5Char">
    <w:name w:val="Heading 5 Char"/>
    <w:basedOn w:val="DefaultParagraphFont"/>
    <w:link w:val="Heading5"/>
    <w:uiPriority w:val="9"/>
    <w:semiHidden/>
    <w:rsid w:val="006C0B80"/>
    <w:rPr>
      <w:rFonts w:asciiTheme="majorHAnsi" w:eastAsiaTheme="majorEastAsia" w:hAnsiTheme="majorHAnsi" w:cstheme="majorBidi"/>
      <w:b/>
      <w:bCs/>
      <w:color w:val="7F7F7F" w:themeColor="text1" w:themeTint="80"/>
    </w:rPr>
  </w:style>
  <w:style w:type="character" w:styleId="CommentReference">
    <w:name w:val="annotation reference"/>
    <w:basedOn w:val="DefaultParagraphFont"/>
    <w:uiPriority w:val="99"/>
    <w:semiHidden/>
    <w:unhideWhenUsed/>
    <w:rsid w:val="002D23F5"/>
    <w:rPr>
      <w:sz w:val="16"/>
      <w:szCs w:val="16"/>
    </w:rPr>
  </w:style>
  <w:style w:type="paragraph" w:styleId="CommentText">
    <w:name w:val="annotation text"/>
    <w:basedOn w:val="Normal"/>
    <w:link w:val="CommentTextChar"/>
    <w:uiPriority w:val="99"/>
    <w:semiHidden/>
    <w:unhideWhenUsed/>
    <w:rsid w:val="002D23F5"/>
    <w:rPr>
      <w:sz w:val="20"/>
    </w:rPr>
  </w:style>
  <w:style w:type="character" w:customStyle="1" w:styleId="CommentTextChar">
    <w:name w:val="Comment Text Char"/>
    <w:basedOn w:val="DefaultParagraphFont"/>
    <w:link w:val="CommentText"/>
    <w:uiPriority w:val="99"/>
    <w:semiHidden/>
    <w:rsid w:val="002D23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23F5"/>
    <w:rPr>
      <w:b/>
      <w:bCs/>
    </w:rPr>
  </w:style>
  <w:style w:type="character" w:customStyle="1" w:styleId="CommentSubjectChar">
    <w:name w:val="Comment Subject Char"/>
    <w:basedOn w:val="CommentTextChar"/>
    <w:link w:val="CommentSubject"/>
    <w:uiPriority w:val="99"/>
    <w:semiHidden/>
    <w:rsid w:val="002D23F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23F5"/>
    <w:rPr>
      <w:rFonts w:ascii="Tahoma" w:hAnsi="Tahoma" w:cs="Tahoma"/>
      <w:sz w:val="16"/>
      <w:szCs w:val="16"/>
    </w:rPr>
  </w:style>
  <w:style w:type="character" w:customStyle="1" w:styleId="BalloonTextChar">
    <w:name w:val="Balloon Text Char"/>
    <w:basedOn w:val="DefaultParagraphFont"/>
    <w:link w:val="BalloonText"/>
    <w:uiPriority w:val="99"/>
    <w:semiHidden/>
    <w:rsid w:val="002D23F5"/>
    <w:rPr>
      <w:rFonts w:ascii="Tahoma" w:eastAsia="Times New Roman" w:hAnsi="Tahoma" w:cs="Tahoma"/>
      <w:sz w:val="16"/>
      <w:szCs w:val="16"/>
    </w:rPr>
  </w:style>
  <w:style w:type="character" w:customStyle="1" w:styleId="PwCNormalChar">
    <w:name w:val="PwC Normal Char"/>
    <w:aliases w:val="n Char Char"/>
    <w:link w:val="PwCNormal"/>
    <w:locked/>
    <w:rsid w:val="00316A48"/>
    <w:rPr>
      <w:rFonts w:ascii="Georgia" w:eastAsia="Times New Roman" w:hAnsi="Georgia" w:cs="Arial"/>
      <w:snapToGrid w:val="0"/>
      <w:sz w:val="20"/>
      <w:szCs w:val="20"/>
    </w:rPr>
  </w:style>
  <w:style w:type="paragraph" w:styleId="Revision">
    <w:name w:val="Revision"/>
    <w:hidden/>
    <w:uiPriority w:val="99"/>
    <w:semiHidden/>
    <w:rsid w:val="00E2489C"/>
    <w:pPr>
      <w:spacing w:after="0" w:line="240" w:lineRule="auto"/>
    </w:pPr>
    <w:rPr>
      <w:rFonts w:ascii="Times New Roman" w:eastAsia="Times New Roman" w:hAnsi="Times New Roman" w:cs="Times New Roman"/>
      <w:szCs w:val="20"/>
    </w:rPr>
  </w:style>
  <w:style w:type="paragraph" w:styleId="Header">
    <w:name w:val="header"/>
    <w:basedOn w:val="Normal"/>
    <w:link w:val="HeaderChar"/>
    <w:uiPriority w:val="99"/>
    <w:unhideWhenUsed/>
    <w:rsid w:val="009E5D27"/>
    <w:pPr>
      <w:tabs>
        <w:tab w:val="center" w:pos="4513"/>
        <w:tab w:val="right" w:pos="9026"/>
      </w:tabs>
    </w:pPr>
  </w:style>
  <w:style w:type="character" w:customStyle="1" w:styleId="HeaderChar">
    <w:name w:val="Header Char"/>
    <w:basedOn w:val="DefaultParagraphFont"/>
    <w:link w:val="Header"/>
    <w:uiPriority w:val="99"/>
    <w:rsid w:val="009E5D27"/>
    <w:rPr>
      <w:rFonts w:ascii="Times New Roman" w:eastAsia="Times New Roman" w:hAnsi="Times New Roman" w:cs="Times New Roman"/>
      <w:szCs w:val="20"/>
    </w:rPr>
  </w:style>
  <w:style w:type="paragraph" w:styleId="Footer">
    <w:name w:val="footer"/>
    <w:basedOn w:val="Normal"/>
    <w:link w:val="FooterChar"/>
    <w:uiPriority w:val="99"/>
    <w:unhideWhenUsed/>
    <w:rsid w:val="009E5D27"/>
    <w:pPr>
      <w:tabs>
        <w:tab w:val="center" w:pos="4513"/>
        <w:tab w:val="right" w:pos="9026"/>
      </w:tabs>
    </w:pPr>
  </w:style>
  <w:style w:type="character" w:customStyle="1" w:styleId="FooterChar">
    <w:name w:val="Footer Char"/>
    <w:basedOn w:val="DefaultParagraphFont"/>
    <w:link w:val="Footer"/>
    <w:uiPriority w:val="99"/>
    <w:rsid w:val="009E5D27"/>
    <w:rPr>
      <w:rFonts w:ascii="Times New Roman" w:eastAsia="Times New Roman" w:hAnsi="Times New Roman" w:cs="Times New Roman"/>
      <w:szCs w:val="20"/>
    </w:rPr>
  </w:style>
  <w:style w:type="paragraph" w:styleId="ListBullet">
    <w:name w:val="List Bullet"/>
    <w:basedOn w:val="BodyText"/>
    <w:rsid w:val="007021C1"/>
    <w:pPr>
      <w:numPr>
        <w:numId w:val="15"/>
      </w:numPr>
    </w:pPr>
  </w:style>
  <w:style w:type="paragraph" w:styleId="ListBullet3">
    <w:name w:val="List Bullet 3"/>
    <w:basedOn w:val="ListBullet"/>
    <w:rsid w:val="007021C1"/>
    <w:pPr>
      <w:numPr>
        <w:numId w:val="14"/>
      </w:numPr>
      <w:tabs>
        <w:tab w:val="num" w:pos="340"/>
      </w:tabs>
      <w:ind w:left="340"/>
      <w:jc w:val="left"/>
    </w:pPr>
    <w:rPr>
      <w:sz w:val="18"/>
    </w:rPr>
  </w:style>
  <w:style w:type="paragraph" w:customStyle="1" w:styleId="Frontpagesubhead">
    <w:name w:val="Front page subhead"/>
    <w:basedOn w:val="BodyText"/>
    <w:rsid w:val="006C0B80"/>
    <w:pPr>
      <w:spacing w:before="120" w:after="0" w:line="280" w:lineRule="atLeast"/>
    </w:pPr>
    <w:rPr>
      <w:rFonts w:ascii="Univers 55" w:hAnsi="Univers 55"/>
      <w:color w:val="0C2D83"/>
      <w:sz w:val="24"/>
    </w:rPr>
  </w:style>
  <w:style w:type="paragraph" w:styleId="TOCHeading">
    <w:name w:val="TOC Heading"/>
    <w:basedOn w:val="Heading1"/>
    <w:next w:val="Normal"/>
    <w:uiPriority w:val="39"/>
    <w:unhideWhenUsed/>
    <w:qFormat/>
    <w:rsid w:val="006C0B80"/>
    <w:pPr>
      <w:outlineLvl w:val="9"/>
    </w:pPr>
    <w:rPr>
      <w:lang w:bidi="en-US"/>
    </w:rPr>
  </w:style>
  <w:style w:type="paragraph" w:styleId="TOC2">
    <w:name w:val="toc 2"/>
    <w:basedOn w:val="Normal"/>
    <w:next w:val="Normal"/>
    <w:autoRedefine/>
    <w:uiPriority w:val="39"/>
    <w:unhideWhenUsed/>
    <w:rsid w:val="006C0B80"/>
    <w:pPr>
      <w:spacing w:after="100"/>
      <w:ind w:left="220"/>
    </w:pPr>
  </w:style>
  <w:style w:type="character" w:styleId="Hyperlink">
    <w:name w:val="Hyperlink"/>
    <w:basedOn w:val="DefaultParagraphFont"/>
    <w:uiPriority w:val="99"/>
    <w:unhideWhenUsed/>
    <w:rsid w:val="006C0B80"/>
    <w:rPr>
      <w:color w:val="0000FF" w:themeColor="hyperlink"/>
      <w:u w:val="single"/>
    </w:rPr>
  </w:style>
  <w:style w:type="character" w:customStyle="1" w:styleId="Heading6Char">
    <w:name w:val="Heading 6 Char"/>
    <w:basedOn w:val="DefaultParagraphFont"/>
    <w:link w:val="Heading6"/>
    <w:uiPriority w:val="9"/>
    <w:semiHidden/>
    <w:rsid w:val="006C0B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0B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0B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0B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C0B8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C0B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C0B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C0B80"/>
    <w:rPr>
      <w:rFonts w:asciiTheme="majorHAnsi" w:eastAsiaTheme="majorEastAsia" w:hAnsiTheme="majorHAnsi" w:cstheme="majorBidi"/>
      <w:i/>
      <w:iCs/>
      <w:spacing w:val="13"/>
      <w:sz w:val="24"/>
      <w:szCs w:val="24"/>
    </w:rPr>
  </w:style>
  <w:style w:type="character" w:styleId="Strong">
    <w:name w:val="Strong"/>
    <w:uiPriority w:val="22"/>
    <w:qFormat/>
    <w:rsid w:val="006C0B80"/>
    <w:rPr>
      <w:b/>
      <w:bCs/>
    </w:rPr>
  </w:style>
  <w:style w:type="character" w:styleId="Emphasis">
    <w:name w:val="Emphasis"/>
    <w:uiPriority w:val="20"/>
    <w:qFormat/>
    <w:rsid w:val="006C0B80"/>
    <w:rPr>
      <w:b/>
      <w:bCs/>
      <w:i/>
      <w:iCs/>
      <w:spacing w:val="10"/>
      <w:bdr w:val="none" w:sz="0" w:space="0" w:color="auto"/>
      <w:shd w:val="clear" w:color="auto" w:fill="auto"/>
    </w:rPr>
  </w:style>
  <w:style w:type="paragraph" w:styleId="NoSpacing">
    <w:name w:val="No Spacing"/>
    <w:basedOn w:val="Normal"/>
    <w:uiPriority w:val="1"/>
    <w:qFormat/>
    <w:rsid w:val="006C0B80"/>
    <w:pPr>
      <w:spacing w:after="0" w:line="240" w:lineRule="auto"/>
    </w:pPr>
  </w:style>
  <w:style w:type="paragraph" w:styleId="ListParagraph">
    <w:name w:val="List Paragraph"/>
    <w:basedOn w:val="Normal"/>
    <w:uiPriority w:val="34"/>
    <w:qFormat/>
    <w:rsid w:val="006C0B80"/>
    <w:pPr>
      <w:ind w:left="720"/>
      <w:contextualSpacing/>
    </w:pPr>
  </w:style>
  <w:style w:type="paragraph" w:styleId="Quote">
    <w:name w:val="Quote"/>
    <w:basedOn w:val="Normal"/>
    <w:next w:val="Normal"/>
    <w:link w:val="QuoteChar"/>
    <w:uiPriority w:val="29"/>
    <w:qFormat/>
    <w:rsid w:val="006C0B80"/>
    <w:pPr>
      <w:spacing w:before="200" w:after="0"/>
      <w:ind w:left="360" w:right="360"/>
    </w:pPr>
    <w:rPr>
      <w:i/>
      <w:iCs/>
    </w:rPr>
  </w:style>
  <w:style w:type="character" w:customStyle="1" w:styleId="QuoteChar">
    <w:name w:val="Quote Char"/>
    <w:basedOn w:val="DefaultParagraphFont"/>
    <w:link w:val="Quote"/>
    <w:uiPriority w:val="29"/>
    <w:rsid w:val="006C0B80"/>
    <w:rPr>
      <w:i/>
      <w:iCs/>
    </w:rPr>
  </w:style>
  <w:style w:type="paragraph" w:styleId="IntenseQuote">
    <w:name w:val="Intense Quote"/>
    <w:basedOn w:val="Normal"/>
    <w:next w:val="Normal"/>
    <w:link w:val="IntenseQuoteChar"/>
    <w:uiPriority w:val="30"/>
    <w:qFormat/>
    <w:rsid w:val="006C0B8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C0B80"/>
    <w:rPr>
      <w:b/>
      <w:bCs/>
      <w:i/>
      <w:iCs/>
    </w:rPr>
  </w:style>
  <w:style w:type="character" w:styleId="SubtleEmphasis">
    <w:name w:val="Subtle Emphasis"/>
    <w:uiPriority w:val="19"/>
    <w:qFormat/>
    <w:rsid w:val="006C0B80"/>
    <w:rPr>
      <w:i/>
      <w:iCs/>
    </w:rPr>
  </w:style>
  <w:style w:type="character" w:styleId="IntenseEmphasis">
    <w:name w:val="Intense Emphasis"/>
    <w:uiPriority w:val="21"/>
    <w:qFormat/>
    <w:rsid w:val="006C0B80"/>
    <w:rPr>
      <w:b/>
      <w:bCs/>
    </w:rPr>
  </w:style>
  <w:style w:type="character" w:styleId="SubtleReference">
    <w:name w:val="Subtle Reference"/>
    <w:uiPriority w:val="31"/>
    <w:qFormat/>
    <w:rsid w:val="006C0B80"/>
    <w:rPr>
      <w:smallCaps/>
    </w:rPr>
  </w:style>
  <w:style w:type="character" w:styleId="IntenseReference">
    <w:name w:val="Intense Reference"/>
    <w:uiPriority w:val="32"/>
    <w:qFormat/>
    <w:rsid w:val="006C0B80"/>
    <w:rPr>
      <w:smallCaps/>
      <w:spacing w:val="5"/>
      <w:u w:val="single"/>
    </w:rPr>
  </w:style>
  <w:style w:type="character" w:styleId="BookTitle">
    <w:name w:val="Book Title"/>
    <w:uiPriority w:val="33"/>
    <w:qFormat/>
    <w:rsid w:val="006C0B80"/>
    <w:rPr>
      <w:i/>
      <w:iCs/>
      <w:smallCaps/>
      <w:spacing w:val="5"/>
    </w:rPr>
  </w:style>
  <w:style w:type="paragraph" w:styleId="TOC1">
    <w:name w:val="toc 1"/>
    <w:basedOn w:val="Normal"/>
    <w:next w:val="Normal"/>
    <w:autoRedefine/>
    <w:uiPriority w:val="39"/>
    <w:unhideWhenUsed/>
    <w:rsid w:val="00D14A54"/>
    <w:pPr>
      <w:spacing w:after="100"/>
    </w:pPr>
  </w:style>
  <w:style w:type="paragraph" w:styleId="TOC3">
    <w:name w:val="toc 3"/>
    <w:basedOn w:val="Normal"/>
    <w:next w:val="Normal"/>
    <w:autoRedefine/>
    <w:uiPriority w:val="39"/>
    <w:unhideWhenUsed/>
    <w:rsid w:val="00CC64DB"/>
    <w:pPr>
      <w:tabs>
        <w:tab w:val="left" w:pos="993"/>
        <w:tab w:val="right" w:pos="8495"/>
      </w:tabs>
      <w:spacing w:before="60" w:after="60" w:line="240" w:lineRule="auto"/>
      <w:ind w:left="992" w:hanging="4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80"/>
  </w:style>
  <w:style w:type="paragraph" w:styleId="Heading1">
    <w:name w:val="heading 1"/>
    <w:basedOn w:val="Normal"/>
    <w:next w:val="Normal"/>
    <w:link w:val="Heading1Char"/>
    <w:uiPriority w:val="9"/>
    <w:qFormat/>
    <w:rsid w:val="006C0B8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Chapter Heading (Short)"/>
    <w:basedOn w:val="Normal"/>
    <w:next w:val="Normal"/>
    <w:link w:val="Heading2Char"/>
    <w:uiPriority w:val="9"/>
    <w:unhideWhenUsed/>
    <w:qFormat/>
    <w:rsid w:val="006C0B8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0B80"/>
    <w:pPr>
      <w:spacing w:before="200" w:after="0" w:line="271" w:lineRule="auto"/>
      <w:outlineLvl w:val="2"/>
    </w:pPr>
    <w:rPr>
      <w:rFonts w:asciiTheme="majorHAnsi" w:eastAsiaTheme="majorEastAsia" w:hAnsiTheme="majorHAnsi" w:cstheme="majorBidi"/>
      <w:b/>
      <w:bCs/>
    </w:rPr>
  </w:style>
  <w:style w:type="paragraph" w:styleId="Heading4">
    <w:name w:val="heading 4"/>
    <w:aliases w:val="Appendix Heading (Short)"/>
    <w:basedOn w:val="Normal"/>
    <w:next w:val="Normal"/>
    <w:link w:val="Heading4Char"/>
    <w:uiPriority w:val="9"/>
    <w:unhideWhenUsed/>
    <w:qFormat/>
    <w:rsid w:val="006C0B8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C0B8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0B8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0B8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0B8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C0B8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B80"/>
    <w:rPr>
      <w:rFonts w:asciiTheme="majorHAnsi" w:eastAsiaTheme="majorEastAsia" w:hAnsiTheme="majorHAnsi" w:cstheme="majorBidi"/>
      <w:b/>
      <w:bCs/>
      <w:sz w:val="28"/>
      <w:szCs w:val="28"/>
    </w:rPr>
  </w:style>
  <w:style w:type="character" w:customStyle="1" w:styleId="Heading2Char">
    <w:name w:val="Heading 2 Char"/>
    <w:aliases w:val="Chapter Heading (Short) Char"/>
    <w:basedOn w:val="DefaultParagraphFont"/>
    <w:link w:val="Heading2"/>
    <w:uiPriority w:val="9"/>
    <w:rsid w:val="006C0B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0B80"/>
    <w:rPr>
      <w:rFonts w:asciiTheme="majorHAnsi" w:eastAsiaTheme="majorEastAsia" w:hAnsiTheme="majorHAnsi" w:cstheme="majorBidi"/>
      <w:b/>
      <w:bCs/>
    </w:rPr>
  </w:style>
  <w:style w:type="character" w:customStyle="1" w:styleId="Heading4Char">
    <w:name w:val="Heading 4 Char"/>
    <w:aliases w:val="Appendix Heading (Short) Char"/>
    <w:basedOn w:val="DefaultParagraphFont"/>
    <w:link w:val="Heading4"/>
    <w:uiPriority w:val="9"/>
    <w:rsid w:val="006C0B80"/>
    <w:rPr>
      <w:rFonts w:asciiTheme="majorHAnsi" w:eastAsiaTheme="majorEastAsia" w:hAnsiTheme="majorHAnsi" w:cstheme="majorBidi"/>
      <w:b/>
      <w:bCs/>
      <w:i/>
      <w:iCs/>
    </w:rPr>
  </w:style>
  <w:style w:type="paragraph" w:styleId="BodyText">
    <w:name w:val="Body Text"/>
    <w:basedOn w:val="Normal"/>
    <w:link w:val="BodyTextChar"/>
    <w:rsid w:val="00F62F9A"/>
    <w:pPr>
      <w:spacing w:before="130" w:after="130"/>
      <w:jc w:val="both"/>
    </w:pPr>
    <w:rPr>
      <w:rFonts w:ascii="Univers 45 Light" w:hAnsi="Univers 45 Light"/>
    </w:rPr>
  </w:style>
  <w:style w:type="character" w:customStyle="1" w:styleId="BodyTextChar">
    <w:name w:val="Body Text Char"/>
    <w:basedOn w:val="DefaultParagraphFont"/>
    <w:link w:val="BodyText"/>
    <w:rsid w:val="00F62F9A"/>
    <w:rPr>
      <w:rFonts w:ascii="Univers 45 Light" w:eastAsia="Times New Roman" w:hAnsi="Univers 45 Light" w:cs="Times New Roman"/>
      <w:szCs w:val="20"/>
    </w:rPr>
  </w:style>
  <w:style w:type="paragraph" w:styleId="FootnoteText">
    <w:name w:val="footnote text"/>
    <w:basedOn w:val="Normal"/>
    <w:link w:val="FootnoteTextChar"/>
    <w:uiPriority w:val="99"/>
    <w:rsid w:val="00F62F9A"/>
    <w:rPr>
      <w:sz w:val="18"/>
    </w:rPr>
  </w:style>
  <w:style w:type="character" w:customStyle="1" w:styleId="FootnoteTextChar">
    <w:name w:val="Footnote Text Char"/>
    <w:basedOn w:val="DefaultParagraphFont"/>
    <w:link w:val="FootnoteText"/>
    <w:uiPriority w:val="99"/>
    <w:rsid w:val="00F62F9A"/>
    <w:rPr>
      <w:rFonts w:ascii="Times New Roman" w:eastAsia="Times New Roman" w:hAnsi="Times New Roman" w:cs="Times New Roman"/>
      <w:sz w:val="18"/>
      <w:szCs w:val="20"/>
    </w:rPr>
  </w:style>
  <w:style w:type="paragraph" w:styleId="Caption">
    <w:name w:val="caption"/>
    <w:aliases w:val="Text Caption"/>
    <w:basedOn w:val="Normal"/>
    <w:next w:val="BodyText"/>
    <w:uiPriority w:val="35"/>
    <w:rsid w:val="00F62F9A"/>
    <w:pPr>
      <w:keepNext/>
      <w:spacing w:before="120" w:after="120"/>
    </w:pPr>
    <w:rPr>
      <w:rFonts w:ascii="Univers 45 Light" w:hAnsi="Univers 45 Light"/>
      <w:bCs/>
      <w:i/>
    </w:rPr>
  </w:style>
  <w:style w:type="character" w:styleId="FootnoteReference">
    <w:name w:val="footnote reference"/>
    <w:uiPriority w:val="99"/>
    <w:rsid w:val="00F62F9A"/>
    <w:rPr>
      <w:rFonts w:cs="Times New Roman"/>
      <w:vertAlign w:val="superscript"/>
    </w:rPr>
  </w:style>
  <w:style w:type="paragraph" w:customStyle="1" w:styleId="HeadingLevel1NoNumber">
    <w:name w:val="HeadingLevel1NoNumber"/>
    <w:basedOn w:val="Heading1"/>
    <w:rsid w:val="00F62F9A"/>
  </w:style>
  <w:style w:type="paragraph" w:customStyle="1" w:styleId="Indent1">
    <w:name w:val="Indent 1"/>
    <w:basedOn w:val="Normal"/>
    <w:rsid w:val="00F62F9A"/>
    <w:pPr>
      <w:numPr>
        <w:ilvl w:val="1"/>
        <w:numId w:val="2"/>
      </w:numPr>
      <w:kinsoku w:val="0"/>
      <w:overflowPunct w:val="0"/>
      <w:autoSpaceDE w:val="0"/>
      <w:autoSpaceDN w:val="0"/>
      <w:adjustRightInd w:val="0"/>
      <w:snapToGrid w:val="0"/>
      <w:spacing w:before="100" w:after="100"/>
    </w:pPr>
    <w:rPr>
      <w:rFonts w:ascii="Georgia" w:hAnsi="Georgia"/>
      <w:snapToGrid w:val="0"/>
      <w:sz w:val="20"/>
    </w:rPr>
  </w:style>
  <w:style w:type="paragraph" w:customStyle="1" w:styleId="Indent2">
    <w:name w:val="Indent 2"/>
    <w:basedOn w:val="Indent1"/>
    <w:rsid w:val="00F62F9A"/>
    <w:pPr>
      <w:numPr>
        <w:ilvl w:val="2"/>
      </w:numPr>
    </w:pPr>
  </w:style>
  <w:style w:type="paragraph" w:customStyle="1" w:styleId="Indent3">
    <w:name w:val="Indent 3"/>
    <w:basedOn w:val="Indent2"/>
    <w:rsid w:val="00F62F9A"/>
    <w:pPr>
      <w:numPr>
        <w:ilvl w:val="3"/>
      </w:numPr>
    </w:pPr>
  </w:style>
  <w:style w:type="paragraph" w:customStyle="1" w:styleId="Indent5">
    <w:name w:val="Indent 5"/>
    <w:basedOn w:val="Indent4"/>
    <w:rsid w:val="00F62F9A"/>
    <w:pPr>
      <w:numPr>
        <w:ilvl w:val="5"/>
      </w:numPr>
    </w:pPr>
  </w:style>
  <w:style w:type="paragraph" w:customStyle="1" w:styleId="Indent6">
    <w:name w:val="Indent 6"/>
    <w:basedOn w:val="Indent5"/>
    <w:rsid w:val="00F62F9A"/>
    <w:pPr>
      <w:numPr>
        <w:ilvl w:val="6"/>
      </w:numPr>
    </w:pPr>
  </w:style>
  <w:style w:type="paragraph" w:customStyle="1" w:styleId="Indent7">
    <w:name w:val="Indent 7"/>
    <w:basedOn w:val="Indent6"/>
    <w:rsid w:val="00F62F9A"/>
    <w:pPr>
      <w:numPr>
        <w:ilvl w:val="7"/>
      </w:numPr>
    </w:pPr>
  </w:style>
  <w:style w:type="paragraph" w:customStyle="1" w:styleId="Indent4">
    <w:name w:val="Indent 4"/>
    <w:basedOn w:val="Indent3"/>
    <w:rsid w:val="00F62F9A"/>
    <w:pPr>
      <w:numPr>
        <w:ilvl w:val="4"/>
      </w:numPr>
    </w:pPr>
  </w:style>
  <w:style w:type="paragraph" w:customStyle="1" w:styleId="PwCNormal">
    <w:name w:val="PwC Normal"/>
    <w:aliases w:val="n"/>
    <w:basedOn w:val="Normal"/>
    <w:link w:val="PwCNormalChar"/>
    <w:rsid w:val="00F62F9A"/>
    <w:pPr>
      <w:numPr>
        <w:numId w:val="2"/>
      </w:numPr>
      <w:kinsoku w:val="0"/>
      <w:overflowPunct w:val="0"/>
      <w:autoSpaceDE w:val="0"/>
      <w:autoSpaceDN w:val="0"/>
      <w:adjustRightInd w:val="0"/>
      <w:snapToGrid w:val="0"/>
      <w:spacing w:after="240"/>
    </w:pPr>
    <w:rPr>
      <w:rFonts w:ascii="Georgia" w:hAnsi="Georgia" w:cs="Arial"/>
      <w:snapToGrid w:val="0"/>
      <w:sz w:val="20"/>
    </w:rPr>
  </w:style>
  <w:style w:type="paragraph" w:customStyle="1" w:styleId="Indent8">
    <w:name w:val="Indent 8"/>
    <w:basedOn w:val="Indent7"/>
    <w:rsid w:val="00F62F9A"/>
    <w:pPr>
      <w:numPr>
        <w:ilvl w:val="8"/>
      </w:numPr>
    </w:pPr>
  </w:style>
  <w:style w:type="numbering" w:customStyle="1" w:styleId="IndentList">
    <w:name w:val="IndentList"/>
    <w:rsid w:val="00F62F9A"/>
    <w:pPr>
      <w:numPr>
        <w:numId w:val="4"/>
      </w:numPr>
    </w:pPr>
  </w:style>
  <w:style w:type="character" w:customStyle="1" w:styleId="Heading5Char">
    <w:name w:val="Heading 5 Char"/>
    <w:basedOn w:val="DefaultParagraphFont"/>
    <w:link w:val="Heading5"/>
    <w:uiPriority w:val="9"/>
    <w:semiHidden/>
    <w:rsid w:val="006C0B80"/>
    <w:rPr>
      <w:rFonts w:asciiTheme="majorHAnsi" w:eastAsiaTheme="majorEastAsia" w:hAnsiTheme="majorHAnsi" w:cstheme="majorBidi"/>
      <w:b/>
      <w:bCs/>
      <w:color w:val="7F7F7F" w:themeColor="text1" w:themeTint="80"/>
    </w:rPr>
  </w:style>
  <w:style w:type="character" w:styleId="CommentReference">
    <w:name w:val="annotation reference"/>
    <w:basedOn w:val="DefaultParagraphFont"/>
    <w:uiPriority w:val="99"/>
    <w:semiHidden/>
    <w:unhideWhenUsed/>
    <w:rsid w:val="002D23F5"/>
    <w:rPr>
      <w:sz w:val="16"/>
      <w:szCs w:val="16"/>
    </w:rPr>
  </w:style>
  <w:style w:type="paragraph" w:styleId="CommentText">
    <w:name w:val="annotation text"/>
    <w:basedOn w:val="Normal"/>
    <w:link w:val="CommentTextChar"/>
    <w:uiPriority w:val="99"/>
    <w:semiHidden/>
    <w:unhideWhenUsed/>
    <w:rsid w:val="002D23F5"/>
    <w:rPr>
      <w:sz w:val="20"/>
    </w:rPr>
  </w:style>
  <w:style w:type="character" w:customStyle="1" w:styleId="CommentTextChar">
    <w:name w:val="Comment Text Char"/>
    <w:basedOn w:val="DefaultParagraphFont"/>
    <w:link w:val="CommentText"/>
    <w:uiPriority w:val="99"/>
    <w:semiHidden/>
    <w:rsid w:val="002D23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23F5"/>
    <w:rPr>
      <w:b/>
      <w:bCs/>
    </w:rPr>
  </w:style>
  <w:style w:type="character" w:customStyle="1" w:styleId="CommentSubjectChar">
    <w:name w:val="Comment Subject Char"/>
    <w:basedOn w:val="CommentTextChar"/>
    <w:link w:val="CommentSubject"/>
    <w:uiPriority w:val="99"/>
    <w:semiHidden/>
    <w:rsid w:val="002D23F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23F5"/>
    <w:rPr>
      <w:rFonts w:ascii="Tahoma" w:hAnsi="Tahoma" w:cs="Tahoma"/>
      <w:sz w:val="16"/>
      <w:szCs w:val="16"/>
    </w:rPr>
  </w:style>
  <w:style w:type="character" w:customStyle="1" w:styleId="BalloonTextChar">
    <w:name w:val="Balloon Text Char"/>
    <w:basedOn w:val="DefaultParagraphFont"/>
    <w:link w:val="BalloonText"/>
    <w:uiPriority w:val="99"/>
    <w:semiHidden/>
    <w:rsid w:val="002D23F5"/>
    <w:rPr>
      <w:rFonts w:ascii="Tahoma" w:eastAsia="Times New Roman" w:hAnsi="Tahoma" w:cs="Tahoma"/>
      <w:sz w:val="16"/>
      <w:szCs w:val="16"/>
    </w:rPr>
  </w:style>
  <w:style w:type="character" w:customStyle="1" w:styleId="PwCNormalChar">
    <w:name w:val="PwC Normal Char"/>
    <w:aliases w:val="n Char Char"/>
    <w:link w:val="PwCNormal"/>
    <w:locked/>
    <w:rsid w:val="00316A48"/>
    <w:rPr>
      <w:rFonts w:ascii="Georgia" w:eastAsia="Times New Roman" w:hAnsi="Georgia" w:cs="Arial"/>
      <w:snapToGrid w:val="0"/>
      <w:sz w:val="20"/>
      <w:szCs w:val="20"/>
    </w:rPr>
  </w:style>
  <w:style w:type="paragraph" w:styleId="Revision">
    <w:name w:val="Revision"/>
    <w:hidden/>
    <w:uiPriority w:val="99"/>
    <w:semiHidden/>
    <w:rsid w:val="00E2489C"/>
    <w:pPr>
      <w:spacing w:after="0" w:line="240" w:lineRule="auto"/>
    </w:pPr>
    <w:rPr>
      <w:rFonts w:ascii="Times New Roman" w:eastAsia="Times New Roman" w:hAnsi="Times New Roman" w:cs="Times New Roman"/>
      <w:szCs w:val="20"/>
    </w:rPr>
  </w:style>
  <w:style w:type="paragraph" w:styleId="Header">
    <w:name w:val="header"/>
    <w:basedOn w:val="Normal"/>
    <w:link w:val="HeaderChar"/>
    <w:uiPriority w:val="99"/>
    <w:unhideWhenUsed/>
    <w:rsid w:val="009E5D27"/>
    <w:pPr>
      <w:tabs>
        <w:tab w:val="center" w:pos="4513"/>
        <w:tab w:val="right" w:pos="9026"/>
      </w:tabs>
    </w:pPr>
  </w:style>
  <w:style w:type="character" w:customStyle="1" w:styleId="HeaderChar">
    <w:name w:val="Header Char"/>
    <w:basedOn w:val="DefaultParagraphFont"/>
    <w:link w:val="Header"/>
    <w:uiPriority w:val="99"/>
    <w:rsid w:val="009E5D27"/>
    <w:rPr>
      <w:rFonts w:ascii="Times New Roman" w:eastAsia="Times New Roman" w:hAnsi="Times New Roman" w:cs="Times New Roman"/>
      <w:szCs w:val="20"/>
    </w:rPr>
  </w:style>
  <w:style w:type="paragraph" w:styleId="Footer">
    <w:name w:val="footer"/>
    <w:basedOn w:val="Normal"/>
    <w:link w:val="FooterChar"/>
    <w:uiPriority w:val="99"/>
    <w:unhideWhenUsed/>
    <w:rsid w:val="009E5D27"/>
    <w:pPr>
      <w:tabs>
        <w:tab w:val="center" w:pos="4513"/>
        <w:tab w:val="right" w:pos="9026"/>
      </w:tabs>
    </w:pPr>
  </w:style>
  <w:style w:type="character" w:customStyle="1" w:styleId="FooterChar">
    <w:name w:val="Footer Char"/>
    <w:basedOn w:val="DefaultParagraphFont"/>
    <w:link w:val="Footer"/>
    <w:uiPriority w:val="99"/>
    <w:rsid w:val="009E5D27"/>
    <w:rPr>
      <w:rFonts w:ascii="Times New Roman" w:eastAsia="Times New Roman" w:hAnsi="Times New Roman" w:cs="Times New Roman"/>
      <w:szCs w:val="20"/>
    </w:rPr>
  </w:style>
  <w:style w:type="paragraph" w:styleId="ListBullet">
    <w:name w:val="List Bullet"/>
    <w:basedOn w:val="BodyText"/>
    <w:rsid w:val="007021C1"/>
    <w:pPr>
      <w:numPr>
        <w:numId w:val="15"/>
      </w:numPr>
    </w:pPr>
  </w:style>
  <w:style w:type="paragraph" w:styleId="ListBullet3">
    <w:name w:val="List Bullet 3"/>
    <w:basedOn w:val="ListBullet"/>
    <w:rsid w:val="007021C1"/>
    <w:pPr>
      <w:numPr>
        <w:numId w:val="14"/>
      </w:numPr>
      <w:tabs>
        <w:tab w:val="num" w:pos="340"/>
      </w:tabs>
      <w:ind w:left="340"/>
      <w:jc w:val="left"/>
    </w:pPr>
    <w:rPr>
      <w:sz w:val="18"/>
    </w:rPr>
  </w:style>
  <w:style w:type="paragraph" w:customStyle="1" w:styleId="Frontpagesubhead">
    <w:name w:val="Front page subhead"/>
    <w:basedOn w:val="BodyText"/>
    <w:rsid w:val="006C0B80"/>
    <w:pPr>
      <w:spacing w:before="120" w:after="0" w:line="280" w:lineRule="atLeast"/>
    </w:pPr>
    <w:rPr>
      <w:rFonts w:ascii="Univers 55" w:hAnsi="Univers 55"/>
      <w:color w:val="0C2D83"/>
      <w:sz w:val="24"/>
    </w:rPr>
  </w:style>
  <w:style w:type="paragraph" w:styleId="TOCHeading">
    <w:name w:val="TOC Heading"/>
    <w:basedOn w:val="Heading1"/>
    <w:next w:val="Normal"/>
    <w:uiPriority w:val="39"/>
    <w:unhideWhenUsed/>
    <w:qFormat/>
    <w:rsid w:val="006C0B80"/>
    <w:pPr>
      <w:outlineLvl w:val="9"/>
    </w:pPr>
    <w:rPr>
      <w:lang w:bidi="en-US"/>
    </w:rPr>
  </w:style>
  <w:style w:type="paragraph" w:styleId="TOC2">
    <w:name w:val="toc 2"/>
    <w:basedOn w:val="Normal"/>
    <w:next w:val="Normal"/>
    <w:autoRedefine/>
    <w:uiPriority w:val="39"/>
    <w:unhideWhenUsed/>
    <w:rsid w:val="006C0B80"/>
    <w:pPr>
      <w:spacing w:after="100"/>
      <w:ind w:left="220"/>
    </w:pPr>
  </w:style>
  <w:style w:type="character" w:styleId="Hyperlink">
    <w:name w:val="Hyperlink"/>
    <w:basedOn w:val="DefaultParagraphFont"/>
    <w:uiPriority w:val="99"/>
    <w:unhideWhenUsed/>
    <w:rsid w:val="006C0B80"/>
    <w:rPr>
      <w:color w:val="0000FF" w:themeColor="hyperlink"/>
      <w:u w:val="single"/>
    </w:rPr>
  </w:style>
  <w:style w:type="character" w:customStyle="1" w:styleId="Heading6Char">
    <w:name w:val="Heading 6 Char"/>
    <w:basedOn w:val="DefaultParagraphFont"/>
    <w:link w:val="Heading6"/>
    <w:uiPriority w:val="9"/>
    <w:semiHidden/>
    <w:rsid w:val="006C0B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0B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0B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0B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C0B8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C0B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C0B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C0B80"/>
    <w:rPr>
      <w:rFonts w:asciiTheme="majorHAnsi" w:eastAsiaTheme="majorEastAsia" w:hAnsiTheme="majorHAnsi" w:cstheme="majorBidi"/>
      <w:i/>
      <w:iCs/>
      <w:spacing w:val="13"/>
      <w:sz w:val="24"/>
      <w:szCs w:val="24"/>
    </w:rPr>
  </w:style>
  <w:style w:type="character" w:styleId="Strong">
    <w:name w:val="Strong"/>
    <w:uiPriority w:val="22"/>
    <w:qFormat/>
    <w:rsid w:val="006C0B80"/>
    <w:rPr>
      <w:b/>
      <w:bCs/>
    </w:rPr>
  </w:style>
  <w:style w:type="character" w:styleId="Emphasis">
    <w:name w:val="Emphasis"/>
    <w:uiPriority w:val="20"/>
    <w:qFormat/>
    <w:rsid w:val="006C0B80"/>
    <w:rPr>
      <w:b/>
      <w:bCs/>
      <w:i/>
      <w:iCs/>
      <w:spacing w:val="10"/>
      <w:bdr w:val="none" w:sz="0" w:space="0" w:color="auto"/>
      <w:shd w:val="clear" w:color="auto" w:fill="auto"/>
    </w:rPr>
  </w:style>
  <w:style w:type="paragraph" w:styleId="NoSpacing">
    <w:name w:val="No Spacing"/>
    <w:basedOn w:val="Normal"/>
    <w:uiPriority w:val="1"/>
    <w:qFormat/>
    <w:rsid w:val="006C0B80"/>
    <w:pPr>
      <w:spacing w:after="0" w:line="240" w:lineRule="auto"/>
    </w:pPr>
  </w:style>
  <w:style w:type="paragraph" w:styleId="ListParagraph">
    <w:name w:val="List Paragraph"/>
    <w:basedOn w:val="Normal"/>
    <w:uiPriority w:val="34"/>
    <w:qFormat/>
    <w:rsid w:val="006C0B80"/>
    <w:pPr>
      <w:ind w:left="720"/>
      <w:contextualSpacing/>
    </w:pPr>
  </w:style>
  <w:style w:type="paragraph" w:styleId="Quote">
    <w:name w:val="Quote"/>
    <w:basedOn w:val="Normal"/>
    <w:next w:val="Normal"/>
    <w:link w:val="QuoteChar"/>
    <w:uiPriority w:val="29"/>
    <w:qFormat/>
    <w:rsid w:val="006C0B80"/>
    <w:pPr>
      <w:spacing w:before="200" w:after="0"/>
      <w:ind w:left="360" w:right="360"/>
    </w:pPr>
    <w:rPr>
      <w:i/>
      <w:iCs/>
    </w:rPr>
  </w:style>
  <w:style w:type="character" w:customStyle="1" w:styleId="QuoteChar">
    <w:name w:val="Quote Char"/>
    <w:basedOn w:val="DefaultParagraphFont"/>
    <w:link w:val="Quote"/>
    <w:uiPriority w:val="29"/>
    <w:rsid w:val="006C0B80"/>
    <w:rPr>
      <w:i/>
      <w:iCs/>
    </w:rPr>
  </w:style>
  <w:style w:type="paragraph" w:styleId="IntenseQuote">
    <w:name w:val="Intense Quote"/>
    <w:basedOn w:val="Normal"/>
    <w:next w:val="Normal"/>
    <w:link w:val="IntenseQuoteChar"/>
    <w:uiPriority w:val="30"/>
    <w:qFormat/>
    <w:rsid w:val="006C0B8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C0B80"/>
    <w:rPr>
      <w:b/>
      <w:bCs/>
      <w:i/>
      <w:iCs/>
    </w:rPr>
  </w:style>
  <w:style w:type="character" w:styleId="SubtleEmphasis">
    <w:name w:val="Subtle Emphasis"/>
    <w:uiPriority w:val="19"/>
    <w:qFormat/>
    <w:rsid w:val="006C0B80"/>
    <w:rPr>
      <w:i/>
      <w:iCs/>
    </w:rPr>
  </w:style>
  <w:style w:type="character" w:styleId="IntenseEmphasis">
    <w:name w:val="Intense Emphasis"/>
    <w:uiPriority w:val="21"/>
    <w:qFormat/>
    <w:rsid w:val="006C0B80"/>
    <w:rPr>
      <w:b/>
      <w:bCs/>
    </w:rPr>
  </w:style>
  <w:style w:type="character" w:styleId="SubtleReference">
    <w:name w:val="Subtle Reference"/>
    <w:uiPriority w:val="31"/>
    <w:qFormat/>
    <w:rsid w:val="006C0B80"/>
    <w:rPr>
      <w:smallCaps/>
    </w:rPr>
  </w:style>
  <w:style w:type="character" w:styleId="IntenseReference">
    <w:name w:val="Intense Reference"/>
    <w:uiPriority w:val="32"/>
    <w:qFormat/>
    <w:rsid w:val="006C0B80"/>
    <w:rPr>
      <w:smallCaps/>
      <w:spacing w:val="5"/>
      <w:u w:val="single"/>
    </w:rPr>
  </w:style>
  <w:style w:type="character" w:styleId="BookTitle">
    <w:name w:val="Book Title"/>
    <w:uiPriority w:val="33"/>
    <w:qFormat/>
    <w:rsid w:val="006C0B80"/>
    <w:rPr>
      <w:i/>
      <w:iCs/>
      <w:smallCaps/>
      <w:spacing w:val="5"/>
    </w:rPr>
  </w:style>
  <w:style w:type="paragraph" w:styleId="TOC1">
    <w:name w:val="toc 1"/>
    <w:basedOn w:val="Normal"/>
    <w:next w:val="Normal"/>
    <w:autoRedefine/>
    <w:uiPriority w:val="39"/>
    <w:unhideWhenUsed/>
    <w:rsid w:val="00D14A54"/>
    <w:pPr>
      <w:spacing w:after="100"/>
    </w:pPr>
  </w:style>
  <w:style w:type="paragraph" w:styleId="TOC3">
    <w:name w:val="toc 3"/>
    <w:basedOn w:val="Normal"/>
    <w:next w:val="Normal"/>
    <w:autoRedefine/>
    <w:uiPriority w:val="39"/>
    <w:unhideWhenUsed/>
    <w:rsid w:val="00CC64DB"/>
    <w:pPr>
      <w:tabs>
        <w:tab w:val="left" w:pos="993"/>
        <w:tab w:val="right" w:pos="8495"/>
      </w:tabs>
      <w:spacing w:before="60" w:after="60" w:line="240" w:lineRule="auto"/>
      <w:ind w:left="992"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9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69160-8708-4CA0-960F-687182B2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3709</Words>
  <Characters>21143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farraway</dc:creator>
  <cp:lastModifiedBy>Anna McNarn</cp:lastModifiedBy>
  <cp:revision>3</cp:revision>
  <cp:lastPrinted>2014-11-18T00:55:00Z</cp:lastPrinted>
  <dcterms:created xsi:type="dcterms:W3CDTF">2014-12-11T02:36:00Z</dcterms:created>
  <dcterms:modified xsi:type="dcterms:W3CDTF">2014-12-12T05:34:00Z</dcterms:modified>
</cp:coreProperties>
</file>