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3B8" w:rsidRPr="001D4F3A" w:rsidRDefault="009A43B8" w:rsidP="00A52B6E">
      <w:pPr>
        <w:spacing w:line="280" w:lineRule="atLeast"/>
        <w:rPr>
          <w:rFonts w:cs="Arial Bold"/>
          <w:b/>
          <w:bCs/>
          <w:caps/>
          <w:color w:val="336699"/>
          <w:kern w:val="32"/>
          <w:sz w:val="36"/>
          <w:szCs w:val="32"/>
        </w:rPr>
      </w:pPr>
      <w:r w:rsidRPr="001D4F3A">
        <w:rPr>
          <w:noProof/>
          <w:lang w:eastAsia="en-AU"/>
        </w:rPr>
        <w:drawing>
          <wp:inline distT="0" distB="0" distL="0" distR="0" wp14:anchorId="6B186838" wp14:editId="22630AAE">
            <wp:extent cx="5029200"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673100"/>
                    </a:xfrm>
                    <a:prstGeom prst="rect">
                      <a:avLst/>
                    </a:prstGeom>
                    <a:noFill/>
                    <a:ln>
                      <a:noFill/>
                    </a:ln>
                  </pic:spPr>
                </pic:pic>
              </a:graphicData>
            </a:graphic>
          </wp:inline>
        </w:drawing>
      </w:r>
    </w:p>
    <w:p w:rsidR="009A43B8" w:rsidRPr="00EF710B" w:rsidRDefault="000107C3" w:rsidP="00A52B6E">
      <w:pPr>
        <w:spacing w:line="280" w:lineRule="atLeast"/>
        <w:rPr>
          <w:color w:val="BFBFBF" w:themeColor="background1" w:themeShade="BF"/>
        </w:rPr>
      </w:pPr>
      <w:r w:rsidRPr="00EF710B">
        <w:rPr>
          <w:color w:val="BFBFBF" w:themeColor="background1" w:themeShade="BF"/>
        </w:rPr>
        <w:t>TRIM D14-27589</w:t>
      </w:r>
    </w:p>
    <w:p w:rsidR="004770EF" w:rsidRPr="001D4F3A" w:rsidRDefault="004770EF" w:rsidP="00A52B6E">
      <w:pPr>
        <w:pStyle w:val="Majorsubheading"/>
        <w:numPr>
          <w:ilvl w:val="0"/>
          <w:numId w:val="0"/>
        </w:numPr>
        <w:spacing w:line="280" w:lineRule="atLeast"/>
      </w:pPr>
    </w:p>
    <w:p w:rsidR="004770EF" w:rsidRPr="001D4F3A" w:rsidRDefault="004770EF" w:rsidP="00A52B6E">
      <w:pPr>
        <w:pStyle w:val="Majorsubheading"/>
        <w:numPr>
          <w:ilvl w:val="0"/>
          <w:numId w:val="0"/>
        </w:numPr>
        <w:spacing w:line="280" w:lineRule="atLeast"/>
      </w:pPr>
      <w:bookmarkStart w:id="0" w:name="_GoBack"/>
      <w:bookmarkEnd w:id="0"/>
    </w:p>
    <w:p w:rsidR="004770EF" w:rsidRPr="001D4F3A" w:rsidRDefault="004770EF" w:rsidP="00A52B6E">
      <w:pPr>
        <w:pStyle w:val="Majorsubheading"/>
        <w:numPr>
          <w:ilvl w:val="0"/>
          <w:numId w:val="0"/>
        </w:numPr>
        <w:spacing w:line="280" w:lineRule="atLeast"/>
      </w:pPr>
    </w:p>
    <w:p w:rsidR="004770EF" w:rsidRPr="001D4F3A" w:rsidRDefault="004770EF" w:rsidP="00A52B6E">
      <w:pPr>
        <w:pStyle w:val="Majorsubheading"/>
        <w:numPr>
          <w:ilvl w:val="0"/>
          <w:numId w:val="0"/>
        </w:numPr>
        <w:spacing w:line="280" w:lineRule="atLeast"/>
      </w:pPr>
    </w:p>
    <w:p w:rsidR="004770EF" w:rsidRPr="001D4F3A" w:rsidRDefault="004770EF" w:rsidP="00A52B6E">
      <w:pPr>
        <w:pStyle w:val="Majorsubheading"/>
        <w:numPr>
          <w:ilvl w:val="0"/>
          <w:numId w:val="0"/>
        </w:numPr>
        <w:spacing w:line="280" w:lineRule="atLeast"/>
      </w:pPr>
    </w:p>
    <w:p w:rsidR="004770EF" w:rsidRPr="001D4F3A" w:rsidRDefault="004770EF" w:rsidP="00A52B6E">
      <w:pPr>
        <w:pStyle w:val="Majorsubheading"/>
        <w:numPr>
          <w:ilvl w:val="0"/>
          <w:numId w:val="0"/>
        </w:numPr>
        <w:spacing w:line="280" w:lineRule="atLeast"/>
      </w:pPr>
    </w:p>
    <w:p w:rsidR="004770EF" w:rsidRPr="001D4F3A" w:rsidRDefault="004770EF" w:rsidP="00A52B6E">
      <w:pPr>
        <w:pStyle w:val="Majorsubheading"/>
        <w:numPr>
          <w:ilvl w:val="0"/>
          <w:numId w:val="0"/>
        </w:numPr>
        <w:spacing w:line="280" w:lineRule="atLeast"/>
        <w:rPr>
          <w:sz w:val="44"/>
        </w:rPr>
      </w:pPr>
      <w:r w:rsidRPr="001D4F3A">
        <w:rPr>
          <w:sz w:val="44"/>
        </w:rPr>
        <w:t>Training and Competencies for recognising and responding to clinical deterioration</w:t>
      </w:r>
    </w:p>
    <w:p w:rsidR="004770EF" w:rsidRPr="001D4F3A" w:rsidRDefault="004770EF" w:rsidP="00A52B6E">
      <w:pPr>
        <w:pStyle w:val="Majorsubheading"/>
        <w:numPr>
          <w:ilvl w:val="0"/>
          <w:numId w:val="0"/>
        </w:numPr>
        <w:spacing w:line="280" w:lineRule="atLeast"/>
        <w:rPr>
          <w:sz w:val="44"/>
        </w:rPr>
      </w:pPr>
    </w:p>
    <w:p w:rsidR="004770EF" w:rsidRPr="001D4F3A" w:rsidRDefault="004770EF" w:rsidP="00A52B6E">
      <w:pPr>
        <w:pStyle w:val="Majorsubheading"/>
        <w:numPr>
          <w:ilvl w:val="0"/>
          <w:numId w:val="0"/>
        </w:numPr>
        <w:spacing w:line="280" w:lineRule="atLeast"/>
        <w:rPr>
          <w:sz w:val="44"/>
        </w:rPr>
      </w:pPr>
      <w:r w:rsidRPr="001D4F3A">
        <w:rPr>
          <w:sz w:val="44"/>
        </w:rPr>
        <w:t>consultation report</w:t>
      </w:r>
      <w:r w:rsidR="00DA714A">
        <w:rPr>
          <w:sz w:val="44"/>
        </w:rPr>
        <w:t xml:space="preserve"> AND OPTIONS FOR ACTION</w:t>
      </w:r>
    </w:p>
    <w:p w:rsidR="004770EF" w:rsidRPr="001D4F3A" w:rsidRDefault="004770EF" w:rsidP="00A52B6E">
      <w:pPr>
        <w:pStyle w:val="Majorsubheading"/>
        <w:numPr>
          <w:ilvl w:val="0"/>
          <w:numId w:val="0"/>
        </w:numPr>
        <w:spacing w:line="280" w:lineRule="atLeast"/>
        <w:rPr>
          <w:sz w:val="44"/>
        </w:rPr>
      </w:pPr>
    </w:p>
    <w:p w:rsidR="009A43B8" w:rsidRPr="001D4F3A" w:rsidRDefault="00EF710B" w:rsidP="00A52B6E">
      <w:pPr>
        <w:pStyle w:val="Majorsubheading"/>
        <w:numPr>
          <w:ilvl w:val="0"/>
          <w:numId w:val="0"/>
        </w:numPr>
        <w:spacing w:line="280" w:lineRule="atLeast"/>
        <w:rPr>
          <w:rFonts w:cs="Arial"/>
          <w:sz w:val="44"/>
          <w:szCs w:val="36"/>
        </w:rPr>
      </w:pPr>
      <w:r>
        <w:rPr>
          <w:sz w:val="44"/>
        </w:rPr>
        <w:t>November</w:t>
      </w:r>
      <w:r w:rsidR="004770EF" w:rsidRPr="001D4F3A">
        <w:rPr>
          <w:sz w:val="44"/>
        </w:rPr>
        <w:t xml:space="preserve"> 2014 </w:t>
      </w:r>
    </w:p>
    <w:p w:rsidR="009A43B8" w:rsidRPr="001D4F3A" w:rsidRDefault="009A43B8" w:rsidP="00A52B6E">
      <w:pPr>
        <w:spacing w:line="280" w:lineRule="atLeast"/>
        <w:rPr>
          <w:rFonts w:cs="Arial"/>
          <w:b/>
          <w:bCs/>
          <w:caps/>
          <w:color w:val="336699"/>
          <w:kern w:val="32"/>
          <w:sz w:val="36"/>
          <w:szCs w:val="36"/>
        </w:rPr>
      </w:pPr>
    </w:p>
    <w:p w:rsidR="00B175BF" w:rsidRDefault="00B175BF" w:rsidP="00A52B6E">
      <w:pPr>
        <w:spacing w:line="280" w:lineRule="atLeast"/>
        <w:sectPr w:rsidR="00B175BF" w:rsidSect="00B175BF">
          <w:footerReference w:type="default" r:id="rId10"/>
          <w:headerReference w:type="first" r:id="rId11"/>
          <w:pgSz w:w="11906" w:h="16838"/>
          <w:pgMar w:top="1440" w:right="1440" w:bottom="1440" w:left="1440" w:header="708" w:footer="708" w:gutter="0"/>
          <w:cols w:space="708"/>
          <w:titlePg/>
          <w:docGrid w:linePitch="360"/>
        </w:sectPr>
      </w:pPr>
    </w:p>
    <w:p w:rsidR="004C09A4" w:rsidRPr="009924B5" w:rsidRDefault="004C09A4" w:rsidP="00A52B6E">
      <w:pPr>
        <w:pStyle w:val="Majorsubheading"/>
        <w:spacing w:line="280" w:lineRule="atLeast"/>
        <w:rPr>
          <w:sz w:val="32"/>
        </w:rPr>
      </w:pPr>
      <w:r w:rsidRPr="009924B5">
        <w:rPr>
          <w:sz w:val="32"/>
        </w:rPr>
        <w:lastRenderedPageBreak/>
        <w:t>Introduction</w:t>
      </w:r>
    </w:p>
    <w:p w:rsidR="00A52B6E" w:rsidRDefault="00A52B6E" w:rsidP="00A52B6E">
      <w:pPr>
        <w:spacing w:line="280" w:lineRule="atLeast"/>
        <w:ind w:right="26"/>
        <w:rPr>
          <w:rFonts w:cs="Arial"/>
          <w:szCs w:val="22"/>
        </w:rPr>
      </w:pPr>
    </w:p>
    <w:p w:rsidR="004C09A4" w:rsidRPr="001D4F3A" w:rsidRDefault="004C09A4" w:rsidP="00A52B6E">
      <w:pPr>
        <w:spacing w:line="280" w:lineRule="atLeast"/>
        <w:ind w:right="26"/>
        <w:rPr>
          <w:rFonts w:cs="Arial"/>
          <w:szCs w:val="22"/>
        </w:rPr>
      </w:pPr>
      <w:r w:rsidRPr="001D4F3A">
        <w:rPr>
          <w:rFonts w:cs="Arial"/>
          <w:szCs w:val="22"/>
        </w:rPr>
        <w:t>The National Safety and Quality Health Service (NSQHS) Standards were developed by the Australian Commission on Safety and Quality in Health Care (the Commission) with consumers, clinicians, technical experts and policy makers. The purpose of the NSQHS Standards is to reduce harm to patients, improve quality of care and provide a mechanism for the consistent application of accreditation across the health system. Assessment to the NSQHS Standards tests that systems are in place to ensure that minimum safety and quality requirements are met. From 1 January 2013 all public and private hospitals</w:t>
      </w:r>
      <w:r w:rsidR="00D75F6D">
        <w:rPr>
          <w:rFonts w:cs="Arial"/>
          <w:szCs w:val="22"/>
        </w:rPr>
        <w:t xml:space="preserve"> and day procedure services</w:t>
      </w:r>
      <w:r w:rsidRPr="001D4F3A">
        <w:rPr>
          <w:rFonts w:cs="Arial"/>
          <w:szCs w:val="22"/>
        </w:rPr>
        <w:t xml:space="preserve"> need to be assessed to the NSQHS Standards if they are to provide health services to the public. </w:t>
      </w:r>
    </w:p>
    <w:p w:rsidR="004C09A4" w:rsidRPr="001D4F3A" w:rsidRDefault="004C09A4" w:rsidP="00A52B6E">
      <w:pPr>
        <w:spacing w:line="280" w:lineRule="atLeast"/>
        <w:ind w:right="26"/>
        <w:rPr>
          <w:rFonts w:cs="Arial"/>
          <w:szCs w:val="22"/>
        </w:rPr>
      </w:pPr>
      <w:r w:rsidRPr="001D4F3A">
        <w:rPr>
          <w:rFonts w:cs="Arial"/>
          <w:szCs w:val="22"/>
        </w:rPr>
        <w:t xml:space="preserve">There are ten NSQHS Standards, including </w:t>
      </w:r>
      <w:r w:rsidRPr="001D4F3A">
        <w:rPr>
          <w:rFonts w:cs="Arial"/>
          <w:i/>
          <w:iCs/>
          <w:szCs w:val="22"/>
        </w:rPr>
        <w:t>Standard 9: Recognising and Responding to Clinical Deterioration in Acute Health Care</w:t>
      </w:r>
      <w:r w:rsidRPr="001D4F3A">
        <w:rPr>
          <w:rFonts w:cs="Arial"/>
          <w:szCs w:val="22"/>
        </w:rPr>
        <w:t xml:space="preserve"> (Standard 9). The intent of </w:t>
      </w:r>
      <w:r w:rsidR="00190ED0">
        <w:rPr>
          <w:rFonts w:cs="Arial"/>
          <w:szCs w:val="22"/>
        </w:rPr>
        <w:t>S</w:t>
      </w:r>
      <w:r w:rsidRPr="001D4F3A">
        <w:rPr>
          <w:rFonts w:cs="Arial"/>
          <w:szCs w:val="22"/>
        </w:rPr>
        <w:t xml:space="preserve">tandard </w:t>
      </w:r>
      <w:r w:rsidR="00190ED0">
        <w:rPr>
          <w:rFonts w:cs="Arial"/>
          <w:szCs w:val="22"/>
        </w:rPr>
        <w:t xml:space="preserve">9 </w:t>
      </w:r>
      <w:r w:rsidRPr="001D4F3A">
        <w:rPr>
          <w:rFonts w:cs="Arial"/>
          <w:szCs w:val="22"/>
        </w:rPr>
        <w:t>is to ensure that a patient whose condition is deteriorating is recognised promptly, and appropriate action is taken. Criteria within Standard 9 relate to:</w:t>
      </w:r>
    </w:p>
    <w:p w:rsidR="004C09A4" w:rsidRPr="000C4302" w:rsidRDefault="004C09A4" w:rsidP="00A52B6E">
      <w:pPr>
        <w:pStyle w:val="ListParagraph"/>
        <w:numPr>
          <w:ilvl w:val="0"/>
          <w:numId w:val="9"/>
        </w:numPr>
        <w:spacing w:line="280" w:lineRule="atLeast"/>
        <w:ind w:right="26"/>
        <w:rPr>
          <w:rFonts w:cs="Arial"/>
          <w:szCs w:val="22"/>
        </w:rPr>
      </w:pPr>
      <w:r w:rsidRPr="000C4302">
        <w:rPr>
          <w:rFonts w:cs="Arial"/>
          <w:szCs w:val="22"/>
        </w:rPr>
        <w:t>establishing organisation-wide systems for recognising and responding to clinical deterioration</w:t>
      </w:r>
    </w:p>
    <w:p w:rsidR="004C09A4" w:rsidRPr="000C4302" w:rsidRDefault="004C09A4" w:rsidP="00A52B6E">
      <w:pPr>
        <w:pStyle w:val="ListParagraph"/>
        <w:numPr>
          <w:ilvl w:val="0"/>
          <w:numId w:val="9"/>
        </w:numPr>
        <w:spacing w:line="280" w:lineRule="atLeast"/>
        <w:ind w:right="26"/>
        <w:rPr>
          <w:rFonts w:cs="Arial"/>
          <w:szCs w:val="22"/>
        </w:rPr>
      </w:pPr>
      <w:r w:rsidRPr="000C4302">
        <w:rPr>
          <w:rFonts w:cs="Arial"/>
          <w:szCs w:val="22"/>
        </w:rPr>
        <w:t>recognising clinical deterioration and escalating care</w:t>
      </w:r>
    </w:p>
    <w:p w:rsidR="004C09A4" w:rsidRPr="000C4302" w:rsidRDefault="00A155E3" w:rsidP="00A52B6E">
      <w:pPr>
        <w:pStyle w:val="ListParagraph"/>
        <w:numPr>
          <w:ilvl w:val="0"/>
          <w:numId w:val="9"/>
        </w:numPr>
        <w:spacing w:line="280" w:lineRule="atLeast"/>
        <w:ind w:right="26"/>
        <w:rPr>
          <w:rFonts w:cs="Arial"/>
          <w:szCs w:val="22"/>
        </w:rPr>
      </w:pPr>
      <w:r w:rsidRPr="000C4302">
        <w:rPr>
          <w:rFonts w:cs="Arial"/>
          <w:szCs w:val="22"/>
        </w:rPr>
        <w:t>responding to clinical deterioration</w:t>
      </w:r>
    </w:p>
    <w:p w:rsidR="004C09A4" w:rsidRPr="000C4302" w:rsidRDefault="004C09A4" w:rsidP="00A52B6E">
      <w:pPr>
        <w:pStyle w:val="ListParagraph"/>
        <w:numPr>
          <w:ilvl w:val="0"/>
          <w:numId w:val="9"/>
        </w:numPr>
        <w:spacing w:line="280" w:lineRule="atLeast"/>
        <w:ind w:right="26"/>
        <w:rPr>
          <w:rFonts w:cs="Arial"/>
          <w:szCs w:val="22"/>
        </w:rPr>
      </w:pPr>
      <w:proofErr w:type="gramStart"/>
      <w:r w:rsidRPr="000C4302">
        <w:rPr>
          <w:rFonts w:cs="Arial"/>
          <w:szCs w:val="22"/>
        </w:rPr>
        <w:t>communicating</w:t>
      </w:r>
      <w:proofErr w:type="gramEnd"/>
      <w:r w:rsidRPr="000C4302">
        <w:rPr>
          <w:rFonts w:cs="Arial"/>
          <w:szCs w:val="22"/>
        </w:rPr>
        <w:t xml:space="preserve"> with patients and carers.</w:t>
      </w:r>
    </w:p>
    <w:p w:rsidR="008F5D1E" w:rsidRPr="001D4F3A" w:rsidRDefault="00190ED0" w:rsidP="00A52B6E">
      <w:pPr>
        <w:spacing w:line="280" w:lineRule="atLeast"/>
        <w:ind w:right="26"/>
        <w:rPr>
          <w:rFonts w:cs="Arial"/>
          <w:szCs w:val="22"/>
        </w:rPr>
      </w:pPr>
      <w:r>
        <w:rPr>
          <w:rFonts w:cs="Arial"/>
          <w:szCs w:val="22"/>
        </w:rPr>
        <w:t xml:space="preserve">Within </w:t>
      </w:r>
      <w:r w:rsidR="004C09A4" w:rsidRPr="001D4F3A">
        <w:rPr>
          <w:rFonts w:cs="Arial"/>
          <w:szCs w:val="22"/>
        </w:rPr>
        <w:t xml:space="preserve">Standard 9 </w:t>
      </w:r>
      <w:r>
        <w:rPr>
          <w:rFonts w:cs="Arial"/>
          <w:szCs w:val="22"/>
        </w:rPr>
        <w:t xml:space="preserve">Action 9.6.1 </w:t>
      </w:r>
      <w:r w:rsidR="00DE6383" w:rsidRPr="001D4F3A">
        <w:rPr>
          <w:rFonts w:cs="Arial"/>
          <w:szCs w:val="22"/>
        </w:rPr>
        <w:t>requires</w:t>
      </w:r>
      <w:r w:rsidR="004C09A4" w:rsidRPr="001D4F3A">
        <w:rPr>
          <w:rFonts w:cs="Arial"/>
          <w:szCs w:val="22"/>
        </w:rPr>
        <w:t xml:space="preserve"> that ‘the clinical workforce is trained and proficient in basic life support’. </w:t>
      </w:r>
      <w:r w:rsidR="00734538">
        <w:rPr>
          <w:rFonts w:cs="Arial"/>
          <w:szCs w:val="22"/>
        </w:rPr>
        <w:t>As health services have put in place systems to address this action q</w:t>
      </w:r>
      <w:r w:rsidR="00A155E3" w:rsidRPr="001D4F3A">
        <w:rPr>
          <w:rFonts w:cs="Arial"/>
          <w:szCs w:val="22"/>
        </w:rPr>
        <w:t>uestions have arisen about whether trai</w:t>
      </w:r>
      <w:r w:rsidR="008F5D1E" w:rsidRPr="001D4F3A">
        <w:rPr>
          <w:rFonts w:cs="Arial"/>
          <w:szCs w:val="22"/>
        </w:rPr>
        <w:t>ning in basic life support is the appropriate</w:t>
      </w:r>
      <w:r w:rsidR="00A155E3" w:rsidRPr="001D4F3A">
        <w:rPr>
          <w:rFonts w:cs="Arial"/>
          <w:szCs w:val="22"/>
        </w:rPr>
        <w:t xml:space="preserve"> mechanism for ensuring that</w:t>
      </w:r>
      <w:r w:rsidR="004C09A4" w:rsidRPr="001D4F3A">
        <w:rPr>
          <w:rFonts w:cs="Arial"/>
          <w:szCs w:val="22"/>
        </w:rPr>
        <w:t xml:space="preserve"> </w:t>
      </w:r>
      <w:r w:rsidR="00A155E3" w:rsidRPr="001D4F3A">
        <w:rPr>
          <w:rFonts w:cs="Arial"/>
          <w:szCs w:val="22"/>
        </w:rPr>
        <w:t xml:space="preserve">the clinical workforce has the skills required to recognise, escalate and respond to clinical deterioration. </w:t>
      </w:r>
    </w:p>
    <w:p w:rsidR="004C09A4" w:rsidRPr="001D4F3A" w:rsidRDefault="00190ED0" w:rsidP="00190ED0">
      <w:pPr>
        <w:spacing w:line="280" w:lineRule="atLeast"/>
        <w:rPr>
          <w:rFonts w:eastAsia="Calibri" w:cs="Arial"/>
          <w:szCs w:val="22"/>
        </w:rPr>
      </w:pPr>
      <w:r>
        <w:rPr>
          <w:rFonts w:cs="Arial"/>
          <w:szCs w:val="22"/>
        </w:rPr>
        <w:t>Given the lack of definitive evidence to guide the Commission in this matter, between March and June 2014 t</w:t>
      </w:r>
      <w:r w:rsidR="008F5D1E" w:rsidRPr="001D4F3A">
        <w:rPr>
          <w:rFonts w:cs="Arial"/>
          <w:szCs w:val="22"/>
        </w:rPr>
        <w:t>he</w:t>
      </w:r>
      <w:r w:rsidR="004C09A4" w:rsidRPr="001D4F3A">
        <w:rPr>
          <w:rFonts w:cs="Arial"/>
          <w:szCs w:val="22"/>
        </w:rPr>
        <w:t xml:space="preserve"> Commission </w:t>
      </w:r>
      <w:r w:rsidR="008F5D1E" w:rsidRPr="001D4F3A">
        <w:rPr>
          <w:rFonts w:cs="Arial"/>
          <w:szCs w:val="22"/>
        </w:rPr>
        <w:t xml:space="preserve">undertook a consultation process </w:t>
      </w:r>
      <w:r w:rsidR="004C09A4" w:rsidRPr="001D4F3A">
        <w:rPr>
          <w:rFonts w:cs="Arial"/>
          <w:szCs w:val="22"/>
        </w:rPr>
        <w:t xml:space="preserve">about </w:t>
      </w:r>
      <w:r w:rsidR="008F5D1E" w:rsidRPr="001D4F3A">
        <w:rPr>
          <w:rFonts w:cs="Arial"/>
          <w:szCs w:val="22"/>
        </w:rPr>
        <w:t xml:space="preserve">the skills and knowledge </w:t>
      </w:r>
      <w:r w:rsidR="00DA714A">
        <w:rPr>
          <w:rFonts w:cs="Arial"/>
          <w:szCs w:val="22"/>
        </w:rPr>
        <w:t xml:space="preserve">needed </w:t>
      </w:r>
      <w:r w:rsidR="008F5D1E" w:rsidRPr="001D4F3A">
        <w:rPr>
          <w:rFonts w:cs="Arial"/>
          <w:szCs w:val="22"/>
        </w:rPr>
        <w:t>to recognise and respond to clinical deterioration</w:t>
      </w:r>
      <w:r w:rsidR="004C09A4" w:rsidRPr="001D4F3A">
        <w:rPr>
          <w:rFonts w:cs="Arial"/>
          <w:szCs w:val="22"/>
        </w:rPr>
        <w:t xml:space="preserve">, particularly with regard to the requirements of the NSQHS Standards. </w:t>
      </w:r>
      <w:r w:rsidR="004C09A4" w:rsidRPr="001D4F3A">
        <w:rPr>
          <w:rFonts w:eastAsia="Calibri" w:cs="Arial"/>
          <w:szCs w:val="22"/>
        </w:rPr>
        <w:t>The aim of th</w:t>
      </w:r>
      <w:r w:rsidR="00A155E3" w:rsidRPr="001D4F3A">
        <w:rPr>
          <w:rFonts w:eastAsia="Calibri" w:cs="Arial"/>
          <w:szCs w:val="22"/>
        </w:rPr>
        <w:t>e</w:t>
      </w:r>
      <w:r w:rsidR="004C09A4" w:rsidRPr="001D4F3A">
        <w:rPr>
          <w:rFonts w:eastAsia="Calibri" w:cs="Arial"/>
          <w:szCs w:val="22"/>
        </w:rPr>
        <w:t xml:space="preserve"> consultation process </w:t>
      </w:r>
      <w:r w:rsidR="00A155E3" w:rsidRPr="001D4F3A">
        <w:rPr>
          <w:rFonts w:eastAsia="Calibri" w:cs="Arial"/>
          <w:szCs w:val="22"/>
        </w:rPr>
        <w:t>wa</w:t>
      </w:r>
      <w:r w:rsidR="004C09A4" w:rsidRPr="001D4F3A">
        <w:rPr>
          <w:rFonts w:eastAsia="Calibri" w:cs="Arial"/>
          <w:szCs w:val="22"/>
        </w:rPr>
        <w:t>s to seek advice about:</w:t>
      </w:r>
    </w:p>
    <w:p w:rsidR="000C4302" w:rsidRPr="000C4302" w:rsidRDefault="004C09A4" w:rsidP="00A52B6E">
      <w:pPr>
        <w:pStyle w:val="ListParagraph"/>
        <w:numPr>
          <w:ilvl w:val="0"/>
          <w:numId w:val="8"/>
        </w:numPr>
        <w:spacing w:line="280" w:lineRule="atLeast"/>
        <w:rPr>
          <w:rFonts w:eastAsia="Calibri" w:cs="Arial"/>
          <w:szCs w:val="22"/>
        </w:rPr>
      </w:pPr>
      <w:r w:rsidRPr="000C4302">
        <w:rPr>
          <w:rFonts w:eastAsia="Calibri" w:cs="Arial"/>
          <w:szCs w:val="22"/>
        </w:rPr>
        <w:t xml:space="preserve">what core skills, knowledge and competencies are required for all clinicians providing acute patient care to recognise deterioration, escalate care and provide an initial response until expert help arrives </w:t>
      </w:r>
    </w:p>
    <w:p w:rsidR="004C09A4" w:rsidRPr="000C4302" w:rsidRDefault="004C09A4" w:rsidP="00A52B6E">
      <w:pPr>
        <w:pStyle w:val="ListParagraph"/>
        <w:numPr>
          <w:ilvl w:val="0"/>
          <w:numId w:val="8"/>
        </w:numPr>
        <w:spacing w:line="280" w:lineRule="atLeast"/>
        <w:rPr>
          <w:rFonts w:eastAsia="Calibri" w:cs="Arial"/>
          <w:szCs w:val="22"/>
        </w:rPr>
      </w:pPr>
      <w:r w:rsidRPr="000C4302">
        <w:rPr>
          <w:rFonts w:eastAsia="Calibri" w:cs="Arial"/>
          <w:szCs w:val="22"/>
        </w:rPr>
        <w:t>how initial and ongoing competence should be assessed</w:t>
      </w:r>
    </w:p>
    <w:p w:rsidR="004C09A4" w:rsidRPr="000C4302" w:rsidRDefault="004C09A4" w:rsidP="00A52B6E">
      <w:pPr>
        <w:pStyle w:val="ListParagraph"/>
        <w:numPr>
          <w:ilvl w:val="0"/>
          <w:numId w:val="8"/>
        </w:numPr>
        <w:spacing w:line="280" w:lineRule="atLeast"/>
        <w:rPr>
          <w:rFonts w:eastAsia="Calibri" w:cs="Arial"/>
          <w:szCs w:val="22"/>
        </w:rPr>
      </w:pPr>
      <w:r w:rsidRPr="000C4302">
        <w:rPr>
          <w:rFonts w:eastAsia="Calibri" w:cs="Arial"/>
          <w:szCs w:val="22"/>
        </w:rPr>
        <w:t>who should be required to undergo mandatory training in the core skills, knowledge and competencies related to recognising and responding to clinical deterioration in acute health facilities</w:t>
      </w:r>
    </w:p>
    <w:p w:rsidR="004C09A4" w:rsidRPr="000C4302" w:rsidRDefault="004C09A4" w:rsidP="00A52B6E">
      <w:pPr>
        <w:pStyle w:val="ListParagraph"/>
        <w:numPr>
          <w:ilvl w:val="0"/>
          <w:numId w:val="8"/>
        </w:numPr>
        <w:spacing w:line="280" w:lineRule="atLeast"/>
        <w:rPr>
          <w:rFonts w:eastAsia="Calibri" w:cs="Arial"/>
          <w:szCs w:val="22"/>
        </w:rPr>
      </w:pPr>
      <w:r w:rsidRPr="000C4302">
        <w:rPr>
          <w:rFonts w:eastAsia="Calibri" w:cs="Arial"/>
          <w:szCs w:val="22"/>
        </w:rPr>
        <w:t>when, how and how often this training should occur</w:t>
      </w:r>
    </w:p>
    <w:p w:rsidR="009A43B8" w:rsidRPr="000C4302" w:rsidRDefault="004C09A4" w:rsidP="00A52B6E">
      <w:pPr>
        <w:pStyle w:val="ListParagraph"/>
        <w:numPr>
          <w:ilvl w:val="0"/>
          <w:numId w:val="8"/>
        </w:numPr>
        <w:spacing w:line="280" w:lineRule="atLeast"/>
        <w:rPr>
          <w:rFonts w:eastAsia="Calibri" w:cs="Arial"/>
          <w:szCs w:val="22"/>
        </w:rPr>
      </w:pPr>
      <w:proofErr w:type="gramStart"/>
      <w:r w:rsidRPr="000C4302">
        <w:rPr>
          <w:rFonts w:eastAsia="Calibri" w:cs="Arial"/>
          <w:szCs w:val="22"/>
        </w:rPr>
        <w:t>what</w:t>
      </w:r>
      <w:proofErr w:type="gramEnd"/>
      <w:r w:rsidRPr="000C4302">
        <w:rPr>
          <w:rFonts w:eastAsia="Calibri" w:cs="Arial"/>
          <w:szCs w:val="22"/>
        </w:rPr>
        <w:t xml:space="preserve"> mechanisms are, or should be, in place to ensure that such training occurs, and that the skills, knowledge and competencies are maintained.</w:t>
      </w:r>
    </w:p>
    <w:p w:rsidR="004770EF" w:rsidRPr="001D4F3A" w:rsidRDefault="00190ED0" w:rsidP="009924B5">
      <w:pPr>
        <w:spacing w:line="280" w:lineRule="atLeast"/>
        <w:rPr>
          <w:rFonts w:eastAsia="Calibri" w:cs="Arial"/>
          <w:szCs w:val="22"/>
        </w:rPr>
      </w:pPr>
      <w:r>
        <w:rPr>
          <w:rFonts w:eastAsia="Calibri" w:cs="Arial"/>
          <w:szCs w:val="22"/>
        </w:rPr>
        <w:t xml:space="preserve">A </w:t>
      </w:r>
      <w:r w:rsidR="00D75F6D">
        <w:rPr>
          <w:rFonts w:eastAsia="Calibri" w:cs="Arial"/>
          <w:szCs w:val="22"/>
        </w:rPr>
        <w:t xml:space="preserve">consultation paper was sent to </w:t>
      </w:r>
      <w:r w:rsidR="00734538">
        <w:rPr>
          <w:rFonts w:eastAsia="Calibri" w:cs="Arial"/>
          <w:szCs w:val="22"/>
        </w:rPr>
        <w:t xml:space="preserve">over 300 </w:t>
      </w:r>
      <w:r w:rsidR="00D75F6D" w:rsidRPr="00734538">
        <w:rPr>
          <w:rFonts w:eastAsia="Calibri" w:cs="Arial"/>
          <w:szCs w:val="22"/>
        </w:rPr>
        <w:t>organisations</w:t>
      </w:r>
      <w:r w:rsidR="00D75F6D">
        <w:rPr>
          <w:rFonts w:eastAsia="Calibri" w:cs="Arial"/>
          <w:szCs w:val="22"/>
        </w:rPr>
        <w:t xml:space="preserve"> with an invitation to provide a written submission. It was posted on the Commission’s web site and emailed widely.</w:t>
      </w:r>
    </w:p>
    <w:p w:rsidR="00A52B6E" w:rsidRDefault="00A52B6E">
      <w:pPr>
        <w:spacing w:after="200" w:line="276" w:lineRule="auto"/>
        <w:rPr>
          <w:rFonts w:eastAsia="Calibri" w:cs="Arial Bold"/>
          <w:b/>
          <w:bCs/>
          <w:caps/>
          <w:color w:val="336699"/>
          <w:kern w:val="32"/>
          <w:sz w:val="36"/>
          <w:szCs w:val="32"/>
        </w:rPr>
      </w:pPr>
      <w:r>
        <w:rPr>
          <w:rFonts w:eastAsia="Calibri"/>
        </w:rPr>
        <w:br w:type="page"/>
      </w:r>
    </w:p>
    <w:p w:rsidR="009A43B8" w:rsidRPr="009924B5" w:rsidRDefault="00731184" w:rsidP="00A52B6E">
      <w:pPr>
        <w:pStyle w:val="Majorsubheading"/>
        <w:spacing w:line="280" w:lineRule="atLeast"/>
        <w:rPr>
          <w:rFonts w:eastAsia="Calibri"/>
          <w:sz w:val="32"/>
        </w:rPr>
      </w:pPr>
      <w:r w:rsidRPr="009924B5">
        <w:rPr>
          <w:rFonts w:eastAsia="Calibri"/>
          <w:sz w:val="32"/>
        </w:rPr>
        <w:lastRenderedPageBreak/>
        <w:t>Consultation findings</w:t>
      </w:r>
    </w:p>
    <w:p w:rsidR="002A2C87" w:rsidRDefault="002A2C87" w:rsidP="00A52B6E">
      <w:pPr>
        <w:spacing w:line="280" w:lineRule="atLeast"/>
        <w:rPr>
          <w:rFonts w:eastAsiaTheme="minorHAnsi" w:cs="Arial"/>
          <w:szCs w:val="22"/>
        </w:rPr>
      </w:pPr>
    </w:p>
    <w:p w:rsidR="00D75F6D" w:rsidRDefault="002E2C06" w:rsidP="00A52B6E">
      <w:pPr>
        <w:spacing w:line="280" w:lineRule="atLeast"/>
        <w:rPr>
          <w:rFonts w:eastAsiaTheme="minorHAnsi" w:cs="Arial"/>
          <w:szCs w:val="22"/>
        </w:rPr>
      </w:pPr>
      <w:r>
        <w:rPr>
          <w:rFonts w:eastAsiaTheme="minorHAnsi" w:cs="Arial"/>
          <w:szCs w:val="22"/>
        </w:rPr>
        <w:t>Ninety-nine</w:t>
      </w:r>
      <w:r w:rsidR="001D4F3A" w:rsidRPr="001D4F3A">
        <w:rPr>
          <w:rFonts w:eastAsiaTheme="minorHAnsi" w:cs="Arial"/>
          <w:szCs w:val="22"/>
        </w:rPr>
        <w:t xml:space="preserve"> written submissions were received in response to the consultation paper. The submissions came</w:t>
      </w:r>
      <w:r w:rsidR="001D4F3A">
        <w:rPr>
          <w:rFonts w:eastAsiaTheme="minorHAnsi" w:cs="Arial"/>
          <w:szCs w:val="22"/>
        </w:rPr>
        <w:t xml:space="preserve"> from</w:t>
      </w:r>
      <w:r w:rsidR="001D4F3A" w:rsidRPr="001D4F3A">
        <w:rPr>
          <w:rFonts w:eastAsiaTheme="minorHAnsi" w:cs="Arial"/>
          <w:szCs w:val="22"/>
        </w:rPr>
        <w:t xml:space="preserve"> a range of </w:t>
      </w:r>
      <w:r w:rsidR="001D4F3A">
        <w:rPr>
          <w:rFonts w:eastAsiaTheme="minorHAnsi" w:cs="Arial"/>
          <w:szCs w:val="22"/>
        </w:rPr>
        <w:t xml:space="preserve">stakeholders including individuals, public and private </w:t>
      </w:r>
      <w:r w:rsidR="001D4F3A" w:rsidRPr="001D4F3A">
        <w:rPr>
          <w:rFonts w:eastAsiaTheme="minorHAnsi" w:cs="Arial"/>
          <w:szCs w:val="22"/>
        </w:rPr>
        <w:t>health s</w:t>
      </w:r>
      <w:r w:rsidR="001D4F3A">
        <w:rPr>
          <w:rFonts w:eastAsiaTheme="minorHAnsi" w:cs="Arial"/>
          <w:szCs w:val="22"/>
        </w:rPr>
        <w:t xml:space="preserve">ervice organisations, professional colleges, and state, </w:t>
      </w:r>
      <w:r w:rsidR="001D4F3A" w:rsidRPr="001D4F3A">
        <w:rPr>
          <w:rFonts w:eastAsiaTheme="minorHAnsi" w:cs="Arial"/>
          <w:szCs w:val="22"/>
        </w:rPr>
        <w:t xml:space="preserve">territory </w:t>
      </w:r>
      <w:r w:rsidR="000D7AD6">
        <w:rPr>
          <w:rFonts w:eastAsiaTheme="minorHAnsi" w:cs="Arial"/>
          <w:szCs w:val="22"/>
        </w:rPr>
        <w:t>and federal agencies</w:t>
      </w:r>
      <w:r w:rsidR="00116126">
        <w:rPr>
          <w:rFonts w:eastAsiaTheme="minorHAnsi" w:cs="Arial"/>
          <w:szCs w:val="22"/>
        </w:rPr>
        <w:t xml:space="preserve"> (Table 1)</w:t>
      </w:r>
      <w:r w:rsidR="000D7AD6">
        <w:rPr>
          <w:rFonts w:eastAsiaTheme="minorHAnsi" w:cs="Arial"/>
          <w:szCs w:val="22"/>
        </w:rPr>
        <w:t>.</w:t>
      </w:r>
      <w:r w:rsidR="00116126">
        <w:rPr>
          <w:rFonts w:eastAsiaTheme="minorHAnsi" w:cs="Arial"/>
          <w:szCs w:val="22"/>
        </w:rPr>
        <w:t xml:space="preserve"> Almost half of the submissions came from hospitals, Local Health Networks, hospital groups and clinical networks.</w:t>
      </w:r>
    </w:p>
    <w:p w:rsidR="00116126" w:rsidRDefault="00116126" w:rsidP="00A52B6E">
      <w:pPr>
        <w:spacing w:line="280" w:lineRule="atLeast"/>
        <w:rPr>
          <w:rFonts w:eastAsiaTheme="minorHAnsi" w:cs="Arial"/>
          <w:szCs w:val="22"/>
        </w:rPr>
      </w:pPr>
    </w:p>
    <w:p w:rsidR="00D75F6D" w:rsidRPr="009924B5" w:rsidRDefault="00116126" w:rsidP="00A52B6E">
      <w:pPr>
        <w:spacing w:line="280" w:lineRule="atLeast"/>
        <w:rPr>
          <w:rFonts w:eastAsiaTheme="minorHAnsi" w:cs="Arial"/>
          <w:b/>
          <w:szCs w:val="22"/>
        </w:rPr>
      </w:pPr>
      <w:r w:rsidRPr="009924B5">
        <w:rPr>
          <w:rFonts w:eastAsiaTheme="minorHAnsi" w:cs="Arial"/>
          <w:b/>
          <w:szCs w:val="22"/>
        </w:rPr>
        <w:t>Table 1: Submissions received by type of organisation</w:t>
      </w:r>
    </w:p>
    <w:tbl>
      <w:tblPr>
        <w:tblStyle w:val="TableGrid"/>
        <w:tblW w:w="0" w:type="auto"/>
        <w:tblLook w:val="04A0" w:firstRow="1" w:lastRow="0" w:firstColumn="1" w:lastColumn="0" w:noHBand="0" w:noVBand="1"/>
      </w:tblPr>
      <w:tblGrid>
        <w:gridCol w:w="4361"/>
        <w:gridCol w:w="2693"/>
      </w:tblGrid>
      <w:tr w:rsidR="00190ED0" w:rsidTr="009924B5">
        <w:tc>
          <w:tcPr>
            <w:tcW w:w="4361" w:type="dxa"/>
          </w:tcPr>
          <w:p w:rsidR="00190ED0" w:rsidRDefault="00190ED0" w:rsidP="00A52B6E">
            <w:pPr>
              <w:spacing w:line="280" w:lineRule="atLeast"/>
              <w:rPr>
                <w:rFonts w:eastAsiaTheme="minorHAnsi" w:cs="Arial"/>
                <w:szCs w:val="22"/>
              </w:rPr>
            </w:pPr>
            <w:r>
              <w:rPr>
                <w:rFonts w:eastAsiaTheme="minorHAnsi" w:cs="Arial"/>
                <w:szCs w:val="22"/>
              </w:rPr>
              <w:t>Type of organisation</w:t>
            </w:r>
          </w:p>
        </w:tc>
        <w:tc>
          <w:tcPr>
            <w:tcW w:w="2693" w:type="dxa"/>
          </w:tcPr>
          <w:p w:rsidR="00190ED0" w:rsidRDefault="00190ED0" w:rsidP="009924B5">
            <w:pPr>
              <w:spacing w:line="280" w:lineRule="atLeast"/>
              <w:jc w:val="center"/>
              <w:rPr>
                <w:rFonts w:eastAsiaTheme="minorHAnsi" w:cs="Arial"/>
                <w:szCs w:val="22"/>
              </w:rPr>
            </w:pPr>
            <w:r>
              <w:rPr>
                <w:rFonts w:eastAsiaTheme="minorHAnsi" w:cs="Arial"/>
                <w:szCs w:val="22"/>
              </w:rPr>
              <w:t>Number of responses</w:t>
            </w:r>
          </w:p>
        </w:tc>
      </w:tr>
      <w:tr w:rsidR="00190ED0" w:rsidTr="009924B5">
        <w:tc>
          <w:tcPr>
            <w:tcW w:w="4361" w:type="dxa"/>
          </w:tcPr>
          <w:p w:rsidR="00190ED0" w:rsidRDefault="00190ED0" w:rsidP="00A52B6E">
            <w:pPr>
              <w:spacing w:line="280" w:lineRule="atLeast"/>
              <w:rPr>
                <w:rFonts w:eastAsiaTheme="minorHAnsi" w:cs="Arial"/>
                <w:szCs w:val="22"/>
              </w:rPr>
            </w:pPr>
            <w:r>
              <w:rPr>
                <w:rFonts w:eastAsiaTheme="minorHAnsi" w:cs="Arial"/>
                <w:szCs w:val="22"/>
              </w:rPr>
              <w:t>Hospital, Local Health Network, private hospital group, clinical network</w:t>
            </w:r>
          </w:p>
        </w:tc>
        <w:tc>
          <w:tcPr>
            <w:tcW w:w="2693" w:type="dxa"/>
          </w:tcPr>
          <w:p w:rsidR="00190ED0" w:rsidRDefault="00190ED0" w:rsidP="009924B5">
            <w:pPr>
              <w:spacing w:line="280" w:lineRule="atLeast"/>
              <w:jc w:val="center"/>
              <w:rPr>
                <w:rFonts w:eastAsiaTheme="minorHAnsi" w:cs="Arial"/>
                <w:szCs w:val="22"/>
              </w:rPr>
            </w:pPr>
            <w:r>
              <w:rPr>
                <w:rFonts w:eastAsiaTheme="minorHAnsi" w:cs="Arial"/>
                <w:szCs w:val="22"/>
              </w:rPr>
              <w:t>45</w:t>
            </w:r>
          </w:p>
        </w:tc>
      </w:tr>
      <w:tr w:rsidR="00190ED0" w:rsidTr="009924B5">
        <w:tc>
          <w:tcPr>
            <w:tcW w:w="4361" w:type="dxa"/>
          </w:tcPr>
          <w:p w:rsidR="00190ED0" w:rsidRDefault="00190ED0" w:rsidP="00A52B6E">
            <w:pPr>
              <w:spacing w:line="280" w:lineRule="atLeast"/>
              <w:rPr>
                <w:rFonts w:eastAsiaTheme="minorHAnsi" w:cs="Arial"/>
                <w:szCs w:val="22"/>
              </w:rPr>
            </w:pPr>
            <w:r>
              <w:rPr>
                <w:rFonts w:eastAsiaTheme="minorHAnsi" w:cs="Arial"/>
                <w:szCs w:val="22"/>
              </w:rPr>
              <w:t>Individual</w:t>
            </w:r>
          </w:p>
        </w:tc>
        <w:tc>
          <w:tcPr>
            <w:tcW w:w="2693" w:type="dxa"/>
          </w:tcPr>
          <w:p w:rsidR="00190ED0" w:rsidRDefault="00190ED0" w:rsidP="009924B5">
            <w:pPr>
              <w:spacing w:line="280" w:lineRule="atLeast"/>
              <w:jc w:val="center"/>
              <w:rPr>
                <w:rFonts w:eastAsiaTheme="minorHAnsi" w:cs="Arial"/>
                <w:szCs w:val="22"/>
              </w:rPr>
            </w:pPr>
            <w:r>
              <w:rPr>
                <w:rFonts w:eastAsiaTheme="minorHAnsi" w:cs="Arial"/>
                <w:szCs w:val="22"/>
              </w:rPr>
              <w:t>18</w:t>
            </w:r>
          </w:p>
        </w:tc>
      </w:tr>
      <w:tr w:rsidR="00190ED0" w:rsidTr="009924B5">
        <w:tc>
          <w:tcPr>
            <w:tcW w:w="4361" w:type="dxa"/>
          </w:tcPr>
          <w:p w:rsidR="00190ED0" w:rsidRDefault="00190ED0" w:rsidP="00A52B6E">
            <w:pPr>
              <w:spacing w:line="280" w:lineRule="atLeast"/>
              <w:rPr>
                <w:rFonts w:eastAsiaTheme="minorHAnsi" w:cs="Arial"/>
                <w:szCs w:val="22"/>
              </w:rPr>
            </w:pPr>
            <w:r>
              <w:rPr>
                <w:rFonts w:eastAsiaTheme="minorHAnsi" w:cs="Arial"/>
                <w:szCs w:val="22"/>
              </w:rPr>
              <w:t>College, peak body and professional association</w:t>
            </w:r>
          </w:p>
        </w:tc>
        <w:tc>
          <w:tcPr>
            <w:tcW w:w="2693" w:type="dxa"/>
          </w:tcPr>
          <w:p w:rsidR="00190ED0" w:rsidRDefault="00190ED0" w:rsidP="009924B5">
            <w:pPr>
              <w:spacing w:line="280" w:lineRule="atLeast"/>
              <w:jc w:val="center"/>
              <w:rPr>
                <w:rFonts w:eastAsiaTheme="minorHAnsi" w:cs="Arial"/>
                <w:szCs w:val="22"/>
              </w:rPr>
            </w:pPr>
            <w:r>
              <w:rPr>
                <w:rFonts w:eastAsiaTheme="minorHAnsi" w:cs="Arial"/>
                <w:szCs w:val="22"/>
              </w:rPr>
              <w:t>16</w:t>
            </w:r>
          </w:p>
        </w:tc>
      </w:tr>
      <w:tr w:rsidR="00190ED0" w:rsidTr="009924B5">
        <w:tc>
          <w:tcPr>
            <w:tcW w:w="4361" w:type="dxa"/>
          </w:tcPr>
          <w:p w:rsidR="00190ED0" w:rsidRDefault="00190ED0" w:rsidP="00A52B6E">
            <w:pPr>
              <w:spacing w:line="280" w:lineRule="atLeast"/>
              <w:rPr>
                <w:rFonts w:eastAsiaTheme="minorHAnsi" w:cs="Arial"/>
                <w:szCs w:val="22"/>
              </w:rPr>
            </w:pPr>
            <w:r>
              <w:rPr>
                <w:rFonts w:eastAsiaTheme="minorHAnsi" w:cs="Arial"/>
                <w:szCs w:val="22"/>
              </w:rPr>
              <w:t>Government department</w:t>
            </w:r>
          </w:p>
        </w:tc>
        <w:tc>
          <w:tcPr>
            <w:tcW w:w="2693" w:type="dxa"/>
          </w:tcPr>
          <w:p w:rsidR="00190ED0" w:rsidRDefault="00190ED0" w:rsidP="009924B5">
            <w:pPr>
              <w:spacing w:line="280" w:lineRule="atLeast"/>
              <w:jc w:val="center"/>
              <w:rPr>
                <w:rFonts w:eastAsiaTheme="minorHAnsi" w:cs="Arial"/>
                <w:szCs w:val="22"/>
              </w:rPr>
            </w:pPr>
            <w:r>
              <w:rPr>
                <w:rFonts w:eastAsiaTheme="minorHAnsi" w:cs="Arial"/>
                <w:szCs w:val="22"/>
              </w:rPr>
              <w:t>13</w:t>
            </w:r>
          </w:p>
        </w:tc>
      </w:tr>
      <w:tr w:rsidR="00190ED0" w:rsidTr="009924B5">
        <w:tc>
          <w:tcPr>
            <w:tcW w:w="4361" w:type="dxa"/>
          </w:tcPr>
          <w:p w:rsidR="00190ED0" w:rsidRDefault="00190ED0" w:rsidP="00116126">
            <w:pPr>
              <w:spacing w:line="280" w:lineRule="atLeast"/>
              <w:rPr>
                <w:rFonts w:eastAsiaTheme="minorHAnsi" w:cs="Arial"/>
                <w:szCs w:val="22"/>
              </w:rPr>
            </w:pPr>
            <w:r>
              <w:rPr>
                <w:rFonts w:eastAsiaTheme="minorHAnsi" w:cs="Arial"/>
                <w:szCs w:val="22"/>
              </w:rPr>
              <w:t xml:space="preserve">Other </w:t>
            </w:r>
          </w:p>
        </w:tc>
        <w:tc>
          <w:tcPr>
            <w:tcW w:w="2693" w:type="dxa"/>
          </w:tcPr>
          <w:p w:rsidR="00190ED0" w:rsidRDefault="00190ED0" w:rsidP="009924B5">
            <w:pPr>
              <w:spacing w:line="280" w:lineRule="atLeast"/>
              <w:jc w:val="center"/>
              <w:rPr>
                <w:rFonts w:eastAsiaTheme="minorHAnsi" w:cs="Arial"/>
                <w:szCs w:val="22"/>
              </w:rPr>
            </w:pPr>
            <w:r>
              <w:rPr>
                <w:rFonts w:eastAsiaTheme="minorHAnsi" w:cs="Arial"/>
                <w:szCs w:val="22"/>
              </w:rPr>
              <w:t>7</w:t>
            </w:r>
          </w:p>
        </w:tc>
      </w:tr>
      <w:tr w:rsidR="00190ED0" w:rsidRPr="00116126" w:rsidTr="009924B5">
        <w:tc>
          <w:tcPr>
            <w:tcW w:w="4361" w:type="dxa"/>
          </w:tcPr>
          <w:p w:rsidR="00190ED0" w:rsidRPr="009924B5" w:rsidRDefault="00190ED0" w:rsidP="00A52B6E">
            <w:pPr>
              <w:spacing w:line="280" w:lineRule="atLeast"/>
              <w:rPr>
                <w:rFonts w:eastAsiaTheme="minorHAnsi" w:cs="Arial"/>
                <w:b/>
                <w:szCs w:val="22"/>
              </w:rPr>
            </w:pPr>
            <w:r w:rsidRPr="009924B5">
              <w:rPr>
                <w:rFonts w:eastAsiaTheme="minorHAnsi" w:cs="Arial"/>
                <w:b/>
                <w:szCs w:val="22"/>
              </w:rPr>
              <w:t>Total</w:t>
            </w:r>
          </w:p>
        </w:tc>
        <w:tc>
          <w:tcPr>
            <w:tcW w:w="2693" w:type="dxa"/>
          </w:tcPr>
          <w:p w:rsidR="00190ED0" w:rsidRPr="009924B5" w:rsidRDefault="00190ED0" w:rsidP="009924B5">
            <w:pPr>
              <w:spacing w:line="280" w:lineRule="atLeast"/>
              <w:jc w:val="center"/>
              <w:rPr>
                <w:rFonts w:eastAsiaTheme="minorHAnsi" w:cs="Arial"/>
                <w:b/>
                <w:szCs w:val="22"/>
              </w:rPr>
            </w:pPr>
            <w:r w:rsidRPr="009924B5">
              <w:rPr>
                <w:rFonts w:eastAsiaTheme="minorHAnsi" w:cs="Arial"/>
                <w:b/>
                <w:szCs w:val="22"/>
              </w:rPr>
              <w:t>99</w:t>
            </w:r>
          </w:p>
        </w:tc>
      </w:tr>
    </w:tbl>
    <w:p w:rsidR="00116126" w:rsidRDefault="00116126" w:rsidP="00A52B6E">
      <w:pPr>
        <w:spacing w:line="280" w:lineRule="atLeast"/>
        <w:rPr>
          <w:rFonts w:eastAsiaTheme="minorHAnsi" w:cs="Arial"/>
          <w:szCs w:val="22"/>
        </w:rPr>
      </w:pPr>
    </w:p>
    <w:p w:rsidR="00257B9B" w:rsidRDefault="00F2650F" w:rsidP="00A52B6E">
      <w:pPr>
        <w:spacing w:line="280" w:lineRule="atLeast"/>
        <w:rPr>
          <w:rFonts w:eastAsia="Calibri" w:cs="Arial"/>
          <w:bCs/>
          <w:szCs w:val="22"/>
        </w:rPr>
      </w:pPr>
      <w:r>
        <w:rPr>
          <w:rFonts w:eastAsiaTheme="minorHAnsi" w:cs="Arial"/>
          <w:szCs w:val="22"/>
        </w:rPr>
        <w:t>Most</w:t>
      </w:r>
      <w:r w:rsidR="00EF77EB" w:rsidRPr="00000AF4">
        <w:rPr>
          <w:rFonts w:eastAsiaTheme="minorHAnsi" w:cs="Arial"/>
          <w:szCs w:val="22"/>
        </w:rPr>
        <w:t xml:space="preserve"> </w:t>
      </w:r>
      <w:r w:rsidR="001D4F3A">
        <w:rPr>
          <w:rFonts w:eastAsiaTheme="minorHAnsi" w:cs="Arial"/>
          <w:szCs w:val="22"/>
        </w:rPr>
        <w:t xml:space="preserve">submissions </w:t>
      </w:r>
      <w:r w:rsidR="000A5307">
        <w:rPr>
          <w:rFonts w:eastAsiaTheme="minorHAnsi" w:cs="Arial"/>
          <w:szCs w:val="22"/>
        </w:rPr>
        <w:t>provided detailed information about the current approach to training within their organisations</w:t>
      </w:r>
      <w:r w:rsidR="00257B9B">
        <w:rPr>
          <w:rFonts w:eastAsiaTheme="minorHAnsi" w:cs="Arial"/>
          <w:szCs w:val="22"/>
        </w:rPr>
        <w:t>, and this varied widely</w:t>
      </w:r>
      <w:r>
        <w:rPr>
          <w:rFonts w:eastAsiaTheme="minorHAnsi" w:cs="Arial"/>
          <w:szCs w:val="22"/>
        </w:rPr>
        <w:t xml:space="preserve">. </w:t>
      </w:r>
      <w:r w:rsidR="000D7AD6">
        <w:rPr>
          <w:rFonts w:eastAsia="Calibri" w:cs="Arial"/>
          <w:bCs/>
          <w:szCs w:val="22"/>
        </w:rPr>
        <w:t>Overall</w:t>
      </w:r>
      <w:r w:rsidR="00683AFB">
        <w:rPr>
          <w:rFonts w:eastAsia="Calibri" w:cs="Arial"/>
          <w:bCs/>
          <w:szCs w:val="22"/>
        </w:rPr>
        <w:t>,</w:t>
      </w:r>
      <w:r w:rsidR="00683AFB" w:rsidRPr="001D4F3A">
        <w:rPr>
          <w:rFonts w:eastAsia="Calibri" w:cs="Arial"/>
          <w:bCs/>
          <w:szCs w:val="22"/>
        </w:rPr>
        <w:t xml:space="preserve"> there </w:t>
      </w:r>
      <w:r w:rsidR="00683AFB">
        <w:rPr>
          <w:rFonts w:eastAsia="Calibri" w:cs="Arial"/>
          <w:bCs/>
          <w:szCs w:val="22"/>
        </w:rPr>
        <w:t>was a lack of</w:t>
      </w:r>
      <w:r w:rsidR="00683AFB" w:rsidRPr="001D4F3A">
        <w:rPr>
          <w:rFonts w:eastAsia="Calibri" w:cs="Arial"/>
          <w:bCs/>
          <w:szCs w:val="22"/>
        </w:rPr>
        <w:t xml:space="preserve"> consensus a</w:t>
      </w:r>
      <w:r w:rsidR="00683AFB">
        <w:rPr>
          <w:rFonts w:eastAsia="Calibri" w:cs="Arial"/>
          <w:bCs/>
          <w:szCs w:val="22"/>
        </w:rPr>
        <w:t xml:space="preserve">bout what minimum standard </w:t>
      </w:r>
      <w:r w:rsidR="000D7AD6">
        <w:rPr>
          <w:rFonts w:eastAsia="Calibri" w:cs="Arial"/>
          <w:bCs/>
          <w:szCs w:val="22"/>
        </w:rPr>
        <w:t xml:space="preserve">of training </w:t>
      </w:r>
      <w:r w:rsidR="00683AFB">
        <w:rPr>
          <w:rFonts w:eastAsia="Calibri" w:cs="Arial"/>
          <w:bCs/>
          <w:szCs w:val="22"/>
        </w:rPr>
        <w:t>sh</w:t>
      </w:r>
      <w:r w:rsidR="00683AFB" w:rsidRPr="001D4F3A">
        <w:rPr>
          <w:rFonts w:eastAsia="Calibri" w:cs="Arial"/>
          <w:bCs/>
          <w:szCs w:val="22"/>
        </w:rPr>
        <w:t>ould</w:t>
      </w:r>
      <w:r w:rsidR="00683AFB">
        <w:rPr>
          <w:rFonts w:eastAsia="Calibri" w:cs="Arial"/>
          <w:bCs/>
          <w:szCs w:val="22"/>
        </w:rPr>
        <w:t xml:space="preserve"> be</w:t>
      </w:r>
      <w:r w:rsidR="00683AFB" w:rsidRPr="001D4F3A">
        <w:rPr>
          <w:rFonts w:eastAsia="Calibri" w:cs="Arial"/>
          <w:bCs/>
          <w:szCs w:val="22"/>
        </w:rPr>
        <w:t xml:space="preserve"> require</w:t>
      </w:r>
      <w:r w:rsidR="00683AFB">
        <w:rPr>
          <w:rFonts w:eastAsia="Calibri" w:cs="Arial"/>
          <w:bCs/>
          <w:szCs w:val="22"/>
        </w:rPr>
        <w:t>d</w:t>
      </w:r>
      <w:r w:rsidR="00683AFB" w:rsidRPr="001D4F3A">
        <w:rPr>
          <w:rFonts w:eastAsia="Calibri" w:cs="Arial"/>
          <w:bCs/>
          <w:szCs w:val="22"/>
        </w:rPr>
        <w:t>, and whether or not this would</w:t>
      </w:r>
      <w:r w:rsidR="00683AFB">
        <w:rPr>
          <w:rFonts w:eastAsia="Calibri" w:cs="Arial"/>
          <w:bCs/>
          <w:szCs w:val="22"/>
        </w:rPr>
        <w:t xml:space="preserve"> </w:t>
      </w:r>
      <w:r w:rsidR="00683AFB" w:rsidRPr="001D4F3A">
        <w:rPr>
          <w:rFonts w:eastAsia="Calibri" w:cs="Arial"/>
          <w:bCs/>
          <w:szCs w:val="22"/>
        </w:rPr>
        <w:t>include basic life support (BLS).</w:t>
      </w:r>
      <w:r w:rsidR="00D75F6D">
        <w:rPr>
          <w:rFonts w:eastAsia="Calibri" w:cs="Arial"/>
          <w:bCs/>
          <w:szCs w:val="22"/>
        </w:rPr>
        <w:t xml:space="preserve"> The feedback obtained from the consultation is summarised in this section under three broad headings: training, demonstrating and maintaining competency, and mandating training through the NSQHS Standards.</w:t>
      </w:r>
    </w:p>
    <w:p w:rsidR="00A52B6E" w:rsidRDefault="00A52B6E" w:rsidP="00A52B6E">
      <w:pPr>
        <w:spacing w:line="280" w:lineRule="atLeast"/>
        <w:rPr>
          <w:rFonts w:eastAsiaTheme="minorHAnsi" w:cs="Arial"/>
          <w:szCs w:val="22"/>
        </w:rPr>
      </w:pPr>
    </w:p>
    <w:p w:rsidR="00511F21" w:rsidRPr="00A52B6E" w:rsidRDefault="00C20961" w:rsidP="00A52B6E">
      <w:pPr>
        <w:pStyle w:val="Suheading2"/>
        <w:spacing w:line="280" w:lineRule="atLeast"/>
        <w:rPr>
          <w:sz w:val="28"/>
          <w:szCs w:val="28"/>
        </w:rPr>
      </w:pPr>
      <w:r w:rsidRPr="00A52B6E">
        <w:rPr>
          <w:sz w:val="28"/>
          <w:szCs w:val="28"/>
        </w:rPr>
        <w:t>Training</w:t>
      </w:r>
    </w:p>
    <w:p w:rsidR="009C2AF2" w:rsidRDefault="00C20961" w:rsidP="00A52B6E">
      <w:pPr>
        <w:spacing w:line="280" w:lineRule="atLeast"/>
        <w:rPr>
          <w:rFonts w:eastAsiaTheme="minorHAnsi" w:cs="Arial"/>
          <w:szCs w:val="22"/>
        </w:rPr>
      </w:pPr>
      <w:r>
        <w:rPr>
          <w:rFonts w:eastAsiaTheme="minorHAnsi" w:cs="Arial"/>
          <w:szCs w:val="22"/>
        </w:rPr>
        <w:t>T</w:t>
      </w:r>
      <w:r w:rsidR="009C2AF2">
        <w:rPr>
          <w:rFonts w:eastAsiaTheme="minorHAnsi" w:cs="Arial"/>
          <w:szCs w:val="22"/>
        </w:rPr>
        <w:t xml:space="preserve">raining </w:t>
      </w:r>
      <w:r>
        <w:rPr>
          <w:rFonts w:eastAsiaTheme="minorHAnsi" w:cs="Arial"/>
          <w:szCs w:val="22"/>
        </w:rPr>
        <w:t xml:space="preserve">for recognising and responding to clinical deterioration </w:t>
      </w:r>
      <w:r w:rsidR="009C2AF2">
        <w:rPr>
          <w:rFonts w:eastAsiaTheme="minorHAnsi" w:cs="Arial"/>
          <w:szCs w:val="22"/>
        </w:rPr>
        <w:t>varied</w:t>
      </w:r>
      <w:r w:rsidR="009C2AF2" w:rsidRPr="00000AF4">
        <w:rPr>
          <w:rFonts w:eastAsiaTheme="minorHAnsi" w:cs="Arial"/>
          <w:szCs w:val="22"/>
        </w:rPr>
        <w:t xml:space="preserve"> </w:t>
      </w:r>
      <w:r w:rsidR="009C2AF2">
        <w:rPr>
          <w:rFonts w:eastAsiaTheme="minorHAnsi" w:cs="Arial"/>
          <w:szCs w:val="22"/>
        </w:rPr>
        <w:t xml:space="preserve">between </w:t>
      </w:r>
      <w:r w:rsidR="009C2AF2" w:rsidRPr="00000AF4">
        <w:rPr>
          <w:rFonts w:eastAsiaTheme="minorHAnsi" w:cs="Arial"/>
          <w:szCs w:val="22"/>
        </w:rPr>
        <w:t xml:space="preserve">organisations and </w:t>
      </w:r>
      <w:r w:rsidR="009C2AF2">
        <w:rPr>
          <w:rFonts w:eastAsiaTheme="minorHAnsi" w:cs="Arial"/>
          <w:szCs w:val="22"/>
        </w:rPr>
        <w:t xml:space="preserve">even </w:t>
      </w:r>
      <w:r w:rsidR="009C2AF2" w:rsidRPr="00000AF4">
        <w:rPr>
          <w:rFonts w:eastAsiaTheme="minorHAnsi" w:cs="Arial"/>
          <w:szCs w:val="22"/>
        </w:rPr>
        <w:t xml:space="preserve">between sites in the same health service. </w:t>
      </w:r>
      <w:r w:rsidR="009C2AF2">
        <w:rPr>
          <w:rFonts w:eastAsiaTheme="minorHAnsi" w:cs="Arial"/>
          <w:szCs w:val="22"/>
        </w:rPr>
        <w:t xml:space="preserve">A wide range of specific courses and programs were identified. </w:t>
      </w:r>
      <w:r w:rsidR="009C2AF2" w:rsidRPr="00000AF4">
        <w:rPr>
          <w:rFonts w:eastAsiaTheme="minorHAnsi" w:cs="Arial"/>
          <w:szCs w:val="22"/>
        </w:rPr>
        <w:t xml:space="preserve">Within some organisations both </w:t>
      </w:r>
      <w:r w:rsidR="009C2AF2" w:rsidRPr="001C535F">
        <w:rPr>
          <w:rFonts w:eastAsiaTheme="minorHAnsi" w:cs="Arial"/>
          <w:szCs w:val="22"/>
        </w:rPr>
        <w:t xml:space="preserve">recognition and response to clinical deterioration </w:t>
      </w:r>
      <w:r w:rsidR="009C2AF2" w:rsidRPr="00000AF4">
        <w:rPr>
          <w:rFonts w:eastAsiaTheme="minorHAnsi" w:cs="Arial"/>
          <w:szCs w:val="22"/>
        </w:rPr>
        <w:t xml:space="preserve">and basic life support training </w:t>
      </w:r>
      <w:r w:rsidR="002D6B15">
        <w:rPr>
          <w:rFonts w:eastAsiaTheme="minorHAnsi" w:cs="Arial"/>
          <w:szCs w:val="22"/>
        </w:rPr>
        <w:t>we</w:t>
      </w:r>
      <w:r w:rsidR="009C2AF2" w:rsidRPr="00000AF4">
        <w:rPr>
          <w:rFonts w:eastAsiaTheme="minorHAnsi" w:cs="Arial"/>
          <w:szCs w:val="22"/>
        </w:rPr>
        <w:t xml:space="preserve">re mandatory for clinicians </w:t>
      </w:r>
      <w:r w:rsidR="002D6B15">
        <w:rPr>
          <w:rFonts w:eastAsiaTheme="minorHAnsi" w:cs="Arial"/>
          <w:szCs w:val="22"/>
        </w:rPr>
        <w:t xml:space="preserve">as </w:t>
      </w:r>
      <w:r w:rsidR="009C2AF2" w:rsidRPr="00000AF4">
        <w:rPr>
          <w:rFonts w:eastAsiaTheme="minorHAnsi" w:cs="Arial"/>
          <w:szCs w:val="22"/>
        </w:rPr>
        <w:t xml:space="preserve">part of their ongoing employment. Elsewhere, only training in basic life support </w:t>
      </w:r>
      <w:r w:rsidR="002D6B15">
        <w:rPr>
          <w:rFonts w:eastAsiaTheme="minorHAnsi" w:cs="Arial"/>
          <w:szCs w:val="22"/>
        </w:rPr>
        <w:t>wa</w:t>
      </w:r>
      <w:r w:rsidR="009C2AF2" w:rsidRPr="00000AF4">
        <w:rPr>
          <w:rFonts w:eastAsiaTheme="minorHAnsi" w:cs="Arial"/>
          <w:szCs w:val="22"/>
        </w:rPr>
        <w:t>s mandatory. Some organisations maintain that competencies for recognising and responding to clinical deterioration are a prerequisite for clinical practice.</w:t>
      </w:r>
      <w:r w:rsidR="009C2AF2" w:rsidRPr="00270471">
        <w:rPr>
          <w:rFonts w:eastAsiaTheme="minorHAnsi" w:cs="Arial"/>
          <w:szCs w:val="22"/>
        </w:rPr>
        <w:t xml:space="preserve"> </w:t>
      </w:r>
      <w:r w:rsidR="009C2AF2" w:rsidRPr="00000AF4">
        <w:rPr>
          <w:rFonts w:eastAsiaTheme="minorHAnsi" w:cs="Arial"/>
          <w:szCs w:val="22"/>
        </w:rPr>
        <w:t>In the private sector</w:t>
      </w:r>
      <w:r w:rsidR="009C2AF2">
        <w:rPr>
          <w:rFonts w:eastAsiaTheme="minorHAnsi" w:cs="Arial"/>
          <w:szCs w:val="22"/>
        </w:rPr>
        <w:t>,</w:t>
      </w:r>
      <w:r w:rsidR="009C2AF2" w:rsidRPr="00000AF4">
        <w:rPr>
          <w:rFonts w:eastAsiaTheme="minorHAnsi" w:cs="Arial"/>
          <w:szCs w:val="22"/>
        </w:rPr>
        <w:t xml:space="preserve"> training is </w:t>
      </w:r>
      <w:r w:rsidR="009C2AF2">
        <w:rPr>
          <w:rFonts w:eastAsiaTheme="minorHAnsi" w:cs="Arial"/>
          <w:szCs w:val="22"/>
        </w:rPr>
        <w:t xml:space="preserve">generally </w:t>
      </w:r>
      <w:r w:rsidR="009C2AF2" w:rsidRPr="00000AF4">
        <w:rPr>
          <w:rFonts w:eastAsiaTheme="minorHAnsi" w:cs="Arial"/>
          <w:szCs w:val="22"/>
        </w:rPr>
        <w:t xml:space="preserve">only </w:t>
      </w:r>
      <w:r w:rsidR="009C2AF2">
        <w:rPr>
          <w:rFonts w:eastAsiaTheme="minorHAnsi" w:cs="Arial"/>
          <w:szCs w:val="22"/>
        </w:rPr>
        <w:t xml:space="preserve">mandatory for staff employed by the hospital and not for </w:t>
      </w:r>
      <w:r w:rsidR="002D6B15">
        <w:rPr>
          <w:rFonts w:eastAsiaTheme="minorHAnsi" w:cs="Arial"/>
          <w:szCs w:val="22"/>
        </w:rPr>
        <w:t>doctors</w:t>
      </w:r>
      <w:r w:rsidR="00190ED0">
        <w:rPr>
          <w:rFonts w:eastAsiaTheme="minorHAnsi" w:cs="Arial"/>
          <w:szCs w:val="22"/>
        </w:rPr>
        <w:t xml:space="preserve"> and other health professionals</w:t>
      </w:r>
      <w:r w:rsidR="002D6B15">
        <w:rPr>
          <w:rFonts w:eastAsiaTheme="minorHAnsi" w:cs="Arial"/>
          <w:szCs w:val="22"/>
        </w:rPr>
        <w:t xml:space="preserve"> who are not employed</w:t>
      </w:r>
      <w:r w:rsidR="009C2AF2">
        <w:rPr>
          <w:rFonts w:eastAsiaTheme="minorHAnsi" w:cs="Arial"/>
          <w:szCs w:val="22"/>
        </w:rPr>
        <w:t xml:space="preserve">. </w:t>
      </w:r>
      <w:r w:rsidR="009C2AF2" w:rsidRPr="00000AF4">
        <w:rPr>
          <w:rFonts w:eastAsiaTheme="minorHAnsi" w:cs="Arial"/>
          <w:szCs w:val="22"/>
        </w:rPr>
        <w:t xml:space="preserve">Across the board, services report higher level mandatory training requirements for clinicians providing critical care or working in specialist areas. </w:t>
      </w:r>
    </w:p>
    <w:p w:rsidR="00EF77EB" w:rsidRPr="00000AF4" w:rsidRDefault="00F2650F" w:rsidP="00A52B6E">
      <w:pPr>
        <w:spacing w:line="280" w:lineRule="atLeast"/>
        <w:rPr>
          <w:rFonts w:eastAsiaTheme="minorHAnsi" w:cs="Arial"/>
          <w:szCs w:val="22"/>
        </w:rPr>
      </w:pPr>
      <w:r>
        <w:rPr>
          <w:rFonts w:eastAsiaTheme="minorHAnsi" w:cs="Arial"/>
          <w:szCs w:val="22"/>
        </w:rPr>
        <w:t>C</w:t>
      </w:r>
      <w:r w:rsidR="001D4F3A">
        <w:rPr>
          <w:rFonts w:eastAsiaTheme="minorHAnsi" w:cs="Arial"/>
          <w:szCs w:val="22"/>
        </w:rPr>
        <w:t xml:space="preserve">ompetencies </w:t>
      </w:r>
      <w:r w:rsidR="00EF77EB" w:rsidRPr="00000AF4">
        <w:rPr>
          <w:rFonts w:eastAsiaTheme="minorHAnsi" w:cs="Arial"/>
          <w:szCs w:val="22"/>
        </w:rPr>
        <w:t xml:space="preserve">for recognising and responding to clinical deterioration </w:t>
      </w:r>
      <w:r>
        <w:rPr>
          <w:rFonts w:eastAsiaTheme="minorHAnsi" w:cs="Arial"/>
          <w:szCs w:val="22"/>
        </w:rPr>
        <w:t>that were</w:t>
      </w:r>
      <w:r w:rsidR="000D7AD6">
        <w:rPr>
          <w:rFonts w:eastAsiaTheme="minorHAnsi" w:cs="Arial"/>
          <w:szCs w:val="22"/>
        </w:rPr>
        <w:t xml:space="preserve"> commonly</w:t>
      </w:r>
      <w:r>
        <w:rPr>
          <w:rFonts w:eastAsiaTheme="minorHAnsi" w:cs="Arial"/>
          <w:szCs w:val="22"/>
        </w:rPr>
        <w:t xml:space="preserve"> listed </w:t>
      </w:r>
      <w:r w:rsidR="000D7AD6">
        <w:rPr>
          <w:rFonts w:eastAsiaTheme="minorHAnsi" w:cs="Arial"/>
          <w:szCs w:val="22"/>
        </w:rPr>
        <w:t xml:space="preserve">in the submissions </w:t>
      </w:r>
      <w:r w:rsidR="00EF77EB" w:rsidRPr="00000AF4">
        <w:rPr>
          <w:rFonts w:eastAsiaTheme="minorHAnsi" w:cs="Arial"/>
          <w:szCs w:val="22"/>
        </w:rPr>
        <w:t>included:</w:t>
      </w:r>
    </w:p>
    <w:p w:rsidR="00EF77EB" w:rsidRPr="00000AF4" w:rsidRDefault="00EF77EB" w:rsidP="00A52B6E">
      <w:pPr>
        <w:numPr>
          <w:ilvl w:val="0"/>
          <w:numId w:val="7"/>
        </w:numPr>
        <w:spacing w:line="280" w:lineRule="atLeast"/>
        <w:contextualSpacing/>
        <w:rPr>
          <w:rFonts w:eastAsiaTheme="minorHAnsi" w:cs="Arial"/>
          <w:szCs w:val="22"/>
        </w:rPr>
      </w:pPr>
      <w:r w:rsidRPr="00000AF4">
        <w:rPr>
          <w:rFonts w:eastAsiaTheme="minorHAnsi" w:cs="Arial"/>
          <w:szCs w:val="22"/>
        </w:rPr>
        <w:t xml:space="preserve">knowledge of the common physiological signs for detecting deterioration </w:t>
      </w:r>
    </w:p>
    <w:p w:rsidR="00EF77EB" w:rsidRPr="00000AF4" w:rsidRDefault="00EF77EB" w:rsidP="00A52B6E">
      <w:pPr>
        <w:numPr>
          <w:ilvl w:val="0"/>
          <w:numId w:val="7"/>
        </w:numPr>
        <w:spacing w:line="280" w:lineRule="atLeast"/>
        <w:contextualSpacing/>
        <w:rPr>
          <w:rFonts w:eastAsiaTheme="minorHAnsi" w:cs="Arial"/>
          <w:szCs w:val="22"/>
        </w:rPr>
      </w:pPr>
      <w:r w:rsidRPr="00000AF4">
        <w:rPr>
          <w:rFonts w:eastAsiaTheme="minorHAnsi" w:cs="Arial"/>
          <w:szCs w:val="22"/>
        </w:rPr>
        <w:lastRenderedPageBreak/>
        <w:t xml:space="preserve">recognition of clinical deterioration </w:t>
      </w:r>
    </w:p>
    <w:p w:rsidR="00EF77EB" w:rsidRPr="00000AF4" w:rsidRDefault="00EF77EB" w:rsidP="00A52B6E">
      <w:pPr>
        <w:numPr>
          <w:ilvl w:val="0"/>
          <w:numId w:val="7"/>
        </w:numPr>
        <w:spacing w:line="280" w:lineRule="atLeast"/>
        <w:contextualSpacing/>
        <w:rPr>
          <w:rFonts w:eastAsiaTheme="minorHAnsi" w:cs="Arial"/>
          <w:szCs w:val="22"/>
        </w:rPr>
      </w:pPr>
      <w:r w:rsidRPr="00000AF4">
        <w:rPr>
          <w:rFonts w:eastAsiaTheme="minorHAnsi" w:cs="Arial"/>
          <w:szCs w:val="22"/>
        </w:rPr>
        <w:t xml:space="preserve">interpretation of </w:t>
      </w:r>
      <w:r w:rsidR="009C2AF2" w:rsidRPr="00000AF4">
        <w:rPr>
          <w:rFonts w:eastAsiaTheme="minorHAnsi" w:cs="Arial"/>
          <w:szCs w:val="22"/>
        </w:rPr>
        <w:t xml:space="preserve">vital signs and other </w:t>
      </w:r>
      <w:r w:rsidRPr="00000AF4">
        <w:rPr>
          <w:rFonts w:eastAsiaTheme="minorHAnsi" w:cs="Arial"/>
          <w:szCs w:val="22"/>
        </w:rPr>
        <w:t xml:space="preserve">abnormal physiological parameters </w:t>
      </w:r>
    </w:p>
    <w:p w:rsidR="00EF77EB" w:rsidRPr="00000AF4" w:rsidRDefault="009C2AF2" w:rsidP="00A52B6E">
      <w:pPr>
        <w:numPr>
          <w:ilvl w:val="0"/>
          <w:numId w:val="7"/>
        </w:numPr>
        <w:spacing w:line="280" w:lineRule="atLeast"/>
        <w:contextualSpacing/>
        <w:rPr>
          <w:rFonts w:eastAsiaTheme="minorHAnsi" w:cs="Arial"/>
          <w:szCs w:val="22"/>
        </w:rPr>
      </w:pPr>
      <w:r>
        <w:rPr>
          <w:rFonts w:eastAsiaTheme="minorHAnsi" w:cs="Arial"/>
          <w:szCs w:val="22"/>
        </w:rPr>
        <w:t xml:space="preserve">knowledge of local </w:t>
      </w:r>
      <w:r w:rsidR="00EF77EB" w:rsidRPr="00000AF4">
        <w:rPr>
          <w:rFonts w:eastAsiaTheme="minorHAnsi" w:cs="Arial"/>
          <w:szCs w:val="22"/>
        </w:rPr>
        <w:t xml:space="preserve">escalation </w:t>
      </w:r>
      <w:r>
        <w:rPr>
          <w:rFonts w:eastAsiaTheme="minorHAnsi" w:cs="Arial"/>
          <w:szCs w:val="22"/>
        </w:rPr>
        <w:t>processes and skills in graded assertiveness</w:t>
      </w:r>
      <w:r w:rsidR="00EF77EB" w:rsidRPr="00000AF4">
        <w:rPr>
          <w:rFonts w:eastAsiaTheme="minorHAnsi" w:cs="Arial"/>
          <w:szCs w:val="22"/>
        </w:rPr>
        <w:t xml:space="preserve"> </w:t>
      </w:r>
    </w:p>
    <w:p w:rsidR="00EF77EB" w:rsidRPr="00000AF4" w:rsidRDefault="00EF77EB" w:rsidP="00A52B6E">
      <w:pPr>
        <w:numPr>
          <w:ilvl w:val="0"/>
          <w:numId w:val="7"/>
        </w:numPr>
        <w:spacing w:line="280" w:lineRule="atLeast"/>
        <w:contextualSpacing/>
        <w:rPr>
          <w:rFonts w:eastAsiaTheme="minorHAnsi" w:cs="Arial"/>
          <w:szCs w:val="22"/>
        </w:rPr>
      </w:pPr>
      <w:r w:rsidRPr="00000AF4">
        <w:rPr>
          <w:rFonts w:eastAsiaTheme="minorHAnsi" w:cs="Arial"/>
          <w:szCs w:val="22"/>
        </w:rPr>
        <w:t xml:space="preserve">capacity to provide initial care (within </w:t>
      </w:r>
      <w:r w:rsidR="002D31F3">
        <w:rPr>
          <w:rFonts w:eastAsiaTheme="minorHAnsi" w:cs="Arial"/>
          <w:szCs w:val="22"/>
        </w:rPr>
        <w:t>an agreed</w:t>
      </w:r>
      <w:r w:rsidR="002D31F3" w:rsidRPr="00000AF4">
        <w:rPr>
          <w:rFonts w:eastAsiaTheme="minorHAnsi" w:cs="Arial"/>
          <w:szCs w:val="22"/>
        </w:rPr>
        <w:t xml:space="preserve"> </w:t>
      </w:r>
      <w:r w:rsidRPr="00000AF4">
        <w:rPr>
          <w:rFonts w:eastAsiaTheme="minorHAnsi" w:cs="Arial"/>
          <w:szCs w:val="22"/>
        </w:rPr>
        <w:t>scope of practice) until help arrives</w:t>
      </w:r>
    </w:p>
    <w:p w:rsidR="00EF77EB" w:rsidRPr="00000AF4" w:rsidRDefault="00EF77EB" w:rsidP="00A52B6E">
      <w:pPr>
        <w:numPr>
          <w:ilvl w:val="0"/>
          <w:numId w:val="7"/>
        </w:numPr>
        <w:spacing w:line="280" w:lineRule="atLeast"/>
        <w:contextualSpacing/>
        <w:rPr>
          <w:rFonts w:eastAsiaTheme="minorHAnsi" w:cs="Arial"/>
          <w:szCs w:val="22"/>
        </w:rPr>
      </w:pPr>
      <w:r w:rsidRPr="00000AF4">
        <w:rPr>
          <w:rFonts w:eastAsiaTheme="minorHAnsi" w:cs="Arial"/>
          <w:szCs w:val="22"/>
        </w:rPr>
        <w:t>communication</w:t>
      </w:r>
      <w:r w:rsidR="009C2AF2">
        <w:rPr>
          <w:rFonts w:eastAsiaTheme="minorHAnsi" w:cs="Arial"/>
          <w:szCs w:val="22"/>
        </w:rPr>
        <w:t>, handover and documentation</w:t>
      </w:r>
    </w:p>
    <w:p w:rsidR="00EF77EB" w:rsidRPr="00000AF4" w:rsidRDefault="00EF77EB" w:rsidP="00A52B6E">
      <w:pPr>
        <w:numPr>
          <w:ilvl w:val="0"/>
          <w:numId w:val="7"/>
        </w:numPr>
        <w:spacing w:line="280" w:lineRule="atLeast"/>
        <w:rPr>
          <w:rFonts w:eastAsiaTheme="minorHAnsi" w:cs="Arial"/>
          <w:szCs w:val="22"/>
        </w:rPr>
      </w:pPr>
      <w:proofErr w:type="gramStart"/>
      <w:r w:rsidRPr="00000AF4">
        <w:rPr>
          <w:rFonts w:eastAsiaTheme="minorHAnsi" w:cs="Arial"/>
          <w:szCs w:val="22"/>
        </w:rPr>
        <w:t>interdisciplinary</w:t>
      </w:r>
      <w:proofErr w:type="gramEnd"/>
      <w:r w:rsidRPr="00000AF4">
        <w:rPr>
          <w:rFonts w:eastAsiaTheme="minorHAnsi" w:cs="Arial"/>
          <w:szCs w:val="22"/>
        </w:rPr>
        <w:t xml:space="preserve"> teamwork.</w:t>
      </w:r>
    </w:p>
    <w:p w:rsidR="009C2AF2" w:rsidRPr="009C2AF2" w:rsidRDefault="000C0737" w:rsidP="00A52B6E">
      <w:pPr>
        <w:spacing w:line="280" w:lineRule="atLeast"/>
        <w:rPr>
          <w:rFonts w:eastAsiaTheme="minorHAnsi" w:cs="Arial"/>
          <w:szCs w:val="22"/>
        </w:rPr>
      </w:pPr>
      <w:r>
        <w:rPr>
          <w:rFonts w:eastAsiaTheme="minorHAnsi" w:cs="Arial"/>
          <w:szCs w:val="22"/>
        </w:rPr>
        <w:t>Several</w:t>
      </w:r>
      <w:r w:rsidR="009C2AF2" w:rsidRPr="009C2AF2">
        <w:rPr>
          <w:rFonts w:eastAsiaTheme="minorHAnsi" w:cs="Arial"/>
          <w:szCs w:val="22"/>
        </w:rPr>
        <w:t xml:space="preserve"> respondents also highlighted the need for clinicians to </w:t>
      </w:r>
      <w:r w:rsidR="009C2AF2">
        <w:rPr>
          <w:rFonts w:eastAsiaTheme="minorHAnsi" w:cs="Arial"/>
          <w:szCs w:val="22"/>
        </w:rPr>
        <w:t>recognise dying</w:t>
      </w:r>
      <w:r w:rsidR="009C2AF2" w:rsidRPr="009C2AF2">
        <w:rPr>
          <w:rFonts w:eastAsiaTheme="minorHAnsi" w:cs="Arial"/>
          <w:szCs w:val="22"/>
        </w:rPr>
        <w:t xml:space="preserve"> and </w:t>
      </w:r>
      <w:r w:rsidR="00B8102E">
        <w:rPr>
          <w:rFonts w:eastAsiaTheme="minorHAnsi" w:cs="Arial"/>
          <w:szCs w:val="22"/>
        </w:rPr>
        <w:t xml:space="preserve">to </w:t>
      </w:r>
      <w:r w:rsidR="009C2AF2" w:rsidRPr="009C2AF2">
        <w:rPr>
          <w:rFonts w:eastAsiaTheme="minorHAnsi" w:cs="Arial"/>
          <w:szCs w:val="22"/>
        </w:rPr>
        <w:t xml:space="preserve">be able to discuss end-of-life </w:t>
      </w:r>
      <w:r w:rsidR="009C2AF2">
        <w:rPr>
          <w:rFonts w:eastAsiaTheme="minorHAnsi" w:cs="Arial"/>
          <w:szCs w:val="22"/>
        </w:rPr>
        <w:t>issues</w:t>
      </w:r>
      <w:r w:rsidR="009C2AF2" w:rsidRPr="009C2AF2">
        <w:rPr>
          <w:rFonts w:eastAsiaTheme="minorHAnsi" w:cs="Arial"/>
          <w:szCs w:val="22"/>
        </w:rPr>
        <w:t xml:space="preserve"> with the patient, family</w:t>
      </w:r>
      <w:r w:rsidR="00B16603">
        <w:rPr>
          <w:rFonts w:eastAsiaTheme="minorHAnsi" w:cs="Arial"/>
          <w:szCs w:val="22"/>
        </w:rPr>
        <w:t xml:space="preserve">, </w:t>
      </w:r>
      <w:r w:rsidR="009C2AF2" w:rsidRPr="009C2AF2">
        <w:rPr>
          <w:rFonts w:eastAsiaTheme="minorHAnsi" w:cs="Arial"/>
          <w:szCs w:val="22"/>
        </w:rPr>
        <w:t xml:space="preserve">and carers. </w:t>
      </w:r>
    </w:p>
    <w:p w:rsidR="000D7AD6" w:rsidRDefault="000D7AD6" w:rsidP="00A52B6E">
      <w:pPr>
        <w:spacing w:line="280" w:lineRule="atLeast"/>
        <w:rPr>
          <w:rFonts w:eastAsiaTheme="minorHAnsi" w:cs="Arial"/>
          <w:szCs w:val="22"/>
        </w:rPr>
      </w:pPr>
      <w:r>
        <w:rPr>
          <w:rFonts w:eastAsiaTheme="minorHAnsi" w:cs="Arial"/>
          <w:szCs w:val="22"/>
        </w:rPr>
        <w:t>A number of issues were considered to have an impact on the s</w:t>
      </w:r>
      <w:r w:rsidRPr="000D7AD6">
        <w:rPr>
          <w:rFonts w:eastAsiaTheme="minorHAnsi" w:cs="Arial"/>
          <w:szCs w:val="22"/>
        </w:rPr>
        <w:t xml:space="preserve">kills and knowledge required by clinicians. </w:t>
      </w:r>
      <w:r>
        <w:rPr>
          <w:rFonts w:eastAsiaTheme="minorHAnsi" w:cs="Arial"/>
          <w:szCs w:val="22"/>
        </w:rPr>
        <w:t>These included</w:t>
      </w:r>
      <w:r w:rsidR="00257B9B">
        <w:rPr>
          <w:rFonts w:eastAsiaTheme="minorHAnsi" w:cs="Arial"/>
          <w:szCs w:val="22"/>
        </w:rPr>
        <w:t xml:space="preserve"> the</w:t>
      </w:r>
      <w:r>
        <w:rPr>
          <w:rFonts w:eastAsiaTheme="minorHAnsi" w:cs="Arial"/>
          <w:szCs w:val="22"/>
        </w:rPr>
        <w:t xml:space="preserve">: </w:t>
      </w:r>
    </w:p>
    <w:p w:rsidR="000D7AD6" w:rsidRDefault="000D7AD6" w:rsidP="00A52B6E">
      <w:pPr>
        <w:pStyle w:val="ListParagraph"/>
        <w:numPr>
          <w:ilvl w:val="0"/>
          <w:numId w:val="10"/>
        </w:numPr>
        <w:spacing w:line="280" w:lineRule="atLeast"/>
        <w:rPr>
          <w:rFonts w:eastAsiaTheme="minorHAnsi" w:cs="Arial"/>
          <w:szCs w:val="22"/>
        </w:rPr>
      </w:pPr>
      <w:r>
        <w:rPr>
          <w:rFonts w:eastAsiaTheme="minorHAnsi" w:cs="Arial"/>
          <w:szCs w:val="22"/>
        </w:rPr>
        <w:t>type of health service</w:t>
      </w:r>
    </w:p>
    <w:p w:rsidR="000D7AD6" w:rsidRDefault="000D7AD6" w:rsidP="00A52B6E">
      <w:pPr>
        <w:pStyle w:val="ListParagraph"/>
        <w:numPr>
          <w:ilvl w:val="0"/>
          <w:numId w:val="10"/>
        </w:numPr>
        <w:spacing w:line="280" w:lineRule="atLeast"/>
        <w:rPr>
          <w:rFonts w:eastAsiaTheme="minorHAnsi" w:cs="Arial"/>
          <w:szCs w:val="22"/>
        </w:rPr>
      </w:pPr>
      <w:r w:rsidRPr="00BF551A">
        <w:rPr>
          <w:rFonts w:eastAsiaTheme="minorHAnsi" w:cs="Arial"/>
          <w:szCs w:val="22"/>
        </w:rPr>
        <w:t>l</w:t>
      </w:r>
      <w:r>
        <w:rPr>
          <w:rFonts w:eastAsiaTheme="minorHAnsi" w:cs="Arial"/>
          <w:szCs w:val="22"/>
        </w:rPr>
        <w:t xml:space="preserve">evel of care being provided </w:t>
      </w:r>
    </w:p>
    <w:p w:rsidR="000D7AD6" w:rsidRDefault="000D7AD6" w:rsidP="00A52B6E">
      <w:pPr>
        <w:pStyle w:val="ListParagraph"/>
        <w:numPr>
          <w:ilvl w:val="0"/>
          <w:numId w:val="10"/>
        </w:numPr>
        <w:spacing w:line="280" w:lineRule="atLeast"/>
        <w:rPr>
          <w:rFonts w:eastAsiaTheme="minorHAnsi" w:cs="Arial"/>
          <w:szCs w:val="22"/>
        </w:rPr>
      </w:pPr>
      <w:r w:rsidRPr="00BF551A">
        <w:rPr>
          <w:rFonts w:eastAsiaTheme="minorHAnsi" w:cs="Arial"/>
          <w:szCs w:val="22"/>
        </w:rPr>
        <w:t>scope of prac</w:t>
      </w:r>
      <w:r>
        <w:rPr>
          <w:rFonts w:eastAsiaTheme="minorHAnsi" w:cs="Arial"/>
          <w:szCs w:val="22"/>
        </w:rPr>
        <w:t>tice for individual clinicians</w:t>
      </w:r>
    </w:p>
    <w:p w:rsidR="00257B9B" w:rsidRPr="00257B9B" w:rsidRDefault="000C4302" w:rsidP="00A52B6E">
      <w:pPr>
        <w:pStyle w:val="ListParagraph"/>
        <w:numPr>
          <w:ilvl w:val="0"/>
          <w:numId w:val="10"/>
        </w:numPr>
        <w:spacing w:line="280" w:lineRule="atLeast"/>
        <w:rPr>
          <w:rFonts w:eastAsiaTheme="minorHAnsi" w:cs="Arial"/>
          <w:szCs w:val="22"/>
        </w:rPr>
      </w:pPr>
      <w:proofErr w:type="gramStart"/>
      <w:r w:rsidRPr="00257B9B">
        <w:rPr>
          <w:rFonts w:eastAsiaTheme="minorHAnsi" w:cs="Arial"/>
          <w:szCs w:val="22"/>
        </w:rPr>
        <w:t>frequency</w:t>
      </w:r>
      <w:proofErr w:type="gramEnd"/>
      <w:r w:rsidRPr="00257B9B">
        <w:rPr>
          <w:rFonts w:eastAsiaTheme="minorHAnsi" w:cs="Arial"/>
          <w:szCs w:val="22"/>
        </w:rPr>
        <w:t xml:space="preserve"> of engagement with patien</w:t>
      </w:r>
      <w:r w:rsidR="00257B9B">
        <w:rPr>
          <w:rFonts w:eastAsiaTheme="minorHAnsi" w:cs="Arial"/>
          <w:szCs w:val="22"/>
        </w:rPr>
        <w:t>ts whose condition deteriorates.</w:t>
      </w:r>
    </w:p>
    <w:p w:rsidR="00511F21" w:rsidRDefault="00511F21" w:rsidP="00A52B6E">
      <w:pPr>
        <w:spacing w:line="280" w:lineRule="atLeast"/>
        <w:rPr>
          <w:rFonts w:eastAsiaTheme="minorHAnsi" w:cs="Arial"/>
          <w:szCs w:val="22"/>
        </w:rPr>
      </w:pPr>
      <w:r w:rsidRPr="00511F21">
        <w:rPr>
          <w:rFonts w:eastAsiaTheme="minorHAnsi" w:cs="Arial"/>
          <w:szCs w:val="22"/>
        </w:rPr>
        <w:t>Remoteness was</w:t>
      </w:r>
      <w:r>
        <w:rPr>
          <w:rFonts w:eastAsiaTheme="minorHAnsi" w:cs="Arial"/>
          <w:szCs w:val="22"/>
        </w:rPr>
        <w:t xml:space="preserve"> also</w:t>
      </w:r>
      <w:r w:rsidRPr="00511F21">
        <w:rPr>
          <w:rFonts w:eastAsiaTheme="minorHAnsi" w:cs="Arial"/>
          <w:szCs w:val="22"/>
        </w:rPr>
        <w:t xml:space="preserve"> cited as a factor influencing </w:t>
      </w:r>
      <w:r>
        <w:rPr>
          <w:rFonts w:eastAsiaTheme="minorHAnsi" w:cs="Arial"/>
          <w:szCs w:val="22"/>
        </w:rPr>
        <w:t>what</w:t>
      </w:r>
      <w:r w:rsidRPr="00511F21">
        <w:rPr>
          <w:rFonts w:eastAsiaTheme="minorHAnsi" w:cs="Arial"/>
          <w:szCs w:val="22"/>
        </w:rPr>
        <w:t xml:space="preserve"> training </w:t>
      </w:r>
      <w:r>
        <w:rPr>
          <w:rFonts w:eastAsiaTheme="minorHAnsi" w:cs="Arial"/>
          <w:szCs w:val="22"/>
        </w:rPr>
        <w:t xml:space="preserve">is </w:t>
      </w:r>
      <w:r w:rsidRPr="00511F21">
        <w:rPr>
          <w:rFonts w:eastAsiaTheme="minorHAnsi" w:cs="Arial"/>
          <w:szCs w:val="22"/>
        </w:rPr>
        <w:t xml:space="preserve">provided. </w:t>
      </w:r>
      <w:r w:rsidR="00A00549">
        <w:rPr>
          <w:rFonts w:eastAsiaTheme="minorHAnsi" w:cs="Arial"/>
          <w:szCs w:val="22"/>
        </w:rPr>
        <w:t xml:space="preserve">It was </w:t>
      </w:r>
      <w:r w:rsidRPr="00511F21">
        <w:rPr>
          <w:rFonts w:eastAsiaTheme="minorHAnsi" w:cs="Arial"/>
          <w:szCs w:val="22"/>
        </w:rPr>
        <w:t xml:space="preserve">pointed out that in remote areas staff numbers are often limited and there is a need </w:t>
      </w:r>
      <w:r>
        <w:rPr>
          <w:rFonts w:eastAsiaTheme="minorHAnsi" w:cs="Arial"/>
          <w:szCs w:val="22"/>
        </w:rPr>
        <w:t>for</w:t>
      </w:r>
      <w:r w:rsidRPr="00511F21">
        <w:rPr>
          <w:rFonts w:eastAsiaTheme="minorHAnsi" w:cs="Arial"/>
          <w:szCs w:val="22"/>
        </w:rPr>
        <w:t xml:space="preserve"> clinician</w:t>
      </w:r>
      <w:r>
        <w:rPr>
          <w:rFonts w:eastAsiaTheme="minorHAnsi" w:cs="Arial"/>
          <w:szCs w:val="22"/>
        </w:rPr>
        <w:t>s to have more advanced training</w:t>
      </w:r>
      <w:r w:rsidRPr="00511F21">
        <w:rPr>
          <w:rFonts w:eastAsiaTheme="minorHAnsi" w:cs="Arial"/>
          <w:szCs w:val="22"/>
        </w:rPr>
        <w:t xml:space="preserve">. </w:t>
      </w:r>
      <w:r w:rsidR="002D6B15">
        <w:rPr>
          <w:rFonts w:eastAsiaTheme="minorHAnsi" w:cs="Arial"/>
          <w:szCs w:val="22"/>
        </w:rPr>
        <w:t xml:space="preserve">Some </w:t>
      </w:r>
      <w:r w:rsidR="00A00549">
        <w:rPr>
          <w:rFonts w:eastAsiaTheme="minorHAnsi" w:cs="Arial"/>
          <w:szCs w:val="22"/>
        </w:rPr>
        <w:t>re</w:t>
      </w:r>
      <w:r w:rsidRPr="00511F21">
        <w:rPr>
          <w:rFonts w:eastAsiaTheme="minorHAnsi" w:cs="Arial"/>
          <w:szCs w:val="22"/>
        </w:rPr>
        <w:t>spondents indicated that an additional set of skills and competencies is required for clinicians who work with paediatric and obstetric patients.</w:t>
      </w:r>
    </w:p>
    <w:p w:rsidR="00A52B6E" w:rsidRPr="00511F21" w:rsidRDefault="00A52B6E" w:rsidP="00A52B6E">
      <w:pPr>
        <w:spacing w:line="280" w:lineRule="atLeast"/>
        <w:rPr>
          <w:rFonts w:eastAsiaTheme="minorHAnsi" w:cs="Arial"/>
          <w:szCs w:val="22"/>
        </w:rPr>
      </w:pPr>
    </w:p>
    <w:p w:rsidR="00051592" w:rsidRPr="009924B5" w:rsidRDefault="00051592" w:rsidP="00A52B6E">
      <w:pPr>
        <w:pStyle w:val="Suheading2"/>
        <w:spacing w:line="280" w:lineRule="atLeast"/>
        <w:rPr>
          <w:i/>
          <w:sz w:val="24"/>
          <w:szCs w:val="24"/>
        </w:rPr>
      </w:pPr>
      <w:r w:rsidRPr="009924B5">
        <w:rPr>
          <w:i/>
          <w:sz w:val="24"/>
          <w:szCs w:val="24"/>
        </w:rPr>
        <w:t>Basic life support</w:t>
      </w:r>
    </w:p>
    <w:p w:rsidR="008C1177" w:rsidRDefault="00051592" w:rsidP="00A52B6E">
      <w:pPr>
        <w:spacing w:line="280" w:lineRule="atLeast"/>
        <w:rPr>
          <w:rFonts w:eastAsiaTheme="minorHAnsi" w:cs="Arial"/>
          <w:szCs w:val="22"/>
        </w:rPr>
      </w:pPr>
      <w:r>
        <w:rPr>
          <w:rFonts w:eastAsiaTheme="minorHAnsi" w:cs="Arial"/>
          <w:szCs w:val="22"/>
        </w:rPr>
        <w:t>Many submissions listed basic life support training as a fundamental component of training for recognising and responding to clinical deterioration</w:t>
      </w:r>
      <w:r w:rsidR="008C1177">
        <w:rPr>
          <w:rFonts w:eastAsiaTheme="minorHAnsi" w:cs="Arial"/>
          <w:szCs w:val="22"/>
        </w:rPr>
        <w:t>, although the general view was that competence in basic life support was not sufficient to adequately recognise and respond to clinical deterioration.</w:t>
      </w:r>
    </w:p>
    <w:p w:rsidR="00051592" w:rsidRDefault="008C1177" w:rsidP="00A52B6E">
      <w:pPr>
        <w:spacing w:line="280" w:lineRule="atLeast"/>
        <w:rPr>
          <w:rFonts w:eastAsiaTheme="minorHAnsi" w:cs="Arial"/>
          <w:szCs w:val="22"/>
        </w:rPr>
      </w:pPr>
      <w:r>
        <w:rPr>
          <w:rFonts w:eastAsiaTheme="minorHAnsi" w:cs="Arial"/>
          <w:szCs w:val="22"/>
        </w:rPr>
        <w:t>T</w:t>
      </w:r>
      <w:r w:rsidR="00051592">
        <w:rPr>
          <w:rFonts w:eastAsiaTheme="minorHAnsi" w:cs="Arial"/>
          <w:szCs w:val="22"/>
        </w:rPr>
        <w:t>here were a number of submissions where the value of basic life support as a core skill was questioned. For example, one submission stated that:</w:t>
      </w:r>
    </w:p>
    <w:p w:rsidR="00051592" w:rsidRPr="009924B5" w:rsidRDefault="00051592" w:rsidP="005D0B54">
      <w:pPr>
        <w:spacing w:line="280" w:lineRule="atLeast"/>
        <w:ind w:left="720"/>
        <w:rPr>
          <w:rFonts w:eastAsiaTheme="minorHAnsi" w:cs="Arial"/>
          <w:i/>
          <w:szCs w:val="22"/>
        </w:rPr>
      </w:pPr>
      <w:r>
        <w:rPr>
          <w:rFonts w:eastAsiaTheme="minorHAnsi" w:cs="Arial"/>
          <w:i/>
          <w:szCs w:val="22"/>
        </w:rPr>
        <w:t>Currently we still insist on annual competency checks for all staff on BLS (clinical and non-clinical) however this is more from established practice and historical tradition than evidence based or legislative requirements</w:t>
      </w:r>
      <w:r w:rsidRPr="00B8102E">
        <w:rPr>
          <w:rFonts w:eastAsiaTheme="minorHAnsi" w:cs="Arial"/>
          <w:i/>
          <w:szCs w:val="22"/>
        </w:rPr>
        <w:t>.</w:t>
      </w:r>
      <w:r w:rsidR="005D0B54">
        <w:rPr>
          <w:rFonts w:eastAsiaTheme="minorHAnsi" w:cs="Arial"/>
          <w:i/>
          <w:szCs w:val="22"/>
        </w:rPr>
        <w:br/>
      </w:r>
      <w:r w:rsidR="005D0B54" w:rsidRPr="009924B5">
        <w:rPr>
          <w:rFonts w:eastAsiaTheme="minorHAnsi" w:cs="Arial"/>
          <w:szCs w:val="22"/>
        </w:rPr>
        <w:t>Central Queensland Hospital and Health Service</w:t>
      </w:r>
    </w:p>
    <w:p w:rsidR="00051592" w:rsidRDefault="005D0B54" w:rsidP="00A52B6E">
      <w:pPr>
        <w:spacing w:line="280" w:lineRule="atLeast"/>
        <w:rPr>
          <w:rFonts w:eastAsiaTheme="minorHAnsi" w:cs="Arial"/>
          <w:szCs w:val="22"/>
        </w:rPr>
      </w:pPr>
      <w:r>
        <w:rPr>
          <w:rFonts w:eastAsiaTheme="minorHAnsi" w:cs="Arial"/>
          <w:szCs w:val="22"/>
        </w:rPr>
        <w:t>A number of</w:t>
      </w:r>
      <w:r w:rsidR="00B8102E">
        <w:rPr>
          <w:rFonts w:eastAsiaTheme="minorHAnsi" w:cs="Arial"/>
          <w:szCs w:val="22"/>
        </w:rPr>
        <w:t xml:space="preserve"> respondent</w:t>
      </w:r>
      <w:r>
        <w:rPr>
          <w:rFonts w:eastAsiaTheme="minorHAnsi" w:cs="Arial"/>
          <w:szCs w:val="22"/>
        </w:rPr>
        <w:t>s</w:t>
      </w:r>
      <w:r w:rsidR="00051592">
        <w:rPr>
          <w:rFonts w:eastAsiaTheme="minorHAnsi" w:cs="Arial"/>
          <w:szCs w:val="22"/>
        </w:rPr>
        <w:t xml:space="preserve"> </w:t>
      </w:r>
      <w:r>
        <w:rPr>
          <w:rFonts w:eastAsiaTheme="minorHAnsi" w:cs="Arial"/>
          <w:szCs w:val="22"/>
        </w:rPr>
        <w:t xml:space="preserve">made comments about basic life support </w:t>
      </w:r>
      <w:r w:rsidR="009924B5">
        <w:rPr>
          <w:rFonts w:eastAsiaTheme="minorHAnsi" w:cs="Arial"/>
          <w:szCs w:val="22"/>
        </w:rPr>
        <w:t>being an</w:t>
      </w:r>
      <w:r>
        <w:rPr>
          <w:rFonts w:eastAsiaTheme="minorHAnsi" w:cs="Arial"/>
          <w:szCs w:val="22"/>
        </w:rPr>
        <w:t xml:space="preserve"> ‘end stage’ intervention. One submission noted </w:t>
      </w:r>
      <w:r w:rsidR="00051592">
        <w:rPr>
          <w:rFonts w:eastAsiaTheme="minorHAnsi" w:cs="Arial"/>
          <w:szCs w:val="22"/>
        </w:rPr>
        <w:t>that b</w:t>
      </w:r>
      <w:r w:rsidR="00051592" w:rsidRPr="00000AF4">
        <w:rPr>
          <w:rFonts w:eastAsiaTheme="minorHAnsi" w:cs="Arial"/>
          <w:szCs w:val="22"/>
        </w:rPr>
        <w:t xml:space="preserve">asic life support </w:t>
      </w:r>
      <w:r w:rsidR="00051592">
        <w:rPr>
          <w:rFonts w:eastAsiaTheme="minorHAnsi" w:cs="Arial"/>
          <w:szCs w:val="22"/>
        </w:rPr>
        <w:t>is</w:t>
      </w:r>
      <w:r w:rsidR="00051592" w:rsidRPr="00000AF4">
        <w:rPr>
          <w:rFonts w:eastAsiaTheme="minorHAnsi" w:cs="Arial"/>
          <w:szCs w:val="22"/>
        </w:rPr>
        <w:t xml:space="preserve"> an intervention to provide initial care to a patient</w:t>
      </w:r>
      <w:r w:rsidR="00051592">
        <w:rPr>
          <w:rFonts w:eastAsiaTheme="minorHAnsi" w:cs="Arial"/>
          <w:szCs w:val="22"/>
        </w:rPr>
        <w:t xml:space="preserve"> who has</w:t>
      </w:r>
      <w:r w:rsidR="00051592" w:rsidRPr="00000AF4">
        <w:rPr>
          <w:rFonts w:eastAsiaTheme="minorHAnsi" w:cs="Arial"/>
          <w:szCs w:val="22"/>
        </w:rPr>
        <w:t xml:space="preserve"> </w:t>
      </w:r>
      <w:r w:rsidR="00051592">
        <w:rPr>
          <w:rFonts w:eastAsiaTheme="minorHAnsi" w:cs="Arial"/>
          <w:szCs w:val="22"/>
        </w:rPr>
        <w:t>deteriorated</w:t>
      </w:r>
      <w:r w:rsidR="00051592" w:rsidRPr="00000AF4">
        <w:rPr>
          <w:rFonts w:eastAsiaTheme="minorHAnsi" w:cs="Arial"/>
          <w:szCs w:val="22"/>
        </w:rPr>
        <w:t xml:space="preserve">, rather than a competency for </w:t>
      </w:r>
      <w:r w:rsidR="00051592">
        <w:rPr>
          <w:rFonts w:eastAsiaTheme="minorHAnsi" w:cs="Arial"/>
          <w:szCs w:val="22"/>
        </w:rPr>
        <w:t xml:space="preserve">recognising and </w:t>
      </w:r>
      <w:r w:rsidR="00051592" w:rsidRPr="00000AF4">
        <w:rPr>
          <w:rFonts w:eastAsiaTheme="minorHAnsi" w:cs="Arial"/>
          <w:szCs w:val="22"/>
        </w:rPr>
        <w:t xml:space="preserve">responding to clinical deterioration. It was argued that accurate clinical assessment and escalation of observed deterioration can prevent </w:t>
      </w:r>
      <w:r w:rsidR="00051592">
        <w:rPr>
          <w:rFonts w:eastAsiaTheme="minorHAnsi" w:cs="Arial"/>
          <w:szCs w:val="22"/>
        </w:rPr>
        <w:t>the need for resuscit</w:t>
      </w:r>
      <w:r w:rsidR="00051592" w:rsidRPr="00B175BF">
        <w:rPr>
          <w:rFonts w:eastAsiaTheme="minorHAnsi" w:cs="Arial"/>
          <w:szCs w:val="22"/>
        </w:rPr>
        <w:t>atio</w:t>
      </w:r>
      <w:r w:rsidR="00051592">
        <w:rPr>
          <w:rFonts w:eastAsiaTheme="minorHAnsi" w:cs="Arial"/>
          <w:szCs w:val="22"/>
        </w:rPr>
        <w:t>n</w:t>
      </w:r>
      <w:r w:rsidR="00051592" w:rsidRPr="00000AF4">
        <w:rPr>
          <w:rFonts w:eastAsiaTheme="minorHAnsi" w:cs="Arial"/>
          <w:szCs w:val="22"/>
        </w:rPr>
        <w:t xml:space="preserve">. </w:t>
      </w:r>
      <w:r w:rsidR="00051592">
        <w:rPr>
          <w:rFonts w:eastAsiaTheme="minorHAnsi" w:cs="Arial"/>
          <w:szCs w:val="22"/>
        </w:rPr>
        <w:t>Another submission expressed the view that basic</w:t>
      </w:r>
      <w:r w:rsidR="00051592" w:rsidRPr="00000AF4">
        <w:rPr>
          <w:rFonts w:eastAsiaTheme="minorHAnsi" w:cs="Arial"/>
          <w:szCs w:val="22"/>
        </w:rPr>
        <w:t xml:space="preserve"> life support</w:t>
      </w:r>
      <w:r w:rsidR="00051592">
        <w:rPr>
          <w:rFonts w:eastAsiaTheme="minorHAnsi" w:cs="Arial"/>
          <w:szCs w:val="22"/>
        </w:rPr>
        <w:t xml:space="preserve"> is necessary to</w:t>
      </w:r>
      <w:r w:rsidR="00051592" w:rsidRPr="00000AF4">
        <w:rPr>
          <w:rFonts w:eastAsiaTheme="minorHAnsi" w:cs="Arial"/>
          <w:szCs w:val="22"/>
        </w:rPr>
        <w:t xml:space="preserve"> manag</w:t>
      </w:r>
      <w:r w:rsidR="00051592">
        <w:rPr>
          <w:rFonts w:eastAsiaTheme="minorHAnsi" w:cs="Arial"/>
          <w:szCs w:val="22"/>
        </w:rPr>
        <w:t>e</w:t>
      </w:r>
      <w:r w:rsidR="00051592" w:rsidRPr="00000AF4">
        <w:rPr>
          <w:rFonts w:eastAsiaTheme="minorHAnsi" w:cs="Arial"/>
          <w:szCs w:val="22"/>
        </w:rPr>
        <w:t xml:space="preserve"> ‘an end point in clinical deterioration’</w:t>
      </w:r>
      <w:r w:rsidR="00B8102E">
        <w:rPr>
          <w:rFonts w:eastAsiaTheme="minorHAnsi" w:cs="Arial"/>
          <w:szCs w:val="22"/>
        </w:rPr>
        <w:t>, but</w:t>
      </w:r>
      <w:r w:rsidR="00051592">
        <w:rPr>
          <w:rFonts w:eastAsiaTheme="minorHAnsi" w:cs="Arial"/>
          <w:szCs w:val="22"/>
        </w:rPr>
        <w:t xml:space="preserve"> to make significant improvements in patient outcomes, much earlier detection and response to deterioration is required</w:t>
      </w:r>
      <w:r w:rsidR="00051592" w:rsidRPr="00000AF4">
        <w:rPr>
          <w:rFonts w:eastAsiaTheme="minorHAnsi" w:cs="Arial"/>
          <w:szCs w:val="22"/>
        </w:rPr>
        <w:t>.</w:t>
      </w:r>
    </w:p>
    <w:p w:rsidR="00A52B6E" w:rsidRPr="00000AF4" w:rsidRDefault="00A52B6E" w:rsidP="00A52B6E">
      <w:pPr>
        <w:spacing w:line="280" w:lineRule="atLeast"/>
        <w:rPr>
          <w:rFonts w:eastAsiaTheme="minorHAnsi" w:cs="Arial"/>
          <w:szCs w:val="22"/>
        </w:rPr>
      </w:pPr>
    </w:p>
    <w:p w:rsidR="00C20961" w:rsidRPr="009924B5" w:rsidRDefault="00C20961" w:rsidP="00A52B6E">
      <w:pPr>
        <w:pStyle w:val="Suheading2"/>
        <w:spacing w:line="280" w:lineRule="atLeast"/>
        <w:rPr>
          <w:i/>
          <w:sz w:val="24"/>
          <w:szCs w:val="24"/>
        </w:rPr>
      </w:pPr>
      <w:r w:rsidRPr="009924B5">
        <w:rPr>
          <w:i/>
          <w:sz w:val="24"/>
          <w:szCs w:val="24"/>
        </w:rPr>
        <w:t>Who needs training?</w:t>
      </w:r>
    </w:p>
    <w:p w:rsidR="00C20961" w:rsidRDefault="00C20961" w:rsidP="00A52B6E">
      <w:pPr>
        <w:spacing w:line="280" w:lineRule="atLeast"/>
        <w:rPr>
          <w:rFonts w:eastAsia="Calibri" w:cs="Arial"/>
          <w:bCs/>
          <w:szCs w:val="22"/>
        </w:rPr>
      </w:pPr>
      <w:r w:rsidRPr="001D4F3A">
        <w:rPr>
          <w:rFonts w:eastAsia="Calibri" w:cs="Arial"/>
          <w:bCs/>
          <w:szCs w:val="22"/>
        </w:rPr>
        <w:t xml:space="preserve">The majority of submissions </w:t>
      </w:r>
      <w:r>
        <w:rPr>
          <w:rFonts w:eastAsia="Calibri" w:cs="Arial"/>
          <w:bCs/>
          <w:szCs w:val="22"/>
        </w:rPr>
        <w:t>indicated that all clinicians</w:t>
      </w:r>
      <w:r w:rsidRPr="001D4F3A">
        <w:rPr>
          <w:rFonts w:eastAsia="Calibri" w:cs="Arial"/>
          <w:bCs/>
          <w:szCs w:val="22"/>
        </w:rPr>
        <w:t xml:space="preserve"> who provide direct patient care should have at least </w:t>
      </w:r>
      <w:r>
        <w:rPr>
          <w:rFonts w:eastAsia="Calibri" w:cs="Arial"/>
          <w:bCs/>
          <w:szCs w:val="22"/>
        </w:rPr>
        <w:t xml:space="preserve">a </w:t>
      </w:r>
      <w:r w:rsidRPr="001D4F3A">
        <w:rPr>
          <w:rFonts w:eastAsia="Calibri" w:cs="Arial"/>
          <w:bCs/>
          <w:szCs w:val="22"/>
        </w:rPr>
        <w:t xml:space="preserve">minimum standard of training and competency for recognising and responding to clinical deterioration, and that no clinician should be exempt. </w:t>
      </w:r>
    </w:p>
    <w:p w:rsidR="00151E9B" w:rsidRDefault="00C20961" w:rsidP="00A52B6E">
      <w:pPr>
        <w:spacing w:line="280" w:lineRule="atLeast"/>
        <w:rPr>
          <w:rFonts w:eastAsia="Calibri" w:cs="Arial"/>
          <w:bCs/>
          <w:szCs w:val="22"/>
        </w:rPr>
      </w:pPr>
      <w:r>
        <w:rPr>
          <w:rFonts w:eastAsia="Calibri" w:cs="Arial"/>
          <w:bCs/>
          <w:szCs w:val="22"/>
        </w:rPr>
        <w:lastRenderedPageBreak/>
        <w:t>However r</w:t>
      </w:r>
      <w:r w:rsidRPr="001D4F3A">
        <w:rPr>
          <w:rFonts w:eastAsia="Calibri" w:cs="Arial"/>
          <w:bCs/>
          <w:szCs w:val="22"/>
        </w:rPr>
        <w:t>espondents also noted th</w:t>
      </w:r>
      <w:r>
        <w:rPr>
          <w:rFonts w:eastAsia="Calibri" w:cs="Arial"/>
          <w:bCs/>
          <w:szCs w:val="22"/>
        </w:rPr>
        <w:t>e difficulties of achieving universal training, particularly given issues related to access and</w:t>
      </w:r>
      <w:r w:rsidR="00151E9B">
        <w:rPr>
          <w:rFonts w:eastAsia="Calibri" w:cs="Arial"/>
          <w:bCs/>
          <w:szCs w:val="22"/>
        </w:rPr>
        <w:t xml:space="preserve"> resources. </w:t>
      </w:r>
      <w:r w:rsidR="00B16603" w:rsidRPr="009924B5">
        <w:rPr>
          <w:rFonts w:eastAsia="Calibri" w:cs="Arial"/>
          <w:bCs/>
          <w:szCs w:val="22"/>
        </w:rPr>
        <w:t xml:space="preserve">Numerous respondents suggested that a tiered approach could be taken towards training, where different levels of competence for individual professional groups and different care settings could be considered. </w:t>
      </w:r>
      <w:r w:rsidR="00151E9B">
        <w:rPr>
          <w:rFonts w:eastAsia="Calibri" w:cs="Arial"/>
          <w:bCs/>
          <w:szCs w:val="22"/>
        </w:rPr>
        <w:t>One respondent</w:t>
      </w:r>
      <w:r w:rsidRPr="001D4F3A">
        <w:rPr>
          <w:rFonts w:eastAsia="Calibri" w:cs="Arial"/>
          <w:bCs/>
          <w:szCs w:val="22"/>
        </w:rPr>
        <w:t xml:space="preserve"> suggested that training and competency requirements should be recommended for all clinicians, and mandated</w:t>
      </w:r>
      <w:r w:rsidR="00B8102E">
        <w:rPr>
          <w:rFonts w:eastAsia="Calibri" w:cs="Arial"/>
          <w:bCs/>
          <w:szCs w:val="22"/>
        </w:rPr>
        <w:t xml:space="preserve"> only</w:t>
      </w:r>
      <w:r w:rsidRPr="001D4F3A">
        <w:rPr>
          <w:rFonts w:eastAsia="Calibri" w:cs="Arial"/>
          <w:bCs/>
          <w:szCs w:val="22"/>
        </w:rPr>
        <w:t xml:space="preserve"> for initial responders and emergency response teams</w:t>
      </w:r>
      <w:r w:rsidR="00151E9B">
        <w:rPr>
          <w:rFonts w:eastAsia="Calibri" w:cs="Arial"/>
          <w:bCs/>
          <w:szCs w:val="22"/>
        </w:rPr>
        <w:t>.</w:t>
      </w:r>
    </w:p>
    <w:p w:rsidR="00C20961" w:rsidRPr="00BF0E88" w:rsidRDefault="00C20961" w:rsidP="00A52B6E">
      <w:pPr>
        <w:spacing w:line="280" w:lineRule="atLeast"/>
        <w:rPr>
          <w:rFonts w:eastAsia="Calibri" w:cs="Arial"/>
          <w:bCs/>
          <w:szCs w:val="22"/>
        </w:rPr>
      </w:pPr>
      <w:r w:rsidRPr="001D4F3A">
        <w:rPr>
          <w:rFonts w:eastAsia="Calibri" w:cs="Arial"/>
          <w:bCs/>
          <w:szCs w:val="22"/>
        </w:rPr>
        <w:t>A number of respondents suggested that non-clinical staff (</w:t>
      </w:r>
      <w:r w:rsidR="00B16603">
        <w:rPr>
          <w:rFonts w:eastAsia="Calibri" w:cs="Arial"/>
          <w:bCs/>
          <w:szCs w:val="22"/>
        </w:rPr>
        <w:t>such as</w:t>
      </w:r>
      <w:r w:rsidRPr="001D4F3A">
        <w:rPr>
          <w:rFonts w:eastAsia="Calibri" w:cs="Arial"/>
          <w:bCs/>
          <w:szCs w:val="22"/>
        </w:rPr>
        <w:t xml:space="preserve"> administrators and corpora</w:t>
      </w:r>
      <w:r>
        <w:rPr>
          <w:rFonts w:eastAsia="Calibri" w:cs="Arial"/>
          <w:bCs/>
          <w:szCs w:val="22"/>
        </w:rPr>
        <w:t>te staff) should be exempt from</w:t>
      </w:r>
      <w:r w:rsidRPr="001D4F3A">
        <w:rPr>
          <w:rFonts w:eastAsia="Calibri" w:cs="Arial"/>
          <w:bCs/>
          <w:szCs w:val="22"/>
        </w:rPr>
        <w:t xml:space="preserve"> training and competency requirements, particularly if they were working in a large health service where expert help was readily available.  </w:t>
      </w:r>
      <w:r>
        <w:rPr>
          <w:rFonts w:eastAsia="Calibri" w:cs="Arial"/>
          <w:bCs/>
          <w:szCs w:val="22"/>
        </w:rPr>
        <w:t>Others</w:t>
      </w:r>
      <w:r w:rsidRPr="001D4F3A">
        <w:rPr>
          <w:rFonts w:eastAsia="Calibri" w:cs="Arial"/>
          <w:bCs/>
          <w:szCs w:val="22"/>
        </w:rPr>
        <w:t xml:space="preserve"> </w:t>
      </w:r>
      <w:r w:rsidR="00B175BF">
        <w:rPr>
          <w:rFonts w:eastAsia="Calibri" w:cs="Arial"/>
          <w:bCs/>
          <w:szCs w:val="22"/>
        </w:rPr>
        <w:t>suggested</w:t>
      </w:r>
      <w:r w:rsidRPr="001D4F3A">
        <w:rPr>
          <w:rFonts w:eastAsia="Calibri" w:cs="Arial"/>
          <w:bCs/>
          <w:szCs w:val="22"/>
        </w:rPr>
        <w:t xml:space="preserve"> that non-clinical staff should be familiar with their organisation’s emergency protocols and systems and the process for escalating care or calling for expert help. </w:t>
      </w:r>
    </w:p>
    <w:p w:rsidR="00C20961" w:rsidRDefault="00B175BF" w:rsidP="00A52B6E">
      <w:pPr>
        <w:spacing w:line="280" w:lineRule="atLeast"/>
        <w:rPr>
          <w:rFonts w:eastAsiaTheme="minorHAnsi" w:cs="Arial"/>
          <w:szCs w:val="22"/>
        </w:rPr>
      </w:pPr>
      <w:r>
        <w:rPr>
          <w:rFonts w:eastAsiaTheme="minorHAnsi" w:cs="Arial"/>
          <w:szCs w:val="22"/>
        </w:rPr>
        <w:t>R</w:t>
      </w:r>
      <w:r w:rsidR="00C20961" w:rsidRPr="00000AF4">
        <w:rPr>
          <w:rFonts w:eastAsiaTheme="minorHAnsi" w:cs="Arial"/>
          <w:szCs w:val="22"/>
        </w:rPr>
        <w:t>espondents s</w:t>
      </w:r>
      <w:r w:rsidR="00C20961">
        <w:rPr>
          <w:rFonts w:eastAsiaTheme="minorHAnsi" w:cs="Arial"/>
          <w:szCs w:val="22"/>
        </w:rPr>
        <w:t>uggested</w:t>
      </w:r>
      <w:r w:rsidR="00C20961" w:rsidRPr="00000AF4">
        <w:rPr>
          <w:rFonts w:eastAsiaTheme="minorHAnsi" w:cs="Arial"/>
          <w:szCs w:val="22"/>
        </w:rPr>
        <w:t xml:space="preserve"> that the assessment</w:t>
      </w:r>
      <w:r w:rsidR="00C20961">
        <w:rPr>
          <w:rFonts w:eastAsiaTheme="minorHAnsi" w:cs="Arial"/>
          <w:szCs w:val="22"/>
        </w:rPr>
        <w:t xml:space="preserve"> of competence</w:t>
      </w:r>
      <w:r w:rsidR="00C20961" w:rsidRPr="00000AF4">
        <w:rPr>
          <w:rFonts w:eastAsiaTheme="minorHAnsi" w:cs="Arial"/>
          <w:szCs w:val="22"/>
        </w:rPr>
        <w:t xml:space="preserve">, rather than </w:t>
      </w:r>
      <w:r w:rsidR="00C20961">
        <w:rPr>
          <w:rFonts w:eastAsiaTheme="minorHAnsi" w:cs="Arial"/>
          <w:szCs w:val="22"/>
        </w:rPr>
        <w:t xml:space="preserve">the type of </w:t>
      </w:r>
      <w:r w:rsidR="00C20961" w:rsidRPr="00000AF4">
        <w:rPr>
          <w:rFonts w:eastAsiaTheme="minorHAnsi" w:cs="Arial"/>
          <w:szCs w:val="22"/>
        </w:rPr>
        <w:t>training,</w:t>
      </w:r>
      <w:r w:rsidR="00C20961">
        <w:rPr>
          <w:rFonts w:eastAsiaTheme="minorHAnsi" w:cs="Arial"/>
          <w:szCs w:val="22"/>
        </w:rPr>
        <w:t xml:space="preserve"> should be the key focus and that refresher training should depend on the frequency with which skills and knowledge are used. </w:t>
      </w:r>
      <w:r w:rsidR="002D6B15">
        <w:rPr>
          <w:rFonts w:eastAsiaTheme="minorHAnsi" w:cs="Arial"/>
          <w:szCs w:val="22"/>
        </w:rPr>
        <w:t xml:space="preserve">Some </w:t>
      </w:r>
      <w:r>
        <w:rPr>
          <w:rFonts w:eastAsiaTheme="minorHAnsi" w:cs="Arial"/>
          <w:szCs w:val="22"/>
        </w:rPr>
        <w:t>respondents</w:t>
      </w:r>
      <w:r w:rsidR="00C20961" w:rsidRPr="00000AF4">
        <w:rPr>
          <w:rFonts w:eastAsiaTheme="minorHAnsi" w:cs="Arial"/>
          <w:szCs w:val="22"/>
        </w:rPr>
        <w:t xml:space="preserve"> argued that recognising and responding to clinical deterioration should be practised daily by clinicians, negating the need for training. Experienced critical care clinicians, in particular, were thought unlikely to benefit from repeated training because they maintain their skills and knowledge through regular care of deteriorating and potentially unstable patients. </w:t>
      </w:r>
    </w:p>
    <w:p w:rsidR="006E2B5B" w:rsidRDefault="006E2B5B" w:rsidP="00A52B6E">
      <w:pPr>
        <w:spacing w:line="280" w:lineRule="atLeast"/>
        <w:rPr>
          <w:rFonts w:eastAsia="Calibri" w:cs="Arial"/>
          <w:bCs/>
          <w:szCs w:val="22"/>
        </w:rPr>
      </w:pPr>
      <w:r>
        <w:rPr>
          <w:rFonts w:eastAsia="Calibri" w:cs="Arial"/>
          <w:bCs/>
          <w:szCs w:val="22"/>
        </w:rPr>
        <w:t>An issue was also raised in</w:t>
      </w:r>
      <w:r w:rsidRPr="001D4F3A">
        <w:rPr>
          <w:rFonts w:eastAsia="Calibri" w:cs="Arial"/>
          <w:bCs/>
          <w:szCs w:val="22"/>
        </w:rPr>
        <w:t xml:space="preserve"> some submissions about the differences between public and private hospitals and how </w:t>
      </w:r>
      <w:r w:rsidR="002D6B15">
        <w:rPr>
          <w:rFonts w:eastAsia="Calibri" w:cs="Arial"/>
          <w:bCs/>
          <w:szCs w:val="22"/>
        </w:rPr>
        <w:t xml:space="preserve">doctors </w:t>
      </w:r>
      <w:r w:rsidRPr="001D4F3A">
        <w:rPr>
          <w:rFonts w:eastAsia="Calibri" w:cs="Arial"/>
          <w:bCs/>
          <w:szCs w:val="22"/>
        </w:rPr>
        <w:t xml:space="preserve">are engaged. </w:t>
      </w:r>
      <w:r w:rsidR="00051592" w:rsidRPr="001D4F3A">
        <w:rPr>
          <w:rFonts w:eastAsia="Calibri" w:cs="Arial"/>
          <w:bCs/>
          <w:szCs w:val="22"/>
        </w:rPr>
        <w:t xml:space="preserve">In private hospitals, </w:t>
      </w:r>
      <w:r w:rsidR="002A2C87">
        <w:rPr>
          <w:rFonts w:eastAsia="Calibri" w:cs="Arial"/>
          <w:bCs/>
          <w:szCs w:val="22"/>
        </w:rPr>
        <w:t xml:space="preserve">doctors are frequently </w:t>
      </w:r>
      <w:r w:rsidR="00051592" w:rsidRPr="001D4F3A">
        <w:rPr>
          <w:rFonts w:eastAsia="Calibri" w:cs="Arial"/>
          <w:bCs/>
          <w:szCs w:val="22"/>
        </w:rPr>
        <w:t xml:space="preserve">not employed </w:t>
      </w:r>
      <w:r w:rsidR="002A2C87">
        <w:rPr>
          <w:rFonts w:eastAsia="Calibri" w:cs="Arial"/>
          <w:bCs/>
          <w:szCs w:val="22"/>
        </w:rPr>
        <w:t xml:space="preserve">or contracted </w:t>
      </w:r>
      <w:r w:rsidR="00051592" w:rsidRPr="001D4F3A">
        <w:rPr>
          <w:rFonts w:eastAsia="Calibri" w:cs="Arial"/>
          <w:bCs/>
          <w:szCs w:val="22"/>
        </w:rPr>
        <w:t xml:space="preserve">by </w:t>
      </w:r>
      <w:r w:rsidR="002A2C87">
        <w:rPr>
          <w:rFonts w:eastAsia="Calibri" w:cs="Arial"/>
          <w:bCs/>
          <w:szCs w:val="22"/>
        </w:rPr>
        <w:t xml:space="preserve">the hospital </w:t>
      </w:r>
      <w:r w:rsidR="00051592" w:rsidRPr="001D4F3A">
        <w:rPr>
          <w:rFonts w:eastAsia="Calibri" w:cs="Arial"/>
          <w:bCs/>
          <w:szCs w:val="22"/>
        </w:rPr>
        <w:t>and therefore not considered to be employees or part of the ‘workforce’</w:t>
      </w:r>
      <w:r w:rsidR="00190ED0">
        <w:rPr>
          <w:rFonts w:eastAsia="Calibri" w:cs="Arial"/>
          <w:bCs/>
          <w:szCs w:val="22"/>
        </w:rPr>
        <w:t xml:space="preserve"> regulated by the hospital</w:t>
      </w:r>
      <w:r w:rsidR="00051592" w:rsidRPr="001D4F3A">
        <w:rPr>
          <w:rFonts w:eastAsia="Calibri" w:cs="Arial"/>
          <w:bCs/>
          <w:szCs w:val="22"/>
        </w:rPr>
        <w:t xml:space="preserve">.  </w:t>
      </w:r>
      <w:r w:rsidR="00051592">
        <w:rPr>
          <w:rFonts w:eastAsia="Calibri" w:cs="Arial"/>
          <w:bCs/>
          <w:szCs w:val="22"/>
        </w:rPr>
        <w:t xml:space="preserve">In light of this, </w:t>
      </w:r>
      <w:r w:rsidR="00051592" w:rsidRPr="001D4F3A">
        <w:rPr>
          <w:rFonts w:eastAsia="Calibri" w:cs="Arial"/>
          <w:bCs/>
          <w:szCs w:val="22"/>
        </w:rPr>
        <w:t xml:space="preserve">some respondents </w:t>
      </w:r>
      <w:r w:rsidR="00051592">
        <w:rPr>
          <w:rFonts w:eastAsia="Calibri" w:cs="Arial"/>
          <w:bCs/>
          <w:szCs w:val="22"/>
        </w:rPr>
        <w:t>expressed the view</w:t>
      </w:r>
      <w:r w:rsidR="00051592" w:rsidRPr="001D4F3A">
        <w:rPr>
          <w:rFonts w:eastAsia="Calibri" w:cs="Arial"/>
          <w:bCs/>
          <w:szCs w:val="22"/>
        </w:rPr>
        <w:t xml:space="preserve"> that it was not reasonable to expect private hospitals to </w:t>
      </w:r>
      <w:r w:rsidR="00051592">
        <w:rPr>
          <w:rFonts w:eastAsia="Calibri" w:cs="Arial"/>
          <w:bCs/>
          <w:szCs w:val="22"/>
        </w:rPr>
        <w:t>be responsible</w:t>
      </w:r>
      <w:r w:rsidR="00051592" w:rsidRPr="001D4F3A">
        <w:rPr>
          <w:rFonts w:eastAsia="Calibri" w:cs="Arial"/>
          <w:bCs/>
          <w:szCs w:val="22"/>
        </w:rPr>
        <w:t xml:space="preserve"> for </w:t>
      </w:r>
      <w:r w:rsidR="00051592">
        <w:rPr>
          <w:rFonts w:eastAsia="Calibri" w:cs="Arial"/>
          <w:bCs/>
          <w:szCs w:val="22"/>
        </w:rPr>
        <w:t xml:space="preserve">providing </w:t>
      </w:r>
      <w:r w:rsidR="00051592" w:rsidRPr="001D4F3A">
        <w:rPr>
          <w:rFonts w:eastAsia="Calibri" w:cs="Arial"/>
          <w:bCs/>
          <w:szCs w:val="22"/>
        </w:rPr>
        <w:t>training</w:t>
      </w:r>
      <w:r w:rsidR="00B175BF">
        <w:rPr>
          <w:rFonts w:eastAsia="Calibri" w:cs="Arial"/>
          <w:bCs/>
          <w:szCs w:val="22"/>
        </w:rPr>
        <w:t xml:space="preserve"> to</w:t>
      </w:r>
      <w:r w:rsidR="00051592">
        <w:rPr>
          <w:rFonts w:eastAsia="Calibri" w:cs="Arial"/>
          <w:bCs/>
          <w:szCs w:val="22"/>
        </w:rPr>
        <w:t xml:space="preserve"> </w:t>
      </w:r>
      <w:r w:rsidR="002D6B15">
        <w:rPr>
          <w:rFonts w:eastAsia="Calibri" w:cs="Arial"/>
          <w:bCs/>
          <w:szCs w:val="22"/>
        </w:rPr>
        <w:t>doctors who are not employed by the hospital</w:t>
      </w:r>
      <w:r w:rsidR="00C433CB">
        <w:rPr>
          <w:rFonts w:eastAsia="Calibri" w:cs="Arial"/>
          <w:bCs/>
          <w:szCs w:val="22"/>
        </w:rPr>
        <w:t>.</w:t>
      </w:r>
      <w:r w:rsidR="00051592">
        <w:rPr>
          <w:rFonts w:eastAsia="Calibri" w:cs="Arial"/>
          <w:bCs/>
          <w:szCs w:val="22"/>
        </w:rPr>
        <w:t xml:space="preserve"> </w:t>
      </w:r>
      <w:r w:rsidR="00C433CB">
        <w:rPr>
          <w:rFonts w:eastAsia="Calibri" w:cs="Arial"/>
          <w:bCs/>
          <w:szCs w:val="22"/>
        </w:rPr>
        <w:t>Some r</w:t>
      </w:r>
      <w:r w:rsidR="00F1739C">
        <w:rPr>
          <w:rFonts w:eastAsia="Calibri" w:cs="Arial"/>
          <w:bCs/>
          <w:szCs w:val="22"/>
        </w:rPr>
        <w:t>espondent</w:t>
      </w:r>
      <w:r w:rsidR="001122B6">
        <w:rPr>
          <w:rFonts w:eastAsia="Calibri" w:cs="Arial"/>
          <w:bCs/>
          <w:szCs w:val="22"/>
        </w:rPr>
        <w:t>s</w:t>
      </w:r>
      <w:r w:rsidRPr="001D4F3A">
        <w:rPr>
          <w:rFonts w:eastAsia="Calibri" w:cs="Arial"/>
          <w:bCs/>
          <w:szCs w:val="22"/>
        </w:rPr>
        <w:t xml:space="preserve"> </w:t>
      </w:r>
      <w:r w:rsidR="00C433CB">
        <w:rPr>
          <w:rFonts w:eastAsia="Calibri" w:cs="Arial"/>
          <w:bCs/>
          <w:szCs w:val="22"/>
        </w:rPr>
        <w:t xml:space="preserve">also </w:t>
      </w:r>
      <w:r w:rsidRPr="001D4F3A">
        <w:rPr>
          <w:rFonts w:eastAsia="Calibri" w:cs="Arial"/>
          <w:bCs/>
          <w:szCs w:val="22"/>
        </w:rPr>
        <w:t>asked for more clarity over the definitions used by the Commission in the NSQHS Standards in relation to ‘workforce’, ‘clinical workfo</w:t>
      </w:r>
      <w:r w:rsidR="00051592">
        <w:rPr>
          <w:rFonts w:eastAsia="Calibri" w:cs="Arial"/>
          <w:bCs/>
          <w:szCs w:val="22"/>
        </w:rPr>
        <w:t>rce’</w:t>
      </w:r>
      <w:r w:rsidR="00F1739C">
        <w:rPr>
          <w:rFonts w:eastAsia="Calibri" w:cs="Arial"/>
          <w:bCs/>
          <w:szCs w:val="22"/>
        </w:rPr>
        <w:t xml:space="preserve"> </w:t>
      </w:r>
      <w:r w:rsidR="00051592">
        <w:rPr>
          <w:rFonts w:eastAsia="Calibri" w:cs="Arial"/>
          <w:bCs/>
          <w:szCs w:val="22"/>
        </w:rPr>
        <w:t>and ‘employed</w:t>
      </w:r>
      <w:r w:rsidR="00F1739C">
        <w:rPr>
          <w:rFonts w:eastAsia="Calibri" w:cs="Arial"/>
          <w:bCs/>
          <w:szCs w:val="22"/>
        </w:rPr>
        <w:t>’</w:t>
      </w:r>
      <w:r w:rsidR="00051592">
        <w:rPr>
          <w:rFonts w:eastAsia="Calibri" w:cs="Arial"/>
          <w:bCs/>
          <w:szCs w:val="22"/>
        </w:rPr>
        <w:t xml:space="preserve">. </w:t>
      </w:r>
    </w:p>
    <w:p w:rsidR="002D31F3" w:rsidRPr="001D4F3A" w:rsidRDefault="002D31F3" w:rsidP="00A52B6E">
      <w:pPr>
        <w:spacing w:line="280" w:lineRule="atLeast"/>
        <w:rPr>
          <w:rFonts w:eastAsia="Calibri" w:cs="Arial"/>
          <w:szCs w:val="22"/>
        </w:rPr>
      </w:pPr>
    </w:p>
    <w:p w:rsidR="006E556A" w:rsidRPr="009924B5" w:rsidRDefault="00511F21" w:rsidP="00A52B6E">
      <w:pPr>
        <w:pStyle w:val="Suheading2"/>
        <w:spacing w:line="280" w:lineRule="atLeast"/>
        <w:rPr>
          <w:i/>
          <w:sz w:val="24"/>
          <w:szCs w:val="24"/>
        </w:rPr>
      </w:pPr>
      <w:r w:rsidRPr="009924B5">
        <w:rPr>
          <w:i/>
          <w:sz w:val="24"/>
          <w:szCs w:val="24"/>
        </w:rPr>
        <w:t>How training is provided</w:t>
      </w:r>
    </w:p>
    <w:p w:rsidR="00FF4C72" w:rsidRDefault="00731184" w:rsidP="00A52B6E">
      <w:pPr>
        <w:spacing w:line="280" w:lineRule="atLeast"/>
        <w:rPr>
          <w:rFonts w:eastAsiaTheme="minorHAnsi" w:cs="Arial"/>
          <w:szCs w:val="22"/>
        </w:rPr>
      </w:pPr>
      <w:r w:rsidRPr="00000AF4">
        <w:rPr>
          <w:rFonts w:eastAsiaTheme="minorHAnsi" w:cs="Arial"/>
          <w:szCs w:val="22"/>
        </w:rPr>
        <w:t xml:space="preserve">It was generally </w:t>
      </w:r>
      <w:r w:rsidR="00FF4C72">
        <w:rPr>
          <w:rFonts w:eastAsiaTheme="minorHAnsi" w:cs="Arial"/>
          <w:szCs w:val="22"/>
        </w:rPr>
        <w:t>suggested</w:t>
      </w:r>
      <w:r w:rsidRPr="00000AF4">
        <w:rPr>
          <w:rFonts w:eastAsiaTheme="minorHAnsi" w:cs="Arial"/>
          <w:szCs w:val="22"/>
        </w:rPr>
        <w:t xml:space="preserve"> that training in recognising and responding to clinical deterioration should have both theore</w:t>
      </w:r>
      <w:r w:rsidR="0091620B">
        <w:rPr>
          <w:rFonts w:eastAsiaTheme="minorHAnsi" w:cs="Arial"/>
          <w:szCs w:val="22"/>
        </w:rPr>
        <w:t>tical and practical components</w:t>
      </w:r>
      <w:r w:rsidR="00FF4C72">
        <w:rPr>
          <w:rFonts w:eastAsiaTheme="minorHAnsi" w:cs="Arial"/>
          <w:szCs w:val="22"/>
        </w:rPr>
        <w:t>,</w:t>
      </w:r>
      <w:r w:rsidR="0091620B">
        <w:rPr>
          <w:rFonts w:eastAsiaTheme="minorHAnsi" w:cs="Arial"/>
          <w:szCs w:val="22"/>
        </w:rPr>
        <w:t xml:space="preserve"> </w:t>
      </w:r>
      <w:r w:rsidR="002D31F3">
        <w:rPr>
          <w:rFonts w:eastAsiaTheme="minorHAnsi" w:cs="Arial"/>
          <w:szCs w:val="22"/>
        </w:rPr>
        <w:t>al</w:t>
      </w:r>
      <w:r w:rsidR="0091620B">
        <w:rPr>
          <w:rFonts w:eastAsiaTheme="minorHAnsi" w:cs="Arial"/>
          <w:szCs w:val="22"/>
        </w:rPr>
        <w:t>though m</w:t>
      </w:r>
      <w:r w:rsidR="0091620B" w:rsidRPr="00000AF4">
        <w:rPr>
          <w:rFonts w:eastAsiaTheme="minorHAnsi" w:cs="Arial"/>
          <w:szCs w:val="22"/>
        </w:rPr>
        <w:t>any health services</w:t>
      </w:r>
      <w:r w:rsidR="0091620B">
        <w:rPr>
          <w:rFonts w:eastAsiaTheme="minorHAnsi" w:cs="Arial"/>
          <w:szCs w:val="22"/>
        </w:rPr>
        <w:t xml:space="preserve"> indicated that ther</w:t>
      </w:r>
      <w:r w:rsidR="00FF4C72">
        <w:rPr>
          <w:rFonts w:eastAsiaTheme="minorHAnsi" w:cs="Arial"/>
          <w:szCs w:val="22"/>
        </w:rPr>
        <w:t>e are challenges to delivering such</w:t>
      </w:r>
      <w:r w:rsidR="0091620B">
        <w:rPr>
          <w:rFonts w:eastAsiaTheme="minorHAnsi" w:cs="Arial"/>
          <w:szCs w:val="22"/>
        </w:rPr>
        <w:t xml:space="preserve"> training. These challenges include time, resources, and ensuring that trainers are adequately prepared, available, and can deliver high-quality teaching. </w:t>
      </w:r>
    </w:p>
    <w:p w:rsidR="00511F21" w:rsidRPr="00000AF4" w:rsidRDefault="00511F21" w:rsidP="00A52B6E">
      <w:pPr>
        <w:spacing w:line="280" w:lineRule="atLeast"/>
        <w:rPr>
          <w:rFonts w:eastAsiaTheme="minorHAnsi" w:cs="Arial"/>
          <w:szCs w:val="22"/>
        </w:rPr>
      </w:pPr>
      <w:r w:rsidRPr="00000AF4">
        <w:rPr>
          <w:rFonts w:eastAsiaTheme="minorHAnsi" w:cs="Arial"/>
          <w:szCs w:val="22"/>
        </w:rPr>
        <w:t xml:space="preserve">Training for recognising and responding to clinical deterioration is </w:t>
      </w:r>
      <w:r>
        <w:rPr>
          <w:rFonts w:eastAsiaTheme="minorHAnsi" w:cs="Arial"/>
          <w:szCs w:val="22"/>
        </w:rPr>
        <w:t xml:space="preserve">currently </w:t>
      </w:r>
      <w:r w:rsidRPr="00000AF4">
        <w:rPr>
          <w:rFonts w:eastAsiaTheme="minorHAnsi" w:cs="Arial"/>
          <w:szCs w:val="22"/>
        </w:rPr>
        <w:t xml:space="preserve">provided by clinical nurse educators, specialists in </w:t>
      </w:r>
      <w:r>
        <w:rPr>
          <w:rFonts w:eastAsiaTheme="minorHAnsi" w:cs="Arial"/>
          <w:szCs w:val="22"/>
        </w:rPr>
        <w:t xml:space="preserve">acute care such as intensive care liaison nurses, resuscitation coordinators or trained </w:t>
      </w:r>
      <w:r w:rsidRPr="00000AF4">
        <w:rPr>
          <w:rFonts w:eastAsiaTheme="minorHAnsi" w:cs="Arial"/>
          <w:szCs w:val="22"/>
        </w:rPr>
        <w:t>coordinators</w:t>
      </w:r>
      <w:r>
        <w:rPr>
          <w:rFonts w:eastAsiaTheme="minorHAnsi" w:cs="Arial"/>
          <w:szCs w:val="22"/>
        </w:rPr>
        <w:t xml:space="preserve"> for specific courses such as DETECT and COMPASS</w:t>
      </w:r>
      <w:r w:rsidRPr="00000AF4">
        <w:rPr>
          <w:rFonts w:eastAsiaTheme="minorHAnsi" w:cs="Arial"/>
          <w:szCs w:val="22"/>
        </w:rPr>
        <w:t>. For smaller or remote organisations with no accredited trainers on site, training is</w:t>
      </w:r>
      <w:r>
        <w:rPr>
          <w:rFonts w:eastAsiaTheme="minorHAnsi" w:cs="Arial"/>
          <w:szCs w:val="22"/>
        </w:rPr>
        <w:t xml:space="preserve"> generally</w:t>
      </w:r>
      <w:r w:rsidRPr="00000AF4">
        <w:rPr>
          <w:rFonts w:eastAsiaTheme="minorHAnsi" w:cs="Arial"/>
          <w:szCs w:val="22"/>
        </w:rPr>
        <w:t xml:space="preserve"> delivered by educators from another site or a registered training organisation. Respondents reported variations between trainers in terms of their qualifications and teaching skills.</w:t>
      </w:r>
    </w:p>
    <w:p w:rsidR="00FF4C72" w:rsidRPr="00000AF4" w:rsidRDefault="00AF3DA4" w:rsidP="00A52B6E">
      <w:pPr>
        <w:spacing w:line="280" w:lineRule="atLeast"/>
        <w:rPr>
          <w:rFonts w:eastAsiaTheme="minorHAnsi" w:cs="Arial"/>
          <w:szCs w:val="22"/>
        </w:rPr>
      </w:pPr>
      <w:r>
        <w:rPr>
          <w:rFonts w:eastAsiaTheme="minorHAnsi" w:cs="Arial"/>
          <w:szCs w:val="22"/>
        </w:rPr>
        <w:t xml:space="preserve">It was commonly reported that theoretical training </w:t>
      </w:r>
      <w:r w:rsidR="00FF4C72" w:rsidRPr="00000AF4">
        <w:rPr>
          <w:rFonts w:eastAsiaTheme="minorHAnsi" w:cs="Arial"/>
          <w:szCs w:val="22"/>
        </w:rPr>
        <w:t xml:space="preserve">components are provided online, to increase staff accessibility to training and </w:t>
      </w:r>
      <w:r w:rsidR="00FF4C72">
        <w:rPr>
          <w:rFonts w:eastAsiaTheme="minorHAnsi" w:cs="Arial"/>
          <w:szCs w:val="22"/>
        </w:rPr>
        <w:t>to reduce costs.</w:t>
      </w:r>
      <w:r w:rsidR="00FF4C72" w:rsidRPr="00000AF4">
        <w:rPr>
          <w:rFonts w:eastAsiaTheme="minorHAnsi" w:cs="Arial"/>
          <w:szCs w:val="22"/>
        </w:rPr>
        <w:t xml:space="preserve"> </w:t>
      </w:r>
      <w:r w:rsidR="00164DD6">
        <w:rPr>
          <w:rFonts w:eastAsiaTheme="minorHAnsi" w:cs="Arial"/>
          <w:szCs w:val="22"/>
        </w:rPr>
        <w:t>S</w:t>
      </w:r>
      <w:r w:rsidR="00B220C8">
        <w:rPr>
          <w:rFonts w:eastAsiaTheme="minorHAnsi" w:cs="Arial"/>
          <w:szCs w:val="22"/>
        </w:rPr>
        <w:t xml:space="preserve">everal </w:t>
      </w:r>
      <w:r>
        <w:rPr>
          <w:rFonts w:eastAsiaTheme="minorHAnsi" w:cs="Arial"/>
          <w:szCs w:val="22"/>
        </w:rPr>
        <w:t xml:space="preserve">submissions </w:t>
      </w:r>
      <w:r w:rsidR="00164DD6">
        <w:rPr>
          <w:rFonts w:eastAsiaTheme="minorHAnsi" w:cs="Arial"/>
          <w:szCs w:val="22"/>
        </w:rPr>
        <w:t xml:space="preserve">expressed </w:t>
      </w:r>
      <w:r>
        <w:rPr>
          <w:rFonts w:eastAsiaTheme="minorHAnsi" w:cs="Arial"/>
          <w:szCs w:val="22"/>
        </w:rPr>
        <w:t xml:space="preserve">some doubt about whether this is an effective approach in terms of achieving meaningful learning outcomes. </w:t>
      </w:r>
      <w:r w:rsidR="00164DD6">
        <w:rPr>
          <w:rFonts w:eastAsiaTheme="minorHAnsi" w:cs="Arial"/>
          <w:szCs w:val="22"/>
        </w:rPr>
        <w:t>Other</w:t>
      </w:r>
      <w:r w:rsidR="00FF4C72">
        <w:rPr>
          <w:rFonts w:eastAsiaTheme="minorHAnsi" w:cs="Arial"/>
          <w:szCs w:val="22"/>
        </w:rPr>
        <w:t xml:space="preserve"> submissions </w:t>
      </w:r>
      <w:r w:rsidR="00164DD6">
        <w:rPr>
          <w:rFonts w:eastAsiaTheme="minorHAnsi" w:cs="Arial"/>
          <w:szCs w:val="22"/>
        </w:rPr>
        <w:t>discussed</w:t>
      </w:r>
      <w:r w:rsidR="00FF4C72">
        <w:rPr>
          <w:rFonts w:eastAsiaTheme="minorHAnsi" w:cs="Arial"/>
          <w:szCs w:val="22"/>
        </w:rPr>
        <w:t xml:space="preserve"> the evidence that fa</w:t>
      </w:r>
      <w:r w:rsidR="00FF4C72" w:rsidRPr="00000AF4">
        <w:rPr>
          <w:rFonts w:eastAsiaTheme="minorHAnsi" w:cs="Arial"/>
          <w:szCs w:val="22"/>
        </w:rPr>
        <w:t xml:space="preserve">ce-to-face practical training with virtual patients and </w:t>
      </w:r>
      <w:r w:rsidR="00FF4C72">
        <w:rPr>
          <w:rFonts w:eastAsiaTheme="minorHAnsi" w:cs="Arial"/>
          <w:szCs w:val="22"/>
        </w:rPr>
        <w:t>high fidelity simulation</w:t>
      </w:r>
      <w:r w:rsidR="00FF4C72" w:rsidRPr="00000AF4">
        <w:rPr>
          <w:rFonts w:eastAsiaTheme="minorHAnsi" w:cs="Arial"/>
          <w:szCs w:val="22"/>
        </w:rPr>
        <w:t xml:space="preserve"> </w:t>
      </w:r>
      <w:r w:rsidR="00FF4C72">
        <w:rPr>
          <w:rFonts w:eastAsiaTheme="minorHAnsi" w:cs="Arial"/>
          <w:szCs w:val="22"/>
        </w:rPr>
        <w:t>can</w:t>
      </w:r>
      <w:r w:rsidR="00FF4C72" w:rsidRPr="00000AF4">
        <w:rPr>
          <w:rFonts w:eastAsiaTheme="minorHAnsi" w:cs="Arial"/>
          <w:szCs w:val="22"/>
        </w:rPr>
        <w:t xml:space="preserve"> contribute significantly to </w:t>
      </w:r>
      <w:r w:rsidR="00FF4C72" w:rsidRPr="00000AF4">
        <w:rPr>
          <w:rFonts w:eastAsiaTheme="minorHAnsi" w:cs="Arial"/>
          <w:szCs w:val="22"/>
        </w:rPr>
        <w:lastRenderedPageBreak/>
        <w:t>improvements in clinicians’ knowledge and behaviours</w:t>
      </w:r>
      <w:r w:rsidR="00B175BF">
        <w:rPr>
          <w:rFonts w:eastAsiaTheme="minorHAnsi" w:cs="Arial"/>
          <w:szCs w:val="22"/>
        </w:rPr>
        <w:t>,</w:t>
      </w:r>
      <w:r w:rsidR="00FF4C72">
        <w:rPr>
          <w:rFonts w:eastAsiaTheme="minorHAnsi" w:cs="Arial"/>
          <w:szCs w:val="22"/>
        </w:rPr>
        <w:t xml:space="preserve"> but </w:t>
      </w:r>
      <w:r>
        <w:rPr>
          <w:rFonts w:eastAsiaTheme="minorHAnsi" w:cs="Arial"/>
          <w:szCs w:val="22"/>
        </w:rPr>
        <w:t xml:space="preserve">also </w:t>
      </w:r>
      <w:r w:rsidR="00FF4C72">
        <w:rPr>
          <w:rFonts w:eastAsiaTheme="minorHAnsi" w:cs="Arial"/>
          <w:szCs w:val="22"/>
        </w:rPr>
        <w:t xml:space="preserve">pointed out the </w:t>
      </w:r>
      <w:r>
        <w:rPr>
          <w:rFonts w:eastAsiaTheme="minorHAnsi" w:cs="Arial"/>
          <w:szCs w:val="22"/>
        </w:rPr>
        <w:t>resource intensity</w:t>
      </w:r>
      <w:r w:rsidR="00FF4C72">
        <w:rPr>
          <w:rFonts w:eastAsiaTheme="minorHAnsi" w:cs="Arial"/>
          <w:szCs w:val="22"/>
        </w:rPr>
        <w:t xml:space="preserve"> associated with such methods</w:t>
      </w:r>
      <w:r w:rsidR="00FF4C72" w:rsidRPr="00000AF4">
        <w:rPr>
          <w:rFonts w:eastAsiaTheme="minorHAnsi" w:cs="Arial"/>
          <w:szCs w:val="22"/>
        </w:rPr>
        <w:t>.</w:t>
      </w:r>
    </w:p>
    <w:p w:rsidR="0083679A" w:rsidRDefault="00511F21" w:rsidP="00A52B6E">
      <w:pPr>
        <w:spacing w:line="280" w:lineRule="atLeast"/>
        <w:rPr>
          <w:rFonts w:eastAsiaTheme="minorHAnsi" w:cs="Arial"/>
          <w:szCs w:val="22"/>
        </w:rPr>
      </w:pPr>
      <w:r>
        <w:rPr>
          <w:rFonts w:eastAsiaTheme="minorHAnsi" w:cs="Arial"/>
          <w:szCs w:val="22"/>
        </w:rPr>
        <w:t xml:space="preserve">Blended learning programs were also suggested </w:t>
      </w:r>
      <w:r w:rsidRPr="00000AF4">
        <w:rPr>
          <w:rFonts w:eastAsiaTheme="minorHAnsi" w:cs="Arial"/>
          <w:szCs w:val="22"/>
        </w:rPr>
        <w:t>to be beneficial as they provide flexibility in program delivery, cater for different learning styles and shorten face-to-face teaching time, and therefore time away from work</w:t>
      </w:r>
      <w:r w:rsidR="00B220C8">
        <w:rPr>
          <w:rFonts w:eastAsiaTheme="minorHAnsi" w:cs="Arial"/>
          <w:szCs w:val="22"/>
        </w:rPr>
        <w:t xml:space="preserve">. </w:t>
      </w:r>
      <w:r w:rsidRPr="00000AF4">
        <w:rPr>
          <w:rFonts w:eastAsiaTheme="minorHAnsi" w:cs="Arial"/>
          <w:szCs w:val="22"/>
        </w:rPr>
        <w:t xml:space="preserve">An interdisciplinary approach </w:t>
      </w:r>
      <w:r w:rsidR="00B57D89">
        <w:rPr>
          <w:rFonts w:eastAsiaTheme="minorHAnsi" w:cs="Arial"/>
          <w:szCs w:val="22"/>
        </w:rPr>
        <w:t xml:space="preserve">for practical training </w:t>
      </w:r>
      <w:r w:rsidRPr="00000AF4">
        <w:rPr>
          <w:rFonts w:eastAsiaTheme="minorHAnsi" w:cs="Arial"/>
          <w:szCs w:val="22"/>
        </w:rPr>
        <w:t xml:space="preserve">was also considered </w:t>
      </w:r>
      <w:r>
        <w:rPr>
          <w:rFonts w:eastAsiaTheme="minorHAnsi" w:cs="Arial"/>
          <w:szCs w:val="22"/>
        </w:rPr>
        <w:t xml:space="preserve">important </w:t>
      </w:r>
      <w:r w:rsidR="00B57D89">
        <w:rPr>
          <w:rFonts w:eastAsiaTheme="minorHAnsi" w:cs="Arial"/>
          <w:szCs w:val="22"/>
        </w:rPr>
        <w:t>by many respondents</w:t>
      </w:r>
      <w:r>
        <w:rPr>
          <w:rFonts w:eastAsiaTheme="minorHAnsi" w:cs="Arial"/>
          <w:szCs w:val="22"/>
        </w:rPr>
        <w:t xml:space="preserve"> in order to improve participants’ understanding of each other’s roles and their ability to work as a team</w:t>
      </w:r>
      <w:r w:rsidRPr="00000AF4">
        <w:rPr>
          <w:rFonts w:eastAsiaTheme="minorHAnsi" w:cs="Arial"/>
          <w:szCs w:val="22"/>
        </w:rPr>
        <w:t>.</w:t>
      </w:r>
      <w:r>
        <w:rPr>
          <w:rFonts w:eastAsiaTheme="minorHAnsi" w:cs="Arial"/>
          <w:szCs w:val="22"/>
        </w:rPr>
        <w:t xml:space="preserve"> </w:t>
      </w:r>
    </w:p>
    <w:p w:rsidR="00A52B6E" w:rsidRDefault="00A52B6E" w:rsidP="00A52B6E">
      <w:pPr>
        <w:spacing w:line="280" w:lineRule="atLeast"/>
        <w:rPr>
          <w:rFonts w:eastAsiaTheme="minorHAnsi" w:cs="Arial"/>
          <w:szCs w:val="22"/>
        </w:rPr>
      </w:pPr>
    </w:p>
    <w:p w:rsidR="00731184" w:rsidRPr="00A52B6E" w:rsidRDefault="00511F21" w:rsidP="00A52B6E">
      <w:pPr>
        <w:pStyle w:val="Suheading2"/>
        <w:spacing w:line="280" w:lineRule="atLeast"/>
        <w:rPr>
          <w:sz w:val="28"/>
          <w:szCs w:val="28"/>
        </w:rPr>
      </w:pPr>
      <w:r w:rsidRPr="00A52B6E">
        <w:rPr>
          <w:sz w:val="28"/>
          <w:szCs w:val="28"/>
        </w:rPr>
        <w:t>Demonstrating</w:t>
      </w:r>
      <w:r w:rsidR="00285328" w:rsidRPr="00A52B6E">
        <w:rPr>
          <w:sz w:val="28"/>
          <w:szCs w:val="28"/>
        </w:rPr>
        <w:t xml:space="preserve"> and maintain</w:t>
      </w:r>
      <w:r w:rsidRPr="00A52B6E">
        <w:rPr>
          <w:sz w:val="28"/>
          <w:szCs w:val="28"/>
        </w:rPr>
        <w:t>ing competency</w:t>
      </w:r>
    </w:p>
    <w:p w:rsidR="00B143D4" w:rsidRPr="00B143D4" w:rsidRDefault="008E7A0E" w:rsidP="00A52B6E">
      <w:pPr>
        <w:spacing w:line="280" w:lineRule="atLeast"/>
        <w:rPr>
          <w:rFonts w:eastAsia="Calibri" w:cs="Arial"/>
          <w:bCs/>
          <w:szCs w:val="22"/>
        </w:rPr>
      </w:pPr>
      <w:r>
        <w:rPr>
          <w:rFonts w:eastAsia="Calibri" w:cs="Arial"/>
          <w:bCs/>
          <w:szCs w:val="22"/>
        </w:rPr>
        <w:t>The majority of</w:t>
      </w:r>
      <w:r w:rsidR="00D069BB" w:rsidRPr="001D4F3A">
        <w:rPr>
          <w:rFonts w:eastAsia="Calibri" w:cs="Arial"/>
          <w:bCs/>
          <w:szCs w:val="22"/>
        </w:rPr>
        <w:t xml:space="preserve"> respondents </w:t>
      </w:r>
      <w:r>
        <w:rPr>
          <w:rFonts w:eastAsia="Calibri" w:cs="Arial"/>
          <w:bCs/>
          <w:szCs w:val="22"/>
        </w:rPr>
        <w:t>stated</w:t>
      </w:r>
      <w:r w:rsidR="00D069BB" w:rsidRPr="001D4F3A">
        <w:rPr>
          <w:rFonts w:eastAsia="Calibri" w:cs="Arial"/>
          <w:bCs/>
          <w:szCs w:val="22"/>
        </w:rPr>
        <w:t xml:space="preserve"> that ongoing competency in recognising and responding to clinical deterioration should be monitored</w:t>
      </w:r>
      <w:r w:rsidR="00DF6D05">
        <w:rPr>
          <w:rFonts w:eastAsia="Calibri" w:cs="Arial"/>
          <w:bCs/>
          <w:szCs w:val="22"/>
        </w:rPr>
        <w:t>,</w:t>
      </w:r>
      <w:r>
        <w:rPr>
          <w:rFonts w:eastAsia="Calibri" w:cs="Arial"/>
          <w:bCs/>
          <w:szCs w:val="22"/>
        </w:rPr>
        <w:t xml:space="preserve"> however there </w:t>
      </w:r>
      <w:r w:rsidR="00DA714A">
        <w:rPr>
          <w:rFonts w:eastAsia="Calibri" w:cs="Arial"/>
          <w:bCs/>
          <w:szCs w:val="22"/>
        </w:rPr>
        <w:t>wa</w:t>
      </w:r>
      <w:r w:rsidR="00DF6D05">
        <w:rPr>
          <w:rFonts w:eastAsia="Calibri" w:cs="Arial"/>
          <w:bCs/>
          <w:szCs w:val="22"/>
        </w:rPr>
        <w:t xml:space="preserve">s little consistency in current practice, and </w:t>
      </w:r>
      <w:r>
        <w:rPr>
          <w:rFonts w:eastAsia="Calibri" w:cs="Arial"/>
          <w:bCs/>
          <w:szCs w:val="22"/>
        </w:rPr>
        <w:t>little consensus regarding the practicalities of how this should be achieved.</w:t>
      </w:r>
      <w:r w:rsidR="00B143D4">
        <w:rPr>
          <w:rFonts w:eastAsia="Calibri" w:cs="Arial"/>
          <w:bCs/>
          <w:szCs w:val="22"/>
        </w:rPr>
        <w:t xml:space="preserve"> </w:t>
      </w:r>
      <w:r w:rsidR="00DF6D05">
        <w:rPr>
          <w:rFonts w:eastAsiaTheme="minorHAnsi" w:cs="Arial"/>
          <w:szCs w:val="22"/>
        </w:rPr>
        <w:t>Assessment</w:t>
      </w:r>
      <w:r w:rsidR="00DF6D05" w:rsidRPr="00000AF4">
        <w:rPr>
          <w:rFonts w:eastAsiaTheme="minorHAnsi" w:cs="Arial"/>
          <w:szCs w:val="22"/>
        </w:rPr>
        <w:t xml:space="preserve"> of competency in recognising and responding to clinical de</w:t>
      </w:r>
      <w:r w:rsidR="00DF6D05">
        <w:rPr>
          <w:rFonts w:eastAsiaTheme="minorHAnsi" w:cs="Arial"/>
          <w:szCs w:val="22"/>
        </w:rPr>
        <w:t>terioration, like training, currently varies</w:t>
      </w:r>
      <w:r w:rsidR="00DF6D05" w:rsidRPr="00000AF4">
        <w:rPr>
          <w:rFonts w:eastAsiaTheme="minorHAnsi" w:cs="Arial"/>
          <w:szCs w:val="22"/>
        </w:rPr>
        <w:t xml:space="preserve"> </w:t>
      </w:r>
      <w:r w:rsidR="00DF6D05">
        <w:rPr>
          <w:rFonts w:eastAsiaTheme="minorHAnsi" w:cs="Arial"/>
          <w:szCs w:val="22"/>
        </w:rPr>
        <w:t>widely in terms of process and according to the setting</w:t>
      </w:r>
      <w:r w:rsidR="00B143D4">
        <w:rPr>
          <w:rFonts w:eastAsiaTheme="minorHAnsi" w:cs="Arial"/>
          <w:szCs w:val="22"/>
        </w:rPr>
        <w:t xml:space="preserve">. </w:t>
      </w:r>
    </w:p>
    <w:p w:rsidR="00C20961" w:rsidRPr="001D4F3A" w:rsidRDefault="00C20961" w:rsidP="00A52B6E">
      <w:pPr>
        <w:spacing w:line="280" w:lineRule="atLeast"/>
        <w:rPr>
          <w:rFonts w:eastAsia="Calibri" w:cs="Arial"/>
          <w:bCs/>
          <w:szCs w:val="22"/>
        </w:rPr>
      </w:pPr>
      <w:r>
        <w:rPr>
          <w:rFonts w:eastAsia="Calibri" w:cs="Arial"/>
          <w:bCs/>
          <w:szCs w:val="22"/>
        </w:rPr>
        <w:t>R</w:t>
      </w:r>
      <w:r w:rsidRPr="001D4F3A">
        <w:rPr>
          <w:rFonts w:eastAsia="Calibri" w:cs="Arial"/>
          <w:bCs/>
          <w:szCs w:val="22"/>
        </w:rPr>
        <w:t xml:space="preserve">espondents commented that as Australia has no standardised training requirements for recognising and responding to clinical deterioration, it </w:t>
      </w:r>
      <w:r>
        <w:rPr>
          <w:rFonts w:eastAsia="Calibri" w:cs="Arial"/>
          <w:bCs/>
          <w:szCs w:val="22"/>
        </w:rPr>
        <w:t xml:space="preserve">is </w:t>
      </w:r>
      <w:r w:rsidRPr="001D4F3A">
        <w:rPr>
          <w:rFonts w:eastAsia="Calibri" w:cs="Arial"/>
          <w:bCs/>
          <w:szCs w:val="22"/>
        </w:rPr>
        <w:t xml:space="preserve">difficult to assess prior learning. </w:t>
      </w:r>
      <w:r>
        <w:rPr>
          <w:rFonts w:eastAsia="Calibri" w:cs="Arial"/>
          <w:bCs/>
          <w:szCs w:val="22"/>
        </w:rPr>
        <w:t xml:space="preserve">It </w:t>
      </w:r>
      <w:r w:rsidRPr="001D4F3A">
        <w:rPr>
          <w:rFonts w:eastAsia="Calibri" w:cs="Arial"/>
          <w:bCs/>
          <w:szCs w:val="22"/>
        </w:rPr>
        <w:t>was evident that training, and the level of training required, varied greatly between jurisdictions and healthcare professions, with many respondents reporting that they used a range of training programs, which they adapt</w:t>
      </w:r>
      <w:r>
        <w:rPr>
          <w:rFonts w:eastAsia="Calibri" w:cs="Arial"/>
          <w:bCs/>
          <w:szCs w:val="22"/>
        </w:rPr>
        <w:t>ed</w:t>
      </w:r>
      <w:r w:rsidRPr="001D4F3A">
        <w:rPr>
          <w:rFonts w:eastAsia="Calibri" w:cs="Arial"/>
          <w:bCs/>
          <w:szCs w:val="22"/>
        </w:rPr>
        <w:t xml:space="preserve"> and applied differently depending on their ne</w:t>
      </w:r>
      <w:r>
        <w:rPr>
          <w:rFonts w:eastAsia="Calibri" w:cs="Arial"/>
          <w:bCs/>
          <w:szCs w:val="22"/>
        </w:rPr>
        <w:t xml:space="preserve">eds. </w:t>
      </w:r>
      <w:r w:rsidRPr="001D4F3A">
        <w:rPr>
          <w:rFonts w:eastAsia="Calibri" w:cs="Arial"/>
          <w:bCs/>
          <w:szCs w:val="22"/>
        </w:rPr>
        <w:t xml:space="preserve">To address this variability, </w:t>
      </w:r>
      <w:r w:rsidR="005D0B54">
        <w:rPr>
          <w:rFonts w:eastAsia="Calibri" w:cs="Arial"/>
          <w:bCs/>
          <w:szCs w:val="22"/>
        </w:rPr>
        <w:t xml:space="preserve">some </w:t>
      </w:r>
      <w:r w:rsidR="001122B6">
        <w:rPr>
          <w:rFonts w:eastAsia="Calibri" w:cs="Arial"/>
          <w:bCs/>
          <w:szCs w:val="22"/>
        </w:rPr>
        <w:t>submission</w:t>
      </w:r>
      <w:r w:rsidR="005D0B54">
        <w:rPr>
          <w:rFonts w:eastAsia="Calibri" w:cs="Arial"/>
          <w:bCs/>
          <w:szCs w:val="22"/>
        </w:rPr>
        <w:t>s</w:t>
      </w:r>
      <w:r w:rsidRPr="001D4F3A">
        <w:rPr>
          <w:rFonts w:eastAsia="Calibri" w:cs="Arial"/>
          <w:bCs/>
          <w:szCs w:val="22"/>
        </w:rPr>
        <w:t xml:space="preserve"> recommended the development and agreement of national competencies relating to recognising and responding to clinical deterioration, with assessments being certified so that prior learning could be recognised.</w:t>
      </w:r>
    </w:p>
    <w:p w:rsidR="00B143D4" w:rsidRPr="001D4F3A" w:rsidRDefault="00DF6D05" w:rsidP="00A52B6E">
      <w:pPr>
        <w:spacing w:line="280" w:lineRule="atLeast"/>
        <w:rPr>
          <w:rFonts w:eastAsia="Calibri" w:cs="Arial"/>
          <w:bCs/>
          <w:szCs w:val="22"/>
        </w:rPr>
      </w:pPr>
      <w:r w:rsidRPr="00000AF4">
        <w:rPr>
          <w:rFonts w:eastAsiaTheme="minorHAnsi" w:cs="Arial"/>
          <w:szCs w:val="22"/>
        </w:rPr>
        <w:t xml:space="preserve">Some services </w:t>
      </w:r>
      <w:r w:rsidR="00C20961">
        <w:rPr>
          <w:rFonts w:eastAsiaTheme="minorHAnsi" w:cs="Arial"/>
          <w:szCs w:val="22"/>
        </w:rPr>
        <w:t>report</w:t>
      </w:r>
      <w:r w:rsidR="005D0B54">
        <w:rPr>
          <w:rFonts w:eastAsiaTheme="minorHAnsi" w:cs="Arial"/>
          <w:szCs w:val="22"/>
        </w:rPr>
        <w:t>ed</w:t>
      </w:r>
      <w:r w:rsidR="00C20961">
        <w:rPr>
          <w:rFonts w:eastAsiaTheme="minorHAnsi" w:cs="Arial"/>
          <w:szCs w:val="22"/>
        </w:rPr>
        <w:t xml:space="preserve"> </w:t>
      </w:r>
      <w:r w:rsidRPr="00000AF4">
        <w:rPr>
          <w:rFonts w:eastAsiaTheme="minorHAnsi" w:cs="Arial"/>
          <w:szCs w:val="22"/>
        </w:rPr>
        <w:t>conduct</w:t>
      </w:r>
      <w:r w:rsidR="00C20961">
        <w:rPr>
          <w:rFonts w:eastAsiaTheme="minorHAnsi" w:cs="Arial"/>
          <w:szCs w:val="22"/>
        </w:rPr>
        <w:t>ing</w:t>
      </w:r>
      <w:r w:rsidRPr="00000AF4">
        <w:rPr>
          <w:rFonts w:eastAsiaTheme="minorHAnsi" w:cs="Arial"/>
          <w:szCs w:val="22"/>
        </w:rPr>
        <w:t xml:space="preserve"> a one-off asses</w:t>
      </w:r>
      <w:r w:rsidR="00B143D4">
        <w:rPr>
          <w:rFonts w:eastAsiaTheme="minorHAnsi" w:cs="Arial"/>
          <w:szCs w:val="22"/>
        </w:rPr>
        <w:t xml:space="preserve">sment </w:t>
      </w:r>
      <w:r w:rsidR="00C20961">
        <w:rPr>
          <w:rFonts w:eastAsiaTheme="minorHAnsi" w:cs="Arial"/>
          <w:szCs w:val="22"/>
        </w:rPr>
        <w:t xml:space="preserve">of competence </w:t>
      </w:r>
      <w:r w:rsidR="00B143D4">
        <w:rPr>
          <w:rFonts w:eastAsiaTheme="minorHAnsi" w:cs="Arial"/>
          <w:szCs w:val="22"/>
        </w:rPr>
        <w:t>at employment</w:t>
      </w:r>
      <w:r w:rsidR="00C20961">
        <w:rPr>
          <w:rFonts w:eastAsiaTheme="minorHAnsi" w:cs="Arial"/>
          <w:szCs w:val="22"/>
        </w:rPr>
        <w:t>,</w:t>
      </w:r>
      <w:r>
        <w:rPr>
          <w:rFonts w:eastAsiaTheme="minorHAnsi" w:cs="Arial"/>
          <w:szCs w:val="22"/>
        </w:rPr>
        <w:t xml:space="preserve"> and others assess </w:t>
      </w:r>
      <w:r w:rsidRPr="00000AF4">
        <w:rPr>
          <w:rFonts w:eastAsiaTheme="minorHAnsi" w:cs="Arial"/>
          <w:szCs w:val="22"/>
        </w:rPr>
        <w:t>clinicians</w:t>
      </w:r>
      <w:r>
        <w:rPr>
          <w:rFonts w:eastAsiaTheme="minorHAnsi" w:cs="Arial"/>
          <w:szCs w:val="22"/>
        </w:rPr>
        <w:t>’</w:t>
      </w:r>
      <w:r w:rsidRPr="00000AF4">
        <w:rPr>
          <w:rFonts w:eastAsiaTheme="minorHAnsi" w:cs="Arial"/>
          <w:szCs w:val="22"/>
        </w:rPr>
        <w:t xml:space="preserve"> </w:t>
      </w:r>
      <w:r>
        <w:rPr>
          <w:rFonts w:eastAsiaTheme="minorHAnsi" w:cs="Arial"/>
          <w:szCs w:val="22"/>
        </w:rPr>
        <w:t xml:space="preserve">skills during </w:t>
      </w:r>
      <w:r w:rsidRPr="00000AF4">
        <w:rPr>
          <w:rFonts w:eastAsiaTheme="minorHAnsi" w:cs="Arial"/>
          <w:szCs w:val="22"/>
        </w:rPr>
        <w:t>an</w:t>
      </w:r>
      <w:r>
        <w:rPr>
          <w:rFonts w:eastAsiaTheme="minorHAnsi" w:cs="Arial"/>
          <w:szCs w:val="22"/>
        </w:rPr>
        <w:t>nual training</w:t>
      </w:r>
      <w:r w:rsidRPr="00000AF4">
        <w:rPr>
          <w:rFonts w:eastAsiaTheme="minorHAnsi" w:cs="Arial"/>
          <w:szCs w:val="22"/>
        </w:rPr>
        <w:t xml:space="preserve">. </w:t>
      </w:r>
      <w:r>
        <w:rPr>
          <w:rFonts w:eastAsiaTheme="minorHAnsi" w:cs="Arial"/>
          <w:szCs w:val="22"/>
        </w:rPr>
        <w:t>In other organisations</w:t>
      </w:r>
      <w:r w:rsidR="00B143D4">
        <w:rPr>
          <w:rFonts w:eastAsiaTheme="minorHAnsi" w:cs="Arial"/>
          <w:szCs w:val="22"/>
        </w:rPr>
        <w:t>,</w:t>
      </w:r>
      <w:r w:rsidRPr="00000AF4">
        <w:rPr>
          <w:rFonts w:eastAsiaTheme="minorHAnsi" w:cs="Arial"/>
          <w:szCs w:val="22"/>
        </w:rPr>
        <w:t xml:space="preserve"> staff attend training in recognising and responding to clinical deterioration on a one-off basis </w:t>
      </w:r>
      <w:r>
        <w:rPr>
          <w:rFonts w:eastAsiaTheme="minorHAnsi" w:cs="Arial"/>
          <w:szCs w:val="22"/>
        </w:rPr>
        <w:t xml:space="preserve">and there is </w:t>
      </w:r>
      <w:r w:rsidRPr="00000AF4">
        <w:rPr>
          <w:rFonts w:eastAsiaTheme="minorHAnsi" w:cs="Arial"/>
          <w:szCs w:val="22"/>
        </w:rPr>
        <w:t>no formal assessment</w:t>
      </w:r>
      <w:r>
        <w:rPr>
          <w:rFonts w:eastAsiaTheme="minorHAnsi" w:cs="Arial"/>
          <w:szCs w:val="22"/>
        </w:rPr>
        <w:t xml:space="preserve"> process</w:t>
      </w:r>
      <w:r w:rsidRPr="00000AF4">
        <w:rPr>
          <w:rFonts w:eastAsiaTheme="minorHAnsi" w:cs="Arial"/>
          <w:szCs w:val="22"/>
        </w:rPr>
        <w:t>.</w:t>
      </w:r>
      <w:r>
        <w:rPr>
          <w:rFonts w:eastAsiaTheme="minorHAnsi" w:cs="Arial"/>
          <w:szCs w:val="22"/>
        </w:rPr>
        <w:t xml:space="preserve"> </w:t>
      </w:r>
      <w:r w:rsidR="00B143D4">
        <w:rPr>
          <w:rFonts w:eastAsiaTheme="minorHAnsi" w:cs="Arial"/>
          <w:szCs w:val="22"/>
        </w:rPr>
        <w:t>Organisations reported various methods of competency assessment</w:t>
      </w:r>
      <w:r w:rsidR="00B143D4" w:rsidRPr="00000AF4">
        <w:rPr>
          <w:rFonts w:eastAsiaTheme="minorHAnsi" w:cs="Arial"/>
          <w:szCs w:val="22"/>
        </w:rPr>
        <w:t xml:space="preserve"> </w:t>
      </w:r>
      <w:r w:rsidR="00B143D4">
        <w:rPr>
          <w:rFonts w:eastAsiaTheme="minorHAnsi" w:cs="Arial"/>
          <w:szCs w:val="22"/>
        </w:rPr>
        <w:t xml:space="preserve">including </w:t>
      </w:r>
      <w:r w:rsidR="00B143D4" w:rsidRPr="00000AF4">
        <w:rPr>
          <w:rFonts w:eastAsiaTheme="minorHAnsi" w:cs="Arial"/>
          <w:szCs w:val="22"/>
        </w:rPr>
        <w:t>theo</w:t>
      </w:r>
      <w:r w:rsidR="00B143D4">
        <w:rPr>
          <w:rFonts w:eastAsiaTheme="minorHAnsi" w:cs="Arial"/>
          <w:szCs w:val="22"/>
        </w:rPr>
        <w:t xml:space="preserve">retical quizzes, simulations, and </w:t>
      </w:r>
      <w:r w:rsidR="00B143D4" w:rsidRPr="00000AF4">
        <w:rPr>
          <w:rFonts w:eastAsiaTheme="minorHAnsi" w:cs="Arial"/>
          <w:szCs w:val="22"/>
        </w:rPr>
        <w:t xml:space="preserve">clinical reviews of actual events. </w:t>
      </w:r>
      <w:r w:rsidR="00B143D4">
        <w:rPr>
          <w:rFonts w:eastAsiaTheme="minorHAnsi" w:cs="Arial"/>
          <w:szCs w:val="22"/>
        </w:rPr>
        <w:t>P</w:t>
      </w:r>
      <w:r w:rsidR="00B143D4" w:rsidRPr="00000AF4">
        <w:rPr>
          <w:rFonts w:eastAsiaTheme="minorHAnsi" w:cs="Arial"/>
          <w:szCs w:val="22"/>
        </w:rPr>
        <w:t>rivate organisations</w:t>
      </w:r>
      <w:r w:rsidR="00B143D4">
        <w:rPr>
          <w:rFonts w:eastAsiaTheme="minorHAnsi" w:cs="Arial"/>
          <w:szCs w:val="22"/>
        </w:rPr>
        <w:t xml:space="preserve"> reported that</w:t>
      </w:r>
      <w:r w:rsidR="00B143D4" w:rsidRPr="00000AF4">
        <w:rPr>
          <w:rFonts w:eastAsiaTheme="minorHAnsi" w:cs="Arial"/>
          <w:szCs w:val="22"/>
        </w:rPr>
        <w:t xml:space="preserve"> </w:t>
      </w:r>
      <w:r w:rsidR="00DA714A">
        <w:rPr>
          <w:rFonts w:eastAsiaTheme="minorHAnsi" w:cs="Arial"/>
          <w:szCs w:val="22"/>
        </w:rPr>
        <w:t>most doctors</w:t>
      </w:r>
      <w:r w:rsidR="00B143D4">
        <w:rPr>
          <w:rFonts w:eastAsiaTheme="minorHAnsi" w:cs="Arial"/>
          <w:szCs w:val="22"/>
        </w:rPr>
        <w:t xml:space="preserve"> were generally considered to be exempt from </w:t>
      </w:r>
      <w:r w:rsidR="00B143D4" w:rsidRPr="00000AF4">
        <w:rPr>
          <w:rFonts w:eastAsiaTheme="minorHAnsi" w:cs="Arial"/>
          <w:szCs w:val="22"/>
        </w:rPr>
        <w:t xml:space="preserve">competency assessments because these </w:t>
      </w:r>
      <w:r w:rsidR="00B143D4">
        <w:rPr>
          <w:rFonts w:eastAsiaTheme="minorHAnsi" w:cs="Arial"/>
          <w:szCs w:val="22"/>
        </w:rPr>
        <w:t>organisations</w:t>
      </w:r>
      <w:r w:rsidR="00DA714A">
        <w:rPr>
          <w:rFonts w:eastAsiaTheme="minorHAnsi" w:cs="Arial"/>
          <w:szCs w:val="22"/>
        </w:rPr>
        <w:t xml:space="preserve"> did</w:t>
      </w:r>
      <w:r w:rsidR="00B143D4" w:rsidRPr="00000AF4">
        <w:rPr>
          <w:rFonts w:eastAsiaTheme="minorHAnsi" w:cs="Arial"/>
          <w:szCs w:val="22"/>
        </w:rPr>
        <w:t xml:space="preserve"> not </w:t>
      </w:r>
      <w:r w:rsidR="00B143D4">
        <w:rPr>
          <w:rFonts w:eastAsiaTheme="minorHAnsi" w:cs="Arial"/>
          <w:szCs w:val="22"/>
        </w:rPr>
        <w:t xml:space="preserve">consider that they </w:t>
      </w:r>
      <w:r w:rsidR="00DA714A">
        <w:rPr>
          <w:rFonts w:eastAsiaTheme="minorHAnsi" w:cs="Arial"/>
          <w:szCs w:val="22"/>
        </w:rPr>
        <w:t>we</w:t>
      </w:r>
      <w:r w:rsidR="00B143D4">
        <w:rPr>
          <w:rFonts w:eastAsiaTheme="minorHAnsi" w:cs="Arial"/>
          <w:szCs w:val="22"/>
        </w:rPr>
        <w:t>re</w:t>
      </w:r>
      <w:r w:rsidR="00B143D4" w:rsidRPr="00000AF4">
        <w:rPr>
          <w:rFonts w:eastAsiaTheme="minorHAnsi" w:cs="Arial"/>
          <w:szCs w:val="22"/>
        </w:rPr>
        <w:t xml:space="preserve"> responsible for providing ongoing education </w:t>
      </w:r>
      <w:r w:rsidR="00B143D4">
        <w:rPr>
          <w:rFonts w:eastAsiaTheme="minorHAnsi" w:cs="Arial"/>
          <w:szCs w:val="22"/>
        </w:rPr>
        <w:t>to clinicians who they do not directly employ</w:t>
      </w:r>
      <w:r w:rsidR="00B143D4" w:rsidRPr="00000AF4">
        <w:rPr>
          <w:rFonts w:eastAsiaTheme="minorHAnsi" w:cs="Arial"/>
          <w:szCs w:val="22"/>
        </w:rPr>
        <w:t>.</w:t>
      </w:r>
    </w:p>
    <w:p w:rsidR="00B143D4" w:rsidRDefault="00F67971" w:rsidP="00A52B6E">
      <w:pPr>
        <w:spacing w:line="280" w:lineRule="atLeast"/>
        <w:rPr>
          <w:rFonts w:eastAsiaTheme="minorHAnsi" w:cs="Arial"/>
          <w:szCs w:val="22"/>
        </w:rPr>
      </w:pPr>
      <w:r>
        <w:rPr>
          <w:rFonts w:eastAsiaTheme="minorHAnsi" w:cs="Arial"/>
          <w:szCs w:val="22"/>
        </w:rPr>
        <w:t xml:space="preserve">A number of </w:t>
      </w:r>
      <w:r w:rsidR="00B143D4">
        <w:rPr>
          <w:rFonts w:eastAsiaTheme="minorHAnsi" w:cs="Arial"/>
          <w:szCs w:val="22"/>
        </w:rPr>
        <w:t>submissions</w:t>
      </w:r>
      <w:r w:rsidR="002D31F3">
        <w:rPr>
          <w:rFonts w:eastAsiaTheme="minorHAnsi" w:cs="Arial"/>
          <w:szCs w:val="22"/>
        </w:rPr>
        <w:t xml:space="preserve"> </w:t>
      </w:r>
      <w:r>
        <w:rPr>
          <w:rFonts w:eastAsiaTheme="minorHAnsi" w:cs="Arial"/>
          <w:szCs w:val="22"/>
        </w:rPr>
        <w:t xml:space="preserve">noted the roles of </w:t>
      </w:r>
      <w:r w:rsidR="00B143D4">
        <w:rPr>
          <w:rFonts w:eastAsiaTheme="minorHAnsi" w:cs="Arial"/>
          <w:szCs w:val="22"/>
        </w:rPr>
        <w:t xml:space="preserve">the </w:t>
      </w:r>
      <w:r w:rsidR="00B143D4" w:rsidRPr="00000AF4">
        <w:rPr>
          <w:rFonts w:eastAsiaTheme="minorHAnsi" w:cs="Arial"/>
          <w:szCs w:val="22"/>
        </w:rPr>
        <w:t>A</w:t>
      </w:r>
      <w:r w:rsidR="00B143D4">
        <w:rPr>
          <w:rFonts w:eastAsiaTheme="minorHAnsi" w:cs="Arial"/>
          <w:szCs w:val="22"/>
        </w:rPr>
        <w:t xml:space="preserve">ustralian </w:t>
      </w:r>
      <w:r w:rsidR="00B143D4" w:rsidRPr="00000AF4">
        <w:rPr>
          <w:rFonts w:eastAsiaTheme="minorHAnsi" w:cs="Arial"/>
          <w:szCs w:val="22"/>
        </w:rPr>
        <w:t>H</w:t>
      </w:r>
      <w:r w:rsidR="00B143D4">
        <w:rPr>
          <w:rFonts w:eastAsiaTheme="minorHAnsi" w:cs="Arial"/>
          <w:szCs w:val="22"/>
        </w:rPr>
        <w:t xml:space="preserve">ealth </w:t>
      </w:r>
      <w:r w:rsidR="00B143D4" w:rsidRPr="00000AF4">
        <w:rPr>
          <w:rFonts w:eastAsiaTheme="minorHAnsi" w:cs="Arial"/>
          <w:szCs w:val="22"/>
        </w:rPr>
        <w:t>P</w:t>
      </w:r>
      <w:r w:rsidR="00B143D4">
        <w:rPr>
          <w:rFonts w:eastAsiaTheme="minorHAnsi" w:cs="Arial"/>
          <w:szCs w:val="22"/>
        </w:rPr>
        <w:t xml:space="preserve">ractitioner </w:t>
      </w:r>
      <w:r w:rsidR="00B143D4" w:rsidRPr="00000AF4">
        <w:rPr>
          <w:rFonts w:eastAsiaTheme="minorHAnsi" w:cs="Arial"/>
          <w:szCs w:val="22"/>
        </w:rPr>
        <w:t>R</w:t>
      </w:r>
      <w:r w:rsidR="00B143D4">
        <w:rPr>
          <w:rFonts w:eastAsiaTheme="minorHAnsi" w:cs="Arial"/>
          <w:szCs w:val="22"/>
        </w:rPr>
        <w:t xml:space="preserve">egulatory </w:t>
      </w:r>
      <w:r w:rsidR="00B143D4" w:rsidRPr="00000AF4">
        <w:rPr>
          <w:rFonts w:eastAsiaTheme="minorHAnsi" w:cs="Arial"/>
          <w:szCs w:val="22"/>
        </w:rPr>
        <w:t>A</w:t>
      </w:r>
      <w:r w:rsidR="00B143D4">
        <w:rPr>
          <w:rFonts w:eastAsiaTheme="minorHAnsi" w:cs="Arial"/>
          <w:szCs w:val="22"/>
        </w:rPr>
        <w:t>uthority (AHPRA),</w:t>
      </w:r>
      <w:r w:rsidR="00B143D4" w:rsidRPr="00000AF4">
        <w:rPr>
          <w:rFonts w:eastAsiaTheme="minorHAnsi" w:cs="Arial"/>
          <w:szCs w:val="22"/>
        </w:rPr>
        <w:t xml:space="preserve"> </w:t>
      </w:r>
      <w:r>
        <w:rPr>
          <w:rFonts w:eastAsiaTheme="minorHAnsi" w:cs="Arial"/>
          <w:szCs w:val="22"/>
        </w:rPr>
        <w:t xml:space="preserve">the National Boards, </w:t>
      </w:r>
      <w:r w:rsidR="00B143D4" w:rsidRPr="00000AF4">
        <w:rPr>
          <w:rFonts w:eastAsiaTheme="minorHAnsi" w:cs="Arial"/>
          <w:szCs w:val="22"/>
        </w:rPr>
        <w:t>and the</w:t>
      </w:r>
      <w:r w:rsidR="00B143D4">
        <w:rPr>
          <w:rFonts w:eastAsiaTheme="minorHAnsi" w:cs="Arial"/>
          <w:szCs w:val="22"/>
        </w:rPr>
        <w:t xml:space="preserve"> professional c</w:t>
      </w:r>
      <w:r w:rsidR="00B143D4" w:rsidRPr="00000AF4">
        <w:rPr>
          <w:rFonts w:eastAsiaTheme="minorHAnsi" w:cs="Arial"/>
          <w:szCs w:val="22"/>
        </w:rPr>
        <w:t>olleges</w:t>
      </w:r>
      <w:r>
        <w:rPr>
          <w:rFonts w:eastAsiaTheme="minorHAnsi" w:cs="Arial"/>
          <w:szCs w:val="22"/>
        </w:rPr>
        <w:t xml:space="preserve"> in </w:t>
      </w:r>
      <w:r w:rsidR="00B143D4" w:rsidRPr="00000AF4">
        <w:rPr>
          <w:rFonts w:eastAsiaTheme="minorHAnsi" w:cs="Arial"/>
          <w:szCs w:val="22"/>
        </w:rPr>
        <w:t xml:space="preserve">standards of training and practice. </w:t>
      </w:r>
      <w:r w:rsidR="00B143D4">
        <w:rPr>
          <w:rFonts w:eastAsiaTheme="minorHAnsi" w:cs="Arial"/>
          <w:szCs w:val="22"/>
        </w:rPr>
        <w:t xml:space="preserve">However, </w:t>
      </w:r>
      <w:r w:rsidR="00A56624">
        <w:rPr>
          <w:rFonts w:eastAsiaTheme="minorHAnsi" w:cs="Arial"/>
          <w:szCs w:val="22"/>
        </w:rPr>
        <w:t xml:space="preserve">it was reported that </w:t>
      </w:r>
      <w:r w:rsidR="00B143D4">
        <w:rPr>
          <w:rFonts w:eastAsiaTheme="minorHAnsi" w:cs="Arial"/>
          <w:szCs w:val="22"/>
        </w:rPr>
        <w:t>it is currently challenging to be assured of a clinician’s competence on commencement of employment. For example,</w:t>
      </w:r>
      <w:r w:rsidR="002D31F3">
        <w:rPr>
          <w:rFonts w:eastAsiaTheme="minorHAnsi" w:cs="Arial"/>
          <w:szCs w:val="22"/>
        </w:rPr>
        <w:t xml:space="preserve"> one submission noted that</w:t>
      </w:r>
      <w:r w:rsidR="00B143D4">
        <w:rPr>
          <w:rFonts w:eastAsiaTheme="minorHAnsi" w:cs="Arial"/>
          <w:szCs w:val="22"/>
        </w:rPr>
        <w:t xml:space="preserve"> </w:t>
      </w:r>
      <w:r w:rsidR="00B143D4" w:rsidRPr="00000AF4">
        <w:rPr>
          <w:rFonts w:eastAsiaTheme="minorHAnsi" w:cs="Arial"/>
          <w:szCs w:val="22"/>
        </w:rPr>
        <w:t xml:space="preserve">during training </w:t>
      </w:r>
      <w:r w:rsidR="00B143D4">
        <w:rPr>
          <w:rFonts w:eastAsiaTheme="minorHAnsi" w:cs="Arial"/>
          <w:szCs w:val="22"/>
        </w:rPr>
        <w:t xml:space="preserve">for </w:t>
      </w:r>
      <w:r w:rsidR="00B143D4" w:rsidRPr="00000AF4">
        <w:rPr>
          <w:rFonts w:eastAsiaTheme="minorHAnsi" w:cs="Arial"/>
          <w:szCs w:val="22"/>
        </w:rPr>
        <w:t xml:space="preserve">some </w:t>
      </w:r>
      <w:r w:rsidR="00A56624">
        <w:rPr>
          <w:rFonts w:eastAsiaTheme="minorHAnsi" w:cs="Arial"/>
          <w:szCs w:val="22"/>
        </w:rPr>
        <w:t xml:space="preserve">nursing </w:t>
      </w:r>
      <w:r w:rsidR="00B143D4" w:rsidRPr="00000AF4">
        <w:rPr>
          <w:rFonts w:eastAsiaTheme="minorHAnsi" w:cs="Arial"/>
          <w:szCs w:val="22"/>
        </w:rPr>
        <w:t>undergraduate</w:t>
      </w:r>
      <w:r w:rsidR="00B143D4">
        <w:rPr>
          <w:rFonts w:eastAsiaTheme="minorHAnsi" w:cs="Arial"/>
          <w:szCs w:val="22"/>
        </w:rPr>
        <w:t>s</w:t>
      </w:r>
      <w:r w:rsidR="00C20961">
        <w:rPr>
          <w:rFonts w:eastAsiaTheme="minorHAnsi" w:cs="Arial"/>
          <w:szCs w:val="22"/>
        </w:rPr>
        <w:t>,</w:t>
      </w:r>
      <w:r w:rsidR="00B143D4" w:rsidRPr="00000AF4">
        <w:rPr>
          <w:rFonts w:eastAsiaTheme="minorHAnsi" w:cs="Arial"/>
          <w:szCs w:val="22"/>
        </w:rPr>
        <w:t xml:space="preserve"> competency assessments occur as a random ‘hurdle’. As a result, student </w:t>
      </w:r>
      <w:r w:rsidR="00B143D4">
        <w:rPr>
          <w:rFonts w:eastAsiaTheme="minorHAnsi" w:cs="Arial"/>
          <w:szCs w:val="22"/>
        </w:rPr>
        <w:t xml:space="preserve">and new </w:t>
      </w:r>
      <w:r w:rsidR="00B175BF">
        <w:rPr>
          <w:rFonts w:eastAsiaTheme="minorHAnsi" w:cs="Arial"/>
          <w:szCs w:val="22"/>
        </w:rPr>
        <w:t>nurses</w:t>
      </w:r>
      <w:r w:rsidR="00B143D4">
        <w:rPr>
          <w:rFonts w:eastAsiaTheme="minorHAnsi" w:cs="Arial"/>
          <w:szCs w:val="22"/>
        </w:rPr>
        <w:t xml:space="preserve"> can commence</w:t>
      </w:r>
      <w:r w:rsidR="00B143D4" w:rsidRPr="00000AF4">
        <w:rPr>
          <w:rFonts w:eastAsiaTheme="minorHAnsi" w:cs="Arial"/>
          <w:szCs w:val="22"/>
        </w:rPr>
        <w:t xml:space="preserve"> clinical placement without </w:t>
      </w:r>
      <w:r w:rsidR="00B143D4">
        <w:rPr>
          <w:rFonts w:eastAsiaTheme="minorHAnsi" w:cs="Arial"/>
          <w:szCs w:val="22"/>
        </w:rPr>
        <w:t>having been directly</w:t>
      </w:r>
      <w:r w:rsidR="00B143D4" w:rsidRPr="00000AF4">
        <w:rPr>
          <w:rFonts w:eastAsiaTheme="minorHAnsi" w:cs="Arial"/>
          <w:szCs w:val="22"/>
        </w:rPr>
        <w:t xml:space="preserve"> assessed in the competencies required for recognising and respon</w:t>
      </w:r>
      <w:r w:rsidR="00B143D4">
        <w:rPr>
          <w:rFonts w:eastAsiaTheme="minorHAnsi" w:cs="Arial"/>
          <w:szCs w:val="22"/>
        </w:rPr>
        <w:t xml:space="preserve">ding to clinical deterioration. </w:t>
      </w:r>
    </w:p>
    <w:p w:rsidR="00F012F4" w:rsidRDefault="001540C4" w:rsidP="00A52B6E">
      <w:pPr>
        <w:spacing w:line="280" w:lineRule="atLeast"/>
        <w:rPr>
          <w:rFonts w:eastAsiaTheme="minorHAnsi" w:cs="Arial"/>
          <w:szCs w:val="22"/>
        </w:rPr>
      </w:pPr>
      <w:r>
        <w:rPr>
          <w:rFonts w:eastAsia="Calibri" w:cs="Arial"/>
          <w:bCs/>
          <w:szCs w:val="22"/>
        </w:rPr>
        <w:t>Some</w:t>
      </w:r>
      <w:r w:rsidR="00B143D4">
        <w:rPr>
          <w:rFonts w:eastAsia="Calibri" w:cs="Arial"/>
          <w:bCs/>
          <w:szCs w:val="22"/>
        </w:rPr>
        <w:t xml:space="preserve"> submissions suggested that requirements for reassessment of competence should be determined through local risk assessment and tak</w:t>
      </w:r>
      <w:r w:rsidR="00B175BF">
        <w:rPr>
          <w:rFonts w:eastAsia="Calibri" w:cs="Arial"/>
          <w:bCs/>
          <w:szCs w:val="22"/>
        </w:rPr>
        <w:t xml:space="preserve">e </w:t>
      </w:r>
      <w:r w:rsidR="00B143D4">
        <w:rPr>
          <w:rFonts w:eastAsia="Calibri" w:cs="Arial"/>
          <w:bCs/>
          <w:szCs w:val="22"/>
        </w:rPr>
        <w:t xml:space="preserve">into account </w:t>
      </w:r>
      <w:r w:rsidR="00B143D4" w:rsidRPr="001D4F3A">
        <w:rPr>
          <w:rFonts w:eastAsia="Calibri" w:cs="Arial"/>
          <w:bCs/>
          <w:szCs w:val="22"/>
        </w:rPr>
        <w:t xml:space="preserve">the level </w:t>
      </w:r>
      <w:r w:rsidR="00B143D4">
        <w:rPr>
          <w:rFonts w:eastAsia="Calibri" w:cs="Arial"/>
          <w:bCs/>
          <w:szCs w:val="22"/>
        </w:rPr>
        <w:t>of practical exposure clinician</w:t>
      </w:r>
      <w:r w:rsidR="00B143D4" w:rsidRPr="001D4F3A">
        <w:rPr>
          <w:rFonts w:eastAsia="Calibri" w:cs="Arial"/>
          <w:bCs/>
          <w:szCs w:val="22"/>
        </w:rPr>
        <w:t>s had to deteri</w:t>
      </w:r>
      <w:r w:rsidR="00B143D4">
        <w:rPr>
          <w:rFonts w:eastAsia="Calibri" w:cs="Arial"/>
          <w:bCs/>
          <w:szCs w:val="22"/>
        </w:rPr>
        <w:t>orating patients. Clinicians who regularly use</w:t>
      </w:r>
      <w:r w:rsidR="00B143D4" w:rsidRPr="001D4F3A">
        <w:rPr>
          <w:rFonts w:eastAsia="Calibri" w:cs="Arial"/>
          <w:bCs/>
          <w:szCs w:val="22"/>
        </w:rPr>
        <w:t xml:space="preserve"> skills in recognising and responding to clinical deterioration </w:t>
      </w:r>
      <w:r w:rsidR="00B143D4">
        <w:rPr>
          <w:rFonts w:eastAsia="Calibri" w:cs="Arial"/>
          <w:bCs/>
          <w:szCs w:val="22"/>
        </w:rPr>
        <w:t>as part of their practice</w:t>
      </w:r>
      <w:r w:rsidR="00B143D4" w:rsidRPr="001D4F3A">
        <w:rPr>
          <w:rFonts w:eastAsia="Calibri" w:cs="Arial"/>
          <w:bCs/>
          <w:szCs w:val="22"/>
        </w:rPr>
        <w:t xml:space="preserve"> w</w:t>
      </w:r>
      <w:r w:rsidR="00B143D4">
        <w:rPr>
          <w:rFonts w:eastAsia="Calibri" w:cs="Arial"/>
          <w:bCs/>
          <w:szCs w:val="22"/>
        </w:rPr>
        <w:t xml:space="preserve">ere considered </w:t>
      </w:r>
      <w:r w:rsidR="00B143D4" w:rsidRPr="001D4F3A">
        <w:rPr>
          <w:rFonts w:eastAsia="Calibri" w:cs="Arial"/>
          <w:bCs/>
          <w:szCs w:val="22"/>
        </w:rPr>
        <w:t xml:space="preserve">less likely </w:t>
      </w:r>
      <w:r w:rsidR="00B143D4">
        <w:rPr>
          <w:rFonts w:eastAsia="Calibri" w:cs="Arial"/>
          <w:bCs/>
          <w:szCs w:val="22"/>
        </w:rPr>
        <w:t xml:space="preserve">to </w:t>
      </w:r>
      <w:r w:rsidR="00B143D4" w:rsidRPr="001D4F3A">
        <w:rPr>
          <w:rFonts w:eastAsia="Calibri" w:cs="Arial"/>
          <w:bCs/>
          <w:szCs w:val="22"/>
        </w:rPr>
        <w:t xml:space="preserve">need refresher training or repeated assessments. </w:t>
      </w:r>
      <w:r w:rsidR="00CA04CA">
        <w:rPr>
          <w:rFonts w:eastAsia="Calibri" w:cs="Arial"/>
          <w:bCs/>
          <w:szCs w:val="22"/>
        </w:rPr>
        <w:t>R</w:t>
      </w:r>
      <w:r w:rsidR="00B143D4" w:rsidRPr="00000AF4">
        <w:rPr>
          <w:rFonts w:eastAsiaTheme="minorHAnsi" w:cs="Arial"/>
          <w:szCs w:val="22"/>
        </w:rPr>
        <w:t xml:space="preserve">espondents </w:t>
      </w:r>
      <w:r w:rsidR="00B143D4">
        <w:rPr>
          <w:rFonts w:eastAsiaTheme="minorHAnsi" w:cs="Arial"/>
          <w:szCs w:val="22"/>
        </w:rPr>
        <w:t>also pointed out that there is little evidence</w:t>
      </w:r>
      <w:r w:rsidR="00B143D4" w:rsidRPr="00000AF4">
        <w:rPr>
          <w:rFonts w:eastAsiaTheme="minorHAnsi" w:cs="Arial"/>
          <w:szCs w:val="22"/>
        </w:rPr>
        <w:t xml:space="preserve"> for th</w:t>
      </w:r>
      <w:r w:rsidR="00F012F4">
        <w:rPr>
          <w:rFonts w:eastAsiaTheme="minorHAnsi" w:cs="Arial"/>
          <w:szCs w:val="22"/>
        </w:rPr>
        <w:t>e efficacy of annual competency.</w:t>
      </w:r>
    </w:p>
    <w:p w:rsidR="00F012F4" w:rsidRPr="00F012F4" w:rsidRDefault="00F012F4" w:rsidP="000E3E3D">
      <w:pPr>
        <w:spacing w:line="280" w:lineRule="atLeast"/>
        <w:ind w:left="709"/>
        <w:rPr>
          <w:rFonts w:cs="Arial"/>
          <w:szCs w:val="22"/>
        </w:rPr>
      </w:pPr>
      <w:r w:rsidRPr="00F012F4">
        <w:rPr>
          <w:rFonts w:cs="Arial"/>
          <w:i/>
          <w:szCs w:val="22"/>
        </w:rPr>
        <w:lastRenderedPageBreak/>
        <w:t>Repeated assessment of competence has been demonstrated to only prove competence at that moment in time, and is therefore of minimal benefit to the clinician, patient or organisation</w:t>
      </w:r>
      <w:r>
        <w:rPr>
          <w:rFonts w:cs="Arial"/>
          <w:i/>
          <w:szCs w:val="22"/>
        </w:rPr>
        <w:t>.</w:t>
      </w:r>
      <w:r w:rsidR="000E3E3D">
        <w:rPr>
          <w:rFonts w:cs="Arial"/>
          <w:szCs w:val="22"/>
        </w:rPr>
        <w:br/>
        <w:t>Australian College of Critical Care Nurses</w:t>
      </w:r>
    </w:p>
    <w:p w:rsidR="00731184" w:rsidRPr="00B143D4" w:rsidRDefault="00BF2B2B" w:rsidP="00A52B6E">
      <w:pPr>
        <w:spacing w:line="280" w:lineRule="atLeast"/>
        <w:rPr>
          <w:rFonts w:eastAsia="Calibri" w:cs="Arial"/>
          <w:bCs/>
          <w:szCs w:val="22"/>
        </w:rPr>
      </w:pPr>
      <w:r>
        <w:rPr>
          <w:rFonts w:eastAsiaTheme="minorHAnsi" w:cs="Arial"/>
          <w:szCs w:val="22"/>
        </w:rPr>
        <w:t>It was</w:t>
      </w:r>
      <w:r w:rsidR="00F012F4">
        <w:rPr>
          <w:rFonts w:eastAsiaTheme="minorHAnsi" w:cs="Arial"/>
          <w:szCs w:val="22"/>
        </w:rPr>
        <w:t xml:space="preserve"> </w:t>
      </w:r>
      <w:r w:rsidR="00B143D4">
        <w:rPr>
          <w:rFonts w:eastAsiaTheme="minorHAnsi" w:cs="Arial"/>
          <w:szCs w:val="22"/>
        </w:rPr>
        <w:t xml:space="preserve">suggested that </w:t>
      </w:r>
      <w:r w:rsidR="00B143D4" w:rsidRPr="00000AF4">
        <w:rPr>
          <w:rFonts w:eastAsiaTheme="minorHAnsi" w:cs="Arial"/>
          <w:szCs w:val="22"/>
        </w:rPr>
        <w:t>clinicians should be responsible for providing evidence of their competence</w:t>
      </w:r>
      <w:r w:rsidR="00B143D4">
        <w:rPr>
          <w:rFonts w:eastAsiaTheme="minorHAnsi" w:cs="Arial"/>
          <w:szCs w:val="22"/>
        </w:rPr>
        <w:t xml:space="preserve"> through mechanisms such as professional </w:t>
      </w:r>
      <w:r w:rsidR="00B143D4" w:rsidRPr="00BF2B2B">
        <w:rPr>
          <w:rFonts w:eastAsiaTheme="minorHAnsi" w:cs="Arial"/>
          <w:szCs w:val="22"/>
        </w:rPr>
        <w:t xml:space="preserve">portfolios. </w:t>
      </w:r>
      <w:r w:rsidR="00B143D4" w:rsidRPr="001D4F3A">
        <w:rPr>
          <w:rFonts w:eastAsia="Calibri" w:cs="Arial"/>
          <w:bCs/>
          <w:szCs w:val="22"/>
        </w:rPr>
        <w:t xml:space="preserve">Performance reviews, self-assessment and continuing professional development </w:t>
      </w:r>
      <w:r w:rsidR="00B143D4">
        <w:rPr>
          <w:rFonts w:eastAsia="Calibri" w:cs="Arial"/>
          <w:bCs/>
          <w:szCs w:val="22"/>
        </w:rPr>
        <w:t xml:space="preserve">processes </w:t>
      </w:r>
      <w:r w:rsidR="00B143D4" w:rsidRPr="001D4F3A">
        <w:rPr>
          <w:rFonts w:eastAsia="Calibri" w:cs="Arial"/>
          <w:bCs/>
          <w:szCs w:val="22"/>
        </w:rPr>
        <w:t xml:space="preserve">were </w:t>
      </w:r>
      <w:r w:rsidR="00B143D4">
        <w:rPr>
          <w:rFonts w:eastAsia="Calibri" w:cs="Arial"/>
          <w:bCs/>
          <w:szCs w:val="22"/>
        </w:rPr>
        <w:t xml:space="preserve">also </w:t>
      </w:r>
      <w:r w:rsidR="00B143D4" w:rsidRPr="001D4F3A">
        <w:rPr>
          <w:rFonts w:eastAsia="Calibri" w:cs="Arial"/>
          <w:bCs/>
          <w:szCs w:val="22"/>
        </w:rPr>
        <w:t xml:space="preserve">recognised by respondents as important ways to identify and address </w:t>
      </w:r>
      <w:r w:rsidR="00C20961">
        <w:rPr>
          <w:rFonts w:eastAsia="Calibri" w:cs="Arial"/>
          <w:bCs/>
          <w:szCs w:val="22"/>
        </w:rPr>
        <w:t>issues around competence</w:t>
      </w:r>
      <w:r w:rsidR="00B143D4" w:rsidRPr="001D4F3A">
        <w:rPr>
          <w:rFonts w:eastAsia="Calibri" w:cs="Arial"/>
          <w:bCs/>
          <w:szCs w:val="22"/>
        </w:rPr>
        <w:t xml:space="preserve">.  </w:t>
      </w:r>
    </w:p>
    <w:p w:rsidR="00C20961" w:rsidRDefault="00C20961" w:rsidP="00A52B6E">
      <w:pPr>
        <w:spacing w:line="280" w:lineRule="atLeast"/>
        <w:rPr>
          <w:rFonts w:eastAsiaTheme="minorHAnsi" w:cs="Arial"/>
          <w:szCs w:val="22"/>
        </w:rPr>
      </w:pPr>
    </w:p>
    <w:p w:rsidR="00731184" w:rsidRPr="00A52B6E" w:rsidRDefault="00051592" w:rsidP="00A52B6E">
      <w:pPr>
        <w:pStyle w:val="Suheading2"/>
        <w:spacing w:line="280" w:lineRule="atLeast"/>
        <w:rPr>
          <w:sz w:val="28"/>
          <w:szCs w:val="28"/>
        </w:rPr>
      </w:pPr>
      <w:r w:rsidRPr="00A52B6E">
        <w:rPr>
          <w:sz w:val="28"/>
          <w:szCs w:val="28"/>
        </w:rPr>
        <w:t xml:space="preserve">Mandating </w:t>
      </w:r>
      <w:r w:rsidR="00167F7B" w:rsidRPr="00A52B6E">
        <w:rPr>
          <w:sz w:val="28"/>
          <w:szCs w:val="28"/>
        </w:rPr>
        <w:t xml:space="preserve">training </w:t>
      </w:r>
      <w:r w:rsidRPr="00A52B6E">
        <w:rPr>
          <w:sz w:val="28"/>
          <w:szCs w:val="28"/>
        </w:rPr>
        <w:t>t</w:t>
      </w:r>
      <w:r w:rsidR="00167F7B" w:rsidRPr="00A52B6E">
        <w:rPr>
          <w:sz w:val="28"/>
          <w:szCs w:val="28"/>
        </w:rPr>
        <w:t>hrough the NSQHS Standards</w:t>
      </w:r>
    </w:p>
    <w:p w:rsidR="0032595A" w:rsidRDefault="00F67971" w:rsidP="00A52B6E">
      <w:pPr>
        <w:spacing w:line="280" w:lineRule="atLeast"/>
        <w:rPr>
          <w:rFonts w:eastAsia="Calibri" w:cs="Arial"/>
          <w:bCs/>
          <w:szCs w:val="22"/>
        </w:rPr>
      </w:pPr>
      <w:r>
        <w:rPr>
          <w:rFonts w:eastAsia="Calibri" w:cs="Arial"/>
          <w:bCs/>
          <w:szCs w:val="22"/>
        </w:rPr>
        <w:t xml:space="preserve">Sixty two submissions </w:t>
      </w:r>
      <w:r w:rsidR="002821F9">
        <w:rPr>
          <w:rFonts w:eastAsia="Calibri" w:cs="Arial"/>
          <w:bCs/>
          <w:szCs w:val="22"/>
        </w:rPr>
        <w:t>expressed a view about</w:t>
      </w:r>
      <w:r w:rsidR="009924B5">
        <w:rPr>
          <w:rFonts w:eastAsia="Calibri" w:cs="Arial"/>
          <w:bCs/>
          <w:szCs w:val="22"/>
        </w:rPr>
        <w:t xml:space="preserve"> whether</w:t>
      </w:r>
      <w:r w:rsidR="002821F9">
        <w:rPr>
          <w:rFonts w:eastAsia="Calibri" w:cs="Arial"/>
          <w:bCs/>
          <w:szCs w:val="22"/>
        </w:rPr>
        <w:t xml:space="preserve"> requirements for training in recognising and responding to clinical deterioration should be included in Standard 9. Of these,</w:t>
      </w:r>
      <w:r>
        <w:rPr>
          <w:rFonts w:eastAsia="Calibri" w:cs="Arial"/>
          <w:bCs/>
          <w:szCs w:val="22"/>
        </w:rPr>
        <w:t xml:space="preserve"> 43 submissions (69% of those that expressed a </w:t>
      </w:r>
      <w:proofErr w:type="gramStart"/>
      <w:r>
        <w:rPr>
          <w:rFonts w:eastAsia="Calibri" w:cs="Arial"/>
          <w:bCs/>
          <w:szCs w:val="22"/>
        </w:rPr>
        <w:t>view,</w:t>
      </w:r>
      <w:proofErr w:type="gramEnd"/>
      <w:r>
        <w:rPr>
          <w:rFonts w:eastAsia="Calibri" w:cs="Arial"/>
          <w:bCs/>
          <w:szCs w:val="22"/>
        </w:rPr>
        <w:t xml:space="preserve"> and 43% of the total number of submissions</w:t>
      </w:r>
      <w:r w:rsidR="0032595A">
        <w:rPr>
          <w:rFonts w:eastAsia="Calibri" w:cs="Arial"/>
          <w:bCs/>
          <w:szCs w:val="22"/>
        </w:rPr>
        <w:t xml:space="preserve">) </w:t>
      </w:r>
      <w:r w:rsidR="00EA1A0A">
        <w:rPr>
          <w:rFonts w:eastAsia="Calibri" w:cs="Arial"/>
          <w:bCs/>
          <w:szCs w:val="22"/>
        </w:rPr>
        <w:t>considered</w:t>
      </w:r>
      <w:r w:rsidR="00731184" w:rsidRPr="001D4F3A">
        <w:rPr>
          <w:rFonts w:eastAsia="Calibri" w:cs="Arial"/>
          <w:bCs/>
          <w:szCs w:val="22"/>
        </w:rPr>
        <w:t xml:space="preserve"> that training for recognising and responding to clinical deterioration should be mandated under Standard 9. </w:t>
      </w:r>
      <w:r w:rsidR="0032595A">
        <w:rPr>
          <w:rFonts w:eastAsia="Calibri" w:cs="Arial"/>
          <w:bCs/>
          <w:szCs w:val="22"/>
        </w:rPr>
        <w:t>Reasons for this view included:</w:t>
      </w:r>
    </w:p>
    <w:p w:rsidR="00EA1A0A" w:rsidRPr="00EA1A0A" w:rsidRDefault="00EA1A0A" w:rsidP="009924B5">
      <w:pPr>
        <w:pStyle w:val="ListParagraph"/>
        <w:numPr>
          <w:ilvl w:val="0"/>
          <w:numId w:val="22"/>
        </w:numPr>
        <w:spacing w:line="280" w:lineRule="atLeast"/>
        <w:rPr>
          <w:rFonts w:eastAsia="Calibri" w:cs="Arial"/>
          <w:bCs/>
          <w:szCs w:val="22"/>
        </w:rPr>
      </w:pPr>
      <w:r>
        <w:rPr>
          <w:rFonts w:eastAsia="Calibri" w:cs="Arial"/>
          <w:bCs/>
          <w:szCs w:val="22"/>
        </w:rPr>
        <w:t xml:space="preserve">that it </w:t>
      </w:r>
      <w:r w:rsidR="00B16603">
        <w:rPr>
          <w:rFonts w:eastAsia="Calibri" w:cs="Arial"/>
          <w:bCs/>
          <w:szCs w:val="22"/>
        </w:rPr>
        <w:t xml:space="preserve">would </w:t>
      </w:r>
      <w:r>
        <w:rPr>
          <w:rFonts w:eastAsia="Calibri" w:cs="Arial"/>
          <w:bCs/>
          <w:szCs w:val="22"/>
        </w:rPr>
        <w:t>ensure the investment that was need</w:t>
      </w:r>
      <w:r w:rsidR="00B16603">
        <w:rPr>
          <w:rFonts w:eastAsia="Calibri" w:cs="Arial"/>
          <w:bCs/>
          <w:szCs w:val="22"/>
        </w:rPr>
        <w:t>ed</w:t>
      </w:r>
      <w:r>
        <w:rPr>
          <w:rFonts w:eastAsia="Calibri" w:cs="Arial"/>
          <w:bCs/>
          <w:szCs w:val="22"/>
        </w:rPr>
        <w:t xml:space="preserve"> to support the training at an organisational level</w:t>
      </w:r>
    </w:p>
    <w:p w:rsidR="0032595A" w:rsidRDefault="0032595A" w:rsidP="009924B5">
      <w:pPr>
        <w:pStyle w:val="ListParagraph"/>
        <w:numPr>
          <w:ilvl w:val="0"/>
          <w:numId w:val="22"/>
        </w:numPr>
        <w:spacing w:line="280" w:lineRule="atLeast"/>
        <w:rPr>
          <w:rFonts w:eastAsia="Calibri" w:cs="Arial"/>
          <w:bCs/>
          <w:szCs w:val="22"/>
        </w:rPr>
      </w:pPr>
      <w:r>
        <w:rPr>
          <w:rFonts w:eastAsia="Calibri" w:cs="Arial"/>
          <w:bCs/>
          <w:szCs w:val="22"/>
        </w:rPr>
        <w:t>that it would assist in establishing national consistency across the health sector</w:t>
      </w:r>
    </w:p>
    <w:p w:rsidR="0032595A" w:rsidRDefault="0032595A" w:rsidP="009924B5">
      <w:pPr>
        <w:pStyle w:val="ListParagraph"/>
        <w:numPr>
          <w:ilvl w:val="0"/>
          <w:numId w:val="22"/>
        </w:numPr>
        <w:spacing w:line="280" w:lineRule="atLeast"/>
        <w:rPr>
          <w:rFonts w:eastAsia="Calibri" w:cs="Arial"/>
          <w:bCs/>
          <w:szCs w:val="22"/>
        </w:rPr>
      </w:pPr>
      <w:r>
        <w:rPr>
          <w:rFonts w:eastAsia="Calibri" w:cs="Arial"/>
          <w:bCs/>
          <w:szCs w:val="22"/>
        </w:rPr>
        <w:t>unless it was mandated training would occur in an ad hoc, inconsistent and ‘lowest common denominator</w:t>
      </w:r>
      <w:r w:rsidR="00B16603">
        <w:rPr>
          <w:rFonts w:eastAsia="Calibri" w:cs="Arial"/>
          <w:bCs/>
          <w:szCs w:val="22"/>
        </w:rPr>
        <w:t>’</w:t>
      </w:r>
      <w:r>
        <w:rPr>
          <w:rFonts w:eastAsia="Calibri" w:cs="Arial"/>
          <w:bCs/>
          <w:szCs w:val="22"/>
        </w:rPr>
        <w:t xml:space="preserve"> </w:t>
      </w:r>
      <w:r w:rsidR="00B16603">
        <w:rPr>
          <w:rFonts w:eastAsia="Calibri" w:cs="Arial"/>
          <w:bCs/>
          <w:szCs w:val="22"/>
        </w:rPr>
        <w:t>way</w:t>
      </w:r>
    </w:p>
    <w:p w:rsidR="00EA1A0A" w:rsidRDefault="0032595A" w:rsidP="009924B5">
      <w:pPr>
        <w:pStyle w:val="ListParagraph"/>
        <w:numPr>
          <w:ilvl w:val="0"/>
          <w:numId w:val="22"/>
        </w:numPr>
        <w:spacing w:line="280" w:lineRule="atLeast"/>
        <w:rPr>
          <w:rFonts w:eastAsia="Calibri" w:cs="Arial"/>
          <w:bCs/>
          <w:szCs w:val="22"/>
        </w:rPr>
      </w:pPr>
      <w:r>
        <w:rPr>
          <w:rFonts w:eastAsia="Calibri" w:cs="Arial"/>
          <w:bCs/>
          <w:szCs w:val="22"/>
        </w:rPr>
        <w:t xml:space="preserve">that this training </w:t>
      </w:r>
      <w:r w:rsidR="00DA714A">
        <w:rPr>
          <w:rFonts w:eastAsia="Calibri" w:cs="Arial"/>
          <w:bCs/>
          <w:szCs w:val="22"/>
        </w:rPr>
        <w:t>wa</w:t>
      </w:r>
      <w:r>
        <w:rPr>
          <w:rFonts w:eastAsia="Calibri" w:cs="Arial"/>
          <w:bCs/>
          <w:szCs w:val="22"/>
        </w:rPr>
        <w:t>s critical for the safety and quality of care for patients</w:t>
      </w:r>
    </w:p>
    <w:p w:rsidR="0032595A" w:rsidRPr="0032595A" w:rsidRDefault="00EA1A0A" w:rsidP="009924B5">
      <w:pPr>
        <w:pStyle w:val="ListParagraph"/>
        <w:numPr>
          <w:ilvl w:val="0"/>
          <w:numId w:val="22"/>
        </w:numPr>
        <w:spacing w:line="280" w:lineRule="atLeast"/>
        <w:rPr>
          <w:rFonts w:eastAsia="Calibri" w:cs="Arial"/>
          <w:bCs/>
          <w:szCs w:val="22"/>
        </w:rPr>
      </w:pPr>
      <w:proofErr w:type="gramStart"/>
      <w:r>
        <w:rPr>
          <w:rFonts w:eastAsia="Calibri" w:cs="Arial"/>
          <w:bCs/>
          <w:szCs w:val="22"/>
        </w:rPr>
        <w:t>that</w:t>
      </w:r>
      <w:proofErr w:type="gramEnd"/>
      <w:r>
        <w:rPr>
          <w:rFonts w:eastAsia="Calibri" w:cs="Arial"/>
          <w:bCs/>
          <w:szCs w:val="22"/>
        </w:rPr>
        <w:t xml:space="preserve"> </w:t>
      </w:r>
      <w:r w:rsidR="00B16603">
        <w:rPr>
          <w:rFonts w:eastAsia="Calibri" w:cs="Arial"/>
          <w:bCs/>
          <w:szCs w:val="22"/>
        </w:rPr>
        <w:t>this was the best way of ensuring the adequacy of standards</w:t>
      </w:r>
      <w:r>
        <w:rPr>
          <w:rFonts w:eastAsia="Calibri" w:cs="Arial"/>
          <w:bCs/>
          <w:szCs w:val="22"/>
        </w:rPr>
        <w:t>.</w:t>
      </w:r>
    </w:p>
    <w:p w:rsidR="0032595A" w:rsidRDefault="00EA1A0A" w:rsidP="00A52B6E">
      <w:pPr>
        <w:spacing w:line="280" w:lineRule="atLeast"/>
        <w:rPr>
          <w:rFonts w:eastAsia="Calibri" w:cs="Arial"/>
          <w:bCs/>
          <w:szCs w:val="22"/>
        </w:rPr>
      </w:pPr>
      <w:r>
        <w:rPr>
          <w:rFonts w:eastAsia="Calibri" w:cs="Arial"/>
          <w:bCs/>
          <w:szCs w:val="22"/>
        </w:rPr>
        <w:t xml:space="preserve">These respondents generally </w:t>
      </w:r>
      <w:r w:rsidR="009924B5">
        <w:rPr>
          <w:rFonts w:eastAsia="Calibri" w:cs="Arial"/>
          <w:bCs/>
          <w:szCs w:val="22"/>
        </w:rPr>
        <w:t xml:space="preserve">expressed </w:t>
      </w:r>
      <w:r>
        <w:rPr>
          <w:rFonts w:eastAsia="Calibri" w:cs="Arial"/>
          <w:bCs/>
          <w:szCs w:val="22"/>
        </w:rPr>
        <w:t>the view that it was not only basic life support that should be mandated</w:t>
      </w:r>
      <w:r w:rsidR="00B16603">
        <w:rPr>
          <w:rFonts w:eastAsia="Calibri" w:cs="Arial"/>
          <w:bCs/>
          <w:szCs w:val="22"/>
        </w:rPr>
        <w:t xml:space="preserve">; </w:t>
      </w:r>
      <w:r w:rsidR="00B16603" w:rsidRPr="009924B5">
        <w:rPr>
          <w:rFonts w:eastAsia="Calibri" w:cs="Arial"/>
          <w:bCs/>
          <w:szCs w:val="22"/>
        </w:rPr>
        <w:t xml:space="preserve">broader </w:t>
      </w:r>
      <w:r w:rsidRPr="00B16603">
        <w:rPr>
          <w:rFonts w:eastAsia="Calibri" w:cs="Arial"/>
          <w:bCs/>
          <w:szCs w:val="22"/>
        </w:rPr>
        <w:t xml:space="preserve">skills and knowledge regarding recognising deterioration and escalating care </w:t>
      </w:r>
      <w:r w:rsidR="00DA714A">
        <w:rPr>
          <w:rFonts w:eastAsia="Calibri" w:cs="Arial"/>
          <w:bCs/>
          <w:szCs w:val="22"/>
        </w:rPr>
        <w:t>we</w:t>
      </w:r>
      <w:r w:rsidR="009924B5">
        <w:rPr>
          <w:rFonts w:eastAsia="Calibri" w:cs="Arial"/>
          <w:bCs/>
          <w:szCs w:val="22"/>
        </w:rPr>
        <w:t xml:space="preserve">re </w:t>
      </w:r>
      <w:r w:rsidRPr="00B16603">
        <w:rPr>
          <w:rFonts w:eastAsia="Calibri" w:cs="Arial"/>
          <w:bCs/>
          <w:szCs w:val="22"/>
        </w:rPr>
        <w:t>also</w:t>
      </w:r>
      <w:r w:rsidR="009924B5">
        <w:rPr>
          <w:rFonts w:eastAsia="Calibri" w:cs="Arial"/>
          <w:bCs/>
          <w:szCs w:val="22"/>
        </w:rPr>
        <w:t xml:space="preserve"> necessary</w:t>
      </w:r>
      <w:r w:rsidRPr="00B16603">
        <w:rPr>
          <w:rFonts w:eastAsia="Calibri" w:cs="Arial"/>
          <w:bCs/>
          <w:szCs w:val="22"/>
        </w:rPr>
        <w:t>.</w:t>
      </w:r>
      <w:r w:rsidR="00B16603">
        <w:rPr>
          <w:rFonts w:eastAsia="Calibri" w:cs="Arial"/>
          <w:bCs/>
          <w:szCs w:val="22"/>
        </w:rPr>
        <w:t xml:space="preserve"> It was not</w:t>
      </w:r>
      <w:r w:rsidR="00190ED0">
        <w:rPr>
          <w:rFonts w:eastAsia="Calibri" w:cs="Arial"/>
          <w:bCs/>
          <w:szCs w:val="22"/>
        </w:rPr>
        <w:t xml:space="preserve"> considered</w:t>
      </w:r>
      <w:r w:rsidR="00B16603">
        <w:rPr>
          <w:rFonts w:eastAsia="Calibri" w:cs="Arial"/>
          <w:bCs/>
          <w:szCs w:val="22"/>
        </w:rPr>
        <w:t xml:space="preserve"> appropriate to mandate any particular training program as flexibility to meet organisational needs</w:t>
      </w:r>
      <w:r w:rsidR="009924B5">
        <w:rPr>
          <w:rFonts w:eastAsia="Calibri" w:cs="Arial"/>
          <w:bCs/>
          <w:szCs w:val="22"/>
        </w:rPr>
        <w:t xml:space="preserve"> </w:t>
      </w:r>
      <w:r w:rsidR="00DA714A">
        <w:rPr>
          <w:rFonts w:eastAsia="Calibri" w:cs="Arial"/>
          <w:bCs/>
          <w:szCs w:val="22"/>
        </w:rPr>
        <w:t>wa</w:t>
      </w:r>
      <w:r w:rsidR="009924B5">
        <w:rPr>
          <w:rFonts w:eastAsia="Calibri" w:cs="Arial"/>
          <w:bCs/>
          <w:szCs w:val="22"/>
        </w:rPr>
        <w:t>s required</w:t>
      </w:r>
      <w:r w:rsidR="00B16603">
        <w:rPr>
          <w:rFonts w:eastAsia="Calibri" w:cs="Arial"/>
          <w:bCs/>
          <w:szCs w:val="22"/>
        </w:rPr>
        <w:t>.</w:t>
      </w:r>
    </w:p>
    <w:p w:rsidR="00EA1A0A" w:rsidRDefault="00EA1A0A" w:rsidP="00A52B6E">
      <w:pPr>
        <w:spacing w:line="280" w:lineRule="atLeast"/>
        <w:rPr>
          <w:rFonts w:eastAsia="Calibri" w:cs="Arial"/>
          <w:bCs/>
          <w:szCs w:val="22"/>
        </w:rPr>
      </w:pPr>
      <w:r>
        <w:rPr>
          <w:rFonts w:eastAsia="Calibri" w:cs="Arial"/>
          <w:bCs/>
          <w:szCs w:val="22"/>
        </w:rPr>
        <w:t>Re</w:t>
      </w:r>
      <w:r w:rsidR="002D6B15">
        <w:rPr>
          <w:rFonts w:eastAsia="Calibri" w:cs="Arial"/>
          <w:bCs/>
          <w:szCs w:val="22"/>
        </w:rPr>
        <w:t>spondents also considered that</w:t>
      </w:r>
      <w:r>
        <w:rPr>
          <w:rFonts w:eastAsia="Calibri" w:cs="Arial"/>
          <w:bCs/>
          <w:szCs w:val="22"/>
        </w:rPr>
        <w:t xml:space="preserve"> requiring training in Standard 9 was not the only mechanism that was needed to ensure tha</w:t>
      </w:r>
      <w:r w:rsidR="009924B5">
        <w:rPr>
          <w:rFonts w:eastAsia="Calibri" w:cs="Arial"/>
          <w:bCs/>
          <w:szCs w:val="22"/>
        </w:rPr>
        <w:t>t clinicians a</w:t>
      </w:r>
      <w:r>
        <w:rPr>
          <w:rFonts w:eastAsia="Calibri" w:cs="Arial"/>
          <w:bCs/>
          <w:szCs w:val="22"/>
        </w:rPr>
        <w:t xml:space="preserve">re able to properly recognise and respond to clinical deterioration. </w:t>
      </w:r>
      <w:r w:rsidRPr="00B16603">
        <w:rPr>
          <w:rFonts w:eastAsia="Calibri" w:cs="Arial"/>
          <w:bCs/>
          <w:szCs w:val="22"/>
        </w:rPr>
        <w:t>In particular, the role of AHPRA</w:t>
      </w:r>
      <w:r w:rsidR="00B16603">
        <w:rPr>
          <w:rFonts w:eastAsia="Calibri" w:cs="Arial"/>
          <w:bCs/>
          <w:szCs w:val="22"/>
        </w:rPr>
        <w:t xml:space="preserve"> and the National Boards </w:t>
      </w:r>
      <w:r w:rsidR="00F67971">
        <w:rPr>
          <w:rFonts w:eastAsia="Calibri" w:cs="Arial"/>
          <w:bCs/>
          <w:szCs w:val="22"/>
        </w:rPr>
        <w:t xml:space="preserve">regarding </w:t>
      </w:r>
      <w:r w:rsidR="00B16603">
        <w:rPr>
          <w:rFonts w:eastAsia="Calibri" w:cs="Arial"/>
          <w:bCs/>
          <w:szCs w:val="22"/>
        </w:rPr>
        <w:t xml:space="preserve">professional standards of training and practice was thought to be </w:t>
      </w:r>
      <w:r w:rsidR="009924B5">
        <w:rPr>
          <w:rFonts w:eastAsia="Calibri" w:cs="Arial"/>
          <w:bCs/>
          <w:szCs w:val="22"/>
        </w:rPr>
        <w:t xml:space="preserve">critical to </w:t>
      </w:r>
      <w:r w:rsidR="00B16603">
        <w:rPr>
          <w:rFonts w:eastAsia="Calibri" w:cs="Arial"/>
          <w:bCs/>
          <w:szCs w:val="22"/>
        </w:rPr>
        <w:t>ensuring that clinicians c</w:t>
      </w:r>
      <w:r w:rsidR="009924B5">
        <w:rPr>
          <w:rFonts w:eastAsia="Calibri" w:cs="Arial"/>
          <w:bCs/>
          <w:szCs w:val="22"/>
        </w:rPr>
        <w:t>an</w:t>
      </w:r>
      <w:r w:rsidR="00B16603">
        <w:rPr>
          <w:rFonts w:eastAsia="Calibri" w:cs="Arial"/>
          <w:bCs/>
          <w:szCs w:val="22"/>
        </w:rPr>
        <w:t xml:space="preserve"> properly recognise and respond to clinical deterioration.</w:t>
      </w:r>
      <w:r w:rsidR="00821C5A">
        <w:rPr>
          <w:rFonts w:eastAsia="Calibri" w:cs="Arial"/>
          <w:bCs/>
          <w:szCs w:val="22"/>
        </w:rPr>
        <w:t xml:space="preserve"> In their submission AHPRA indicated that most of the National Boards were reviewing core registration standards, including requirements for continuing professional development</w:t>
      </w:r>
      <w:r w:rsidR="009924B5">
        <w:rPr>
          <w:rFonts w:eastAsia="Calibri" w:cs="Arial"/>
          <w:bCs/>
          <w:szCs w:val="22"/>
        </w:rPr>
        <w:t xml:space="preserve">. AHPRA indicated </w:t>
      </w:r>
      <w:r w:rsidR="00821C5A">
        <w:rPr>
          <w:rFonts w:eastAsia="Calibri" w:cs="Arial"/>
          <w:bCs/>
          <w:szCs w:val="22"/>
        </w:rPr>
        <w:t>that they would be keen to work with the Commission in this area.</w:t>
      </w:r>
    </w:p>
    <w:p w:rsidR="00EA1A0A" w:rsidRDefault="00731184" w:rsidP="00A52B6E">
      <w:pPr>
        <w:spacing w:line="280" w:lineRule="atLeast"/>
        <w:rPr>
          <w:rFonts w:eastAsia="Calibri" w:cs="Arial"/>
          <w:bCs/>
          <w:szCs w:val="22"/>
        </w:rPr>
      </w:pPr>
      <w:r w:rsidRPr="001D4F3A">
        <w:rPr>
          <w:rFonts w:eastAsia="Calibri" w:cs="Arial"/>
          <w:bCs/>
          <w:szCs w:val="22"/>
        </w:rPr>
        <w:t>There were</w:t>
      </w:r>
      <w:r w:rsidR="00EA1A0A">
        <w:rPr>
          <w:rFonts w:eastAsia="Calibri" w:cs="Arial"/>
          <w:bCs/>
          <w:szCs w:val="22"/>
        </w:rPr>
        <w:t xml:space="preserve"> </w:t>
      </w:r>
      <w:r w:rsidR="002D6B15">
        <w:rPr>
          <w:rFonts w:eastAsia="Calibri" w:cs="Arial"/>
          <w:bCs/>
          <w:szCs w:val="22"/>
        </w:rPr>
        <w:t xml:space="preserve">19 </w:t>
      </w:r>
      <w:r w:rsidR="00EA1A0A">
        <w:rPr>
          <w:rFonts w:eastAsia="Calibri" w:cs="Arial"/>
          <w:bCs/>
          <w:szCs w:val="22"/>
        </w:rPr>
        <w:t xml:space="preserve">submissions </w:t>
      </w:r>
      <w:r w:rsidR="002D6B15">
        <w:rPr>
          <w:rFonts w:eastAsia="Calibri" w:cs="Arial"/>
          <w:bCs/>
          <w:szCs w:val="22"/>
        </w:rPr>
        <w:t>(31%</w:t>
      </w:r>
      <w:r w:rsidR="00F67971">
        <w:rPr>
          <w:rFonts w:eastAsia="Calibri" w:cs="Arial"/>
          <w:bCs/>
          <w:szCs w:val="22"/>
        </w:rPr>
        <w:t xml:space="preserve"> of that expressed a view and 19% of the total</w:t>
      </w:r>
      <w:r w:rsidR="002D6B15">
        <w:rPr>
          <w:rFonts w:eastAsia="Calibri" w:cs="Arial"/>
          <w:bCs/>
          <w:szCs w:val="22"/>
        </w:rPr>
        <w:t xml:space="preserve">) </w:t>
      </w:r>
      <w:r w:rsidR="00EA1A0A">
        <w:rPr>
          <w:rFonts w:eastAsia="Calibri" w:cs="Arial"/>
          <w:bCs/>
          <w:szCs w:val="22"/>
        </w:rPr>
        <w:t>that did not consider that training for recognising and responding to deterioration should be mandated under Standard 9, or raised concerns about this approach. Reasons for this view included:</w:t>
      </w:r>
    </w:p>
    <w:p w:rsidR="00161BB0" w:rsidRDefault="00161BB0" w:rsidP="009924B5">
      <w:pPr>
        <w:pStyle w:val="ListParagraph"/>
        <w:numPr>
          <w:ilvl w:val="0"/>
          <w:numId w:val="24"/>
        </w:numPr>
        <w:spacing w:line="280" w:lineRule="atLeast"/>
        <w:rPr>
          <w:rFonts w:eastAsia="Calibri" w:cs="Arial"/>
          <w:bCs/>
          <w:szCs w:val="22"/>
        </w:rPr>
      </w:pPr>
      <w:r>
        <w:rPr>
          <w:rFonts w:eastAsia="Calibri" w:cs="Arial"/>
          <w:bCs/>
          <w:szCs w:val="22"/>
        </w:rPr>
        <w:t>the cost</w:t>
      </w:r>
      <w:r w:rsidR="009924B5">
        <w:rPr>
          <w:rFonts w:eastAsia="Calibri" w:cs="Arial"/>
          <w:bCs/>
          <w:szCs w:val="22"/>
        </w:rPr>
        <w:t>s</w:t>
      </w:r>
      <w:r>
        <w:rPr>
          <w:rFonts w:eastAsia="Calibri" w:cs="Arial"/>
          <w:bCs/>
          <w:szCs w:val="22"/>
        </w:rPr>
        <w:t xml:space="preserve"> of delivering mandated training that </w:t>
      </w:r>
      <w:r w:rsidR="009924B5">
        <w:rPr>
          <w:rFonts w:eastAsia="Calibri" w:cs="Arial"/>
          <w:bCs/>
          <w:szCs w:val="22"/>
        </w:rPr>
        <w:t xml:space="preserve">may </w:t>
      </w:r>
      <w:r>
        <w:rPr>
          <w:rFonts w:eastAsia="Calibri" w:cs="Arial"/>
          <w:bCs/>
          <w:szCs w:val="22"/>
        </w:rPr>
        <w:t xml:space="preserve">not provide </w:t>
      </w:r>
      <w:r w:rsidR="009924B5">
        <w:rPr>
          <w:rFonts w:eastAsia="Calibri" w:cs="Arial"/>
          <w:bCs/>
          <w:szCs w:val="22"/>
        </w:rPr>
        <w:t>improve patient outcomes</w:t>
      </w:r>
    </w:p>
    <w:p w:rsidR="00161BB0" w:rsidRDefault="00161BB0" w:rsidP="009924B5">
      <w:pPr>
        <w:pStyle w:val="ListParagraph"/>
        <w:numPr>
          <w:ilvl w:val="0"/>
          <w:numId w:val="24"/>
        </w:numPr>
        <w:spacing w:line="280" w:lineRule="atLeast"/>
        <w:rPr>
          <w:rFonts w:eastAsia="Calibri" w:cs="Arial"/>
          <w:bCs/>
          <w:szCs w:val="22"/>
        </w:rPr>
      </w:pPr>
      <w:r>
        <w:rPr>
          <w:rFonts w:eastAsia="Calibri" w:cs="Arial"/>
          <w:bCs/>
          <w:szCs w:val="22"/>
        </w:rPr>
        <w:t>that a national mandate would result in a ‘one size fits all’ approach that did not take into account organisational needs and differences</w:t>
      </w:r>
    </w:p>
    <w:p w:rsidR="00161BB0" w:rsidRDefault="00161BB0" w:rsidP="009924B5">
      <w:pPr>
        <w:pStyle w:val="ListParagraph"/>
        <w:numPr>
          <w:ilvl w:val="0"/>
          <w:numId w:val="24"/>
        </w:numPr>
        <w:spacing w:line="280" w:lineRule="atLeast"/>
        <w:rPr>
          <w:rFonts w:eastAsia="Calibri" w:cs="Arial"/>
          <w:bCs/>
          <w:szCs w:val="22"/>
        </w:rPr>
      </w:pPr>
      <w:r>
        <w:rPr>
          <w:rFonts w:eastAsia="Calibri" w:cs="Arial"/>
          <w:bCs/>
          <w:szCs w:val="22"/>
        </w:rPr>
        <w:t>that a focus on mandated training place</w:t>
      </w:r>
      <w:r w:rsidR="00B16603">
        <w:rPr>
          <w:rFonts w:eastAsia="Calibri" w:cs="Arial"/>
          <w:bCs/>
          <w:szCs w:val="22"/>
        </w:rPr>
        <w:t>d</w:t>
      </w:r>
      <w:r>
        <w:rPr>
          <w:rFonts w:eastAsia="Calibri" w:cs="Arial"/>
          <w:bCs/>
          <w:szCs w:val="22"/>
        </w:rPr>
        <w:t xml:space="preserve"> an unnecessary focus on compliance rather than system improvement and ongoing review and learning</w:t>
      </w:r>
    </w:p>
    <w:p w:rsidR="00161BB0" w:rsidRDefault="00161BB0" w:rsidP="009924B5">
      <w:pPr>
        <w:pStyle w:val="ListParagraph"/>
        <w:numPr>
          <w:ilvl w:val="0"/>
          <w:numId w:val="24"/>
        </w:numPr>
        <w:spacing w:line="280" w:lineRule="atLeast"/>
        <w:rPr>
          <w:rFonts w:eastAsia="Calibri" w:cs="Arial"/>
          <w:bCs/>
          <w:szCs w:val="22"/>
        </w:rPr>
      </w:pPr>
      <w:r>
        <w:rPr>
          <w:rFonts w:eastAsia="Calibri" w:cs="Arial"/>
          <w:bCs/>
          <w:szCs w:val="22"/>
        </w:rPr>
        <w:t>that there is insuff</w:t>
      </w:r>
      <w:r w:rsidR="00A30F94">
        <w:rPr>
          <w:rFonts w:eastAsia="Calibri" w:cs="Arial"/>
          <w:bCs/>
          <w:szCs w:val="22"/>
        </w:rPr>
        <w:t>icient evidence of the value of basic life support or other training to warrant a mandate through Standard 9</w:t>
      </w:r>
    </w:p>
    <w:p w:rsidR="00A30F94" w:rsidRDefault="00DA714A" w:rsidP="009924B5">
      <w:pPr>
        <w:pStyle w:val="ListParagraph"/>
        <w:numPr>
          <w:ilvl w:val="0"/>
          <w:numId w:val="24"/>
        </w:numPr>
        <w:spacing w:line="280" w:lineRule="atLeast"/>
        <w:rPr>
          <w:rFonts w:eastAsia="Calibri" w:cs="Arial"/>
          <w:bCs/>
          <w:szCs w:val="22"/>
        </w:rPr>
      </w:pPr>
      <w:r>
        <w:rPr>
          <w:rFonts w:eastAsia="Calibri" w:cs="Arial"/>
          <w:bCs/>
          <w:szCs w:val="22"/>
        </w:rPr>
        <w:lastRenderedPageBreak/>
        <w:t>that it wa</w:t>
      </w:r>
      <w:r w:rsidR="00A30F94">
        <w:rPr>
          <w:rFonts w:eastAsia="Calibri" w:cs="Arial"/>
          <w:bCs/>
          <w:szCs w:val="22"/>
        </w:rPr>
        <w:t xml:space="preserve">s the responsibility of clinicians to maintain their own competence, particularly for </w:t>
      </w:r>
      <w:r w:rsidR="002D6B15">
        <w:rPr>
          <w:rFonts w:eastAsia="Calibri" w:cs="Arial"/>
          <w:bCs/>
          <w:szCs w:val="22"/>
        </w:rPr>
        <w:t xml:space="preserve">doctors working </w:t>
      </w:r>
      <w:r w:rsidR="00A30F94">
        <w:rPr>
          <w:rFonts w:eastAsia="Calibri" w:cs="Arial"/>
          <w:bCs/>
          <w:szCs w:val="22"/>
        </w:rPr>
        <w:t>in private hospitals</w:t>
      </w:r>
      <w:r w:rsidR="002D6B15">
        <w:rPr>
          <w:rFonts w:eastAsia="Calibri" w:cs="Arial"/>
          <w:bCs/>
          <w:szCs w:val="22"/>
        </w:rPr>
        <w:t xml:space="preserve"> who were not employed</w:t>
      </w:r>
    </w:p>
    <w:p w:rsidR="00A30F94" w:rsidRPr="00161BB0" w:rsidRDefault="00B16603" w:rsidP="009924B5">
      <w:pPr>
        <w:pStyle w:val="ListParagraph"/>
        <w:numPr>
          <w:ilvl w:val="0"/>
          <w:numId w:val="24"/>
        </w:numPr>
        <w:spacing w:line="280" w:lineRule="atLeast"/>
        <w:rPr>
          <w:rFonts w:eastAsia="Calibri" w:cs="Arial"/>
          <w:bCs/>
          <w:szCs w:val="22"/>
        </w:rPr>
      </w:pPr>
      <w:proofErr w:type="gramStart"/>
      <w:r>
        <w:rPr>
          <w:rFonts w:eastAsia="Calibri" w:cs="Arial"/>
          <w:bCs/>
          <w:szCs w:val="22"/>
        </w:rPr>
        <w:t>that</w:t>
      </w:r>
      <w:proofErr w:type="gramEnd"/>
      <w:r>
        <w:rPr>
          <w:rFonts w:eastAsia="Calibri" w:cs="Arial"/>
          <w:bCs/>
          <w:szCs w:val="22"/>
        </w:rPr>
        <w:t xml:space="preserve"> </w:t>
      </w:r>
      <w:r w:rsidR="00A30F94">
        <w:rPr>
          <w:rFonts w:eastAsia="Calibri" w:cs="Arial"/>
          <w:bCs/>
          <w:szCs w:val="22"/>
        </w:rPr>
        <w:t>the requirements are addressed through other means, such as jurisdictional policy.</w:t>
      </w:r>
    </w:p>
    <w:p w:rsidR="00161BB0" w:rsidRDefault="00161BB0" w:rsidP="00A52B6E">
      <w:pPr>
        <w:spacing w:line="280" w:lineRule="atLeast"/>
        <w:rPr>
          <w:rFonts w:eastAsia="Calibri" w:cs="Arial"/>
          <w:bCs/>
          <w:szCs w:val="22"/>
        </w:rPr>
      </w:pPr>
      <w:r>
        <w:rPr>
          <w:rFonts w:eastAsia="Calibri" w:cs="Arial"/>
          <w:bCs/>
          <w:szCs w:val="22"/>
        </w:rPr>
        <w:t>A number of these submissions suggested that a risk-based approach was needed to establish the training requirements for clinicians</w:t>
      </w:r>
      <w:r w:rsidR="00DA714A">
        <w:rPr>
          <w:rFonts w:eastAsia="Calibri" w:cs="Arial"/>
          <w:bCs/>
          <w:szCs w:val="22"/>
        </w:rPr>
        <w:t>.</w:t>
      </w:r>
      <w:r w:rsidR="00B16603">
        <w:rPr>
          <w:rFonts w:eastAsiaTheme="minorHAnsi" w:cs="Arial"/>
          <w:szCs w:val="22"/>
        </w:rPr>
        <w:t xml:space="preserve"> For example, o</w:t>
      </w:r>
      <w:r>
        <w:rPr>
          <w:rFonts w:eastAsia="Calibri" w:cs="Arial"/>
          <w:bCs/>
          <w:szCs w:val="22"/>
        </w:rPr>
        <w:t>ne submission suggested that it may be more beneficial to:</w:t>
      </w:r>
    </w:p>
    <w:p w:rsidR="00161BB0" w:rsidRPr="009924B5" w:rsidRDefault="00161BB0" w:rsidP="00161BB0">
      <w:pPr>
        <w:spacing w:line="280" w:lineRule="atLeast"/>
        <w:ind w:left="720"/>
        <w:rPr>
          <w:rFonts w:eastAsia="Calibri" w:cs="Arial"/>
          <w:bCs/>
          <w:szCs w:val="22"/>
        </w:rPr>
      </w:pPr>
      <w:r>
        <w:rPr>
          <w:rFonts w:eastAsia="Calibri" w:cs="Arial"/>
          <w:bCs/>
          <w:i/>
          <w:szCs w:val="22"/>
        </w:rPr>
        <w:t xml:space="preserve">…mandate that health services review training requirements using a risk-based methodology and can demonstrate a structured, considered approach, reflecting local needs, population </w:t>
      </w:r>
      <w:proofErr w:type="spellStart"/>
      <w:r>
        <w:rPr>
          <w:rFonts w:eastAsia="Calibri" w:cs="Arial"/>
          <w:bCs/>
          <w:i/>
          <w:szCs w:val="22"/>
        </w:rPr>
        <w:t>etc</w:t>
      </w:r>
      <w:proofErr w:type="spellEnd"/>
      <w:r>
        <w:rPr>
          <w:rFonts w:eastAsia="Calibri" w:cs="Arial"/>
          <w:bCs/>
          <w:i/>
          <w:szCs w:val="22"/>
        </w:rPr>
        <w:t xml:space="preserve"> has been taken to determining education and training requirements</w:t>
      </w:r>
      <w:r w:rsidR="002D6B15">
        <w:rPr>
          <w:rFonts w:eastAsia="Calibri" w:cs="Arial"/>
          <w:bCs/>
          <w:i/>
          <w:szCs w:val="22"/>
        </w:rPr>
        <w:t>.</w:t>
      </w:r>
      <w:r>
        <w:rPr>
          <w:rFonts w:eastAsia="Calibri" w:cs="Arial"/>
          <w:bCs/>
          <w:i/>
          <w:szCs w:val="22"/>
        </w:rPr>
        <w:br/>
      </w:r>
      <w:r>
        <w:rPr>
          <w:rFonts w:eastAsia="Calibri" w:cs="Arial"/>
          <w:bCs/>
          <w:szCs w:val="22"/>
        </w:rPr>
        <w:t>Alfred Health</w:t>
      </w:r>
    </w:p>
    <w:p w:rsidR="00B718D4" w:rsidRDefault="00B718D4" w:rsidP="009924B5">
      <w:pPr>
        <w:spacing w:line="280" w:lineRule="atLeast"/>
        <w:rPr>
          <w:rFonts w:eastAsia="Calibri" w:cs="Arial"/>
          <w:bCs/>
          <w:szCs w:val="22"/>
        </w:rPr>
      </w:pPr>
      <w:r>
        <w:rPr>
          <w:rFonts w:eastAsia="Calibri" w:cs="Arial"/>
          <w:bCs/>
          <w:szCs w:val="22"/>
        </w:rPr>
        <w:t>There was agreement among these respondents about the importance of AHPRA, and some respondents generally considered that it was more appropriate for AHPRA to specify the competencies required of clinicians than for the Commission to mandate these through the NSQHS Standards.</w:t>
      </w:r>
    </w:p>
    <w:p w:rsidR="00B718D4" w:rsidRDefault="00B718D4" w:rsidP="009924B5">
      <w:pPr>
        <w:spacing w:line="280" w:lineRule="atLeast"/>
        <w:rPr>
          <w:rFonts w:eastAsia="Calibri" w:cs="Arial"/>
          <w:bCs/>
          <w:szCs w:val="22"/>
        </w:rPr>
      </w:pPr>
      <w:r>
        <w:rPr>
          <w:rFonts w:eastAsia="Calibri" w:cs="Arial"/>
          <w:bCs/>
          <w:szCs w:val="22"/>
        </w:rPr>
        <w:t xml:space="preserve">Elements of a potential </w:t>
      </w:r>
      <w:r w:rsidR="00A30F94">
        <w:rPr>
          <w:rFonts w:eastAsia="Calibri" w:cs="Arial"/>
          <w:bCs/>
          <w:szCs w:val="22"/>
        </w:rPr>
        <w:t xml:space="preserve">multi-factorial approach </w:t>
      </w:r>
      <w:r>
        <w:rPr>
          <w:rFonts w:eastAsia="Calibri" w:cs="Arial"/>
          <w:bCs/>
          <w:szCs w:val="22"/>
        </w:rPr>
        <w:t>were suggested in some submissions</w:t>
      </w:r>
      <w:r w:rsidR="009924B5">
        <w:rPr>
          <w:rFonts w:eastAsia="Calibri" w:cs="Arial"/>
          <w:bCs/>
          <w:szCs w:val="22"/>
        </w:rPr>
        <w:t>. This approach was</w:t>
      </w:r>
      <w:r>
        <w:rPr>
          <w:rFonts w:eastAsia="Calibri" w:cs="Arial"/>
          <w:bCs/>
          <w:szCs w:val="22"/>
        </w:rPr>
        <w:t xml:space="preserve"> based on:</w:t>
      </w:r>
    </w:p>
    <w:p w:rsidR="00B718D4" w:rsidRDefault="00B718D4" w:rsidP="009924B5">
      <w:pPr>
        <w:pStyle w:val="ListParagraph"/>
        <w:numPr>
          <w:ilvl w:val="0"/>
          <w:numId w:val="26"/>
        </w:numPr>
        <w:spacing w:line="280" w:lineRule="atLeast"/>
        <w:rPr>
          <w:rFonts w:eastAsia="Calibri" w:cs="Arial"/>
          <w:bCs/>
          <w:szCs w:val="22"/>
        </w:rPr>
      </w:pPr>
      <w:r>
        <w:rPr>
          <w:rFonts w:eastAsia="Calibri" w:cs="Arial"/>
          <w:bCs/>
          <w:szCs w:val="22"/>
        </w:rPr>
        <w:t xml:space="preserve">having </w:t>
      </w:r>
      <w:r w:rsidR="00CB4187" w:rsidRPr="00B718D4">
        <w:rPr>
          <w:rFonts w:eastAsia="Calibri" w:cs="Arial"/>
          <w:bCs/>
          <w:szCs w:val="22"/>
        </w:rPr>
        <w:t xml:space="preserve">basic skill requirements </w:t>
      </w:r>
      <w:r>
        <w:rPr>
          <w:rFonts w:eastAsia="Calibri" w:cs="Arial"/>
          <w:bCs/>
          <w:szCs w:val="22"/>
        </w:rPr>
        <w:t xml:space="preserve">included </w:t>
      </w:r>
      <w:r w:rsidR="00CB4187" w:rsidRPr="00B718D4">
        <w:rPr>
          <w:rFonts w:eastAsia="Calibri" w:cs="Arial"/>
          <w:bCs/>
          <w:szCs w:val="22"/>
        </w:rPr>
        <w:t xml:space="preserve">in </w:t>
      </w:r>
      <w:r>
        <w:rPr>
          <w:rFonts w:eastAsia="Calibri" w:cs="Arial"/>
          <w:bCs/>
          <w:szCs w:val="22"/>
        </w:rPr>
        <w:t xml:space="preserve">requirements for </w:t>
      </w:r>
      <w:r w:rsidR="00CB4187" w:rsidRPr="00B718D4">
        <w:rPr>
          <w:rFonts w:eastAsia="Calibri" w:cs="Arial"/>
          <w:bCs/>
          <w:szCs w:val="22"/>
        </w:rPr>
        <w:t>registration</w:t>
      </w:r>
    </w:p>
    <w:p w:rsidR="00B718D4" w:rsidRDefault="00B718D4" w:rsidP="009924B5">
      <w:pPr>
        <w:pStyle w:val="ListParagraph"/>
        <w:numPr>
          <w:ilvl w:val="0"/>
          <w:numId w:val="26"/>
        </w:numPr>
        <w:spacing w:line="280" w:lineRule="atLeast"/>
        <w:rPr>
          <w:rFonts w:eastAsia="Calibri" w:cs="Arial"/>
          <w:bCs/>
          <w:szCs w:val="22"/>
        </w:rPr>
      </w:pPr>
      <w:r>
        <w:rPr>
          <w:rFonts w:eastAsia="Calibri" w:cs="Arial"/>
          <w:bCs/>
          <w:szCs w:val="22"/>
        </w:rPr>
        <w:t xml:space="preserve">having ongoing and regular training requirements included in </w:t>
      </w:r>
      <w:r w:rsidR="00CB4187" w:rsidRPr="00B718D4">
        <w:rPr>
          <w:rFonts w:eastAsia="Calibri" w:cs="Arial"/>
          <w:bCs/>
          <w:szCs w:val="22"/>
        </w:rPr>
        <w:t>mandatory continuing professional development</w:t>
      </w:r>
      <w:r>
        <w:rPr>
          <w:rFonts w:eastAsia="Calibri" w:cs="Arial"/>
          <w:bCs/>
          <w:szCs w:val="22"/>
        </w:rPr>
        <w:t xml:space="preserve"> requirements</w:t>
      </w:r>
    </w:p>
    <w:p w:rsidR="00CB4187" w:rsidRPr="00B718D4" w:rsidRDefault="00F150DA" w:rsidP="009924B5">
      <w:pPr>
        <w:pStyle w:val="ListParagraph"/>
        <w:numPr>
          <w:ilvl w:val="0"/>
          <w:numId w:val="26"/>
        </w:numPr>
        <w:spacing w:line="280" w:lineRule="atLeast"/>
        <w:rPr>
          <w:rFonts w:eastAsia="Calibri" w:cs="Arial"/>
          <w:bCs/>
          <w:szCs w:val="22"/>
        </w:rPr>
      </w:pPr>
      <w:proofErr w:type="gramStart"/>
      <w:r w:rsidRPr="00B718D4">
        <w:rPr>
          <w:rFonts w:eastAsia="Calibri" w:cs="Arial"/>
          <w:bCs/>
          <w:szCs w:val="22"/>
        </w:rPr>
        <w:t>hospitals</w:t>
      </w:r>
      <w:proofErr w:type="gramEnd"/>
      <w:r w:rsidR="00B718D4">
        <w:rPr>
          <w:rFonts w:eastAsia="Calibri" w:cs="Arial"/>
          <w:bCs/>
          <w:szCs w:val="22"/>
        </w:rPr>
        <w:t xml:space="preserve"> and health services</w:t>
      </w:r>
      <w:r w:rsidRPr="00B718D4">
        <w:rPr>
          <w:rFonts w:eastAsia="Calibri" w:cs="Arial"/>
          <w:bCs/>
          <w:szCs w:val="22"/>
        </w:rPr>
        <w:t xml:space="preserve"> </w:t>
      </w:r>
      <w:r w:rsidR="009924B5">
        <w:rPr>
          <w:rFonts w:eastAsia="Calibri" w:cs="Arial"/>
          <w:bCs/>
          <w:szCs w:val="22"/>
        </w:rPr>
        <w:t>taking responsibility</w:t>
      </w:r>
      <w:r w:rsidR="00B718D4">
        <w:rPr>
          <w:rFonts w:eastAsia="Calibri" w:cs="Arial"/>
          <w:bCs/>
          <w:szCs w:val="22"/>
        </w:rPr>
        <w:t xml:space="preserve"> for ensuring that clinicians </w:t>
      </w:r>
      <w:r w:rsidR="009924B5">
        <w:rPr>
          <w:rFonts w:eastAsia="Calibri" w:cs="Arial"/>
          <w:bCs/>
          <w:szCs w:val="22"/>
        </w:rPr>
        <w:t>meet professional registration requirements for competence</w:t>
      </w:r>
      <w:r w:rsidR="00B718D4">
        <w:rPr>
          <w:rFonts w:eastAsia="Calibri" w:cs="Arial"/>
          <w:bCs/>
          <w:szCs w:val="22"/>
        </w:rPr>
        <w:t xml:space="preserve"> when the</w:t>
      </w:r>
      <w:r w:rsidR="002D6B15">
        <w:rPr>
          <w:rFonts w:eastAsia="Calibri" w:cs="Arial"/>
          <w:bCs/>
          <w:szCs w:val="22"/>
        </w:rPr>
        <w:t>y</w:t>
      </w:r>
      <w:r w:rsidR="00DA714A">
        <w:rPr>
          <w:rFonts w:eastAsia="Calibri" w:cs="Arial"/>
          <w:bCs/>
          <w:szCs w:val="22"/>
        </w:rPr>
        <w:t xml:space="preserve"> commence employment;</w:t>
      </w:r>
      <w:r w:rsidR="00B718D4">
        <w:rPr>
          <w:rFonts w:eastAsia="Calibri" w:cs="Arial"/>
          <w:bCs/>
          <w:szCs w:val="22"/>
        </w:rPr>
        <w:t xml:space="preserve"> understanding their </w:t>
      </w:r>
      <w:r w:rsidR="009924B5">
        <w:rPr>
          <w:rFonts w:eastAsia="Calibri" w:cs="Arial"/>
          <w:bCs/>
          <w:szCs w:val="22"/>
        </w:rPr>
        <w:t>organisational risks;</w:t>
      </w:r>
      <w:r w:rsidR="00B718D4">
        <w:rPr>
          <w:rFonts w:eastAsia="Calibri" w:cs="Arial"/>
          <w:bCs/>
          <w:szCs w:val="22"/>
        </w:rPr>
        <w:t xml:space="preserve"> and identifying and managing performance issues.</w:t>
      </w:r>
    </w:p>
    <w:p w:rsidR="00510517" w:rsidRDefault="00510517" w:rsidP="00A52B6E">
      <w:pPr>
        <w:spacing w:line="280" w:lineRule="atLeast"/>
        <w:rPr>
          <w:rFonts w:eastAsia="Calibri" w:cs="Arial"/>
          <w:bCs/>
          <w:szCs w:val="22"/>
        </w:rPr>
      </w:pPr>
    </w:p>
    <w:p w:rsidR="00510517" w:rsidRPr="001D4F3A" w:rsidRDefault="00510517" w:rsidP="00A52B6E">
      <w:pPr>
        <w:spacing w:line="280" w:lineRule="atLeast"/>
        <w:rPr>
          <w:rFonts w:eastAsia="Calibri" w:cs="Arial"/>
          <w:bCs/>
          <w:szCs w:val="22"/>
        </w:rPr>
      </w:pPr>
    </w:p>
    <w:p w:rsidR="00A52B6E" w:rsidRDefault="00A52B6E">
      <w:pPr>
        <w:spacing w:after="200" w:line="276" w:lineRule="auto"/>
        <w:rPr>
          <w:rFonts w:eastAsia="Calibri" w:cs="Arial Bold"/>
          <w:b/>
          <w:bCs/>
          <w:caps/>
          <w:color w:val="336699"/>
          <w:kern w:val="32"/>
          <w:sz w:val="36"/>
          <w:szCs w:val="32"/>
        </w:rPr>
      </w:pPr>
      <w:r>
        <w:rPr>
          <w:rFonts w:eastAsia="Calibri"/>
        </w:rPr>
        <w:br w:type="page"/>
      </w:r>
    </w:p>
    <w:p w:rsidR="00006A21" w:rsidRPr="009924B5" w:rsidRDefault="00417458" w:rsidP="00A52B6E">
      <w:pPr>
        <w:pStyle w:val="Majorsubheading"/>
        <w:spacing w:line="280" w:lineRule="atLeast"/>
        <w:rPr>
          <w:rFonts w:eastAsia="Calibri"/>
          <w:sz w:val="32"/>
        </w:rPr>
      </w:pPr>
      <w:r w:rsidRPr="009924B5">
        <w:rPr>
          <w:rFonts w:eastAsia="Calibri"/>
          <w:sz w:val="32"/>
        </w:rPr>
        <w:lastRenderedPageBreak/>
        <w:t>Discussion</w:t>
      </w:r>
    </w:p>
    <w:p w:rsidR="00824C02" w:rsidRDefault="00824C02" w:rsidP="00A52B6E">
      <w:pPr>
        <w:spacing w:line="280" w:lineRule="atLeast"/>
        <w:rPr>
          <w:rFonts w:eastAsia="Calibri"/>
        </w:rPr>
      </w:pPr>
    </w:p>
    <w:p w:rsidR="00315502" w:rsidRDefault="00477407" w:rsidP="00A52B6E">
      <w:pPr>
        <w:spacing w:line="280" w:lineRule="atLeast"/>
        <w:rPr>
          <w:rFonts w:eastAsia="Calibri"/>
        </w:rPr>
      </w:pPr>
      <w:r>
        <w:rPr>
          <w:rFonts w:eastAsia="Calibri"/>
        </w:rPr>
        <w:t xml:space="preserve">When considering the consultation feedback as a whole, it is clear that there is substantial variation in current approaches to training for recognising and responding to clinical deterioration in acute care. </w:t>
      </w:r>
      <w:r w:rsidR="00B16B58">
        <w:rPr>
          <w:rFonts w:eastAsia="Calibri"/>
        </w:rPr>
        <w:t xml:space="preserve">It appears that current approaches are based mostly on expert opinion and historical practices. There </w:t>
      </w:r>
      <w:r w:rsidR="00315502">
        <w:rPr>
          <w:rFonts w:eastAsia="Calibri"/>
        </w:rPr>
        <w:t>is</w:t>
      </w:r>
      <w:r w:rsidR="00B16B58">
        <w:rPr>
          <w:rFonts w:eastAsia="Calibri"/>
        </w:rPr>
        <w:t xml:space="preserve"> general agreement about the list of topic areas that should be included in training, but little in the way of specific guidance regarding the core competencies or essential skills that are needed as a minimum standard. In addition, d</w:t>
      </w:r>
      <w:r>
        <w:rPr>
          <w:rFonts w:eastAsia="Calibri"/>
        </w:rPr>
        <w:t>espite a great deal of detailed feedback about current practices, there remains an absence</w:t>
      </w:r>
      <w:r w:rsidR="00B16B58">
        <w:rPr>
          <w:rFonts w:eastAsia="Calibri"/>
        </w:rPr>
        <w:t xml:space="preserve"> of evidence or consensus about how training should be provided, and who should be responsible for measuring and maintaining clinicians’</w:t>
      </w:r>
      <w:r w:rsidR="00315502">
        <w:rPr>
          <w:rFonts w:eastAsia="Calibri"/>
        </w:rPr>
        <w:t xml:space="preserve"> competency. </w:t>
      </w:r>
    </w:p>
    <w:p w:rsidR="00824C02" w:rsidRDefault="00B01D43" w:rsidP="00A52B6E">
      <w:pPr>
        <w:spacing w:line="280" w:lineRule="atLeast"/>
        <w:rPr>
          <w:rFonts w:eastAsia="Calibri"/>
        </w:rPr>
      </w:pPr>
      <w:r>
        <w:rPr>
          <w:rFonts w:eastAsia="Calibri"/>
        </w:rPr>
        <w:t xml:space="preserve">One of the areas where there was general agreement was that properly recognising and responding to clinical deterioration and ensuring the safety of patients requires more than competence in basic life support. </w:t>
      </w:r>
      <w:r w:rsidR="009C10BB">
        <w:rPr>
          <w:rFonts w:eastAsia="Calibri"/>
        </w:rPr>
        <w:t>Skills and knowledge</w:t>
      </w:r>
      <w:r w:rsidR="00E6363F">
        <w:rPr>
          <w:rFonts w:eastAsia="Calibri"/>
        </w:rPr>
        <w:t xml:space="preserve"> in</w:t>
      </w:r>
      <w:r w:rsidR="009C10BB">
        <w:rPr>
          <w:rFonts w:eastAsia="Calibri"/>
        </w:rPr>
        <w:t xml:space="preserve"> recognising</w:t>
      </w:r>
      <w:r>
        <w:rPr>
          <w:rFonts w:eastAsia="Calibri"/>
        </w:rPr>
        <w:t xml:space="preserve"> deterioration, interpret</w:t>
      </w:r>
      <w:r w:rsidR="009C10BB">
        <w:rPr>
          <w:rFonts w:eastAsia="Calibri"/>
        </w:rPr>
        <w:t>ing</w:t>
      </w:r>
      <w:r>
        <w:rPr>
          <w:rFonts w:eastAsia="Calibri"/>
        </w:rPr>
        <w:t xml:space="preserve"> abnormal vital signs and </w:t>
      </w:r>
      <w:r w:rsidR="009C10BB">
        <w:rPr>
          <w:rFonts w:eastAsia="Calibri"/>
        </w:rPr>
        <w:t>escalating</w:t>
      </w:r>
      <w:r>
        <w:rPr>
          <w:rFonts w:eastAsia="Calibri"/>
        </w:rPr>
        <w:t xml:space="preserve"> care w</w:t>
      </w:r>
      <w:r w:rsidR="009C10BB">
        <w:rPr>
          <w:rFonts w:eastAsia="Calibri"/>
        </w:rPr>
        <w:t>ere</w:t>
      </w:r>
      <w:r>
        <w:rPr>
          <w:rFonts w:eastAsia="Calibri"/>
        </w:rPr>
        <w:t xml:space="preserve"> considered to be essential.</w:t>
      </w:r>
      <w:r w:rsidR="009B4630">
        <w:rPr>
          <w:rFonts w:eastAsia="Calibri"/>
        </w:rPr>
        <w:t xml:space="preserve"> Some submissions indicated that it would be useful to develop a nationally agreed set of competencies or learning outcomes for recognising and respo</w:t>
      </w:r>
      <w:r w:rsidR="002D6B15">
        <w:rPr>
          <w:rFonts w:eastAsia="Calibri"/>
        </w:rPr>
        <w:t>nding to clinical deterioration</w:t>
      </w:r>
      <w:r w:rsidR="009B4630">
        <w:rPr>
          <w:rFonts w:eastAsia="Calibri"/>
        </w:rPr>
        <w:t>.</w:t>
      </w:r>
    </w:p>
    <w:p w:rsidR="009B4630" w:rsidRDefault="009B4630" w:rsidP="00A52B6E">
      <w:pPr>
        <w:spacing w:line="280" w:lineRule="atLeast"/>
        <w:rPr>
          <w:rFonts w:eastAsia="Calibri"/>
        </w:rPr>
      </w:pPr>
      <w:r>
        <w:rPr>
          <w:rFonts w:eastAsia="Calibri"/>
        </w:rPr>
        <w:t>There was also agreement that AHPRA</w:t>
      </w:r>
      <w:r w:rsidR="00DA714A">
        <w:rPr>
          <w:rFonts w:eastAsia="Calibri"/>
        </w:rPr>
        <w:t xml:space="preserve"> and the National Boards</w:t>
      </w:r>
      <w:r>
        <w:rPr>
          <w:rFonts w:eastAsia="Calibri"/>
        </w:rPr>
        <w:t xml:space="preserve"> </w:t>
      </w:r>
      <w:r w:rsidR="00DA714A">
        <w:rPr>
          <w:rFonts w:eastAsia="Calibri"/>
        </w:rPr>
        <w:t>have</w:t>
      </w:r>
      <w:r w:rsidR="009924B5">
        <w:rPr>
          <w:rFonts w:eastAsia="Calibri"/>
        </w:rPr>
        <w:t xml:space="preserve"> an important role </w:t>
      </w:r>
      <w:r>
        <w:rPr>
          <w:rFonts w:eastAsia="Calibri"/>
        </w:rPr>
        <w:t>in</w:t>
      </w:r>
      <w:r w:rsidR="00F67971">
        <w:rPr>
          <w:rFonts w:eastAsia="Calibri"/>
        </w:rPr>
        <w:t xml:space="preserve"> professional standards of training and practice</w:t>
      </w:r>
      <w:r>
        <w:rPr>
          <w:rFonts w:eastAsia="Calibri"/>
        </w:rPr>
        <w:t xml:space="preserve">, including in areas relevant for clinicians in recognising and responding to clinical deterioration. </w:t>
      </w:r>
      <w:r w:rsidR="00A65BCA">
        <w:rPr>
          <w:rFonts w:eastAsia="Calibri"/>
        </w:rPr>
        <w:t xml:space="preserve">The Commission intends to liaise with AHPRA </w:t>
      </w:r>
      <w:r w:rsidR="00DA714A">
        <w:rPr>
          <w:rFonts w:eastAsia="Calibri"/>
        </w:rPr>
        <w:t xml:space="preserve">and the National Boards </w:t>
      </w:r>
      <w:r w:rsidR="00A65BCA">
        <w:rPr>
          <w:rFonts w:eastAsia="Calibri"/>
        </w:rPr>
        <w:t>on these issues. However it is also worth noting that health services can use existing credentialing processes to set requirements for the skills and knowledge of clinicians working within their facilities.</w:t>
      </w:r>
      <w:r w:rsidR="00A65BCA">
        <w:rPr>
          <w:rStyle w:val="FootnoteReference"/>
          <w:rFonts w:eastAsia="Calibri"/>
        </w:rPr>
        <w:footnoteReference w:id="1"/>
      </w:r>
      <w:r w:rsidR="00A65BCA">
        <w:rPr>
          <w:rFonts w:eastAsia="Calibri"/>
        </w:rPr>
        <w:t xml:space="preserve"> </w:t>
      </w:r>
    </w:p>
    <w:p w:rsidR="00991628" w:rsidRDefault="009C10BB" w:rsidP="00A52B6E">
      <w:pPr>
        <w:spacing w:line="280" w:lineRule="atLeast"/>
        <w:rPr>
          <w:rFonts w:eastAsia="Calibri"/>
        </w:rPr>
      </w:pPr>
      <w:r>
        <w:rPr>
          <w:rFonts w:eastAsia="Calibri"/>
        </w:rPr>
        <w:t>An</w:t>
      </w:r>
      <w:r w:rsidR="00B01D43">
        <w:rPr>
          <w:rFonts w:eastAsia="Calibri"/>
        </w:rPr>
        <w:t xml:space="preserve"> area where there were significantly different views related to whether or not training about recognising and responding to clinical deterioration should be mandated in the NSQHS Standards. </w:t>
      </w:r>
      <w:r w:rsidR="009924B5">
        <w:rPr>
          <w:rFonts w:eastAsia="Calibri"/>
        </w:rPr>
        <w:t>Broadly, t</w:t>
      </w:r>
      <w:r w:rsidR="00B01D43">
        <w:rPr>
          <w:rFonts w:eastAsia="Calibri"/>
        </w:rPr>
        <w:t>here were three</w:t>
      </w:r>
      <w:r>
        <w:rPr>
          <w:rFonts w:eastAsia="Calibri"/>
        </w:rPr>
        <w:t xml:space="preserve"> </w:t>
      </w:r>
      <w:r w:rsidR="00EE5F54">
        <w:rPr>
          <w:rFonts w:eastAsia="Calibri"/>
        </w:rPr>
        <w:t>main</w:t>
      </w:r>
      <w:r w:rsidR="00991628">
        <w:rPr>
          <w:rFonts w:eastAsia="Calibri"/>
        </w:rPr>
        <w:t xml:space="preserve"> </w:t>
      </w:r>
      <w:r w:rsidR="00991628" w:rsidRPr="002D6B15">
        <w:rPr>
          <w:rFonts w:eastAsia="Calibri"/>
        </w:rPr>
        <w:t xml:space="preserve">views </w:t>
      </w:r>
      <w:r w:rsidR="002D6B15" w:rsidRPr="009924B5">
        <w:rPr>
          <w:rFonts w:eastAsia="Calibri"/>
        </w:rPr>
        <w:t>on this issue</w:t>
      </w:r>
      <w:r w:rsidRPr="002D6B15">
        <w:rPr>
          <w:rFonts w:eastAsia="Calibri"/>
        </w:rPr>
        <w:t>:</w:t>
      </w:r>
    </w:p>
    <w:p w:rsidR="00EB03D4" w:rsidRPr="008C1177" w:rsidRDefault="00E6363F" w:rsidP="009924B5">
      <w:pPr>
        <w:pStyle w:val="ListParagraph"/>
        <w:numPr>
          <w:ilvl w:val="0"/>
          <w:numId w:val="14"/>
        </w:numPr>
        <w:spacing w:line="280" w:lineRule="atLeast"/>
        <w:rPr>
          <w:rFonts w:eastAsia="Calibri"/>
        </w:rPr>
      </w:pPr>
      <w:r>
        <w:rPr>
          <w:rFonts w:eastAsia="Calibri"/>
        </w:rPr>
        <w:t>H</w:t>
      </w:r>
      <w:r w:rsidR="00EE5F54" w:rsidRPr="00EB03D4">
        <w:rPr>
          <w:rFonts w:eastAsia="Calibri"/>
        </w:rPr>
        <w:t xml:space="preserve">ealth services have a role in training </w:t>
      </w:r>
      <w:r>
        <w:rPr>
          <w:rFonts w:eastAsia="Calibri"/>
        </w:rPr>
        <w:t>clinicians</w:t>
      </w:r>
      <w:r w:rsidR="00EE5F54" w:rsidRPr="00EB03D4">
        <w:rPr>
          <w:rFonts w:eastAsia="Calibri"/>
        </w:rPr>
        <w:t xml:space="preserve"> to recognise and respond to clinical deterioration and there is benefit</w:t>
      </w:r>
      <w:r w:rsidR="00EB03D4">
        <w:rPr>
          <w:rFonts w:eastAsia="Calibri"/>
        </w:rPr>
        <w:t xml:space="preserve"> to patients as a result</w:t>
      </w:r>
      <w:r w:rsidR="00EE5F54" w:rsidRPr="00EB03D4">
        <w:rPr>
          <w:rFonts w:eastAsia="Calibri"/>
        </w:rPr>
        <w:t xml:space="preserve">. </w:t>
      </w:r>
      <w:r w:rsidR="008C1177">
        <w:rPr>
          <w:rFonts w:eastAsia="Calibri"/>
        </w:rPr>
        <w:t>S</w:t>
      </w:r>
      <w:r w:rsidR="00EE5F54" w:rsidRPr="00EB03D4">
        <w:rPr>
          <w:rFonts w:eastAsia="Calibri"/>
        </w:rPr>
        <w:t>ubm</w:t>
      </w:r>
      <w:r w:rsidR="009924B5">
        <w:rPr>
          <w:rFonts w:eastAsia="Calibri"/>
        </w:rPr>
        <w:t>issions expressing this view were</w:t>
      </w:r>
      <w:r w:rsidR="00EE5F54" w:rsidRPr="00EB03D4">
        <w:rPr>
          <w:rFonts w:eastAsia="Calibri"/>
        </w:rPr>
        <w:t xml:space="preserve"> g</w:t>
      </w:r>
      <w:r w:rsidR="00EB03D4">
        <w:rPr>
          <w:rFonts w:eastAsia="Calibri"/>
        </w:rPr>
        <w:t xml:space="preserve">enerally </w:t>
      </w:r>
      <w:r w:rsidR="008C1177">
        <w:rPr>
          <w:rFonts w:eastAsia="Calibri"/>
        </w:rPr>
        <w:t xml:space="preserve">focussed </w:t>
      </w:r>
      <w:r w:rsidR="00EB03D4">
        <w:rPr>
          <w:rFonts w:eastAsia="Calibri"/>
        </w:rPr>
        <w:t xml:space="preserve">on the content of </w:t>
      </w:r>
      <w:r w:rsidR="00EE5F54" w:rsidRPr="00EB03D4">
        <w:rPr>
          <w:rFonts w:eastAsia="Calibri"/>
        </w:rPr>
        <w:t xml:space="preserve">training, and the methods for providing it. </w:t>
      </w:r>
      <w:r w:rsidR="0048360E" w:rsidRPr="00EB03D4">
        <w:rPr>
          <w:rFonts w:eastAsia="Calibri"/>
        </w:rPr>
        <w:t>Many submissions expressing this view raised issues around the need for a tiered approach to training that</w:t>
      </w:r>
      <w:r w:rsidR="00477407" w:rsidRPr="00EB03D4">
        <w:rPr>
          <w:rFonts w:eastAsia="Calibri"/>
        </w:rPr>
        <w:t xml:space="preserve"> takes into account </w:t>
      </w:r>
      <w:r w:rsidR="00EB03D4">
        <w:rPr>
          <w:rFonts w:eastAsia="Calibri"/>
        </w:rPr>
        <w:t xml:space="preserve">the scope, role and location of particular groups of </w:t>
      </w:r>
      <w:r w:rsidR="00477407" w:rsidRPr="00EB03D4">
        <w:rPr>
          <w:rFonts w:eastAsia="Calibri"/>
        </w:rPr>
        <w:t>clinicians.</w:t>
      </w:r>
      <w:r w:rsidR="0048360E" w:rsidRPr="00EB03D4">
        <w:rPr>
          <w:rFonts w:eastAsia="Calibri"/>
        </w:rPr>
        <w:t xml:space="preserve"> </w:t>
      </w:r>
      <w:r w:rsidR="00477407" w:rsidRPr="00EB03D4">
        <w:rPr>
          <w:rFonts w:eastAsia="Calibri"/>
        </w:rPr>
        <w:t xml:space="preserve">The majority of submissions expressing this view indicated that it </w:t>
      </w:r>
      <w:r w:rsidR="008C1177">
        <w:rPr>
          <w:rFonts w:eastAsia="Calibri"/>
        </w:rPr>
        <w:t>was</w:t>
      </w:r>
      <w:r w:rsidR="00477407" w:rsidRPr="00EB03D4">
        <w:rPr>
          <w:rFonts w:eastAsia="Calibri"/>
        </w:rPr>
        <w:t xml:space="preserve"> </w:t>
      </w:r>
      <w:r w:rsidR="00EE5F54" w:rsidRPr="00EB03D4">
        <w:rPr>
          <w:rFonts w:eastAsia="Calibri"/>
        </w:rPr>
        <w:t>useful for</w:t>
      </w:r>
      <w:r w:rsidR="008C1177">
        <w:rPr>
          <w:rFonts w:eastAsia="Calibri"/>
        </w:rPr>
        <w:t xml:space="preserve"> the Commission to mandate</w:t>
      </w:r>
      <w:r w:rsidR="00EE5F54" w:rsidRPr="00EB03D4">
        <w:rPr>
          <w:rFonts w:eastAsia="Calibri"/>
        </w:rPr>
        <w:t xml:space="preserve"> training in the </w:t>
      </w:r>
      <w:r w:rsidR="008C1177">
        <w:rPr>
          <w:rFonts w:eastAsia="Calibri"/>
        </w:rPr>
        <w:t xml:space="preserve">NSQHS </w:t>
      </w:r>
      <w:r w:rsidR="00EE5F54" w:rsidRPr="00EB03D4">
        <w:rPr>
          <w:rFonts w:eastAsia="Calibri"/>
        </w:rPr>
        <w:t xml:space="preserve">Standards to ensure that resources </w:t>
      </w:r>
      <w:r w:rsidR="008C1177">
        <w:rPr>
          <w:rFonts w:eastAsia="Calibri"/>
        </w:rPr>
        <w:t>we</w:t>
      </w:r>
      <w:r w:rsidR="00EE5F54" w:rsidRPr="00EB03D4">
        <w:rPr>
          <w:rFonts w:eastAsia="Calibri"/>
        </w:rPr>
        <w:t>re directed t</w:t>
      </w:r>
      <w:r w:rsidR="008C1177">
        <w:rPr>
          <w:rFonts w:eastAsia="Calibri"/>
        </w:rPr>
        <w:t>o meet this requirement</w:t>
      </w:r>
      <w:r w:rsidR="00EE5F54" w:rsidRPr="00EB03D4">
        <w:rPr>
          <w:rFonts w:eastAsia="Calibri"/>
        </w:rPr>
        <w:t xml:space="preserve">. </w:t>
      </w:r>
    </w:p>
    <w:p w:rsidR="00EB03D4" w:rsidRPr="008C1177" w:rsidRDefault="00EE5F54" w:rsidP="009924B5">
      <w:pPr>
        <w:pStyle w:val="ListParagraph"/>
        <w:numPr>
          <w:ilvl w:val="0"/>
          <w:numId w:val="14"/>
        </w:numPr>
        <w:spacing w:line="280" w:lineRule="atLeast"/>
        <w:rPr>
          <w:rFonts w:eastAsia="Calibri"/>
        </w:rPr>
      </w:pPr>
      <w:r w:rsidRPr="00EB03D4">
        <w:rPr>
          <w:rFonts w:eastAsia="Calibri"/>
        </w:rPr>
        <w:t xml:space="preserve">There is currently an absence of evidence regarding what skills and knowledge are essential requirements for recognising and responding to clinical deterioration, how best to provide such training, or what the costs and benefits are. The example of basic life support training </w:t>
      </w:r>
      <w:r w:rsidR="009C10BB">
        <w:rPr>
          <w:rFonts w:eastAsia="Calibri"/>
        </w:rPr>
        <w:t>wa</w:t>
      </w:r>
      <w:r w:rsidRPr="00EB03D4">
        <w:rPr>
          <w:rFonts w:eastAsia="Calibri"/>
        </w:rPr>
        <w:t xml:space="preserve">s used </w:t>
      </w:r>
      <w:r w:rsidR="009C10BB">
        <w:rPr>
          <w:rFonts w:eastAsia="Calibri"/>
        </w:rPr>
        <w:t xml:space="preserve">in a number of submissions </w:t>
      </w:r>
      <w:r w:rsidRPr="00EB03D4">
        <w:rPr>
          <w:rFonts w:eastAsia="Calibri"/>
        </w:rPr>
        <w:t xml:space="preserve">to highlight the lack of improvement in patient outcomes from in-hospital cardiorespiratory arrest despite the enormous </w:t>
      </w:r>
      <w:r w:rsidR="0048360E" w:rsidRPr="00EB03D4">
        <w:rPr>
          <w:rFonts w:eastAsia="Calibri"/>
        </w:rPr>
        <w:t>costs of training and equipping the health workforce to respond.</w:t>
      </w:r>
      <w:r w:rsidR="00477407" w:rsidRPr="00EB03D4">
        <w:rPr>
          <w:rFonts w:eastAsia="Calibri"/>
        </w:rPr>
        <w:t xml:space="preserve"> The submissions expressing this view indicated that it </w:t>
      </w:r>
      <w:r w:rsidR="009C10BB">
        <w:rPr>
          <w:rFonts w:eastAsia="Calibri"/>
        </w:rPr>
        <w:t>wa</w:t>
      </w:r>
      <w:r w:rsidR="00477407" w:rsidRPr="00EB03D4">
        <w:rPr>
          <w:rFonts w:eastAsia="Calibri"/>
        </w:rPr>
        <w:t xml:space="preserve">s not appropriate for the Commission to mandate </w:t>
      </w:r>
      <w:r w:rsidR="009924B5">
        <w:rPr>
          <w:rFonts w:eastAsia="Calibri"/>
        </w:rPr>
        <w:t xml:space="preserve">specific </w:t>
      </w:r>
      <w:r w:rsidR="00477407" w:rsidRPr="00EB03D4">
        <w:rPr>
          <w:rFonts w:eastAsia="Calibri"/>
        </w:rPr>
        <w:t xml:space="preserve">training for recognising and responding to clinical deterioration without evidence of benefit. </w:t>
      </w:r>
    </w:p>
    <w:p w:rsidR="00236278" w:rsidRDefault="00E6363F" w:rsidP="009924B5">
      <w:pPr>
        <w:pStyle w:val="ListParagraph"/>
        <w:numPr>
          <w:ilvl w:val="0"/>
          <w:numId w:val="14"/>
        </w:numPr>
        <w:spacing w:line="280" w:lineRule="atLeast"/>
        <w:rPr>
          <w:rFonts w:eastAsia="Calibri"/>
        </w:rPr>
      </w:pPr>
      <w:r>
        <w:rPr>
          <w:rFonts w:eastAsia="Calibri"/>
        </w:rPr>
        <w:lastRenderedPageBreak/>
        <w:t xml:space="preserve">Clinicians </w:t>
      </w:r>
      <w:r w:rsidR="0048360E" w:rsidRPr="00EB03D4">
        <w:rPr>
          <w:rFonts w:eastAsia="Calibri"/>
        </w:rPr>
        <w:t>are responsible for</w:t>
      </w:r>
      <w:r w:rsidR="00B95874" w:rsidRPr="00EB03D4">
        <w:rPr>
          <w:rFonts w:eastAsia="Calibri"/>
        </w:rPr>
        <w:t xml:space="preserve"> maintain</w:t>
      </w:r>
      <w:r w:rsidR="0048360E" w:rsidRPr="00EB03D4">
        <w:rPr>
          <w:rFonts w:eastAsia="Calibri"/>
        </w:rPr>
        <w:t>ing</w:t>
      </w:r>
      <w:r w:rsidR="00B95874" w:rsidRPr="00EB03D4">
        <w:rPr>
          <w:rFonts w:eastAsia="Calibri"/>
        </w:rPr>
        <w:t xml:space="preserve"> their own competence</w:t>
      </w:r>
      <w:r w:rsidR="00DA714A">
        <w:rPr>
          <w:rFonts w:eastAsia="Calibri"/>
        </w:rPr>
        <w:t>, and t</w:t>
      </w:r>
      <w:r>
        <w:rPr>
          <w:rFonts w:eastAsia="Calibri"/>
        </w:rPr>
        <w:t xml:space="preserve">herefore </w:t>
      </w:r>
      <w:r w:rsidR="0048360E" w:rsidRPr="00EB03D4">
        <w:rPr>
          <w:rFonts w:eastAsia="Calibri"/>
        </w:rPr>
        <w:t xml:space="preserve">it is not appropriate for the Commission to mandate that health services are responsible for training the </w:t>
      </w:r>
      <w:r>
        <w:rPr>
          <w:rFonts w:eastAsia="Calibri"/>
        </w:rPr>
        <w:t xml:space="preserve">clinicians </w:t>
      </w:r>
      <w:r w:rsidR="0048360E" w:rsidRPr="00EB03D4">
        <w:rPr>
          <w:rFonts w:eastAsia="Calibri"/>
        </w:rPr>
        <w:t xml:space="preserve">who work </w:t>
      </w:r>
      <w:r>
        <w:rPr>
          <w:rFonts w:eastAsia="Calibri"/>
        </w:rPr>
        <w:t>in</w:t>
      </w:r>
      <w:r w:rsidR="0048360E" w:rsidRPr="00EB03D4">
        <w:rPr>
          <w:rFonts w:eastAsia="Calibri"/>
        </w:rPr>
        <w:t xml:space="preserve"> them</w:t>
      </w:r>
      <w:r w:rsidR="00B95874" w:rsidRPr="00EB03D4">
        <w:rPr>
          <w:rFonts w:eastAsia="Calibri"/>
        </w:rPr>
        <w:t xml:space="preserve">. </w:t>
      </w:r>
      <w:r w:rsidR="00EB03D4">
        <w:rPr>
          <w:rFonts w:eastAsia="Calibri"/>
        </w:rPr>
        <w:t xml:space="preserve">It was suggested that AHPRA should incorporate requirements for maintaining competence in the necessary skills for recognising and responding to clinical deterioration into the registration process. </w:t>
      </w:r>
      <w:r w:rsidR="00236278">
        <w:rPr>
          <w:rFonts w:eastAsia="Calibri"/>
        </w:rPr>
        <w:t xml:space="preserve">A number of the submissions </w:t>
      </w:r>
      <w:r w:rsidR="0048360E" w:rsidRPr="00EB03D4">
        <w:rPr>
          <w:rFonts w:eastAsia="Calibri"/>
        </w:rPr>
        <w:t>expressing this view were</w:t>
      </w:r>
      <w:r w:rsidR="009C10BB">
        <w:rPr>
          <w:rFonts w:eastAsia="Calibri"/>
        </w:rPr>
        <w:t xml:space="preserve"> from</w:t>
      </w:r>
      <w:r w:rsidR="0048360E" w:rsidRPr="00EB03D4">
        <w:rPr>
          <w:rFonts w:eastAsia="Calibri"/>
        </w:rPr>
        <w:t xml:space="preserve"> private healthcare organisations</w:t>
      </w:r>
      <w:r w:rsidR="009C10BB">
        <w:rPr>
          <w:rFonts w:eastAsia="Calibri"/>
        </w:rPr>
        <w:t xml:space="preserve"> where the </w:t>
      </w:r>
      <w:r w:rsidR="00C1751D">
        <w:rPr>
          <w:rFonts w:eastAsia="Calibri"/>
        </w:rPr>
        <w:t xml:space="preserve">doctors </w:t>
      </w:r>
      <w:r w:rsidR="009C10BB">
        <w:rPr>
          <w:rFonts w:eastAsia="Calibri"/>
        </w:rPr>
        <w:t>working in their organisations are not employed</w:t>
      </w:r>
      <w:r>
        <w:rPr>
          <w:rFonts w:eastAsia="Calibri"/>
        </w:rPr>
        <w:t>, and are</w:t>
      </w:r>
      <w:r w:rsidR="009B4630">
        <w:rPr>
          <w:rFonts w:eastAsia="Calibri"/>
        </w:rPr>
        <w:t xml:space="preserve"> contracted</w:t>
      </w:r>
      <w:r>
        <w:rPr>
          <w:rFonts w:eastAsia="Calibri"/>
        </w:rPr>
        <w:t xml:space="preserve"> by their patients</w:t>
      </w:r>
      <w:r w:rsidR="0048360E" w:rsidRPr="00EB03D4">
        <w:rPr>
          <w:rFonts w:eastAsia="Calibri"/>
        </w:rPr>
        <w:t xml:space="preserve">. </w:t>
      </w:r>
      <w:r w:rsidR="001F2EFA">
        <w:rPr>
          <w:rFonts w:eastAsia="Calibri"/>
        </w:rPr>
        <w:t>One respondent</w:t>
      </w:r>
      <w:r w:rsidR="00C1751D">
        <w:rPr>
          <w:rFonts w:eastAsia="Calibri"/>
        </w:rPr>
        <w:t xml:space="preserve"> </w:t>
      </w:r>
      <w:r w:rsidR="002D6B15">
        <w:rPr>
          <w:rFonts w:eastAsia="Calibri"/>
        </w:rPr>
        <w:t xml:space="preserve">stated </w:t>
      </w:r>
      <w:r w:rsidR="00C1751D">
        <w:rPr>
          <w:rFonts w:eastAsia="Calibri"/>
        </w:rPr>
        <w:t xml:space="preserve">that it was not the </w:t>
      </w:r>
      <w:r w:rsidR="001F2EFA">
        <w:rPr>
          <w:rFonts w:eastAsia="Calibri"/>
        </w:rPr>
        <w:t xml:space="preserve">primary </w:t>
      </w:r>
      <w:r w:rsidR="00C1751D">
        <w:rPr>
          <w:rFonts w:eastAsia="Calibri"/>
        </w:rPr>
        <w:t>role of private hospitals to provide training or assess competence of doctors working in their facilities.</w:t>
      </w:r>
    </w:p>
    <w:p w:rsidR="009B4630" w:rsidRDefault="009B4630" w:rsidP="009924B5">
      <w:pPr>
        <w:spacing w:line="280" w:lineRule="atLeast"/>
        <w:rPr>
          <w:rFonts w:eastAsia="Calibri"/>
        </w:rPr>
      </w:pPr>
    </w:p>
    <w:p w:rsidR="009B4630" w:rsidRPr="009924B5" w:rsidRDefault="00CB3A9B" w:rsidP="009924B5">
      <w:pPr>
        <w:pStyle w:val="Suheading2"/>
        <w:spacing w:line="280" w:lineRule="atLeast"/>
        <w:rPr>
          <w:sz w:val="28"/>
          <w:szCs w:val="28"/>
        </w:rPr>
      </w:pPr>
      <w:r>
        <w:rPr>
          <w:sz w:val="28"/>
          <w:szCs w:val="28"/>
        </w:rPr>
        <w:t>T</w:t>
      </w:r>
      <w:r w:rsidR="00B13C9F">
        <w:rPr>
          <w:sz w:val="28"/>
          <w:szCs w:val="28"/>
        </w:rPr>
        <w:t xml:space="preserve">he </w:t>
      </w:r>
      <w:r w:rsidR="00E84E9F">
        <w:rPr>
          <w:sz w:val="28"/>
          <w:szCs w:val="28"/>
        </w:rPr>
        <w:t>NSQHS Standards</w:t>
      </w:r>
    </w:p>
    <w:p w:rsidR="00E4729D" w:rsidRDefault="001A02B3" w:rsidP="00A52B6E">
      <w:pPr>
        <w:spacing w:line="280" w:lineRule="atLeast"/>
        <w:rPr>
          <w:rFonts w:eastAsia="Calibri"/>
        </w:rPr>
      </w:pPr>
      <w:r>
        <w:rPr>
          <w:rFonts w:eastAsia="Calibri"/>
        </w:rPr>
        <w:t>The NSQHS Standards are designed to ensure that health services have systems in place to ensure that minimum standards of safety and quality are met</w:t>
      </w:r>
      <w:r w:rsidR="002D6B15">
        <w:rPr>
          <w:rFonts w:eastAsia="Calibri"/>
        </w:rPr>
        <w:t xml:space="preserve"> and that patients receive safe care</w:t>
      </w:r>
      <w:r>
        <w:rPr>
          <w:rFonts w:eastAsia="Calibri"/>
        </w:rPr>
        <w:t>.</w:t>
      </w:r>
      <w:r w:rsidR="00E4729D">
        <w:rPr>
          <w:rFonts w:eastAsia="Calibri"/>
        </w:rPr>
        <w:t xml:space="preserve"> These systems include systems for ensuring that clinicians have the appropriate qualifications, skills and knowledge to provide safe and high-quality health care. </w:t>
      </w:r>
    </w:p>
    <w:p w:rsidR="000107C3" w:rsidRDefault="00E4729D" w:rsidP="00A52B6E">
      <w:pPr>
        <w:spacing w:line="280" w:lineRule="atLeast"/>
        <w:rPr>
          <w:rFonts w:eastAsia="Calibri"/>
        </w:rPr>
      </w:pPr>
      <w:r>
        <w:rPr>
          <w:rFonts w:eastAsia="Calibri"/>
        </w:rPr>
        <w:t xml:space="preserve">Generally the NSQHS Standards do not specify </w:t>
      </w:r>
      <w:r w:rsidR="00A767B9">
        <w:rPr>
          <w:rFonts w:eastAsia="Calibri"/>
        </w:rPr>
        <w:t xml:space="preserve">particular competencies that need to be achieved by clinicians and others working in health services. </w:t>
      </w:r>
      <w:r w:rsidR="006A42B2" w:rsidRPr="006A42B2">
        <w:rPr>
          <w:rFonts w:eastAsia="Calibri"/>
        </w:rPr>
        <w:t xml:space="preserve">However </w:t>
      </w:r>
      <w:r w:rsidR="00A767B9">
        <w:rPr>
          <w:rFonts w:eastAsia="Calibri"/>
        </w:rPr>
        <w:t xml:space="preserve">in some instances, </w:t>
      </w:r>
      <w:r w:rsidR="006A42B2" w:rsidRPr="006A42B2">
        <w:rPr>
          <w:rFonts w:eastAsia="Calibri"/>
        </w:rPr>
        <w:t xml:space="preserve">where specific skills are deemed essential for meeting basic safety and quality requirements, the NSQHS Standards </w:t>
      </w:r>
      <w:r w:rsidR="00A767B9">
        <w:rPr>
          <w:rFonts w:eastAsia="Calibri"/>
        </w:rPr>
        <w:t>have</w:t>
      </w:r>
      <w:r w:rsidR="006A42B2" w:rsidRPr="006A42B2">
        <w:rPr>
          <w:rFonts w:eastAsia="Calibri"/>
        </w:rPr>
        <w:t xml:space="preserve"> specif</w:t>
      </w:r>
      <w:r w:rsidR="00A767B9">
        <w:rPr>
          <w:rFonts w:eastAsia="Calibri"/>
        </w:rPr>
        <w:t>ied</w:t>
      </w:r>
      <w:r w:rsidR="006A42B2" w:rsidRPr="006A42B2">
        <w:rPr>
          <w:rFonts w:eastAsia="Calibri"/>
        </w:rPr>
        <w:t xml:space="preserve"> that health services have an obligation to ensure that </w:t>
      </w:r>
      <w:r w:rsidR="00A767B9">
        <w:rPr>
          <w:rFonts w:eastAsia="Calibri"/>
        </w:rPr>
        <w:t>clinicians and other</w:t>
      </w:r>
      <w:r w:rsidR="00B13C9F">
        <w:rPr>
          <w:rFonts w:eastAsia="Calibri"/>
        </w:rPr>
        <w:t>s</w:t>
      </w:r>
      <w:r w:rsidR="00A767B9">
        <w:rPr>
          <w:rFonts w:eastAsia="Calibri"/>
        </w:rPr>
        <w:t xml:space="preserve"> </w:t>
      </w:r>
      <w:r w:rsidR="006A42B2" w:rsidRPr="006A42B2">
        <w:rPr>
          <w:rFonts w:eastAsia="Calibri"/>
        </w:rPr>
        <w:t>have the necessary training to provide safe care to patients.</w:t>
      </w:r>
      <w:r w:rsidR="000107C3">
        <w:rPr>
          <w:rFonts w:eastAsia="Calibri"/>
        </w:rPr>
        <w:t xml:space="preserve"> This is relatively straightforward in cases where there is incontrovertible evidence of the link between training in a concrete and specific task such as hand-washing, and a patient safety benefit</w:t>
      </w:r>
      <w:r w:rsidR="001F2EFA">
        <w:rPr>
          <w:rFonts w:eastAsia="Calibri"/>
        </w:rPr>
        <w:t xml:space="preserve"> such as a reduction in healthcare</w:t>
      </w:r>
      <w:r w:rsidR="000107C3">
        <w:rPr>
          <w:rFonts w:eastAsia="Calibri"/>
        </w:rPr>
        <w:t xml:space="preserve"> associated infection</w:t>
      </w:r>
      <w:r w:rsidR="009924B5">
        <w:rPr>
          <w:rFonts w:eastAsia="Calibri"/>
        </w:rPr>
        <w:t xml:space="preserve"> rates</w:t>
      </w:r>
      <w:r w:rsidR="000107C3">
        <w:rPr>
          <w:rFonts w:eastAsia="Calibri"/>
        </w:rPr>
        <w:t>.  It is not so straightforward where the evidence is unclear, or where training is less concrete and specific</w:t>
      </w:r>
      <w:r w:rsidR="00E84E9F">
        <w:rPr>
          <w:rFonts w:eastAsia="Calibri"/>
        </w:rPr>
        <w:t>, as is the case regarding recognising and responding to clinical deterioration</w:t>
      </w:r>
      <w:r w:rsidR="000107C3">
        <w:rPr>
          <w:rFonts w:eastAsia="Calibri"/>
        </w:rPr>
        <w:t xml:space="preserve">. </w:t>
      </w:r>
    </w:p>
    <w:p w:rsidR="00B13C9F" w:rsidRDefault="00B13C9F" w:rsidP="00A52B6E">
      <w:pPr>
        <w:spacing w:line="280" w:lineRule="atLeast"/>
        <w:rPr>
          <w:rFonts w:eastAsia="Calibri"/>
        </w:rPr>
      </w:pPr>
      <w:r>
        <w:rPr>
          <w:rFonts w:eastAsia="Calibri"/>
        </w:rPr>
        <w:t>There is evidence that indicates that there are persistent issues regarding the ability of clinicians to recognise and respond to clinical deterioration early in its clinical course, and it is clear that patient harm can result from these failures.</w:t>
      </w:r>
      <w:r w:rsidR="001F2EFA">
        <w:rPr>
          <w:rStyle w:val="FootnoteReference"/>
          <w:rFonts w:eastAsia="Calibri"/>
        </w:rPr>
        <w:footnoteReference w:id="2"/>
      </w:r>
      <w:r>
        <w:rPr>
          <w:rFonts w:eastAsia="Calibri"/>
        </w:rPr>
        <w:t xml:space="preserve"> While there are general provisions in the NSQHS Standards about accessing training,</w:t>
      </w:r>
      <w:r>
        <w:rPr>
          <w:rStyle w:val="FootnoteReference"/>
          <w:rFonts w:eastAsia="Calibri"/>
        </w:rPr>
        <w:footnoteReference w:id="3"/>
      </w:r>
      <w:r>
        <w:rPr>
          <w:rFonts w:eastAsia="Calibri"/>
        </w:rPr>
        <w:t xml:space="preserve"> this evidence suggests that a specific focus on recognising and responding to clinical deterioration may be needed.</w:t>
      </w:r>
    </w:p>
    <w:p w:rsidR="009924B5" w:rsidRDefault="002D6B15" w:rsidP="00A52B6E">
      <w:pPr>
        <w:spacing w:line="280" w:lineRule="atLeast"/>
        <w:rPr>
          <w:rFonts w:eastAsia="Calibri"/>
        </w:rPr>
      </w:pPr>
      <w:r>
        <w:rPr>
          <w:rFonts w:eastAsia="Calibri"/>
        </w:rPr>
        <w:t>Where a view was expressed, most of the submissions were in favour of the Commission including actions about training for recognising and responding to clinical deterioration in the NSQHS Standards.</w:t>
      </w:r>
      <w:r w:rsidR="006A4498">
        <w:rPr>
          <w:rFonts w:eastAsia="Calibri"/>
        </w:rPr>
        <w:t xml:space="preserve"> Although concerns were raised in a number of submissions about </w:t>
      </w:r>
      <w:r w:rsidR="001E3EB5">
        <w:rPr>
          <w:rFonts w:eastAsia="Calibri"/>
        </w:rPr>
        <w:t>the value of training in areas such as basic life support, there is now growing evidence that the introduction of rapid response systems that encourage early recognition of deterioration and prompt action are associated with improved outcomes.</w:t>
      </w:r>
      <w:r w:rsidR="001E3EB5">
        <w:rPr>
          <w:rStyle w:val="FootnoteReference"/>
          <w:rFonts w:eastAsia="Calibri"/>
        </w:rPr>
        <w:footnoteReference w:id="4"/>
      </w:r>
      <w:r w:rsidR="001E3EB5">
        <w:rPr>
          <w:rFonts w:eastAsia="Calibri"/>
        </w:rPr>
        <w:t xml:space="preserve"> However the variation </w:t>
      </w:r>
      <w:r w:rsidR="00CB3A9B">
        <w:rPr>
          <w:rFonts w:eastAsia="Calibri"/>
        </w:rPr>
        <w:t xml:space="preserve">revealed in </w:t>
      </w:r>
      <w:r w:rsidR="00CB3A9B">
        <w:rPr>
          <w:rFonts w:eastAsia="Calibri"/>
        </w:rPr>
        <w:lastRenderedPageBreak/>
        <w:t xml:space="preserve">this consultation about what the core competencies should be </w:t>
      </w:r>
      <w:r w:rsidR="00A65BCA">
        <w:rPr>
          <w:rFonts w:eastAsia="Calibri"/>
        </w:rPr>
        <w:t xml:space="preserve">in this area </w:t>
      </w:r>
      <w:r w:rsidR="00CB3A9B">
        <w:rPr>
          <w:rFonts w:eastAsia="Calibri"/>
        </w:rPr>
        <w:t xml:space="preserve">suggests that </w:t>
      </w:r>
      <w:r w:rsidR="00A767B9">
        <w:rPr>
          <w:rFonts w:eastAsia="Calibri"/>
        </w:rPr>
        <w:t xml:space="preserve">it is not appropriate for the Commission to </w:t>
      </w:r>
      <w:r w:rsidR="00B13C9F">
        <w:rPr>
          <w:rFonts w:eastAsia="Calibri"/>
        </w:rPr>
        <w:t xml:space="preserve">include requirements about specific </w:t>
      </w:r>
      <w:r w:rsidR="0042360F">
        <w:rPr>
          <w:rFonts w:eastAsia="Calibri"/>
        </w:rPr>
        <w:t>training or competency requirements</w:t>
      </w:r>
      <w:r w:rsidR="00E6363F">
        <w:rPr>
          <w:rFonts w:eastAsia="Calibri"/>
        </w:rPr>
        <w:t xml:space="preserve"> in the NSQHS Standards</w:t>
      </w:r>
      <w:r w:rsidR="0042360F">
        <w:rPr>
          <w:rFonts w:eastAsia="Calibri"/>
        </w:rPr>
        <w:t xml:space="preserve">. </w:t>
      </w:r>
    </w:p>
    <w:p w:rsidR="00E84E9F" w:rsidRDefault="009924B5" w:rsidP="00A52B6E">
      <w:pPr>
        <w:spacing w:line="280" w:lineRule="atLeast"/>
        <w:rPr>
          <w:rFonts w:eastAsia="Calibri"/>
        </w:rPr>
      </w:pPr>
      <w:r>
        <w:rPr>
          <w:rFonts w:eastAsia="Calibri"/>
        </w:rPr>
        <w:t xml:space="preserve">An alternative </w:t>
      </w:r>
      <w:r w:rsidR="0042360F">
        <w:rPr>
          <w:rFonts w:eastAsia="Calibri"/>
        </w:rPr>
        <w:t>approach suggested in a number of submissions</w:t>
      </w:r>
      <w:r>
        <w:rPr>
          <w:rFonts w:eastAsia="Calibri"/>
        </w:rPr>
        <w:t xml:space="preserve"> is</w:t>
      </w:r>
      <w:r w:rsidR="0042360F">
        <w:rPr>
          <w:rFonts w:eastAsia="Calibri"/>
        </w:rPr>
        <w:t xml:space="preserve"> to require health services to demonstrate that they have systems in place for ensuring that their clinicians are appropriately skilled. A recommendation of this sort would also require the Commission to be more specific about what </w:t>
      </w:r>
      <w:r w:rsidR="00E6363F">
        <w:rPr>
          <w:rFonts w:eastAsia="Calibri"/>
        </w:rPr>
        <w:t xml:space="preserve">types of </w:t>
      </w:r>
      <w:r w:rsidR="0042360F">
        <w:rPr>
          <w:rFonts w:eastAsia="Calibri"/>
        </w:rPr>
        <w:t>skills and knowledge are needed</w:t>
      </w:r>
      <w:r w:rsidR="00E6363F">
        <w:rPr>
          <w:rFonts w:eastAsia="Calibri"/>
        </w:rPr>
        <w:t xml:space="preserve"> to properly recognise and respond to clinical deterioration</w:t>
      </w:r>
      <w:r w:rsidR="0042360F">
        <w:rPr>
          <w:rFonts w:eastAsia="Calibri"/>
        </w:rPr>
        <w:t xml:space="preserve">. While there was some support for </w:t>
      </w:r>
      <w:r>
        <w:rPr>
          <w:rFonts w:eastAsia="Calibri"/>
        </w:rPr>
        <w:t xml:space="preserve">the development of </w:t>
      </w:r>
      <w:r w:rsidR="0042360F">
        <w:rPr>
          <w:rFonts w:eastAsia="Calibri"/>
        </w:rPr>
        <w:t xml:space="preserve">a national set of competencies in this area, this could also be </w:t>
      </w:r>
      <w:r>
        <w:rPr>
          <w:rFonts w:eastAsia="Calibri"/>
        </w:rPr>
        <w:t xml:space="preserve">achieved </w:t>
      </w:r>
      <w:r w:rsidR="0042360F">
        <w:rPr>
          <w:rFonts w:eastAsia="Calibri"/>
        </w:rPr>
        <w:t xml:space="preserve">through the existing </w:t>
      </w:r>
      <w:r w:rsidR="0042360F">
        <w:rPr>
          <w:rFonts w:eastAsia="Calibri"/>
          <w:i/>
        </w:rPr>
        <w:t>National Consensus Statement: Essential Elements for Recognising and Responding to Clinical Deterioration</w:t>
      </w:r>
      <w:r w:rsidR="0042360F">
        <w:rPr>
          <w:rFonts w:eastAsia="Calibri"/>
        </w:rPr>
        <w:t xml:space="preserve">. </w:t>
      </w:r>
    </w:p>
    <w:p w:rsidR="00CB3A9B" w:rsidRDefault="00CB3A9B" w:rsidP="00A52B6E">
      <w:pPr>
        <w:spacing w:line="280" w:lineRule="atLeast"/>
        <w:rPr>
          <w:rFonts w:eastAsia="Calibri"/>
        </w:rPr>
      </w:pPr>
    </w:p>
    <w:p w:rsidR="00CB3A9B" w:rsidRDefault="00CB3A9B" w:rsidP="00A52B6E">
      <w:pPr>
        <w:spacing w:line="280" w:lineRule="atLeast"/>
        <w:rPr>
          <w:rFonts w:eastAsia="Calibri"/>
        </w:rPr>
      </w:pPr>
    </w:p>
    <w:p w:rsidR="00CB3A9B" w:rsidRPr="0042360F" w:rsidRDefault="00CB3A9B" w:rsidP="00A52B6E">
      <w:pPr>
        <w:spacing w:line="280" w:lineRule="atLeast"/>
        <w:rPr>
          <w:rFonts w:eastAsia="Calibri"/>
        </w:rPr>
      </w:pPr>
    </w:p>
    <w:p w:rsidR="0042360F" w:rsidRDefault="0042360F" w:rsidP="00A52B6E">
      <w:pPr>
        <w:spacing w:line="280" w:lineRule="atLeast"/>
        <w:rPr>
          <w:rFonts w:eastAsia="Calibri"/>
        </w:rPr>
      </w:pPr>
    </w:p>
    <w:p w:rsidR="00A52B6E" w:rsidRDefault="00A52B6E">
      <w:pPr>
        <w:spacing w:after="200" w:line="276" w:lineRule="auto"/>
        <w:rPr>
          <w:rFonts w:cs="Arial Bold"/>
          <w:b/>
          <w:bCs/>
          <w:caps/>
          <w:color w:val="336699"/>
          <w:kern w:val="32"/>
          <w:sz w:val="36"/>
          <w:szCs w:val="32"/>
        </w:rPr>
      </w:pPr>
      <w:r>
        <w:br w:type="page"/>
      </w:r>
    </w:p>
    <w:p w:rsidR="000107C3" w:rsidRPr="009924B5" w:rsidRDefault="002A2C87" w:rsidP="00A52B6E">
      <w:pPr>
        <w:pStyle w:val="Majorsubheading"/>
        <w:spacing w:line="280" w:lineRule="atLeast"/>
        <w:rPr>
          <w:rFonts w:eastAsia="Calibri"/>
          <w:sz w:val="32"/>
        </w:rPr>
      </w:pPr>
      <w:r>
        <w:rPr>
          <w:sz w:val="32"/>
        </w:rPr>
        <w:lastRenderedPageBreak/>
        <w:t>Recommendations</w:t>
      </w:r>
    </w:p>
    <w:p w:rsidR="00821C5A" w:rsidRDefault="00821C5A" w:rsidP="00A52B6E">
      <w:pPr>
        <w:spacing w:line="280" w:lineRule="atLeast"/>
        <w:rPr>
          <w:rFonts w:eastAsia="Calibri"/>
        </w:rPr>
      </w:pPr>
    </w:p>
    <w:p w:rsidR="00C34158" w:rsidRDefault="00C34158" w:rsidP="00A52B6E">
      <w:pPr>
        <w:spacing w:line="280" w:lineRule="atLeast"/>
        <w:rPr>
          <w:rFonts w:eastAsia="Calibri"/>
        </w:rPr>
      </w:pPr>
      <w:r>
        <w:rPr>
          <w:rFonts w:eastAsia="Calibri"/>
        </w:rPr>
        <w:t xml:space="preserve">Responsibility for ensuring that clinicians have the skills and knowledge needed to recognise and respond to clinical deterioration is shared between individual clinicians, regulatory agencies, training providers, standard-setting organisations, and health services. This shared responsibility, together with </w:t>
      </w:r>
      <w:r w:rsidR="00426476">
        <w:rPr>
          <w:rFonts w:eastAsia="Calibri"/>
        </w:rPr>
        <w:t xml:space="preserve">the </w:t>
      </w:r>
      <w:r w:rsidR="00821C5A">
        <w:rPr>
          <w:rFonts w:eastAsia="Calibri"/>
        </w:rPr>
        <w:t>available</w:t>
      </w:r>
      <w:r w:rsidR="00426476">
        <w:rPr>
          <w:rFonts w:eastAsia="Calibri"/>
        </w:rPr>
        <w:t xml:space="preserve"> evidence</w:t>
      </w:r>
      <w:r w:rsidR="00821C5A">
        <w:rPr>
          <w:rFonts w:eastAsia="Calibri"/>
        </w:rPr>
        <w:t>, the feedback obtained through the consultation process, and consideration of the role of the Commission and the purpose of the NSQHS Standards</w:t>
      </w:r>
      <w:r w:rsidR="002A2C87">
        <w:rPr>
          <w:rFonts w:eastAsia="Calibri"/>
        </w:rPr>
        <w:t xml:space="preserve">, </w:t>
      </w:r>
      <w:r>
        <w:rPr>
          <w:rFonts w:eastAsia="Calibri"/>
        </w:rPr>
        <w:t>have influenced the options available for the Commission to move forward in this area.</w:t>
      </w:r>
    </w:p>
    <w:p w:rsidR="00821C5A" w:rsidRDefault="00C34158" w:rsidP="00A52B6E">
      <w:pPr>
        <w:spacing w:line="280" w:lineRule="atLeast"/>
        <w:rPr>
          <w:rFonts w:eastAsia="Calibri"/>
        </w:rPr>
      </w:pPr>
      <w:r>
        <w:rPr>
          <w:rFonts w:eastAsia="Calibri"/>
        </w:rPr>
        <w:t>I</w:t>
      </w:r>
      <w:r w:rsidR="002A2C87">
        <w:rPr>
          <w:rFonts w:eastAsia="Calibri"/>
        </w:rPr>
        <w:t>t is recommended that:</w:t>
      </w:r>
    </w:p>
    <w:p w:rsidR="00821C5A" w:rsidRDefault="00C433CB" w:rsidP="009924B5">
      <w:pPr>
        <w:pStyle w:val="ListParagraph"/>
        <w:numPr>
          <w:ilvl w:val="0"/>
          <w:numId w:val="27"/>
        </w:numPr>
        <w:spacing w:line="280" w:lineRule="atLeast"/>
        <w:ind w:left="357" w:hanging="357"/>
        <w:contextualSpacing w:val="0"/>
        <w:rPr>
          <w:rFonts w:eastAsia="Calibri"/>
        </w:rPr>
      </w:pPr>
      <w:r>
        <w:rPr>
          <w:rFonts w:eastAsia="Calibri"/>
        </w:rPr>
        <w:t xml:space="preserve">The Commission should continue to include requirements in the NSQHS Standards regarding the need for clinicians to </w:t>
      </w:r>
      <w:r w:rsidR="002D6B15">
        <w:rPr>
          <w:rFonts w:eastAsia="Calibri"/>
        </w:rPr>
        <w:t xml:space="preserve">have the skills and knowledge to </w:t>
      </w:r>
      <w:r>
        <w:rPr>
          <w:rFonts w:eastAsia="Calibri"/>
        </w:rPr>
        <w:t xml:space="preserve">be able to </w:t>
      </w:r>
      <w:r w:rsidR="002D6B15">
        <w:rPr>
          <w:rFonts w:eastAsia="Calibri"/>
        </w:rPr>
        <w:t xml:space="preserve">properly </w:t>
      </w:r>
      <w:r w:rsidR="00426476">
        <w:rPr>
          <w:rFonts w:eastAsia="Calibri"/>
        </w:rPr>
        <w:t xml:space="preserve">recognise and </w:t>
      </w:r>
      <w:r>
        <w:rPr>
          <w:rFonts w:eastAsia="Calibri"/>
        </w:rPr>
        <w:t xml:space="preserve">respond </w:t>
      </w:r>
      <w:r w:rsidR="00426476">
        <w:rPr>
          <w:rFonts w:eastAsia="Calibri"/>
        </w:rPr>
        <w:t>to clinical deterioration</w:t>
      </w:r>
      <w:r>
        <w:rPr>
          <w:rFonts w:eastAsia="Calibri"/>
        </w:rPr>
        <w:t>.</w:t>
      </w:r>
    </w:p>
    <w:p w:rsidR="00712F38" w:rsidRDefault="00426476" w:rsidP="009924B5">
      <w:pPr>
        <w:pStyle w:val="ListParagraph"/>
        <w:numPr>
          <w:ilvl w:val="0"/>
          <w:numId w:val="27"/>
        </w:numPr>
        <w:spacing w:line="280" w:lineRule="atLeast"/>
        <w:ind w:left="357" w:hanging="357"/>
        <w:contextualSpacing w:val="0"/>
        <w:rPr>
          <w:rFonts w:eastAsia="Calibri"/>
        </w:rPr>
      </w:pPr>
      <w:r>
        <w:rPr>
          <w:rFonts w:eastAsia="Calibri"/>
        </w:rPr>
        <w:t xml:space="preserve">The Commission should revise </w:t>
      </w:r>
      <w:r w:rsidR="00C433CB">
        <w:rPr>
          <w:rFonts w:eastAsia="Calibri"/>
        </w:rPr>
        <w:t xml:space="preserve">Action 9.6.1 </w:t>
      </w:r>
      <w:r w:rsidR="00712F38">
        <w:rPr>
          <w:rFonts w:eastAsia="Calibri"/>
        </w:rPr>
        <w:t>for the next version of the NSQHS Standards</w:t>
      </w:r>
      <w:r w:rsidR="00C433CB">
        <w:rPr>
          <w:rFonts w:eastAsia="Calibri"/>
        </w:rPr>
        <w:t>.</w:t>
      </w:r>
      <w:r w:rsidR="00712F38">
        <w:rPr>
          <w:rFonts w:eastAsia="Calibri"/>
        </w:rPr>
        <w:t xml:space="preserve"> The revised action should require health service organisations to have in place systems for ensuring that all clinicians who provide care to patients have the skills and knowledge needed to properly recognise and respond to clinical deterioration, as appropriate for their role</w:t>
      </w:r>
      <w:r w:rsidR="00960CD8">
        <w:rPr>
          <w:rFonts w:eastAsia="Calibri"/>
        </w:rPr>
        <w:t>, and the risk profile of the organisation</w:t>
      </w:r>
      <w:r w:rsidR="00712F38">
        <w:rPr>
          <w:rFonts w:eastAsia="Calibri"/>
        </w:rPr>
        <w:t>.</w:t>
      </w:r>
      <w:r w:rsidR="00712F38">
        <w:rPr>
          <w:rStyle w:val="FootnoteReference"/>
          <w:rFonts w:eastAsia="Calibri"/>
        </w:rPr>
        <w:footnoteReference w:id="5"/>
      </w:r>
    </w:p>
    <w:p w:rsidR="00A767B9" w:rsidRDefault="00A767B9" w:rsidP="009924B5">
      <w:pPr>
        <w:pStyle w:val="ListParagraph"/>
        <w:numPr>
          <w:ilvl w:val="0"/>
          <w:numId w:val="27"/>
        </w:numPr>
        <w:spacing w:line="280" w:lineRule="atLeast"/>
        <w:ind w:left="357" w:hanging="357"/>
        <w:contextualSpacing w:val="0"/>
        <w:rPr>
          <w:rFonts w:eastAsia="Calibri"/>
        </w:rPr>
      </w:pPr>
      <w:r>
        <w:rPr>
          <w:rFonts w:eastAsia="Calibri"/>
        </w:rPr>
        <w:t>The Commission should extend the timeframe for the application of Advisory A13/05 until the introduction of the next version of the NSQHS Standards.</w:t>
      </w:r>
      <w:r w:rsidR="00B275F8">
        <w:rPr>
          <w:rStyle w:val="FootnoteReference"/>
          <w:rFonts w:eastAsia="Calibri"/>
        </w:rPr>
        <w:footnoteReference w:id="6"/>
      </w:r>
    </w:p>
    <w:p w:rsidR="00960CD8" w:rsidRPr="00960CD8" w:rsidRDefault="00960CD8" w:rsidP="009924B5">
      <w:pPr>
        <w:pStyle w:val="ListParagraph"/>
        <w:numPr>
          <w:ilvl w:val="0"/>
          <w:numId w:val="27"/>
        </w:numPr>
        <w:spacing w:line="280" w:lineRule="atLeast"/>
        <w:ind w:left="357" w:hanging="357"/>
        <w:contextualSpacing w:val="0"/>
        <w:rPr>
          <w:rFonts w:eastAsia="Calibri"/>
        </w:rPr>
      </w:pPr>
      <w:r>
        <w:rPr>
          <w:rFonts w:eastAsia="Calibri"/>
        </w:rPr>
        <w:t xml:space="preserve">The Commission should review and potentially revise the </w:t>
      </w:r>
      <w:r w:rsidRPr="009924B5">
        <w:rPr>
          <w:rFonts w:eastAsia="Calibri"/>
          <w:i/>
        </w:rPr>
        <w:t xml:space="preserve">National Consensus Statement: Essential Elements for Recognising and Responding to Clinical Deterioration </w:t>
      </w:r>
      <w:r w:rsidRPr="00960CD8">
        <w:rPr>
          <w:rFonts w:eastAsia="Calibri"/>
        </w:rPr>
        <w:t xml:space="preserve">to specify </w:t>
      </w:r>
      <w:r>
        <w:rPr>
          <w:rFonts w:eastAsia="Calibri"/>
        </w:rPr>
        <w:t xml:space="preserve">the </w:t>
      </w:r>
      <w:r w:rsidR="001F2EFA">
        <w:rPr>
          <w:rFonts w:eastAsia="Calibri"/>
        </w:rPr>
        <w:t>skills and knowledge</w:t>
      </w:r>
      <w:r>
        <w:rPr>
          <w:rFonts w:eastAsia="Calibri"/>
        </w:rPr>
        <w:t xml:space="preserve"> required for clinicians working in different roles</w:t>
      </w:r>
      <w:r w:rsidR="00190ED0">
        <w:rPr>
          <w:rFonts w:eastAsia="Calibri"/>
        </w:rPr>
        <w:t>, and reference this in resources to support the NSQHS Standards</w:t>
      </w:r>
      <w:r>
        <w:rPr>
          <w:rFonts w:eastAsia="Calibri"/>
        </w:rPr>
        <w:t>.</w:t>
      </w:r>
    </w:p>
    <w:p w:rsidR="00426476" w:rsidRPr="00712F38" w:rsidRDefault="00426476" w:rsidP="009924B5">
      <w:pPr>
        <w:pStyle w:val="ListParagraph"/>
        <w:numPr>
          <w:ilvl w:val="0"/>
          <w:numId w:val="27"/>
        </w:numPr>
        <w:spacing w:line="280" w:lineRule="atLeast"/>
        <w:ind w:left="357" w:hanging="357"/>
        <w:contextualSpacing w:val="0"/>
        <w:rPr>
          <w:rFonts w:eastAsia="Calibri"/>
        </w:rPr>
      </w:pPr>
      <w:r>
        <w:rPr>
          <w:rFonts w:eastAsia="Calibri"/>
        </w:rPr>
        <w:t xml:space="preserve">The Commission should consider whether the NSQHS Standards sufficiently address the need </w:t>
      </w:r>
      <w:r w:rsidR="00022B34">
        <w:rPr>
          <w:rFonts w:eastAsia="Calibri"/>
        </w:rPr>
        <w:t>for</w:t>
      </w:r>
      <w:r>
        <w:rPr>
          <w:rFonts w:eastAsia="Calibri"/>
        </w:rPr>
        <w:t xml:space="preserve"> everyone working in a health service, irrespective of their role or employment arrangements, </w:t>
      </w:r>
      <w:r w:rsidR="00022B34">
        <w:rPr>
          <w:rFonts w:eastAsia="Calibri"/>
        </w:rPr>
        <w:t xml:space="preserve">to </w:t>
      </w:r>
      <w:r>
        <w:rPr>
          <w:rFonts w:eastAsia="Calibri"/>
        </w:rPr>
        <w:t>know how to trigger a call for emergency assistance.</w:t>
      </w:r>
    </w:p>
    <w:p w:rsidR="00712F38" w:rsidRDefault="00712F38" w:rsidP="009924B5">
      <w:pPr>
        <w:pStyle w:val="ListParagraph"/>
        <w:numPr>
          <w:ilvl w:val="0"/>
          <w:numId w:val="27"/>
        </w:numPr>
        <w:spacing w:line="280" w:lineRule="atLeast"/>
        <w:ind w:left="357" w:hanging="357"/>
        <w:contextualSpacing w:val="0"/>
        <w:rPr>
          <w:rFonts w:eastAsia="Calibri"/>
        </w:rPr>
      </w:pPr>
      <w:r>
        <w:rPr>
          <w:rFonts w:eastAsia="Calibri"/>
        </w:rPr>
        <w:t xml:space="preserve">The Commission </w:t>
      </w:r>
      <w:r w:rsidR="00426476">
        <w:rPr>
          <w:rFonts w:eastAsia="Calibri"/>
        </w:rPr>
        <w:t>should liaise</w:t>
      </w:r>
      <w:r>
        <w:rPr>
          <w:rFonts w:eastAsia="Calibri"/>
        </w:rPr>
        <w:t xml:space="preserve"> with AHPRA</w:t>
      </w:r>
      <w:r w:rsidR="001F2EFA">
        <w:rPr>
          <w:rFonts w:eastAsia="Calibri"/>
        </w:rPr>
        <w:t xml:space="preserve">, the National Boards, colleges, universities and other training providers about </w:t>
      </w:r>
      <w:r>
        <w:rPr>
          <w:rFonts w:eastAsia="Calibri"/>
        </w:rPr>
        <w:t>the feedback from this consultation and the potential to include relevant</w:t>
      </w:r>
      <w:r w:rsidR="001F2EFA">
        <w:rPr>
          <w:rFonts w:eastAsia="Calibri"/>
        </w:rPr>
        <w:t xml:space="preserve"> competencies into registration and </w:t>
      </w:r>
      <w:r>
        <w:rPr>
          <w:rFonts w:eastAsia="Calibri"/>
        </w:rPr>
        <w:t>ongoing professional development requirements</w:t>
      </w:r>
      <w:r w:rsidR="001F2EFA">
        <w:rPr>
          <w:rFonts w:eastAsia="Calibri"/>
        </w:rPr>
        <w:t>, and university and other curricula</w:t>
      </w:r>
      <w:r>
        <w:rPr>
          <w:rFonts w:eastAsia="Calibri"/>
        </w:rPr>
        <w:t>.</w:t>
      </w:r>
    </w:p>
    <w:p w:rsidR="002A2C87" w:rsidRDefault="00712F38" w:rsidP="00A52B6E">
      <w:pPr>
        <w:spacing w:line="280" w:lineRule="atLeast"/>
        <w:rPr>
          <w:rFonts w:eastAsia="Calibri"/>
        </w:rPr>
      </w:pPr>
      <w:r>
        <w:rPr>
          <w:rFonts w:eastAsia="Calibri"/>
        </w:rPr>
        <w:lastRenderedPageBreak/>
        <w:t xml:space="preserve">The intent of Recommendation 2 is that it covers all clinicians working in a </w:t>
      </w:r>
      <w:r w:rsidR="002D6B15">
        <w:rPr>
          <w:rFonts w:eastAsia="Calibri"/>
        </w:rPr>
        <w:t xml:space="preserve">public or private </w:t>
      </w:r>
      <w:r>
        <w:rPr>
          <w:rFonts w:eastAsia="Calibri"/>
        </w:rPr>
        <w:t xml:space="preserve">hospital or day procedure service, irrespective of their employment </w:t>
      </w:r>
      <w:r w:rsidR="00426476">
        <w:rPr>
          <w:rFonts w:eastAsia="Calibri"/>
        </w:rPr>
        <w:t>or contractual arrangements. This means that for private hospitals</w:t>
      </w:r>
      <w:r w:rsidR="00960CD8">
        <w:rPr>
          <w:rFonts w:eastAsia="Calibri"/>
        </w:rPr>
        <w:t xml:space="preserve"> the expectation would be that they would need to have systems in place to be sure that </w:t>
      </w:r>
      <w:r w:rsidR="00E6363F">
        <w:rPr>
          <w:rFonts w:eastAsia="Calibri"/>
        </w:rPr>
        <w:t>all</w:t>
      </w:r>
      <w:r w:rsidR="00960CD8">
        <w:rPr>
          <w:rFonts w:eastAsia="Calibri"/>
        </w:rPr>
        <w:t xml:space="preserve"> doctors providing care in their facilities </w:t>
      </w:r>
      <w:r w:rsidR="00022B34">
        <w:rPr>
          <w:rFonts w:eastAsia="Calibri"/>
        </w:rPr>
        <w:t>a</w:t>
      </w:r>
      <w:r w:rsidR="00960CD8">
        <w:rPr>
          <w:rFonts w:eastAsia="Calibri"/>
        </w:rPr>
        <w:t>re appropriately skilled and qualified</w:t>
      </w:r>
      <w:r w:rsidR="00AA17A9">
        <w:rPr>
          <w:rFonts w:eastAsia="Calibri"/>
        </w:rPr>
        <w:t xml:space="preserve"> to recognise and respond to clinical deterioration</w:t>
      </w:r>
      <w:r w:rsidR="00F15D62">
        <w:rPr>
          <w:rFonts w:eastAsia="Calibri"/>
        </w:rPr>
        <w:t>, according to their role and the risk profile of the organisation</w:t>
      </w:r>
      <w:r w:rsidR="00960CD8">
        <w:rPr>
          <w:rFonts w:eastAsia="Calibri"/>
        </w:rPr>
        <w:t>, even if they did not provide this training or assess competency.</w:t>
      </w:r>
      <w:r w:rsidR="00A874E9">
        <w:rPr>
          <w:rFonts w:eastAsia="Calibri"/>
        </w:rPr>
        <w:t xml:space="preserve"> This could potentially be done as part of existing credentialing processes.</w:t>
      </w:r>
    </w:p>
    <w:p w:rsidR="00606424" w:rsidRDefault="00606424" w:rsidP="00606424">
      <w:pPr>
        <w:spacing w:line="280" w:lineRule="atLeast"/>
        <w:rPr>
          <w:rFonts w:eastAsia="Calibri"/>
        </w:rPr>
      </w:pPr>
      <w:r>
        <w:rPr>
          <w:rFonts w:eastAsia="Calibri"/>
        </w:rPr>
        <w:t>As part of a wider process of reviewing the NSQHS Standards the Commission will be reviewing the definition of ‘clinical workforce’</w:t>
      </w:r>
      <w:r w:rsidR="00B56C2E">
        <w:rPr>
          <w:rFonts w:eastAsia="Calibri"/>
        </w:rPr>
        <w:t xml:space="preserve"> and other associated definitions</w:t>
      </w:r>
      <w:r>
        <w:rPr>
          <w:rFonts w:eastAsia="Calibri"/>
        </w:rPr>
        <w:t>.</w:t>
      </w:r>
    </w:p>
    <w:p w:rsidR="00EA39FC" w:rsidRDefault="00606424" w:rsidP="00A65BCA">
      <w:pPr>
        <w:spacing w:line="280" w:lineRule="atLeast"/>
        <w:rPr>
          <w:rFonts w:eastAsia="Calibri"/>
        </w:rPr>
      </w:pPr>
      <w:r>
        <w:rPr>
          <w:rFonts w:eastAsia="Calibri"/>
        </w:rPr>
        <w:t>The Commission is also currently mapping the skills, knowledge and behaviours required across the NSQHS Standards. The results of this a</w:t>
      </w:r>
      <w:r w:rsidR="00495690">
        <w:rPr>
          <w:rFonts w:eastAsia="Calibri"/>
        </w:rPr>
        <w:t>ctivity will inform the impleme</w:t>
      </w:r>
      <w:r w:rsidR="00F15D62">
        <w:rPr>
          <w:rFonts w:eastAsia="Calibri"/>
        </w:rPr>
        <w:t>ntation of these recommendations.</w:t>
      </w:r>
    </w:p>
    <w:p w:rsidR="00C34158" w:rsidRDefault="00C34158">
      <w:pPr>
        <w:spacing w:after="200" w:line="276" w:lineRule="auto"/>
        <w:rPr>
          <w:rFonts w:cs="Arial Bold"/>
          <w:b/>
          <w:bCs/>
          <w:caps/>
          <w:color w:val="336699"/>
          <w:kern w:val="32"/>
          <w:sz w:val="32"/>
          <w:szCs w:val="32"/>
        </w:rPr>
      </w:pPr>
      <w:r>
        <w:rPr>
          <w:sz w:val="32"/>
        </w:rPr>
        <w:br w:type="page"/>
      </w:r>
    </w:p>
    <w:p w:rsidR="00EA39FC" w:rsidRPr="00DD660E" w:rsidRDefault="00EA39FC" w:rsidP="009924B5">
      <w:pPr>
        <w:pStyle w:val="Majorsubheading"/>
        <w:numPr>
          <w:ilvl w:val="0"/>
          <w:numId w:val="0"/>
        </w:numPr>
        <w:spacing w:line="280" w:lineRule="atLeast"/>
        <w:ind w:left="360" w:hanging="360"/>
        <w:rPr>
          <w:rFonts w:eastAsia="Calibri"/>
          <w:sz w:val="32"/>
        </w:rPr>
      </w:pPr>
      <w:r>
        <w:rPr>
          <w:sz w:val="32"/>
        </w:rPr>
        <w:lastRenderedPageBreak/>
        <w:t>Submissions received</w:t>
      </w:r>
    </w:p>
    <w:p w:rsidR="00EA39FC" w:rsidRDefault="00EA39FC" w:rsidP="009924B5">
      <w:pPr>
        <w:spacing w:line="280" w:lineRule="atLeast"/>
        <w:rPr>
          <w:rFonts w:eastAsia="Calibri"/>
        </w:rPr>
      </w:pPr>
    </w:p>
    <w:p w:rsidR="00535D67" w:rsidRPr="009924B5" w:rsidRDefault="00A67097" w:rsidP="009924B5">
      <w:pPr>
        <w:pStyle w:val="ListParagraph"/>
        <w:numPr>
          <w:ilvl w:val="0"/>
          <w:numId w:val="29"/>
        </w:numPr>
        <w:spacing w:line="280" w:lineRule="atLeast"/>
        <w:ind w:left="491" w:hanging="491"/>
        <w:contextualSpacing w:val="0"/>
        <w:rPr>
          <w:rFonts w:cs="Arial"/>
          <w:iCs/>
          <w:szCs w:val="22"/>
          <w:lang w:eastAsia="en-AU"/>
        </w:rPr>
      </w:pPr>
      <w:r w:rsidRPr="00A67097">
        <w:rPr>
          <w:rFonts w:cs="Arial"/>
          <w:iCs/>
          <w:szCs w:val="22"/>
          <w:lang w:eastAsia="en-AU"/>
        </w:rPr>
        <w:t>In</w:t>
      </w:r>
      <w:r>
        <w:rPr>
          <w:rFonts w:cs="Arial"/>
          <w:iCs/>
          <w:szCs w:val="22"/>
          <w:lang w:eastAsia="en-AU"/>
        </w:rPr>
        <w:t>dian Ocean Territories Health Service</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t>Individual</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t>Individual</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t>Individual</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South West Hospital and Health Service</w:t>
      </w:r>
      <w:r w:rsidR="00A67097">
        <w:rPr>
          <w:rFonts w:cs="Arial"/>
          <w:szCs w:val="22"/>
          <w:lang w:eastAsia="en-AU"/>
        </w:rPr>
        <w:t>, Queensland</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t>Individual</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t>Individual</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t>Individual</w:t>
      </w:r>
    </w:p>
    <w:p w:rsidR="00535D67" w:rsidRPr="009924B5" w:rsidRDefault="00A67097" w:rsidP="009924B5">
      <w:pPr>
        <w:pStyle w:val="ListParagraph"/>
        <w:numPr>
          <w:ilvl w:val="0"/>
          <w:numId w:val="29"/>
        </w:numPr>
        <w:spacing w:line="280" w:lineRule="atLeast"/>
        <w:ind w:left="491" w:hanging="491"/>
        <w:contextualSpacing w:val="0"/>
        <w:rPr>
          <w:rFonts w:cs="Arial"/>
          <w:szCs w:val="22"/>
          <w:lang w:eastAsia="en-AU"/>
        </w:rPr>
      </w:pPr>
      <w:r>
        <w:rPr>
          <w:rFonts w:cs="Arial"/>
          <w:szCs w:val="22"/>
          <w:lang w:eastAsia="en-AU"/>
        </w:rPr>
        <w:t xml:space="preserve">NSW </w:t>
      </w:r>
      <w:r w:rsidR="00535D67" w:rsidRPr="009924B5">
        <w:rPr>
          <w:rFonts w:cs="Arial"/>
          <w:szCs w:val="22"/>
          <w:lang w:eastAsia="en-AU"/>
        </w:rPr>
        <w:t>Clinical Excellence Commission</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t>Individual</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t>Individual</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Southern NSW Local Health District</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t>Individual</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SA Maternal and Neonatal Clinical Network</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Northern Adelaide Local Health Network</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Northern Sydney Local Health District</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ACT Health</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Australian College of Rural and Remote Medicine</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Mackay Hospital and Health Service</w:t>
      </w:r>
      <w:r w:rsidR="00A67097">
        <w:rPr>
          <w:rFonts w:cs="Arial"/>
          <w:szCs w:val="22"/>
          <w:lang w:eastAsia="en-AU"/>
        </w:rPr>
        <w:t>, Queensland</w:t>
      </w:r>
    </w:p>
    <w:p w:rsidR="00535D67" w:rsidRPr="009924B5" w:rsidRDefault="00A67097" w:rsidP="009924B5">
      <w:pPr>
        <w:pStyle w:val="ListParagraph"/>
        <w:numPr>
          <w:ilvl w:val="0"/>
          <w:numId w:val="29"/>
        </w:numPr>
        <w:spacing w:line="280" w:lineRule="atLeast"/>
        <w:ind w:left="491" w:hanging="491"/>
        <w:contextualSpacing w:val="0"/>
        <w:rPr>
          <w:rFonts w:cs="Arial"/>
          <w:szCs w:val="22"/>
          <w:lang w:eastAsia="en-AU"/>
        </w:rPr>
      </w:pPr>
      <w:r>
        <w:rPr>
          <w:rFonts w:cs="Arial"/>
          <w:szCs w:val="22"/>
          <w:lang w:eastAsia="en-AU"/>
        </w:rPr>
        <w:t xml:space="preserve">Australian Government </w:t>
      </w:r>
      <w:r w:rsidR="00535D67" w:rsidRPr="009924B5">
        <w:rPr>
          <w:rFonts w:cs="Arial"/>
          <w:szCs w:val="22"/>
          <w:lang w:eastAsia="en-AU"/>
        </w:rPr>
        <w:t>Department of Health</w:t>
      </w:r>
    </w:p>
    <w:p w:rsidR="00535D67" w:rsidRPr="009924B5" w:rsidRDefault="00A67097" w:rsidP="009924B5">
      <w:pPr>
        <w:pStyle w:val="ListParagraph"/>
        <w:numPr>
          <w:ilvl w:val="0"/>
          <w:numId w:val="29"/>
        </w:numPr>
        <w:spacing w:line="280" w:lineRule="atLeast"/>
        <w:ind w:left="491" w:hanging="491"/>
        <w:contextualSpacing w:val="0"/>
        <w:rPr>
          <w:rFonts w:cs="Arial"/>
          <w:szCs w:val="22"/>
          <w:lang w:eastAsia="en-AU"/>
        </w:rPr>
      </w:pPr>
      <w:r w:rsidRPr="00A67097">
        <w:rPr>
          <w:rFonts w:cs="Arial"/>
          <w:szCs w:val="22"/>
          <w:lang w:eastAsia="en-AU"/>
        </w:rPr>
        <w:t>SA Local Hospital Dis</w:t>
      </w:r>
      <w:r w:rsidR="00535D67" w:rsidRPr="009924B5">
        <w:rPr>
          <w:rFonts w:cs="Arial"/>
          <w:szCs w:val="22"/>
          <w:lang w:eastAsia="en-AU"/>
        </w:rPr>
        <w:t>trict</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Western Private Hospital</w:t>
      </w:r>
      <w:r w:rsidR="00A67097">
        <w:rPr>
          <w:rFonts w:cs="Arial"/>
          <w:szCs w:val="22"/>
          <w:lang w:eastAsia="en-AU"/>
        </w:rPr>
        <w:t>, Victoria</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Women's and Children</w:t>
      </w:r>
      <w:r w:rsidR="00A67097">
        <w:rPr>
          <w:rFonts w:cs="Arial"/>
          <w:szCs w:val="22"/>
          <w:lang w:eastAsia="en-AU"/>
        </w:rPr>
        <w:t>’s</w:t>
      </w:r>
      <w:r w:rsidRPr="009924B5">
        <w:rPr>
          <w:rFonts w:cs="Arial"/>
          <w:szCs w:val="22"/>
          <w:lang w:eastAsia="en-AU"/>
        </w:rPr>
        <w:t xml:space="preserve"> Health Network</w:t>
      </w:r>
      <w:r w:rsidR="00A67097">
        <w:rPr>
          <w:rFonts w:cs="Arial"/>
          <w:szCs w:val="22"/>
          <w:lang w:eastAsia="en-AU"/>
        </w:rPr>
        <w:t>, South Australia</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Hunter New England Local Health District</w:t>
      </w:r>
      <w:r w:rsidR="00A67097">
        <w:rPr>
          <w:rFonts w:cs="Arial"/>
          <w:szCs w:val="22"/>
          <w:lang w:eastAsia="en-AU"/>
        </w:rPr>
        <w:t>, NSW</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Justice Health and Forensic Mental Health Network</w:t>
      </w:r>
      <w:r w:rsidR="00A67097">
        <w:rPr>
          <w:rFonts w:cs="Arial"/>
          <w:szCs w:val="22"/>
          <w:lang w:eastAsia="en-AU"/>
        </w:rPr>
        <w:t>, NSW</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Royal Australasian College of Surgeons</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Government of WA Department of Training and Workforce Development</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The Australian Council on Healthcare Standards</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South Metropolitan Health Service</w:t>
      </w:r>
      <w:r w:rsidR="00A67097">
        <w:rPr>
          <w:rFonts w:cs="Arial"/>
          <w:szCs w:val="22"/>
          <w:lang w:eastAsia="en-AU"/>
        </w:rPr>
        <w:t>, Western Australia</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t>Individual</w:t>
      </w:r>
    </w:p>
    <w:p w:rsidR="00535D67" w:rsidRPr="009924B5" w:rsidRDefault="00A67097" w:rsidP="009924B5">
      <w:pPr>
        <w:pStyle w:val="ListParagraph"/>
        <w:numPr>
          <w:ilvl w:val="0"/>
          <w:numId w:val="29"/>
        </w:numPr>
        <w:spacing w:line="280" w:lineRule="atLeast"/>
        <w:ind w:left="491" w:hanging="491"/>
        <w:contextualSpacing w:val="0"/>
        <w:rPr>
          <w:rFonts w:cs="Arial"/>
          <w:szCs w:val="22"/>
          <w:lang w:eastAsia="en-AU"/>
        </w:rPr>
      </w:pPr>
      <w:r w:rsidRPr="00A67097">
        <w:rPr>
          <w:rFonts w:cs="Arial"/>
          <w:szCs w:val="22"/>
          <w:lang w:eastAsia="en-AU"/>
        </w:rPr>
        <w:t>Townsvil</w:t>
      </w:r>
      <w:r>
        <w:rPr>
          <w:rFonts w:cs="Arial"/>
          <w:szCs w:val="22"/>
          <w:lang w:eastAsia="en-AU"/>
        </w:rPr>
        <w:t>l</w:t>
      </w:r>
      <w:r w:rsidR="00535D67" w:rsidRPr="009924B5">
        <w:rPr>
          <w:rFonts w:cs="Arial"/>
          <w:szCs w:val="22"/>
          <w:lang w:eastAsia="en-AU"/>
        </w:rPr>
        <w:t>e Hospital and Health Service</w:t>
      </w:r>
      <w:r>
        <w:rPr>
          <w:rFonts w:cs="Arial"/>
          <w:szCs w:val="22"/>
          <w:lang w:eastAsia="en-AU"/>
        </w:rPr>
        <w:t>, Queensland</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Mater Health Services</w:t>
      </w:r>
      <w:r w:rsidR="00A67097">
        <w:rPr>
          <w:rFonts w:cs="Arial"/>
          <w:szCs w:val="22"/>
          <w:lang w:eastAsia="en-AU"/>
        </w:rPr>
        <w:t>, Queensland</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lastRenderedPageBreak/>
        <w:t>Individual</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Western District Health Service - Hamilton Base Hospital</w:t>
      </w:r>
      <w:r w:rsidR="00A67097">
        <w:rPr>
          <w:rFonts w:cs="Arial"/>
          <w:szCs w:val="22"/>
          <w:lang w:eastAsia="en-AU"/>
        </w:rPr>
        <w:t>, Victoria</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proofErr w:type="spellStart"/>
      <w:r w:rsidRPr="009924B5">
        <w:rPr>
          <w:rFonts w:cs="Arial"/>
          <w:szCs w:val="22"/>
          <w:lang w:eastAsia="en-AU"/>
        </w:rPr>
        <w:t>Healthscope</w:t>
      </w:r>
      <w:proofErr w:type="spellEnd"/>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Manning Hospital</w:t>
      </w:r>
      <w:r w:rsidR="00A67097">
        <w:rPr>
          <w:rFonts w:cs="Arial"/>
          <w:szCs w:val="22"/>
          <w:lang w:eastAsia="en-AU"/>
        </w:rPr>
        <w:t>, NSW</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Cape York Hospital and Health Service</w:t>
      </w:r>
      <w:r w:rsidR="00A67097">
        <w:rPr>
          <w:rFonts w:cs="Arial"/>
          <w:szCs w:val="22"/>
          <w:lang w:eastAsia="en-AU"/>
        </w:rPr>
        <w:t>, Queensland</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 xml:space="preserve">Deakin University </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Australian Day Hospital Association</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South Eastern Sydney Local Health District</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 xml:space="preserve">Department of Health and Human Services </w:t>
      </w:r>
      <w:r w:rsidR="00A67097">
        <w:rPr>
          <w:rFonts w:cs="Arial"/>
          <w:szCs w:val="22"/>
          <w:lang w:eastAsia="en-AU"/>
        </w:rPr>
        <w:t xml:space="preserve">– </w:t>
      </w:r>
      <w:r w:rsidR="00A67097" w:rsidRPr="00A67097">
        <w:rPr>
          <w:rFonts w:cs="Arial"/>
          <w:szCs w:val="22"/>
          <w:lang w:eastAsia="en-AU"/>
        </w:rPr>
        <w:t>Tasmania</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 xml:space="preserve">Department of Health </w:t>
      </w:r>
      <w:r w:rsidR="00A67097">
        <w:rPr>
          <w:rFonts w:cs="Arial"/>
          <w:szCs w:val="22"/>
          <w:lang w:eastAsia="en-AU"/>
        </w:rPr>
        <w:t xml:space="preserve">– </w:t>
      </w:r>
      <w:r w:rsidRPr="009924B5">
        <w:rPr>
          <w:rFonts w:cs="Arial"/>
          <w:szCs w:val="22"/>
          <w:lang w:eastAsia="en-AU"/>
        </w:rPr>
        <w:t xml:space="preserve"> Victoria</w:t>
      </w:r>
    </w:p>
    <w:p w:rsidR="00535D67" w:rsidRPr="009924B5" w:rsidRDefault="00A67097" w:rsidP="009924B5">
      <w:pPr>
        <w:pStyle w:val="ListParagraph"/>
        <w:numPr>
          <w:ilvl w:val="0"/>
          <w:numId w:val="29"/>
        </w:numPr>
        <w:spacing w:line="280" w:lineRule="atLeast"/>
        <w:ind w:left="491" w:hanging="491"/>
        <w:contextualSpacing w:val="0"/>
        <w:rPr>
          <w:rFonts w:cs="Arial"/>
          <w:szCs w:val="22"/>
          <w:lang w:eastAsia="en-AU"/>
        </w:rPr>
      </w:pPr>
      <w:r w:rsidRPr="00A67097">
        <w:rPr>
          <w:rFonts w:cs="Arial"/>
          <w:szCs w:val="22"/>
          <w:lang w:eastAsia="en-AU"/>
        </w:rPr>
        <w:t>Northern NSW Local Health Dis</w:t>
      </w:r>
      <w:r w:rsidR="00535D67" w:rsidRPr="009924B5">
        <w:rPr>
          <w:rFonts w:cs="Arial"/>
          <w:szCs w:val="22"/>
          <w:lang w:eastAsia="en-AU"/>
        </w:rPr>
        <w:t>trict</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RESUS4KIDS</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Ramsay Health Care</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t>Individual</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t>Individual</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Mater Hospital</w:t>
      </w:r>
      <w:r w:rsidR="00A67097">
        <w:rPr>
          <w:rFonts w:cs="Arial"/>
          <w:szCs w:val="22"/>
          <w:lang w:eastAsia="en-AU"/>
        </w:rPr>
        <w:t>, Sydney</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Central Quee</w:t>
      </w:r>
      <w:r w:rsidR="00A67097">
        <w:rPr>
          <w:rFonts w:cs="Arial"/>
          <w:szCs w:val="22"/>
          <w:lang w:eastAsia="en-AU"/>
        </w:rPr>
        <w:t>n</w:t>
      </w:r>
      <w:r w:rsidRPr="009924B5">
        <w:rPr>
          <w:rFonts w:cs="Arial"/>
          <w:szCs w:val="22"/>
          <w:lang w:eastAsia="en-AU"/>
        </w:rPr>
        <w:t>sland Hospital and Health Service</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 xml:space="preserve">Australian College of Critical Care Nurses </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Eastern Health</w:t>
      </w:r>
      <w:r w:rsidR="00A67097">
        <w:rPr>
          <w:rFonts w:cs="Arial"/>
          <w:szCs w:val="22"/>
          <w:lang w:eastAsia="en-AU"/>
        </w:rPr>
        <w:t>, Victoria</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Darling Downs Hospital and Health Service</w:t>
      </w:r>
      <w:r w:rsidR="00A67097">
        <w:rPr>
          <w:rFonts w:cs="Arial"/>
          <w:szCs w:val="22"/>
          <w:lang w:eastAsia="en-AU"/>
        </w:rPr>
        <w:t>, Queensland</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Australian Resuscitation Council</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WA Country Health Service</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Nursing and Midwifery Office, WA Department of Health</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Private Hospitals Association Queensland</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Carers WA</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 xml:space="preserve">Australian College of Nursing </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TAFE SA, Government of SA</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Royal Prince Alfred Hospital</w:t>
      </w:r>
      <w:r w:rsidR="00A67097">
        <w:rPr>
          <w:rFonts w:cs="Arial"/>
          <w:szCs w:val="22"/>
          <w:lang w:eastAsia="en-AU"/>
        </w:rPr>
        <w:t>, NSW</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Women's Healthcare Australasia</w:t>
      </w:r>
    </w:p>
    <w:p w:rsidR="00535D67" w:rsidRPr="009924B5" w:rsidRDefault="00A67097" w:rsidP="009924B5">
      <w:pPr>
        <w:pStyle w:val="ListParagraph"/>
        <w:numPr>
          <w:ilvl w:val="0"/>
          <w:numId w:val="29"/>
        </w:numPr>
        <w:spacing w:line="280" w:lineRule="atLeast"/>
        <w:ind w:left="491" w:hanging="491"/>
        <w:contextualSpacing w:val="0"/>
        <w:rPr>
          <w:rFonts w:cs="Arial"/>
          <w:szCs w:val="22"/>
          <w:lang w:eastAsia="en-AU"/>
        </w:rPr>
      </w:pPr>
      <w:r w:rsidRPr="00A67097">
        <w:rPr>
          <w:rFonts w:cs="Arial"/>
          <w:szCs w:val="22"/>
          <w:lang w:eastAsia="en-AU"/>
        </w:rPr>
        <w:t>Children's Healthcare Austral</w:t>
      </w:r>
      <w:r w:rsidR="00535D67" w:rsidRPr="009924B5">
        <w:rPr>
          <w:rFonts w:cs="Arial"/>
          <w:szCs w:val="22"/>
          <w:lang w:eastAsia="en-AU"/>
        </w:rPr>
        <w:t>asia</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The Royal Children's Hospital Melbourne</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Allied Health Professions' Office of Queensland</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ANZICS and College of Intensive are Medicine of Australia and New Zealand</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t>Individual</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 xml:space="preserve">Victorian </w:t>
      </w:r>
      <w:proofErr w:type="spellStart"/>
      <w:r w:rsidRPr="009924B5">
        <w:rPr>
          <w:rFonts w:cs="Arial"/>
          <w:szCs w:val="22"/>
          <w:lang w:eastAsia="en-AU"/>
        </w:rPr>
        <w:t>Statewide</w:t>
      </w:r>
      <w:proofErr w:type="spellEnd"/>
      <w:r w:rsidRPr="009924B5">
        <w:rPr>
          <w:rFonts w:cs="Arial"/>
          <w:szCs w:val="22"/>
          <w:lang w:eastAsia="en-AU"/>
        </w:rPr>
        <w:t xml:space="preserve"> Paediatric Observation &amp; Response Chart Project </w:t>
      </w:r>
      <w:r w:rsidR="00A67097">
        <w:rPr>
          <w:rFonts w:cs="Arial"/>
          <w:szCs w:val="22"/>
          <w:lang w:eastAsia="en-AU"/>
        </w:rPr>
        <w:t>T</w:t>
      </w:r>
      <w:r w:rsidRPr="009924B5">
        <w:rPr>
          <w:rFonts w:cs="Arial"/>
          <w:szCs w:val="22"/>
          <w:lang w:eastAsia="en-AU"/>
        </w:rPr>
        <w:t>eam</w:t>
      </w:r>
    </w:p>
    <w:p w:rsidR="00535D67" w:rsidRPr="009924B5" w:rsidRDefault="00A67097" w:rsidP="009924B5">
      <w:pPr>
        <w:pStyle w:val="ListParagraph"/>
        <w:numPr>
          <w:ilvl w:val="0"/>
          <w:numId w:val="29"/>
        </w:numPr>
        <w:spacing w:line="280" w:lineRule="atLeast"/>
        <w:ind w:left="491" w:hanging="491"/>
        <w:contextualSpacing w:val="0"/>
        <w:rPr>
          <w:rFonts w:cs="Arial"/>
          <w:szCs w:val="22"/>
          <w:lang w:eastAsia="en-AU"/>
        </w:rPr>
      </w:pPr>
      <w:r w:rsidRPr="00A67097">
        <w:rPr>
          <w:rFonts w:cs="Arial"/>
          <w:szCs w:val="22"/>
          <w:lang w:eastAsia="en-AU"/>
        </w:rPr>
        <w:lastRenderedPageBreak/>
        <w:t>Performance Acti</w:t>
      </w:r>
      <w:r w:rsidR="00535D67" w:rsidRPr="009924B5">
        <w:rPr>
          <w:rFonts w:cs="Arial"/>
          <w:szCs w:val="22"/>
          <w:lang w:eastAsia="en-AU"/>
        </w:rPr>
        <w:t>vity and Quality Division, WA Department of Health</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Australian Day Surgery Council</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Country Health SA Local Health Network</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Calvary</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proofErr w:type="spellStart"/>
      <w:r w:rsidRPr="009924B5">
        <w:rPr>
          <w:rFonts w:cs="Arial"/>
          <w:szCs w:val="22"/>
          <w:lang w:eastAsia="en-AU"/>
        </w:rPr>
        <w:t>Dietitians</w:t>
      </w:r>
      <w:proofErr w:type="spellEnd"/>
      <w:r w:rsidRPr="009924B5">
        <w:rPr>
          <w:rFonts w:cs="Arial"/>
          <w:szCs w:val="22"/>
          <w:lang w:eastAsia="en-AU"/>
        </w:rPr>
        <w:t xml:space="preserve"> Association of Australia</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Mansfield Di</w:t>
      </w:r>
      <w:r w:rsidR="00A67097" w:rsidRPr="00A67097">
        <w:rPr>
          <w:rFonts w:cs="Arial"/>
          <w:szCs w:val="22"/>
          <w:lang w:eastAsia="en-AU"/>
        </w:rPr>
        <w:t>strict Hospital</w:t>
      </w:r>
      <w:r w:rsidR="00A67097">
        <w:rPr>
          <w:rFonts w:cs="Arial"/>
          <w:szCs w:val="22"/>
          <w:lang w:eastAsia="en-AU"/>
        </w:rPr>
        <w:t>, Victoria</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TAFE NSW</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Australian and New Zealand College of Anaesthetists</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TAFE QLD</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proofErr w:type="spellStart"/>
      <w:r w:rsidRPr="009924B5">
        <w:rPr>
          <w:rFonts w:cs="Arial"/>
          <w:szCs w:val="22"/>
          <w:lang w:eastAsia="en-AU"/>
        </w:rPr>
        <w:t>Lifehouse</w:t>
      </w:r>
      <w:proofErr w:type="spellEnd"/>
      <w:r w:rsidR="00A67097">
        <w:rPr>
          <w:rFonts w:cs="Arial"/>
          <w:szCs w:val="22"/>
          <w:lang w:eastAsia="en-AU"/>
        </w:rPr>
        <w:t>, NSW</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Northeast Health Wangaratta</w:t>
      </w:r>
      <w:r w:rsidR="00A67097">
        <w:rPr>
          <w:rFonts w:cs="Arial"/>
          <w:szCs w:val="22"/>
          <w:lang w:eastAsia="en-AU"/>
        </w:rPr>
        <w:t>, Victoria</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t>Individual</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t>Individual</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 xml:space="preserve">Tasmanian Health Organisation </w:t>
      </w:r>
      <w:r w:rsidR="00A67097">
        <w:rPr>
          <w:rFonts w:cs="Arial"/>
          <w:szCs w:val="22"/>
          <w:lang w:eastAsia="en-AU"/>
        </w:rPr>
        <w:t>–</w:t>
      </w:r>
      <w:r w:rsidRPr="009924B5">
        <w:rPr>
          <w:rFonts w:cs="Arial"/>
          <w:szCs w:val="22"/>
          <w:lang w:eastAsia="en-AU"/>
        </w:rPr>
        <w:t xml:space="preserve"> South</w:t>
      </w:r>
    </w:p>
    <w:p w:rsidR="00535D67" w:rsidRPr="009924B5" w:rsidRDefault="00A67097" w:rsidP="009924B5">
      <w:pPr>
        <w:pStyle w:val="ListParagraph"/>
        <w:numPr>
          <w:ilvl w:val="0"/>
          <w:numId w:val="29"/>
        </w:numPr>
        <w:spacing w:line="280" w:lineRule="atLeast"/>
        <w:ind w:left="491" w:hanging="491"/>
        <w:contextualSpacing w:val="0"/>
        <w:rPr>
          <w:rFonts w:cs="Arial"/>
          <w:szCs w:val="22"/>
          <w:lang w:eastAsia="en-AU"/>
        </w:rPr>
      </w:pPr>
      <w:r w:rsidRPr="00A67097">
        <w:rPr>
          <w:rFonts w:cs="Arial"/>
          <w:szCs w:val="22"/>
          <w:lang w:eastAsia="en-AU"/>
        </w:rPr>
        <w:t>The Royal Austral</w:t>
      </w:r>
      <w:r w:rsidR="00535D67" w:rsidRPr="009924B5">
        <w:rPr>
          <w:rFonts w:cs="Arial"/>
          <w:szCs w:val="22"/>
          <w:lang w:eastAsia="en-AU"/>
        </w:rPr>
        <w:t>asian College of Physicians</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Northern Health Clinical Deterio</w:t>
      </w:r>
      <w:r w:rsidR="00A67097">
        <w:rPr>
          <w:rFonts w:cs="Arial"/>
          <w:szCs w:val="22"/>
          <w:lang w:eastAsia="en-AU"/>
        </w:rPr>
        <w:t>r</w:t>
      </w:r>
      <w:r w:rsidR="00A67097" w:rsidRPr="00A67097">
        <w:rPr>
          <w:rFonts w:cs="Arial"/>
          <w:szCs w:val="22"/>
          <w:lang w:eastAsia="en-AU"/>
        </w:rPr>
        <w:t>ation Govern</w:t>
      </w:r>
      <w:r w:rsidR="00A67097">
        <w:rPr>
          <w:rFonts w:cs="Arial"/>
          <w:szCs w:val="22"/>
          <w:lang w:eastAsia="en-AU"/>
        </w:rPr>
        <w:t>ance</w:t>
      </w:r>
      <w:r w:rsidRPr="009924B5">
        <w:rPr>
          <w:rFonts w:cs="Arial"/>
          <w:szCs w:val="22"/>
          <w:lang w:eastAsia="en-AU"/>
        </w:rPr>
        <w:t xml:space="preserve"> Committee - The Northern Hospital</w:t>
      </w:r>
      <w:r w:rsidR="00A67097">
        <w:rPr>
          <w:rFonts w:cs="Arial"/>
          <w:szCs w:val="22"/>
          <w:lang w:eastAsia="en-AU"/>
        </w:rPr>
        <w:t>, Victoria</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Gold Coast Hospital and Health Service</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Illawarra Shoalhaven L</w:t>
      </w:r>
      <w:r w:rsidR="00A67097">
        <w:rPr>
          <w:rFonts w:cs="Arial"/>
          <w:szCs w:val="22"/>
          <w:lang w:eastAsia="en-AU"/>
        </w:rPr>
        <w:t xml:space="preserve">ocal </w:t>
      </w:r>
      <w:r w:rsidRPr="009924B5">
        <w:rPr>
          <w:rFonts w:cs="Arial"/>
          <w:szCs w:val="22"/>
          <w:lang w:eastAsia="en-AU"/>
        </w:rPr>
        <w:t>H</w:t>
      </w:r>
      <w:r w:rsidR="00A67097">
        <w:rPr>
          <w:rFonts w:cs="Arial"/>
          <w:szCs w:val="22"/>
          <w:lang w:eastAsia="en-AU"/>
        </w:rPr>
        <w:t xml:space="preserve">ealth </w:t>
      </w:r>
      <w:r w:rsidRPr="009924B5">
        <w:rPr>
          <w:rFonts w:cs="Arial"/>
          <w:szCs w:val="22"/>
          <w:lang w:eastAsia="en-AU"/>
        </w:rPr>
        <w:t>D</w:t>
      </w:r>
      <w:r w:rsidR="00A67097">
        <w:rPr>
          <w:rFonts w:cs="Arial"/>
          <w:szCs w:val="22"/>
          <w:lang w:eastAsia="en-AU"/>
        </w:rPr>
        <w:t>istrict, NSW</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Australian Private Hospitals Association</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Australian Medical Association</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 xml:space="preserve">Child and Adolescent Health Service </w:t>
      </w:r>
      <w:r w:rsidR="00A67097">
        <w:rPr>
          <w:rFonts w:cs="Arial"/>
          <w:szCs w:val="22"/>
          <w:lang w:eastAsia="en-AU"/>
        </w:rPr>
        <w:t>–</w:t>
      </w:r>
      <w:r w:rsidRPr="009924B5">
        <w:rPr>
          <w:rFonts w:cs="Arial"/>
          <w:szCs w:val="22"/>
          <w:lang w:eastAsia="en-AU"/>
        </w:rPr>
        <w:t xml:space="preserve"> WA Department of Health</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 xml:space="preserve">Safety and Quality Branch </w:t>
      </w:r>
      <w:r w:rsidR="00A67097">
        <w:rPr>
          <w:rFonts w:cs="Arial"/>
          <w:szCs w:val="22"/>
          <w:lang w:eastAsia="en-AU"/>
        </w:rPr>
        <w:t>–</w:t>
      </w:r>
      <w:r w:rsidRPr="009924B5">
        <w:rPr>
          <w:rFonts w:cs="Arial"/>
          <w:szCs w:val="22"/>
          <w:lang w:eastAsia="en-AU"/>
        </w:rPr>
        <w:t xml:space="preserve"> SA Health</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t>Individual</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Austin Health</w:t>
      </w:r>
      <w:r w:rsidR="00A67097">
        <w:rPr>
          <w:rFonts w:cs="Arial"/>
          <w:szCs w:val="22"/>
          <w:lang w:eastAsia="en-AU"/>
        </w:rPr>
        <w:t>, Victoria</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proofErr w:type="spellStart"/>
      <w:r w:rsidRPr="009924B5">
        <w:rPr>
          <w:rFonts w:cs="Arial"/>
          <w:szCs w:val="22"/>
          <w:lang w:eastAsia="en-AU"/>
        </w:rPr>
        <w:t>Statewide</w:t>
      </w:r>
      <w:proofErr w:type="spellEnd"/>
      <w:r w:rsidRPr="009924B5">
        <w:rPr>
          <w:rFonts w:cs="Arial"/>
          <w:szCs w:val="22"/>
          <w:lang w:eastAsia="en-AU"/>
        </w:rPr>
        <w:t xml:space="preserve"> Intensive Care Clinical Network - QLD Health</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Nursing and Midwifery Office, Queensland</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Sydney Local Health District</w:t>
      </w:r>
    </w:p>
    <w:p w:rsidR="00535D67" w:rsidRPr="009924B5" w:rsidRDefault="00535D67" w:rsidP="009924B5">
      <w:pPr>
        <w:pStyle w:val="ListParagraph"/>
        <w:numPr>
          <w:ilvl w:val="0"/>
          <w:numId w:val="29"/>
        </w:numPr>
        <w:spacing w:line="280" w:lineRule="atLeast"/>
        <w:ind w:left="491" w:hanging="491"/>
        <w:contextualSpacing w:val="0"/>
        <w:rPr>
          <w:rFonts w:cs="Arial"/>
          <w:iCs/>
          <w:szCs w:val="22"/>
          <w:lang w:eastAsia="en-AU"/>
        </w:rPr>
      </w:pPr>
      <w:r w:rsidRPr="009924B5">
        <w:rPr>
          <w:rFonts w:cs="Arial"/>
          <w:iCs/>
          <w:szCs w:val="22"/>
          <w:lang w:eastAsia="en-AU"/>
        </w:rPr>
        <w:t>Individual</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Alfred Health</w:t>
      </w:r>
      <w:r w:rsidR="00A67097">
        <w:rPr>
          <w:rFonts w:cs="Arial"/>
          <w:szCs w:val="22"/>
          <w:lang w:eastAsia="en-AU"/>
        </w:rPr>
        <w:t>, Victoria</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St Vincent's Health Network</w:t>
      </w:r>
      <w:r w:rsidR="00A67097">
        <w:rPr>
          <w:rFonts w:cs="Arial"/>
          <w:szCs w:val="22"/>
          <w:lang w:eastAsia="en-AU"/>
        </w:rPr>
        <w:t>, NSW</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Australian Health Practitioner Regulation Agency</w:t>
      </w:r>
    </w:p>
    <w:p w:rsidR="00535D67" w:rsidRPr="009924B5" w:rsidRDefault="00535D67" w:rsidP="009924B5">
      <w:pPr>
        <w:pStyle w:val="ListParagraph"/>
        <w:numPr>
          <w:ilvl w:val="0"/>
          <w:numId w:val="29"/>
        </w:numPr>
        <w:spacing w:line="280" w:lineRule="atLeast"/>
        <w:ind w:left="491" w:hanging="491"/>
        <w:contextualSpacing w:val="0"/>
        <w:rPr>
          <w:rFonts w:cs="Arial"/>
          <w:szCs w:val="22"/>
          <w:lang w:eastAsia="en-AU"/>
        </w:rPr>
      </w:pPr>
      <w:r w:rsidRPr="009924B5">
        <w:rPr>
          <w:rFonts w:cs="Arial"/>
          <w:szCs w:val="22"/>
          <w:lang w:eastAsia="en-AU"/>
        </w:rPr>
        <w:t>Australasian College for Emergency Medicine</w:t>
      </w:r>
    </w:p>
    <w:p w:rsidR="00EA39FC" w:rsidRDefault="00EA39FC" w:rsidP="009924B5">
      <w:pPr>
        <w:spacing w:line="280" w:lineRule="atLeast"/>
        <w:rPr>
          <w:rFonts w:eastAsia="Calibri"/>
        </w:rPr>
      </w:pPr>
    </w:p>
    <w:p w:rsidR="00AD1738" w:rsidRPr="00AD1738" w:rsidRDefault="00AD1738" w:rsidP="009924B5">
      <w:pPr>
        <w:spacing w:line="280" w:lineRule="atLeast"/>
        <w:rPr>
          <w:rFonts w:eastAsia="Calibri"/>
        </w:rPr>
      </w:pPr>
    </w:p>
    <w:sectPr w:rsidR="00AD1738" w:rsidRPr="00AD1738" w:rsidSect="00B175BF">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147" w:rsidRDefault="00EE6147" w:rsidP="004C09A4">
      <w:r>
        <w:separator/>
      </w:r>
    </w:p>
  </w:endnote>
  <w:endnote w:type="continuationSeparator" w:id="0">
    <w:p w:rsidR="00EE6147" w:rsidRDefault="00EE6147" w:rsidP="004C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813619"/>
      <w:docPartObj>
        <w:docPartGallery w:val="Page Numbers (Bottom of Page)"/>
        <w:docPartUnique/>
      </w:docPartObj>
    </w:sdtPr>
    <w:sdtEndPr>
      <w:rPr>
        <w:noProof/>
      </w:rPr>
    </w:sdtEndPr>
    <w:sdtContent>
      <w:p w:rsidR="00A874E9" w:rsidRDefault="00A874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874E9" w:rsidRDefault="00A874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20169461"/>
      <w:docPartObj>
        <w:docPartGallery w:val="Page Numbers (Bottom of Page)"/>
        <w:docPartUnique/>
      </w:docPartObj>
    </w:sdtPr>
    <w:sdtEndPr>
      <w:rPr>
        <w:noProof/>
      </w:rPr>
    </w:sdtEndPr>
    <w:sdtContent>
      <w:p w:rsidR="00A874E9" w:rsidRPr="00B175BF" w:rsidRDefault="00A874E9">
        <w:pPr>
          <w:pStyle w:val="Footer"/>
          <w:jc w:val="right"/>
          <w:rPr>
            <w:sz w:val="18"/>
            <w:szCs w:val="18"/>
          </w:rPr>
        </w:pPr>
        <w:r w:rsidRPr="00B175BF">
          <w:rPr>
            <w:sz w:val="18"/>
            <w:szCs w:val="18"/>
          </w:rPr>
          <w:t xml:space="preserve">Page </w:t>
        </w:r>
        <w:r w:rsidRPr="00B175BF">
          <w:rPr>
            <w:sz w:val="18"/>
            <w:szCs w:val="18"/>
          </w:rPr>
          <w:fldChar w:fldCharType="begin"/>
        </w:r>
        <w:r w:rsidRPr="00B175BF">
          <w:rPr>
            <w:sz w:val="18"/>
            <w:szCs w:val="18"/>
          </w:rPr>
          <w:instrText xml:space="preserve"> PAGE   \* MERGEFORMAT </w:instrText>
        </w:r>
        <w:r w:rsidRPr="00B175BF">
          <w:rPr>
            <w:sz w:val="18"/>
            <w:szCs w:val="18"/>
          </w:rPr>
          <w:fldChar w:fldCharType="separate"/>
        </w:r>
        <w:r w:rsidR="00EF710B">
          <w:rPr>
            <w:noProof/>
            <w:sz w:val="18"/>
            <w:szCs w:val="18"/>
          </w:rPr>
          <w:t>15</w:t>
        </w:r>
        <w:r w:rsidRPr="00B175BF">
          <w:rPr>
            <w:noProof/>
            <w:sz w:val="18"/>
            <w:szCs w:val="18"/>
          </w:rPr>
          <w:fldChar w:fldCharType="end"/>
        </w:r>
      </w:p>
    </w:sdtContent>
  </w:sdt>
  <w:p w:rsidR="00A874E9" w:rsidRDefault="00A87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147" w:rsidRDefault="00EE6147" w:rsidP="004C09A4">
      <w:r>
        <w:separator/>
      </w:r>
    </w:p>
  </w:footnote>
  <w:footnote w:type="continuationSeparator" w:id="0">
    <w:p w:rsidR="00EE6147" w:rsidRDefault="00EE6147" w:rsidP="004C09A4">
      <w:r>
        <w:continuationSeparator/>
      </w:r>
    </w:p>
  </w:footnote>
  <w:footnote w:id="1">
    <w:p w:rsidR="00A65BCA" w:rsidRPr="00CB3A9B" w:rsidRDefault="00A65BCA" w:rsidP="00A65BCA">
      <w:pPr>
        <w:pStyle w:val="FootnoteText"/>
        <w:rPr>
          <w:lang w:val="en-AU"/>
        </w:rPr>
      </w:pPr>
      <w:r>
        <w:rPr>
          <w:rStyle w:val="FootnoteReference"/>
        </w:rPr>
        <w:footnoteRef/>
      </w:r>
      <w:r>
        <w:t xml:space="preserve"> </w:t>
      </w:r>
      <w:r>
        <w:rPr>
          <w:lang w:val="en-AU"/>
        </w:rPr>
        <w:t>Action 1.10.1 of the NSQHS Standards states that ‘A system is in place to define and regularly review the scope of practice for the clinical workforce’.</w:t>
      </w:r>
    </w:p>
  </w:footnote>
  <w:footnote w:id="2">
    <w:p w:rsidR="001F2EFA" w:rsidRPr="001F2EFA" w:rsidRDefault="001F2EFA">
      <w:pPr>
        <w:pStyle w:val="FootnoteText"/>
        <w:rPr>
          <w:lang w:val="en-AU"/>
        </w:rPr>
      </w:pPr>
      <w:r>
        <w:rPr>
          <w:rStyle w:val="FootnoteReference"/>
        </w:rPr>
        <w:footnoteRef/>
      </w:r>
      <w:r>
        <w:t xml:space="preserve"> </w:t>
      </w:r>
      <w:r>
        <w:rPr>
          <w:lang w:val="en-AU"/>
        </w:rPr>
        <w:t xml:space="preserve">Donaldson LJ, </w:t>
      </w:r>
      <w:proofErr w:type="spellStart"/>
      <w:r>
        <w:rPr>
          <w:lang w:val="en-AU"/>
        </w:rPr>
        <w:t>Panesar</w:t>
      </w:r>
      <w:proofErr w:type="spellEnd"/>
      <w:r>
        <w:rPr>
          <w:lang w:val="en-AU"/>
        </w:rPr>
        <w:t xml:space="preserve"> SS, </w:t>
      </w:r>
      <w:proofErr w:type="spellStart"/>
      <w:proofErr w:type="gramStart"/>
      <w:r>
        <w:rPr>
          <w:lang w:val="en-AU"/>
        </w:rPr>
        <w:t>Darzi</w:t>
      </w:r>
      <w:proofErr w:type="spellEnd"/>
      <w:proofErr w:type="gramEnd"/>
      <w:r>
        <w:rPr>
          <w:lang w:val="en-AU"/>
        </w:rPr>
        <w:t xml:space="preserve"> A. Patient-safety-related hospital deaths in England: Thematic analysis of incidents reported to a national database 2010-2012. </w:t>
      </w:r>
      <w:r>
        <w:rPr>
          <w:i/>
          <w:lang w:val="en-AU"/>
        </w:rPr>
        <w:t>PLOS Medicine</w:t>
      </w:r>
      <w:r>
        <w:rPr>
          <w:lang w:val="en-AU"/>
        </w:rPr>
        <w:t xml:space="preserve"> 2014; 11(6): e1001667.</w:t>
      </w:r>
    </w:p>
  </w:footnote>
  <w:footnote w:id="3">
    <w:p w:rsidR="00A874E9" w:rsidRPr="009924B5" w:rsidRDefault="00A874E9">
      <w:pPr>
        <w:pStyle w:val="FootnoteText"/>
        <w:rPr>
          <w:lang w:val="en-AU"/>
        </w:rPr>
      </w:pPr>
      <w:r>
        <w:rPr>
          <w:rStyle w:val="FootnoteReference"/>
        </w:rPr>
        <w:footnoteRef/>
      </w:r>
      <w:r>
        <w:t xml:space="preserve"> </w:t>
      </w:r>
      <w:r>
        <w:rPr>
          <w:lang w:val="en-AU"/>
        </w:rPr>
        <w:t>Action 1.</w:t>
      </w:r>
      <w:r w:rsidR="006A4498">
        <w:rPr>
          <w:lang w:val="en-AU"/>
        </w:rPr>
        <w:t>4.4 states that ‘Competency-based training is provided to the clinical workforce to improve safety and quality</w:t>
      </w:r>
      <w:r>
        <w:rPr>
          <w:lang w:val="en-AU"/>
        </w:rPr>
        <w:t>’</w:t>
      </w:r>
      <w:r w:rsidR="00CB3A9B">
        <w:rPr>
          <w:lang w:val="en-AU"/>
        </w:rPr>
        <w:t>.</w:t>
      </w:r>
    </w:p>
  </w:footnote>
  <w:footnote w:id="4">
    <w:p w:rsidR="001E3EB5" w:rsidRPr="001E3EB5" w:rsidRDefault="001E3EB5">
      <w:pPr>
        <w:pStyle w:val="FootnoteText"/>
        <w:rPr>
          <w:lang w:val="en-AU"/>
        </w:rPr>
      </w:pPr>
      <w:r>
        <w:rPr>
          <w:rStyle w:val="FootnoteReference"/>
        </w:rPr>
        <w:footnoteRef/>
      </w:r>
      <w:r>
        <w:t xml:space="preserve"> </w:t>
      </w:r>
      <w:r>
        <w:rPr>
          <w:lang w:val="en-AU"/>
        </w:rPr>
        <w:t xml:space="preserve">Chen J, </w:t>
      </w:r>
      <w:proofErr w:type="spellStart"/>
      <w:r>
        <w:rPr>
          <w:lang w:val="en-AU"/>
        </w:rPr>
        <w:t>Ou</w:t>
      </w:r>
      <w:proofErr w:type="spellEnd"/>
      <w:r>
        <w:rPr>
          <w:lang w:val="en-AU"/>
        </w:rPr>
        <w:t xml:space="preserve"> L, Hillman KM, </w:t>
      </w:r>
      <w:proofErr w:type="spellStart"/>
      <w:r>
        <w:rPr>
          <w:lang w:val="en-AU"/>
        </w:rPr>
        <w:t>Flabouris</w:t>
      </w:r>
      <w:proofErr w:type="spellEnd"/>
      <w:r>
        <w:rPr>
          <w:lang w:val="en-AU"/>
        </w:rPr>
        <w:t xml:space="preserve"> A, </w:t>
      </w:r>
      <w:proofErr w:type="spellStart"/>
      <w:r>
        <w:rPr>
          <w:lang w:val="en-AU"/>
        </w:rPr>
        <w:t>Bellomo</w:t>
      </w:r>
      <w:proofErr w:type="spellEnd"/>
      <w:r>
        <w:rPr>
          <w:lang w:val="en-AU"/>
        </w:rPr>
        <w:t xml:space="preserve"> R, Hollis SJ, </w:t>
      </w:r>
      <w:proofErr w:type="spellStart"/>
      <w:r>
        <w:rPr>
          <w:lang w:val="en-AU"/>
        </w:rPr>
        <w:t>Assareh</w:t>
      </w:r>
      <w:proofErr w:type="spellEnd"/>
      <w:r>
        <w:rPr>
          <w:lang w:val="en-AU"/>
        </w:rPr>
        <w:t xml:space="preserve"> H. Cardiopulmonary arrest and mortality trends, and their association with rapid response system expansion. </w:t>
      </w:r>
      <w:r>
        <w:rPr>
          <w:i/>
          <w:lang w:val="en-AU"/>
        </w:rPr>
        <w:t>Medical Journal of Australia</w:t>
      </w:r>
      <w:r>
        <w:rPr>
          <w:lang w:val="en-AU"/>
        </w:rPr>
        <w:t xml:space="preserve"> 2014; 201: 167-170.</w:t>
      </w:r>
    </w:p>
  </w:footnote>
  <w:footnote w:id="5">
    <w:p w:rsidR="00A874E9" w:rsidRPr="009924B5" w:rsidRDefault="00A874E9">
      <w:pPr>
        <w:pStyle w:val="FootnoteText"/>
        <w:rPr>
          <w:lang w:val="en-AU"/>
        </w:rPr>
      </w:pPr>
      <w:r>
        <w:rPr>
          <w:rStyle w:val="FootnoteReference"/>
        </w:rPr>
        <w:footnoteRef/>
      </w:r>
      <w:r>
        <w:t xml:space="preserve"> </w:t>
      </w:r>
      <w:r>
        <w:rPr>
          <w:lang w:val="en-AU"/>
        </w:rPr>
        <w:t>This proposed approach to Action 9.6.1 would then have a similar form to that of the current Action 9.6.2, which states that ‘A system in place for ensuring access at all times to at least one clinician, either on-site or in close proximity, who can practise advanced life support’.</w:t>
      </w:r>
    </w:p>
  </w:footnote>
  <w:footnote w:id="6">
    <w:p w:rsidR="00B275F8" w:rsidRPr="00B275F8" w:rsidRDefault="00B275F8" w:rsidP="00B275F8">
      <w:pPr>
        <w:rPr>
          <w:rFonts w:cs="Arial"/>
          <w:sz w:val="20"/>
          <w:szCs w:val="20"/>
        </w:rPr>
      </w:pPr>
      <w:r w:rsidRPr="00B275F8">
        <w:rPr>
          <w:rStyle w:val="FootnoteReference"/>
          <w:rFonts w:cs="Arial"/>
          <w:sz w:val="20"/>
          <w:szCs w:val="20"/>
        </w:rPr>
        <w:footnoteRef/>
      </w:r>
      <w:r w:rsidRPr="00B275F8">
        <w:rPr>
          <w:rFonts w:cs="Arial"/>
          <w:sz w:val="20"/>
          <w:szCs w:val="20"/>
        </w:rPr>
        <w:t xml:space="preserve"> Advisory</w:t>
      </w:r>
      <w:r w:rsidR="00307393">
        <w:rPr>
          <w:rFonts w:cs="Arial"/>
          <w:sz w:val="20"/>
          <w:szCs w:val="20"/>
        </w:rPr>
        <w:t xml:space="preserve"> </w:t>
      </w:r>
      <w:r w:rsidRPr="00B275F8">
        <w:rPr>
          <w:rFonts w:cs="Arial"/>
          <w:sz w:val="20"/>
          <w:szCs w:val="20"/>
        </w:rPr>
        <w:t xml:space="preserve">13/05 concerns </w:t>
      </w:r>
      <w:r>
        <w:rPr>
          <w:rFonts w:cs="Arial"/>
          <w:sz w:val="20"/>
          <w:szCs w:val="20"/>
        </w:rPr>
        <w:t>the a</w:t>
      </w:r>
      <w:r w:rsidRPr="00B275F8">
        <w:rPr>
          <w:rFonts w:cs="Arial"/>
          <w:sz w:val="20"/>
          <w:szCs w:val="20"/>
          <w:lang w:eastAsia="en-AU"/>
        </w:rPr>
        <w:t xml:space="preserve">ssessment of training requirements for </w:t>
      </w:r>
      <w:r>
        <w:rPr>
          <w:rFonts w:cs="Arial"/>
          <w:sz w:val="20"/>
          <w:szCs w:val="20"/>
          <w:lang w:eastAsia="en-AU"/>
        </w:rPr>
        <w:t>c</w:t>
      </w:r>
      <w:r w:rsidRPr="00B275F8">
        <w:rPr>
          <w:rFonts w:cs="Arial"/>
          <w:sz w:val="20"/>
          <w:szCs w:val="20"/>
          <w:lang w:eastAsia="en-AU"/>
        </w:rPr>
        <w:t xml:space="preserve">redentialed </w:t>
      </w:r>
      <w:r>
        <w:rPr>
          <w:rFonts w:cs="Arial"/>
          <w:sz w:val="20"/>
          <w:szCs w:val="20"/>
          <w:lang w:eastAsia="en-AU"/>
        </w:rPr>
        <w:t>m</w:t>
      </w:r>
      <w:r w:rsidRPr="00B275F8">
        <w:rPr>
          <w:rFonts w:cs="Arial"/>
          <w:sz w:val="20"/>
          <w:szCs w:val="20"/>
          <w:lang w:eastAsia="en-AU"/>
        </w:rPr>
        <w:t xml:space="preserve">edical and </w:t>
      </w:r>
      <w:r>
        <w:rPr>
          <w:rFonts w:cs="Arial"/>
          <w:sz w:val="20"/>
          <w:szCs w:val="20"/>
          <w:lang w:eastAsia="en-AU"/>
        </w:rPr>
        <w:t>o</w:t>
      </w:r>
      <w:r w:rsidRPr="00B275F8">
        <w:rPr>
          <w:rFonts w:cs="Arial"/>
          <w:sz w:val="20"/>
          <w:szCs w:val="20"/>
          <w:lang w:eastAsia="en-AU"/>
        </w:rPr>
        <w:t xml:space="preserve">ther </w:t>
      </w:r>
      <w:r>
        <w:rPr>
          <w:rFonts w:cs="Arial"/>
          <w:sz w:val="20"/>
          <w:szCs w:val="20"/>
          <w:lang w:eastAsia="en-AU"/>
        </w:rPr>
        <w:t>c</w:t>
      </w:r>
      <w:r w:rsidRPr="00B275F8">
        <w:rPr>
          <w:rFonts w:cs="Arial"/>
          <w:sz w:val="20"/>
          <w:szCs w:val="20"/>
          <w:lang w:eastAsia="en-AU"/>
        </w:rPr>
        <w:t xml:space="preserve">linical </w:t>
      </w:r>
      <w:r>
        <w:rPr>
          <w:rFonts w:cs="Arial"/>
          <w:sz w:val="20"/>
          <w:szCs w:val="20"/>
          <w:lang w:eastAsia="en-AU"/>
        </w:rPr>
        <w:t>p</w:t>
      </w:r>
      <w:r w:rsidRPr="00B275F8">
        <w:rPr>
          <w:rFonts w:cs="Arial"/>
          <w:sz w:val="20"/>
          <w:szCs w:val="20"/>
          <w:lang w:eastAsia="en-AU"/>
        </w:rPr>
        <w:t xml:space="preserve">ractitioners and </w:t>
      </w:r>
      <w:r>
        <w:rPr>
          <w:rFonts w:cs="Arial"/>
          <w:sz w:val="20"/>
          <w:szCs w:val="20"/>
          <w:lang w:eastAsia="en-AU"/>
        </w:rPr>
        <w:t>v</w:t>
      </w:r>
      <w:r w:rsidRPr="00B275F8">
        <w:rPr>
          <w:rFonts w:cs="Arial"/>
          <w:sz w:val="20"/>
          <w:szCs w:val="20"/>
          <w:lang w:eastAsia="en-AU"/>
        </w:rPr>
        <w:t xml:space="preserve">isiting </w:t>
      </w:r>
      <w:r>
        <w:rPr>
          <w:rFonts w:cs="Arial"/>
          <w:sz w:val="20"/>
          <w:szCs w:val="20"/>
          <w:lang w:eastAsia="en-AU"/>
        </w:rPr>
        <w:t>m</w:t>
      </w:r>
      <w:r w:rsidRPr="00B275F8">
        <w:rPr>
          <w:rFonts w:cs="Arial"/>
          <w:sz w:val="20"/>
          <w:szCs w:val="20"/>
          <w:lang w:eastAsia="en-AU"/>
        </w:rPr>
        <w:t xml:space="preserve">edical </w:t>
      </w:r>
      <w:r>
        <w:rPr>
          <w:rFonts w:cs="Arial"/>
          <w:sz w:val="20"/>
          <w:szCs w:val="20"/>
          <w:lang w:eastAsia="en-AU"/>
        </w:rPr>
        <w:t>o</w:t>
      </w:r>
      <w:r w:rsidRPr="00B275F8">
        <w:rPr>
          <w:rFonts w:cs="Arial"/>
          <w:sz w:val="20"/>
          <w:szCs w:val="20"/>
          <w:lang w:eastAsia="en-AU"/>
        </w:rPr>
        <w:t>fficers</w:t>
      </w:r>
      <w:r>
        <w:rPr>
          <w:rFonts w:cs="Arial"/>
          <w:sz w:val="20"/>
          <w:szCs w:val="20"/>
          <w:lang w:eastAsia="en-AU"/>
        </w:rPr>
        <w:t xml:space="preserve">. For Action 9.6.1 is requires that health services </w:t>
      </w:r>
      <w:r w:rsidRPr="00B275F8">
        <w:rPr>
          <w:rFonts w:cs="Arial"/>
          <w:sz w:val="20"/>
          <w:szCs w:val="20"/>
        </w:rPr>
        <w:t>provide evidence that:</w:t>
      </w:r>
    </w:p>
    <w:p w:rsidR="00B275F8" w:rsidRPr="00B275F8" w:rsidRDefault="00B275F8" w:rsidP="00B275F8">
      <w:pPr>
        <w:numPr>
          <w:ilvl w:val="0"/>
          <w:numId w:val="31"/>
        </w:numPr>
        <w:ind w:left="284" w:hanging="284"/>
        <w:contextualSpacing/>
        <w:rPr>
          <w:rFonts w:cs="Arial"/>
          <w:sz w:val="20"/>
          <w:szCs w:val="20"/>
        </w:rPr>
      </w:pPr>
      <w:r w:rsidRPr="00B275F8">
        <w:rPr>
          <w:rFonts w:cs="Arial"/>
          <w:sz w:val="20"/>
          <w:szCs w:val="20"/>
        </w:rPr>
        <w:t>a comprehensive organisational risk analysis of basic life support training needs has been undertaken</w:t>
      </w:r>
    </w:p>
    <w:p w:rsidR="00B275F8" w:rsidRDefault="00B275F8" w:rsidP="00B275F8">
      <w:pPr>
        <w:numPr>
          <w:ilvl w:val="0"/>
          <w:numId w:val="31"/>
        </w:numPr>
        <w:ind w:left="284" w:hanging="284"/>
        <w:contextualSpacing/>
        <w:rPr>
          <w:rFonts w:cs="Arial"/>
          <w:sz w:val="20"/>
          <w:szCs w:val="20"/>
        </w:rPr>
      </w:pPr>
      <w:r w:rsidRPr="00B275F8">
        <w:rPr>
          <w:rFonts w:cs="Arial"/>
          <w:sz w:val="20"/>
          <w:szCs w:val="20"/>
        </w:rPr>
        <w:t>a plan has been developed to ensure that the clinical workforce can initiate appropriate early interventions and respond with life-sustaining measures in the event of severe or rapid deterioration</w:t>
      </w:r>
    </w:p>
    <w:p w:rsidR="00B275F8" w:rsidRPr="00B275F8" w:rsidRDefault="00B275F8" w:rsidP="00B275F8">
      <w:pPr>
        <w:numPr>
          <w:ilvl w:val="0"/>
          <w:numId w:val="31"/>
        </w:numPr>
        <w:ind w:left="284" w:hanging="284"/>
        <w:contextualSpacing/>
        <w:rPr>
          <w:rFonts w:cs="Arial"/>
          <w:sz w:val="20"/>
          <w:szCs w:val="20"/>
        </w:rPr>
      </w:pPr>
      <w:proofErr w:type="gramStart"/>
      <w:r w:rsidRPr="00B275F8">
        <w:rPr>
          <w:rFonts w:cs="Arial"/>
          <w:sz w:val="20"/>
          <w:szCs w:val="20"/>
        </w:rPr>
        <w:t>training</w:t>
      </w:r>
      <w:proofErr w:type="gramEnd"/>
      <w:r w:rsidRPr="00B275F8">
        <w:rPr>
          <w:rFonts w:cs="Arial"/>
          <w:sz w:val="20"/>
          <w:szCs w:val="20"/>
        </w:rPr>
        <w:t xml:space="preserve"> in basic life support is available for the clinical workforce. </w:t>
      </w:r>
      <w:r w:rsidRPr="00B275F8">
        <w:rPr>
          <w:rFonts w:cs="Arial"/>
          <w:sz w:val="20"/>
          <w:szCs w:val="20"/>
          <w:lang w:val="en-US"/>
        </w:rPr>
        <w:t>It is anticipated the initial focus will be on employed nursing, allied health and medical staff.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4E9" w:rsidRPr="009924B5" w:rsidRDefault="00A874E9" w:rsidP="009924B5">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43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3D0472"/>
    <w:multiLevelType w:val="hybridMultilevel"/>
    <w:tmpl w:val="97B0D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612651B"/>
    <w:multiLevelType w:val="hybridMultilevel"/>
    <w:tmpl w:val="F94EBB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2114246D"/>
    <w:multiLevelType w:val="hybridMultilevel"/>
    <w:tmpl w:val="3AD08E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35D65AE"/>
    <w:multiLevelType w:val="hybridMultilevel"/>
    <w:tmpl w:val="1B3893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4C70DC7"/>
    <w:multiLevelType w:val="hybridMultilevel"/>
    <w:tmpl w:val="7688DB6A"/>
    <w:lvl w:ilvl="0" w:tplc="14090001">
      <w:start w:val="1"/>
      <w:numFmt w:val="bullet"/>
      <w:lvlText w:val=""/>
      <w:lvlJc w:val="left"/>
      <w:pPr>
        <w:ind w:left="1353" w:hanging="360"/>
      </w:pPr>
      <w:rPr>
        <w:rFonts w:ascii="Symbol" w:hAnsi="Symbol" w:hint="default"/>
      </w:rPr>
    </w:lvl>
    <w:lvl w:ilvl="1" w:tplc="14090003" w:tentative="1">
      <w:start w:val="1"/>
      <w:numFmt w:val="bullet"/>
      <w:lvlText w:val="o"/>
      <w:lvlJc w:val="left"/>
      <w:pPr>
        <w:ind w:left="2073" w:hanging="360"/>
      </w:pPr>
      <w:rPr>
        <w:rFonts w:ascii="Courier New" w:hAnsi="Courier New" w:cs="Courier New" w:hint="default"/>
      </w:rPr>
    </w:lvl>
    <w:lvl w:ilvl="2" w:tplc="14090005" w:tentative="1">
      <w:start w:val="1"/>
      <w:numFmt w:val="bullet"/>
      <w:lvlText w:val=""/>
      <w:lvlJc w:val="left"/>
      <w:pPr>
        <w:ind w:left="2793" w:hanging="360"/>
      </w:pPr>
      <w:rPr>
        <w:rFonts w:ascii="Wingdings" w:hAnsi="Wingdings" w:hint="default"/>
      </w:rPr>
    </w:lvl>
    <w:lvl w:ilvl="3" w:tplc="14090001" w:tentative="1">
      <w:start w:val="1"/>
      <w:numFmt w:val="bullet"/>
      <w:lvlText w:val=""/>
      <w:lvlJc w:val="left"/>
      <w:pPr>
        <w:ind w:left="3513" w:hanging="360"/>
      </w:pPr>
      <w:rPr>
        <w:rFonts w:ascii="Symbol" w:hAnsi="Symbol" w:hint="default"/>
      </w:rPr>
    </w:lvl>
    <w:lvl w:ilvl="4" w:tplc="14090003" w:tentative="1">
      <w:start w:val="1"/>
      <w:numFmt w:val="bullet"/>
      <w:lvlText w:val="o"/>
      <w:lvlJc w:val="left"/>
      <w:pPr>
        <w:ind w:left="4233" w:hanging="360"/>
      </w:pPr>
      <w:rPr>
        <w:rFonts w:ascii="Courier New" w:hAnsi="Courier New" w:cs="Courier New" w:hint="default"/>
      </w:rPr>
    </w:lvl>
    <w:lvl w:ilvl="5" w:tplc="14090005" w:tentative="1">
      <w:start w:val="1"/>
      <w:numFmt w:val="bullet"/>
      <w:lvlText w:val=""/>
      <w:lvlJc w:val="left"/>
      <w:pPr>
        <w:ind w:left="4953" w:hanging="360"/>
      </w:pPr>
      <w:rPr>
        <w:rFonts w:ascii="Wingdings" w:hAnsi="Wingdings" w:hint="default"/>
      </w:rPr>
    </w:lvl>
    <w:lvl w:ilvl="6" w:tplc="14090001" w:tentative="1">
      <w:start w:val="1"/>
      <w:numFmt w:val="bullet"/>
      <w:lvlText w:val=""/>
      <w:lvlJc w:val="left"/>
      <w:pPr>
        <w:ind w:left="5673" w:hanging="360"/>
      </w:pPr>
      <w:rPr>
        <w:rFonts w:ascii="Symbol" w:hAnsi="Symbol" w:hint="default"/>
      </w:rPr>
    </w:lvl>
    <w:lvl w:ilvl="7" w:tplc="14090003" w:tentative="1">
      <w:start w:val="1"/>
      <w:numFmt w:val="bullet"/>
      <w:lvlText w:val="o"/>
      <w:lvlJc w:val="left"/>
      <w:pPr>
        <w:ind w:left="6393" w:hanging="360"/>
      </w:pPr>
      <w:rPr>
        <w:rFonts w:ascii="Courier New" w:hAnsi="Courier New" w:cs="Courier New" w:hint="default"/>
      </w:rPr>
    </w:lvl>
    <w:lvl w:ilvl="8" w:tplc="14090005" w:tentative="1">
      <w:start w:val="1"/>
      <w:numFmt w:val="bullet"/>
      <w:lvlText w:val=""/>
      <w:lvlJc w:val="left"/>
      <w:pPr>
        <w:ind w:left="7113" w:hanging="360"/>
      </w:pPr>
      <w:rPr>
        <w:rFonts w:ascii="Wingdings" w:hAnsi="Wingdings" w:hint="default"/>
      </w:rPr>
    </w:lvl>
  </w:abstractNum>
  <w:abstractNum w:abstractNumId="6">
    <w:nsid w:val="2FFA4F5F"/>
    <w:multiLevelType w:val="hybridMultilevel"/>
    <w:tmpl w:val="53AC5682"/>
    <w:lvl w:ilvl="0" w:tplc="0A84A9D8">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6D24581"/>
    <w:multiLevelType w:val="hybridMultilevel"/>
    <w:tmpl w:val="3B98C0BE"/>
    <w:lvl w:ilvl="0" w:tplc="04090001">
      <w:start w:val="1"/>
      <w:numFmt w:val="bullet"/>
      <w:lvlText w:val=""/>
      <w:lvlJc w:val="left"/>
      <w:pPr>
        <w:tabs>
          <w:tab w:val="num" w:pos="-351"/>
        </w:tabs>
        <w:ind w:left="-351" w:hanging="360"/>
      </w:pPr>
      <w:rPr>
        <w:rFonts w:ascii="Symbol" w:hAnsi="Symbol" w:hint="default"/>
      </w:rPr>
    </w:lvl>
    <w:lvl w:ilvl="1" w:tplc="04090019">
      <w:start w:val="1"/>
      <w:numFmt w:val="lowerLetter"/>
      <w:lvlText w:val="%2."/>
      <w:lvlJc w:val="left"/>
      <w:pPr>
        <w:tabs>
          <w:tab w:val="num" w:pos="369"/>
        </w:tabs>
        <w:ind w:left="369" w:hanging="360"/>
      </w:pPr>
    </w:lvl>
    <w:lvl w:ilvl="2" w:tplc="0409001B">
      <w:start w:val="1"/>
      <w:numFmt w:val="lowerRoman"/>
      <w:lvlText w:val="%3."/>
      <w:lvlJc w:val="right"/>
      <w:pPr>
        <w:tabs>
          <w:tab w:val="num" w:pos="1089"/>
        </w:tabs>
        <w:ind w:left="1089" w:hanging="180"/>
      </w:pPr>
    </w:lvl>
    <w:lvl w:ilvl="3" w:tplc="0409000F">
      <w:start w:val="1"/>
      <w:numFmt w:val="decimal"/>
      <w:lvlText w:val="%4."/>
      <w:lvlJc w:val="left"/>
      <w:pPr>
        <w:tabs>
          <w:tab w:val="num" w:pos="1809"/>
        </w:tabs>
        <w:ind w:left="1809" w:hanging="360"/>
      </w:pPr>
    </w:lvl>
    <w:lvl w:ilvl="4" w:tplc="04090019">
      <w:start w:val="1"/>
      <w:numFmt w:val="lowerLetter"/>
      <w:lvlText w:val="%5."/>
      <w:lvlJc w:val="left"/>
      <w:pPr>
        <w:tabs>
          <w:tab w:val="num" w:pos="2529"/>
        </w:tabs>
        <w:ind w:left="2529" w:hanging="360"/>
      </w:pPr>
    </w:lvl>
    <w:lvl w:ilvl="5" w:tplc="0409001B">
      <w:start w:val="1"/>
      <w:numFmt w:val="lowerRoman"/>
      <w:lvlText w:val="%6."/>
      <w:lvlJc w:val="right"/>
      <w:pPr>
        <w:tabs>
          <w:tab w:val="num" w:pos="3249"/>
        </w:tabs>
        <w:ind w:left="3249" w:hanging="180"/>
      </w:pPr>
    </w:lvl>
    <w:lvl w:ilvl="6" w:tplc="0409000F">
      <w:start w:val="1"/>
      <w:numFmt w:val="decimal"/>
      <w:lvlText w:val="%7."/>
      <w:lvlJc w:val="left"/>
      <w:pPr>
        <w:tabs>
          <w:tab w:val="num" w:pos="3969"/>
        </w:tabs>
        <w:ind w:left="3969" w:hanging="360"/>
      </w:pPr>
    </w:lvl>
    <w:lvl w:ilvl="7" w:tplc="04090019">
      <w:start w:val="1"/>
      <w:numFmt w:val="lowerLetter"/>
      <w:lvlText w:val="%8."/>
      <w:lvlJc w:val="left"/>
      <w:pPr>
        <w:tabs>
          <w:tab w:val="num" w:pos="4689"/>
        </w:tabs>
        <w:ind w:left="4689" w:hanging="360"/>
      </w:pPr>
    </w:lvl>
    <w:lvl w:ilvl="8" w:tplc="0409001B">
      <w:start w:val="1"/>
      <w:numFmt w:val="lowerRoman"/>
      <w:lvlText w:val="%9."/>
      <w:lvlJc w:val="right"/>
      <w:pPr>
        <w:tabs>
          <w:tab w:val="num" w:pos="5409"/>
        </w:tabs>
        <w:ind w:left="5409" w:hanging="180"/>
      </w:pPr>
    </w:lvl>
  </w:abstractNum>
  <w:abstractNum w:abstractNumId="8">
    <w:nsid w:val="39DF6FC7"/>
    <w:multiLevelType w:val="hybridMultilevel"/>
    <w:tmpl w:val="E5080792"/>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3E4223AB"/>
    <w:multiLevelType w:val="hybridMultilevel"/>
    <w:tmpl w:val="1CBE17D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3F9E5D78"/>
    <w:multiLevelType w:val="hybridMultilevel"/>
    <w:tmpl w:val="0A5EF260"/>
    <w:lvl w:ilvl="0" w:tplc="14090001">
      <w:start w:val="1"/>
      <w:numFmt w:val="bullet"/>
      <w:lvlText w:val=""/>
      <w:lvlJc w:val="left"/>
      <w:pPr>
        <w:ind w:left="1353" w:hanging="360"/>
      </w:pPr>
      <w:rPr>
        <w:rFonts w:ascii="Symbol" w:hAnsi="Symbol" w:hint="default"/>
      </w:rPr>
    </w:lvl>
    <w:lvl w:ilvl="1" w:tplc="14090003" w:tentative="1">
      <w:start w:val="1"/>
      <w:numFmt w:val="bullet"/>
      <w:lvlText w:val="o"/>
      <w:lvlJc w:val="left"/>
      <w:pPr>
        <w:ind w:left="2073" w:hanging="360"/>
      </w:pPr>
      <w:rPr>
        <w:rFonts w:ascii="Courier New" w:hAnsi="Courier New" w:cs="Courier New" w:hint="default"/>
      </w:rPr>
    </w:lvl>
    <w:lvl w:ilvl="2" w:tplc="14090005" w:tentative="1">
      <w:start w:val="1"/>
      <w:numFmt w:val="bullet"/>
      <w:lvlText w:val=""/>
      <w:lvlJc w:val="left"/>
      <w:pPr>
        <w:ind w:left="2793" w:hanging="360"/>
      </w:pPr>
      <w:rPr>
        <w:rFonts w:ascii="Wingdings" w:hAnsi="Wingdings" w:hint="default"/>
      </w:rPr>
    </w:lvl>
    <w:lvl w:ilvl="3" w:tplc="14090001" w:tentative="1">
      <w:start w:val="1"/>
      <w:numFmt w:val="bullet"/>
      <w:lvlText w:val=""/>
      <w:lvlJc w:val="left"/>
      <w:pPr>
        <w:ind w:left="3513" w:hanging="360"/>
      </w:pPr>
      <w:rPr>
        <w:rFonts w:ascii="Symbol" w:hAnsi="Symbol" w:hint="default"/>
      </w:rPr>
    </w:lvl>
    <w:lvl w:ilvl="4" w:tplc="14090003" w:tentative="1">
      <w:start w:val="1"/>
      <w:numFmt w:val="bullet"/>
      <w:lvlText w:val="o"/>
      <w:lvlJc w:val="left"/>
      <w:pPr>
        <w:ind w:left="4233" w:hanging="360"/>
      </w:pPr>
      <w:rPr>
        <w:rFonts w:ascii="Courier New" w:hAnsi="Courier New" w:cs="Courier New" w:hint="default"/>
      </w:rPr>
    </w:lvl>
    <w:lvl w:ilvl="5" w:tplc="14090005" w:tentative="1">
      <w:start w:val="1"/>
      <w:numFmt w:val="bullet"/>
      <w:lvlText w:val=""/>
      <w:lvlJc w:val="left"/>
      <w:pPr>
        <w:ind w:left="4953" w:hanging="360"/>
      </w:pPr>
      <w:rPr>
        <w:rFonts w:ascii="Wingdings" w:hAnsi="Wingdings" w:hint="default"/>
      </w:rPr>
    </w:lvl>
    <w:lvl w:ilvl="6" w:tplc="14090001" w:tentative="1">
      <w:start w:val="1"/>
      <w:numFmt w:val="bullet"/>
      <w:lvlText w:val=""/>
      <w:lvlJc w:val="left"/>
      <w:pPr>
        <w:ind w:left="5673" w:hanging="360"/>
      </w:pPr>
      <w:rPr>
        <w:rFonts w:ascii="Symbol" w:hAnsi="Symbol" w:hint="default"/>
      </w:rPr>
    </w:lvl>
    <w:lvl w:ilvl="7" w:tplc="14090003" w:tentative="1">
      <w:start w:val="1"/>
      <w:numFmt w:val="bullet"/>
      <w:lvlText w:val="o"/>
      <w:lvlJc w:val="left"/>
      <w:pPr>
        <w:ind w:left="6393" w:hanging="360"/>
      </w:pPr>
      <w:rPr>
        <w:rFonts w:ascii="Courier New" w:hAnsi="Courier New" w:cs="Courier New" w:hint="default"/>
      </w:rPr>
    </w:lvl>
    <w:lvl w:ilvl="8" w:tplc="14090005" w:tentative="1">
      <w:start w:val="1"/>
      <w:numFmt w:val="bullet"/>
      <w:lvlText w:val=""/>
      <w:lvlJc w:val="left"/>
      <w:pPr>
        <w:ind w:left="7113" w:hanging="360"/>
      </w:pPr>
      <w:rPr>
        <w:rFonts w:ascii="Wingdings" w:hAnsi="Wingdings" w:hint="default"/>
      </w:rPr>
    </w:lvl>
  </w:abstractNum>
  <w:abstractNum w:abstractNumId="11">
    <w:nsid w:val="45DA7F69"/>
    <w:multiLevelType w:val="hybridMultilevel"/>
    <w:tmpl w:val="5AFC122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2">
    <w:nsid w:val="471C4D43"/>
    <w:multiLevelType w:val="hybridMultilevel"/>
    <w:tmpl w:val="8D268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E514305"/>
    <w:multiLevelType w:val="hybridMultilevel"/>
    <w:tmpl w:val="A7DAC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27B793B"/>
    <w:multiLevelType w:val="hybridMultilevel"/>
    <w:tmpl w:val="53B24384"/>
    <w:lvl w:ilvl="0" w:tplc="0409000F">
      <w:start w:val="1"/>
      <w:numFmt w:val="decimal"/>
      <w:lvlText w:val="%1."/>
      <w:lvlJc w:val="left"/>
      <w:pPr>
        <w:tabs>
          <w:tab w:val="num" w:pos="720"/>
        </w:tabs>
        <w:ind w:left="720" w:hanging="360"/>
      </w:pPr>
    </w:lvl>
    <w:lvl w:ilvl="1" w:tplc="174C25D0">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9C37A2"/>
    <w:multiLevelType w:val="hybridMultilevel"/>
    <w:tmpl w:val="0F5C9A34"/>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nsid w:val="562219B7"/>
    <w:multiLevelType w:val="hybridMultilevel"/>
    <w:tmpl w:val="A8983C8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nsid w:val="589A4D6D"/>
    <w:multiLevelType w:val="hybridMultilevel"/>
    <w:tmpl w:val="6E68F8FA"/>
    <w:lvl w:ilvl="0" w:tplc="1409000F">
      <w:start w:val="1"/>
      <w:numFmt w:val="decimal"/>
      <w:lvlText w:val="%1."/>
      <w:lvlJc w:val="left"/>
      <w:pPr>
        <w:ind w:left="366" w:hanging="360"/>
      </w:pPr>
    </w:lvl>
    <w:lvl w:ilvl="1" w:tplc="14090019" w:tentative="1">
      <w:start w:val="1"/>
      <w:numFmt w:val="lowerLetter"/>
      <w:lvlText w:val="%2."/>
      <w:lvlJc w:val="left"/>
      <w:pPr>
        <w:ind w:left="1086" w:hanging="360"/>
      </w:pPr>
    </w:lvl>
    <w:lvl w:ilvl="2" w:tplc="1409001B" w:tentative="1">
      <w:start w:val="1"/>
      <w:numFmt w:val="lowerRoman"/>
      <w:lvlText w:val="%3."/>
      <w:lvlJc w:val="right"/>
      <w:pPr>
        <w:ind w:left="1806" w:hanging="180"/>
      </w:pPr>
    </w:lvl>
    <w:lvl w:ilvl="3" w:tplc="1409000F" w:tentative="1">
      <w:start w:val="1"/>
      <w:numFmt w:val="decimal"/>
      <w:lvlText w:val="%4."/>
      <w:lvlJc w:val="left"/>
      <w:pPr>
        <w:ind w:left="2526" w:hanging="360"/>
      </w:pPr>
    </w:lvl>
    <w:lvl w:ilvl="4" w:tplc="14090019" w:tentative="1">
      <w:start w:val="1"/>
      <w:numFmt w:val="lowerLetter"/>
      <w:lvlText w:val="%5."/>
      <w:lvlJc w:val="left"/>
      <w:pPr>
        <w:ind w:left="3246" w:hanging="360"/>
      </w:pPr>
    </w:lvl>
    <w:lvl w:ilvl="5" w:tplc="1409001B" w:tentative="1">
      <w:start w:val="1"/>
      <w:numFmt w:val="lowerRoman"/>
      <w:lvlText w:val="%6."/>
      <w:lvlJc w:val="right"/>
      <w:pPr>
        <w:ind w:left="3966" w:hanging="180"/>
      </w:pPr>
    </w:lvl>
    <w:lvl w:ilvl="6" w:tplc="1409000F" w:tentative="1">
      <w:start w:val="1"/>
      <w:numFmt w:val="decimal"/>
      <w:lvlText w:val="%7."/>
      <w:lvlJc w:val="left"/>
      <w:pPr>
        <w:ind w:left="4686" w:hanging="360"/>
      </w:pPr>
    </w:lvl>
    <w:lvl w:ilvl="7" w:tplc="14090019" w:tentative="1">
      <w:start w:val="1"/>
      <w:numFmt w:val="lowerLetter"/>
      <w:lvlText w:val="%8."/>
      <w:lvlJc w:val="left"/>
      <w:pPr>
        <w:ind w:left="5406" w:hanging="360"/>
      </w:pPr>
    </w:lvl>
    <w:lvl w:ilvl="8" w:tplc="1409001B" w:tentative="1">
      <w:start w:val="1"/>
      <w:numFmt w:val="lowerRoman"/>
      <w:lvlText w:val="%9."/>
      <w:lvlJc w:val="right"/>
      <w:pPr>
        <w:ind w:left="6126" w:hanging="180"/>
      </w:pPr>
    </w:lvl>
  </w:abstractNum>
  <w:abstractNum w:abstractNumId="18">
    <w:nsid w:val="5D194CB2"/>
    <w:multiLevelType w:val="hybridMultilevel"/>
    <w:tmpl w:val="6F0CA44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nsid w:val="5FD82D7B"/>
    <w:multiLevelType w:val="hybridMultilevel"/>
    <w:tmpl w:val="1C88C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04A3065"/>
    <w:multiLevelType w:val="hybridMultilevel"/>
    <w:tmpl w:val="8F38EE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608B0922"/>
    <w:multiLevelType w:val="hybridMultilevel"/>
    <w:tmpl w:val="FA1E192C"/>
    <w:lvl w:ilvl="0" w:tplc="0C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2">
    <w:nsid w:val="644A2AE5"/>
    <w:multiLevelType w:val="multilevel"/>
    <w:tmpl w:val="F496A57E"/>
    <w:lvl w:ilvl="0">
      <w:start w:val="1"/>
      <w:numFmt w:val="decimal"/>
      <w:pStyle w:val="Majorsubheading"/>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651D4608"/>
    <w:multiLevelType w:val="hybridMultilevel"/>
    <w:tmpl w:val="AD066DD0"/>
    <w:lvl w:ilvl="0" w:tplc="174C25D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5C5788"/>
    <w:multiLevelType w:val="hybridMultilevel"/>
    <w:tmpl w:val="7DAA6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C2D5120"/>
    <w:multiLevelType w:val="hybridMultilevel"/>
    <w:tmpl w:val="E96A4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C4E3CB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403302"/>
    <w:multiLevelType w:val="hybridMultilevel"/>
    <w:tmpl w:val="2F0085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F752D16"/>
    <w:multiLevelType w:val="hybridMultilevel"/>
    <w:tmpl w:val="A754CA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B72141C"/>
    <w:multiLevelType w:val="hybridMultilevel"/>
    <w:tmpl w:val="762838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5"/>
  </w:num>
  <w:num w:numId="2">
    <w:abstractNumId w:val="22"/>
  </w:num>
  <w:num w:numId="3">
    <w:abstractNumId w:val="14"/>
  </w:num>
  <w:num w:numId="4">
    <w:abstractNumId w:val="23"/>
  </w:num>
  <w:num w:numId="5">
    <w:abstractNumId w:val="6"/>
  </w:num>
  <w:num w:numId="6">
    <w:abstractNumId w:val="22"/>
  </w:num>
  <w:num w:numId="7">
    <w:abstractNumId w:val="28"/>
  </w:num>
  <w:num w:numId="8">
    <w:abstractNumId w:val="29"/>
  </w:num>
  <w:num w:numId="9">
    <w:abstractNumId w:val="2"/>
  </w:num>
  <w:num w:numId="10">
    <w:abstractNumId w:val="20"/>
  </w:num>
  <w:num w:numId="11">
    <w:abstractNumId w:val="0"/>
  </w:num>
  <w:num w:numId="12">
    <w:abstractNumId w:val="26"/>
  </w:num>
  <w:num w:numId="13">
    <w:abstractNumId w:val="21"/>
  </w:num>
  <w:num w:numId="14">
    <w:abstractNumId w:val="17"/>
  </w:num>
  <w:num w:numId="15">
    <w:abstractNumId w:val="27"/>
  </w:num>
  <w:num w:numId="16">
    <w:abstractNumId w:val="3"/>
  </w:num>
  <w:num w:numId="17">
    <w:abstractNumId w:val="5"/>
  </w:num>
  <w:num w:numId="18">
    <w:abstractNumId w:val="10"/>
  </w:num>
  <w:num w:numId="19">
    <w:abstractNumId w:val="11"/>
  </w:num>
  <w:num w:numId="20">
    <w:abstractNumId w:val="9"/>
  </w:num>
  <w:num w:numId="21">
    <w:abstractNumId w:val="18"/>
  </w:num>
  <w:num w:numId="22">
    <w:abstractNumId w:val="4"/>
  </w:num>
  <w:num w:numId="23">
    <w:abstractNumId w:val="25"/>
  </w:num>
  <w:num w:numId="24">
    <w:abstractNumId w:val="12"/>
  </w:num>
  <w:num w:numId="25">
    <w:abstractNumId w:val="24"/>
  </w:num>
  <w:num w:numId="26">
    <w:abstractNumId w:val="13"/>
  </w:num>
  <w:num w:numId="27">
    <w:abstractNumId w:val="8"/>
  </w:num>
  <w:num w:numId="28">
    <w:abstractNumId w:val="19"/>
  </w:num>
  <w:num w:numId="29">
    <w:abstractNumId w:val="1"/>
  </w:num>
  <w:num w:numId="3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20"/>
    <w:rsid w:val="00000AF4"/>
    <w:rsid w:val="0000393B"/>
    <w:rsid w:val="00006A21"/>
    <w:rsid w:val="00007D29"/>
    <w:rsid w:val="000107C3"/>
    <w:rsid w:val="00022B34"/>
    <w:rsid w:val="000252D5"/>
    <w:rsid w:val="00041A15"/>
    <w:rsid w:val="00042182"/>
    <w:rsid w:val="00051592"/>
    <w:rsid w:val="00053B72"/>
    <w:rsid w:val="0006004F"/>
    <w:rsid w:val="000722F0"/>
    <w:rsid w:val="00094BF9"/>
    <w:rsid w:val="000A5307"/>
    <w:rsid w:val="000C0737"/>
    <w:rsid w:val="000C2B2F"/>
    <w:rsid w:val="000C4302"/>
    <w:rsid w:val="000D7AD6"/>
    <w:rsid w:val="000E3E3D"/>
    <w:rsid w:val="000F4320"/>
    <w:rsid w:val="001122B6"/>
    <w:rsid w:val="00116126"/>
    <w:rsid w:val="00151E9B"/>
    <w:rsid w:val="001540C4"/>
    <w:rsid w:val="00161BB0"/>
    <w:rsid w:val="00164DD6"/>
    <w:rsid w:val="00167F7B"/>
    <w:rsid w:val="001727B8"/>
    <w:rsid w:val="00190ED0"/>
    <w:rsid w:val="001A02B3"/>
    <w:rsid w:val="001A21BC"/>
    <w:rsid w:val="001C535F"/>
    <w:rsid w:val="001D4F3A"/>
    <w:rsid w:val="001E3EB5"/>
    <w:rsid w:val="001F2EFA"/>
    <w:rsid w:val="001F45A9"/>
    <w:rsid w:val="002016DF"/>
    <w:rsid w:val="002337A1"/>
    <w:rsid w:val="00234D9F"/>
    <w:rsid w:val="00236278"/>
    <w:rsid w:val="00257B9B"/>
    <w:rsid w:val="00270471"/>
    <w:rsid w:val="002821F9"/>
    <w:rsid w:val="00285328"/>
    <w:rsid w:val="002A0DDE"/>
    <w:rsid w:val="002A2C87"/>
    <w:rsid w:val="002D31F3"/>
    <w:rsid w:val="002D6B15"/>
    <w:rsid w:val="002E2C06"/>
    <w:rsid w:val="002F35AE"/>
    <w:rsid w:val="00307393"/>
    <w:rsid w:val="00315502"/>
    <w:rsid w:val="003165E0"/>
    <w:rsid w:val="0032595A"/>
    <w:rsid w:val="0034138D"/>
    <w:rsid w:val="00391A20"/>
    <w:rsid w:val="00394D17"/>
    <w:rsid w:val="003D604E"/>
    <w:rsid w:val="003E5A39"/>
    <w:rsid w:val="00403340"/>
    <w:rsid w:val="00410450"/>
    <w:rsid w:val="00417458"/>
    <w:rsid w:val="0042360F"/>
    <w:rsid w:val="00426476"/>
    <w:rsid w:val="004770EF"/>
    <w:rsid w:val="00477407"/>
    <w:rsid w:val="004821FA"/>
    <w:rsid w:val="0048360E"/>
    <w:rsid w:val="00495690"/>
    <w:rsid w:val="004958CE"/>
    <w:rsid w:val="004A278D"/>
    <w:rsid w:val="004C09A4"/>
    <w:rsid w:val="004F79C3"/>
    <w:rsid w:val="00510517"/>
    <w:rsid w:val="00511F21"/>
    <w:rsid w:val="005149FE"/>
    <w:rsid w:val="00535D67"/>
    <w:rsid w:val="00543919"/>
    <w:rsid w:val="00545921"/>
    <w:rsid w:val="005549E1"/>
    <w:rsid w:val="0057710C"/>
    <w:rsid w:val="005809F0"/>
    <w:rsid w:val="005B4C13"/>
    <w:rsid w:val="005B7522"/>
    <w:rsid w:val="005D0B54"/>
    <w:rsid w:val="005D2965"/>
    <w:rsid w:val="00606424"/>
    <w:rsid w:val="006413B6"/>
    <w:rsid w:val="00683AFB"/>
    <w:rsid w:val="006A42B2"/>
    <w:rsid w:val="006A4498"/>
    <w:rsid w:val="006A5FD7"/>
    <w:rsid w:val="006A646F"/>
    <w:rsid w:val="006E2B5B"/>
    <w:rsid w:val="006E556A"/>
    <w:rsid w:val="00705FE5"/>
    <w:rsid w:val="00712F38"/>
    <w:rsid w:val="00717D94"/>
    <w:rsid w:val="007250F2"/>
    <w:rsid w:val="00731184"/>
    <w:rsid w:val="00732071"/>
    <w:rsid w:val="00734538"/>
    <w:rsid w:val="00780788"/>
    <w:rsid w:val="007A76D1"/>
    <w:rsid w:val="007C1C6E"/>
    <w:rsid w:val="007D1239"/>
    <w:rsid w:val="007D72B9"/>
    <w:rsid w:val="0080247A"/>
    <w:rsid w:val="0082023D"/>
    <w:rsid w:val="00821C5A"/>
    <w:rsid w:val="00824C02"/>
    <w:rsid w:val="00834266"/>
    <w:rsid w:val="0083679A"/>
    <w:rsid w:val="008A36E3"/>
    <w:rsid w:val="008B3237"/>
    <w:rsid w:val="008B43DB"/>
    <w:rsid w:val="008C1177"/>
    <w:rsid w:val="008C5470"/>
    <w:rsid w:val="008E5A86"/>
    <w:rsid w:val="008E7A0E"/>
    <w:rsid w:val="008F5D1E"/>
    <w:rsid w:val="0091352D"/>
    <w:rsid w:val="0091620B"/>
    <w:rsid w:val="00960CD8"/>
    <w:rsid w:val="00975C64"/>
    <w:rsid w:val="00991628"/>
    <w:rsid w:val="009924B5"/>
    <w:rsid w:val="009A43B8"/>
    <w:rsid w:val="009B4630"/>
    <w:rsid w:val="009B5907"/>
    <w:rsid w:val="009C10BB"/>
    <w:rsid w:val="009C2AF2"/>
    <w:rsid w:val="009D2BF1"/>
    <w:rsid w:val="009E031E"/>
    <w:rsid w:val="009E2993"/>
    <w:rsid w:val="009E52D9"/>
    <w:rsid w:val="009E7711"/>
    <w:rsid w:val="00A00549"/>
    <w:rsid w:val="00A155E3"/>
    <w:rsid w:val="00A30F94"/>
    <w:rsid w:val="00A52B6E"/>
    <w:rsid w:val="00A56624"/>
    <w:rsid w:val="00A65BCA"/>
    <w:rsid w:val="00A67097"/>
    <w:rsid w:val="00A73A22"/>
    <w:rsid w:val="00A756FA"/>
    <w:rsid w:val="00A767B9"/>
    <w:rsid w:val="00A874E9"/>
    <w:rsid w:val="00AA17A9"/>
    <w:rsid w:val="00AD06D5"/>
    <w:rsid w:val="00AD1738"/>
    <w:rsid w:val="00AD1F6A"/>
    <w:rsid w:val="00AD7E6F"/>
    <w:rsid w:val="00AF3DA4"/>
    <w:rsid w:val="00B01D43"/>
    <w:rsid w:val="00B13C9F"/>
    <w:rsid w:val="00B143D4"/>
    <w:rsid w:val="00B16603"/>
    <w:rsid w:val="00B16B58"/>
    <w:rsid w:val="00B175BF"/>
    <w:rsid w:val="00B220C8"/>
    <w:rsid w:val="00B275F8"/>
    <w:rsid w:val="00B322A2"/>
    <w:rsid w:val="00B56C2E"/>
    <w:rsid w:val="00B57D89"/>
    <w:rsid w:val="00B674B2"/>
    <w:rsid w:val="00B718D4"/>
    <w:rsid w:val="00B8102E"/>
    <w:rsid w:val="00B95874"/>
    <w:rsid w:val="00BA2491"/>
    <w:rsid w:val="00BC53B2"/>
    <w:rsid w:val="00BE4AAB"/>
    <w:rsid w:val="00BE513E"/>
    <w:rsid w:val="00BF0E88"/>
    <w:rsid w:val="00BF2B2B"/>
    <w:rsid w:val="00BF3072"/>
    <w:rsid w:val="00BF551A"/>
    <w:rsid w:val="00C1751D"/>
    <w:rsid w:val="00C20961"/>
    <w:rsid w:val="00C34158"/>
    <w:rsid w:val="00C433CB"/>
    <w:rsid w:val="00C52F44"/>
    <w:rsid w:val="00C95A7F"/>
    <w:rsid w:val="00CA04CA"/>
    <w:rsid w:val="00CB3A9B"/>
    <w:rsid w:val="00CB4187"/>
    <w:rsid w:val="00D069BB"/>
    <w:rsid w:val="00D11367"/>
    <w:rsid w:val="00D3094F"/>
    <w:rsid w:val="00D37B5E"/>
    <w:rsid w:val="00D45B3C"/>
    <w:rsid w:val="00D46A1E"/>
    <w:rsid w:val="00D625CD"/>
    <w:rsid w:val="00D661FA"/>
    <w:rsid w:val="00D73366"/>
    <w:rsid w:val="00D75F6D"/>
    <w:rsid w:val="00D94CDB"/>
    <w:rsid w:val="00D95711"/>
    <w:rsid w:val="00DA645A"/>
    <w:rsid w:val="00DA714A"/>
    <w:rsid w:val="00DC59FD"/>
    <w:rsid w:val="00DD018D"/>
    <w:rsid w:val="00DE6383"/>
    <w:rsid w:val="00DF6D05"/>
    <w:rsid w:val="00E24B61"/>
    <w:rsid w:val="00E367CA"/>
    <w:rsid w:val="00E4729D"/>
    <w:rsid w:val="00E6363F"/>
    <w:rsid w:val="00E7343B"/>
    <w:rsid w:val="00E84E9F"/>
    <w:rsid w:val="00E84F22"/>
    <w:rsid w:val="00E859B6"/>
    <w:rsid w:val="00EA1A0A"/>
    <w:rsid w:val="00EA39FC"/>
    <w:rsid w:val="00EB03D4"/>
    <w:rsid w:val="00EE5F54"/>
    <w:rsid w:val="00EE6147"/>
    <w:rsid w:val="00EF710B"/>
    <w:rsid w:val="00EF77EB"/>
    <w:rsid w:val="00F012F4"/>
    <w:rsid w:val="00F150DA"/>
    <w:rsid w:val="00F15D62"/>
    <w:rsid w:val="00F1739C"/>
    <w:rsid w:val="00F221E7"/>
    <w:rsid w:val="00F2650F"/>
    <w:rsid w:val="00F628EB"/>
    <w:rsid w:val="00F67971"/>
    <w:rsid w:val="00F803A0"/>
    <w:rsid w:val="00F90507"/>
    <w:rsid w:val="00FB195B"/>
    <w:rsid w:val="00FD59E5"/>
    <w:rsid w:val="00FF31E5"/>
    <w:rsid w:val="00FF4C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A21"/>
    <w:pPr>
      <w:spacing w:after="120" w:line="240" w:lineRule="auto"/>
    </w:pPr>
    <w:rPr>
      <w:rFonts w:ascii="Arial" w:eastAsia="Times New Roman" w:hAnsi="Arial" w:cs="Times New Roman"/>
      <w:szCs w:val="24"/>
      <w:lang w:val="en-AU"/>
    </w:rPr>
  </w:style>
  <w:style w:type="paragraph" w:styleId="Heading1">
    <w:name w:val="heading 1"/>
    <w:basedOn w:val="Normal"/>
    <w:next w:val="Normal"/>
    <w:link w:val="Heading1Char"/>
    <w:uiPriority w:val="9"/>
    <w:qFormat/>
    <w:rsid w:val="009A43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09A4"/>
    <w:pPr>
      <w:ind w:left="720"/>
      <w:contextualSpacing/>
    </w:pPr>
  </w:style>
  <w:style w:type="paragraph" w:styleId="FootnoteText">
    <w:name w:val="footnote text"/>
    <w:basedOn w:val="Normal"/>
    <w:link w:val="FootnoteTextChar"/>
    <w:semiHidden/>
    <w:rsid w:val="004C09A4"/>
    <w:rPr>
      <w:sz w:val="20"/>
      <w:szCs w:val="20"/>
      <w:lang w:val="en-US"/>
    </w:rPr>
  </w:style>
  <w:style w:type="character" w:customStyle="1" w:styleId="FootnoteTextChar">
    <w:name w:val="Footnote Text Char"/>
    <w:basedOn w:val="DefaultParagraphFont"/>
    <w:link w:val="FootnoteText"/>
    <w:semiHidden/>
    <w:rsid w:val="004C09A4"/>
    <w:rPr>
      <w:rFonts w:ascii="Times New Roman" w:eastAsia="Times New Roman" w:hAnsi="Times New Roman" w:cs="Times New Roman"/>
      <w:sz w:val="20"/>
      <w:szCs w:val="20"/>
      <w:lang w:val="en-US"/>
    </w:rPr>
  </w:style>
  <w:style w:type="character" w:styleId="FootnoteReference">
    <w:name w:val="footnote reference"/>
    <w:semiHidden/>
    <w:rsid w:val="004C09A4"/>
    <w:rPr>
      <w:vertAlign w:val="superscript"/>
    </w:rPr>
  </w:style>
  <w:style w:type="character" w:customStyle="1" w:styleId="Heading1Char">
    <w:name w:val="Heading 1 Char"/>
    <w:basedOn w:val="DefaultParagraphFont"/>
    <w:link w:val="Heading1"/>
    <w:uiPriority w:val="9"/>
    <w:rsid w:val="009A43B8"/>
    <w:rPr>
      <w:rFonts w:asciiTheme="majorHAnsi" w:eastAsiaTheme="majorEastAsia" w:hAnsiTheme="majorHAnsi" w:cstheme="majorBidi"/>
      <w:b/>
      <w:bCs/>
      <w:color w:val="365F91" w:themeColor="accent1" w:themeShade="BF"/>
      <w:sz w:val="28"/>
      <w:szCs w:val="28"/>
      <w:lang w:val="en-AU"/>
    </w:rPr>
  </w:style>
  <w:style w:type="paragraph" w:customStyle="1" w:styleId="Majorsubheading">
    <w:name w:val="Major subheading"/>
    <w:basedOn w:val="ListParagraph"/>
    <w:link w:val="MajorsubheadingChar"/>
    <w:qFormat/>
    <w:rsid w:val="009A43B8"/>
    <w:pPr>
      <w:keepNext/>
      <w:numPr>
        <w:numId w:val="2"/>
      </w:numPr>
      <w:outlineLvl w:val="0"/>
    </w:pPr>
    <w:rPr>
      <w:rFonts w:cs="Arial Bold"/>
      <w:b/>
      <w:bCs/>
      <w:caps/>
      <w:color w:val="336699"/>
      <w:kern w:val="32"/>
      <w:sz w:val="36"/>
      <w:szCs w:val="32"/>
    </w:rPr>
  </w:style>
  <w:style w:type="paragraph" w:styleId="BalloonText">
    <w:name w:val="Balloon Text"/>
    <w:basedOn w:val="Normal"/>
    <w:link w:val="BalloonTextChar"/>
    <w:uiPriority w:val="99"/>
    <w:semiHidden/>
    <w:unhideWhenUsed/>
    <w:rsid w:val="009A43B8"/>
    <w:rPr>
      <w:rFonts w:ascii="Tahoma" w:hAnsi="Tahoma" w:cs="Tahoma"/>
      <w:sz w:val="16"/>
      <w:szCs w:val="16"/>
    </w:rPr>
  </w:style>
  <w:style w:type="character" w:customStyle="1" w:styleId="ListParagraphChar">
    <w:name w:val="List Paragraph Char"/>
    <w:basedOn w:val="DefaultParagraphFont"/>
    <w:link w:val="ListParagraph"/>
    <w:uiPriority w:val="34"/>
    <w:rsid w:val="009A43B8"/>
    <w:rPr>
      <w:rFonts w:ascii="Times New Roman" w:eastAsia="Times New Roman" w:hAnsi="Times New Roman" w:cs="Times New Roman"/>
      <w:sz w:val="24"/>
      <w:szCs w:val="24"/>
      <w:lang w:val="en-AU"/>
    </w:rPr>
  </w:style>
  <w:style w:type="character" w:customStyle="1" w:styleId="MajorsubheadingChar">
    <w:name w:val="Major subheading Char"/>
    <w:basedOn w:val="ListParagraphChar"/>
    <w:link w:val="Majorsubheading"/>
    <w:rsid w:val="009A43B8"/>
    <w:rPr>
      <w:rFonts w:ascii="Arial" w:eastAsia="Times New Roman" w:hAnsi="Arial" w:cs="Arial Bold"/>
      <w:b/>
      <w:bCs/>
      <w:caps/>
      <w:color w:val="336699"/>
      <w:kern w:val="32"/>
      <w:sz w:val="36"/>
      <w:szCs w:val="32"/>
      <w:lang w:val="en-AU"/>
    </w:rPr>
  </w:style>
  <w:style w:type="character" w:customStyle="1" w:styleId="BalloonTextChar">
    <w:name w:val="Balloon Text Char"/>
    <w:basedOn w:val="DefaultParagraphFont"/>
    <w:link w:val="BalloonText"/>
    <w:uiPriority w:val="99"/>
    <w:semiHidden/>
    <w:rsid w:val="009A43B8"/>
    <w:rPr>
      <w:rFonts w:ascii="Tahoma" w:eastAsia="Times New Roman" w:hAnsi="Tahoma" w:cs="Tahoma"/>
      <w:sz w:val="16"/>
      <w:szCs w:val="16"/>
      <w:lang w:val="en-AU"/>
    </w:rPr>
  </w:style>
  <w:style w:type="paragraph" w:customStyle="1" w:styleId="Suheading2">
    <w:name w:val="Suheading 2"/>
    <w:basedOn w:val="Normal"/>
    <w:link w:val="Suheading2Char"/>
    <w:qFormat/>
    <w:rsid w:val="00D73366"/>
    <w:rPr>
      <w:rFonts w:eastAsiaTheme="minorHAnsi" w:cs="Arial"/>
      <w:b/>
      <w:color w:val="1F497D" w:themeColor="text2"/>
      <w:szCs w:val="22"/>
    </w:rPr>
  </w:style>
  <w:style w:type="character" w:customStyle="1" w:styleId="Suheading2Char">
    <w:name w:val="Suheading 2 Char"/>
    <w:basedOn w:val="DefaultParagraphFont"/>
    <w:link w:val="Suheading2"/>
    <w:rsid w:val="00D73366"/>
    <w:rPr>
      <w:rFonts w:ascii="Arial" w:hAnsi="Arial" w:cs="Arial"/>
      <w:b/>
      <w:color w:val="1F497D" w:themeColor="text2"/>
      <w:lang w:val="en-AU"/>
    </w:rPr>
  </w:style>
  <w:style w:type="paragraph" w:styleId="NoSpacing">
    <w:name w:val="No Spacing"/>
    <w:uiPriority w:val="1"/>
    <w:qFormat/>
    <w:rsid w:val="00F221E7"/>
    <w:pPr>
      <w:spacing w:after="0" w:line="240" w:lineRule="auto"/>
    </w:pPr>
    <w:rPr>
      <w:rFonts w:ascii="Arial" w:eastAsia="Times New Roman" w:hAnsi="Arial" w:cs="Times New Roman"/>
      <w:szCs w:val="24"/>
      <w:lang w:val="en-AU"/>
    </w:rPr>
  </w:style>
  <w:style w:type="paragraph" w:styleId="Header">
    <w:name w:val="header"/>
    <w:basedOn w:val="Normal"/>
    <w:link w:val="HeaderChar"/>
    <w:uiPriority w:val="99"/>
    <w:unhideWhenUsed/>
    <w:rsid w:val="00B175BF"/>
    <w:pPr>
      <w:tabs>
        <w:tab w:val="center" w:pos="4513"/>
        <w:tab w:val="right" w:pos="9026"/>
      </w:tabs>
      <w:spacing w:after="0"/>
    </w:pPr>
  </w:style>
  <w:style w:type="character" w:customStyle="1" w:styleId="HeaderChar">
    <w:name w:val="Header Char"/>
    <w:basedOn w:val="DefaultParagraphFont"/>
    <w:link w:val="Header"/>
    <w:uiPriority w:val="99"/>
    <w:rsid w:val="00B175BF"/>
    <w:rPr>
      <w:rFonts w:ascii="Arial" w:eastAsia="Times New Roman" w:hAnsi="Arial" w:cs="Times New Roman"/>
      <w:szCs w:val="24"/>
      <w:lang w:val="en-AU"/>
    </w:rPr>
  </w:style>
  <w:style w:type="paragraph" w:styleId="Footer">
    <w:name w:val="footer"/>
    <w:basedOn w:val="Normal"/>
    <w:link w:val="FooterChar"/>
    <w:uiPriority w:val="99"/>
    <w:unhideWhenUsed/>
    <w:rsid w:val="00B175BF"/>
    <w:pPr>
      <w:tabs>
        <w:tab w:val="center" w:pos="4513"/>
        <w:tab w:val="right" w:pos="9026"/>
      </w:tabs>
      <w:spacing w:after="0"/>
    </w:pPr>
  </w:style>
  <w:style w:type="character" w:customStyle="1" w:styleId="FooterChar">
    <w:name w:val="Footer Char"/>
    <w:basedOn w:val="DefaultParagraphFont"/>
    <w:link w:val="Footer"/>
    <w:uiPriority w:val="99"/>
    <w:rsid w:val="00B175BF"/>
    <w:rPr>
      <w:rFonts w:ascii="Arial" w:eastAsia="Times New Roman" w:hAnsi="Arial" w:cs="Times New Roman"/>
      <w:szCs w:val="24"/>
      <w:lang w:val="en-AU"/>
    </w:rPr>
  </w:style>
  <w:style w:type="character" w:styleId="CommentReference">
    <w:name w:val="annotation reference"/>
    <w:basedOn w:val="DefaultParagraphFont"/>
    <w:uiPriority w:val="99"/>
    <w:semiHidden/>
    <w:unhideWhenUsed/>
    <w:rsid w:val="002D31F3"/>
    <w:rPr>
      <w:sz w:val="16"/>
      <w:szCs w:val="16"/>
    </w:rPr>
  </w:style>
  <w:style w:type="paragraph" w:styleId="CommentText">
    <w:name w:val="annotation text"/>
    <w:basedOn w:val="Normal"/>
    <w:link w:val="CommentTextChar"/>
    <w:uiPriority w:val="99"/>
    <w:semiHidden/>
    <w:unhideWhenUsed/>
    <w:rsid w:val="002D31F3"/>
    <w:rPr>
      <w:sz w:val="20"/>
      <w:szCs w:val="20"/>
    </w:rPr>
  </w:style>
  <w:style w:type="character" w:customStyle="1" w:styleId="CommentTextChar">
    <w:name w:val="Comment Text Char"/>
    <w:basedOn w:val="DefaultParagraphFont"/>
    <w:link w:val="CommentText"/>
    <w:uiPriority w:val="99"/>
    <w:semiHidden/>
    <w:rsid w:val="002D31F3"/>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2D31F3"/>
    <w:rPr>
      <w:b/>
      <w:bCs/>
    </w:rPr>
  </w:style>
  <w:style w:type="character" w:customStyle="1" w:styleId="CommentSubjectChar">
    <w:name w:val="Comment Subject Char"/>
    <w:basedOn w:val="CommentTextChar"/>
    <w:link w:val="CommentSubject"/>
    <w:uiPriority w:val="99"/>
    <w:semiHidden/>
    <w:rsid w:val="002D31F3"/>
    <w:rPr>
      <w:rFonts w:ascii="Arial" w:eastAsia="Times New Roman" w:hAnsi="Arial" w:cs="Times New Roman"/>
      <w:b/>
      <w:bCs/>
      <w:sz w:val="20"/>
      <w:szCs w:val="20"/>
      <w:lang w:val="en-AU"/>
    </w:rPr>
  </w:style>
  <w:style w:type="paragraph" w:customStyle="1" w:styleId="Default">
    <w:name w:val="Default"/>
    <w:rsid w:val="00116126"/>
    <w:pPr>
      <w:autoSpaceDE w:val="0"/>
      <w:autoSpaceDN w:val="0"/>
      <w:adjustRightInd w:val="0"/>
      <w:spacing w:after="0" w:line="240" w:lineRule="auto"/>
    </w:pPr>
    <w:rPr>
      <w:rFonts w:ascii="Arial" w:hAnsi="Arial" w:cs="Arial"/>
      <w:color w:val="000000"/>
      <w:sz w:val="24"/>
      <w:szCs w:val="24"/>
      <w:lang w:val="en-AU"/>
    </w:rPr>
  </w:style>
  <w:style w:type="table" w:styleId="TableGrid">
    <w:name w:val="Table Grid"/>
    <w:basedOn w:val="TableNormal"/>
    <w:uiPriority w:val="59"/>
    <w:rsid w:val="0011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50DA"/>
    <w:pPr>
      <w:spacing w:after="0" w:line="240" w:lineRule="auto"/>
    </w:pPr>
    <w:rPr>
      <w:rFonts w:ascii="Arial" w:eastAsia="Times New Roman" w:hAnsi="Arial" w:cs="Times New Roman"/>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A21"/>
    <w:pPr>
      <w:spacing w:after="120" w:line="240" w:lineRule="auto"/>
    </w:pPr>
    <w:rPr>
      <w:rFonts w:ascii="Arial" w:eastAsia="Times New Roman" w:hAnsi="Arial" w:cs="Times New Roman"/>
      <w:szCs w:val="24"/>
      <w:lang w:val="en-AU"/>
    </w:rPr>
  </w:style>
  <w:style w:type="paragraph" w:styleId="Heading1">
    <w:name w:val="heading 1"/>
    <w:basedOn w:val="Normal"/>
    <w:next w:val="Normal"/>
    <w:link w:val="Heading1Char"/>
    <w:uiPriority w:val="9"/>
    <w:qFormat/>
    <w:rsid w:val="009A43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09A4"/>
    <w:pPr>
      <w:ind w:left="720"/>
      <w:contextualSpacing/>
    </w:pPr>
  </w:style>
  <w:style w:type="paragraph" w:styleId="FootnoteText">
    <w:name w:val="footnote text"/>
    <w:basedOn w:val="Normal"/>
    <w:link w:val="FootnoteTextChar"/>
    <w:semiHidden/>
    <w:rsid w:val="004C09A4"/>
    <w:rPr>
      <w:sz w:val="20"/>
      <w:szCs w:val="20"/>
      <w:lang w:val="en-US"/>
    </w:rPr>
  </w:style>
  <w:style w:type="character" w:customStyle="1" w:styleId="FootnoteTextChar">
    <w:name w:val="Footnote Text Char"/>
    <w:basedOn w:val="DefaultParagraphFont"/>
    <w:link w:val="FootnoteText"/>
    <w:semiHidden/>
    <w:rsid w:val="004C09A4"/>
    <w:rPr>
      <w:rFonts w:ascii="Times New Roman" w:eastAsia="Times New Roman" w:hAnsi="Times New Roman" w:cs="Times New Roman"/>
      <w:sz w:val="20"/>
      <w:szCs w:val="20"/>
      <w:lang w:val="en-US"/>
    </w:rPr>
  </w:style>
  <w:style w:type="character" w:styleId="FootnoteReference">
    <w:name w:val="footnote reference"/>
    <w:semiHidden/>
    <w:rsid w:val="004C09A4"/>
    <w:rPr>
      <w:vertAlign w:val="superscript"/>
    </w:rPr>
  </w:style>
  <w:style w:type="character" w:customStyle="1" w:styleId="Heading1Char">
    <w:name w:val="Heading 1 Char"/>
    <w:basedOn w:val="DefaultParagraphFont"/>
    <w:link w:val="Heading1"/>
    <w:uiPriority w:val="9"/>
    <w:rsid w:val="009A43B8"/>
    <w:rPr>
      <w:rFonts w:asciiTheme="majorHAnsi" w:eastAsiaTheme="majorEastAsia" w:hAnsiTheme="majorHAnsi" w:cstheme="majorBidi"/>
      <w:b/>
      <w:bCs/>
      <w:color w:val="365F91" w:themeColor="accent1" w:themeShade="BF"/>
      <w:sz w:val="28"/>
      <w:szCs w:val="28"/>
      <w:lang w:val="en-AU"/>
    </w:rPr>
  </w:style>
  <w:style w:type="paragraph" w:customStyle="1" w:styleId="Majorsubheading">
    <w:name w:val="Major subheading"/>
    <w:basedOn w:val="ListParagraph"/>
    <w:link w:val="MajorsubheadingChar"/>
    <w:qFormat/>
    <w:rsid w:val="009A43B8"/>
    <w:pPr>
      <w:keepNext/>
      <w:numPr>
        <w:numId w:val="2"/>
      </w:numPr>
      <w:outlineLvl w:val="0"/>
    </w:pPr>
    <w:rPr>
      <w:rFonts w:cs="Arial Bold"/>
      <w:b/>
      <w:bCs/>
      <w:caps/>
      <w:color w:val="336699"/>
      <w:kern w:val="32"/>
      <w:sz w:val="36"/>
      <w:szCs w:val="32"/>
    </w:rPr>
  </w:style>
  <w:style w:type="paragraph" w:styleId="BalloonText">
    <w:name w:val="Balloon Text"/>
    <w:basedOn w:val="Normal"/>
    <w:link w:val="BalloonTextChar"/>
    <w:uiPriority w:val="99"/>
    <w:semiHidden/>
    <w:unhideWhenUsed/>
    <w:rsid w:val="009A43B8"/>
    <w:rPr>
      <w:rFonts w:ascii="Tahoma" w:hAnsi="Tahoma" w:cs="Tahoma"/>
      <w:sz w:val="16"/>
      <w:szCs w:val="16"/>
    </w:rPr>
  </w:style>
  <w:style w:type="character" w:customStyle="1" w:styleId="ListParagraphChar">
    <w:name w:val="List Paragraph Char"/>
    <w:basedOn w:val="DefaultParagraphFont"/>
    <w:link w:val="ListParagraph"/>
    <w:uiPriority w:val="34"/>
    <w:rsid w:val="009A43B8"/>
    <w:rPr>
      <w:rFonts w:ascii="Times New Roman" w:eastAsia="Times New Roman" w:hAnsi="Times New Roman" w:cs="Times New Roman"/>
      <w:sz w:val="24"/>
      <w:szCs w:val="24"/>
      <w:lang w:val="en-AU"/>
    </w:rPr>
  </w:style>
  <w:style w:type="character" w:customStyle="1" w:styleId="MajorsubheadingChar">
    <w:name w:val="Major subheading Char"/>
    <w:basedOn w:val="ListParagraphChar"/>
    <w:link w:val="Majorsubheading"/>
    <w:rsid w:val="009A43B8"/>
    <w:rPr>
      <w:rFonts w:ascii="Arial" w:eastAsia="Times New Roman" w:hAnsi="Arial" w:cs="Arial Bold"/>
      <w:b/>
      <w:bCs/>
      <w:caps/>
      <w:color w:val="336699"/>
      <w:kern w:val="32"/>
      <w:sz w:val="36"/>
      <w:szCs w:val="32"/>
      <w:lang w:val="en-AU"/>
    </w:rPr>
  </w:style>
  <w:style w:type="character" w:customStyle="1" w:styleId="BalloonTextChar">
    <w:name w:val="Balloon Text Char"/>
    <w:basedOn w:val="DefaultParagraphFont"/>
    <w:link w:val="BalloonText"/>
    <w:uiPriority w:val="99"/>
    <w:semiHidden/>
    <w:rsid w:val="009A43B8"/>
    <w:rPr>
      <w:rFonts w:ascii="Tahoma" w:eastAsia="Times New Roman" w:hAnsi="Tahoma" w:cs="Tahoma"/>
      <w:sz w:val="16"/>
      <w:szCs w:val="16"/>
      <w:lang w:val="en-AU"/>
    </w:rPr>
  </w:style>
  <w:style w:type="paragraph" w:customStyle="1" w:styleId="Suheading2">
    <w:name w:val="Suheading 2"/>
    <w:basedOn w:val="Normal"/>
    <w:link w:val="Suheading2Char"/>
    <w:qFormat/>
    <w:rsid w:val="00D73366"/>
    <w:rPr>
      <w:rFonts w:eastAsiaTheme="minorHAnsi" w:cs="Arial"/>
      <w:b/>
      <w:color w:val="1F497D" w:themeColor="text2"/>
      <w:szCs w:val="22"/>
    </w:rPr>
  </w:style>
  <w:style w:type="character" w:customStyle="1" w:styleId="Suheading2Char">
    <w:name w:val="Suheading 2 Char"/>
    <w:basedOn w:val="DefaultParagraphFont"/>
    <w:link w:val="Suheading2"/>
    <w:rsid w:val="00D73366"/>
    <w:rPr>
      <w:rFonts w:ascii="Arial" w:hAnsi="Arial" w:cs="Arial"/>
      <w:b/>
      <w:color w:val="1F497D" w:themeColor="text2"/>
      <w:lang w:val="en-AU"/>
    </w:rPr>
  </w:style>
  <w:style w:type="paragraph" w:styleId="NoSpacing">
    <w:name w:val="No Spacing"/>
    <w:uiPriority w:val="1"/>
    <w:qFormat/>
    <w:rsid w:val="00F221E7"/>
    <w:pPr>
      <w:spacing w:after="0" w:line="240" w:lineRule="auto"/>
    </w:pPr>
    <w:rPr>
      <w:rFonts w:ascii="Arial" w:eastAsia="Times New Roman" w:hAnsi="Arial" w:cs="Times New Roman"/>
      <w:szCs w:val="24"/>
      <w:lang w:val="en-AU"/>
    </w:rPr>
  </w:style>
  <w:style w:type="paragraph" w:styleId="Header">
    <w:name w:val="header"/>
    <w:basedOn w:val="Normal"/>
    <w:link w:val="HeaderChar"/>
    <w:uiPriority w:val="99"/>
    <w:unhideWhenUsed/>
    <w:rsid w:val="00B175BF"/>
    <w:pPr>
      <w:tabs>
        <w:tab w:val="center" w:pos="4513"/>
        <w:tab w:val="right" w:pos="9026"/>
      </w:tabs>
      <w:spacing w:after="0"/>
    </w:pPr>
  </w:style>
  <w:style w:type="character" w:customStyle="1" w:styleId="HeaderChar">
    <w:name w:val="Header Char"/>
    <w:basedOn w:val="DefaultParagraphFont"/>
    <w:link w:val="Header"/>
    <w:uiPriority w:val="99"/>
    <w:rsid w:val="00B175BF"/>
    <w:rPr>
      <w:rFonts w:ascii="Arial" w:eastAsia="Times New Roman" w:hAnsi="Arial" w:cs="Times New Roman"/>
      <w:szCs w:val="24"/>
      <w:lang w:val="en-AU"/>
    </w:rPr>
  </w:style>
  <w:style w:type="paragraph" w:styleId="Footer">
    <w:name w:val="footer"/>
    <w:basedOn w:val="Normal"/>
    <w:link w:val="FooterChar"/>
    <w:uiPriority w:val="99"/>
    <w:unhideWhenUsed/>
    <w:rsid w:val="00B175BF"/>
    <w:pPr>
      <w:tabs>
        <w:tab w:val="center" w:pos="4513"/>
        <w:tab w:val="right" w:pos="9026"/>
      </w:tabs>
      <w:spacing w:after="0"/>
    </w:pPr>
  </w:style>
  <w:style w:type="character" w:customStyle="1" w:styleId="FooterChar">
    <w:name w:val="Footer Char"/>
    <w:basedOn w:val="DefaultParagraphFont"/>
    <w:link w:val="Footer"/>
    <w:uiPriority w:val="99"/>
    <w:rsid w:val="00B175BF"/>
    <w:rPr>
      <w:rFonts w:ascii="Arial" w:eastAsia="Times New Roman" w:hAnsi="Arial" w:cs="Times New Roman"/>
      <w:szCs w:val="24"/>
      <w:lang w:val="en-AU"/>
    </w:rPr>
  </w:style>
  <w:style w:type="character" w:styleId="CommentReference">
    <w:name w:val="annotation reference"/>
    <w:basedOn w:val="DefaultParagraphFont"/>
    <w:uiPriority w:val="99"/>
    <w:semiHidden/>
    <w:unhideWhenUsed/>
    <w:rsid w:val="002D31F3"/>
    <w:rPr>
      <w:sz w:val="16"/>
      <w:szCs w:val="16"/>
    </w:rPr>
  </w:style>
  <w:style w:type="paragraph" w:styleId="CommentText">
    <w:name w:val="annotation text"/>
    <w:basedOn w:val="Normal"/>
    <w:link w:val="CommentTextChar"/>
    <w:uiPriority w:val="99"/>
    <w:semiHidden/>
    <w:unhideWhenUsed/>
    <w:rsid w:val="002D31F3"/>
    <w:rPr>
      <w:sz w:val="20"/>
      <w:szCs w:val="20"/>
    </w:rPr>
  </w:style>
  <w:style w:type="character" w:customStyle="1" w:styleId="CommentTextChar">
    <w:name w:val="Comment Text Char"/>
    <w:basedOn w:val="DefaultParagraphFont"/>
    <w:link w:val="CommentText"/>
    <w:uiPriority w:val="99"/>
    <w:semiHidden/>
    <w:rsid w:val="002D31F3"/>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2D31F3"/>
    <w:rPr>
      <w:b/>
      <w:bCs/>
    </w:rPr>
  </w:style>
  <w:style w:type="character" w:customStyle="1" w:styleId="CommentSubjectChar">
    <w:name w:val="Comment Subject Char"/>
    <w:basedOn w:val="CommentTextChar"/>
    <w:link w:val="CommentSubject"/>
    <w:uiPriority w:val="99"/>
    <w:semiHidden/>
    <w:rsid w:val="002D31F3"/>
    <w:rPr>
      <w:rFonts w:ascii="Arial" w:eastAsia="Times New Roman" w:hAnsi="Arial" w:cs="Times New Roman"/>
      <w:b/>
      <w:bCs/>
      <w:sz w:val="20"/>
      <w:szCs w:val="20"/>
      <w:lang w:val="en-AU"/>
    </w:rPr>
  </w:style>
  <w:style w:type="paragraph" w:customStyle="1" w:styleId="Default">
    <w:name w:val="Default"/>
    <w:rsid w:val="00116126"/>
    <w:pPr>
      <w:autoSpaceDE w:val="0"/>
      <w:autoSpaceDN w:val="0"/>
      <w:adjustRightInd w:val="0"/>
      <w:spacing w:after="0" w:line="240" w:lineRule="auto"/>
    </w:pPr>
    <w:rPr>
      <w:rFonts w:ascii="Arial" w:hAnsi="Arial" w:cs="Arial"/>
      <w:color w:val="000000"/>
      <w:sz w:val="24"/>
      <w:szCs w:val="24"/>
      <w:lang w:val="en-AU"/>
    </w:rPr>
  </w:style>
  <w:style w:type="table" w:styleId="TableGrid">
    <w:name w:val="Table Grid"/>
    <w:basedOn w:val="TableNormal"/>
    <w:uiPriority w:val="59"/>
    <w:rsid w:val="0011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50DA"/>
    <w:pPr>
      <w:spacing w:after="0" w:line="240" w:lineRule="auto"/>
    </w:pPr>
    <w:rPr>
      <w:rFonts w:ascii="Arial" w:eastAsia="Times New Roman" w:hAnsi="Arial" w:cs="Times New Roman"/>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13541">
      <w:bodyDiv w:val="1"/>
      <w:marLeft w:val="0"/>
      <w:marRight w:val="0"/>
      <w:marTop w:val="0"/>
      <w:marBottom w:val="0"/>
      <w:divBdr>
        <w:top w:val="none" w:sz="0" w:space="0" w:color="auto"/>
        <w:left w:val="none" w:sz="0" w:space="0" w:color="auto"/>
        <w:bottom w:val="none" w:sz="0" w:space="0" w:color="auto"/>
        <w:right w:val="none" w:sz="0" w:space="0" w:color="auto"/>
      </w:divBdr>
    </w:div>
    <w:div w:id="1267543602">
      <w:bodyDiv w:val="1"/>
      <w:marLeft w:val="0"/>
      <w:marRight w:val="0"/>
      <w:marTop w:val="0"/>
      <w:marBottom w:val="0"/>
      <w:divBdr>
        <w:top w:val="none" w:sz="0" w:space="0" w:color="auto"/>
        <w:left w:val="none" w:sz="0" w:space="0" w:color="auto"/>
        <w:bottom w:val="none" w:sz="0" w:space="0" w:color="auto"/>
        <w:right w:val="none" w:sz="0" w:space="0" w:color="auto"/>
      </w:divBdr>
    </w:div>
    <w:div w:id="1368069972">
      <w:bodyDiv w:val="1"/>
      <w:marLeft w:val="0"/>
      <w:marRight w:val="0"/>
      <w:marTop w:val="0"/>
      <w:marBottom w:val="0"/>
      <w:divBdr>
        <w:top w:val="none" w:sz="0" w:space="0" w:color="auto"/>
        <w:left w:val="none" w:sz="0" w:space="0" w:color="auto"/>
        <w:bottom w:val="none" w:sz="0" w:space="0" w:color="auto"/>
        <w:right w:val="none" w:sz="0" w:space="0" w:color="auto"/>
      </w:divBdr>
    </w:div>
    <w:div w:id="150851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94E10-8A3F-445A-9747-54D4FB52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5154</Words>
  <Characters>29379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Jennifer</dc:creator>
  <cp:lastModifiedBy>Ludowici Robyn</cp:lastModifiedBy>
  <cp:revision>2</cp:revision>
  <cp:lastPrinted>2014-09-01T02:44:00Z</cp:lastPrinted>
  <dcterms:created xsi:type="dcterms:W3CDTF">2014-11-07T03:32:00Z</dcterms:created>
  <dcterms:modified xsi:type="dcterms:W3CDTF">2014-11-07T03:32:00Z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