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6A07E" w14:textId="2586D1DF" w:rsidR="001C40A0" w:rsidRPr="001C40A0" w:rsidRDefault="005877F6" w:rsidP="005877F6">
      <w:pPr>
        <w:pStyle w:val="Heading1"/>
        <w:tabs>
          <w:tab w:val="right" w:pos="9638"/>
        </w:tabs>
        <w:spacing w:before="0"/>
        <w:rPr>
          <w:b w:val="0"/>
          <w:color w:val="808080" w:themeColor="background1" w:themeShade="80"/>
          <w:sz w:val="16"/>
          <w:szCs w:val="16"/>
        </w:rPr>
      </w:pPr>
      <w:r>
        <w:rPr>
          <w:b w:val="0"/>
          <w:color w:val="808080" w:themeColor="background1" w:themeShade="80"/>
          <w:sz w:val="16"/>
          <w:szCs w:val="16"/>
        </w:rPr>
        <w:tab/>
      </w:r>
    </w:p>
    <w:p w14:paraId="6777D624" w14:textId="77777777" w:rsidR="00CE722A" w:rsidRDefault="00C16C75" w:rsidP="001C40A0">
      <w:pPr>
        <w:pStyle w:val="Heading1"/>
        <w:spacing w:before="120"/>
      </w:pPr>
      <w:r>
        <w:t>Joint Safety Statement</w:t>
      </w:r>
    </w:p>
    <w:p w14:paraId="7B5F1125" w14:textId="0657B57C" w:rsidR="00E54B44" w:rsidRPr="00E54B44" w:rsidRDefault="00725F31" w:rsidP="00E54B44">
      <w:pPr>
        <w:pStyle w:val="Heading1"/>
        <w:spacing w:before="120"/>
        <w:rPr>
          <w:sz w:val="24"/>
          <w:szCs w:val="24"/>
        </w:rPr>
      </w:pPr>
      <w:r>
        <w:rPr>
          <w:sz w:val="24"/>
          <w:szCs w:val="24"/>
        </w:rPr>
        <w:t>November</w:t>
      </w:r>
      <w:bookmarkStart w:id="0" w:name="_GoBack"/>
      <w:bookmarkEnd w:id="0"/>
      <w:r w:rsidR="00E54B44" w:rsidRPr="00E54B44">
        <w:rPr>
          <w:sz w:val="24"/>
          <w:szCs w:val="24"/>
        </w:rPr>
        <w:t xml:space="preserve"> 2018</w:t>
      </w:r>
    </w:p>
    <w:p w14:paraId="0921B221" w14:textId="20AABE6B" w:rsidR="00B34C58" w:rsidRPr="00C97E86" w:rsidRDefault="00C16C75" w:rsidP="00E54B44">
      <w:pPr>
        <w:pStyle w:val="Heading2"/>
        <w:spacing w:before="100" w:beforeAutospacing="1"/>
        <w:rPr>
          <w:rFonts w:eastAsia="Calibri"/>
          <w:b w:val="0"/>
          <w:color w:val="365F91" w:themeColor="accent1" w:themeShade="BF"/>
          <w:sz w:val="32"/>
          <w:szCs w:val="32"/>
        </w:rPr>
      </w:pPr>
      <w:r w:rsidRPr="00C97E86">
        <w:rPr>
          <w:rFonts w:eastAsia="Calibri"/>
          <w:b w:val="0"/>
          <w:color w:val="365F91" w:themeColor="accent1" w:themeShade="BF"/>
          <w:sz w:val="32"/>
          <w:szCs w:val="32"/>
        </w:rPr>
        <w:t>Topical application of chlorhexidine and the risks of accidental injection</w:t>
      </w:r>
      <w:r w:rsidR="00A50D2D">
        <w:rPr>
          <w:rFonts w:eastAsia="Calibri"/>
          <w:b w:val="0"/>
          <w:color w:val="365F91" w:themeColor="accent1" w:themeShade="BF"/>
          <w:sz w:val="32"/>
          <w:szCs w:val="32"/>
        </w:rPr>
        <w:t xml:space="preserve"> in regional anaesthesia and vascular access procedures</w:t>
      </w:r>
    </w:p>
    <w:p w14:paraId="6CBB4EDD" w14:textId="77777777" w:rsidR="00E83B1F" w:rsidRPr="00E83B1F" w:rsidRDefault="00E83B1F" w:rsidP="00203CBF">
      <w:pPr>
        <w:autoSpaceDE w:val="0"/>
        <w:autoSpaceDN w:val="0"/>
        <w:adjustRightInd w:val="0"/>
        <w:spacing w:after="0" w:line="240" w:lineRule="auto"/>
        <w:rPr>
          <w:rFonts w:ascii="Arial" w:hAnsi="Arial" w:cs="Arial"/>
          <w:b/>
          <w:bCs/>
          <w:sz w:val="16"/>
        </w:rPr>
      </w:pPr>
    </w:p>
    <w:p w14:paraId="68CD5AEF" w14:textId="163FFABF" w:rsidR="00687F00" w:rsidRPr="00E54B44" w:rsidRDefault="00C16C75" w:rsidP="00C16C75">
      <w:pPr>
        <w:pStyle w:val="Heading2"/>
        <w:spacing w:before="0"/>
        <w:rPr>
          <w:color w:val="auto"/>
          <w:sz w:val="24"/>
          <w:szCs w:val="24"/>
        </w:rPr>
      </w:pPr>
      <w:r w:rsidRPr="00E54B44">
        <w:rPr>
          <w:color w:val="auto"/>
          <w:sz w:val="24"/>
          <w:szCs w:val="24"/>
        </w:rPr>
        <w:t>This safety statement was developed in response to reported incidents of accidental injection of chlorhexidine</w:t>
      </w:r>
      <w:r w:rsidR="005039B5">
        <w:rPr>
          <w:color w:val="auto"/>
          <w:sz w:val="24"/>
          <w:szCs w:val="24"/>
        </w:rPr>
        <w:t>,</w:t>
      </w:r>
      <w:r w:rsidRPr="00E54B44">
        <w:rPr>
          <w:color w:val="auto"/>
          <w:sz w:val="24"/>
          <w:szCs w:val="24"/>
        </w:rPr>
        <w:t xml:space="preserve"> </w:t>
      </w:r>
      <w:r w:rsidR="005039B5">
        <w:rPr>
          <w:color w:val="auto"/>
          <w:sz w:val="24"/>
          <w:szCs w:val="24"/>
        </w:rPr>
        <w:t xml:space="preserve">when used as </w:t>
      </w:r>
      <w:r w:rsidRPr="00E54B44">
        <w:rPr>
          <w:color w:val="auto"/>
          <w:sz w:val="24"/>
          <w:szCs w:val="24"/>
        </w:rPr>
        <w:t xml:space="preserve">a </w:t>
      </w:r>
      <w:r w:rsidR="00804354">
        <w:rPr>
          <w:color w:val="auto"/>
          <w:sz w:val="24"/>
          <w:szCs w:val="24"/>
        </w:rPr>
        <w:t>skin antiseptic</w:t>
      </w:r>
      <w:r w:rsidRPr="00E54B44">
        <w:rPr>
          <w:color w:val="auto"/>
          <w:sz w:val="24"/>
          <w:szCs w:val="24"/>
        </w:rPr>
        <w:t>. The use of light-tinted chlorhexidine increases the risk of errors.</w:t>
      </w:r>
    </w:p>
    <w:p w14:paraId="29267D55" w14:textId="77777777" w:rsidR="000C647D" w:rsidRPr="00E83B1F" w:rsidRDefault="000C647D" w:rsidP="00203CBF">
      <w:pPr>
        <w:autoSpaceDE w:val="0"/>
        <w:autoSpaceDN w:val="0"/>
        <w:adjustRightInd w:val="0"/>
        <w:spacing w:after="0" w:line="240" w:lineRule="auto"/>
        <w:rPr>
          <w:rFonts w:ascii="Arial" w:hAnsi="Arial" w:cs="Arial"/>
          <w:szCs w:val="16"/>
        </w:rPr>
      </w:pPr>
    </w:p>
    <w:p w14:paraId="44A2FF0B" w14:textId="1B5F2E4A" w:rsidR="00C16C75" w:rsidRDefault="00725F31" w:rsidP="00C97E86">
      <w:pPr>
        <w:pStyle w:val="NormalBeforeBullet"/>
      </w:pPr>
      <w:r>
        <w:t>T</w:t>
      </w:r>
      <w:r w:rsidR="00C16C75">
        <w:t>o reduce the risk of accidental injection of chlorhexidine</w:t>
      </w:r>
      <w:r w:rsidR="005039B5">
        <w:t>,</w:t>
      </w:r>
      <w:r w:rsidR="00C16C75">
        <w:t xml:space="preserve"> </w:t>
      </w:r>
      <w:r w:rsidR="005039B5">
        <w:t xml:space="preserve">when used as </w:t>
      </w:r>
      <w:r w:rsidR="00C16C75">
        <w:t xml:space="preserve">a </w:t>
      </w:r>
      <w:r w:rsidR="00804354">
        <w:t>skin antiseptic</w:t>
      </w:r>
      <w:r w:rsidR="00CD5E23">
        <w:t xml:space="preserve"> for regional anaesthesia and vascular access procedures</w:t>
      </w:r>
      <w:r>
        <w:t>, and to</w:t>
      </w:r>
      <w:r w:rsidR="00A50D2D">
        <w:t xml:space="preserve"> </w:t>
      </w:r>
      <w:r w:rsidR="00C16C75">
        <w:t xml:space="preserve">improve patient safety, the </w:t>
      </w:r>
      <w:r w:rsidR="00C16C75" w:rsidRPr="00FD71E4">
        <w:t>Australian and New Zealand College of Anaesthetists</w:t>
      </w:r>
      <w:r w:rsidR="00C16C75" w:rsidRPr="00FD71E4" w:rsidDel="00D076C3">
        <w:t xml:space="preserve"> </w:t>
      </w:r>
      <w:r w:rsidR="00C16C75" w:rsidRPr="00FD71E4">
        <w:t xml:space="preserve">(ANZCA) and the Australian Commission on Safety and Quality in Health Care </w:t>
      </w:r>
      <w:r w:rsidR="00C16C75">
        <w:t>jointly recommend that:</w:t>
      </w:r>
    </w:p>
    <w:p w14:paraId="3700AA67" w14:textId="032954F7" w:rsidR="00446A3F" w:rsidRDefault="00A50D2D" w:rsidP="00A50D2D">
      <w:pPr>
        <w:pStyle w:val="Bullet"/>
        <w:numPr>
          <w:ilvl w:val="0"/>
          <w:numId w:val="12"/>
        </w:numPr>
        <w:ind w:left="714" w:hanging="357"/>
      </w:pPr>
      <w:r>
        <w:t xml:space="preserve">Unless contraindicated and where </w:t>
      </w:r>
      <w:r w:rsidR="00446A3F">
        <w:t>possible</w:t>
      </w:r>
      <w:r>
        <w:t xml:space="preserve">, </w:t>
      </w:r>
      <w:r w:rsidR="00D43E54">
        <w:t xml:space="preserve">commercially </w:t>
      </w:r>
      <w:r w:rsidR="00446A3F">
        <w:t xml:space="preserve">prepared </w:t>
      </w:r>
      <w:r>
        <w:t>swabs</w:t>
      </w:r>
      <w:r w:rsidR="00446A3F">
        <w:t xml:space="preserve"> or swab sticks</w:t>
      </w:r>
      <w:r>
        <w:t xml:space="preserve"> </w:t>
      </w:r>
      <w:r w:rsidR="00D43E54">
        <w:t>containing</w:t>
      </w:r>
      <w:r>
        <w:t xml:space="preserve"> chlorhexidine are recommended when chlorhexidine is required for skin preparation before administering epidural, intrathecal or other perineural injections, and before inserting central venous lines</w:t>
      </w:r>
    </w:p>
    <w:p w14:paraId="06F13CBF" w14:textId="31517A89" w:rsidR="00446A3F" w:rsidRDefault="00C16C75" w:rsidP="00522A47">
      <w:pPr>
        <w:pStyle w:val="Bullet"/>
        <w:numPr>
          <w:ilvl w:val="0"/>
          <w:numId w:val="12"/>
        </w:numPr>
        <w:ind w:left="714" w:hanging="357"/>
      </w:pPr>
      <w:r>
        <w:t xml:space="preserve">If </w:t>
      </w:r>
      <w:r w:rsidR="00446A3F">
        <w:t xml:space="preserve">topical </w:t>
      </w:r>
      <w:r>
        <w:t>chlorhexidine liquid is used it is dark-tinted to provide a visual cue that the liquid is no</w:t>
      </w:r>
      <w:r w:rsidR="00446A3F">
        <w:t>n-</w:t>
      </w:r>
      <w:r>
        <w:t xml:space="preserve">injectable </w:t>
      </w:r>
    </w:p>
    <w:p w14:paraId="017FDC97" w14:textId="736879C4" w:rsidR="00446A3F" w:rsidRDefault="00446A3F" w:rsidP="00522A47">
      <w:pPr>
        <w:pStyle w:val="Bullet"/>
        <w:numPr>
          <w:ilvl w:val="0"/>
          <w:numId w:val="12"/>
        </w:numPr>
        <w:ind w:left="714" w:hanging="357"/>
      </w:pPr>
      <w:r>
        <w:t>S</w:t>
      </w:r>
      <w:r w:rsidR="00205032">
        <w:t xml:space="preserve">kin preparation should be completed and </w:t>
      </w:r>
      <w:r w:rsidR="00D43E54">
        <w:t xml:space="preserve">topical </w:t>
      </w:r>
      <w:r w:rsidR="00205032">
        <w:t>antiseptic discarded or handed off before exposing sterile equipment and injectable fluids on</w:t>
      </w:r>
      <w:r w:rsidR="00973B90">
        <w:t xml:space="preserve"> the sterile procedure area</w:t>
      </w:r>
      <w:r>
        <w:t xml:space="preserve">. The skin antiseptic should remain outside the sterile area during the procedure  </w:t>
      </w:r>
    </w:p>
    <w:p w14:paraId="737F9320" w14:textId="495E66DF" w:rsidR="00446A3F" w:rsidRPr="00EA165F" w:rsidRDefault="00D43E54" w:rsidP="00522A47">
      <w:pPr>
        <w:pStyle w:val="Bullet"/>
        <w:numPr>
          <w:ilvl w:val="0"/>
          <w:numId w:val="12"/>
        </w:numPr>
        <w:ind w:left="714" w:hanging="357"/>
      </w:pPr>
      <w:r>
        <w:t>After application of topical chlorhexidine, t</w:t>
      </w:r>
      <w:r w:rsidR="00205032">
        <w:t>he skin must be allowed to dry completely before a procedure is performed</w:t>
      </w:r>
    </w:p>
    <w:p w14:paraId="43A5A9DD" w14:textId="1BDCB94A" w:rsidR="00205032" w:rsidRDefault="00C16C75" w:rsidP="00522A47">
      <w:pPr>
        <w:pStyle w:val="Bullet"/>
        <w:numPr>
          <w:ilvl w:val="0"/>
          <w:numId w:val="12"/>
        </w:numPr>
        <w:ind w:left="714" w:hanging="357"/>
      </w:pPr>
      <w:r>
        <w:t>Non-injectable fluids</w:t>
      </w:r>
      <w:r w:rsidR="00205032">
        <w:t>, including chlorhexidine, should</w:t>
      </w:r>
      <w:r w:rsidR="00446A3F">
        <w:t xml:space="preserve"> </w:t>
      </w:r>
      <w:r w:rsidR="00205032" w:rsidRPr="00EA165F">
        <w:t>never be decanted into a</w:t>
      </w:r>
      <w:r w:rsidR="00205032">
        <w:t>n open container</w:t>
      </w:r>
      <w:r w:rsidR="00205032" w:rsidRPr="00EA165F">
        <w:t xml:space="preserve"> </w:t>
      </w:r>
      <w:r w:rsidR="00205032">
        <w:t xml:space="preserve">on </w:t>
      </w:r>
      <w:r w:rsidR="00205032" w:rsidRPr="00EA165F">
        <w:t xml:space="preserve">a sterile </w:t>
      </w:r>
      <w:r w:rsidR="00205032">
        <w:t xml:space="preserve">procedure </w:t>
      </w:r>
      <w:r w:rsidR="00205032" w:rsidRPr="00EA165F">
        <w:t>area</w:t>
      </w:r>
    </w:p>
    <w:p w14:paraId="14FB6B9E" w14:textId="7DBD0EF1" w:rsidR="0012479E" w:rsidRDefault="00C16C75" w:rsidP="00427CFF">
      <w:pPr>
        <w:pStyle w:val="Bullet"/>
        <w:numPr>
          <w:ilvl w:val="0"/>
          <w:numId w:val="12"/>
        </w:numPr>
        <w:ind w:left="714" w:hanging="357"/>
      </w:pPr>
      <w:r>
        <w:t>Injectable medicines</w:t>
      </w:r>
      <w:r w:rsidRPr="00EA165F">
        <w:t xml:space="preserve"> </w:t>
      </w:r>
      <w:r w:rsidR="00797EA9">
        <w:t>should not be</w:t>
      </w:r>
      <w:r>
        <w:t xml:space="preserve"> </w:t>
      </w:r>
      <w:r w:rsidRPr="00EA165F">
        <w:t>decanted into a gal</w:t>
      </w:r>
      <w:r>
        <w:t>li</w:t>
      </w:r>
      <w:r w:rsidRPr="00EA165F">
        <w:t>pot</w:t>
      </w:r>
      <w:r>
        <w:t xml:space="preserve"> or other open container before</w:t>
      </w:r>
      <w:r w:rsidRPr="00EA165F">
        <w:t xml:space="preserve"> </w:t>
      </w:r>
      <w:r>
        <w:t>preparation</w:t>
      </w:r>
      <w:r w:rsidRPr="00EA165F">
        <w:t xml:space="preserve"> and </w:t>
      </w:r>
      <w:r>
        <w:t xml:space="preserve">injection; if this is unavoidable, </w:t>
      </w:r>
      <w:r w:rsidRPr="008F6899">
        <w:t>any</w:t>
      </w:r>
      <w:r>
        <w:t xml:space="preserve"> medicine</w:t>
      </w:r>
      <w:r w:rsidRPr="008F6899">
        <w:t xml:space="preserve"> that is decanted </w:t>
      </w:r>
      <w:r>
        <w:t>should be</w:t>
      </w:r>
      <w:r w:rsidRPr="008F6899">
        <w:t xml:space="preserve"> immediately drawn up and labelled</w:t>
      </w:r>
    </w:p>
    <w:p w14:paraId="5D176197" w14:textId="0F8D611D" w:rsidR="00F05743" w:rsidRDefault="00F05743" w:rsidP="00F05743">
      <w:pPr>
        <w:pStyle w:val="Bullet"/>
        <w:numPr>
          <w:ilvl w:val="0"/>
          <w:numId w:val="12"/>
        </w:numPr>
        <w:ind w:left="714" w:hanging="357"/>
      </w:pPr>
      <w:r w:rsidRPr="001C6590">
        <w:t xml:space="preserve">Injectable medicines </w:t>
      </w:r>
      <w:r>
        <w:t xml:space="preserve">used </w:t>
      </w:r>
      <w:r w:rsidRPr="001C6590">
        <w:t xml:space="preserve">are in pre-labelled, pre-filled sterile syringes where available </w:t>
      </w:r>
    </w:p>
    <w:p w14:paraId="7404C309" w14:textId="74774545" w:rsidR="00C16C75" w:rsidRPr="0012479E" w:rsidRDefault="00C16C75" w:rsidP="00F05743">
      <w:pPr>
        <w:pStyle w:val="BulletLast"/>
        <w:numPr>
          <w:ilvl w:val="0"/>
          <w:numId w:val="12"/>
        </w:numPr>
        <w:ind w:left="714" w:hanging="357"/>
      </w:pPr>
      <w:r w:rsidRPr="00CD2BA2">
        <w:t>When more than one solution is present in</w:t>
      </w:r>
      <w:r>
        <w:t xml:space="preserve"> the sterile </w:t>
      </w:r>
      <w:r w:rsidR="00973B90">
        <w:t xml:space="preserve">procedure </w:t>
      </w:r>
      <w:r>
        <w:t>area, each is</w:t>
      </w:r>
      <w:r w:rsidRPr="00EA165F">
        <w:t xml:space="preserve"> labelled in accordance with the </w:t>
      </w:r>
      <w:r w:rsidRPr="00D25643">
        <w:rPr>
          <w:i/>
        </w:rPr>
        <w:t>National Standard for User-Applied Labelling of Injectable Medicines, Fluids and Lines</w:t>
      </w:r>
      <w:r w:rsidRPr="00D25643">
        <w:rPr>
          <w:vertAlign w:val="superscript"/>
        </w:rPr>
        <w:t>1</w:t>
      </w:r>
      <w:r>
        <w:t xml:space="preserve">, as specified under the </w:t>
      </w:r>
      <w:r w:rsidRPr="00F20826">
        <w:t>National Safety and Quality Health Service Standards</w:t>
      </w:r>
      <w:r>
        <w:t>.</w:t>
      </w:r>
      <w:r w:rsidRPr="00D25643">
        <w:rPr>
          <w:vertAlign w:val="superscript"/>
        </w:rPr>
        <w:t>2</w:t>
      </w:r>
    </w:p>
    <w:p w14:paraId="75BB212F" w14:textId="77777777" w:rsidR="00C16C75" w:rsidRPr="00186A9F" w:rsidRDefault="00C16C75" w:rsidP="00C97E86">
      <w:pPr>
        <w:pStyle w:val="NormalBeforeBullet"/>
      </w:pPr>
      <w:r w:rsidRPr="00186A9F">
        <w:t xml:space="preserve">This </w:t>
      </w:r>
      <w:r>
        <w:t>safety</w:t>
      </w:r>
      <w:r w:rsidRPr="00186A9F">
        <w:t xml:space="preserve"> statement also recommends that:</w:t>
      </w:r>
    </w:p>
    <w:p w14:paraId="26F4FE17" w14:textId="77777777" w:rsidR="00C16C75" w:rsidRDefault="00C16C75" w:rsidP="00C97E86">
      <w:pPr>
        <w:pStyle w:val="Bullet"/>
        <w:numPr>
          <w:ilvl w:val="0"/>
          <w:numId w:val="12"/>
        </w:numPr>
        <w:ind w:left="714" w:hanging="357"/>
      </w:pPr>
      <w:r>
        <w:t>Clinical colleges and societies</w:t>
      </w:r>
      <w:r w:rsidRPr="00186A9F">
        <w:t xml:space="preserve"> </w:t>
      </w:r>
      <w:r>
        <w:t>liaise with their members to promote dissemination and uptake of the statement</w:t>
      </w:r>
    </w:p>
    <w:p w14:paraId="1FC46F21" w14:textId="77777777" w:rsidR="00C16C75" w:rsidRPr="001A32D9" w:rsidRDefault="00C16C75" w:rsidP="00C16C75">
      <w:pPr>
        <w:pStyle w:val="Bullet"/>
        <w:numPr>
          <w:ilvl w:val="0"/>
          <w:numId w:val="12"/>
        </w:numPr>
        <w:spacing w:after="100" w:afterAutospacing="1"/>
        <w:ind w:left="714" w:hanging="357"/>
      </w:pPr>
      <w:r w:rsidRPr="001A33D3">
        <w:t>Health</w:t>
      </w:r>
      <w:r>
        <w:t xml:space="preserve"> service</w:t>
      </w:r>
      <w:r w:rsidRPr="001A33D3">
        <w:t xml:space="preserve"> organisations review clinical workflows and settings to identify where there are risk</w:t>
      </w:r>
      <w:r>
        <w:t>s</w:t>
      </w:r>
      <w:r w:rsidRPr="001A33D3">
        <w:t xml:space="preserve"> of accidental injection of chlorhexidine</w:t>
      </w:r>
      <w:r>
        <w:t>;</w:t>
      </w:r>
      <w:r w:rsidRPr="001A33D3">
        <w:t xml:space="preserve"> </w:t>
      </w:r>
      <w:r>
        <w:t>t</w:t>
      </w:r>
      <w:r w:rsidRPr="001A33D3">
        <w:t>his could be supported by identifying and analysing incident reports.</w:t>
      </w:r>
    </w:p>
    <w:p w14:paraId="17D80ED5" w14:textId="77777777" w:rsidR="00687F00" w:rsidRPr="00560786" w:rsidRDefault="00C16C75" w:rsidP="00C97E86">
      <w:pPr>
        <w:pStyle w:val="Heading2"/>
        <w:spacing w:after="100" w:afterAutospacing="1"/>
      </w:pPr>
      <w:r>
        <w:lastRenderedPageBreak/>
        <w:t>Principles</w:t>
      </w:r>
    </w:p>
    <w:p w14:paraId="56BDB514" w14:textId="77777777" w:rsidR="00C16C75" w:rsidRPr="00DC1638" w:rsidRDefault="00C16C75" w:rsidP="00C97E86">
      <w:pPr>
        <w:pStyle w:val="NumberList"/>
        <w:spacing w:after="120"/>
        <w:ind w:left="357" w:hanging="357"/>
      </w:pPr>
      <w:r>
        <w:t>1.</w:t>
      </w:r>
      <w:r>
        <w:tab/>
        <w:t>Section 4.1 of</w:t>
      </w:r>
      <w:r w:rsidRPr="00DC1638">
        <w:t xml:space="preserve"> ANZCA’s </w:t>
      </w:r>
      <w:r w:rsidRPr="00DC1638">
        <w:rPr>
          <w:i/>
        </w:rPr>
        <w:t>PS51 Guidelines for the Safe Management and Use of Medications</w:t>
      </w:r>
      <w:r w:rsidRPr="00DC1638">
        <w:t xml:space="preserve"> </w:t>
      </w:r>
      <w:r w:rsidRPr="00DC1638">
        <w:rPr>
          <w:i/>
        </w:rPr>
        <w:t>in Anaesthesia</w:t>
      </w:r>
      <w:r w:rsidRPr="00D25643">
        <w:rPr>
          <w:vertAlign w:val="superscript"/>
        </w:rPr>
        <w:t>3</w:t>
      </w:r>
      <w:r w:rsidRPr="00D25643">
        <w:t xml:space="preserve"> </w:t>
      </w:r>
      <w:r w:rsidRPr="00DC1638">
        <w:t xml:space="preserve">(revised </w:t>
      </w:r>
      <w:r>
        <w:t xml:space="preserve">in </w:t>
      </w:r>
      <w:r w:rsidRPr="00DC1638">
        <w:t xml:space="preserve">2017) states that the aims of safe administration of medications in anaesthesia are: </w:t>
      </w:r>
    </w:p>
    <w:p w14:paraId="46D8A6D8" w14:textId="77777777" w:rsidR="00C16C75" w:rsidRPr="00D25643" w:rsidRDefault="00C16C75" w:rsidP="00C97E86">
      <w:pPr>
        <w:pStyle w:val="Bullet"/>
        <w:numPr>
          <w:ilvl w:val="0"/>
          <w:numId w:val="12"/>
        </w:numPr>
        <w:ind w:left="714" w:hanging="357"/>
      </w:pPr>
      <w:r w:rsidRPr="00D25643">
        <w:t>To administer the correct medication to the correct patient, in the correct dose, by the correct route, at the correct time</w:t>
      </w:r>
    </w:p>
    <w:p w14:paraId="00857980" w14:textId="77777777" w:rsidR="00C16C75" w:rsidRPr="00E50723" w:rsidRDefault="00C16C75" w:rsidP="00C97E86">
      <w:pPr>
        <w:pStyle w:val="Bullet"/>
        <w:numPr>
          <w:ilvl w:val="0"/>
          <w:numId w:val="12"/>
        </w:numPr>
        <w:ind w:left="714" w:hanging="357"/>
      </w:pPr>
      <w:r w:rsidRPr="00D25643">
        <w:t>To accurately record this information in the anaesthesia record or patient’s drug administration chart, and any legally required register of drug dispensing</w:t>
      </w:r>
    </w:p>
    <w:p w14:paraId="1B92CC7D" w14:textId="77777777" w:rsidR="00C16C75" w:rsidRPr="00F06755" w:rsidRDefault="00C16C75" w:rsidP="00E54B44">
      <w:pPr>
        <w:pStyle w:val="Bullet"/>
        <w:numPr>
          <w:ilvl w:val="0"/>
          <w:numId w:val="12"/>
        </w:numPr>
        <w:spacing w:after="100" w:afterAutospacing="1"/>
        <w:ind w:left="714" w:hanging="357"/>
      </w:pPr>
      <w:r w:rsidRPr="00E50723">
        <w:t>To minimise the opportunities for substance abuse and/or diversion</w:t>
      </w:r>
      <w:r>
        <w:t>.</w:t>
      </w:r>
    </w:p>
    <w:p w14:paraId="69BB9899" w14:textId="77777777" w:rsidR="00C16C75" w:rsidRDefault="00C16C75" w:rsidP="00C16C75">
      <w:pPr>
        <w:pStyle w:val="NumberList"/>
      </w:pPr>
      <w:r>
        <w:t>2.</w:t>
      </w:r>
      <w:r>
        <w:tab/>
        <w:t xml:space="preserve">Section </w:t>
      </w:r>
      <w:r w:rsidRPr="00DC1638">
        <w:t xml:space="preserve">5.6.2 </w:t>
      </w:r>
      <w:r>
        <w:t>of PS51 states that ‘</w:t>
      </w:r>
      <w:r w:rsidRPr="00DC1638">
        <w:t>Drugs drawn up should be placed in an appropriate receptacle in a logical and orderly fashion</w:t>
      </w:r>
      <w:r>
        <w:t>’.</w:t>
      </w:r>
    </w:p>
    <w:p w14:paraId="5CDA0BF8" w14:textId="77777777" w:rsidR="00C16C75" w:rsidRPr="00DC1638" w:rsidRDefault="00C16C75" w:rsidP="00C16C75">
      <w:pPr>
        <w:pStyle w:val="NumberList"/>
      </w:pPr>
      <w:r>
        <w:t>3.</w:t>
      </w:r>
      <w:r>
        <w:tab/>
      </w:r>
      <w:r w:rsidRPr="00DC1638">
        <w:t xml:space="preserve">All injectable </w:t>
      </w:r>
      <w:r>
        <w:t>medicines</w:t>
      </w:r>
      <w:r w:rsidRPr="00DC1638">
        <w:t xml:space="preserve"> should be labelled when drawn up according to the relevant </w:t>
      </w:r>
      <w:r>
        <w:t>n</w:t>
      </w:r>
      <w:r w:rsidRPr="00DC1638">
        <w:t xml:space="preserve">ational </w:t>
      </w:r>
      <w:r>
        <w:t>s</w:t>
      </w:r>
      <w:r w:rsidRPr="00DC1638">
        <w:t xml:space="preserve">tandards. This includes an understanding of </w:t>
      </w:r>
      <w:r>
        <w:t xml:space="preserve">the </w:t>
      </w:r>
      <w:r w:rsidRPr="00DC1638">
        <w:t>closed</w:t>
      </w:r>
      <w:r>
        <w:t>-</w:t>
      </w:r>
      <w:r w:rsidRPr="00DC1638">
        <w:t>practice</w:t>
      </w:r>
      <w:r>
        <w:t xml:space="preserve"> environment</w:t>
      </w:r>
      <w:r w:rsidRPr="00DC1638">
        <w:t xml:space="preserve"> (</w:t>
      </w:r>
      <w:r>
        <w:t>such as the</w:t>
      </w:r>
      <w:r w:rsidRPr="00DC1638">
        <w:t xml:space="preserve"> operating theatre</w:t>
      </w:r>
      <w:r>
        <w:t xml:space="preserve"> with a</w:t>
      </w:r>
      <w:r w:rsidRPr="00DC1638">
        <w:t xml:space="preserve"> single patient) and </w:t>
      </w:r>
      <w:r>
        <w:t xml:space="preserve">the </w:t>
      </w:r>
      <w:r w:rsidRPr="00DC1638">
        <w:t>open</w:t>
      </w:r>
      <w:r>
        <w:t>-</w:t>
      </w:r>
      <w:r w:rsidRPr="00DC1638">
        <w:t>practice</w:t>
      </w:r>
      <w:r>
        <w:t xml:space="preserve"> environment</w:t>
      </w:r>
      <w:r w:rsidRPr="00DC1638">
        <w:t xml:space="preserve"> (</w:t>
      </w:r>
      <w:r>
        <w:t>such as the</w:t>
      </w:r>
      <w:r w:rsidRPr="00DC1638">
        <w:t xml:space="preserve"> post</w:t>
      </w:r>
      <w:r>
        <w:t>-</w:t>
      </w:r>
      <w:r w:rsidRPr="00DC1638">
        <w:t>anaesthesia care unit</w:t>
      </w:r>
      <w:r>
        <w:t xml:space="preserve"> with</w:t>
      </w:r>
      <w:r w:rsidRPr="00DC1638">
        <w:t xml:space="preserve"> multiple patients).</w:t>
      </w:r>
    </w:p>
    <w:p w14:paraId="340A1E48" w14:textId="77777777" w:rsidR="00CE722A" w:rsidRPr="00E54B44" w:rsidRDefault="00E54B44" w:rsidP="00C97E86">
      <w:pPr>
        <w:pStyle w:val="Heading2"/>
        <w:spacing w:after="100" w:afterAutospacing="1"/>
      </w:pPr>
      <w:r w:rsidRPr="00E54B44">
        <w:t>Background</w:t>
      </w:r>
    </w:p>
    <w:p w14:paraId="03388D4C" w14:textId="77777777" w:rsidR="00E54B44" w:rsidRPr="00E54B44" w:rsidRDefault="00E54B44" w:rsidP="00E54B44">
      <w:pPr>
        <w:pStyle w:val="NormalBeforeBullet"/>
        <w:spacing w:after="100" w:afterAutospacing="1"/>
      </w:pPr>
      <w:r w:rsidRPr="00E54B44">
        <w:t>Wrong-route administration errors by the intrathecal or epidural route are a small, but highly significant, proportion of medication injection errors. Incident reporting from states and territories indicates that patient harm from wrong-route injections into the intrathecal or epidural space is infrequent, but continues to occur.</w:t>
      </w:r>
    </w:p>
    <w:p w14:paraId="2B91479F" w14:textId="77777777" w:rsidR="00E54B44" w:rsidRPr="00E54B44" w:rsidRDefault="00E54B44" w:rsidP="00E54B44">
      <w:pPr>
        <w:pStyle w:val="NormalBeforeBullet"/>
        <w:spacing w:after="100" w:afterAutospacing="1"/>
      </w:pPr>
      <w:r w:rsidRPr="00E54B44">
        <w:t>Critical incidents have been reported where chlorhexidine antiseptic solution was drawn up into a syringe and administered via the epidural route, resulting in serious patient harm. Contributing to this risk are the practices of placing chlorhexidine in an open container on the sterile field in preparation for skin decontamination, drawing up from open containers rather than from ampoules, and not labelling syringes at the time of medicine preparation. </w:t>
      </w:r>
    </w:p>
    <w:p w14:paraId="7F755C47" w14:textId="77777777" w:rsidR="00E54B44" w:rsidRPr="00E54B44" w:rsidRDefault="00E54B44" w:rsidP="00C97E86">
      <w:pPr>
        <w:pStyle w:val="Heading2"/>
        <w:spacing w:after="100" w:afterAutospacing="1"/>
      </w:pPr>
      <w:r w:rsidRPr="00E54B44">
        <w:t>References</w:t>
      </w:r>
    </w:p>
    <w:p w14:paraId="54620581" w14:textId="77777777" w:rsidR="00E54B44" w:rsidRPr="00E54B44" w:rsidRDefault="00E54B44" w:rsidP="00E54B44">
      <w:pPr>
        <w:numPr>
          <w:ilvl w:val="0"/>
          <w:numId w:val="17"/>
        </w:numPr>
        <w:spacing w:before="100" w:beforeAutospacing="1" w:after="100" w:afterAutospacing="1" w:line="240" w:lineRule="auto"/>
        <w:contextualSpacing/>
        <w:rPr>
          <w:rFonts w:ascii="Arial" w:eastAsia="Times New Roman" w:hAnsi="Arial" w:cs="Times New Roman"/>
          <w:color w:val="000000"/>
          <w:szCs w:val="20"/>
          <w:lang w:eastAsia="en-AU"/>
        </w:rPr>
      </w:pPr>
      <w:r w:rsidRPr="00E54B44">
        <w:rPr>
          <w:rFonts w:ascii="Arial" w:eastAsia="Times New Roman" w:hAnsi="Arial" w:cs="Arial"/>
          <w:lang w:eastAsia="en-AU"/>
        </w:rPr>
        <w:t xml:space="preserve">Australian Commission on Safety and Quality in Health Care. National standard for user-applied labelling of injectable medicines, fluids and lines. Sydney: ACSQHC; 2015. Available from: </w:t>
      </w:r>
      <w:hyperlink r:id="rId9" w:history="1">
        <w:r w:rsidRPr="00E54B44">
          <w:rPr>
            <w:rFonts w:ascii="Arial" w:eastAsia="Times New Roman" w:hAnsi="Arial" w:cs="Arial"/>
            <w:color w:val="0000FF"/>
            <w:u w:val="single"/>
            <w:lang w:eastAsia="en-AU"/>
          </w:rPr>
          <w:t>www.safetyandquality.gov.au/publications/national-standard-for-user-applied-labelling/</w:t>
        </w:r>
      </w:hyperlink>
    </w:p>
    <w:p w14:paraId="03320F90" w14:textId="029A015F" w:rsidR="00C956BD" w:rsidRPr="00E54B44" w:rsidRDefault="00E54B44" w:rsidP="00E54B44">
      <w:pPr>
        <w:numPr>
          <w:ilvl w:val="0"/>
          <w:numId w:val="17"/>
        </w:numPr>
        <w:spacing w:after="240" w:line="240" w:lineRule="auto"/>
        <w:contextualSpacing/>
        <w:rPr>
          <w:rFonts w:ascii="Arial" w:eastAsia="Times New Roman" w:hAnsi="Arial" w:cs="Arial"/>
          <w:color w:val="000000"/>
          <w:szCs w:val="20"/>
          <w:lang w:eastAsia="en-AU"/>
        </w:rPr>
      </w:pPr>
      <w:r w:rsidRPr="00E54B44">
        <w:rPr>
          <w:rFonts w:ascii="Arial" w:eastAsia="Times New Roman" w:hAnsi="Arial" w:cs="Arial"/>
          <w:color w:val="000000"/>
          <w:szCs w:val="20"/>
          <w:lang w:eastAsia="en-AU"/>
        </w:rPr>
        <w:t xml:space="preserve">Australian Commission on Safety and Quality in Health Care. National safety and quality health service standards guide for hospitals. Sydney: ACSQHC; 2017. Available from: </w:t>
      </w:r>
      <w:hyperlink r:id="rId10" w:history="1">
        <w:r w:rsidRPr="00E54B44">
          <w:rPr>
            <w:rFonts w:ascii="Arial" w:eastAsia="Times New Roman" w:hAnsi="Arial" w:cs="Arial"/>
            <w:color w:val="0000FF"/>
            <w:szCs w:val="20"/>
            <w:u w:val="single"/>
            <w:lang w:eastAsia="en-AU"/>
          </w:rPr>
          <w:t>www.safetyandquality.gov.au/wp-content/uploads/2017/11/National-Safety-and-Quality-Health-Service-Standards-Guide-for-Hospitals.pdf</w:t>
        </w:r>
      </w:hyperlink>
      <w:r w:rsidRPr="00E54B44">
        <w:rPr>
          <w:rFonts w:ascii="Arial" w:eastAsia="Times New Roman" w:hAnsi="Arial" w:cs="Arial"/>
          <w:color w:val="000000"/>
          <w:szCs w:val="20"/>
          <w:lang w:eastAsia="en-AU"/>
        </w:rPr>
        <w:t xml:space="preserve"> </w:t>
      </w:r>
    </w:p>
    <w:p w14:paraId="43897F6D" w14:textId="59B06075" w:rsidR="00E54B44" w:rsidRPr="00C956BD" w:rsidRDefault="00E54B44" w:rsidP="00522A47">
      <w:pPr>
        <w:numPr>
          <w:ilvl w:val="0"/>
          <w:numId w:val="17"/>
        </w:numPr>
        <w:spacing w:after="240" w:line="240" w:lineRule="auto"/>
        <w:contextualSpacing/>
        <w:rPr>
          <w:rFonts w:ascii="Arial" w:eastAsia="Calibri" w:hAnsi="Arial" w:cs="Arial"/>
          <w:b/>
        </w:rPr>
      </w:pPr>
      <w:r w:rsidRPr="00C956BD">
        <w:rPr>
          <w:rFonts w:ascii="Arial" w:eastAsia="Times New Roman" w:hAnsi="Arial" w:cs="Arial"/>
          <w:lang w:eastAsia="en-AU"/>
        </w:rPr>
        <w:t xml:space="preserve">Australian and New Zealand College of Anaesthetists. PS51 Guidelines for the safe management and use of medications in anaesthesia. Sydney: ANZCA; 2017. Available from: </w:t>
      </w:r>
      <w:hyperlink r:id="rId11" w:history="1">
        <w:r w:rsidRPr="00C956BD">
          <w:rPr>
            <w:rFonts w:ascii="Arial" w:eastAsia="Times New Roman" w:hAnsi="Arial" w:cs="Arial"/>
            <w:color w:val="0000FF"/>
            <w:u w:val="single"/>
            <w:lang w:eastAsia="en-AU"/>
          </w:rPr>
          <w:t>www.anzca.edu.au/documents/ps51-2009-guidelines-for-the-safe-administration-o.pdf</w:t>
        </w:r>
      </w:hyperlink>
      <w:r w:rsidRPr="00C956BD">
        <w:rPr>
          <w:rFonts w:ascii="Arial" w:eastAsia="Times New Roman" w:hAnsi="Arial" w:cs="Arial"/>
          <w:lang w:eastAsia="en-AU"/>
        </w:rPr>
        <w:t xml:space="preserve"> </w:t>
      </w:r>
    </w:p>
    <w:sectPr w:rsidR="00E54B44" w:rsidRPr="00C956BD" w:rsidSect="00E54B44">
      <w:headerReference w:type="default" r:id="rId12"/>
      <w:footerReference w:type="even" r:id="rId13"/>
      <w:footerReference w:type="default" r:id="rId14"/>
      <w:headerReference w:type="first" r:id="rId15"/>
      <w:footerReference w:type="first" r:id="rId16"/>
      <w:pgSz w:w="11906" w:h="16838"/>
      <w:pgMar w:top="1134" w:right="1134" w:bottom="1134" w:left="1134" w:header="68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4060C" w14:textId="77777777" w:rsidR="00544D33" w:rsidRDefault="00544D33" w:rsidP="000E6A11">
      <w:pPr>
        <w:spacing w:after="0" w:line="240" w:lineRule="auto"/>
      </w:pPr>
      <w:r>
        <w:separator/>
      </w:r>
    </w:p>
  </w:endnote>
  <w:endnote w:type="continuationSeparator" w:id="0">
    <w:p w14:paraId="7578A8EC" w14:textId="77777777" w:rsidR="00544D33" w:rsidRDefault="00544D33" w:rsidP="000E6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892053"/>
      <w:docPartObj>
        <w:docPartGallery w:val="Page Numbers (Bottom of Page)"/>
        <w:docPartUnique/>
      </w:docPartObj>
    </w:sdtPr>
    <w:sdtEndPr>
      <w:rPr>
        <w:noProof/>
      </w:rPr>
    </w:sdtEndPr>
    <w:sdtContent>
      <w:p w14:paraId="3AA4A190" w14:textId="77777777" w:rsidR="0012479E" w:rsidRDefault="0012479E">
        <w:pPr>
          <w:pStyle w:val="Footer"/>
          <w:jc w:val="right"/>
        </w:pPr>
        <w:r>
          <w:fldChar w:fldCharType="begin"/>
        </w:r>
        <w:r>
          <w:instrText xml:space="preserve"> PAGE   \* MERGEFORMAT </w:instrText>
        </w:r>
        <w:r>
          <w:fldChar w:fldCharType="separate"/>
        </w:r>
        <w:r w:rsidR="00725F31">
          <w:rPr>
            <w:noProof/>
          </w:rPr>
          <w:t>2</w:t>
        </w:r>
        <w:r>
          <w:rPr>
            <w:noProof/>
          </w:rPr>
          <w:fldChar w:fldCharType="end"/>
        </w:r>
      </w:p>
    </w:sdtContent>
  </w:sdt>
  <w:p w14:paraId="58D6DB0A" w14:textId="77777777" w:rsidR="0012479E" w:rsidRPr="001C40A0" w:rsidRDefault="0012479E">
    <w:pPr>
      <w:pStyle w:val="Footer"/>
      <w:rPr>
        <w:rFonts w:ascii="Arial" w:hAnsi="Arial"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500243"/>
      <w:docPartObj>
        <w:docPartGallery w:val="Page Numbers (Bottom of Page)"/>
        <w:docPartUnique/>
      </w:docPartObj>
    </w:sdtPr>
    <w:sdtEndPr>
      <w:rPr>
        <w:noProof/>
      </w:rPr>
    </w:sdtEndPr>
    <w:sdtContent>
      <w:p w14:paraId="5A250B00" w14:textId="77777777" w:rsidR="0012479E" w:rsidRDefault="0012479E">
        <w:pPr>
          <w:pStyle w:val="Footer"/>
        </w:pPr>
        <w:r>
          <w:fldChar w:fldCharType="begin"/>
        </w:r>
        <w:r>
          <w:instrText xml:space="preserve"> PAGE   \* MERGEFORMAT </w:instrText>
        </w:r>
        <w:r>
          <w:fldChar w:fldCharType="separate"/>
        </w:r>
        <w:r w:rsidR="00205032">
          <w:rPr>
            <w:noProof/>
          </w:rPr>
          <w:t>3</w:t>
        </w:r>
        <w:r>
          <w:rPr>
            <w:noProof/>
          </w:rPr>
          <w:fldChar w:fldCharType="end"/>
        </w:r>
      </w:p>
    </w:sdtContent>
  </w:sdt>
  <w:p w14:paraId="5A23EFC4" w14:textId="77777777" w:rsidR="0012479E" w:rsidRPr="00E54B44" w:rsidRDefault="0012479E" w:rsidP="00E54B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814222"/>
      <w:docPartObj>
        <w:docPartGallery w:val="Page Numbers (Bottom of Page)"/>
        <w:docPartUnique/>
      </w:docPartObj>
    </w:sdtPr>
    <w:sdtEndPr>
      <w:rPr>
        <w:noProof/>
      </w:rPr>
    </w:sdtEndPr>
    <w:sdtContent>
      <w:p w14:paraId="3E784623" w14:textId="77777777" w:rsidR="0012479E" w:rsidRDefault="0012479E">
        <w:pPr>
          <w:pStyle w:val="Footer"/>
          <w:jc w:val="right"/>
        </w:pPr>
        <w:r>
          <w:fldChar w:fldCharType="begin"/>
        </w:r>
        <w:r>
          <w:instrText xml:space="preserve"> PAGE   \* MERGEFORMAT </w:instrText>
        </w:r>
        <w:r>
          <w:fldChar w:fldCharType="separate"/>
        </w:r>
        <w:r w:rsidR="00725F31">
          <w:rPr>
            <w:noProof/>
          </w:rPr>
          <w:t>1</w:t>
        </w:r>
        <w:r>
          <w:rPr>
            <w:noProof/>
          </w:rPr>
          <w:fldChar w:fldCharType="end"/>
        </w:r>
      </w:p>
    </w:sdtContent>
  </w:sdt>
  <w:p w14:paraId="2727916C" w14:textId="77777777" w:rsidR="0012479E" w:rsidRPr="00453B3D" w:rsidRDefault="0012479E" w:rsidP="00D3252D">
    <w:pPr>
      <w:pStyle w:val="Footer"/>
      <w:jc w:val="cen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EEBCA" w14:textId="77777777" w:rsidR="00544D33" w:rsidRDefault="00544D33" w:rsidP="000E6A11">
      <w:pPr>
        <w:spacing w:after="0" w:line="240" w:lineRule="auto"/>
      </w:pPr>
      <w:r>
        <w:separator/>
      </w:r>
    </w:p>
  </w:footnote>
  <w:footnote w:type="continuationSeparator" w:id="0">
    <w:p w14:paraId="219D055B" w14:textId="77777777" w:rsidR="00544D33" w:rsidRDefault="00544D33" w:rsidP="000E6A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6DF7A" w14:textId="77777777" w:rsidR="0012479E" w:rsidRDefault="0012479E" w:rsidP="00203CB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41B39" w14:textId="77777777" w:rsidR="0012479E" w:rsidRDefault="0012479E" w:rsidP="00203CBF">
    <w:pPr>
      <w:pStyle w:val="Header"/>
      <w:jc w:val="right"/>
      <w:rPr>
        <w:rFonts w:ascii="Arial" w:hAnsi="Arial" w:cs="Arial"/>
        <w:noProof/>
        <w:sz w:val="14"/>
      </w:rPr>
    </w:pPr>
    <w:r>
      <w:rPr>
        <w:noProof/>
        <w:lang w:eastAsia="en-AU"/>
      </w:rPr>
      <w:drawing>
        <wp:anchor distT="0" distB="0" distL="114300" distR="114300" simplePos="0" relativeHeight="251657216" behindDoc="0" locked="0" layoutInCell="1" allowOverlap="1" wp14:anchorId="685539C6" wp14:editId="28964722">
          <wp:simplePos x="0" y="0"/>
          <wp:positionH relativeFrom="column">
            <wp:posOffset>13335</wp:posOffset>
          </wp:positionH>
          <wp:positionV relativeFrom="paragraph">
            <wp:posOffset>176530</wp:posOffset>
          </wp:positionV>
          <wp:extent cx="3790950" cy="476250"/>
          <wp:effectExtent l="0" t="0" r="0" b="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2833B3E7" wp14:editId="62896282">
          <wp:extent cx="1729655" cy="8096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738819" cy="8139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A5A4F"/>
    <w:multiLevelType w:val="hybridMultilevel"/>
    <w:tmpl w:val="BC3CF41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9865EC3"/>
    <w:multiLevelType w:val="hybridMultilevel"/>
    <w:tmpl w:val="2E18C95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20422CBF"/>
    <w:multiLevelType w:val="hybridMultilevel"/>
    <w:tmpl w:val="65166F4A"/>
    <w:lvl w:ilvl="0" w:tplc="F1B8B1A0">
      <w:start w:val="1"/>
      <w:numFmt w:val="decimal"/>
      <w:lvlText w:val="%1."/>
      <w:lvlJc w:val="left"/>
      <w:pPr>
        <w:ind w:left="360" w:hanging="360"/>
      </w:pPr>
      <w:rPr>
        <w:rFonts w:ascii="Arial" w:hAnsi="Arial" w:cs="Arial" w:hint="default"/>
        <w:b w:val="0"/>
        <w:color w:val="auto"/>
        <w:sz w:val="2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2B366634"/>
    <w:multiLevelType w:val="hybridMultilevel"/>
    <w:tmpl w:val="5CCE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BE0EF4"/>
    <w:multiLevelType w:val="hybridMultilevel"/>
    <w:tmpl w:val="B6D21AE6"/>
    <w:lvl w:ilvl="0" w:tplc="32BA4FC6">
      <w:start w:val="1"/>
      <w:numFmt w:val="lowerLetter"/>
      <w:lvlText w:val="%1)"/>
      <w:lvlJc w:val="left"/>
      <w:pPr>
        <w:ind w:left="720" w:hanging="360"/>
      </w:pPr>
      <w:rPr>
        <w:b w:val="0"/>
      </w:rPr>
    </w:lvl>
    <w:lvl w:ilvl="1" w:tplc="0C09001B">
      <w:start w:val="1"/>
      <w:numFmt w:val="lowerRoman"/>
      <w:lvlText w:val="%2."/>
      <w:lvlJc w:val="righ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9326BB7"/>
    <w:multiLevelType w:val="hybridMultilevel"/>
    <w:tmpl w:val="1F1E208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0E70FBE"/>
    <w:multiLevelType w:val="hybridMultilevel"/>
    <w:tmpl w:val="1F181F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87A038A"/>
    <w:multiLevelType w:val="hybridMultilevel"/>
    <w:tmpl w:val="F216F482"/>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B7C6B462">
      <w:start w:val="7"/>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B714DD0"/>
    <w:multiLevelType w:val="hybridMultilevel"/>
    <w:tmpl w:val="BA725FE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3672D94"/>
    <w:multiLevelType w:val="hybridMultilevel"/>
    <w:tmpl w:val="66A08BD2"/>
    <w:lvl w:ilvl="0" w:tplc="6ACEBBC4">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5CE64FF"/>
    <w:multiLevelType w:val="hybridMultilevel"/>
    <w:tmpl w:val="6CE2B02A"/>
    <w:lvl w:ilvl="0" w:tplc="A988466E">
      <w:start w:val="1"/>
      <w:numFmt w:val="lowerLetter"/>
      <w:lvlText w:val="%1)"/>
      <w:lvlJc w:val="left"/>
      <w:pPr>
        <w:ind w:left="643" w:hanging="360"/>
      </w:pPr>
      <w:rPr>
        <w:rFonts w:hint="default"/>
        <w:b w:val="0"/>
      </w:rPr>
    </w:lvl>
    <w:lvl w:ilvl="1" w:tplc="A988466E">
      <w:start w:val="1"/>
      <w:numFmt w:val="lowerLetter"/>
      <w:lvlText w:val="%2)"/>
      <w:lvlJc w:val="left"/>
      <w:pPr>
        <w:ind w:left="1363" w:hanging="360"/>
      </w:pPr>
      <w:rPr>
        <w:rFonts w:hint="default"/>
        <w:b w:val="0"/>
      </w:rPr>
    </w:lvl>
    <w:lvl w:ilvl="2" w:tplc="0C090005">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1">
    <w:nsid w:val="6C246E53"/>
    <w:multiLevelType w:val="hybridMultilevel"/>
    <w:tmpl w:val="74AC702E"/>
    <w:lvl w:ilvl="0" w:tplc="32BA4FC6">
      <w:start w:val="1"/>
      <w:numFmt w:val="lowerLetter"/>
      <w:lvlText w:val="%1)"/>
      <w:lvlJc w:val="left"/>
      <w:pPr>
        <w:ind w:left="720" w:hanging="360"/>
      </w:pPr>
      <w:rPr>
        <w:b w:val="0"/>
      </w:rPr>
    </w:lvl>
    <w:lvl w:ilvl="1" w:tplc="9C7EFBA2">
      <w:start w:val="1"/>
      <w:numFmt w:val="upperRoman"/>
      <w:lvlText w:val="%2."/>
      <w:lvlJc w:val="righ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0721C33"/>
    <w:multiLevelType w:val="hybridMultilevel"/>
    <w:tmpl w:val="1778D918"/>
    <w:lvl w:ilvl="0" w:tplc="0C090017">
      <w:start w:val="1"/>
      <w:numFmt w:val="lowerLetter"/>
      <w:lvlText w:val="%1)"/>
      <w:lvlJc w:val="left"/>
      <w:pPr>
        <w:ind w:left="360" w:hanging="360"/>
      </w:pPr>
      <w:rPr>
        <w:rFonts w:hint="default"/>
      </w:rPr>
    </w:lvl>
    <w:lvl w:ilvl="1" w:tplc="0C090017">
      <w:start w:val="1"/>
      <w:numFmt w:val="lowerLetter"/>
      <w:lvlText w:val="%2)"/>
      <w:lvlJc w:val="lef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0"/>
  </w:num>
  <w:num w:numId="4">
    <w:abstractNumId w:val="7"/>
  </w:num>
  <w:num w:numId="5">
    <w:abstractNumId w:val="1"/>
  </w:num>
  <w:num w:numId="6">
    <w:abstractNumId w:val="12"/>
  </w:num>
  <w:num w:numId="7">
    <w:abstractNumId w:val="11"/>
  </w:num>
  <w:num w:numId="8">
    <w:abstractNumId w:val="5"/>
  </w:num>
  <w:num w:numId="9">
    <w:abstractNumId w:val="9"/>
  </w:num>
  <w:num w:numId="10">
    <w:abstractNumId w:val="4"/>
  </w:num>
  <w:num w:numId="11">
    <w:abstractNumId w:val="13"/>
  </w:num>
  <w:num w:numId="12">
    <w:abstractNumId w:val="6"/>
  </w:num>
  <w:num w:numId="13">
    <w:abstractNumId w:val="13"/>
  </w:num>
  <w:num w:numId="14">
    <w:abstractNumId w:val="13"/>
  </w:num>
  <w:num w:numId="15">
    <w:abstractNumId w:val="3"/>
  </w:num>
  <w:num w:numId="16">
    <w:abstractNumId w:val="13"/>
  </w:num>
  <w:num w:numId="17">
    <w:abstractNumId w:val="2"/>
  </w:num>
  <w:num w:numId="18">
    <w:abstractNumId w:val="13"/>
  </w:num>
  <w:num w:numId="19">
    <w:abstractNumId w:val="13"/>
  </w:num>
  <w:num w:numId="20">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Scott">
    <w15:presenceInfo w15:providerId="Windows Live" w15:userId="5289881affd38893"/>
  </w15:person>
  <w15:person w15:author="Peter Roessler">
    <w15:presenceInfo w15:providerId="Windows Live" w15:userId="5a9424723f39d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age 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at5pdeayafz5cezfxixtttux9tstzx2zr99&quot;&gt;Jan&amp;apos;s HAI Library&lt;record-ids&gt;&lt;item&gt;1&lt;/item&gt;&lt;item&gt;2&lt;/item&gt;&lt;item&gt;59&lt;/item&gt;&lt;item&gt;96&lt;/item&gt;&lt;item&gt;97&lt;/item&gt;&lt;item&gt;98&lt;/item&gt;&lt;item&gt;99&lt;/item&gt;&lt;item&gt;100&lt;/item&gt;&lt;item&gt;101&lt;/item&gt;&lt;item&gt;102&lt;/item&gt;&lt;/record-ids&gt;&lt;/item&gt;&lt;/Libraries&gt;"/>
  </w:docVars>
  <w:rsids>
    <w:rsidRoot w:val="007268C0"/>
    <w:rsid w:val="0000051B"/>
    <w:rsid w:val="00007D92"/>
    <w:rsid w:val="0001651E"/>
    <w:rsid w:val="000222AC"/>
    <w:rsid w:val="0002313C"/>
    <w:rsid w:val="00023D27"/>
    <w:rsid w:val="00060924"/>
    <w:rsid w:val="000609E5"/>
    <w:rsid w:val="0006491B"/>
    <w:rsid w:val="000768EE"/>
    <w:rsid w:val="00090F89"/>
    <w:rsid w:val="00095A17"/>
    <w:rsid w:val="000C647D"/>
    <w:rsid w:val="000D47CB"/>
    <w:rsid w:val="000E6A11"/>
    <w:rsid w:val="000F6408"/>
    <w:rsid w:val="000F7AAA"/>
    <w:rsid w:val="00105A0B"/>
    <w:rsid w:val="00113BF2"/>
    <w:rsid w:val="0012479E"/>
    <w:rsid w:val="0015384F"/>
    <w:rsid w:val="0017059E"/>
    <w:rsid w:val="00184B63"/>
    <w:rsid w:val="001A7A39"/>
    <w:rsid w:val="001B013A"/>
    <w:rsid w:val="001B7876"/>
    <w:rsid w:val="001C40A0"/>
    <w:rsid w:val="001C6590"/>
    <w:rsid w:val="001E0144"/>
    <w:rsid w:val="001E35A5"/>
    <w:rsid w:val="001E4064"/>
    <w:rsid w:val="001E7704"/>
    <w:rsid w:val="001F4C1A"/>
    <w:rsid w:val="00203CBF"/>
    <w:rsid w:val="00205032"/>
    <w:rsid w:val="00223D7C"/>
    <w:rsid w:val="00224764"/>
    <w:rsid w:val="00261527"/>
    <w:rsid w:val="00263487"/>
    <w:rsid w:val="0028000B"/>
    <w:rsid w:val="00283A82"/>
    <w:rsid w:val="002B3859"/>
    <w:rsid w:val="002F18D7"/>
    <w:rsid w:val="00302F5E"/>
    <w:rsid w:val="00325F08"/>
    <w:rsid w:val="0033182B"/>
    <w:rsid w:val="003341E3"/>
    <w:rsid w:val="00347D57"/>
    <w:rsid w:val="003559F3"/>
    <w:rsid w:val="003717EE"/>
    <w:rsid w:val="00394EFE"/>
    <w:rsid w:val="003A3DBC"/>
    <w:rsid w:val="003A6DAF"/>
    <w:rsid w:val="003A70D9"/>
    <w:rsid w:val="003B210A"/>
    <w:rsid w:val="003C3D09"/>
    <w:rsid w:val="003C56EF"/>
    <w:rsid w:val="003C72AA"/>
    <w:rsid w:val="003D5638"/>
    <w:rsid w:val="003E618C"/>
    <w:rsid w:val="00407363"/>
    <w:rsid w:val="00427CFF"/>
    <w:rsid w:val="00436893"/>
    <w:rsid w:val="00437AB0"/>
    <w:rsid w:val="00441712"/>
    <w:rsid w:val="00446A3F"/>
    <w:rsid w:val="00453B3D"/>
    <w:rsid w:val="004821E7"/>
    <w:rsid w:val="00487064"/>
    <w:rsid w:val="00491541"/>
    <w:rsid w:val="00497CEA"/>
    <w:rsid w:val="004A389A"/>
    <w:rsid w:val="004A567B"/>
    <w:rsid w:val="004A7EB7"/>
    <w:rsid w:val="004B5B01"/>
    <w:rsid w:val="004C4613"/>
    <w:rsid w:val="004D3DC5"/>
    <w:rsid w:val="004E103B"/>
    <w:rsid w:val="004F6DAE"/>
    <w:rsid w:val="005039B5"/>
    <w:rsid w:val="00505C27"/>
    <w:rsid w:val="005074B2"/>
    <w:rsid w:val="00522A47"/>
    <w:rsid w:val="00525763"/>
    <w:rsid w:val="00526242"/>
    <w:rsid w:val="005445E4"/>
    <w:rsid w:val="00544D33"/>
    <w:rsid w:val="00545C1F"/>
    <w:rsid w:val="00552DD2"/>
    <w:rsid w:val="00556227"/>
    <w:rsid w:val="00560786"/>
    <w:rsid w:val="0056137D"/>
    <w:rsid w:val="00583803"/>
    <w:rsid w:val="00585613"/>
    <w:rsid w:val="005877F6"/>
    <w:rsid w:val="005B391F"/>
    <w:rsid w:val="005D681F"/>
    <w:rsid w:val="005E095D"/>
    <w:rsid w:val="005E6CDB"/>
    <w:rsid w:val="005F341E"/>
    <w:rsid w:val="005F5019"/>
    <w:rsid w:val="00605FF8"/>
    <w:rsid w:val="006235A8"/>
    <w:rsid w:val="00630F76"/>
    <w:rsid w:val="00636670"/>
    <w:rsid w:val="006368D6"/>
    <w:rsid w:val="00654C2B"/>
    <w:rsid w:val="00670393"/>
    <w:rsid w:val="00676261"/>
    <w:rsid w:val="00683281"/>
    <w:rsid w:val="00685151"/>
    <w:rsid w:val="00687F00"/>
    <w:rsid w:val="006943E0"/>
    <w:rsid w:val="006B0FFF"/>
    <w:rsid w:val="006B2063"/>
    <w:rsid w:val="006C62CE"/>
    <w:rsid w:val="006D0B1C"/>
    <w:rsid w:val="006D7520"/>
    <w:rsid w:val="006E187E"/>
    <w:rsid w:val="006E5106"/>
    <w:rsid w:val="006F7D1A"/>
    <w:rsid w:val="007004F3"/>
    <w:rsid w:val="00724B1B"/>
    <w:rsid w:val="00725F31"/>
    <w:rsid w:val="007268C0"/>
    <w:rsid w:val="007605AB"/>
    <w:rsid w:val="007713CE"/>
    <w:rsid w:val="007730F1"/>
    <w:rsid w:val="00776DB7"/>
    <w:rsid w:val="00782645"/>
    <w:rsid w:val="00795515"/>
    <w:rsid w:val="00797E9E"/>
    <w:rsid w:val="00797EA9"/>
    <w:rsid w:val="007A044A"/>
    <w:rsid w:val="007C46C6"/>
    <w:rsid w:val="007C5ED7"/>
    <w:rsid w:val="007E583F"/>
    <w:rsid w:val="00800641"/>
    <w:rsid w:val="00802669"/>
    <w:rsid w:val="00803778"/>
    <w:rsid w:val="00804354"/>
    <w:rsid w:val="00830992"/>
    <w:rsid w:val="00861C83"/>
    <w:rsid w:val="0088545A"/>
    <w:rsid w:val="00890D27"/>
    <w:rsid w:val="008A7F66"/>
    <w:rsid w:val="008B088A"/>
    <w:rsid w:val="008B6B20"/>
    <w:rsid w:val="009157DF"/>
    <w:rsid w:val="00926F9E"/>
    <w:rsid w:val="00927362"/>
    <w:rsid w:val="00934C42"/>
    <w:rsid w:val="009428F6"/>
    <w:rsid w:val="00944766"/>
    <w:rsid w:val="00947A38"/>
    <w:rsid w:val="00951952"/>
    <w:rsid w:val="00960E92"/>
    <w:rsid w:val="009631D4"/>
    <w:rsid w:val="009726FC"/>
    <w:rsid w:val="00973B90"/>
    <w:rsid w:val="00992BC8"/>
    <w:rsid w:val="009A0D60"/>
    <w:rsid w:val="009A15A1"/>
    <w:rsid w:val="009A42FD"/>
    <w:rsid w:val="009B0524"/>
    <w:rsid w:val="009B5E3C"/>
    <w:rsid w:val="009C37AB"/>
    <w:rsid w:val="009F2E36"/>
    <w:rsid w:val="00A136F9"/>
    <w:rsid w:val="00A150AD"/>
    <w:rsid w:val="00A36FF6"/>
    <w:rsid w:val="00A50D2D"/>
    <w:rsid w:val="00A76312"/>
    <w:rsid w:val="00A82A90"/>
    <w:rsid w:val="00A9051F"/>
    <w:rsid w:val="00A90589"/>
    <w:rsid w:val="00A95419"/>
    <w:rsid w:val="00AA2AD4"/>
    <w:rsid w:val="00AA32C0"/>
    <w:rsid w:val="00AC2EDE"/>
    <w:rsid w:val="00AD5CB1"/>
    <w:rsid w:val="00AD654B"/>
    <w:rsid w:val="00B03277"/>
    <w:rsid w:val="00B11BC6"/>
    <w:rsid w:val="00B12D35"/>
    <w:rsid w:val="00B14BA5"/>
    <w:rsid w:val="00B34C58"/>
    <w:rsid w:val="00B451BA"/>
    <w:rsid w:val="00B62267"/>
    <w:rsid w:val="00BA6EF0"/>
    <w:rsid w:val="00BA7DA8"/>
    <w:rsid w:val="00BB4B2E"/>
    <w:rsid w:val="00BB6CDA"/>
    <w:rsid w:val="00BC0C75"/>
    <w:rsid w:val="00BE4E9E"/>
    <w:rsid w:val="00BF2A25"/>
    <w:rsid w:val="00BF2E0E"/>
    <w:rsid w:val="00C0751A"/>
    <w:rsid w:val="00C16C75"/>
    <w:rsid w:val="00C347F0"/>
    <w:rsid w:val="00C417A7"/>
    <w:rsid w:val="00C56C32"/>
    <w:rsid w:val="00C72E0B"/>
    <w:rsid w:val="00C76E56"/>
    <w:rsid w:val="00C8021B"/>
    <w:rsid w:val="00C90F05"/>
    <w:rsid w:val="00C94433"/>
    <w:rsid w:val="00C956BD"/>
    <w:rsid w:val="00C97DE0"/>
    <w:rsid w:val="00C97E86"/>
    <w:rsid w:val="00CA5C6C"/>
    <w:rsid w:val="00CB15E0"/>
    <w:rsid w:val="00CC02CC"/>
    <w:rsid w:val="00CC6E83"/>
    <w:rsid w:val="00CD5E23"/>
    <w:rsid w:val="00CE722A"/>
    <w:rsid w:val="00D027EF"/>
    <w:rsid w:val="00D14E81"/>
    <w:rsid w:val="00D16D8E"/>
    <w:rsid w:val="00D31E4E"/>
    <w:rsid w:val="00D3210C"/>
    <w:rsid w:val="00D3252D"/>
    <w:rsid w:val="00D43E54"/>
    <w:rsid w:val="00D44A5A"/>
    <w:rsid w:val="00D51E9B"/>
    <w:rsid w:val="00D547A8"/>
    <w:rsid w:val="00D54EA0"/>
    <w:rsid w:val="00D562A8"/>
    <w:rsid w:val="00D56641"/>
    <w:rsid w:val="00D62C3A"/>
    <w:rsid w:val="00D764D0"/>
    <w:rsid w:val="00D81FD2"/>
    <w:rsid w:val="00D9499D"/>
    <w:rsid w:val="00D967CA"/>
    <w:rsid w:val="00DE2505"/>
    <w:rsid w:val="00E006D0"/>
    <w:rsid w:val="00E1313D"/>
    <w:rsid w:val="00E16736"/>
    <w:rsid w:val="00E21FFD"/>
    <w:rsid w:val="00E2549F"/>
    <w:rsid w:val="00E52A55"/>
    <w:rsid w:val="00E52D5E"/>
    <w:rsid w:val="00E54B44"/>
    <w:rsid w:val="00E72E6A"/>
    <w:rsid w:val="00E72F8D"/>
    <w:rsid w:val="00E75953"/>
    <w:rsid w:val="00E83B1F"/>
    <w:rsid w:val="00E9709D"/>
    <w:rsid w:val="00EB545C"/>
    <w:rsid w:val="00ED35B7"/>
    <w:rsid w:val="00ED693F"/>
    <w:rsid w:val="00F05743"/>
    <w:rsid w:val="00F11F62"/>
    <w:rsid w:val="00F253BF"/>
    <w:rsid w:val="00F4001A"/>
    <w:rsid w:val="00F521E8"/>
    <w:rsid w:val="00F710D0"/>
    <w:rsid w:val="00F8743B"/>
    <w:rsid w:val="00FA2CBC"/>
    <w:rsid w:val="00FA2EC9"/>
    <w:rsid w:val="00FA7A9D"/>
    <w:rsid w:val="00FB0BEB"/>
    <w:rsid w:val="00FE3F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D6A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6408"/>
    <w:pPr>
      <w:keepNext/>
      <w:keepLines/>
      <w:spacing w:before="480" w:after="0" w:line="240" w:lineRule="auto"/>
      <w:outlineLvl w:val="0"/>
    </w:pPr>
    <w:rPr>
      <w:rFonts w:ascii="Arial" w:eastAsiaTheme="majorEastAsia" w:hAnsi="Arial" w:cstheme="majorBidi"/>
      <w:b/>
      <w:bCs/>
      <w:color w:val="1479A3"/>
      <w:sz w:val="44"/>
      <w:szCs w:val="28"/>
    </w:rPr>
  </w:style>
  <w:style w:type="paragraph" w:styleId="Heading2">
    <w:name w:val="heading 2"/>
    <w:basedOn w:val="Normal"/>
    <w:next w:val="Normal"/>
    <w:link w:val="Heading2Char"/>
    <w:uiPriority w:val="9"/>
    <w:unhideWhenUsed/>
    <w:qFormat/>
    <w:rsid w:val="00C97DE0"/>
    <w:pPr>
      <w:keepNext/>
      <w:keepLines/>
      <w:spacing w:before="120" w:after="0"/>
      <w:outlineLvl w:val="1"/>
    </w:pPr>
    <w:rPr>
      <w:rFonts w:ascii="Arial" w:eastAsiaTheme="majorEastAsia" w:hAnsi="Arial" w:cstheme="majorBidi"/>
      <w:b/>
      <w:bCs/>
      <w:color w:val="1479A3"/>
      <w:sz w:val="26"/>
      <w:szCs w:val="26"/>
    </w:rPr>
  </w:style>
  <w:style w:type="paragraph" w:styleId="Heading3">
    <w:name w:val="heading 3"/>
    <w:basedOn w:val="Normal"/>
    <w:next w:val="Normal"/>
    <w:link w:val="Heading3Char"/>
    <w:uiPriority w:val="9"/>
    <w:unhideWhenUsed/>
    <w:qFormat/>
    <w:rsid w:val="00C97DE0"/>
    <w:pPr>
      <w:keepNext/>
      <w:keepLines/>
      <w:spacing w:after="0" w:line="240" w:lineRule="auto"/>
      <w:outlineLvl w:val="2"/>
    </w:pPr>
    <w:rPr>
      <w:rFonts w:ascii="Arial" w:eastAsiaTheme="majorEastAsia" w:hAnsi="Arial" w:cstheme="majorBidi"/>
      <w:bCs/>
      <w:color w:val="1479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1BA"/>
    <w:pPr>
      <w:ind w:left="720"/>
      <w:contextualSpacing/>
    </w:pPr>
  </w:style>
  <w:style w:type="paragraph" w:styleId="BalloonText">
    <w:name w:val="Balloon Text"/>
    <w:basedOn w:val="Normal"/>
    <w:link w:val="BalloonTextChar"/>
    <w:uiPriority w:val="99"/>
    <w:semiHidden/>
    <w:unhideWhenUsed/>
    <w:rsid w:val="003A3D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DBC"/>
    <w:rPr>
      <w:rFonts w:ascii="Tahoma" w:hAnsi="Tahoma" w:cs="Tahoma"/>
      <w:sz w:val="16"/>
      <w:szCs w:val="16"/>
    </w:rPr>
  </w:style>
  <w:style w:type="paragraph" w:styleId="Header">
    <w:name w:val="header"/>
    <w:basedOn w:val="Normal"/>
    <w:link w:val="HeaderChar"/>
    <w:uiPriority w:val="99"/>
    <w:unhideWhenUsed/>
    <w:rsid w:val="000E6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A11"/>
  </w:style>
  <w:style w:type="paragraph" w:styleId="Footer">
    <w:name w:val="footer"/>
    <w:basedOn w:val="Normal"/>
    <w:link w:val="FooterChar"/>
    <w:uiPriority w:val="99"/>
    <w:unhideWhenUsed/>
    <w:rsid w:val="000E6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A11"/>
  </w:style>
  <w:style w:type="character" w:styleId="Hyperlink">
    <w:name w:val="Hyperlink"/>
    <w:basedOn w:val="DefaultParagraphFont"/>
    <w:unhideWhenUsed/>
    <w:rsid w:val="00687F00"/>
    <w:rPr>
      <w:color w:val="0000FF" w:themeColor="hyperlink"/>
      <w:u w:val="single"/>
    </w:rPr>
  </w:style>
  <w:style w:type="paragraph" w:styleId="FootnoteText">
    <w:name w:val="footnote text"/>
    <w:basedOn w:val="Normal"/>
    <w:link w:val="FootnoteTextChar"/>
    <w:uiPriority w:val="99"/>
    <w:semiHidden/>
    <w:unhideWhenUsed/>
    <w:rsid w:val="00687F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7F00"/>
    <w:rPr>
      <w:sz w:val="20"/>
      <w:szCs w:val="20"/>
    </w:rPr>
  </w:style>
  <w:style w:type="character" w:styleId="FootnoteReference">
    <w:name w:val="footnote reference"/>
    <w:basedOn w:val="DefaultParagraphFont"/>
    <w:uiPriority w:val="99"/>
    <w:semiHidden/>
    <w:unhideWhenUsed/>
    <w:rsid w:val="00687F00"/>
    <w:rPr>
      <w:vertAlign w:val="superscript"/>
    </w:rPr>
  </w:style>
  <w:style w:type="paragraph" w:customStyle="1" w:styleId="Default">
    <w:name w:val="Default"/>
    <w:rsid w:val="009B052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3210C"/>
    <w:rPr>
      <w:sz w:val="16"/>
      <w:szCs w:val="16"/>
    </w:rPr>
  </w:style>
  <w:style w:type="paragraph" w:styleId="CommentText">
    <w:name w:val="annotation text"/>
    <w:basedOn w:val="Normal"/>
    <w:link w:val="CommentTextChar"/>
    <w:uiPriority w:val="99"/>
    <w:semiHidden/>
    <w:unhideWhenUsed/>
    <w:rsid w:val="00D3210C"/>
    <w:pPr>
      <w:spacing w:line="240" w:lineRule="auto"/>
    </w:pPr>
    <w:rPr>
      <w:sz w:val="20"/>
      <w:szCs w:val="20"/>
    </w:rPr>
  </w:style>
  <w:style w:type="character" w:customStyle="1" w:styleId="CommentTextChar">
    <w:name w:val="Comment Text Char"/>
    <w:basedOn w:val="DefaultParagraphFont"/>
    <w:link w:val="CommentText"/>
    <w:uiPriority w:val="99"/>
    <w:semiHidden/>
    <w:rsid w:val="00D3210C"/>
    <w:rPr>
      <w:sz w:val="20"/>
      <w:szCs w:val="20"/>
    </w:rPr>
  </w:style>
  <w:style w:type="paragraph" w:styleId="CommentSubject">
    <w:name w:val="annotation subject"/>
    <w:basedOn w:val="CommentText"/>
    <w:next w:val="CommentText"/>
    <w:link w:val="CommentSubjectChar"/>
    <w:uiPriority w:val="99"/>
    <w:semiHidden/>
    <w:unhideWhenUsed/>
    <w:rsid w:val="00D3210C"/>
    <w:rPr>
      <w:b/>
      <w:bCs/>
    </w:rPr>
  </w:style>
  <w:style w:type="character" w:customStyle="1" w:styleId="CommentSubjectChar">
    <w:name w:val="Comment Subject Char"/>
    <w:basedOn w:val="CommentTextChar"/>
    <w:link w:val="CommentSubject"/>
    <w:uiPriority w:val="99"/>
    <w:semiHidden/>
    <w:rsid w:val="00D3210C"/>
    <w:rPr>
      <w:b/>
      <w:bCs/>
      <w:sz w:val="20"/>
      <w:szCs w:val="20"/>
    </w:rPr>
  </w:style>
  <w:style w:type="character" w:styleId="FollowedHyperlink">
    <w:name w:val="FollowedHyperlink"/>
    <w:basedOn w:val="DefaultParagraphFont"/>
    <w:uiPriority w:val="99"/>
    <w:semiHidden/>
    <w:unhideWhenUsed/>
    <w:rsid w:val="00487064"/>
    <w:rPr>
      <w:color w:val="800080" w:themeColor="followedHyperlink"/>
      <w:u w:val="single"/>
    </w:rPr>
  </w:style>
  <w:style w:type="table" w:styleId="TableGrid">
    <w:name w:val="Table Grid"/>
    <w:basedOn w:val="TableNormal"/>
    <w:rsid w:val="009A0D6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0609E5"/>
    <w:rPr>
      <w:i/>
      <w:iCs/>
    </w:rPr>
  </w:style>
  <w:style w:type="character" w:customStyle="1" w:styleId="xbe">
    <w:name w:val="_xbe"/>
    <w:basedOn w:val="DefaultParagraphFont"/>
    <w:rsid w:val="000609E5"/>
  </w:style>
  <w:style w:type="paragraph" w:styleId="Revision">
    <w:name w:val="Revision"/>
    <w:hidden/>
    <w:uiPriority w:val="99"/>
    <w:semiHidden/>
    <w:rsid w:val="001E7704"/>
    <w:pPr>
      <w:spacing w:after="0" w:line="240" w:lineRule="auto"/>
    </w:pPr>
  </w:style>
  <w:style w:type="character" w:customStyle="1" w:styleId="Heading1Char">
    <w:name w:val="Heading 1 Char"/>
    <w:basedOn w:val="DefaultParagraphFont"/>
    <w:link w:val="Heading1"/>
    <w:uiPriority w:val="9"/>
    <w:rsid w:val="000F6408"/>
    <w:rPr>
      <w:rFonts w:ascii="Arial" w:eastAsiaTheme="majorEastAsia" w:hAnsi="Arial" w:cstheme="majorBidi"/>
      <w:b/>
      <w:bCs/>
      <w:color w:val="1479A3"/>
      <w:sz w:val="44"/>
      <w:szCs w:val="28"/>
    </w:rPr>
  </w:style>
  <w:style w:type="character" w:customStyle="1" w:styleId="Heading2Char">
    <w:name w:val="Heading 2 Char"/>
    <w:basedOn w:val="DefaultParagraphFont"/>
    <w:link w:val="Heading2"/>
    <w:uiPriority w:val="9"/>
    <w:rsid w:val="00C97DE0"/>
    <w:rPr>
      <w:rFonts w:ascii="Arial" w:eastAsiaTheme="majorEastAsia" w:hAnsi="Arial" w:cstheme="majorBidi"/>
      <w:b/>
      <w:bCs/>
      <w:color w:val="1479A3"/>
      <w:sz w:val="26"/>
      <w:szCs w:val="26"/>
    </w:rPr>
  </w:style>
  <w:style w:type="character" w:customStyle="1" w:styleId="Heading3Char">
    <w:name w:val="Heading 3 Char"/>
    <w:basedOn w:val="DefaultParagraphFont"/>
    <w:link w:val="Heading3"/>
    <w:uiPriority w:val="9"/>
    <w:rsid w:val="00C97DE0"/>
    <w:rPr>
      <w:rFonts w:ascii="Arial" w:eastAsiaTheme="majorEastAsia" w:hAnsi="Arial" w:cstheme="majorBidi"/>
      <w:bCs/>
      <w:color w:val="1479A3"/>
    </w:rPr>
  </w:style>
  <w:style w:type="paragraph" w:customStyle="1" w:styleId="BulletBeforeDash">
    <w:name w:val="BulletBeforeDash"/>
    <w:basedOn w:val="Normal"/>
    <w:rsid w:val="00C16C75"/>
    <w:pPr>
      <w:numPr>
        <w:numId w:val="11"/>
      </w:numPr>
      <w:spacing w:after="0" w:line="240" w:lineRule="auto"/>
    </w:pPr>
    <w:rPr>
      <w:rFonts w:ascii="Arial" w:eastAsia="Times New Roman" w:hAnsi="Arial" w:cs="Times New Roman"/>
      <w:color w:val="000000"/>
      <w:szCs w:val="20"/>
      <w:lang w:eastAsia="en-AU"/>
    </w:rPr>
  </w:style>
  <w:style w:type="paragraph" w:customStyle="1" w:styleId="Bullet">
    <w:name w:val="Bullet"/>
    <w:basedOn w:val="BulletBeforeDash"/>
    <w:qFormat/>
    <w:rsid w:val="00C16C75"/>
    <w:pPr>
      <w:spacing w:after="120"/>
    </w:pPr>
  </w:style>
  <w:style w:type="paragraph" w:customStyle="1" w:styleId="BulletLast">
    <w:name w:val="BulletLast"/>
    <w:basedOn w:val="Bullet"/>
    <w:qFormat/>
    <w:rsid w:val="00C16C75"/>
    <w:pPr>
      <w:spacing w:after="240"/>
    </w:pPr>
  </w:style>
  <w:style w:type="paragraph" w:customStyle="1" w:styleId="NormalBeforeBullet">
    <w:name w:val="NormalBeforeBullet"/>
    <w:basedOn w:val="Normal"/>
    <w:qFormat/>
    <w:rsid w:val="00C16C75"/>
    <w:pPr>
      <w:keepNext/>
      <w:spacing w:after="120" w:line="240" w:lineRule="auto"/>
    </w:pPr>
    <w:rPr>
      <w:rFonts w:ascii="Arial" w:eastAsia="Times New Roman" w:hAnsi="Arial" w:cs="Times New Roman"/>
      <w:color w:val="000000"/>
      <w:szCs w:val="20"/>
      <w:lang w:eastAsia="en-AU"/>
    </w:rPr>
  </w:style>
  <w:style w:type="paragraph" w:customStyle="1" w:styleId="NumberList">
    <w:name w:val="NumberList"/>
    <w:basedOn w:val="Normal"/>
    <w:rsid w:val="00C16C75"/>
    <w:pPr>
      <w:tabs>
        <w:tab w:val="left" w:pos="360"/>
      </w:tabs>
      <w:spacing w:after="240" w:line="240" w:lineRule="auto"/>
      <w:ind w:left="360" w:hanging="360"/>
    </w:pPr>
    <w:rPr>
      <w:rFonts w:ascii="Arial" w:eastAsia="Times New Roman" w:hAnsi="Arial" w:cs="Times New Roman"/>
      <w:color w:val="00000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6408"/>
    <w:pPr>
      <w:keepNext/>
      <w:keepLines/>
      <w:spacing w:before="480" w:after="0" w:line="240" w:lineRule="auto"/>
      <w:outlineLvl w:val="0"/>
    </w:pPr>
    <w:rPr>
      <w:rFonts w:ascii="Arial" w:eastAsiaTheme="majorEastAsia" w:hAnsi="Arial" w:cstheme="majorBidi"/>
      <w:b/>
      <w:bCs/>
      <w:color w:val="1479A3"/>
      <w:sz w:val="44"/>
      <w:szCs w:val="28"/>
    </w:rPr>
  </w:style>
  <w:style w:type="paragraph" w:styleId="Heading2">
    <w:name w:val="heading 2"/>
    <w:basedOn w:val="Normal"/>
    <w:next w:val="Normal"/>
    <w:link w:val="Heading2Char"/>
    <w:uiPriority w:val="9"/>
    <w:unhideWhenUsed/>
    <w:qFormat/>
    <w:rsid w:val="00C97DE0"/>
    <w:pPr>
      <w:keepNext/>
      <w:keepLines/>
      <w:spacing w:before="120" w:after="0"/>
      <w:outlineLvl w:val="1"/>
    </w:pPr>
    <w:rPr>
      <w:rFonts w:ascii="Arial" w:eastAsiaTheme="majorEastAsia" w:hAnsi="Arial" w:cstheme="majorBidi"/>
      <w:b/>
      <w:bCs/>
      <w:color w:val="1479A3"/>
      <w:sz w:val="26"/>
      <w:szCs w:val="26"/>
    </w:rPr>
  </w:style>
  <w:style w:type="paragraph" w:styleId="Heading3">
    <w:name w:val="heading 3"/>
    <w:basedOn w:val="Normal"/>
    <w:next w:val="Normal"/>
    <w:link w:val="Heading3Char"/>
    <w:uiPriority w:val="9"/>
    <w:unhideWhenUsed/>
    <w:qFormat/>
    <w:rsid w:val="00C97DE0"/>
    <w:pPr>
      <w:keepNext/>
      <w:keepLines/>
      <w:spacing w:after="0" w:line="240" w:lineRule="auto"/>
      <w:outlineLvl w:val="2"/>
    </w:pPr>
    <w:rPr>
      <w:rFonts w:ascii="Arial" w:eastAsiaTheme="majorEastAsia" w:hAnsi="Arial" w:cstheme="majorBidi"/>
      <w:bCs/>
      <w:color w:val="1479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1BA"/>
    <w:pPr>
      <w:ind w:left="720"/>
      <w:contextualSpacing/>
    </w:pPr>
  </w:style>
  <w:style w:type="paragraph" w:styleId="BalloonText">
    <w:name w:val="Balloon Text"/>
    <w:basedOn w:val="Normal"/>
    <w:link w:val="BalloonTextChar"/>
    <w:uiPriority w:val="99"/>
    <w:semiHidden/>
    <w:unhideWhenUsed/>
    <w:rsid w:val="003A3D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DBC"/>
    <w:rPr>
      <w:rFonts w:ascii="Tahoma" w:hAnsi="Tahoma" w:cs="Tahoma"/>
      <w:sz w:val="16"/>
      <w:szCs w:val="16"/>
    </w:rPr>
  </w:style>
  <w:style w:type="paragraph" w:styleId="Header">
    <w:name w:val="header"/>
    <w:basedOn w:val="Normal"/>
    <w:link w:val="HeaderChar"/>
    <w:uiPriority w:val="99"/>
    <w:unhideWhenUsed/>
    <w:rsid w:val="000E6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A11"/>
  </w:style>
  <w:style w:type="paragraph" w:styleId="Footer">
    <w:name w:val="footer"/>
    <w:basedOn w:val="Normal"/>
    <w:link w:val="FooterChar"/>
    <w:uiPriority w:val="99"/>
    <w:unhideWhenUsed/>
    <w:rsid w:val="000E6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A11"/>
  </w:style>
  <w:style w:type="character" w:styleId="Hyperlink">
    <w:name w:val="Hyperlink"/>
    <w:basedOn w:val="DefaultParagraphFont"/>
    <w:unhideWhenUsed/>
    <w:rsid w:val="00687F00"/>
    <w:rPr>
      <w:color w:val="0000FF" w:themeColor="hyperlink"/>
      <w:u w:val="single"/>
    </w:rPr>
  </w:style>
  <w:style w:type="paragraph" w:styleId="FootnoteText">
    <w:name w:val="footnote text"/>
    <w:basedOn w:val="Normal"/>
    <w:link w:val="FootnoteTextChar"/>
    <w:uiPriority w:val="99"/>
    <w:semiHidden/>
    <w:unhideWhenUsed/>
    <w:rsid w:val="00687F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7F00"/>
    <w:rPr>
      <w:sz w:val="20"/>
      <w:szCs w:val="20"/>
    </w:rPr>
  </w:style>
  <w:style w:type="character" w:styleId="FootnoteReference">
    <w:name w:val="footnote reference"/>
    <w:basedOn w:val="DefaultParagraphFont"/>
    <w:uiPriority w:val="99"/>
    <w:semiHidden/>
    <w:unhideWhenUsed/>
    <w:rsid w:val="00687F00"/>
    <w:rPr>
      <w:vertAlign w:val="superscript"/>
    </w:rPr>
  </w:style>
  <w:style w:type="paragraph" w:customStyle="1" w:styleId="Default">
    <w:name w:val="Default"/>
    <w:rsid w:val="009B052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3210C"/>
    <w:rPr>
      <w:sz w:val="16"/>
      <w:szCs w:val="16"/>
    </w:rPr>
  </w:style>
  <w:style w:type="paragraph" w:styleId="CommentText">
    <w:name w:val="annotation text"/>
    <w:basedOn w:val="Normal"/>
    <w:link w:val="CommentTextChar"/>
    <w:uiPriority w:val="99"/>
    <w:semiHidden/>
    <w:unhideWhenUsed/>
    <w:rsid w:val="00D3210C"/>
    <w:pPr>
      <w:spacing w:line="240" w:lineRule="auto"/>
    </w:pPr>
    <w:rPr>
      <w:sz w:val="20"/>
      <w:szCs w:val="20"/>
    </w:rPr>
  </w:style>
  <w:style w:type="character" w:customStyle="1" w:styleId="CommentTextChar">
    <w:name w:val="Comment Text Char"/>
    <w:basedOn w:val="DefaultParagraphFont"/>
    <w:link w:val="CommentText"/>
    <w:uiPriority w:val="99"/>
    <w:semiHidden/>
    <w:rsid w:val="00D3210C"/>
    <w:rPr>
      <w:sz w:val="20"/>
      <w:szCs w:val="20"/>
    </w:rPr>
  </w:style>
  <w:style w:type="paragraph" w:styleId="CommentSubject">
    <w:name w:val="annotation subject"/>
    <w:basedOn w:val="CommentText"/>
    <w:next w:val="CommentText"/>
    <w:link w:val="CommentSubjectChar"/>
    <w:uiPriority w:val="99"/>
    <w:semiHidden/>
    <w:unhideWhenUsed/>
    <w:rsid w:val="00D3210C"/>
    <w:rPr>
      <w:b/>
      <w:bCs/>
    </w:rPr>
  </w:style>
  <w:style w:type="character" w:customStyle="1" w:styleId="CommentSubjectChar">
    <w:name w:val="Comment Subject Char"/>
    <w:basedOn w:val="CommentTextChar"/>
    <w:link w:val="CommentSubject"/>
    <w:uiPriority w:val="99"/>
    <w:semiHidden/>
    <w:rsid w:val="00D3210C"/>
    <w:rPr>
      <w:b/>
      <w:bCs/>
      <w:sz w:val="20"/>
      <w:szCs w:val="20"/>
    </w:rPr>
  </w:style>
  <w:style w:type="character" w:styleId="FollowedHyperlink">
    <w:name w:val="FollowedHyperlink"/>
    <w:basedOn w:val="DefaultParagraphFont"/>
    <w:uiPriority w:val="99"/>
    <w:semiHidden/>
    <w:unhideWhenUsed/>
    <w:rsid w:val="00487064"/>
    <w:rPr>
      <w:color w:val="800080" w:themeColor="followedHyperlink"/>
      <w:u w:val="single"/>
    </w:rPr>
  </w:style>
  <w:style w:type="table" w:styleId="TableGrid">
    <w:name w:val="Table Grid"/>
    <w:basedOn w:val="TableNormal"/>
    <w:rsid w:val="009A0D6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0609E5"/>
    <w:rPr>
      <w:i/>
      <w:iCs/>
    </w:rPr>
  </w:style>
  <w:style w:type="character" w:customStyle="1" w:styleId="xbe">
    <w:name w:val="_xbe"/>
    <w:basedOn w:val="DefaultParagraphFont"/>
    <w:rsid w:val="000609E5"/>
  </w:style>
  <w:style w:type="paragraph" w:styleId="Revision">
    <w:name w:val="Revision"/>
    <w:hidden/>
    <w:uiPriority w:val="99"/>
    <w:semiHidden/>
    <w:rsid w:val="001E7704"/>
    <w:pPr>
      <w:spacing w:after="0" w:line="240" w:lineRule="auto"/>
    </w:pPr>
  </w:style>
  <w:style w:type="character" w:customStyle="1" w:styleId="Heading1Char">
    <w:name w:val="Heading 1 Char"/>
    <w:basedOn w:val="DefaultParagraphFont"/>
    <w:link w:val="Heading1"/>
    <w:uiPriority w:val="9"/>
    <w:rsid w:val="000F6408"/>
    <w:rPr>
      <w:rFonts w:ascii="Arial" w:eastAsiaTheme="majorEastAsia" w:hAnsi="Arial" w:cstheme="majorBidi"/>
      <w:b/>
      <w:bCs/>
      <w:color w:val="1479A3"/>
      <w:sz w:val="44"/>
      <w:szCs w:val="28"/>
    </w:rPr>
  </w:style>
  <w:style w:type="character" w:customStyle="1" w:styleId="Heading2Char">
    <w:name w:val="Heading 2 Char"/>
    <w:basedOn w:val="DefaultParagraphFont"/>
    <w:link w:val="Heading2"/>
    <w:uiPriority w:val="9"/>
    <w:rsid w:val="00C97DE0"/>
    <w:rPr>
      <w:rFonts w:ascii="Arial" w:eastAsiaTheme="majorEastAsia" w:hAnsi="Arial" w:cstheme="majorBidi"/>
      <w:b/>
      <w:bCs/>
      <w:color w:val="1479A3"/>
      <w:sz w:val="26"/>
      <w:szCs w:val="26"/>
    </w:rPr>
  </w:style>
  <w:style w:type="character" w:customStyle="1" w:styleId="Heading3Char">
    <w:name w:val="Heading 3 Char"/>
    <w:basedOn w:val="DefaultParagraphFont"/>
    <w:link w:val="Heading3"/>
    <w:uiPriority w:val="9"/>
    <w:rsid w:val="00C97DE0"/>
    <w:rPr>
      <w:rFonts w:ascii="Arial" w:eastAsiaTheme="majorEastAsia" w:hAnsi="Arial" w:cstheme="majorBidi"/>
      <w:bCs/>
      <w:color w:val="1479A3"/>
    </w:rPr>
  </w:style>
  <w:style w:type="paragraph" w:customStyle="1" w:styleId="BulletBeforeDash">
    <w:name w:val="BulletBeforeDash"/>
    <w:basedOn w:val="Normal"/>
    <w:rsid w:val="00C16C75"/>
    <w:pPr>
      <w:numPr>
        <w:numId w:val="11"/>
      </w:numPr>
      <w:spacing w:after="0" w:line="240" w:lineRule="auto"/>
    </w:pPr>
    <w:rPr>
      <w:rFonts w:ascii="Arial" w:eastAsia="Times New Roman" w:hAnsi="Arial" w:cs="Times New Roman"/>
      <w:color w:val="000000"/>
      <w:szCs w:val="20"/>
      <w:lang w:eastAsia="en-AU"/>
    </w:rPr>
  </w:style>
  <w:style w:type="paragraph" w:customStyle="1" w:styleId="Bullet">
    <w:name w:val="Bullet"/>
    <w:basedOn w:val="BulletBeforeDash"/>
    <w:qFormat/>
    <w:rsid w:val="00C16C75"/>
    <w:pPr>
      <w:spacing w:after="120"/>
    </w:pPr>
  </w:style>
  <w:style w:type="paragraph" w:customStyle="1" w:styleId="BulletLast">
    <w:name w:val="BulletLast"/>
    <w:basedOn w:val="Bullet"/>
    <w:qFormat/>
    <w:rsid w:val="00C16C75"/>
    <w:pPr>
      <w:spacing w:after="240"/>
    </w:pPr>
  </w:style>
  <w:style w:type="paragraph" w:customStyle="1" w:styleId="NormalBeforeBullet">
    <w:name w:val="NormalBeforeBullet"/>
    <w:basedOn w:val="Normal"/>
    <w:qFormat/>
    <w:rsid w:val="00C16C75"/>
    <w:pPr>
      <w:keepNext/>
      <w:spacing w:after="120" w:line="240" w:lineRule="auto"/>
    </w:pPr>
    <w:rPr>
      <w:rFonts w:ascii="Arial" w:eastAsia="Times New Roman" w:hAnsi="Arial" w:cs="Times New Roman"/>
      <w:color w:val="000000"/>
      <w:szCs w:val="20"/>
      <w:lang w:eastAsia="en-AU"/>
    </w:rPr>
  </w:style>
  <w:style w:type="paragraph" w:customStyle="1" w:styleId="NumberList">
    <w:name w:val="NumberList"/>
    <w:basedOn w:val="Normal"/>
    <w:rsid w:val="00C16C75"/>
    <w:pPr>
      <w:tabs>
        <w:tab w:val="left" w:pos="360"/>
      </w:tabs>
      <w:spacing w:after="240" w:line="240" w:lineRule="auto"/>
      <w:ind w:left="360" w:hanging="360"/>
    </w:pPr>
    <w:rPr>
      <w:rFonts w:ascii="Arial" w:eastAsia="Times New Roman" w:hAnsi="Arial" w:cs="Times New Roman"/>
      <w:color w:val="00000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47069">
      <w:bodyDiv w:val="1"/>
      <w:marLeft w:val="0"/>
      <w:marRight w:val="0"/>
      <w:marTop w:val="0"/>
      <w:marBottom w:val="0"/>
      <w:divBdr>
        <w:top w:val="none" w:sz="0" w:space="0" w:color="auto"/>
        <w:left w:val="none" w:sz="0" w:space="0" w:color="auto"/>
        <w:bottom w:val="none" w:sz="0" w:space="0" w:color="auto"/>
        <w:right w:val="none" w:sz="0" w:space="0" w:color="auto"/>
      </w:divBdr>
    </w:div>
    <w:div w:id="324944238">
      <w:bodyDiv w:val="1"/>
      <w:marLeft w:val="0"/>
      <w:marRight w:val="0"/>
      <w:marTop w:val="0"/>
      <w:marBottom w:val="0"/>
      <w:divBdr>
        <w:top w:val="none" w:sz="0" w:space="0" w:color="auto"/>
        <w:left w:val="none" w:sz="0" w:space="0" w:color="auto"/>
        <w:bottom w:val="none" w:sz="0" w:space="0" w:color="auto"/>
        <w:right w:val="none" w:sz="0" w:space="0" w:color="auto"/>
      </w:divBdr>
    </w:div>
    <w:div w:id="173751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zca.edu.au/documents/ps51-2009-guidelines-for-the-safe-administration-o.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afetyandquality.gov.au/wp-content/uploads/2017/11/National-Safety-and-Quality-Health-Service-Standards-Guide-for-Hospitals.pdf"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safetyandquality.gov.au/publications/national-standard-for-user-applied-labellin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01CDA-6F84-4367-B6C4-9F82EDF28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838</Words>
  <Characters>4779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Austin Health</Company>
  <LinksUpToDate>false</LinksUpToDate>
  <CharactersWithSpaces>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Gralton</dc:creator>
  <cp:lastModifiedBy>Vanessa Rossi</cp:lastModifiedBy>
  <cp:revision>2</cp:revision>
  <cp:lastPrinted>2018-06-26T23:54:00Z</cp:lastPrinted>
  <dcterms:created xsi:type="dcterms:W3CDTF">2018-10-31T23:37:00Z</dcterms:created>
  <dcterms:modified xsi:type="dcterms:W3CDTF">2018-10-31T23:37:00Z</dcterms:modified>
</cp:coreProperties>
</file>