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CD5" w:rsidRPr="00B93CD5" w:rsidRDefault="00B93CD5" w:rsidP="00750DE4">
      <w:pPr>
        <w:pStyle w:val="Subheading"/>
        <w:spacing w:after="0"/>
        <w:jc w:val="right"/>
        <w:rPr>
          <w:color w:val="000000" w:themeColor="text1"/>
          <w:sz w:val="24"/>
          <w:lang w:val="en-US"/>
        </w:rPr>
      </w:pPr>
      <w:bookmarkStart w:id="0" w:name="_Toc476822632"/>
      <w:bookmarkStart w:id="1" w:name="_Toc476822653"/>
      <w:r w:rsidRPr="00B93CD5">
        <w:rPr>
          <w:color w:val="000000" w:themeColor="text1"/>
          <w:sz w:val="24"/>
          <w:lang w:val="en-US"/>
        </w:rPr>
        <w:t xml:space="preserve">CLASSIFICATION TOOL </w:t>
      </w:r>
    </w:p>
    <w:p w:rsidR="00F931D3" w:rsidRPr="00F931D3" w:rsidRDefault="00B93CD5" w:rsidP="00750DE4">
      <w:pPr>
        <w:pStyle w:val="Subheading"/>
        <w:spacing w:before="0" w:after="240"/>
        <w:jc w:val="right"/>
        <w:rPr>
          <w:color w:val="000000" w:themeColor="text1"/>
          <w:sz w:val="24"/>
        </w:rPr>
      </w:pPr>
      <w:proofErr w:type="gramStart"/>
      <w:r w:rsidRPr="00B93CD5">
        <w:rPr>
          <w:color w:val="000000" w:themeColor="text1"/>
          <w:sz w:val="24"/>
          <w:lang w:val="en-US"/>
        </w:rPr>
        <w:t>for</w:t>
      </w:r>
      <w:proofErr w:type="gramEnd"/>
      <w:r w:rsidRPr="00B93CD5">
        <w:rPr>
          <w:color w:val="000000" w:themeColor="text1"/>
          <w:sz w:val="24"/>
          <w:lang w:val="en-US"/>
        </w:rPr>
        <w:t xml:space="preserve"> health service organisations</w:t>
      </w:r>
    </w:p>
    <w:p w:rsidR="002E7082" w:rsidRDefault="0099343F" w:rsidP="002E7082">
      <w:pPr>
        <w:pStyle w:val="Title"/>
      </w:pPr>
      <w:r>
        <w:t>Consequences of electronic medication management (EMM)-related adverse events and incidents</w:t>
      </w:r>
    </w:p>
    <w:bookmarkEnd w:id="0"/>
    <w:bookmarkEnd w:id="1"/>
    <w:p w:rsidR="0099343F" w:rsidRDefault="0099343F" w:rsidP="0099343F">
      <w:r>
        <w:t>The Australian Commission on Safety and Quality in Health Care (the Commission) is an Australian Government agency that leads and coordinates national improvements in the safety and quality of health care based on the best available evidence. By working in partnership with patients, carers, clinicians, the Australian, state and territory health systems, the private sector, managers and healthcare organisations, the Commission aims to ensure that the health system is better informed, supported and organised to deliver safe and high-quality care.</w:t>
      </w:r>
    </w:p>
    <w:p w:rsidR="0099343F" w:rsidRDefault="0099343F" w:rsidP="0099343F">
      <w:r>
        <w:t xml:space="preserve">The development of standardised taxonomies to describe clinical incidents related to EMM systems continues to be a challenge in Australia and internationally with a multitude of classifications available for implementation. </w:t>
      </w:r>
    </w:p>
    <w:p w:rsidR="0099343F" w:rsidRDefault="0099343F" w:rsidP="0099343F">
      <w:r>
        <w:t xml:space="preserve">Australia required a standardised health IT-related </w:t>
      </w:r>
      <w:r>
        <w:rPr>
          <w:spacing w:val="-1"/>
        </w:rPr>
        <w:t xml:space="preserve">incident classification system that provides a unified and </w:t>
      </w:r>
      <w:r>
        <w:t xml:space="preserve">consensus-based approach that can be readily applied during the EMM implementation process. This led to the development of </w:t>
      </w:r>
      <w:hyperlink r:id="rId8" w:anchor="guidance-for-hospitals:-emm-incident-classification" w:history="1">
        <w:r w:rsidRPr="006E753A">
          <w:rPr>
            <w:rStyle w:val="Hyperlink"/>
            <w:rFonts w:eastAsiaTheme="majorEastAsia"/>
          </w:rPr>
          <w:t>Guidance for hospitals: Classifying EMM-related adverse events and incidents</w:t>
        </w:r>
      </w:hyperlink>
      <w:r>
        <w:t xml:space="preserve"> (the Guidance). </w:t>
      </w:r>
    </w:p>
    <w:p w:rsidR="0099343F" w:rsidRDefault="0099343F" w:rsidP="0099343F">
      <w:pPr>
        <w:pStyle w:val="Heading2"/>
      </w:pPr>
      <w:r>
        <w:t>For assessment of the consequences and scale of harm</w:t>
      </w:r>
    </w:p>
    <w:p w:rsidR="0099343F" w:rsidRDefault="0099343F" w:rsidP="0099343F">
      <w:r>
        <w:t>This classification system may be used to assist with the assessment of the consequences and scale (or magnitude) of EMM related adverse events and incidents. The classification also rates the potential and actual harm associated with these events.</w:t>
      </w:r>
    </w:p>
    <w:p w:rsidR="0099343F" w:rsidRDefault="0099343F" w:rsidP="0099343F">
      <w:r>
        <w:t xml:space="preserve">The overall classification of consequences and scale of </w:t>
      </w:r>
      <w:r>
        <w:rPr>
          <w:spacing w:val="-2"/>
        </w:rPr>
        <w:t xml:space="preserve">harm, along with definitions of potential and actual harm </w:t>
      </w:r>
      <w:r>
        <w:t>in terms of a ‘clinical incident’ </w:t>
      </w:r>
      <w:r>
        <w:rPr>
          <w:rStyle w:val="Superscript"/>
        </w:rPr>
        <w:t>1</w:t>
      </w:r>
      <w:r>
        <w:t xml:space="preserve"> are provided in Table 1.</w:t>
      </w:r>
    </w:p>
    <w:p w:rsidR="0099343F" w:rsidRDefault="0099343F" w:rsidP="0099343F">
      <w:r>
        <w:rPr>
          <w:rStyle w:val="Strong"/>
        </w:rPr>
        <w:t>Background</w:t>
      </w:r>
      <w:r>
        <w:t>: The consequences classification tool was developed to assist with the assessment of the consequences and scale of harm (potential and actual) associated with the use of EMM systems. It was developed and tested by the Commission alongside other classification schema.</w:t>
      </w:r>
    </w:p>
    <w:p w:rsidR="0099343F" w:rsidRDefault="0099343F" w:rsidP="0099343F">
      <w:r>
        <w:t>Following testing and feedback, the consequences classification was modified to encompass additional detail including:</w:t>
      </w:r>
    </w:p>
    <w:p w:rsidR="0099343F" w:rsidRDefault="0099343F" w:rsidP="0099343F">
      <w:pPr>
        <w:pStyle w:val="ListParagraph"/>
        <w:numPr>
          <w:ilvl w:val="0"/>
          <w:numId w:val="85"/>
        </w:numPr>
      </w:pPr>
      <w:r>
        <w:t xml:space="preserve">Definitions of actual and potential harm, and </w:t>
      </w:r>
    </w:p>
    <w:p w:rsidR="0099343F" w:rsidRDefault="0099343F" w:rsidP="0099343F">
      <w:pPr>
        <w:pStyle w:val="ListParagraph"/>
        <w:numPr>
          <w:ilvl w:val="0"/>
          <w:numId w:val="85"/>
        </w:numPr>
      </w:pPr>
      <w:r>
        <w:t xml:space="preserve">Reference to data breaches. </w:t>
      </w:r>
    </w:p>
    <w:p w:rsidR="0099343F" w:rsidRDefault="0099343F" w:rsidP="0099343F">
      <w:r>
        <w:t>The definition of harm and some of the categories for potential consequences of harm have been derived from the National Coordinating Council for Medication Error Reporting and Prevention (NCC MERP) taxonomy of medication errors.</w:t>
      </w:r>
      <w:r>
        <w:rPr>
          <w:rStyle w:val="Superscript"/>
        </w:rPr>
        <w:t>2</w:t>
      </w:r>
    </w:p>
    <w:p w:rsidR="0099343F" w:rsidRDefault="0099343F" w:rsidP="0099343F">
      <w:r>
        <w:lastRenderedPageBreak/>
        <w:t>It is the responsibility of an organisation implementing clinical information systems (CIS), for instance, EMM systems, to be able to identify and prevent data breaches that may result from the use of such systems. The significance of the consequences from an incident increases when considered in the context of the 2018 Notifiable Data Breaches scheme.</w:t>
      </w:r>
      <w:r>
        <w:rPr>
          <w:rStyle w:val="Superscript"/>
        </w:rPr>
        <w:t>3, 4</w:t>
      </w:r>
    </w:p>
    <w:p w:rsidR="0099343F" w:rsidRDefault="0099343F" w:rsidP="0099343F">
      <w:r>
        <w:t xml:space="preserve">Since February 2018 the reporting of data breaches has </w:t>
      </w:r>
      <w:r>
        <w:rPr>
          <w:spacing w:val="-1"/>
        </w:rPr>
        <w:t xml:space="preserve">been mandatory. Given the purpose of this classification </w:t>
      </w:r>
      <w:r>
        <w:t>system, the requirements of the data breach legislation have been built into the definitions of harm.</w:t>
      </w:r>
    </w:p>
    <w:p w:rsidR="0099343F" w:rsidRDefault="0099343F" w:rsidP="0099343F">
      <w:r>
        <w:t>The harm definitions also include reference to ‘sensitive information’ such as information about an individual’s health which include categories of personal information that are covered by the definition of ‘sensitive information’ within the Privacy Act (s 6(1)).</w:t>
      </w:r>
      <w:r>
        <w:rPr>
          <w:rStyle w:val="Superscript"/>
        </w:rPr>
        <w:t>5</w:t>
      </w:r>
    </w:p>
    <w:p w:rsidR="0099343F" w:rsidRPr="0099343F" w:rsidRDefault="0099343F" w:rsidP="0099343F">
      <w:pPr>
        <w:pStyle w:val="TableTitle"/>
      </w:pPr>
      <w:r w:rsidRPr="0099343F">
        <w:t>Table 1: Consequences, scale and definitions of potential and actual harm</w:t>
      </w:r>
    </w:p>
    <w:tbl>
      <w:tblPr>
        <w:tblStyle w:val="TableGrid"/>
        <w:tblW w:w="5000" w:type="pct"/>
        <w:tblLook w:val="0620" w:firstRow="1" w:lastRow="0" w:firstColumn="0" w:lastColumn="0" w:noHBand="1" w:noVBand="1"/>
        <w:tblDescription w:val="Table 1: Consequences, scale and definitions of potential and actual harm&#10;"/>
      </w:tblPr>
      <w:tblGrid>
        <w:gridCol w:w="2085"/>
        <w:gridCol w:w="7543"/>
      </w:tblGrid>
      <w:tr w:rsidR="00DF5103" w:rsidTr="007D1ED5">
        <w:trPr>
          <w:cnfStyle w:val="100000000000" w:firstRow="1" w:lastRow="0" w:firstColumn="0" w:lastColumn="0" w:oddVBand="0" w:evenVBand="0" w:oddHBand="0" w:evenHBand="0" w:firstRowFirstColumn="0" w:firstRowLastColumn="0" w:lastRowFirstColumn="0" w:lastRowLastColumn="0"/>
          <w:trHeight w:val="60"/>
          <w:tblHeader/>
        </w:trPr>
        <w:tc>
          <w:tcPr>
            <w:tcW w:w="1083" w:type="pct"/>
          </w:tcPr>
          <w:p w:rsidR="0099343F" w:rsidRDefault="0099343F" w:rsidP="0099343F">
            <w:r>
              <w:t>Level 1</w:t>
            </w:r>
          </w:p>
        </w:tc>
        <w:tc>
          <w:tcPr>
            <w:tcW w:w="3917" w:type="pct"/>
          </w:tcPr>
          <w:p w:rsidR="0099343F" w:rsidRDefault="0099343F" w:rsidP="0099343F">
            <w:r>
              <w:t>Level 2</w:t>
            </w:r>
          </w:p>
        </w:tc>
      </w:tr>
      <w:tr w:rsidR="00AA15E7" w:rsidTr="00B93CD5">
        <w:trPr>
          <w:trHeight w:val="60"/>
        </w:trPr>
        <w:tc>
          <w:tcPr>
            <w:tcW w:w="1083" w:type="pct"/>
            <w:vMerge w:val="restart"/>
          </w:tcPr>
          <w:p w:rsidR="0099343F" w:rsidRDefault="0099343F" w:rsidP="0099343F">
            <w:r>
              <w:rPr>
                <w:rStyle w:val="Strong"/>
              </w:rPr>
              <w:t>1. Scale</w:t>
            </w:r>
          </w:p>
        </w:tc>
        <w:tc>
          <w:tcPr>
            <w:tcW w:w="3917" w:type="pct"/>
          </w:tcPr>
          <w:p w:rsidR="0099343F" w:rsidRDefault="0099343F" w:rsidP="0099343F">
            <w:r>
              <w:t xml:space="preserve">1.1 Single patient </w:t>
            </w:r>
          </w:p>
        </w:tc>
      </w:tr>
      <w:tr w:rsidR="00AA15E7" w:rsidTr="00B93CD5">
        <w:trPr>
          <w:trHeight w:val="60"/>
        </w:trPr>
        <w:tc>
          <w:tcPr>
            <w:tcW w:w="1083" w:type="pct"/>
            <w:vMerge/>
          </w:tcPr>
          <w:p w:rsidR="0099343F" w:rsidRDefault="0099343F" w:rsidP="0099343F">
            <w:pPr>
              <w:pStyle w:val="NoParagraphStyle"/>
              <w:spacing w:line="240" w:lineRule="auto"/>
              <w:textAlignment w:val="auto"/>
              <w:rPr>
                <w:rFonts w:ascii="ArialMT" w:hAnsi="ArialMT" w:cs="Times New Roman"/>
                <w:color w:val="auto"/>
                <w:lang w:val="en-US"/>
              </w:rPr>
            </w:pPr>
          </w:p>
        </w:tc>
        <w:tc>
          <w:tcPr>
            <w:tcW w:w="3917" w:type="pct"/>
          </w:tcPr>
          <w:p w:rsidR="0099343F" w:rsidRDefault="0099343F" w:rsidP="0099343F">
            <w:r>
              <w:t>1.2 Multiple patients</w:t>
            </w:r>
          </w:p>
        </w:tc>
      </w:tr>
      <w:tr w:rsidR="00AA15E7" w:rsidTr="00B93CD5">
        <w:trPr>
          <w:trHeight w:val="60"/>
        </w:trPr>
        <w:tc>
          <w:tcPr>
            <w:tcW w:w="1083" w:type="pct"/>
            <w:vMerge/>
          </w:tcPr>
          <w:p w:rsidR="0099343F" w:rsidRDefault="0099343F" w:rsidP="0099343F">
            <w:pPr>
              <w:pStyle w:val="NoParagraphStyle"/>
              <w:spacing w:line="240" w:lineRule="auto"/>
              <w:textAlignment w:val="auto"/>
              <w:rPr>
                <w:rFonts w:ascii="ArialMT" w:hAnsi="ArialMT" w:cs="Times New Roman"/>
                <w:color w:val="auto"/>
                <w:lang w:val="en-US"/>
              </w:rPr>
            </w:pPr>
          </w:p>
        </w:tc>
        <w:tc>
          <w:tcPr>
            <w:tcW w:w="3917" w:type="pct"/>
          </w:tcPr>
          <w:p w:rsidR="0099343F" w:rsidRDefault="0099343F" w:rsidP="0099343F">
            <w:r>
              <w:t>1.3 Single staff member</w:t>
            </w:r>
          </w:p>
        </w:tc>
      </w:tr>
      <w:tr w:rsidR="00AA15E7" w:rsidTr="00B93CD5">
        <w:trPr>
          <w:trHeight w:val="60"/>
        </w:trPr>
        <w:tc>
          <w:tcPr>
            <w:tcW w:w="1083" w:type="pct"/>
            <w:vMerge/>
          </w:tcPr>
          <w:p w:rsidR="0099343F" w:rsidRDefault="0099343F" w:rsidP="0099343F">
            <w:pPr>
              <w:pStyle w:val="NoParagraphStyle"/>
              <w:spacing w:line="240" w:lineRule="auto"/>
              <w:textAlignment w:val="auto"/>
              <w:rPr>
                <w:rFonts w:ascii="ArialMT" w:hAnsi="ArialMT" w:cs="Times New Roman"/>
                <w:color w:val="auto"/>
                <w:lang w:val="en-US"/>
              </w:rPr>
            </w:pPr>
          </w:p>
        </w:tc>
        <w:tc>
          <w:tcPr>
            <w:tcW w:w="3917" w:type="pct"/>
          </w:tcPr>
          <w:p w:rsidR="0099343F" w:rsidRDefault="0099343F" w:rsidP="0099343F">
            <w:r>
              <w:t>1.4 Multiple staff</w:t>
            </w:r>
          </w:p>
        </w:tc>
      </w:tr>
      <w:tr w:rsidR="00AA15E7" w:rsidTr="00B93CD5">
        <w:trPr>
          <w:trHeight w:val="60"/>
        </w:trPr>
        <w:tc>
          <w:tcPr>
            <w:tcW w:w="1083" w:type="pct"/>
            <w:vMerge/>
          </w:tcPr>
          <w:p w:rsidR="0099343F" w:rsidRDefault="0099343F" w:rsidP="0099343F">
            <w:pPr>
              <w:pStyle w:val="NoParagraphStyle"/>
              <w:spacing w:line="240" w:lineRule="auto"/>
              <w:textAlignment w:val="auto"/>
              <w:rPr>
                <w:rFonts w:ascii="ArialMT" w:hAnsi="ArialMT" w:cs="Times New Roman"/>
                <w:color w:val="auto"/>
                <w:lang w:val="en-US"/>
              </w:rPr>
            </w:pPr>
          </w:p>
        </w:tc>
        <w:tc>
          <w:tcPr>
            <w:tcW w:w="3917" w:type="pct"/>
          </w:tcPr>
          <w:p w:rsidR="0099343F" w:rsidRDefault="0099343F" w:rsidP="0099343F">
            <w:r>
              <w:t>1.5 Unable to determine scale (for patients or staff)</w:t>
            </w:r>
          </w:p>
        </w:tc>
      </w:tr>
      <w:tr w:rsidR="00DF5103" w:rsidTr="00DF5103">
        <w:trPr>
          <w:trHeight w:val="60"/>
        </w:trPr>
        <w:tc>
          <w:tcPr>
            <w:tcW w:w="1083" w:type="pct"/>
            <w:vMerge w:val="restart"/>
          </w:tcPr>
          <w:p w:rsidR="0099343F" w:rsidRDefault="0099343F" w:rsidP="0099343F">
            <w:r>
              <w:rPr>
                <w:rStyle w:val="Strong"/>
              </w:rPr>
              <w:t>2. Consequence (actual)</w:t>
            </w:r>
          </w:p>
        </w:tc>
        <w:tc>
          <w:tcPr>
            <w:tcW w:w="3917" w:type="pct"/>
            <w:shd w:val="clear" w:color="auto" w:fill="FFB1A0"/>
          </w:tcPr>
          <w:p w:rsidR="0099343F" w:rsidRDefault="0099343F" w:rsidP="0099343F">
            <w:r>
              <w:t>2.1 Incident reached the person and there was a consequence which resulted in death (contributed to or resulted in)</w:t>
            </w:r>
          </w:p>
        </w:tc>
      </w:tr>
      <w:tr w:rsidR="00DF5103" w:rsidTr="00DF5103">
        <w:trPr>
          <w:trHeight w:val="60"/>
        </w:trPr>
        <w:tc>
          <w:tcPr>
            <w:tcW w:w="1083" w:type="pct"/>
            <w:vMerge/>
          </w:tcPr>
          <w:p w:rsidR="0099343F" w:rsidRDefault="0099343F" w:rsidP="0099343F">
            <w:pPr>
              <w:pStyle w:val="NoParagraphStyle"/>
              <w:spacing w:line="240" w:lineRule="auto"/>
              <w:textAlignment w:val="auto"/>
              <w:rPr>
                <w:rFonts w:ascii="ArialMT" w:hAnsi="ArialMT" w:cs="Times New Roman"/>
                <w:color w:val="auto"/>
                <w:lang w:val="en-US"/>
              </w:rPr>
            </w:pPr>
          </w:p>
        </w:tc>
        <w:tc>
          <w:tcPr>
            <w:tcW w:w="3917" w:type="pct"/>
            <w:shd w:val="clear" w:color="auto" w:fill="C5B5D8"/>
          </w:tcPr>
          <w:p w:rsidR="0099343F" w:rsidRDefault="0099343F" w:rsidP="0099343F">
            <w:r>
              <w:t>2.2 Incident reached the person and there was a consequence which resulted in harm (temporary or permanent) which required intervention and/or resulted in an impairment</w:t>
            </w:r>
          </w:p>
        </w:tc>
      </w:tr>
      <w:tr w:rsidR="00DF5103" w:rsidTr="00DF5103">
        <w:trPr>
          <w:trHeight w:val="60"/>
        </w:trPr>
        <w:tc>
          <w:tcPr>
            <w:tcW w:w="1083" w:type="pct"/>
            <w:vMerge/>
          </w:tcPr>
          <w:p w:rsidR="0099343F" w:rsidRDefault="0099343F" w:rsidP="0099343F">
            <w:pPr>
              <w:pStyle w:val="NoParagraphStyle"/>
              <w:spacing w:line="240" w:lineRule="auto"/>
              <w:textAlignment w:val="auto"/>
              <w:rPr>
                <w:rFonts w:ascii="ArialMT" w:hAnsi="ArialMT" w:cs="Times New Roman"/>
                <w:color w:val="auto"/>
                <w:lang w:val="en-US"/>
              </w:rPr>
            </w:pPr>
          </w:p>
        </w:tc>
        <w:tc>
          <w:tcPr>
            <w:tcW w:w="3917" w:type="pct"/>
            <w:shd w:val="clear" w:color="auto" w:fill="BCC9E7"/>
          </w:tcPr>
          <w:p w:rsidR="0099343F" w:rsidRDefault="0099343F" w:rsidP="0099343F">
            <w:r>
              <w:t>2.3 Incident did reach the person but there was no consequence or harm (no symptoms detected; may have required monitoring to confirm)</w:t>
            </w:r>
          </w:p>
        </w:tc>
      </w:tr>
      <w:tr w:rsidR="00DF5103" w:rsidTr="00DF5103">
        <w:trPr>
          <w:trHeight w:val="60"/>
        </w:trPr>
        <w:tc>
          <w:tcPr>
            <w:tcW w:w="1083" w:type="pct"/>
            <w:vMerge/>
          </w:tcPr>
          <w:p w:rsidR="0099343F" w:rsidRDefault="0099343F" w:rsidP="0099343F">
            <w:pPr>
              <w:pStyle w:val="NoParagraphStyle"/>
              <w:spacing w:line="240" w:lineRule="auto"/>
              <w:textAlignment w:val="auto"/>
              <w:rPr>
                <w:rFonts w:ascii="ArialMT" w:hAnsi="ArialMT" w:cs="Times New Roman"/>
                <w:color w:val="auto"/>
                <w:lang w:val="en-US"/>
              </w:rPr>
            </w:pPr>
          </w:p>
        </w:tc>
        <w:tc>
          <w:tcPr>
            <w:tcW w:w="3917" w:type="pct"/>
            <w:shd w:val="clear" w:color="auto" w:fill="A5D5A7"/>
          </w:tcPr>
          <w:p w:rsidR="0099343F" w:rsidRDefault="0099343F" w:rsidP="0099343F">
            <w:r>
              <w:t>2</w:t>
            </w:r>
            <w:r w:rsidRPr="00DF5103">
              <w:rPr>
                <w:shd w:val="clear" w:color="auto" w:fill="A5D5A7"/>
              </w:rPr>
              <w:t>.4 Incident did not reach the person (a ‘good catch’ or near miss)</w:t>
            </w:r>
          </w:p>
        </w:tc>
      </w:tr>
      <w:tr w:rsidR="00DF5103" w:rsidTr="00DF5103">
        <w:trPr>
          <w:trHeight w:val="60"/>
        </w:trPr>
        <w:tc>
          <w:tcPr>
            <w:tcW w:w="1083" w:type="pct"/>
            <w:vMerge/>
          </w:tcPr>
          <w:p w:rsidR="0099343F" w:rsidRDefault="0099343F" w:rsidP="0099343F">
            <w:pPr>
              <w:pStyle w:val="NoParagraphStyle"/>
              <w:spacing w:line="240" w:lineRule="auto"/>
              <w:textAlignment w:val="auto"/>
              <w:rPr>
                <w:rFonts w:ascii="ArialMT" w:hAnsi="ArialMT" w:cs="Times New Roman"/>
                <w:color w:val="auto"/>
                <w:lang w:val="en-US"/>
              </w:rPr>
            </w:pPr>
          </w:p>
        </w:tc>
        <w:tc>
          <w:tcPr>
            <w:tcW w:w="3917" w:type="pct"/>
            <w:shd w:val="clear" w:color="auto" w:fill="FECFA6"/>
          </w:tcPr>
          <w:p w:rsidR="0099343F" w:rsidRDefault="0099343F" w:rsidP="0099343F">
            <w:r>
              <w:t>2.5 Unable to determine or assess the consequence(s)</w:t>
            </w:r>
          </w:p>
        </w:tc>
      </w:tr>
    </w:tbl>
    <w:p w:rsidR="0099343F" w:rsidRPr="009D429E" w:rsidRDefault="0099343F" w:rsidP="009D429E">
      <w:pPr>
        <w:rPr>
          <w:b/>
        </w:rPr>
      </w:pPr>
      <w:r w:rsidRPr="009D429E">
        <w:rPr>
          <w:b/>
        </w:rPr>
        <w:t>Guidance for completing Table 1’s Consequence (actual) – Level 2</w:t>
      </w:r>
    </w:p>
    <w:tbl>
      <w:tblPr>
        <w:tblStyle w:val="TableGrid"/>
        <w:tblW w:w="5000" w:type="pct"/>
        <w:tblLook w:val="0620" w:firstRow="1" w:lastRow="0" w:firstColumn="0" w:lastColumn="0" w:noHBand="1" w:noVBand="1"/>
        <w:tblDescription w:val="Table 1: Consequences, scale and definitions of potential and actual harm.&#10;&#10;Guidance for completing Table 1’s Consequence (actual) – Level 2.&#10;&#10;"/>
      </w:tblPr>
      <w:tblGrid>
        <w:gridCol w:w="3210"/>
        <w:gridCol w:w="6418"/>
      </w:tblGrid>
      <w:tr w:rsidR="0099343F" w:rsidTr="007D1ED5">
        <w:trPr>
          <w:cnfStyle w:val="100000000000" w:firstRow="1" w:lastRow="0" w:firstColumn="0" w:lastColumn="0" w:oddVBand="0" w:evenVBand="0" w:oddHBand="0" w:evenHBand="0" w:firstRowFirstColumn="0" w:firstRowLastColumn="0" w:lastRowFirstColumn="0" w:lastRowLastColumn="0"/>
          <w:trHeight w:val="60"/>
          <w:tblHeader/>
        </w:trPr>
        <w:tc>
          <w:tcPr>
            <w:tcW w:w="1667" w:type="pct"/>
          </w:tcPr>
          <w:p w:rsidR="0099343F" w:rsidRDefault="0099343F" w:rsidP="0099343F">
            <w:r>
              <w:t>Actual harm</w:t>
            </w:r>
          </w:p>
        </w:tc>
        <w:tc>
          <w:tcPr>
            <w:tcW w:w="3333" w:type="pct"/>
          </w:tcPr>
          <w:p w:rsidR="0099343F" w:rsidRDefault="0099343F" w:rsidP="0099343F">
            <w:r>
              <w:t>Definitions</w:t>
            </w:r>
          </w:p>
        </w:tc>
      </w:tr>
      <w:tr w:rsidR="0099343F" w:rsidTr="00B93CD5">
        <w:trPr>
          <w:trHeight w:val="60"/>
        </w:trPr>
        <w:tc>
          <w:tcPr>
            <w:tcW w:w="1667" w:type="pct"/>
          </w:tcPr>
          <w:p w:rsidR="0099343F" w:rsidRDefault="0099343F" w:rsidP="0099343F">
            <w:r>
              <w:t>Harm from a medicine</w:t>
            </w:r>
            <w:r>
              <w:rPr>
                <w:rStyle w:val="Superscript"/>
              </w:rPr>
              <w:t>1</w:t>
            </w:r>
          </w:p>
        </w:tc>
        <w:tc>
          <w:tcPr>
            <w:tcW w:w="3333" w:type="pct"/>
          </w:tcPr>
          <w:p w:rsidR="0099343F" w:rsidRDefault="0099343F" w:rsidP="0099343F">
            <w:r>
              <w:t>Harm is defined as temporary or permanent impairment of the physical, emotional, or psychological function or structure of the body and/or pain resulting therefrom, and requiring intervention</w:t>
            </w:r>
          </w:p>
        </w:tc>
      </w:tr>
      <w:tr w:rsidR="0099343F" w:rsidTr="00B93CD5">
        <w:trPr>
          <w:trHeight w:val="60"/>
        </w:trPr>
        <w:tc>
          <w:tcPr>
            <w:tcW w:w="1667" w:type="pct"/>
          </w:tcPr>
          <w:p w:rsidR="0099343F" w:rsidRDefault="0099343F" w:rsidP="0099343F">
            <w:r>
              <w:lastRenderedPageBreak/>
              <w:t>Harm from a data breach</w:t>
            </w:r>
            <w:r>
              <w:rPr>
                <w:rStyle w:val="Superscript"/>
              </w:rPr>
              <w:t>2</w:t>
            </w:r>
          </w:p>
        </w:tc>
        <w:tc>
          <w:tcPr>
            <w:tcW w:w="3333" w:type="pct"/>
          </w:tcPr>
          <w:p w:rsidR="0099343F" w:rsidRDefault="0099343F" w:rsidP="0099343F">
            <w:r>
              <w:t xml:space="preserve">Individuals whose </w:t>
            </w:r>
            <w:r>
              <w:rPr>
                <w:rStyle w:val="Italic"/>
                <w:rFonts w:eastAsiaTheme="majorEastAsia"/>
              </w:rPr>
              <w:t>sensitive</w:t>
            </w:r>
            <w:r>
              <w:rPr>
                <w:rStyle w:val="Superscript"/>
              </w:rPr>
              <w:t>5</w:t>
            </w:r>
            <w:r>
              <w:t xml:space="preserve"> personal information is involved in a data breach may be at risk of serious harm, whether that is harm to their physical or mental well-being, financial loss, or damage to their reputation</w:t>
            </w:r>
          </w:p>
        </w:tc>
      </w:tr>
      <w:tr w:rsidR="0099343F" w:rsidTr="00B93CD5">
        <w:trPr>
          <w:trHeight w:val="60"/>
        </w:trPr>
        <w:tc>
          <w:tcPr>
            <w:tcW w:w="1667" w:type="pct"/>
          </w:tcPr>
          <w:p w:rsidR="0099343F" w:rsidRDefault="0099343F" w:rsidP="0099343F">
            <w:r>
              <w:t>*’Good catch’ or near miss</w:t>
            </w:r>
            <w:r>
              <w:rPr>
                <w:rStyle w:val="Superscript"/>
              </w:rPr>
              <w:t>6</w:t>
            </w:r>
          </w:p>
        </w:tc>
        <w:tc>
          <w:tcPr>
            <w:tcW w:w="3333" w:type="pct"/>
          </w:tcPr>
          <w:p w:rsidR="0099343F" w:rsidRDefault="0099343F" w:rsidP="0099343F">
            <w:r>
              <w:t>An event or circumstance that has the potential to cause an incident or critical incident but that did not actually occur due to corrective action and/or timely intervention. [AHRQ Innovations Exchange</w:t>
            </w:r>
            <w:r>
              <w:rPr>
                <w:rStyle w:val="Superscript"/>
              </w:rPr>
              <w:t>7</w:t>
            </w:r>
            <w:r>
              <w:t>]</w:t>
            </w:r>
          </w:p>
        </w:tc>
      </w:tr>
    </w:tbl>
    <w:p w:rsidR="0099343F" w:rsidRPr="009D429E" w:rsidRDefault="0099343F" w:rsidP="009D429E">
      <w:pPr>
        <w:rPr>
          <w:b/>
        </w:rPr>
      </w:pPr>
      <w:r w:rsidRPr="009D429E">
        <w:rPr>
          <w:b/>
        </w:rPr>
        <w:t>Scale of harm in terms of a ‘clinical incident’</w:t>
      </w:r>
      <w:r w:rsidRPr="008B50F1">
        <w:rPr>
          <w:b/>
          <w:vertAlign w:val="superscript"/>
        </w:rPr>
        <w:t>1</w:t>
      </w:r>
      <w:r w:rsidRPr="009D429E">
        <w:rPr>
          <w:b/>
        </w:rPr>
        <w:t xml:space="preserve"> – colours correspond to Table 1’s Consequences (actual) – Level 2.</w:t>
      </w:r>
    </w:p>
    <w:tbl>
      <w:tblPr>
        <w:tblStyle w:val="TableGrid"/>
        <w:tblW w:w="5000" w:type="pct"/>
        <w:tblLook w:val="0620" w:firstRow="1" w:lastRow="0" w:firstColumn="0" w:lastColumn="0" w:noHBand="1" w:noVBand="1"/>
        <w:tblDescription w:val="Table 1: Consequences, scale and definitions of potential and actual harm.&#10;&#10;Scale of harm in terms of a ‘clinical incident’1 – colours correspond to Table 1’s Consequences (actual) – Level 2.&#10;"/>
      </w:tblPr>
      <w:tblGrid>
        <w:gridCol w:w="2353"/>
        <w:gridCol w:w="7275"/>
      </w:tblGrid>
      <w:tr w:rsidR="0099343F" w:rsidTr="007D1ED5">
        <w:trPr>
          <w:cnfStyle w:val="100000000000" w:firstRow="1" w:lastRow="0" w:firstColumn="0" w:lastColumn="0" w:oddVBand="0" w:evenVBand="0" w:oddHBand="0" w:evenHBand="0" w:firstRowFirstColumn="0" w:firstRowLastColumn="0" w:lastRowFirstColumn="0" w:lastRowLastColumn="0"/>
          <w:trHeight w:val="60"/>
          <w:tblHeader/>
        </w:trPr>
        <w:tc>
          <w:tcPr>
            <w:tcW w:w="1222" w:type="pct"/>
          </w:tcPr>
          <w:p w:rsidR="0099343F" w:rsidRDefault="0099343F" w:rsidP="0099343F">
            <w:r>
              <w:t>Harm</w:t>
            </w:r>
          </w:p>
        </w:tc>
        <w:tc>
          <w:tcPr>
            <w:tcW w:w="3778" w:type="pct"/>
          </w:tcPr>
          <w:p w:rsidR="0099343F" w:rsidRDefault="0099343F" w:rsidP="0099343F">
            <w:r>
              <w:t>Incident</w:t>
            </w:r>
          </w:p>
        </w:tc>
      </w:tr>
      <w:tr w:rsidR="0099343F" w:rsidTr="00DF5103">
        <w:trPr>
          <w:trHeight w:val="60"/>
        </w:trPr>
        <w:tc>
          <w:tcPr>
            <w:tcW w:w="1222" w:type="pct"/>
            <w:shd w:val="clear" w:color="auto" w:fill="FFB1A0"/>
          </w:tcPr>
          <w:p w:rsidR="0099343F" w:rsidRDefault="0099343F" w:rsidP="0099343F">
            <w:r>
              <w:t>Critical (or extreme)</w:t>
            </w:r>
          </w:p>
        </w:tc>
        <w:tc>
          <w:tcPr>
            <w:tcW w:w="3778" w:type="pct"/>
          </w:tcPr>
          <w:p w:rsidR="0099343F" w:rsidRDefault="0099343F" w:rsidP="0099343F">
            <w:r>
              <w:t>A clinical incident resulting in patient death</w:t>
            </w:r>
          </w:p>
        </w:tc>
      </w:tr>
      <w:tr w:rsidR="0099343F" w:rsidTr="00DF5103">
        <w:trPr>
          <w:trHeight w:val="60"/>
        </w:trPr>
        <w:tc>
          <w:tcPr>
            <w:tcW w:w="1222" w:type="pct"/>
            <w:shd w:val="clear" w:color="auto" w:fill="C5B5D8"/>
          </w:tcPr>
          <w:p w:rsidR="0099343F" w:rsidRDefault="0099343F" w:rsidP="0099343F">
            <w:r>
              <w:t>Major (or severe/serious)</w:t>
            </w:r>
          </w:p>
        </w:tc>
        <w:tc>
          <w:tcPr>
            <w:tcW w:w="3778" w:type="pct"/>
          </w:tcPr>
          <w:p w:rsidR="0099343F" w:rsidRDefault="0099343F" w:rsidP="0099343F">
            <w:r>
              <w:t>A clinical incident resulting in major permanent loss of function</w:t>
            </w:r>
          </w:p>
        </w:tc>
      </w:tr>
      <w:tr w:rsidR="0099343F" w:rsidTr="00DF5103">
        <w:trPr>
          <w:trHeight w:val="60"/>
        </w:trPr>
        <w:tc>
          <w:tcPr>
            <w:tcW w:w="1222" w:type="pct"/>
            <w:shd w:val="clear" w:color="auto" w:fill="C5B5D8"/>
          </w:tcPr>
          <w:p w:rsidR="0099343F" w:rsidRDefault="0099343F" w:rsidP="0099343F">
            <w:r>
              <w:t>Moderate</w:t>
            </w:r>
          </w:p>
        </w:tc>
        <w:tc>
          <w:tcPr>
            <w:tcW w:w="3778" w:type="pct"/>
          </w:tcPr>
          <w:p w:rsidR="0099343F" w:rsidRDefault="0099343F" w:rsidP="0099343F">
            <w:r>
              <w:t>A clinical incident resulting in permanent reduction in function</w:t>
            </w:r>
          </w:p>
        </w:tc>
      </w:tr>
      <w:tr w:rsidR="0099343F" w:rsidTr="00DF5103">
        <w:trPr>
          <w:trHeight w:val="60"/>
        </w:trPr>
        <w:tc>
          <w:tcPr>
            <w:tcW w:w="1222" w:type="pct"/>
            <w:shd w:val="clear" w:color="auto" w:fill="BCC9E7"/>
          </w:tcPr>
          <w:p w:rsidR="0099343F" w:rsidRDefault="0099343F" w:rsidP="0099343F">
            <w:r>
              <w:t>Minor (or mild)</w:t>
            </w:r>
          </w:p>
        </w:tc>
        <w:tc>
          <w:tcPr>
            <w:tcW w:w="3778" w:type="pct"/>
          </w:tcPr>
          <w:p w:rsidR="0099343F" w:rsidRDefault="0099343F" w:rsidP="0099343F">
            <w:r>
              <w:t>A clinical incident resulting in increased level of care/intervention</w:t>
            </w:r>
          </w:p>
        </w:tc>
      </w:tr>
      <w:tr w:rsidR="0099343F" w:rsidTr="00DF5103">
        <w:trPr>
          <w:trHeight w:val="60"/>
        </w:trPr>
        <w:tc>
          <w:tcPr>
            <w:tcW w:w="1222" w:type="pct"/>
            <w:vMerge w:val="restart"/>
            <w:shd w:val="clear" w:color="auto" w:fill="A5D5A7"/>
          </w:tcPr>
          <w:p w:rsidR="0099343F" w:rsidRDefault="0099343F" w:rsidP="0099343F">
            <w:r>
              <w:t>Minimum</w:t>
            </w:r>
          </w:p>
        </w:tc>
        <w:tc>
          <w:tcPr>
            <w:tcW w:w="3778" w:type="pct"/>
          </w:tcPr>
          <w:p w:rsidR="0099343F" w:rsidRDefault="0099343F" w:rsidP="0099343F">
            <w:r>
              <w:t xml:space="preserve">A clinical incident resulting in no injury </w:t>
            </w:r>
          </w:p>
        </w:tc>
      </w:tr>
      <w:tr w:rsidR="0099343F" w:rsidTr="00DF5103">
        <w:trPr>
          <w:trHeight w:val="60"/>
        </w:trPr>
        <w:tc>
          <w:tcPr>
            <w:tcW w:w="1222" w:type="pct"/>
            <w:vMerge/>
            <w:shd w:val="clear" w:color="auto" w:fill="A5D5A7"/>
          </w:tcPr>
          <w:p w:rsidR="0099343F" w:rsidRDefault="0099343F" w:rsidP="0099343F">
            <w:pPr>
              <w:pStyle w:val="NoParagraphStyle"/>
              <w:spacing w:line="240" w:lineRule="auto"/>
              <w:textAlignment w:val="auto"/>
              <w:rPr>
                <w:rFonts w:ascii="ArialMT" w:hAnsi="ArialMT" w:cs="Times New Roman"/>
                <w:color w:val="auto"/>
                <w:lang w:val="en-US"/>
              </w:rPr>
            </w:pPr>
          </w:p>
        </w:tc>
        <w:tc>
          <w:tcPr>
            <w:tcW w:w="3778" w:type="pct"/>
          </w:tcPr>
          <w:p w:rsidR="0099343F" w:rsidRDefault="0099343F" w:rsidP="0099343F">
            <w:r>
              <w:t>No harm outcome due to mitigating action (*similar to ‘good catch’ or near miss)</w:t>
            </w:r>
          </w:p>
        </w:tc>
      </w:tr>
      <w:tr w:rsidR="0099343F" w:rsidTr="00DF5103">
        <w:trPr>
          <w:trHeight w:val="60"/>
        </w:trPr>
        <w:tc>
          <w:tcPr>
            <w:tcW w:w="1222" w:type="pct"/>
            <w:shd w:val="clear" w:color="auto" w:fill="FECFA6"/>
          </w:tcPr>
          <w:p w:rsidR="0099343F" w:rsidRDefault="0099343F" w:rsidP="0099343F">
            <w:r>
              <w:t>Insufficient detail</w:t>
            </w:r>
            <w:r>
              <w:rPr>
                <w:rStyle w:val="Superscript"/>
              </w:rPr>
              <w:t>8</w:t>
            </w:r>
          </w:p>
        </w:tc>
        <w:tc>
          <w:tcPr>
            <w:tcW w:w="3778" w:type="pct"/>
          </w:tcPr>
          <w:p w:rsidR="0099343F" w:rsidRDefault="0099343F" w:rsidP="0099343F">
            <w:r>
              <w:t>Incident for which report carries insufficient information to evaluate the severity of harm. The report may describe an error or outcome with insufficient information to attribute and/or classify severity of harm of the outcome</w:t>
            </w:r>
          </w:p>
        </w:tc>
      </w:tr>
    </w:tbl>
    <w:p w:rsidR="0099343F" w:rsidRDefault="0099343F" w:rsidP="0099343F">
      <w:pPr>
        <w:pStyle w:val="Heading2"/>
      </w:pPr>
      <w:r>
        <w:t xml:space="preserve">References </w:t>
      </w:r>
    </w:p>
    <w:p w:rsidR="0099343F" w:rsidRDefault="0099343F" w:rsidP="0099343F">
      <w:pPr>
        <w:pStyle w:val="ListParagraph"/>
        <w:numPr>
          <w:ilvl w:val="0"/>
          <w:numId w:val="86"/>
        </w:numPr>
      </w:pPr>
      <w:r>
        <w:t>Terminology based upon Table A1 Clinical safety review risk rating matrix from the Medicines View Clinical Safety Review of My Health Record.</w:t>
      </w:r>
    </w:p>
    <w:p w:rsidR="0099343F" w:rsidRDefault="0099343F" w:rsidP="007C4DF5">
      <w:pPr>
        <w:pStyle w:val="ListParagraph"/>
        <w:numPr>
          <w:ilvl w:val="0"/>
          <w:numId w:val="86"/>
        </w:numPr>
      </w:pPr>
      <w:r>
        <w:t xml:space="preserve">National Coordinating Council for Medication Error Reporting and Prevention (NCC MERP) taxonomy of medication errors. </w:t>
      </w:r>
      <w:hyperlink r:id="rId9" w:history="1">
        <w:r w:rsidR="007C4DF5" w:rsidRPr="007C4DF5">
          <w:rPr>
            <w:rStyle w:val="Hyperlink"/>
          </w:rPr>
          <w:t>https://www.nccmerp.org/sites/default/files/taxonomy2001-07-31.pdf</w:t>
        </w:r>
      </w:hyperlink>
    </w:p>
    <w:p w:rsidR="0099343F" w:rsidRDefault="0099343F" w:rsidP="0099343F">
      <w:pPr>
        <w:pStyle w:val="ListParagraph"/>
        <w:numPr>
          <w:ilvl w:val="0"/>
          <w:numId w:val="86"/>
        </w:numPr>
      </w:pPr>
      <w:r>
        <w:t>Data breach preparation and response: A guide to managing data breaches in accordance with the Privacy Act 1988 (</w:t>
      </w:r>
      <w:proofErr w:type="spellStart"/>
      <w:r>
        <w:t>Cth</w:t>
      </w:r>
      <w:proofErr w:type="spellEnd"/>
      <w:r>
        <w:t>). February 2018.</w:t>
      </w:r>
      <w:r w:rsidR="007C4DF5">
        <w:t xml:space="preserve"> </w:t>
      </w:r>
      <w:hyperlink r:id="rId10" w:history="1">
        <w:r w:rsidR="007C4DF5" w:rsidRPr="007C4DF5">
          <w:rPr>
            <w:rStyle w:val="Hyperlink"/>
          </w:rPr>
          <w:t>www.oaic.gov.au/privacy/guidance-and-advice/data-breach-preparation-and-response/</w:t>
        </w:r>
      </w:hyperlink>
      <w:r>
        <w:t xml:space="preserve"> </w:t>
      </w:r>
    </w:p>
    <w:p w:rsidR="0099343F" w:rsidRDefault="0099343F" w:rsidP="0099343F">
      <w:pPr>
        <w:pStyle w:val="ListParagraph"/>
        <w:numPr>
          <w:ilvl w:val="0"/>
          <w:numId w:val="86"/>
        </w:numPr>
      </w:pPr>
      <w:r>
        <w:t>Office of the Australian Information Commissioner. Notifiable Data Breaches scheme [Internet] 2018. [cited 18 August 2018] Available from:</w:t>
      </w:r>
      <w:r w:rsidR="007C4DF5">
        <w:t xml:space="preserve"> </w:t>
      </w:r>
      <w:hyperlink r:id="rId11" w:history="1">
        <w:r w:rsidR="007C4DF5" w:rsidRPr="007C4DF5">
          <w:rPr>
            <w:rStyle w:val="Hyperlink"/>
          </w:rPr>
          <w:t>www.oaic.gov.au/privacy/notifiable-data-breaches/report-a-data-breach/</w:t>
        </w:r>
      </w:hyperlink>
      <w:r>
        <w:t xml:space="preserve"> </w:t>
      </w:r>
    </w:p>
    <w:p w:rsidR="0099343F" w:rsidRDefault="0099343F" w:rsidP="0099343F">
      <w:pPr>
        <w:pStyle w:val="ListParagraph"/>
        <w:numPr>
          <w:ilvl w:val="0"/>
          <w:numId w:val="86"/>
        </w:numPr>
      </w:pPr>
      <w:r>
        <w:t>‘Sensitive information’ such as information about an individual’s health – See s 6(1) of the Privacy Act for categories of personal information that are covered by the definition of ‘sensitive information’.</w:t>
      </w:r>
    </w:p>
    <w:p w:rsidR="0099343F" w:rsidRDefault="0099343F" w:rsidP="0099343F">
      <w:pPr>
        <w:pStyle w:val="ListParagraph"/>
        <w:numPr>
          <w:ilvl w:val="0"/>
          <w:numId w:val="86"/>
        </w:numPr>
      </w:pPr>
      <w:r>
        <w:lastRenderedPageBreak/>
        <w:t xml:space="preserve">Barnard D, </w:t>
      </w:r>
      <w:proofErr w:type="spellStart"/>
      <w:r>
        <w:t>Dumkee</w:t>
      </w:r>
      <w:proofErr w:type="spellEnd"/>
      <w:r>
        <w:t xml:space="preserve"> M, </w:t>
      </w:r>
      <w:proofErr w:type="spellStart"/>
      <w:r>
        <w:t>Bains</w:t>
      </w:r>
      <w:proofErr w:type="spellEnd"/>
      <w:r>
        <w:t xml:space="preserve"> B, Gallivan B. Implementing a good catch program in an integrated health system. </w:t>
      </w:r>
      <w:proofErr w:type="spellStart"/>
      <w:r>
        <w:t>Healthc</w:t>
      </w:r>
      <w:proofErr w:type="spellEnd"/>
      <w:r>
        <w:t xml:space="preserve"> Q. 2006 Oct</w:t>
      </w:r>
      <w:proofErr w:type="gramStart"/>
      <w:r>
        <w:t>;9:22</w:t>
      </w:r>
      <w:proofErr w:type="gramEnd"/>
      <w:r>
        <w:t>–7.</w:t>
      </w:r>
      <w:r w:rsidR="007C4DF5">
        <w:t xml:space="preserve"> </w:t>
      </w:r>
      <w:hyperlink r:id="rId12" w:history="1">
        <w:r w:rsidR="007C4DF5" w:rsidRPr="007C4DF5">
          <w:rPr>
            <w:rStyle w:val="Hyperlink"/>
          </w:rPr>
          <w:t>https://www.longwoods.com/content/18373</w:t>
        </w:r>
      </w:hyperlink>
      <w:r>
        <w:t xml:space="preserve"> </w:t>
      </w:r>
    </w:p>
    <w:p w:rsidR="0099343F" w:rsidRDefault="0099343F" w:rsidP="0099343F">
      <w:pPr>
        <w:pStyle w:val="ListParagraph"/>
        <w:numPr>
          <w:ilvl w:val="0"/>
          <w:numId w:val="86"/>
        </w:numPr>
      </w:pPr>
      <w:r>
        <w:t xml:space="preserve">AHRQ Health Care Innovations Exchange. Archived Service Delivery Innovation Profile: multifaceted program increases reporting of potential errors, leads to action plans to enhance safety (University of Texas M.D. Anderson Cancer </w:t>
      </w:r>
      <w:proofErr w:type="spellStart"/>
      <w:r>
        <w:t>Center</w:t>
      </w:r>
      <w:proofErr w:type="spellEnd"/>
      <w:r>
        <w:t>). In: AHRQ Health Care Innovations Exchange [Web site]. Rockville (MD): Agency for Healthcare Research and Quality (AHRQ).</w:t>
      </w:r>
      <w:r w:rsidR="007C4DF5">
        <w:t xml:space="preserve"> </w:t>
      </w:r>
      <w:hyperlink r:id="rId13" w:history="1">
        <w:r w:rsidR="007C4DF5" w:rsidRPr="007C4DF5">
          <w:rPr>
            <w:rStyle w:val="Hyperlink"/>
          </w:rPr>
          <w:t>https://innovations.ahrq.gov/profiles/multifaceted-program-increases-reporting-potential-errors-leads-action-plans-enhance-safety</w:t>
        </w:r>
      </w:hyperlink>
      <w:r>
        <w:t xml:space="preserve"> </w:t>
      </w:r>
    </w:p>
    <w:p w:rsidR="0099343F" w:rsidRDefault="0099343F" w:rsidP="0099343F">
      <w:pPr>
        <w:pStyle w:val="ListParagraph"/>
        <w:numPr>
          <w:ilvl w:val="0"/>
          <w:numId w:val="86"/>
        </w:numPr>
      </w:pPr>
      <w:r>
        <w:t>WHO endorsed international classification for patient harm – descriptors of harm severity</w:t>
      </w:r>
      <w:r w:rsidR="007C4DF5">
        <w:t xml:space="preserve"> </w:t>
      </w:r>
      <w:hyperlink r:id="rId14" w:history="1">
        <w:r w:rsidR="007C4DF5" w:rsidRPr="007C4DF5">
          <w:rPr>
            <w:rStyle w:val="Hyperlink"/>
          </w:rPr>
          <w:t>http://www.who.int/bulletin/volumes/96/7/17-199802/en/</w:t>
        </w:r>
      </w:hyperlink>
      <w:r>
        <w:t xml:space="preserve"> Table 1:</w:t>
      </w:r>
      <w:r w:rsidR="007C4DF5">
        <w:t xml:space="preserve"> </w:t>
      </w:r>
      <w:hyperlink r:id="rId15" w:history="1">
        <w:r w:rsidR="007C4DF5" w:rsidRPr="007C4DF5">
          <w:rPr>
            <w:rStyle w:val="Hyperlink"/>
          </w:rPr>
          <w:t>http://www.who.int/bulletin/volumes/96/7/BLT-17-199802-table-T1.html</w:t>
        </w:r>
      </w:hyperlink>
      <w:r>
        <w:t xml:space="preserve"> </w:t>
      </w:r>
    </w:p>
    <w:p w:rsidR="005236E1" w:rsidRDefault="005236E1" w:rsidP="005236E1"/>
    <w:p w:rsidR="00AA15E7" w:rsidRDefault="00AA15E7" w:rsidP="00AA15E7">
      <w:pPr>
        <w:pStyle w:val="Heading2"/>
      </w:pPr>
      <w:r>
        <w:t>Questions?</w:t>
      </w:r>
    </w:p>
    <w:p w:rsidR="00AA15E7" w:rsidRPr="00195458" w:rsidRDefault="00AA15E7" w:rsidP="00AA15E7">
      <w:r w:rsidRPr="00195458">
        <w:t xml:space="preserve">For more information, please visit: </w:t>
      </w:r>
      <w:hyperlink r:id="rId16" w:history="1">
        <w:r w:rsidRPr="00195458">
          <w:rPr>
            <w:rStyle w:val="Hyperlink"/>
          </w:rPr>
          <w:t>safetyandquality.gov.au/</w:t>
        </w:r>
        <w:r w:rsidR="00AA397F">
          <w:rPr>
            <w:rStyle w:val="Hyperlink"/>
          </w:rPr>
          <w:t>electronic-medication-management</w:t>
        </w:r>
      </w:hyperlink>
    </w:p>
    <w:p w:rsidR="00AA15E7" w:rsidRPr="0099343F" w:rsidRDefault="00AA397F" w:rsidP="00AA15E7">
      <w:pPr>
        <w:rPr>
          <w:rStyle w:val="Roman"/>
        </w:rPr>
      </w:pPr>
      <w:r>
        <w:t>You can also contact the eHealth and Medication Safety team at</w:t>
      </w:r>
      <w:r w:rsidR="00AA15E7" w:rsidRPr="00195458">
        <w:t xml:space="preserve">: </w:t>
      </w:r>
      <w:hyperlink r:id="rId17" w:history="1">
        <w:r w:rsidR="00194148" w:rsidRPr="00893928">
          <w:rPr>
            <w:rStyle w:val="Hyperlink"/>
          </w:rPr>
          <w:t>mail@safetyandquality.gov.au</w:t>
        </w:r>
      </w:hyperlink>
    </w:p>
    <w:p w:rsidR="00195458" w:rsidRPr="00195458" w:rsidRDefault="00195458" w:rsidP="00A02BFF">
      <w:pPr>
        <w:ind w:right="-204"/>
        <w:jc w:val="right"/>
        <w:rPr>
          <w:rFonts w:eastAsiaTheme="majorEastAsia"/>
        </w:rPr>
      </w:pPr>
    </w:p>
    <w:p w:rsidR="00195458" w:rsidRDefault="00194148" w:rsidP="00195458">
      <w:hyperlink r:id="rId18" w:history="1">
        <w:r w:rsidR="00195458" w:rsidRPr="00195458">
          <w:rPr>
            <w:rStyle w:val="Hyperlink"/>
          </w:rPr>
          <w:t>safetyandquality.gov.au</w:t>
        </w:r>
      </w:hyperlink>
    </w:p>
    <w:p w:rsidR="00F560D5" w:rsidRDefault="001918F7" w:rsidP="00DF5103">
      <w:pPr>
        <w:pStyle w:val="FootnoteText"/>
        <w:spacing w:before="240"/>
      </w:pPr>
      <w:r w:rsidRPr="007D1ED5">
        <w:rPr>
          <w:noProof/>
        </w:rPr>
        <w:drawing>
          <wp:anchor distT="0" distB="0" distL="114300" distR="114300" simplePos="0" relativeHeight="251663360" behindDoc="0" locked="0" layoutInCell="1" allowOverlap="1" wp14:anchorId="52E40C1F" wp14:editId="2AB9ACB1">
            <wp:simplePos x="0" y="0"/>
            <wp:positionH relativeFrom="column">
              <wp:posOffset>0</wp:posOffset>
            </wp:positionH>
            <wp:positionV relativeFrom="paragraph">
              <wp:posOffset>81280</wp:posOffset>
            </wp:positionV>
            <wp:extent cx="840105" cy="297815"/>
            <wp:effectExtent l="0" t="0" r="0" b="698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2019</w:t>
      </w:r>
      <w:r w:rsidR="007B5D1E" w:rsidRPr="007B5D1E">
        <w:t xml:space="preserve"> </w:t>
      </w:r>
      <w:r w:rsidR="007B5D1E" w:rsidRPr="007B5D1E" w:rsidDel="00174535">
        <w:rPr>
          <w:rStyle w:val="Roman"/>
          <w:rFonts w:eastAsiaTheme="majorEastAsia"/>
        </w:rPr>
        <w:t xml:space="preserve"> </w:t>
      </w:r>
      <w:bookmarkStart w:id="2" w:name="_GoBack"/>
      <w:bookmarkEnd w:id="2"/>
    </w:p>
    <w:sectPr w:rsidR="00F560D5" w:rsidSect="00B93CD5">
      <w:headerReference w:type="default" r:id="rId20"/>
      <w:footerReference w:type="default" r:id="rId21"/>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355" w:rsidRDefault="00415355" w:rsidP="000B0274">
      <w:r>
        <w:separator/>
      </w:r>
    </w:p>
  </w:endnote>
  <w:endnote w:type="continuationSeparator" w:id="0">
    <w:p w:rsidR="00415355" w:rsidRDefault="00415355"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0000000000000000000"/>
    <w:charset w:val="00"/>
    <w:family w:val="auto"/>
    <w:notTrueType/>
    <w:pitch w:val="variable"/>
    <w:sig w:usb0="00000003" w:usb1="00000000" w:usb2="00000000" w:usb3="00000000" w:csb0="0000000B"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Calluna"/>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Proxima Nova"/>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43F" w:rsidRPr="00B93CD5" w:rsidRDefault="00B93CD5" w:rsidP="003228CF">
    <w:pPr>
      <w:pStyle w:val="Footer"/>
      <w:tabs>
        <w:tab w:val="clear" w:pos="9026"/>
        <w:tab w:val="right" w:pos="9639"/>
      </w:tabs>
    </w:pPr>
    <w:r w:rsidRPr="00B93CD5">
      <w:rPr>
        <w:lang w:val="en-US"/>
      </w:rPr>
      <w:t>Consequences of EMM-related adverse events and incidents</w:t>
    </w:r>
    <w:r w:rsidRPr="00B93CD5">
      <w:tab/>
    </w:r>
    <w:r w:rsidRPr="00B93CD5">
      <w:fldChar w:fldCharType="begin"/>
    </w:r>
    <w:r w:rsidRPr="00B93CD5">
      <w:instrText xml:space="preserve"> PAGE   \* MERGEFORMAT </w:instrText>
    </w:r>
    <w:r w:rsidRPr="00B93CD5">
      <w:fldChar w:fldCharType="separate"/>
    </w:r>
    <w:r w:rsidR="00194148">
      <w:rPr>
        <w:noProof/>
      </w:rPr>
      <w:t>4</w:t>
    </w:r>
    <w:r w:rsidRPr="00B93C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355" w:rsidRDefault="00415355" w:rsidP="000B0274">
      <w:r>
        <w:separator/>
      </w:r>
    </w:p>
  </w:footnote>
  <w:footnote w:type="continuationSeparator" w:id="0">
    <w:p w:rsidR="00415355" w:rsidRDefault="00415355" w:rsidP="000B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B6B" w:rsidRPr="00E039BB" w:rsidRDefault="008C0AEC" w:rsidP="00E26B6B">
    <w:pPr>
      <w:pStyle w:val="Header"/>
      <w:tabs>
        <w:tab w:val="clear" w:pos="4513"/>
        <w:tab w:val="clear" w:pos="9026"/>
        <w:tab w:val="left" w:pos="3040"/>
        <w:tab w:val="left" w:pos="8921"/>
        <w:tab w:val="right" w:pos="9638"/>
      </w:tabs>
      <w:jc w:val="right"/>
      <w:rPr>
        <w:rFonts w:ascii="Arial" w:hAnsi="Arial" w:cs="Arial"/>
        <w:sz w:val="16"/>
        <w:szCs w:val="16"/>
      </w:rPr>
    </w:pPr>
    <w:r w:rsidRPr="00DF5103">
      <w:rPr>
        <w:rFonts w:eastAsiaTheme="majorEastAsia"/>
        <w:noProof/>
      </w:rPr>
      <w:drawing>
        <wp:anchor distT="0" distB="0" distL="114300" distR="114300" simplePos="0" relativeHeight="251658240" behindDoc="0" locked="0" layoutInCell="1" allowOverlap="1" wp14:anchorId="6450F040" wp14:editId="3F6E5D7C">
          <wp:simplePos x="0" y="0"/>
          <wp:positionH relativeFrom="margin">
            <wp:align>left</wp:align>
          </wp:positionH>
          <wp:positionV relativeFrom="paragraph">
            <wp:posOffset>92428</wp:posOffset>
          </wp:positionV>
          <wp:extent cx="4334400" cy="612000"/>
          <wp:effectExtent l="0" t="0" r="0" b="0"/>
          <wp:wrapSquare wrapText="bothSides"/>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400" cy="612000"/>
                  </a:xfrm>
                  <a:prstGeom prst="rect">
                    <a:avLst/>
                  </a:prstGeom>
                </pic:spPr>
              </pic:pic>
            </a:graphicData>
          </a:graphic>
        </wp:anchor>
      </w:drawing>
    </w:r>
    <w:r w:rsidR="00E26B6B" w:rsidRPr="00D527A9">
      <w:rPr>
        <w:rFonts w:ascii="Arial" w:hAnsi="Arial" w:cs="Arial"/>
        <w:sz w:val="16"/>
        <w:szCs w:val="16"/>
      </w:rPr>
      <w:t>TRIM: D19-19992</w:t>
    </w:r>
  </w:p>
  <w:p w:rsidR="00B93CD5" w:rsidRDefault="00B93CD5">
    <w:pPr>
      <w:pStyle w:val="Header"/>
    </w:pPr>
  </w:p>
  <w:p w:rsidR="00E039BB" w:rsidRPr="00E039BB" w:rsidRDefault="00E039BB" w:rsidP="00E26B6B">
    <w:pPr>
      <w:pStyle w:val="Header"/>
      <w:tabs>
        <w:tab w:val="clear" w:pos="4513"/>
        <w:tab w:val="clear" w:pos="9026"/>
        <w:tab w:val="left" w:pos="3040"/>
        <w:tab w:val="left" w:pos="8921"/>
        <w:tab w:val="right" w:pos="9638"/>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68CD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16723"/>
    <w:multiLevelType w:val="hybridMultilevel"/>
    <w:tmpl w:val="E23E2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361F36"/>
    <w:multiLevelType w:val="hybridMultilevel"/>
    <w:tmpl w:val="2B10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E0257A"/>
    <w:multiLevelType w:val="hybridMultilevel"/>
    <w:tmpl w:val="E9B6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02FC245E"/>
    <w:multiLevelType w:val="hybridMultilevel"/>
    <w:tmpl w:val="256CE328"/>
    <w:lvl w:ilvl="0" w:tplc="0C09000F">
      <w:start w:val="1"/>
      <w:numFmt w:val="decimal"/>
      <w:lvlText w:val="%1."/>
      <w:lvlJc w:val="left"/>
      <w:pPr>
        <w:ind w:left="720" w:hanging="360"/>
      </w:pPr>
      <w:rPr>
        <w:rFonts w:hint="default"/>
      </w:rPr>
    </w:lvl>
    <w:lvl w:ilvl="1" w:tplc="CBFE80CC">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5955F00"/>
    <w:multiLevelType w:val="hybridMultilevel"/>
    <w:tmpl w:val="7ABA9F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517DF6"/>
    <w:multiLevelType w:val="hybridMultilevel"/>
    <w:tmpl w:val="12A6D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7C74BB"/>
    <w:multiLevelType w:val="hybridMultilevel"/>
    <w:tmpl w:val="0D10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0EE46A65"/>
    <w:multiLevelType w:val="hybridMultilevel"/>
    <w:tmpl w:val="06042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69310B"/>
    <w:multiLevelType w:val="hybridMultilevel"/>
    <w:tmpl w:val="4FA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1076229A"/>
    <w:multiLevelType w:val="hybridMultilevel"/>
    <w:tmpl w:val="6E66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15" w15:restartNumberingAfterBreak="0">
    <w:nsid w:val="13642483"/>
    <w:multiLevelType w:val="hybridMultilevel"/>
    <w:tmpl w:val="00A29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C60ED"/>
    <w:multiLevelType w:val="hybridMultilevel"/>
    <w:tmpl w:val="6A52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7C4386"/>
    <w:multiLevelType w:val="hybridMultilevel"/>
    <w:tmpl w:val="81F89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6A53E9"/>
    <w:multiLevelType w:val="hybridMultilevel"/>
    <w:tmpl w:val="C26E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987816"/>
    <w:multiLevelType w:val="hybridMultilevel"/>
    <w:tmpl w:val="4D7C0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0773129"/>
    <w:multiLevelType w:val="hybridMultilevel"/>
    <w:tmpl w:val="6BD2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20922974"/>
    <w:multiLevelType w:val="hybridMultilevel"/>
    <w:tmpl w:val="24AC327A"/>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B60C9F"/>
    <w:multiLevelType w:val="hybridMultilevel"/>
    <w:tmpl w:val="C04A7F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E03A66"/>
    <w:multiLevelType w:val="hybridMultilevel"/>
    <w:tmpl w:val="4D62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A713C7"/>
    <w:multiLevelType w:val="hybridMultilevel"/>
    <w:tmpl w:val="FB4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238D2409"/>
    <w:multiLevelType w:val="hybridMultilevel"/>
    <w:tmpl w:val="2710DA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3DA16B1"/>
    <w:multiLevelType w:val="hybridMultilevel"/>
    <w:tmpl w:val="51685A2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256722D1"/>
    <w:multiLevelType w:val="hybridMultilevel"/>
    <w:tmpl w:val="A704C536"/>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30" w15:restartNumberingAfterBreak="0">
    <w:nsid w:val="25FC5D0A"/>
    <w:multiLevelType w:val="hybridMultilevel"/>
    <w:tmpl w:val="4A4E0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31" w15:restartNumberingAfterBreak="0">
    <w:nsid w:val="26F37D83"/>
    <w:multiLevelType w:val="hybridMultilevel"/>
    <w:tmpl w:val="A408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2" w15:restartNumberingAfterBreak="0">
    <w:nsid w:val="2700565E"/>
    <w:multiLevelType w:val="hybridMultilevel"/>
    <w:tmpl w:val="331A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5B0483"/>
    <w:multiLevelType w:val="hybridMultilevel"/>
    <w:tmpl w:val="9B3E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4" w15:restartNumberingAfterBreak="0">
    <w:nsid w:val="2BC73B46"/>
    <w:multiLevelType w:val="hybridMultilevel"/>
    <w:tmpl w:val="4A561B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14489A"/>
    <w:multiLevelType w:val="hybridMultilevel"/>
    <w:tmpl w:val="0C7EC088"/>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F97B97"/>
    <w:multiLevelType w:val="hybridMultilevel"/>
    <w:tmpl w:val="5922F4B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15:restartNumberingAfterBreak="0">
    <w:nsid w:val="326F11A4"/>
    <w:multiLevelType w:val="hybridMultilevel"/>
    <w:tmpl w:val="C560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2BE5C74"/>
    <w:multiLevelType w:val="hybridMultilevel"/>
    <w:tmpl w:val="18A4AF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2E70573"/>
    <w:multiLevelType w:val="hybridMultilevel"/>
    <w:tmpl w:val="08B8EA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3F91CA5"/>
    <w:multiLevelType w:val="hybridMultilevel"/>
    <w:tmpl w:val="5C3A8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4503BF"/>
    <w:multiLevelType w:val="hybridMultilevel"/>
    <w:tmpl w:val="D3888E70"/>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42" w15:restartNumberingAfterBreak="0">
    <w:nsid w:val="37126219"/>
    <w:multiLevelType w:val="multilevel"/>
    <w:tmpl w:val="3E8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2D4C07"/>
    <w:multiLevelType w:val="hybridMultilevel"/>
    <w:tmpl w:val="E9BEC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8BD695D"/>
    <w:multiLevelType w:val="hybridMultilevel"/>
    <w:tmpl w:val="DA82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B0734DB"/>
    <w:multiLevelType w:val="hybridMultilevel"/>
    <w:tmpl w:val="E1121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46" w15:restartNumberingAfterBreak="0">
    <w:nsid w:val="3E8C4477"/>
    <w:multiLevelType w:val="hybridMultilevel"/>
    <w:tmpl w:val="8848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7" w15:restartNumberingAfterBreak="0">
    <w:nsid w:val="40680575"/>
    <w:multiLevelType w:val="hybridMultilevel"/>
    <w:tmpl w:val="1396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8" w15:restartNumberingAfterBreak="0">
    <w:nsid w:val="441E7B8D"/>
    <w:multiLevelType w:val="hybridMultilevel"/>
    <w:tmpl w:val="357EA2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76D570C"/>
    <w:multiLevelType w:val="hybridMultilevel"/>
    <w:tmpl w:val="551E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1" w15:restartNumberingAfterBreak="0">
    <w:nsid w:val="478907D5"/>
    <w:multiLevelType w:val="hybridMultilevel"/>
    <w:tmpl w:val="64F463B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8565EBF"/>
    <w:multiLevelType w:val="hybridMultilevel"/>
    <w:tmpl w:val="02D635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A515045"/>
    <w:multiLevelType w:val="hybridMultilevel"/>
    <w:tmpl w:val="AFB649CA"/>
    <w:lvl w:ilvl="0" w:tplc="0C090003">
      <w:start w:val="1"/>
      <w:numFmt w:val="bullet"/>
      <w:lvlText w:val="o"/>
      <w:lvlJc w:val="left"/>
      <w:pPr>
        <w:ind w:left="1080" w:hanging="360"/>
      </w:pPr>
      <w:rPr>
        <w:rFonts w:ascii="Courier New" w:hAnsi="Courier New" w:cs="Courier New" w:hint="default"/>
      </w:rPr>
    </w:lvl>
    <w:lvl w:ilvl="1" w:tplc="30C2F158">
      <w:start w:val="5"/>
      <w:numFmt w:val="bullet"/>
      <w:lvlText w:val="•"/>
      <w:lvlJc w:val="left"/>
      <w:pPr>
        <w:ind w:left="2160" w:hanging="72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F5777FE"/>
    <w:multiLevelType w:val="hybridMultilevel"/>
    <w:tmpl w:val="2E20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0D95949"/>
    <w:multiLevelType w:val="hybridMultilevel"/>
    <w:tmpl w:val="1BE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7" w15:restartNumberingAfterBreak="0">
    <w:nsid w:val="51950009"/>
    <w:multiLevelType w:val="hybridMultilevel"/>
    <w:tmpl w:val="162E4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58" w15:restartNumberingAfterBreak="0">
    <w:nsid w:val="51C403C2"/>
    <w:multiLevelType w:val="hybridMultilevel"/>
    <w:tmpl w:val="B9EE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5AE4E07"/>
    <w:multiLevelType w:val="multilevel"/>
    <w:tmpl w:val="5BA4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6E0F41"/>
    <w:multiLevelType w:val="hybridMultilevel"/>
    <w:tmpl w:val="E73A601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6874BED"/>
    <w:multiLevelType w:val="hybridMultilevel"/>
    <w:tmpl w:val="F80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2" w15:restartNumberingAfterBreak="0">
    <w:nsid w:val="56DE4BFF"/>
    <w:multiLevelType w:val="hybridMultilevel"/>
    <w:tmpl w:val="8886D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63" w15:restartNumberingAfterBreak="0">
    <w:nsid w:val="57DA0206"/>
    <w:multiLevelType w:val="hybridMultilevel"/>
    <w:tmpl w:val="960E0C82"/>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9AC75F3"/>
    <w:multiLevelType w:val="hybridMultilevel"/>
    <w:tmpl w:val="5C521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A040859"/>
    <w:multiLevelType w:val="hybridMultilevel"/>
    <w:tmpl w:val="BEB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6" w15:restartNumberingAfterBreak="0">
    <w:nsid w:val="5C1D1291"/>
    <w:multiLevelType w:val="hybridMultilevel"/>
    <w:tmpl w:val="E56E464E"/>
    <w:lvl w:ilvl="0" w:tplc="4E707E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26754AC"/>
    <w:multiLevelType w:val="hybridMultilevel"/>
    <w:tmpl w:val="24588936"/>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34D5826"/>
    <w:multiLevelType w:val="hybridMultilevel"/>
    <w:tmpl w:val="C3262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69" w15:restartNumberingAfterBreak="0">
    <w:nsid w:val="64F14830"/>
    <w:multiLevelType w:val="hybridMultilevel"/>
    <w:tmpl w:val="5046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180FFE"/>
    <w:multiLevelType w:val="hybridMultilevel"/>
    <w:tmpl w:val="350C8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F81AEA"/>
    <w:multiLevelType w:val="hybridMultilevel"/>
    <w:tmpl w:val="66E0201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B561408"/>
    <w:multiLevelType w:val="hybridMultilevel"/>
    <w:tmpl w:val="E190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C7A48FE"/>
    <w:multiLevelType w:val="hybridMultilevel"/>
    <w:tmpl w:val="E134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CBB0487"/>
    <w:multiLevelType w:val="hybridMultilevel"/>
    <w:tmpl w:val="E1E83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FA00DC8"/>
    <w:multiLevelType w:val="hybridMultilevel"/>
    <w:tmpl w:val="A3BC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0DC03F8"/>
    <w:multiLevelType w:val="hybridMultilevel"/>
    <w:tmpl w:val="BF467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B375ED"/>
    <w:multiLevelType w:val="hybridMultilevel"/>
    <w:tmpl w:val="BD002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78" w15:restartNumberingAfterBreak="0">
    <w:nsid w:val="75591D0B"/>
    <w:multiLevelType w:val="hybridMultilevel"/>
    <w:tmpl w:val="A64E7F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658654A"/>
    <w:multiLevelType w:val="hybridMultilevel"/>
    <w:tmpl w:val="7ABAB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769596">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727712E"/>
    <w:multiLevelType w:val="hybridMultilevel"/>
    <w:tmpl w:val="A47EE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CE6E64"/>
    <w:multiLevelType w:val="hybridMultilevel"/>
    <w:tmpl w:val="74C06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8C02B48"/>
    <w:multiLevelType w:val="multilevel"/>
    <w:tmpl w:val="3B3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B997B01"/>
    <w:multiLevelType w:val="hybridMultilevel"/>
    <w:tmpl w:val="6B20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D7556A2"/>
    <w:multiLevelType w:val="hybridMultilevel"/>
    <w:tmpl w:val="8A7C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CC1BE3"/>
    <w:multiLevelType w:val="hybridMultilevel"/>
    <w:tmpl w:val="EEC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num w:numId="1">
    <w:abstractNumId w:val="5"/>
  </w:num>
  <w:num w:numId="2">
    <w:abstractNumId w:val="10"/>
  </w:num>
  <w:num w:numId="3">
    <w:abstractNumId w:val="28"/>
  </w:num>
  <w:num w:numId="4">
    <w:abstractNumId w:val="54"/>
  </w:num>
  <w:num w:numId="5">
    <w:abstractNumId w:val="49"/>
  </w:num>
  <w:num w:numId="6">
    <w:abstractNumId w:val="11"/>
  </w:num>
  <w:num w:numId="7">
    <w:abstractNumId w:val="0"/>
  </w:num>
  <w:num w:numId="8">
    <w:abstractNumId w:val="16"/>
  </w:num>
  <w:num w:numId="9">
    <w:abstractNumId w:val="7"/>
  </w:num>
  <w:num w:numId="10">
    <w:abstractNumId w:val="64"/>
  </w:num>
  <w:num w:numId="11">
    <w:abstractNumId w:val="8"/>
  </w:num>
  <w:num w:numId="12">
    <w:abstractNumId w:val="81"/>
  </w:num>
  <w:num w:numId="13">
    <w:abstractNumId w:val="55"/>
  </w:num>
  <w:num w:numId="14">
    <w:abstractNumId w:val="43"/>
  </w:num>
  <w:num w:numId="15">
    <w:abstractNumId w:val="4"/>
  </w:num>
  <w:num w:numId="16">
    <w:abstractNumId w:val="15"/>
  </w:num>
  <w:num w:numId="17">
    <w:abstractNumId w:val="63"/>
  </w:num>
  <w:num w:numId="18">
    <w:abstractNumId w:val="22"/>
  </w:num>
  <w:num w:numId="19">
    <w:abstractNumId w:val="44"/>
  </w:num>
  <w:num w:numId="20">
    <w:abstractNumId w:val="71"/>
  </w:num>
  <w:num w:numId="21">
    <w:abstractNumId w:val="53"/>
  </w:num>
  <w:num w:numId="22">
    <w:abstractNumId w:val="2"/>
  </w:num>
  <w:num w:numId="23">
    <w:abstractNumId w:val="18"/>
  </w:num>
  <w:num w:numId="24">
    <w:abstractNumId w:val="74"/>
  </w:num>
  <w:num w:numId="25">
    <w:abstractNumId w:val="19"/>
  </w:num>
  <w:num w:numId="26">
    <w:abstractNumId w:val="83"/>
  </w:num>
  <w:num w:numId="27">
    <w:abstractNumId w:val="79"/>
  </w:num>
  <w:num w:numId="28">
    <w:abstractNumId w:val="67"/>
  </w:num>
  <w:num w:numId="29">
    <w:abstractNumId w:val="73"/>
  </w:num>
  <w:num w:numId="30">
    <w:abstractNumId w:val="70"/>
  </w:num>
  <w:num w:numId="31">
    <w:abstractNumId w:val="1"/>
  </w:num>
  <w:num w:numId="32">
    <w:abstractNumId w:val="12"/>
  </w:num>
  <w:num w:numId="33">
    <w:abstractNumId w:val="37"/>
  </w:num>
  <w:num w:numId="34">
    <w:abstractNumId w:val="58"/>
  </w:num>
  <w:num w:numId="35">
    <w:abstractNumId w:val="75"/>
  </w:num>
  <w:num w:numId="36">
    <w:abstractNumId w:val="40"/>
  </w:num>
  <w:num w:numId="37">
    <w:abstractNumId w:val="60"/>
  </w:num>
  <w:num w:numId="38">
    <w:abstractNumId w:val="24"/>
  </w:num>
  <w:num w:numId="39">
    <w:abstractNumId w:val="38"/>
  </w:num>
  <w:num w:numId="40">
    <w:abstractNumId w:val="23"/>
  </w:num>
  <w:num w:numId="41">
    <w:abstractNumId w:val="51"/>
  </w:num>
  <w:num w:numId="42">
    <w:abstractNumId w:val="6"/>
  </w:num>
  <w:num w:numId="43">
    <w:abstractNumId w:val="52"/>
  </w:num>
  <w:num w:numId="44">
    <w:abstractNumId w:val="27"/>
  </w:num>
  <w:num w:numId="45">
    <w:abstractNumId w:val="39"/>
  </w:num>
  <w:num w:numId="46">
    <w:abstractNumId w:val="78"/>
  </w:num>
  <w:num w:numId="47">
    <w:abstractNumId w:val="34"/>
  </w:num>
  <w:num w:numId="48">
    <w:abstractNumId w:val="26"/>
  </w:num>
  <w:num w:numId="49">
    <w:abstractNumId w:val="29"/>
  </w:num>
  <w:num w:numId="50">
    <w:abstractNumId w:val="41"/>
  </w:num>
  <w:num w:numId="51">
    <w:abstractNumId w:val="17"/>
  </w:num>
  <w:num w:numId="52">
    <w:abstractNumId w:val="82"/>
  </w:num>
  <w:num w:numId="53">
    <w:abstractNumId w:val="59"/>
  </w:num>
  <w:num w:numId="54">
    <w:abstractNumId w:val="72"/>
  </w:num>
  <w:num w:numId="55">
    <w:abstractNumId w:val="32"/>
  </w:num>
  <w:num w:numId="56">
    <w:abstractNumId w:val="66"/>
  </w:num>
  <w:num w:numId="57">
    <w:abstractNumId w:val="42"/>
  </w:num>
  <w:num w:numId="58">
    <w:abstractNumId w:val="36"/>
  </w:num>
  <w:num w:numId="59">
    <w:abstractNumId w:val="48"/>
  </w:num>
  <w:num w:numId="60">
    <w:abstractNumId w:val="35"/>
  </w:num>
  <w:num w:numId="61">
    <w:abstractNumId w:val="62"/>
  </w:num>
  <w:num w:numId="62">
    <w:abstractNumId w:val="65"/>
  </w:num>
  <w:num w:numId="63">
    <w:abstractNumId w:val="84"/>
  </w:num>
  <w:num w:numId="64">
    <w:abstractNumId w:val="20"/>
  </w:num>
  <w:num w:numId="65">
    <w:abstractNumId w:val="68"/>
  </w:num>
  <w:num w:numId="66">
    <w:abstractNumId w:val="14"/>
  </w:num>
  <w:num w:numId="67">
    <w:abstractNumId w:val="85"/>
  </w:num>
  <w:num w:numId="68">
    <w:abstractNumId w:val="33"/>
  </w:num>
  <w:num w:numId="69">
    <w:abstractNumId w:val="30"/>
  </w:num>
  <w:num w:numId="70">
    <w:abstractNumId w:val="21"/>
  </w:num>
  <w:num w:numId="71">
    <w:abstractNumId w:val="56"/>
  </w:num>
  <w:num w:numId="72">
    <w:abstractNumId w:val="13"/>
  </w:num>
  <w:num w:numId="73">
    <w:abstractNumId w:val="3"/>
  </w:num>
  <w:num w:numId="74">
    <w:abstractNumId w:val="47"/>
  </w:num>
  <w:num w:numId="75">
    <w:abstractNumId w:val="50"/>
  </w:num>
  <w:num w:numId="76">
    <w:abstractNumId w:val="46"/>
  </w:num>
  <w:num w:numId="77">
    <w:abstractNumId w:val="76"/>
  </w:num>
  <w:num w:numId="78">
    <w:abstractNumId w:val="9"/>
  </w:num>
  <w:num w:numId="79">
    <w:abstractNumId w:val="57"/>
  </w:num>
  <w:num w:numId="80">
    <w:abstractNumId w:val="77"/>
  </w:num>
  <w:num w:numId="81">
    <w:abstractNumId w:val="31"/>
  </w:num>
  <w:num w:numId="82">
    <w:abstractNumId w:val="25"/>
  </w:num>
  <w:num w:numId="83">
    <w:abstractNumId w:val="45"/>
  </w:num>
  <w:num w:numId="84">
    <w:abstractNumId w:val="61"/>
  </w:num>
  <w:num w:numId="85">
    <w:abstractNumId w:val="69"/>
  </w:num>
  <w:num w:numId="86">
    <w:abstractNumId w:val="8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E"/>
    <w:rsid w:val="00003743"/>
    <w:rsid w:val="00006F78"/>
    <w:rsid w:val="0001053B"/>
    <w:rsid w:val="00012782"/>
    <w:rsid w:val="00020DBD"/>
    <w:rsid w:val="00025A92"/>
    <w:rsid w:val="0003162D"/>
    <w:rsid w:val="00036F5E"/>
    <w:rsid w:val="000406F8"/>
    <w:rsid w:val="00043671"/>
    <w:rsid w:val="00050775"/>
    <w:rsid w:val="00054B74"/>
    <w:rsid w:val="00067456"/>
    <w:rsid w:val="0008065C"/>
    <w:rsid w:val="00095DA6"/>
    <w:rsid w:val="000A3F0D"/>
    <w:rsid w:val="000A4C01"/>
    <w:rsid w:val="000B0274"/>
    <w:rsid w:val="000B0BFE"/>
    <w:rsid w:val="000B79D3"/>
    <w:rsid w:val="000C1722"/>
    <w:rsid w:val="000C1DD4"/>
    <w:rsid w:val="000D017D"/>
    <w:rsid w:val="000D6405"/>
    <w:rsid w:val="000E2F2E"/>
    <w:rsid w:val="000F0D77"/>
    <w:rsid w:val="0010673D"/>
    <w:rsid w:val="00106CF5"/>
    <w:rsid w:val="00120FCB"/>
    <w:rsid w:val="00121DFD"/>
    <w:rsid w:val="00131E52"/>
    <w:rsid w:val="00143A76"/>
    <w:rsid w:val="00145BE3"/>
    <w:rsid w:val="00146A66"/>
    <w:rsid w:val="001507C6"/>
    <w:rsid w:val="00157B31"/>
    <w:rsid w:val="00160453"/>
    <w:rsid w:val="00174535"/>
    <w:rsid w:val="0017675C"/>
    <w:rsid w:val="00183675"/>
    <w:rsid w:val="001852DE"/>
    <w:rsid w:val="001860B2"/>
    <w:rsid w:val="001918F7"/>
    <w:rsid w:val="001921ED"/>
    <w:rsid w:val="00194148"/>
    <w:rsid w:val="00195458"/>
    <w:rsid w:val="00196AC8"/>
    <w:rsid w:val="001B15D1"/>
    <w:rsid w:val="001B3443"/>
    <w:rsid w:val="001E1042"/>
    <w:rsid w:val="001E38B8"/>
    <w:rsid w:val="001E77C4"/>
    <w:rsid w:val="001F6D10"/>
    <w:rsid w:val="0023231A"/>
    <w:rsid w:val="00237ADF"/>
    <w:rsid w:val="00245D81"/>
    <w:rsid w:val="0024767D"/>
    <w:rsid w:val="002503C3"/>
    <w:rsid w:val="00251167"/>
    <w:rsid w:val="00255596"/>
    <w:rsid w:val="00255DCB"/>
    <w:rsid w:val="00261F43"/>
    <w:rsid w:val="00263A63"/>
    <w:rsid w:val="00264A5A"/>
    <w:rsid w:val="002662B4"/>
    <w:rsid w:val="00267635"/>
    <w:rsid w:val="00281FD4"/>
    <w:rsid w:val="00291EBD"/>
    <w:rsid w:val="002B61F5"/>
    <w:rsid w:val="002C6AF0"/>
    <w:rsid w:val="002D0EB0"/>
    <w:rsid w:val="002E195D"/>
    <w:rsid w:val="002E2DBA"/>
    <w:rsid w:val="002E3986"/>
    <w:rsid w:val="002E6A48"/>
    <w:rsid w:val="002E7082"/>
    <w:rsid w:val="002F3AE3"/>
    <w:rsid w:val="002F7E6F"/>
    <w:rsid w:val="0030786C"/>
    <w:rsid w:val="00312A62"/>
    <w:rsid w:val="00316683"/>
    <w:rsid w:val="003228CF"/>
    <w:rsid w:val="00341BEE"/>
    <w:rsid w:val="00343286"/>
    <w:rsid w:val="00350BE1"/>
    <w:rsid w:val="003657DB"/>
    <w:rsid w:val="00386683"/>
    <w:rsid w:val="003873C6"/>
    <w:rsid w:val="00392002"/>
    <w:rsid w:val="00392A85"/>
    <w:rsid w:val="00396AFB"/>
    <w:rsid w:val="003C297A"/>
    <w:rsid w:val="003C540E"/>
    <w:rsid w:val="003D17F9"/>
    <w:rsid w:val="003D437B"/>
    <w:rsid w:val="003D4829"/>
    <w:rsid w:val="003E6E73"/>
    <w:rsid w:val="003E76C8"/>
    <w:rsid w:val="003F3F0B"/>
    <w:rsid w:val="0040152C"/>
    <w:rsid w:val="00402CBA"/>
    <w:rsid w:val="00412E9D"/>
    <w:rsid w:val="00414952"/>
    <w:rsid w:val="00415355"/>
    <w:rsid w:val="00425504"/>
    <w:rsid w:val="0042727E"/>
    <w:rsid w:val="004305D6"/>
    <w:rsid w:val="00440CC0"/>
    <w:rsid w:val="00447D31"/>
    <w:rsid w:val="00455560"/>
    <w:rsid w:val="00470AB8"/>
    <w:rsid w:val="00477E9B"/>
    <w:rsid w:val="00482ECA"/>
    <w:rsid w:val="00485794"/>
    <w:rsid w:val="004867E2"/>
    <w:rsid w:val="00486826"/>
    <w:rsid w:val="004A0670"/>
    <w:rsid w:val="004A4851"/>
    <w:rsid w:val="004A5C81"/>
    <w:rsid w:val="004B2999"/>
    <w:rsid w:val="004C3664"/>
    <w:rsid w:val="004C4927"/>
    <w:rsid w:val="004E067A"/>
    <w:rsid w:val="004E179B"/>
    <w:rsid w:val="004E2389"/>
    <w:rsid w:val="004E58C1"/>
    <w:rsid w:val="0051563D"/>
    <w:rsid w:val="0052107C"/>
    <w:rsid w:val="005221B7"/>
    <w:rsid w:val="005236E1"/>
    <w:rsid w:val="00530100"/>
    <w:rsid w:val="00536E0C"/>
    <w:rsid w:val="005408C7"/>
    <w:rsid w:val="005422E7"/>
    <w:rsid w:val="00544A4E"/>
    <w:rsid w:val="00553E33"/>
    <w:rsid w:val="00562F72"/>
    <w:rsid w:val="00566B97"/>
    <w:rsid w:val="00570C6C"/>
    <w:rsid w:val="00584334"/>
    <w:rsid w:val="0059724C"/>
    <w:rsid w:val="005A1AA7"/>
    <w:rsid w:val="005A4D0B"/>
    <w:rsid w:val="005A735B"/>
    <w:rsid w:val="005B04D8"/>
    <w:rsid w:val="005C1496"/>
    <w:rsid w:val="005C5EF4"/>
    <w:rsid w:val="005C6AAE"/>
    <w:rsid w:val="005D1073"/>
    <w:rsid w:val="005E2614"/>
    <w:rsid w:val="00607B0B"/>
    <w:rsid w:val="00614E29"/>
    <w:rsid w:val="0062216A"/>
    <w:rsid w:val="00625634"/>
    <w:rsid w:val="00630199"/>
    <w:rsid w:val="006317C9"/>
    <w:rsid w:val="00632475"/>
    <w:rsid w:val="00632C35"/>
    <w:rsid w:val="00641CB0"/>
    <w:rsid w:val="0064239F"/>
    <w:rsid w:val="00656A90"/>
    <w:rsid w:val="00664F67"/>
    <w:rsid w:val="00670F54"/>
    <w:rsid w:val="006728F9"/>
    <w:rsid w:val="006767BC"/>
    <w:rsid w:val="006803BA"/>
    <w:rsid w:val="006922F5"/>
    <w:rsid w:val="006947D9"/>
    <w:rsid w:val="006A16DD"/>
    <w:rsid w:val="006B3CFC"/>
    <w:rsid w:val="006C0CD8"/>
    <w:rsid w:val="006C5AEE"/>
    <w:rsid w:val="006C679A"/>
    <w:rsid w:val="006D732F"/>
    <w:rsid w:val="006E688D"/>
    <w:rsid w:val="006E753A"/>
    <w:rsid w:val="006F1432"/>
    <w:rsid w:val="006F7964"/>
    <w:rsid w:val="007028EC"/>
    <w:rsid w:val="007035D8"/>
    <w:rsid w:val="0070703E"/>
    <w:rsid w:val="00711E21"/>
    <w:rsid w:val="0071637F"/>
    <w:rsid w:val="00722691"/>
    <w:rsid w:val="007238E8"/>
    <w:rsid w:val="007316E8"/>
    <w:rsid w:val="007360BF"/>
    <w:rsid w:val="00747CE1"/>
    <w:rsid w:val="00750DE4"/>
    <w:rsid w:val="007545C7"/>
    <w:rsid w:val="0076005C"/>
    <w:rsid w:val="0076111D"/>
    <w:rsid w:val="007635C1"/>
    <w:rsid w:val="00766B42"/>
    <w:rsid w:val="0076731D"/>
    <w:rsid w:val="00767650"/>
    <w:rsid w:val="0078070C"/>
    <w:rsid w:val="00784541"/>
    <w:rsid w:val="007968CC"/>
    <w:rsid w:val="00796FB7"/>
    <w:rsid w:val="0079708B"/>
    <w:rsid w:val="007B04A9"/>
    <w:rsid w:val="007B16AC"/>
    <w:rsid w:val="007B5D1E"/>
    <w:rsid w:val="007C2217"/>
    <w:rsid w:val="007C471C"/>
    <w:rsid w:val="007C4DF5"/>
    <w:rsid w:val="007C52D3"/>
    <w:rsid w:val="007D1ED5"/>
    <w:rsid w:val="007E000D"/>
    <w:rsid w:val="007F3645"/>
    <w:rsid w:val="007F6791"/>
    <w:rsid w:val="00811C26"/>
    <w:rsid w:val="008264EB"/>
    <w:rsid w:val="00827924"/>
    <w:rsid w:val="00830756"/>
    <w:rsid w:val="00857E76"/>
    <w:rsid w:val="00865932"/>
    <w:rsid w:val="00872059"/>
    <w:rsid w:val="00873673"/>
    <w:rsid w:val="008803A1"/>
    <w:rsid w:val="008839CD"/>
    <w:rsid w:val="00892AC8"/>
    <w:rsid w:val="008A07AF"/>
    <w:rsid w:val="008A4AC8"/>
    <w:rsid w:val="008A58F9"/>
    <w:rsid w:val="008B50F1"/>
    <w:rsid w:val="008C0AEC"/>
    <w:rsid w:val="008D09DE"/>
    <w:rsid w:val="008E5D6A"/>
    <w:rsid w:val="0091137C"/>
    <w:rsid w:val="0092204C"/>
    <w:rsid w:val="00922DEE"/>
    <w:rsid w:val="009244B8"/>
    <w:rsid w:val="00933B21"/>
    <w:rsid w:val="00941048"/>
    <w:rsid w:val="009424A5"/>
    <w:rsid w:val="00950089"/>
    <w:rsid w:val="0095539D"/>
    <w:rsid w:val="00957E88"/>
    <w:rsid w:val="00961B39"/>
    <w:rsid w:val="00961FBE"/>
    <w:rsid w:val="00964277"/>
    <w:rsid w:val="00977D26"/>
    <w:rsid w:val="00984227"/>
    <w:rsid w:val="00991AF5"/>
    <w:rsid w:val="0099343F"/>
    <w:rsid w:val="00995094"/>
    <w:rsid w:val="009A007B"/>
    <w:rsid w:val="009A263C"/>
    <w:rsid w:val="009B053D"/>
    <w:rsid w:val="009B64E3"/>
    <w:rsid w:val="009C5964"/>
    <w:rsid w:val="009D0B90"/>
    <w:rsid w:val="009D429E"/>
    <w:rsid w:val="009D6852"/>
    <w:rsid w:val="009E0725"/>
    <w:rsid w:val="009E1F38"/>
    <w:rsid w:val="009E6B78"/>
    <w:rsid w:val="009E6D37"/>
    <w:rsid w:val="009F4ACF"/>
    <w:rsid w:val="009F5557"/>
    <w:rsid w:val="00A02BFF"/>
    <w:rsid w:val="00A0554C"/>
    <w:rsid w:val="00A1015B"/>
    <w:rsid w:val="00A15082"/>
    <w:rsid w:val="00A16AEE"/>
    <w:rsid w:val="00A369E8"/>
    <w:rsid w:val="00A4199A"/>
    <w:rsid w:val="00A4512D"/>
    <w:rsid w:val="00A54775"/>
    <w:rsid w:val="00A5502C"/>
    <w:rsid w:val="00A6672E"/>
    <w:rsid w:val="00A705AF"/>
    <w:rsid w:val="00A75B58"/>
    <w:rsid w:val="00A77349"/>
    <w:rsid w:val="00A931E2"/>
    <w:rsid w:val="00A93A18"/>
    <w:rsid w:val="00A964DB"/>
    <w:rsid w:val="00A96DED"/>
    <w:rsid w:val="00AA0A90"/>
    <w:rsid w:val="00AA15E7"/>
    <w:rsid w:val="00AA397F"/>
    <w:rsid w:val="00AA3A3E"/>
    <w:rsid w:val="00AA6DC2"/>
    <w:rsid w:val="00AA7B58"/>
    <w:rsid w:val="00AB40AB"/>
    <w:rsid w:val="00AB6ED9"/>
    <w:rsid w:val="00AD01B4"/>
    <w:rsid w:val="00AD52A0"/>
    <w:rsid w:val="00AD5717"/>
    <w:rsid w:val="00AF6154"/>
    <w:rsid w:val="00B07615"/>
    <w:rsid w:val="00B163F6"/>
    <w:rsid w:val="00B24DF4"/>
    <w:rsid w:val="00B2665E"/>
    <w:rsid w:val="00B30753"/>
    <w:rsid w:val="00B328AF"/>
    <w:rsid w:val="00B32DD1"/>
    <w:rsid w:val="00B3720C"/>
    <w:rsid w:val="00B37974"/>
    <w:rsid w:val="00B41409"/>
    <w:rsid w:val="00B42851"/>
    <w:rsid w:val="00B456E0"/>
    <w:rsid w:val="00B459E9"/>
    <w:rsid w:val="00B47076"/>
    <w:rsid w:val="00B56B37"/>
    <w:rsid w:val="00B57759"/>
    <w:rsid w:val="00B904EC"/>
    <w:rsid w:val="00B91269"/>
    <w:rsid w:val="00B91454"/>
    <w:rsid w:val="00B93CD5"/>
    <w:rsid w:val="00B9432A"/>
    <w:rsid w:val="00B95A67"/>
    <w:rsid w:val="00BA0015"/>
    <w:rsid w:val="00BA2A5D"/>
    <w:rsid w:val="00BA2DE8"/>
    <w:rsid w:val="00BA4AEE"/>
    <w:rsid w:val="00BC07E4"/>
    <w:rsid w:val="00BD0B57"/>
    <w:rsid w:val="00BD649D"/>
    <w:rsid w:val="00BE6832"/>
    <w:rsid w:val="00BF5905"/>
    <w:rsid w:val="00BF6152"/>
    <w:rsid w:val="00C06314"/>
    <w:rsid w:val="00C23604"/>
    <w:rsid w:val="00C308FA"/>
    <w:rsid w:val="00C31839"/>
    <w:rsid w:val="00C31A7F"/>
    <w:rsid w:val="00C32280"/>
    <w:rsid w:val="00C35287"/>
    <w:rsid w:val="00C35DEC"/>
    <w:rsid w:val="00C436EE"/>
    <w:rsid w:val="00C51BE7"/>
    <w:rsid w:val="00C565EF"/>
    <w:rsid w:val="00C64BBB"/>
    <w:rsid w:val="00C7543A"/>
    <w:rsid w:val="00C911AD"/>
    <w:rsid w:val="00CB0684"/>
    <w:rsid w:val="00CB2190"/>
    <w:rsid w:val="00CB5999"/>
    <w:rsid w:val="00CB5B1A"/>
    <w:rsid w:val="00CB733F"/>
    <w:rsid w:val="00CC4B8E"/>
    <w:rsid w:val="00CC697B"/>
    <w:rsid w:val="00CE3387"/>
    <w:rsid w:val="00CE3A39"/>
    <w:rsid w:val="00CE7355"/>
    <w:rsid w:val="00CF4118"/>
    <w:rsid w:val="00D10D90"/>
    <w:rsid w:val="00D116AD"/>
    <w:rsid w:val="00D13C42"/>
    <w:rsid w:val="00D16B25"/>
    <w:rsid w:val="00D24922"/>
    <w:rsid w:val="00D301EA"/>
    <w:rsid w:val="00D31DC2"/>
    <w:rsid w:val="00D41AE5"/>
    <w:rsid w:val="00D42B9A"/>
    <w:rsid w:val="00D469E4"/>
    <w:rsid w:val="00D4728F"/>
    <w:rsid w:val="00D5354B"/>
    <w:rsid w:val="00D563D0"/>
    <w:rsid w:val="00D73FE2"/>
    <w:rsid w:val="00D7465B"/>
    <w:rsid w:val="00D96327"/>
    <w:rsid w:val="00DB07A4"/>
    <w:rsid w:val="00DB5454"/>
    <w:rsid w:val="00DB5911"/>
    <w:rsid w:val="00DC0477"/>
    <w:rsid w:val="00DC0D24"/>
    <w:rsid w:val="00DD047B"/>
    <w:rsid w:val="00DD5D99"/>
    <w:rsid w:val="00DE75D8"/>
    <w:rsid w:val="00DF5103"/>
    <w:rsid w:val="00DF515C"/>
    <w:rsid w:val="00E039BB"/>
    <w:rsid w:val="00E13C5C"/>
    <w:rsid w:val="00E236C6"/>
    <w:rsid w:val="00E26B6B"/>
    <w:rsid w:val="00E34F33"/>
    <w:rsid w:val="00E40F95"/>
    <w:rsid w:val="00E4269D"/>
    <w:rsid w:val="00E4312B"/>
    <w:rsid w:val="00E60650"/>
    <w:rsid w:val="00E60EE1"/>
    <w:rsid w:val="00E708F6"/>
    <w:rsid w:val="00E716B4"/>
    <w:rsid w:val="00E86B67"/>
    <w:rsid w:val="00E9314D"/>
    <w:rsid w:val="00EA33D5"/>
    <w:rsid w:val="00EA5E02"/>
    <w:rsid w:val="00EA5FD0"/>
    <w:rsid w:val="00EA63B1"/>
    <w:rsid w:val="00EC7D3F"/>
    <w:rsid w:val="00ED0DD3"/>
    <w:rsid w:val="00ED648B"/>
    <w:rsid w:val="00EE16DD"/>
    <w:rsid w:val="00EE31B0"/>
    <w:rsid w:val="00EE356F"/>
    <w:rsid w:val="00EE397E"/>
    <w:rsid w:val="00EF1C55"/>
    <w:rsid w:val="00EF1C95"/>
    <w:rsid w:val="00EF2774"/>
    <w:rsid w:val="00F078B7"/>
    <w:rsid w:val="00F1278D"/>
    <w:rsid w:val="00F14BFD"/>
    <w:rsid w:val="00F17566"/>
    <w:rsid w:val="00F238F2"/>
    <w:rsid w:val="00F32433"/>
    <w:rsid w:val="00F332B3"/>
    <w:rsid w:val="00F34D63"/>
    <w:rsid w:val="00F41C35"/>
    <w:rsid w:val="00F4438C"/>
    <w:rsid w:val="00F46ED7"/>
    <w:rsid w:val="00F549D7"/>
    <w:rsid w:val="00F556DB"/>
    <w:rsid w:val="00F560D5"/>
    <w:rsid w:val="00F73D95"/>
    <w:rsid w:val="00F77044"/>
    <w:rsid w:val="00F8015E"/>
    <w:rsid w:val="00F83598"/>
    <w:rsid w:val="00F85766"/>
    <w:rsid w:val="00F931D3"/>
    <w:rsid w:val="00F95769"/>
    <w:rsid w:val="00FA289A"/>
    <w:rsid w:val="00FC7F5D"/>
    <w:rsid w:val="00FD1D84"/>
    <w:rsid w:val="00FD50A4"/>
    <w:rsid w:val="00FE58D5"/>
    <w:rsid w:val="00FE5CA3"/>
    <w:rsid w:val="00FF08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871056"/>
  <w15:docId w15:val="{F610EB7B-3559-E742-96FE-6454BB9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74535"/>
    <w:pPr>
      <w:spacing w:before="120" w:after="12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99"/>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8"/>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9"/>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Heading1Word">
    <w:name w:val="Heading 1 (&gt; Word)"/>
    <w:basedOn w:val="NormalWord"/>
    <w:next w:val="NormalWord"/>
    <w:uiPriority w:val="99"/>
    <w:rsid w:val="00183675"/>
    <w:pPr>
      <w:keepNext/>
      <w:spacing w:before="240" w:after="240"/>
    </w:pPr>
    <w:rPr>
      <w:rFonts w:ascii="Arial-BoldMT" w:hAnsi="Arial-BoldMT" w:cs="Arial-BoldMT"/>
      <w:b/>
      <w:bCs/>
      <w:color w:val="1178A2"/>
      <w:sz w:val="40"/>
      <w:szCs w:val="40"/>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ListParagraphWord">
    <w:name w:val="List Paragraph (&gt; Word)"/>
    <w:basedOn w:val="NormalWord"/>
    <w:uiPriority w:val="99"/>
    <w:rsid w:val="00183675"/>
    <w:pPr>
      <w:ind w:left="720"/>
    </w:pPr>
  </w:style>
  <w:style w:type="paragraph" w:customStyle="1" w:styleId="Heading2Word">
    <w:name w:val="Heading 2 (&gt; Word)"/>
    <w:basedOn w:val="Heading1Word"/>
    <w:next w:val="NormalWord"/>
    <w:uiPriority w:val="99"/>
    <w:rsid w:val="00183675"/>
    <w:rPr>
      <w:sz w:val="32"/>
      <w:szCs w:val="32"/>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Heading3Word">
    <w:name w:val="Heading 3 (&gt; Word)"/>
    <w:basedOn w:val="Heading2Word"/>
    <w:next w:val="NormalWord"/>
    <w:uiPriority w:val="99"/>
    <w:rsid w:val="00183675"/>
    <w:rPr>
      <w:sz w:val="28"/>
      <w:szCs w:val="28"/>
    </w:rPr>
  </w:style>
  <w:style w:type="paragraph" w:customStyle="1" w:styleId="Heading4Word">
    <w:name w:val="Heading 4 (&gt; Word)"/>
    <w:basedOn w:val="NormalWord"/>
    <w:next w:val="NormalWord"/>
    <w:uiPriority w:val="99"/>
    <w:rsid w:val="00183675"/>
    <w:pPr>
      <w:keepNext/>
      <w:spacing w:before="240" w:after="60"/>
    </w:pPr>
    <w:rPr>
      <w:rFonts w:ascii="Arial-BoldMT" w:hAnsi="Arial-BoldMT" w:cs="Arial-BoldMT"/>
      <w:b/>
      <w:bCs/>
      <w:color w:val="404040"/>
      <w:sz w:val="26"/>
      <w:szCs w:val="26"/>
    </w:rPr>
  </w:style>
  <w:style w:type="paragraph" w:customStyle="1" w:styleId="NumberListLastBulletandNumberlists">
    <w:name w:val="NumberListLast (Bullet and Number lists)"/>
    <w:basedOn w:val="ListParagraphWord"/>
    <w:uiPriority w:val="99"/>
    <w:rsid w:val="00183675"/>
    <w:pPr>
      <w:spacing w:after="170"/>
    </w:p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our-work/e-health-safety" TargetMode="External"/><Relationship Id="rId13" Type="http://schemas.openxmlformats.org/officeDocument/2006/relationships/hyperlink" Target="https://innovations.ahrq.gov/profiles/multifaceted-program-increases-reporting-potential-errors-leads-action-plans-enhance-safety" TargetMode="External"/><Relationship Id="rId18" Type="http://schemas.openxmlformats.org/officeDocument/2006/relationships/hyperlink" Target="http://www.safetyandquality.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ongwoods.com/content/18373" TargetMode="External"/><Relationship Id="rId17" Type="http://schemas.openxmlformats.org/officeDocument/2006/relationships/hyperlink" Target="mailto:mail@safetyandquality.gov.au" TargetMode="External"/><Relationship Id="rId2" Type="http://schemas.openxmlformats.org/officeDocument/2006/relationships/numbering" Target="numbering.xml"/><Relationship Id="rId16" Type="http://schemas.openxmlformats.org/officeDocument/2006/relationships/hyperlink" Target="https://www.safetyandquality.gov.au/electronic-medication-manag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ic.gov.au/privacy/notifiable-data-breaches/report-a-data-breach/" TargetMode="External"/><Relationship Id="rId5" Type="http://schemas.openxmlformats.org/officeDocument/2006/relationships/webSettings" Target="webSettings.xml"/><Relationship Id="rId15" Type="http://schemas.openxmlformats.org/officeDocument/2006/relationships/hyperlink" Target="http://www.who.int/bulletin/volumes/96/7/BLT-17-199802-table-T1.html" TargetMode="External"/><Relationship Id="rId23" Type="http://schemas.openxmlformats.org/officeDocument/2006/relationships/theme" Target="theme/theme1.xml"/><Relationship Id="rId10" Type="http://schemas.openxmlformats.org/officeDocument/2006/relationships/hyperlink" Target="http://www.oaic.gov.au/privacy/guidance-and-advice/data-breach-preparation-and-respons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ccmerp.org/sites/default/files/taxonomy2001-07-31.pdf" TargetMode="External"/><Relationship Id="rId14" Type="http://schemas.openxmlformats.org/officeDocument/2006/relationships/hyperlink" Target="http://www.who.int/bulletin/volumes/96/7/17-199802/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EA37-073A-48E2-9A5E-BB2B6CE9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1077</Words>
  <Characters>7759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Comprehensive Care Standard – Comprehensive Care Standard – Comprehensive care plan</vt:lpstr>
    </vt:vector>
  </TitlesOfParts>
  <Manager/>
  <Company>Australian Commission on Safety and Quality in Health Care</Company>
  <LinksUpToDate>false</LinksUpToDate>
  <CharactersWithSpaces>8819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Care Standard – Comprehensive Care Standard – Comprehensive care plan</dc:title>
  <dc:subject/>
  <dc:creator>Australian Commission on Safety and Quality in Health Care</dc:creator>
  <cp:keywords/>
  <dc:description/>
  <cp:lastModifiedBy>KEANE, Sally</cp:lastModifiedBy>
  <cp:revision>9</cp:revision>
  <cp:lastPrinted>2019-04-12T06:46:00Z</cp:lastPrinted>
  <dcterms:created xsi:type="dcterms:W3CDTF">2020-01-08T08:45:00Z</dcterms:created>
  <dcterms:modified xsi:type="dcterms:W3CDTF">2020-01-13T00:46:00Z</dcterms:modified>
  <cp:category/>
</cp:coreProperties>
</file>