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02355" w14:textId="4F7E4474" w:rsidR="007B7069" w:rsidRPr="007B7069" w:rsidRDefault="007B7069" w:rsidP="007B7069">
      <w:pPr>
        <w:spacing w:before="0" w:after="200" w:line="240" w:lineRule="auto"/>
        <w:rPr>
          <w:rFonts w:eastAsia="Times New Roman" w:cs="Times New Roman"/>
          <w:lang w:val="en-AU" w:eastAsia="en-AU"/>
        </w:rPr>
      </w:pPr>
      <w:bookmarkStart w:id="0" w:name="_Toc476822632"/>
      <w:bookmarkStart w:id="1" w:name="_Toc476822653"/>
      <w:r w:rsidRPr="007B7069">
        <w:rPr>
          <w:rFonts w:eastAsia="SimHei" w:cs="Times New Roman"/>
          <w:noProof/>
          <w:lang w:val="en-AU" w:eastAsia="en-AU"/>
        </w:rPr>
        <w:drawing>
          <wp:inline distT="0" distB="0" distL="0" distR="0" wp14:anchorId="3376363D" wp14:editId="3A14E7BD">
            <wp:extent cx="4335880" cy="612000"/>
            <wp:effectExtent l="0" t="0" r="0" b="0"/>
            <wp:docPr id="1" name="Picture 1"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35880" cy="612000"/>
                    </a:xfrm>
                    <a:prstGeom prst="rect">
                      <a:avLst/>
                    </a:prstGeom>
                  </pic:spPr>
                </pic:pic>
              </a:graphicData>
            </a:graphic>
          </wp:inline>
        </w:drawing>
      </w:r>
      <w:bookmarkEnd w:id="0"/>
      <w:bookmarkEnd w:id="1"/>
    </w:p>
    <w:p w14:paraId="75271E48" w14:textId="77777777" w:rsidR="007B7069" w:rsidRPr="007B7069" w:rsidRDefault="007B7069" w:rsidP="007B7069">
      <w:pPr>
        <w:spacing w:before="0" w:after="200" w:line="240" w:lineRule="auto"/>
        <w:rPr>
          <w:rFonts w:eastAsia="SimHei" w:cs="Times New Roman"/>
          <w:highlight w:val="yellow"/>
          <w:lang w:val="en-AU" w:eastAsia="en-AU"/>
        </w:rPr>
      </w:pPr>
    </w:p>
    <w:p w14:paraId="71E65FE9" w14:textId="77777777" w:rsidR="007B7069" w:rsidRPr="007B7069" w:rsidRDefault="007B7069" w:rsidP="007B7069">
      <w:pPr>
        <w:spacing w:line="240" w:lineRule="auto"/>
        <w:rPr>
          <w:rFonts w:eastAsia="Times New Roman" w:cs="Times New Roman"/>
          <w:color w:val="0A4A63"/>
          <w:sz w:val="32"/>
          <w:szCs w:val="40"/>
          <w:lang w:val="en-AU" w:eastAsia="en-AU"/>
        </w:rPr>
      </w:pPr>
      <w:r w:rsidRPr="007B7069">
        <w:rPr>
          <w:rFonts w:eastAsia="Times New Roman" w:cs="Times New Roman"/>
          <w:color w:val="0A4A63"/>
          <w:sz w:val="32"/>
          <w:szCs w:val="40"/>
          <w:lang w:val="en-AU" w:eastAsia="en-AU"/>
        </w:rPr>
        <w:t xml:space="preserve">July 2017 </w:t>
      </w:r>
    </w:p>
    <w:p w14:paraId="2DFA6BE6" w14:textId="77777777" w:rsidR="007B7069" w:rsidRPr="007B7069" w:rsidRDefault="007B7069" w:rsidP="007B7069">
      <w:pPr>
        <w:spacing w:before="0" w:after="300" w:line="240" w:lineRule="auto"/>
        <w:contextualSpacing/>
        <w:rPr>
          <w:rFonts w:ascii="Arial Bold" w:eastAsia="SimHei" w:hAnsi="Arial Bold" w:cs="Times New Roman" w:hint="eastAsia"/>
          <w:b/>
          <w:color w:val="0A4A63"/>
          <w:kern w:val="28"/>
          <w:sz w:val="56"/>
          <w:szCs w:val="56"/>
          <w:lang w:val="en-AU" w:eastAsia="en-AU"/>
        </w:rPr>
      </w:pPr>
      <w:r w:rsidRPr="007B7069">
        <w:rPr>
          <w:rFonts w:ascii="Arial Bold" w:eastAsia="SimHei" w:hAnsi="Arial Bold" w:cs="Times New Roman"/>
          <w:b/>
          <w:color w:val="0A4A63"/>
          <w:kern w:val="28"/>
          <w:sz w:val="56"/>
          <w:szCs w:val="56"/>
          <w:lang w:val="en-AU" w:eastAsia="en-AU"/>
        </w:rPr>
        <w:t>Economic evaluation of investigator-initiated clinical trials conducted by networks</w:t>
      </w:r>
    </w:p>
    <w:p w14:paraId="39AE8A22" w14:textId="77777777" w:rsidR="007B7069" w:rsidRDefault="007B7069" w:rsidP="007B7069">
      <w:pPr>
        <w:spacing w:after="200" w:line="240" w:lineRule="auto"/>
        <w:rPr>
          <w:rFonts w:eastAsia="Times New Roman" w:cs="Times New Roman"/>
          <w:b/>
          <w:color w:val="00A9E5"/>
          <w:sz w:val="36"/>
          <w:szCs w:val="36"/>
          <w:lang w:val="en-AU" w:eastAsia="en-AU"/>
        </w:rPr>
      </w:pPr>
    </w:p>
    <w:p w14:paraId="7B0A32F0" w14:textId="77777777" w:rsidR="007B7069" w:rsidRPr="007B7069" w:rsidRDefault="007B7069" w:rsidP="007B7069">
      <w:pPr>
        <w:spacing w:after="200" w:line="240" w:lineRule="auto"/>
        <w:rPr>
          <w:rFonts w:eastAsia="Times New Roman" w:cs="Times New Roman"/>
          <w:b/>
          <w:color w:val="00A9E5"/>
          <w:sz w:val="36"/>
          <w:szCs w:val="36"/>
          <w:lang w:val="en-AU" w:eastAsia="en-AU"/>
        </w:rPr>
      </w:pPr>
      <w:r w:rsidRPr="007B7069">
        <w:rPr>
          <w:rFonts w:eastAsia="Times New Roman" w:cs="Times New Roman"/>
          <w:b/>
          <w:color w:val="00A9E5"/>
          <w:sz w:val="36"/>
          <w:szCs w:val="36"/>
          <w:lang w:val="en-AU" w:eastAsia="en-AU"/>
        </w:rPr>
        <w:t>Final report</w:t>
      </w:r>
    </w:p>
    <w:p w14:paraId="51511FF7" w14:textId="77777777" w:rsidR="007B7069" w:rsidRPr="007B7069" w:rsidRDefault="007B7069" w:rsidP="007B7069">
      <w:pPr>
        <w:spacing w:before="0" w:after="200" w:line="240" w:lineRule="auto"/>
        <w:rPr>
          <w:rFonts w:eastAsia="Times New Roman" w:cs="Times New Roman"/>
          <w:lang w:val="en-AU" w:eastAsia="en-AU"/>
        </w:rPr>
      </w:pPr>
      <w:bookmarkStart w:id="2" w:name="_Toc476822633"/>
      <w:bookmarkStart w:id="3" w:name="_Toc476822654"/>
      <w:bookmarkStart w:id="4" w:name="_Toc476822854"/>
      <w:bookmarkStart w:id="5" w:name="_Toc476823158"/>
      <w:bookmarkStart w:id="6" w:name="_Toc476823667"/>
    </w:p>
    <w:p w14:paraId="30442D75" w14:textId="77777777" w:rsidR="007B7069" w:rsidRPr="007B7069" w:rsidRDefault="007B7069" w:rsidP="00392788">
      <w:pPr>
        <w:pStyle w:val="Commissionbodytext"/>
        <w:rPr>
          <w:rFonts w:cs="Times New Roman"/>
        </w:rPr>
      </w:pPr>
      <w:r w:rsidRPr="00392788">
        <w:rPr>
          <w:rFonts w:eastAsiaTheme="minorHAnsi"/>
        </w:rPr>
        <w:t>The Australian Clinical Trials Alliance, in association with Quantium Health Outcomes, has prepared this report on behalf of the Australian Commission on Safety and Quality in Health Care</w:t>
      </w:r>
      <w:r w:rsidRPr="007B7069">
        <w:rPr>
          <w:rFonts w:cs="Times New Roman"/>
        </w:rPr>
        <w:t xml:space="preserve">. </w:t>
      </w:r>
    </w:p>
    <w:p w14:paraId="4290BC78" w14:textId="77777777" w:rsidR="007B7069" w:rsidRPr="007B7069" w:rsidRDefault="007B7069" w:rsidP="007B7069">
      <w:pPr>
        <w:spacing w:before="0" w:after="200" w:line="240" w:lineRule="auto"/>
        <w:rPr>
          <w:rFonts w:eastAsia="Times New Roman" w:cs="Times New Roman"/>
          <w:lang w:val="en-AU" w:eastAsia="en-AU"/>
        </w:rPr>
      </w:pPr>
    </w:p>
    <w:p w14:paraId="459B0EB3" w14:textId="77777777" w:rsidR="007B7069" w:rsidRPr="007B7069" w:rsidRDefault="007B7069" w:rsidP="007B7069">
      <w:pPr>
        <w:spacing w:before="0" w:after="200" w:line="240" w:lineRule="auto"/>
        <w:rPr>
          <w:rFonts w:eastAsia="Times New Roman" w:cs="Times New Roman"/>
          <w:lang w:val="en-AU" w:eastAsia="en-AU"/>
        </w:rPr>
      </w:pPr>
    </w:p>
    <w:p w14:paraId="688FD153" w14:textId="77777777" w:rsidR="007B7069" w:rsidRPr="007B7069" w:rsidRDefault="007B7069" w:rsidP="007B7069">
      <w:pPr>
        <w:spacing w:before="0" w:after="200" w:line="240" w:lineRule="auto"/>
        <w:rPr>
          <w:rFonts w:eastAsia="Times New Roman" w:cs="Times New Roman"/>
          <w:lang w:val="en-AU" w:eastAsia="en-AU"/>
        </w:rPr>
      </w:pPr>
    </w:p>
    <w:p w14:paraId="705E575C" w14:textId="77777777" w:rsidR="007B7069" w:rsidRPr="00F112DA" w:rsidRDefault="007B7069" w:rsidP="007B7069">
      <w:pPr>
        <w:spacing w:before="0" w:after="200" w:line="240" w:lineRule="auto"/>
        <w:rPr>
          <w:rFonts w:eastAsia="Times New Roman" w:cs="Times New Roman"/>
          <w:b/>
          <w:lang w:val="en-AU" w:eastAsia="en-AU"/>
        </w:rPr>
      </w:pPr>
      <w:r w:rsidRPr="007B7069">
        <w:rPr>
          <w:rFonts w:eastAsia="Times New Roman" w:cs="Times New Roman"/>
          <w:noProof/>
          <w:sz w:val="44"/>
          <w:szCs w:val="40"/>
          <w:lang w:val="en-AU" w:eastAsia="en-AU"/>
        </w:rPr>
        <w:drawing>
          <wp:anchor distT="0" distB="0" distL="114300" distR="114300" simplePos="0" relativeHeight="251661312" behindDoc="0" locked="0" layoutInCell="1" allowOverlap="1" wp14:anchorId="2AAF1D3B" wp14:editId="1B011B8E">
            <wp:simplePos x="0" y="0"/>
            <wp:positionH relativeFrom="margin">
              <wp:posOffset>4172585</wp:posOffset>
            </wp:positionH>
            <wp:positionV relativeFrom="margin">
              <wp:posOffset>8049260</wp:posOffset>
            </wp:positionV>
            <wp:extent cx="1525905" cy="1390015"/>
            <wp:effectExtent l="0" t="0" r="0" b="635"/>
            <wp:wrapSquare wrapText="bothSides"/>
            <wp:docPr id="6" name="Picture 6" descr="Official logo of the Australian Clinical Trials Alliance." title="Australian Clinical Trials Al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A.logo.selections-01.eps"/>
                    <pic:cNvPicPr/>
                  </pic:nvPicPr>
                  <pic:blipFill>
                    <a:blip r:embed="rId10">
                      <a:extLst>
                        <a:ext uri="{28A0092B-C50C-407E-A947-70E740481C1C}">
                          <a14:useLocalDpi xmlns:a14="http://schemas.microsoft.com/office/drawing/2010/main" val="0"/>
                        </a:ext>
                      </a:extLst>
                    </a:blip>
                    <a:stretch>
                      <a:fillRect/>
                    </a:stretch>
                  </pic:blipFill>
                  <pic:spPr>
                    <a:xfrm>
                      <a:off x="0" y="0"/>
                      <a:ext cx="1525905" cy="1390015"/>
                    </a:xfrm>
                    <a:prstGeom prst="rect">
                      <a:avLst/>
                    </a:prstGeom>
                  </pic:spPr>
                </pic:pic>
              </a:graphicData>
            </a:graphic>
            <wp14:sizeRelH relativeFrom="margin">
              <wp14:pctWidth>0</wp14:pctWidth>
            </wp14:sizeRelH>
            <wp14:sizeRelV relativeFrom="margin">
              <wp14:pctHeight>0</wp14:pctHeight>
            </wp14:sizeRelV>
          </wp:anchor>
        </w:drawing>
      </w:r>
      <w:r w:rsidRPr="007B7069">
        <w:rPr>
          <w:rFonts w:eastAsia="Times New Roman" w:cs="Times New Roman"/>
          <w:lang w:val="en-AU" w:eastAsia="en-AU"/>
        </w:rPr>
        <w:br w:type="page"/>
      </w:r>
    </w:p>
    <w:p w14:paraId="6E4A4813" w14:textId="77777777" w:rsidR="007B7069" w:rsidRPr="007B7069" w:rsidRDefault="007B7069" w:rsidP="007B7069">
      <w:pPr>
        <w:spacing w:before="0" w:after="200" w:line="240" w:lineRule="auto"/>
        <w:rPr>
          <w:rFonts w:eastAsia="Times New Roman" w:cs="Times New Roman"/>
          <w:lang w:val="en-AU" w:eastAsia="en-AU"/>
        </w:rPr>
      </w:pPr>
      <w:r w:rsidRPr="007B7069">
        <w:rPr>
          <w:rFonts w:eastAsia="Times New Roman" w:cs="Times New Roman"/>
          <w:lang w:val="en-AU" w:eastAsia="en-AU"/>
        </w:rPr>
        <w:lastRenderedPageBreak/>
        <w:t>Published by the Australian Commission on Safety and Quality in Health Care</w:t>
      </w:r>
      <w:r w:rsidRPr="007B7069">
        <w:rPr>
          <w:rFonts w:eastAsia="Times New Roman" w:cs="Times New Roman"/>
          <w:lang w:val="en-AU" w:eastAsia="en-AU"/>
        </w:rPr>
        <w:br/>
        <w:t>Level 5, 255 Elizabeth Street, Sydney NSW 2000</w:t>
      </w:r>
    </w:p>
    <w:p w14:paraId="32BBF112" w14:textId="77777777" w:rsidR="007B7069" w:rsidRPr="007B7069" w:rsidRDefault="007B7069" w:rsidP="007B7069">
      <w:pPr>
        <w:spacing w:before="0" w:after="200" w:line="240" w:lineRule="auto"/>
        <w:rPr>
          <w:rFonts w:eastAsia="Times New Roman" w:cs="Times New Roman"/>
          <w:lang w:val="en-AU" w:eastAsia="en-AU"/>
        </w:rPr>
      </w:pPr>
      <w:r w:rsidRPr="007B7069">
        <w:rPr>
          <w:rFonts w:eastAsia="Times New Roman" w:cs="Times New Roman"/>
          <w:lang w:val="en-AU" w:eastAsia="en-AU"/>
        </w:rPr>
        <w:t xml:space="preserve">Phone: (02) 9126 3600 </w:t>
      </w:r>
      <w:r w:rsidRPr="007B7069">
        <w:rPr>
          <w:rFonts w:eastAsia="Times New Roman" w:cs="Times New Roman"/>
          <w:lang w:val="en-AU" w:eastAsia="en-AU"/>
        </w:rPr>
        <w:br/>
        <w:t>Fax: (02) 9126 3613</w:t>
      </w:r>
    </w:p>
    <w:p w14:paraId="6F1C163B" w14:textId="77777777" w:rsidR="007B7069" w:rsidRPr="007B7069" w:rsidRDefault="007B7069" w:rsidP="007B7069">
      <w:pPr>
        <w:spacing w:before="0" w:after="200" w:line="240" w:lineRule="auto"/>
        <w:rPr>
          <w:rFonts w:eastAsia="Times New Roman" w:cs="Times New Roman"/>
          <w:lang w:val="en-AU" w:eastAsia="en-AU"/>
        </w:rPr>
      </w:pPr>
      <w:r w:rsidRPr="007B7069">
        <w:rPr>
          <w:rFonts w:eastAsia="Times New Roman" w:cs="Times New Roman"/>
          <w:lang w:val="en-AU" w:eastAsia="en-AU"/>
        </w:rPr>
        <w:t xml:space="preserve">Email: mail@safetyandquality.gov.au </w:t>
      </w:r>
      <w:r w:rsidRPr="007B7069">
        <w:rPr>
          <w:rFonts w:eastAsia="Times New Roman" w:cs="Times New Roman"/>
          <w:lang w:val="en-AU" w:eastAsia="en-AU"/>
        </w:rPr>
        <w:br/>
        <w:t xml:space="preserve">Website: www.safetyandquality.gov.au </w:t>
      </w:r>
    </w:p>
    <w:p w14:paraId="238DB558" w14:textId="77777777" w:rsidR="007B7069" w:rsidRPr="007B7069" w:rsidRDefault="007B7069" w:rsidP="007B7069">
      <w:pPr>
        <w:spacing w:before="0" w:after="200" w:line="240" w:lineRule="auto"/>
        <w:rPr>
          <w:rFonts w:eastAsia="Times New Roman" w:cs="Times New Roman"/>
          <w:lang w:val="en-AU" w:eastAsia="en-AU"/>
        </w:rPr>
      </w:pPr>
      <w:r w:rsidRPr="007B7069">
        <w:rPr>
          <w:rFonts w:eastAsia="Times New Roman" w:cs="Times New Roman"/>
          <w:lang w:val="en-AU" w:eastAsia="en-AU"/>
        </w:rPr>
        <w:t>ISBN: 978-1-925665-00-0</w:t>
      </w:r>
    </w:p>
    <w:p w14:paraId="0E72B7A1" w14:textId="77777777" w:rsidR="007B7069" w:rsidRPr="007B7069" w:rsidRDefault="007B7069" w:rsidP="007B7069">
      <w:pPr>
        <w:spacing w:before="0" w:after="200" w:line="240" w:lineRule="auto"/>
        <w:rPr>
          <w:rFonts w:eastAsia="Times New Roman" w:cs="Times New Roman"/>
          <w:lang w:val="en-AU" w:eastAsia="en-AU"/>
        </w:rPr>
      </w:pPr>
      <w:r w:rsidRPr="007B7069">
        <w:rPr>
          <w:rFonts w:eastAsia="Times New Roman" w:cs="Times New Roman"/>
          <w:lang w:val="en-AU" w:eastAsia="en-AU"/>
        </w:rPr>
        <w:t>© Australian Commission on Safety and Quality in Health Care 2017</w:t>
      </w:r>
    </w:p>
    <w:p w14:paraId="61FB59FA" w14:textId="77777777" w:rsidR="007B7069" w:rsidRPr="007B7069" w:rsidRDefault="007B7069" w:rsidP="007B7069">
      <w:pPr>
        <w:spacing w:before="0" w:after="200" w:line="240" w:lineRule="auto"/>
        <w:rPr>
          <w:rFonts w:eastAsia="Times New Roman" w:cs="Times New Roman"/>
          <w:lang w:val="en-AU" w:eastAsia="en-AU"/>
        </w:rPr>
      </w:pPr>
      <w:r w:rsidRPr="007B7069">
        <w:rPr>
          <w:rFonts w:eastAsia="Times New Roman" w:cs="Times New Roman"/>
          <w:lang w:val="en-AU" w:eastAsia="en-AU"/>
        </w:rPr>
        <w:t xml:space="preserve">All material and work produced by the Australian Commission on Safety and Quality in Health Care is protected by copyright. The Commission reserves the right to set out the terms and conditions for the use of such material. </w:t>
      </w:r>
    </w:p>
    <w:p w14:paraId="02B7B865" w14:textId="77777777" w:rsidR="007B7069" w:rsidRPr="007B7069" w:rsidRDefault="007B7069" w:rsidP="007B7069">
      <w:pPr>
        <w:spacing w:before="0" w:after="200" w:line="240" w:lineRule="auto"/>
        <w:rPr>
          <w:rFonts w:eastAsia="Times New Roman" w:cs="Times New Roman"/>
          <w:lang w:val="en-AU" w:eastAsia="en-AU"/>
        </w:rPr>
      </w:pPr>
      <w:r w:rsidRPr="007B7069">
        <w:rPr>
          <w:rFonts w:eastAsia="Times New Roman" w:cs="Times New Roman"/>
          <w:lang w:val="en-AU" w:eastAsia="en-AU"/>
        </w:rPr>
        <w:t>As far as practicable, material for which the copyright is owned by a third party will be clearly labelled. The Australian Commission on Safety and Quality in Health Care has made all reasonable efforts to ensure that this material has been reproduced in this publication with the full consent of the copyright owners.</w:t>
      </w:r>
    </w:p>
    <w:p w14:paraId="5D29B5BC" w14:textId="77777777" w:rsidR="007B7069" w:rsidRPr="007B7069" w:rsidRDefault="007B7069" w:rsidP="007B7069">
      <w:pPr>
        <w:spacing w:before="0" w:after="200" w:line="240" w:lineRule="auto"/>
        <w:rPr>
          <w:rFonts w:eastAsia="Times New Roman" w:cs="Times New Roman"/>
          <w:lang w:val="en-AU" w:eastAsia="en-AU"/>
        </w:rPr>
      </w:pPr>
      <w:r w:rsidRPr="007B7069">
        <w:rPr>
          <w:rFonts w:eastAsia="Times New Roman" w:cs="Times New Roman"/>
          <w:lang w:val="en-AU" w:eastAsia="en-AU"/>
        </w:rPr>
        <w:t xml:space="preserve">With the exception of any material protected by a trademark, any content provided by third parties, and where otherwise noted, all material presented in this publication is licensed under a </w:t>
      </w:r>
      <w:hyperlink r:id="rId11" w:history="1">
        <w:r w:rsidRPr="007B7069">
          <w:rPr>
            <w:rFonts w:eastAsia="Times New Roman" w:cs="Times New Roman"/>
            <w:color w:val="0000FF"/>
            <w:u w:val="single"/>
            <w:lang w:val="en-AU" w:eastAsia="en-AU"/>
          </w:rPr>
          <w:t>Creative Commons Attribution-NonCommercial-NoDerivatives 4.0 International Licence</w:t>
        </w:r>
      </w:hyperlink>
      <w:r w:rsidRPr="007B7069">
        <w:rPr>
          <w:rFonts w:eastAsia="Times New Roman" w:cs="Times New Roman"/>
          <w:lang w:val="en-AU" w:eastAsia="en-AU"/>
        </w:rPr>
        <w:t>.</w:t>
      </w:r>
    </w:p>
    <w:p w14:paraId="242DCC3C" w14:textId="77777777" w:rsidR="007B7069" w:rsidRPr="007B7069" w:rsidRDefault="007B7069" w:rsidP="007B7069">
      <w:pPr>
        <w:spacing w:before="0" w:after="200" w:line="240" w:lineRule="auto"/>
        <w:rPr>
          <w:rFonts w:eastAsia="Times New Roman" w:cs="Times New Roman"/>
          <w:lang w:val="en-AU" w:eastAsia="en-AU"/>
        </w:rPr>
      </w:pPr>
      <w:r w:rsidRPr="007B7069">
        <w:rPr>
          <w:rFonts w:eastAsia="Times New Roman" w:cs="Times New Roman"/>
          <w:noProof/>
          <w:lang w:val="en-AU" w:eastAsia="en-AU"/>
        </w:rPr>
        <w:drawing>
          <wp:inline distT="0" distB="0" distL="0" distR="0" wp14:anchorId="148AD621" wp14:editId="2D4564AA">
            <wp:extent cx="840105" cy="297815"/>
            <wp:effectExtent l="0" t="0" r="0" b="6985"/>
            <wp:docPr id="7" name="Picture 7"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p>
    <w:p w14:paraId="0C00E999" w14:textId="77777777" w:rsidR="007B7069" w:rsidRPr="007B7069" w:rsidRDefault="007B7069" w:rsidP="007B7069">
      <w:pPr>
        <w:spacing w:before="0" w:after="200" w:line="240" w:lineRule="auto"/>
        <w:rPr>
          <w:rFonts w:eastAsia="Times New Roman" w:cs="Times New Roman"/>
          <w:lang w:val="en-AU" w:eastAsia="en-AU"/>
        </w:rPr>
      </w:pPr>
      <w:r w:rsidRPr="007B7069">
        <w:rPr>
          <w:rFonts w:eastAsia="Times New Roman" w:cs="Times New Roman"/>
          <w:lang w:val="en-AU" w:eastAsia="en-AU"/>
        </w:rPr>
        <w:t xml:space="preserve">Enquiries regarding the licence and any use of this publication are welcome and can be sent to </w:t>
      </w:r>
      <w:hyperlink r:id="rId13" w:history="1">
        <w:r w:rsidRPr="007B7069">
          <w:rPr>
            <w:rFonts w:eastAsia="Times New Roman" w:cs="Times New Roman"/>
            <w:color w:val="0000FF"/>
            <w:u w:val="single"/>
            <w:lang w:val="en-AU" w:eastAsia="en-AU"/>
          </w:rPr>
          <w:t>communications@safetyandquality.gov.au</w:t>
        </w:r>
      </w:hyperlink>
      <w:r w:rsidRPr="007B7069">
        <w:rPr>
          <w:rFonts w:eastAsia="Times New Roman" w:cs="Times New Roman"/>
          <w:lang w:val="en-AU" w:eastAsia="en-AU"/>
        </w:rPr>
        <w:t>.</w:t>
      </w:r>
    </w:p>
    <w:p w14:paraId="1A0E5738" w14:textId="77777777" w:rsidR="007B7069" w:rsidRPr="00976E3C" w:rsidRDefault="007B7069" w:rsidP="007B7069">
      <w:pPr>
        <w:spacing w:before="0" w:after="200" w:line="240" w:lineRule="auto"/>
        <w:rPr>
          <w:rFonts w:eastAsia="Times New Roman" w:cs="Times New Roman"/>
          <w:lang w:val="en-AU" w:eastAsia="en-AU"/>
        </w:rPr>
      </w:pPr>
      <w:r w:rsidRPr="007B7069">
        <w:rPr>
          <w:rFonts w:eastAsia="Times New Roman" w:cs="Times New Roman"/>
          <w:lang w:val="en-AU" w:eastAsia="en-AU"/>
        </w:rPr>
        <w:t xml:space="preserve">The Commission’s preference is that you attribute this publication (and any material sourced </w:t>
      </w:r>
      <w:r w:rsidRPr="00976E3C">
        <w:rPr>
          <w:rFonts w:eastAsia="Times New Roman" w:cs="Times New Roman"/>
          <w:lang w:val="en-AU" w:eastAsia="en-AU"/>
        </w:rPr>
        <w:t xml:space="preserve">from it) using the following citation: </w:t>
      </w:r>
    </w:p>
    <w:p w14:paraId="3334C182" w14:textId="2CB13233" w:rsidR="007B7069" w:rsidRPr="007B7069" w:rsidRDefault="007B7069" w:rsidP="00B212DF">
      <w:pPr>
        <w:spacing w:before="0" w:after="200" w:line="240" w:lineRule="auto"/>
        <w:ind w:left="720"/>
        <w:rPr>
          <w:rFonts w:eastAsia="Times New Roman" w:cs="Times New Roman"/>
          <w:lang w:val="en-AU" w:eastAsia="en-AU"/>
        </w:rPr>
      </w:pPr>
      <w:r w:rsidRPr="00976E3C">
        <w:rPr>
          <w:rFonts w:eastAsia="Times New Roman" w:cs="Times New Roman"/>
          <w:lang w:val="en-AU" w:eastAsia="en-AU"/>
        </w:rPr>
        <w:t xml:space="preserve">Australian </w:t>
      </w:r>
      <w:r w:rsidR="00F44730">
        <w:rPr>
          <w:rFonts w:eastAsia="Times New Roman" w:cs="Times New Roman"/>
          <w:lang w:val="en-AU" w:eastAsia="en-AU"/>
        </w:rPr>
        <w:t>Clinical Trials Alliance</w:t>
      </w:r>
      <w:r w:rsidRPr="00976E3C">
        <w:rPr>
          <w:rFonts w:eastAsia="Times New Roman" w:cs="Times New Roman"/>
          <w:lang w:val="en-AU" w:eastAsia="en-AU"/>
        </w:rPr>
        <w:t xml:space="preserve">. </w:t>
      </w:r>
      <w:r w:rsidRPr="007B7069">
        <w:rPr>
          <w:rFonts w:eastAsia="Times New Roman" w:cs="Times New Roman"/>
          <w:lang w:val="en-AU" w:eastAsia="en-AU"/>
        </w:rPr>
        <w:t>Economi</w:t>
      </w:r>
      <w:r w:rsidR="00362B9E">
        <w:rPr>
          <w:rFonts w:eastAsia="Times New Roman" w:cs="Times New Roman"/>
          <w:lang w:val="en-AU" w:eastAsia="en-AU"/>
        </w:rPr>
        <w:t>c evaluation of investigator-initiated</w:t>
      </w:r>
      <w:r w:rsidRPr="007B7069">
        <w:rPr>
          <w:rFonts w:eastAsia="Times New Roman" w:cs="Times New Roman"/>
          <w:lang w:val="en-AU" w:eastAsia="en-AU"/>
        </w:rPr>
        <w:t xml:space="preserve"> clinical trials conducted by networks. Sydney: ACSQHC; 2017. </w:t>
      </w:r>
    </w:p>
    <w:p w14:paraId="09F05A9E" w14:textId="77777777" w:rsidR="007B7069" w:rsidRPr="007B7069" w:rsidRDefault="007B7069" w:rsidP="007B7069">
      <w:pPr>
        <w:spacing w:before="0" w:after="200" w:line="240" w:lineRule="auto"/>
        <w:rPr>
          <w:rFonts w:eastAsia="Times New Roman" w:cs="Times New Roman"/>
          <w:b/>
          <w:bCs/>
          <w:lang w:val="en-AU" w:eastAsia="en-AU"/>
        </w:rPr>
      </w:pPr>
      <w:r w:rsidRPr="007B7069">
        <w:rPr>
          <w:rFonts w:eastAsia="Times New Roman" w:cs="Times New Roman"/>
          <w:b/>
          <w:bCs/>
          <w:lang w:val="en-AU" w:eastAsia="en-AU"/>
        </w:rPr>
        <w:t>Disclaimer</w:t>
      </w:r>
    </w:p>
    <w:p w14:paraId="64D11053" w14:textId="6AB425F3" w:rsidR="007B7069" w:rsidRPr="007B7069" w:rsidRDefault="007B7069" w:rsidP="007B7069">
      <w:pPr>
        <w:spacing w:before="0" w:after="200" w:line="240" w:lineRule="auto"/>
        <w:rPr>
          <w:rFonts w:eastAsia="Times New Roman" w:cs="Times New Roman"/>
          <w:lang w:val="en-AU" w:eastAsia="en-AU"/>
        </w:rPr>
      </w:pPr>
      <w:r w:rsidRPr="007B7069">
        <w:rPr>
          <w:rFonts w:eastAsia="Times New Roman" w:cs="Times New Roman"/>
          <w:lang w:val="en-AU" w:eastAsia="en-AU"/>
        </w:rPr>
        <w:t>The content of this document is published in good faith by the Australian Commission on Safety and Quality in Health Care (the Commission) for information purposes. The document is not intended to provide guidance on particular healthcare choices.</w:t>
      </w:r>
      <w:r w:rsidR="00F44730">
        <w:rPr>
          <w:rFonts w:eastAsia="Times New Roman" w:cs="Times New Roman"/>
          <w:lang w:val="en-AU" w:eastAsia="en-AU"/>
        </w:rPr>
        <w:t xml:space="preserve"> You should contact your health</w:t>
      </w:r>
      <w:r w:rsidRPr="007B7069">
        <w:rPr>
          <w:rFonts w:eastAsia="Times New Roman" w:cs="Times New Roman"/>
          <w:lang w:val="en-AU" w:eastAsia="en-AU"/>
        </w:rPr>
        <w:t xml:space="preserve">care provider on particular healthcare choices. </w:t>
      </w:r>
    </w:p>
    <w:p w14:paraId="436C3172" w14:textId="77777777" w:rsidR="007B7069" w:rsidRPr="007B7069" w:rsidRDefault="007B7069" w:rsidP="007B7069">
      <w:pPr>
        <w:spacing w:before="0" w:after="200" w:line="240" w:lineRule="auto"/>
        <w:rPr>
          <w:rFonts w:eastAsia="Times New Roman" w:cs="Times New Roman"/>
          <w:lang w:val="en-AU" w:eastAsia="en-AU"/>
        </w:rPr>
      </w:pPr>
      <w:r w:rsidRPr="007B7069">
        <w:rPr>
          <w:rFonts w:eastAsia="Times New Roman" w:cs="Times New Roman"/>
          <w:lang w:val="en-AU" w:eastAsia="en-AU"/>
        </w:rPr>
        <w:t xml:space="preserve">This document includes the views or recommendations of its authors and third parties. Publication of this document by the Commission does not necessarily reflect the views of the Commission, or indicate a commitment to a particular course of action. The Commission does not accept any legal liability for any injury, loss or damage incurred by the use of, or reliance on, this document. </w:t>
      </w:r>
      <w:r w:rsidRPr="007B7069">
        <w:rPr>
          <w:rFonts w:eastAsia="Times New Roman" w:cs="Times New Roman"/>
          <w:lang w:val="en-AU" w:eastAsia="en-AU"/>
        </w:rPr>
        <w:br w:type="page"/>
      </w:r>
    </w:p>
    <w:p w14:paraId="28B1AE78" w14:textId="77777777" w:rsidR="007B7069" w:rsidRPr="007B7069" w:rsidRDefault="007B7069" w:rsidP="00606B98">
      <w:pPr>
        <w:keepNext/>
        <w:spacing w:before="0" w:after="200" w:line="240" w:lineRule="auto"/>
        <w:outlineLvl w:val="0"/>
        <w:rPr>
          <w:rFonts w:eastAsia="Times New Roman" w:cs="Arial"/>
          <w:b/>
          <w:bCs/>
          <w:color w:val="1178A2"/>
          <w:kern w:val="28"/>
          <w:sz w:val="40"/>
          <w:szCs w:val="32"/>
          <w:lang w:val="en-AU" w:eastAsia="en-AU"/>
        </w:rPr>
        <w:sectPr w:rsidR="007B7069" w:rsidRPr="007B7069" w:rsidSect="00D7204C">
          <w:headerReference w:type="default" r:id="rId14"/>
          <w:footerReference w:type="default" r:id="rId15"/>
          <w:pgSz w:w="11906" w:h="16838"/>
          <w:pgMar w:top="1440" w:right="1440" w:bottom="709" w:left="1440" w:header="708" w:footer="0" w:gutter="0"/>
          <w:cols w:space="708"/>
          <w:docGrid w:linePitch="360"/>
        </w:sectPr>
      </w:pPr>
    </w:p>
    <w:p w14:paraId="437EF315" w14:textId="77777777" w:rsidR="007B7069" w:rsidRPr="007B7069" w:rsidRDefault="007B7069" w:rsidP="00606B98">
      <w:pPr>
        <w:keepNext/>
        <w:spacing w:before="0" w:after="200" w:line="240" w:lineRule="auto"/>
        <w:outlineLvl w:val="0"/>
        <w:rPr>
          <w:rFonts w:eastAsia="Times New Roman" w:cs="Arial"/>
          <w:b/>
          <w:bCs/>
          <w:color w:val="1178A2"/>
          <w:kern w:val="28"/>
          <w:sz w:val="40"/>
          <w:szCs w:val="32"/>
          <w:lang w:val="en-AU" w:eastAsia="en-AU"/>
        </w:rPr>
      </w:pPr>
      <w:r w:rsidRPr="007B7069">
        <w:rPr>
          <w:rFonts w:eastAsia="Times New Roman" w:cs="Arial"/>
          <w:b/>
          <w:bCs/>
          <w:color w:val="1178A2"/>
          <w:kern w:val="28"/>
          <w:sz w:val="40"/>
          <w:szCs w:val="32"/>
          <w:lang w:val="en-AU" w:eastAsia="en-AU"/>
        </w:rPr>
        <w:lastRenderedPageBreak/>
        <w:t xml:space="preserve">Preface </w:t>
      </w:r>
    </w:p>
    <w:p w14:paraId="78403D06" w14:textId="50BCDB6E" w:rsidR="007B7069" w:rsidRPr="007B7069" w:rsidRDefault="007B7069" w:rsidP="00392788">
      <w:pPr>
        <w:pStyle w:val="Commissionbodytext"/>
      </w:pPr>
      <w:r w:rsidRPr="007B7069">
        <w:t xml:space="preserve">Investigator-initiated clinical trials are an </w:t>
      </w:r>
      <w:r w:rsidR="00606B98">
        <w:t>important</w:t>
      </w:r>
      <w:r w:rsidRPr="007B7069">
        <w:t xml:space="preserve"> element </w:t>
      </w:r>
      <w:r w:rsidR="00606B98">
        <w:t xml:space="preserve">of </w:t>
      </w:r>
      <w:r w:rsidRPr="007B7069">
        <w:t xml:space="preserve">the quality improvement cycle. </w:t>
      </w:r>
      <w:r w:rsidRPr="007B7069">
        <w:rPr>
          <w:iCs/>
        </w:rPr>
        <w:t xml:space="preserve">They provide independent evidence on the efficacy, effectiveness or cost-effectiveness of a healthcare intervention. </w:t>
      </w:r>
      <w:r w:rsidRPr="007B7069">
        <w:t xml:space="preserve">The findings of these trials, if implemented, can lead to the adoption of new interventions, or the cessation of practices </w:t>
      </w:r>
      <w:r w:rsidR="00BC50D7">
        <w:t>that</w:t>
      </w:r>
      <w:r w:rsidR="00BC50D7" w:rsidRPr="007B7069">
        <w:t xml:space="preserve"> </w:t>
      </w:r>
      <w:r w:rsidRPr="007B7069">
        <w:t xml:space="preserve">do not lead to better health outcomes. </w:t>
      </w:r>
    </w:p>
    <w:p w14:paraId="13489FFD" w14:textId="77777777" w:rsidR="003B797C" w:rsidRDefault="003B797C" w:rsidP="00392788">
      <w:pPr>
        <w:pStyle w:val="Commissionbodytext"/>
      </w:pPr>
    </w:p>
    <w:p w14:paraId="0D7F5CA8" w14:textId="1C20CCCC" w:rsidR="0092289B" w:rsidRDefault="007B7069" w:rsidP="00392788">
      <w:pPr>
        <w:pStyle w:val="Commissionbodytext"/>
      </w:pPr>
      <w:r w:rsidRPr="007B7069">
        <w:t xml:space="preserve">There is growing international evidence </w:t>
      </w:r>
      <w:r w:rsidRPr="007B7069">
        <w:rPr>
          <w:iCs/>
        </w:rPr>
        <w:t>suggesting that programs of high-quality investigator</w:t>
      </w:r>
      <w:r w:rsidR="00D7204C">
        <w:rPr>
          <w:iCs/>
        </w:rPr>
        <w:noBreakHyphen/>
      </w:r>
      <w:r w:rsidRPr="007B7069">
        <w:rPr>
          <w:iCs/>
        </w:rPr>
        <w:t xml:space="preserve">initiated clinical trials have had a major impact </w:t>
      </w:r>
      <w:r w:rsidR="00BC50D7">
        <w:rPr>
          <w:iCs/>
        </w:rPr>
        <w:t>on</w:t>
      </w:r>
      <w:r w:rsidRPr="007B7069">
        <w:rPr>
          <w:iCs/>
        </w:rPr>
        <w:t xml:space="preserve"> healthcare quality and outcomes.</w:t>
      </w:r>
      <w:r w:rsidR="00025CC9">
        <w:rPr>
          <w:iCs/>
        </w:rPr>
        <w:t xml:space="preserve"> </w:t>
      </w:r>
      <w:r w:rsidR="00BC50D7">
        <w:rPr>
          <w:iCs/>
        </w:rPr>
        <w:t>T</w:t>
      </w:r>
      <w:r w:rsidRPr="007B7069">
        <w:rPr>
          <w:iCs/>
        </w:rPr>
        <w:t>here is</w:t>
      </w:r>
      <w:r w:rsidR="0096241B">
        <w:rPr>
          <w:iCs/>
        </w:rPr>
        <w:t xml:space="preserve"> </w:t>
      </w:r>
      <w:r w:rsidRPr="007B7069">
        <w:rPr>
          <w:iCs/>
        </w:rPr>
        <w:t>yet to be</w:t>
      </w:r>
      <w:r w:rsidR="00F44730">
        <w:rPr>
          <w:iCs/>
        </w:rPr>
        <w:t>,</w:t>
      </w:r>
      <w:r w:rsidRPr="007B7069">
        <w:rPr>
          <w:iCs/>
        </w:rPr>
        <w:t xml:space="preserve"> </w:t>
      </w:r>
      <w:r w:rsidR="00BC50D7">
        <w:rPr>
          <w:iCs/>
        </w:rPr>
        <w:t>h</w:t>
      </w:r>
      <w:r w:rsidR="00BC50D7" w:rsidRPr="007B7069">
        <w:rPr>
          <w:iCs/>
        </w:rPr>
        <w:t>owever</w:t>
      </w:r>
      <w:r w:rsidR="00BC50D7">
        <w:rPr>
          <w:iCs/>
        </w:rPr>
        <w:t>,</w:t>
      </w:r>
      <w:r w:rsidR="00BC50D7" w:rsidRPr="007B7069">
        <w:rPr>
          <w:iCs/>
        </w:rPr>
        <w:t xml:space="preserve"> </w:t>
      </w:r>
      <w:r w:rsidRPr="007B7069">
        <w:rPr>
          <w:iCs/>
        </w:rPr>
        <w:t xml:space="preserve">an evaluation to quantify the potential health and economic benefits generated by investigator-initiated clinical trials conducted in Australia. </w:t>
      </w:r>
      <w:r w:rsidRPr="007B7069">
        <w:t>This report aims to address this gap</w:t>
      </w:r>
      <w:r w:rsidR="00BC50D7">
        <w:t>, looking specifically</w:t>
      </w:r>
      <w:r w:rsidR="00025CC9">
        <w:t xml:space="preserve"> </w:t>
      </w:r>
      <w:r w:rsidR="00BC50D7">
        <w:t>at</w:t>
      </w:r>
      <w:r w:rsidRPr="007B7069">
        <w:t xml:space="preserve"> investigator-initiated clinical trials conducted by dedicated clinical trials networks.</w:t>
      </w:r>
    </w:p>
    <w:p w14:paraId="49E3C193" w14:textId="77777777" w:rsidR="003B797C" w:rsidRDefault="003B797C" w:rsidP="00392788">
      <w:pPr>
        <w:pStyle w:val="Commissionbodytext"/>
      </w:pPr>
    </w:p>
    <w:p w14:paraId="3932CE81" w14:textId="693E6917" w:rsidR="00A029E2" w:rsidRPr="00606B98" w:rsidRDefault="007B7069" w:rsidP="00392788">
      <w:pPr>
        <w:pStyle w:val="Commissionbodytext"/>
      </w:pPr>
      <w:r w:rsidRPr="00606B98">
        <w:t>The report that follows this preface was prepared by the Australian Clinical Trials Alliance in association with Quantium Health Outcomes (formerly Health Outcomes Australia), at the request of the Australian Commission on Safety and Quality Health</w:t>
      </w:r>
      <w:r w:rsidR="00F44730">
        <w:t xml:space="preserve"> C</w:t>
      </w:r>
      <w:r w:rsidRPr="00606B98">
        <w:t>are (</w:t>
      </w:r>
      <w:r w:rsidR="00BC50D7">
        <w:t xml:space="preserve">the </w:t>
      </w:r>
      <w:r w:rsidRPr="00606B98">
        <w:t>Commission). This preface, which is written by the Commission</w:t>
      </w:r>
      <w:r w:rsidR="00BB4A77">
        <w:t>,</w:t>
      </w:r>
      <w:r w:rsidRPr="00606B98">
        <w:t xml:space="preserve"> provides an overview of the project and how the findings may be used in future.</w:t>
      </w:r>
    </w:p>
    <w:p w14:paraId="04BF6F2F" w14:textId="77777777" w:rsidR="003B797C" w:rsidRDefault="003B797C" w:rsidP="00392788">
      <w:pPr>
        <w:pStyle w:val="Commissionbodytext"/>
      </w:pPr>
    </w:p>
    <w:p w14:paraId="7BD4E264" w14:textId="5498CB63" w:rsidR="007B7069" w:rsidRPr="007B7069" w:rsidRDefault="007B7069" w:rsidP="00606B98">
      <w:pPr>
        <w:keepNext/>
        <w:spacing w:before="0" w:after="200" w:line="240" w:lineRule="auto"/>
        <w:outlineLvl w:val="1"/>
        <w:rPr>
          <w:rFonts w:eastAsia="Times New Roman" w:cs="Arial"/>
          <w:b/>
          <w:iCs/>
          <w:color w:val="1178A2"/>
          <w:kern w:val="28"/>
          <w:sz w:val="32"/>
          <w:szCs w:val="28"/>
          <w:lang w:val="en-AU" w:eastAsia="en-AU"/>
        </w:rPr>
      </w:pPr>
      <w:r w:rsidRPr="007B7069">
        <w:rPr>
          <w:rFonts w:eastAsia="Times New Roman" w:cs="Arial"/>
          <w:b/>
          <w:iCs/>
          <w:color w:val="1178A2"/>
          <w:kern w:val="28"/>
          <w:sz w:val="32"/>
          <w:szCs w:val="28"/>
          <w:lang w:val="en-AU" w:eastAsia="en-AU"/>
        </w:rPr>
        <w:t>Key points</w:t>
      </w:r>
    </w:p>
    <w:p w14:paraId="30FE1E2D" w14:textId="1A527E89" w:rsidR="007B7069" w:rsidRPr="007B7069" w:rsidRDefault="007B7069" w:rsidP="00392788">
      <w:pPr>
        <w:pStyle w:val="Commissionbodytext"/>
      </w:pPr>
      <w:r w:rsidRPr="007B7069">
        <w:t xml:space="preserve">The study assesses the overall health and economic impact of investigator-initiated clinical trials conducted by </w:t>
      </w:r>
      <w:r w:rsidR="00025CC9">
        <w:t xml:space="preserve">select </w:t>
      </w:r>
      <w:r w:rsidRPr="007B7069">
        <w:t>clinical trials networks</w:t>
      </w:r>
      <w:r w:rsidR="007B47AB">
        <w:t xml:space="preserve"> </w:t>
      </w:r>
      <w:r w:rsidRPr="007B7069">
        <w:t>in Australia</w:t>
      </w:r>
      <w:r w:rsidR="00BC50D7">
        <w:t xml:space="preserve">, </w:t>
      </w:r>
      <w:r w:rsidR="00025CC9">
        <w:t xml:space="preserve">including </w:t>
      </w:r>
      <w:r w:rsidR="00BC50D7">
        <w:t xml:space="preserve">the </w:t>
      </w:r>
      <w:r w:rsidR="00BC50D7" w:rsidRPr="00657F18">
        <w:t xml:space="preserve">Australasian Stroke Trials Network (ASTN), the </w:t>
      </w:r>
      <w:r w:rsidR="00BC50D7" w:rsidRPr="00722F9C">
        <w:t>Interdisciplinary Maternal Perinatal Australasian</w:t>
      </w:r>
      <w:r w:rsidR="00BC50D7" w:rsidRPr="00392788">
        <w:t xml:space="preserve"> Collaborative Trials (IMPACT) Network and the Australian and New Zealand Intensive Care Society Clinical Trials Group (ANZICS CTG). </w:t>
      </w:r>
      <w:r w:rsidRPr="007B7069">
        <w:t>T</w:t>
      </w:r>
      <w:r w:rsidR="00BC50D7">
        <w:t>he study assessed trials conducted by these</w:t>
      </w:r>
      <w:r w:rsidRPr="007B7069">
        <w:t xml:space="preserve"> three well-established networks which </w:t>
      </w:r>
      <w:r w:rsidR="00BC50D7">
        <w:t>c</w:t>
      </w:r>
      <w:r w:rsidRPr="007B7069">
        <w:t xml:space="preserve">ollectively have overseen more than 460 individual trials. </w:t>
      </w:r>
    </w:p>
    <w:p w14:paraId="792CCEEB" w14:textId="77777777" w:rsidR="003B797C" w:rsidRDefault="003B797C" w:rsidP="00392788">
      <w:pPr>
        <w:spacing w:before="0" w:after="0" w:line="276" w:lineRule="auto"/>
        <w:rPr>
          <w:rFonts w:eastAsia="Times New Roman" w:cs="Times New Roman"/>
          <w:lang w:val="en-AU" w:eastAsia="en-AU"/>
        </w:rPr>
      </w:pPr>
    </w:p>
    <w:p w14:paraId="3397CDEA" w14:textId="77777777" w:rsidR="00A029E2" w:rsidRDefault="007B7069" w:rsidP="00392788">
      <w:pPr>
        <w:pStyle w:val="Commissionbodytext"/>
      </w:pPr>
      <w:r w:rsidRPr="007B7069">
        <w:t>The evaluation foll</w:t>
      </w:r>
      <w:r w:rsidR="0092289B">
        <w:t>owed a six-stage process to:</w:t>
      </w:r>
    </w:p>
    <w:p w14:paraId="4DE609C1" w14:textId="4542ED56" w:rsidR="0092289B" w:rsidRDefault="0092289B" w:rsidP="00392788">
      <w:pPr>
        <w:pStyle w:val="Commissionbodytext"/>
      </w:pPr>
      <w:r>
        <w:t xml:space="preserve"> </w:t>
      </w:r>
    </w:p>
    <w:p w14:paraId="0D6ADB80" w14:textId="07F579FD" w:rsidR="0092289B" w:rsidRPr="00A029E2" w:rsidRDefault="0092289B" w:rsidP="00392788">
      <w:pPr>
        <w:pStyle w:val="ListNumber"/>
        <w:tabs>
          <w:tab w:val="clear" w:pos="360"/>
          <w:tab w:val="num" w:pos="851"/>
        </w:tabs>
        <w:spacing w:before="0" w:after="0" w:line="276" w:lineRule="auto"/>
        <w:ind w:left="357"/>
        <w:contextualSpacing w:val="0"/>
        <w:rPr>
          <w:lang w:val="en-AU" w:eastAsia="en-AU"/>
        </w:rPr>
      </w:pPr>
      <w:r w:rsidRPr="00A029E2">
        <w:rPr>
          <w:lang w:val="en-AU" w:eastAsia="en-AU"/>
        </w:rPr>
        <w:t>U</w:t>
      </w:r>
      <w:r w:rsidR="007B7069" w:rsidRPr="00A029E2">
        <w:rPr>
          <w:lang w:val="en-AU" w:eastAsia="en-AU"/>
        </w:rPr>
        <w:t xml:space="preserve">nderstand the potential impact </w:t>
      </w:r>
      <w:r w:rsidR="00BC50D7" w:rsidRPr="00A029E2">
        <w:rPr>
          <w:lang w:val="en-AU" w:eastAsia="en-AU"/>
        </w:rPr>
        <w:t xml:space="preserve">of the trials </w:t>
      </w:r>
      <w:r w:rsidR="007B7069" w:rsidRPr="00A029E2">
        <w:rPr>
          <w:lang w:val="en-AU" w:eastAsia="en-AU"/>
        </w:rPr>
        <w:t>on clin</w:t>
      </w:r>
      <w:r w:rsidRPr="00A029E2">
        <w:rPr>
          <w:lang w:val="en-AU" w:eastAsia="en-AU"/>
        </w:rPr>
        <w:t xml:space="preserve">ical practice and/or policy </w:t>
      </w:r>
    </w:p>
    <w:p w14:paraId="5A444BCE" w14:textId="6F55A591" w:rsidR="0092289B" w:rsidRPr="00A029E2" w:rsidRDefault="0092289B" w:rsidP="00392788">
      <w:pPr>
        <w:pStyle w:val="ListNumber"/>
        <w:tabs>
          <w:tab w:val="clear" w:pos="360"/>
          <w:tab w:val="num" w:pos="851"/>
        </w:tabs>
        <w:spacing w:before="0" w:after="0" w:line="276" w:lineRule="auto"/>
        <w:ind w:left="357"/>
        <w:contextualSpacing w:val="0"/>
        <w:rPr>
          <w:lang w:val="en-AU" w:eastAsia="en-AU"/>
        </w:rPr>
      </w:pPr>
      <w:r w:rsidRPr="00A029E2">
        <w:rPr>
          <w:lang w:val="en-AU" w:eastAsia="en-AU"/>
        </w:rPr>
        <w:t>I</w:t>
      </w:r>
      <w:r w:rsidR="007B7069" w:rsidRPr="00A029E2">
        <w:rPr>
          <w:lang w:val="en-AU" w:eastAsia="en-AU"/>
        </w:rPr>
        <w:t xml:space="preserve">dentify the number of people affected if the </w:t>
      </w:r>
      <w:r w:rsidRPr="00A029E2">
        <w:rPr>
          <w:lang w:val="en-AU" w:eastAsia="en-AU"/>
        </w:rPr>
        <w:t xml:space="preserve">trial findings were implemented </w:t>
      </w:r>
    </w:p>
    <w:p w14:paraId="7BAD816B" w14:textId="43BD9088" w:rsidR="0092289B" w:rsidRPr="00A029E2" w:rsidRDefault="0092289B" w:rsidP="00392788">
      <w:pPr>
        <w:pStyle w:val="ListNumber"/>
        <w:tabs>
          <w:tab w:val="clear" w:pos="360"/>
          <w:tab w:val="num" w:pos="851"/>
        </w:tabs>
        <w:spacing w:before="0" w:after="0" w:line="276" w:lineRule="auto"/>
        <w:ind w:left="357"/>
        <w:contextualSpacing w:val="0"/>
        <w:rPr>
          <w:lang w:eastAsia="en-AU"/>
        </w:rPr>
      </w:pPr>
      <w:r w:rsidRPr="00A029E2">
        <w:rPr>
          <w:lang w:eastAsia="en-AU"/>
        </w:rPr>
        <w:t>C</w:t>
      </w:r>
      <w:r w:rsidR="007B7069" w:rsidRPr="00A029E2">
        <w:rPr>
          <w:lang w:eastAsia="en-AU"/>
        </w:rPr>
        <w:t>alculate the benefit of trial findings on ongoing p</w:t>
      </w:r>
      <w:r w:rsidRPr="00A029E2">
        <w:rPr>
          <w:lang w:eastAsia="en-AU"/>
        </w:rPr>
        <w:t>atient health outcomes</w:t>
      </w:r>
    </w:p>
    <w:p w14:paraId="7F9A6937" w14:textId="5A5E77C3" w:rsidR="0092289B" w:rsidRPr="00A029E2" w:rsidRDefault="0092289B" w:rsidP="00392788">
      <w:pPr>
        <w:pStyle w:val="ListNumber"/>
        <w:tabs>
          <w:tab w:val="clear" w:pos="360"/>
          <w:tab w:val="num" w:pos="851"/>
        </w:tabs>
        <w:spacing w:before="0" w:after="0" w:line="276" w:lineRule="auto"/>
        <w:ind w:left="357"/>
        <w:contextualSpacing w:val="0"/>
        <w:rPr>
          <w:lang w:val="en-AU" w:eastAsia="en-AU"/>
        </w:rPr>
      </w:pPr>
      <w:r w:rsidRPr="00A029E2">
        <w:rPr>
          <w:lang w:val="en-AU" w:eastAsia="en-AU"/>
        </w:rPr>
        <w:t>C</w:t>
      </w:r>
      <w:r w:rsidR="007B7069" w:rsidRPr="00A029E2">
        <w:rPr>
          <w:lang w:val="en-AU" w:eastAsia="en-AU"/>
        </w:rPr>
        <w:t xml:space="preserve">alculate the benefit of trial findings on ongoing </w:t>
      </w:r>
      <w:r w:rsidRPr="00A029E2">
        <w:rPr>
          <w:lang w:val="en-AU" w:eastAsia="en-AU"/>
        </w:rPr>
        <w:t>direct health service costs</w:t>
      </w:r>
    </w:p>
    <w:p w14:paraId="07D58AA1" w14:textId="03CC0ECF" w:rsidR="005C2181" w:rsidRPr="00A029E2" w:rsidRDefault="0092289B" w:rsidP="00392788">
      <w:pPr>
        <w:pStyle w:val="ListNumber"/>
        <w:tabs>
          <w:tab w:val="clear" w:pos="360"/>
          <w:tab w:val="num" w:pos="851"/>
        </w:tabs>
        <w:spacing w:before="0" w:after="0" w:line="276" w:lineRule="auto"/>
        <w:ind w:left="357"/>
        <w:contextualSpacing w:val="0"/>
        <w:rPr>
          <w:lang w:val="en-AU" w:eastAsia="en-AU"/>
        </w:rPr>
      </w:pPr>
      <w:r w:rsidRPr="00A029E2">
        <w:rPr>
          <w:lang w:val="en-AU" w:eastAsia="en-AU"/>
        </w:rPr>
        <w:t>M</w:t>
      </w:r>
      <w:r w:rsidR="007B7069" w:rsidRPr="00A029E2">
        <w:rPr>
          <w:lang w:val="en-AU" w:eastAsia="en-AU"/>
        </w:rPr>
        <w:t xml:space="preserve">easure </w:t>
      </w:r>
      <w:r w:rsidR="007B7069" w:rsidRPr="00A029E2">
        <w:rPr>
          <w:rFonts w:eastAsia="Arial"/>
        </w:rPr>
        <w:t xml:space="preserve">the </w:t>
      </w:r>
      <w:r w:rsidR="007B7069" w:rsidRPr="00A029E2">
        <w:rPr>
          <w:lang w:val="en-AU" w:eastAsia="en-AU"/>
        </w:rPr>
        <w:t>benefits against clinical</w:t>
      </w:r>
      <w:r w:rsidRPr="00A029E2">
        <w:rPr>
          <w:lang w:val="en-AU" w:eastAsia="en-AU"/>
        </w:rPr>
        <w:t xml:space="preserve"> trial and network costs</w:t>
      </w:r>
    </w:p>
    <w:p w14:paraId="239A5A20" w14:textId="4660D079" w:rsidR="00A029E2" w:rsidRPr="00A029E2" w:rsidRDefault="0092289B" w:rsidP="00392788">
      <w:pPr>
        <w:pStyle w:val="ListNumber"/>
        <w:tabs>
          <w:tab w:val="clear" w:pos="360"/>
          <w:tab w:val="num" w:pos="851"/>
        </w:tabs>
        <w:spacing w:before="0" w:after="0" w:line="276" w:lineRule="auto"/>
        <w:ind w:left="357"/>
        <w:contextualSpacing w:val="0"/>
        <w:rPr>
          <w:lang w:val="en-AU" w:eastAsia="en-AU"/>
        </w:rPr>
      </w:pPr>
      <w:r w:rsidRPr="005C2181">
        <w:rPr>
          <w:lang w:val="en-AU" w:eastAsia="en-AU"/>
        </w:rPr>
        <w:t>U</w:t>
      </w:r>
      <w:r w:rsidR="007B7069" w:rsidRPr="00657F18">
        <w:rPr>
          <w:lang w:val="en-AU" w:eastAsia="en-AU"/>
        </w:rPr>
        <w:t>ndertake sensitivity analyses to investigate what would happ</w:t>
      </w:r>
      <w:r w:rsidR="007B7069" w:rsidRPr="00722F9C">
        <w:rPr>
          <w:lang w:val="en-AU" w:eastAsia="en-AU"/>
        </w:rPr>
        <w:t>en to the results if assumptions changed.</w:t>
      </w:r>
    </w:p>
    <w:p w14:paraId="1DB525E0" w14:textId="77777777" w:rsidR="00A029E2" w:rsidRPr="00392788" w:rsidRDefault="00A029E2" w:rsidP="00392788">
      <w:pPr>
        <w:pStyle w:val="ListNumber"/>
        <w:numPr>
          <w:ilvl w:val="0"/>
          <w:numId w:val="0"/>
        </w:numPr>
        <w:spacing w:before="0" w:after="0" w:line="276" w:lineRule="auto"/>
        <w:ind w:left="360"/>
        <w:contextualSpacing w:val="0"/>
        <w:rPr>
          <w:rFonts w:eastAsia="Times New Roman" w:cs="Times New Roman"/>
          <w:bCs/>
          <w:lang w:eastAsia="en-AU"/>
        </w:rPr>
      </w:pPr>
    </w:p>
    <w:p w14:paraId="4B7FB65F" w14:textId="67CA91D1" w:rsidR="007B7069" w:rsidRDefault="007B7069" w:rsidP="00392788">
      <w:pPr>
        <w:pStyle w:val="Commissionbodytext"/>
      </w:pPr>
      <w:r w:rsidRPr="00392788">
        <w:t>In total, 25 high</w:t>
      </w:r>
      <w:r w:rsidR="00B16068" w:rsidRPr="00392788">
        <w:t>-</w:t>
      </w:r>
      <w:r w:rsidRPr="00392788">
        <w:t xml:space="preserve">impact clinical trials were evaluated across </w:t>
      </w:r>
      <w:r w:rsidR="00977607" w:rsidRPr="00392788">
        <w:t xml:space="preserve">the </w:t>
      </w:r>
      <w:r w:rsidRPr="00392788">
        <w:t xml:space="preserve">three networks. If the results of these trials </w:t>
      </w:r>
      <w:r w:rsidR="00977607" w:rsidRPr="00392788">
        <w:t xml:space="preserve">were </w:t>
      </w:r>
      <w:r w:rsidRPr="00392788">
        <w:t>implemented in 65% of the eligible Australian patient population</w:t>
      </w:r>
      <w:r w:rsidR="002F38F6">
        <w:t>s</w:t>
      </w:r>
      <w:r w:rsidRPr="00392788">
        <w:t xml:space="preserve"> for one year: </w:t>
      </w:r>
    </w:p>
    <w:p w14:paraId="7A26B351" w14:textId="77777777" w:rsidR="007B47AB" w:rsidRPr="00657F18" w:rsidRDefault="007B47AB" w:rsidP="00392788">
      <w:pPr>
        <w:pStyle w:val="Commissionbodytext"/>
      </w:pPr>
    </w:p>
    <w:p w14:paraId="7D844AD3" w14:textId="6525E9D3" w:rsidR="007B7069" w:rsidRPr="00392788" w:rsidRDefault="007B7069" w:rsidP="00392788">
      <w:pPr>
        <w:pStyle w:val="Commissionbullets"/>
      </w:pPr>
      <w:r w:rsidRPr="00722F9C">
        <w:t>The gross be</w:t>
      </w:r>
      <w:r w:rsidRPr="00392788">
        <w:t xml:space="preserve">nefit </w:t>
      </w:r>
      <w:r w:rsidR="00977607" w:rsidRPr="00392788">
        <w:t xml:space="preserve">would be </w:t>
      </w:r>
      <w:r w:rsidRPr="00392788">
        <w:t>approximately $2 billion (2014 dollars) measured through better health outcomes a</w:t>
      </w:r>
      <w:r w:rsidR="0092289B" w:rsidRPr="00392788">
        <w:t>nd reduced health service costs</w:t>
      </w:r>
    </w:p>
    <w:p w14:paraId="57378B91" w14:textId="3F8820D2" w:rsidR="007B7069" w:rsidRDefault="007B7069" w:rsidP="00392788">
      <w:pPr>
        <w:pStyle w:val="Commissionbullets"/>
      </w:pPr>
      <w:r w:rsidRPr="00392788">
        <w:t xml:space="preserve">Reductions in health service costs </w:t>
      </w:r>
      <w:r w:rsidR="00F44730">
        <w:t xml:space="preserve">would </w:t>
      </w:r>
      <w:r w:rsidRPr="00392788">
        <w:t>account for 30% ($580 million) of the gross benefit</w:t>
      </w:r>
      <w:r w:rsidR="00F44730">
        <w:t>,</w:t>
      </w:r>
      <w:r w:rsidRPr="00392788">
        <w:t xml:space="preserve"> and this alone </w:t>
      </w:r>
      <w:r w:rsidR="00F44730">
        <w:t>would exceed</w:t>
      </w:r>
      <w:r w:rsidRPr="00392788">
        <w:t xml:space="preserve"> </w:t>
      </w:r>
      <w:r w:rsidR="00F44730">
        <w:t xml:space="preserve">the </w:t>
      </w:r>
      <w:r w:rsidRPr="00392788">
        <w:t>total costs for the three networks and all of their rese</w:t>
      </w:r>
      <w:r w:rsidR="0092289B" w:rsidRPr="00392788">
        <w:t>arch activity from 2004 to 2014</w:t>
      </w:r>
      <w:r w:rsidR="00F44730">
        <w:t>.</w:t>
      </w:r>
    </w:p>
    <w:p w14:paraId="1F4A1171" w14:textId="77777777" w:rsidR="00F44730" w:rsidRDefault="00F44730" w:rsidP="00F44730">
      <w:pPr>
        <w:pStyle w:val="Commissionbodytext"/>
      </w:pPr>
    </w:p>
    <w:p w14:paraId="645FECE2" w14:textId="4F0F76B6" w:rsidR="00F44730" w:rsidRDefault="00F44730" w:rsidP="00F44730">
      <w:pPr>
        <w:pStyle w:val="Commissionbodytext"/>
      </w:pPr>
      <w:r>
        <w:t>The report also finds:</w:t>
      </w:r>
    </w:p>
    <w:p w14:paraId="6A0E0DBD" w14:textId="77777777" w:rsidR="00A91EF0" w:rsidRPr="00392788" w:rsidRDefault="00A91EF0" w:rsidP="00F44730">
      <w:pPr>
        <w:pStyle w:val="Commissionbodytext"/>
      </w:pPr>
    </w:p>
    <w:p w14:paraId="08F230BE" w14:textId="56D9CEAA" w:rsidR="007B7069" w:rsidRPr="00392788" w:rsidRDefault="007B7069" w:rsidP="00615DF0">
      <w:pPr>
        <w:pStyle w:val="Commissionbodytext"/>
        <w:numPr>
          <w:ilvl w:val="0"/>
          <w:numId w:val="13"/>
        </w:numPr>
      </w:pPr>
      <w:r w:rsidRPr="00392788">
        <w:t>The overall consolidated benefit</w:t>
      </w:r>
      <w:r w:rsidR="009F33F1" w:rsidRPr="00392788">
        <w:t>-</w:t>
      </w:r>
      <w:r w:rsidRPr="00392788">
        <w:t>to</w:t>
      </w:r>
      <w:r w:rsidR="009F33F1" w:rsidRPr="00392788">
        <w:t>-</w:t>
      </w:r>
      <w:r w:rsidRPr="00392788">
        <w:t>cost ratio for the networks is 5.8:1, or a return</w:t>
      </w:r>
      <w:r w:rsidR="0092289B" w:rsidRPr="00392788">
        <w:t xml:space="preserve"> of $5.80 for every $1 invested</w:t>
      </w:r>
    </w:p>
    <w:p w14:paraId="4E448E30" w14:textId="34CFCA38" w:rsidR="007B7069" w:rsidRPr="00392788" w:rsidRDefault="00F44730" w:rsidP="00615DF0">
      <w:pPr>
        <w:pStyle w:val="Commissionbodytext"/>
        <w:numPr>
          <w:ilvl w:val="0"/>
          <w:numId w:val="13"/>
        </w:numPr>
      </w:pPr>
      <w:r>
        <w:t xml:space="preserve">The results of the 25 trials only needed to </w:t>
      </w:r>
      <w:r w:rsidR="007B7069" w:rsidRPr="00392788">
        <w:t>be implemented in 11% of the eligible patient population</w:t>
      </w:r>
      <w:r>
        <w:t>s</w:t>
      </w:r>
      <w:r w:rsidR="007B7069" w:rsidRPr="00392788">
        <w:t xml:space="preserve"> for benefit</w:t>
      </w:r>
      <w:r w:rsidR="0092289B" w:rsidRPr="00392788">
        <w:t>s to exceed costs</w:t>
      </w:r>
    </w:p>
    <w:p w14:paraId="370FA4E0" w14:textId="6ABCD343" w:rsidR="007B7069" w:rsidRPr="00392788" w:rsidRDefault="00F44730" w:rsidP="00615DF0">
      <w:pPr>
        <w:pStyle w:val="Commissionbodytext"/>
        <w:numPr>
          <w:ilvl w:val="0"/>
          <w:numId w:val="13"/>
        </w:numPr>
      </w:pPr>
      <w:r>
        <w:t>For every $1 awarded in National Health and Medical Research Council (NHMRC)</w:t>
      </w:r>
      <w:r w:rsidR="007B7069" w:rsidRPr="00392788">
        <w:t xml:space="preserve"> grants to the 25 trials</w:t>
      </w:r>
      <w:r>
        <w:t xml:space="preserve">, a return of </w:t>
      </w:r>
      <w:r w:rsidR="0092289B" w:rsidRPr="00392788">
        <w:t xml:space="preserve">$51.10 </w:t>
      </w:r>
      <w:r>
        <w:t>was achieved</w:t>
      </w:r>
    </w:p>
    <w:p w14:paraId="6E34EC41" w14:textId="55DED53F" w:rsidR="007B7069" w:rsidRDefault="007B7069" w:rsidP="00615DF0">
      <w:pPr>
        <w:pStyle w:val="Commissionbodytext"/>
        <w:numPr>
          <w:ilvl w:val="0"/>
          <w:numId w:val="13"/>
        </w:numPr>
      </w:pPr>
      <w:r w:rsidRPr="00392788">
        <w:t xml:space="preserve">Just 9% of the </w:t>
      </w:r>
      <w:r w:rsidR="00F44730">
        <w:t xml:space="preserve">$2 billion </w:t>
      </w:r>
      <w:r w:rsidRPr="00392788">
        <w:t xml:space="preserve">gross benefit </w:t>
      </w:r>
      <w:r w:rsidR="00CF6A2F" w:rsidRPr="00392788">
        <w:t xml:space="preserve">from the trials in this study </w:t>
      </w:r>
      <w:r w:rsidR="00F44730">
        <w:t xml:space="preserve">was equivalent to </w:t>
      </w:r>
      <w:r w:rsidRPr="00392788">
        <w:t>all NHMRC funding received by all Australian</w:t>
      </w:r>
      <w:r w:rsidR="0092289B" w:rsidRPr="00392788">
        <w:t xml:space="preserve"> networks between 2004 and 2014</w:t>
      </w:r>
      <w:r w:rsidR="00CF6A2F" w:rsidRPr="00392788">
        <w:t>.</w:t>
      </w:r>
      <w:r w:rsidR="00977607" w:rsidRPr="00392788">
        <w:t xml:space="preserve"> </w:t>
      </w:r>
    </w:p>
    <w:p w14:paraId="59791EC7" w14:textId="77777777" w:rsidR="007B47AB" w:rsidRPr="00657F18" w:rsidRDefault="007B47AB" w:rsidP="00392788">
      <w:pPr>
        <w:pStyle w:val="Commissionbodytext"/>
        <w:ind w:left="720"/>
      </w:pPr>
    </w:p>
    <w:p w14:paraId="1085CC53" w14:textId="3FE3A911" w:rsidR="007B7069" w:rsidRDefault="00977607" w:rsidP="00392788">
      <w:pPr>
        <w:pStyle w:val="Commissionbodytext"/>
      </w:pPr>
      <w:r w:rsidRPr="00722F9C">
        <w:t>The report also found that investigator-initiated clinical t</w:t>
      </w:r>
      <w:r w:rsidR="007B7069" w:rsidRPr="00392788">
        <w:t>rials conducted by networ</w:t>
      </w:r>
      <w:r w:rsidR="00025CC9" w:rsidRPr="00392788">
        <w:t>ks influence clinical guidelines, i</w:t>
      </w:r>
      <w:r w:rsidR="007B7069" w:rsidRPr="00392788">
        <w:t xml:space="preserve">dentify ways to improve safety and quality and </w:t>
      </w:r>
      <w:r w:rsidR="00025CC9" w:rsidRPr="00392788">
        <w:t xml:space="preserve">identify </w:t>
      </w:r>
      <w:r w:rsidR="007B7069" w:rsidRPr="00392788">
        <w:t xml:space="preserve">opportunities </w:t>
      </w:r>
      <w:r w:rsidR="0092289B" w:rsidRPr="00392788">
        <w:t>for more efficient resource use</w:t>
      </w:r>
      <w:r w:rsidRPr="00392788">
        <w:t xml:space="preserve">. In </w:t>
      </w:r>
      <w:r w:rsidR="00025CC9" w:rsidRPr="00392788">
        <w:t>addition, increasing</w:t>
      </w:r>
      <w:r w:rsidR="007B7069" w:rsidRPr="00392788">
        <w:t xml:space="preserve"> implementation of trial evidence into practice can lead to considerable additional health and economic gain</w:t>
      </w:r>
      <w:r w:rsidR="008965B0">
        <w:t xml:space="preserve">s. </w:t>
      </w:r>
      <w:r w:rsidR="007B7069" w:rsidRPr="007B7069">
        <w:t xml:space="preserve">The analysis </w:t>
      </w:r>
      <w:r w:rsidR="00B16068">
        <w:t>illuminates</w:t>
      </w:r>
      <w:r w:rsidR="00B16068" w:rsidRPr="007B7069">
        <w:t xml:space="preserve"> </w:t>
      </w:r>
      <w:r w:rsidR="007B7069" w:rsidRPr="007B7069">
        <w:t xml:space="preserve">the health and economic impact of </w:t>
      </w:r>
      <w:r w:rsidR="00F44730">
        <w:t xml:space="preserve">the </w:t>
      </w:r>
      <w:r w:rsidR="007B7069" w:rsidRPr="007B7069">
        <w:t>select</w:t>
      </w:r>
      <w:r w:rsidR="00F44730">
        <w:t>ed</w:t>
      </w:r>
      <w:r w:rsidR="007B7069" w:rsidRPr="007B7069">
        <w:t xml:space="preserve"> clinical trials, which </w:t>
      </w:r>
      <w:r w:rsidR="00F44730">
        <w:t>were</w:t>
      </w:r>
      <w:r w:rsidR="007B7069" w:rsidRPr="007B7069">
        <w:t xml:space="preserve"> investigator-initiated, </w:t>
      </w:r>
      <w:r w:rsidR="00F44730">
        <w:t xml:space="preserve">designed and undertaken within </w:t>
      </w:r>
      <w:r w:rsidR="007B7069" w:rsidRPr="007B7069">
        <w:t xml:space="preserve">mature, dedicated </w:t>
      </w:r>
      <w:r w:rsidR="00392788">
        <w:t>networks</w:t>
      </w:r>
      <w:r w:rsidR="007B7069" w:rsidRPr="007B7069">
        <w:t xml:space="preserve"> and supported predominantly by Australian funding. As such</w:t>
      </w:r>
      <w:r w:rsidR="00F44730">
        <w:t>,</w:t>
      </w:r>
      <w:r w:rsidR="007B7069" w:rsidRPr="007B7069">
        <w:t xml:space="preserve"> the findings are limited to trials which align with these parameters. Further, it is important to recognise that the analysis relies upon modelling, based on various stated assumptions. This includes assumptions about the degree to which trial findings have been implemented in clinical practice</w:t>
      </w:r>
      <w:r w:rsidR="00606B98">
        <w:t>,</w:t>
      </w:r>
      <w:r w:rsidR="007B7069" w:rsidRPr="007B7069">
        <w:t xml:space="preserve"> as this could not be readily measured within the scope of this </w:t>
      </w:r>
      <w:r w:rsidR="00606B98" w:rsidRPr="007B7069">
        <w:t>analysis</w:t>
      </w:r>
      <w:r w:rsidR="007B7069" w:rsidRPr="007B7069">
        <w:t>. Future analyses could be strengthened by d</w:t>
      </w:r>
      <w:r w:rsidR="00606B98">
        <w:t>eveloping means to collect real</w:t>
      </w:r>
      <w:r w:rsidR="00606B98">
        <w:noBreakHyphen/>
      </w:r>
      <w:r w:rsidR="007B7069" w:rsidRPr="007B7069">
        <w:t>world evidence to test the assumptions.</w:t>
      </w:r>
    </w:p>
    <w:p w14:paraId="0C067586" w14:textId="77777777" w:rsidR="007B47AB" w:rsidRDefault="007B47AB" w:rsidP="00392788">
      <w:pPr>
        <w:pStyle w:val="Commissionbodytext"/>
      </w:pPr>
    </w:p>
    <w:p w14:paraId="4EB1EBE3" w14:textId="119F8E51" w:rsidR="00BC50D7" w:rsidRDefault="00BC50D7" w:rsidP="00392788">
      <w:pPr>
        <w:pStyle w:val="Commissionbodytext"/>
      </w:pPr>
      <w:r w:rsidRPr="0092289B">
        <w:t>This is the</w:t>
      </w:r>
      <w:r w:rsidRPr="00BC50D7">
        <w:t xml:space="preserve"> </w:t>
      </w:r>
      <w:r w:rsidRPr="0092289B">
        <w:t>Commission</w:t>
      </w:r>
      <w:r>
        <w:t xml:space="preserve">’s </w:t>
      </w:r>
      <w:r w:rsidRPr="0092289B">
        <w:t>first report</w:t>
      </w:r>
      <w:r>
        <w:t xml:space="preserve"> focusing</w:t>
      </w:r>
      <w:r w:rsidRPr="0092289B">
        <w:t xml:space="preserve"> on clinical trials. </w:t>
      </w:r>
      <w:r>
        <w:t>This report highlights the role of clinical trials in quality improvement through a focus on improving care, in a way that also optimises the value of health care. This is a core goal for the Commission.</w:t>
      </w:r>
      <w:r w:rsidRPr="00025CC9">
        <w:t xml:space="preserve"> </w:t>
      </w:r>
      <w:r>
        <w:t>The re</w:t>
      </w:r>
      <w:r w:rsidR="00392788">
        <w:t>port finds that each network</w:t>
      </w:r>
      <w:r w:rsidRPr="00025CC9">
        <w:t xml:space="preserve"> influenced guidelines, identified ways to improve safety and quality, and identified opportunities for more efficient resource use. </w:t>
      </w:r>
      <w:r>
        <w:t>The report also quantifies the size of benefits both to patients and to the health system for clinical trials conducted in line with those included in the review. These findings are timely, complementing the Australian Government’s significant investment in clinical trials through the Medical Research Future Fund.</w:t>
      </w:r>
    </w:p>
    <w:p w14:paraId="4253A8D2" w14:textId="77777777" w:rsidR="007B47AB" w:rsidRDefault="007B47AB" w:rsidP="00392788">
      <w:pPr>
        <w:pStyle w:val="Commissionbodytext"/>
      </w:pPr>
    </w:p>
    <w:p w14:paraId="77FC3D14" w14:textId="77777777" w:rsidR="007B7069" w:rsidRPr="007B7069" w:rsidRDefault="007B7069" w:rsidP="00606B98">
      <w:pPr>
        <w:keepNext/>
        <w:spacing w:before="0" w:after="200" w:line="240" w:lineRule="auto"/>
        <w:outlineLvl w:val="1"/>
        <w:rPr>
          <w:rFonts w:eastAsia="Times New Roman" w:cs="Arial"/>
          <w:b/>
          <w:iCs/>
          <w:color w:val="1178A2"/>
          <w:kern w:val="28"/>
          <w:sz w:val="32"/>
          <w:szCs w:val="28"/>
          <w:lang w:val="en-AU" w:eastAsia="en-AU"/>
        </w:rPr>
      </w:pPr>
      <w:r w:rsidRPr="007B7069">
        <w:rPr>
          <w:rFonts w:eastAsia="Times New Roman" w:cs="Arial"/>
          <w:b/>
          <w:iCs/>
          <w:color w:val="1178A2"/>
          <w:kern w:val="28"/>
          <w:sz w:val="32"/>
          <w:szCs w:val="28"/>
          <w:lang w:val="en-AU" w:eastAsia="en-AU"/>
        </w:rPr>
        <w:t xml:space="preserve">Conclusion </w:t>
      </w:r>
    </w:p>
    <w:p w14:paraId="103F59F2" w14:textId="0894033C" w:rsidR="00D27321" w:rsidRDefault="007B7069" w:rsidP="00392788">
      <w:pPr>
        <w:pStyle w:val="Commissionbodytext"/>
        <w:sectPr w:rsidR="00D27321" w:rsidSect="00392788">
          <w:headerReference w:type="even" r:id="rId16"/>
          <w:headerReference w:type="default" r:id="rId17"/>
          <w:footerReference w:type="even" r:id="rId18"/>
          <w:footerReference w:type="default" r:id="rId19"/>
          <w:pgSz w:w="11900" w:h="16840"/>
          <w:pgMar w:top="1440" w:right="1080" w:bottom="1440" w:left="1080" w:header="708" w:footer="708" w:gutter="0"/>
          <w:cols w:space="708"/>
          <w:docGrid w:linePitch="400"/>
        </w:sectPr>
      </w:pPr>
      <w:r w:rsidRPr="007B7069">
        <w:t xml:space="preserve">The Commission worked closely with the authors and thanks the Australian Clinical Trials Alliance for its commitment to the project. The Commission sees this report as a valuable contribution that offers insight into the impact of investigator-initiated clinical trials. Specifically, it highlights the scope </w:t>
      </w:r>
      <w:r w:rsidR="00977607">
        <w:t>of the</w:t>
      </w:r>
      <w:r w:rsidR="0096241B">
        <w:t xml:space="preserve"> </w:t>
      </w:r>
      <w:r w:rsidRPr="007B7069">
        <w:t>potential health and economic impact of investigator-</w:t>
      </w:r>
      <w:r w:rsidR="00606B98" w:rsidRPr="007B7069">
        <w:t>initiated</w:t>
      </w:r>
      <w:r w:rsidRPr="007B7069">
        <w:t xml:space="preserve"> trials, and the key role of networks in designing and conducting these trials. It also highlights the potential of well-designed clinical trials to lead to improvements in healthcare quality through the adoption or continuation of effective treatment and care, or the cessation of ineffective interventions. Given this, the report highlights the important role of investigator-initiated c</w:t>
      </w:r>
      <w:r w:rsidR="00F44730">
        <w:t>linical trials in the quality-</w:t>
      </w:r>
      <w:r w:rsidRPr="007B7069">
        <w:t>improvement cycle. As such, it will be used to better understand the relevance of investigator-initiated clinical trials to national policy within the context of quality improvement.</w:t>
      </w:r>
    </w:p>
    <w:bookmarkEnd w:id="6" w:displacedByCustomXml="next"/>
    <w:bookmarkEnd w:id="5" w:displacedByCustomXml="next"/>
    <w:bookmarkEnd w:id="4" w:displacedByCustomXml="next"/>
    <w:bookmarkEnd w:id="3" w:displacedByCustomXml="next"/>
    <w:bookmarkEnd w:id="2" w:displacedByCustomXml="next"/>
    <w:sdt>
      <w:sdtPr>
        <w:rPr>
          <w:b/>
          <w:bCs/>
          <w:sz w:val="24"/>
        </w:rPr>
        <w:id w:val="-810711763"/>
        <w:docPartObj>
          <w:docPartGallery w:val="Table of Contents"/>
          <w:docPartUnique/>
        </w:docPartObj>
      </w:sdtPr>
      <w:sdtEndPr>
        <w:rPr>
          <w:b w:val="0"/>
          <w:bCs w:val="0"/>
          <w:noProof/>
          <w:sz w:val="22"/>
        </w:rPr>
      </w:sdtEndPr>
      <w:sdtContent>
        <w:p w14:paraId="11F0235D" w14:textId="3FFB3190" w:rsidR="009C19B6" w:rsidRPr="00392788" w:rsidRDefault="009C19B6" w:rsidP="00CF6A2F">
          <w:pPr>
            <w:spacing w:before="0" w:after="200" w:line="240" w:lineRule="auto"/>
            <w:rPr>
              <w:rFonts w:ascii="Franklin Gothic Heavy" w:hAnsi="Franklin Gothic Heavy"/>
              <w:bCs/>
              <w:color w:val="2F5496" w:themeColor="accent5" w:themeShade="BF"/>
              <w:sz w:val="36"/>
              <w:szCs w:val="40"/>
            </w:rPr>
          </w:pPr>
          <w:r w:rsidRPr="00392788">
            <w:rPr>
              <w:rFonts w:ascii="Franklin Gothic Heavy" w:hAnsi="Franklin Gothic Heavy"/>
              <w:bCs/>
              <w:color w:val="2F5496" w:themeColor="accent5" w:themeShade="BF"/>
              <w:sz w:val="36"/>
              <w:szCs w:val="40"/>
            </w:rPr>
            <w:t>Contents</w:t>
          </w:r>
        </w:p>
        <w:p w14:paraId="0267E4CB" w14:textId="661C798C" w:rsidR="007A4D6B" w:rsidRDefault="009C19B6">
          <w:pPr>
            <w:pStyle w:val="TOC1"/>
            <w:rPr>
              <w:rFonts w:asciiTheme="minorHAnsi" w:eastAsiaTheme="minorEastAsia" w:hAnsiTheme="minorHAnsi"/>
              <w:b w:val="0"/>
              <w:bCs w:val="0"/>
              <w:noProof/>
              <w:color w:val="auto"/>
              <w:sz w:val="22"/>
              <w:szCs w:val="22"/>
              <w:lang w:val="en-AU" w:eastAsia="en-AU"/>
            </w:rPr>
          </w:pPr>
          <w:r w:rsidRPr="00011DC6">
            <w:fldChar w:fldCharType="begin"/>
          </w:r>
          <w:r w:rsidRPr="006F1D4E">
            <w:instrText xml:space="preserve"> TOC \o "1-2" </w:instrText>
          </w:r>
          <w:r w:rsidRPr="00011DC6">
            <w:fldChar w:fldCharType="separate"/>
          </w:r>
          <w:r w:rsidR="007A4D6B">
            <w:rPr>
              <w:noProof/>
            </w:rPr>
            <w:t>Executive Summary</w:t>
          </w:r>
          <w:r w:rsidR="007A4D6B">
            <w:rPr>
              <w:noProof/>
            </w:rPr>
            <w:tab/>
          </w:r>
          <w:r w:rsidR="007A4D6B">
            <w:rPr>
              <w:noProof/>
            </w:rPr>
            <w:fldChar w:fldCharType="begin"/>
          </w:r>
          <w:r w:rsidR="007A4D6B">
            <w:rPr>
              <w:noProof/>
            </w:rPr>
            <w:instrText xml:space="preserve"> PAGEREF _Toc487184519 \h </w:instrText>
          </w:r>
          <w:r w:rsidR="007A4D6B">
            <w:rPr>
              <w:noProof/>
            </w:rPr>
          </w:r>
          <w:r w:rsidR="007A4D6B">
            <w:rPr>
              <w:noProof/>
            </w:rPr>
            <w:fldChar w:fldCharType="separate"/>
          </w:r>
          <w:r w:rsidR="00600638">
            <w:rPr>
              <w:noProof/>
            </w:rPr>
            <w:t>8</w:t>
          </w:r>
          <w:r w:rsidR="007A4D6B">
            <w:rPr>
              <w:noProof/>
            </w:rPr>
            <w:fldChar w:fldCharType="end"/>
          </w:r>
        </w:p>
        <w:p w14:paraId="66C0F76A" w14:textId="7A454863" w:rsidR="007A4D6B" w:rsidRDefault="007A4D6B">
          <w:pPr>
            <w:pStyle w:val="TOC1"/>
            <w:tabs>
              <w:tab w:val="left" w:pos="480"/>
            </w:tabs>
            <w:rPr>
              <w:rFonts w:asciiTheme="minorHAnsi" w:eastAsiaTheme="minorEastAsia" w:hAnsiTheme="minorHAnsi"/>
              <w:b w:val="0"/>
              <w:bCs w:val="0"/>
              <w:noProof/>
              <w:color w:val="auto"/>
              <w:sz w:val="22"/>
              <w:szCs w:val="22"/>
              <w:lang w:val="en-AU" w:eastAsia="en-AU"/>
            </w:rPr>
          </w:pPr>
          <w:r>
            <w:rPr>
              <w:noProof/>
            </w:rPr>
            <w:t>1</w:t>
          </w:r>
          <w:r>
            <w:rPr>
              <w:rFonts w:asciiTheme="minorHAnsi" w:eastAsiaTheme="minorEastAsia" w:hAnsiTheme="minorHAnsi"/>
              <w:b w:val="0"/>
              <w:bCs w:val="0"/>
              <w:noProof/>
              <w:color w:val="auto"/>
              <w:sz w:val="22"/>
              <w:szCs w:val="22"/>
              <w:lang w:val="en-AU" w:eastAsia="en-AU"/>
            </w:rPr>
            <w:tab/>
          </w:r>
          <w:r>
            <w:rPr>
              <w:noProof/>
            </w:rPr>
            <w:t>Background and objec</w:t>
          </w:r>
          <w:r w:rsidRPr="00504F60">
            <w:rPr>
              <w:noProof/>
              <w:color w:val="2F5496"/>
            </w:rPr>
            <w:t>tives</w:t>
          </w:r>
          <w:r>
            <w:rPr>
              <w:noProof/>
            </w:rPr>
            <w:tab/>
          </w:r>
          <w:r>
            <w:rPr>
              <w:noProof/>
            </w:rPr>
            <w:fldChar w:fldCharType="begin"/>
          </w:r>
          <w:r>
            <w:rPr>
              <w:noProof/>
            </w:rPr>
            <w:instrText xml:space="preserve"> PAGEREF _Toc487184520 \h </w:instrText>
          </w:r>
          <w:r>
            <w:rPr>
              <w:noProof/>
            </w:rPr>
          </w:r>
          <w:r>
            <w:rPr>
              <w:noProof/>
            </w:rPr>
            <w:fldChar w:fldCharType="separate"/>
          </w:r>
          <w:r w:rsidR="00600638">
            <w:rPr>
              <w:noProof/>
            </w:rPr>
            <w:t>10</w:t>
          </w:r>
          <w:r>
            <w:rPr>
              <w:noProof/>
            </w:rPr>
            <w:fldChar w:fldCharType="end"/>
          </w:r>
        </w:p>
        <w:p w14:paraId="13E09C24" w14:textId="73061A70"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1.1</w:t>
          </w:r>
          <w:r>
            <w:rPr>
              <w:rFonts w:asciiTheme="minorHAnsi" w:eastAsiaTheme="minorEastAsia" w:hAnsiTheme="minorHAnsi"/>
              <w:bCs w:val="0"/>
              <w:noProof/>
              <w:lang w:val="en-AU" w:eastAsia="en-AU"/>
            </w:rPr>
            <w:tab/>
          </w:r>
          <w:r>
            <w:rPr>
              <w:noProof/>
            </w:rPr>
            <w:t>Introduction to clinical trials</w:t>
          </w:r>
          <w:r>
            <w:rPr>
              <w:noProof/>
            </w:rPr>
            <w:tab/>
          </w:r>
          <w:r>
            <w:rPr>
              <w:noProof/>
            </w:rPr>
            <w:fldChar w:fldCharType="begin"/>
          </w:r>
          <w:r>
            <w:rPr>
              <w:noProof/>
            </w:rPr>
            <w:instrText xml:space="preserve"> PAGEREF _Toc487184521 \h </w:instrText>
          </w:r>
          <w:r>
            <w:rPr>
              <w:noProof/>
            </w:rPr>
          </w:r>
          <w:r>
            <w:rPr>
              <w:noProof/>
            </w:rPr>
            <w:fldChar w:fldCharType="separate"/>
          </w:r>
          <w:r w:rsidR="00600638">
            <w:rPr>
              <w:noProof/>
            </w:rPr>
            <w:t>11</w:t>
          </w:r>
          <w:r>
            <w:rPr>
              <w:noProof/>
            </w:rPr>
            <w:fldChar w:fldCharType="end"/>
          </w:r>
        </w:p>
        <w:p w14:paraId="2AD2DA82" w14:textId="13EFD9B8"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1.2</w:t>
          </w:r>
          <w:r>
            <w:rPr>
              <w:rFonts w:asciiTheme="minorHAnsi" w:eastAsiaTheme="minorEastAsia" w:hAnsiTheme="minorHAnsi"/>
              <w:bCs w:val="0"/>
              <w:noProof/>
              <w:lang w:val="en-AU" w:eastAsia="en-AU"/>
            </w:rPr>
            <w:tab/>
          </w:r>
          <w:r>
            <w:rPr>
              <w:noProof/>
            </w:rPr>
            <w:t>Introduction to clinical trials networks</w:t>
          </w:r>
          <w:r>
            <w:rPr>
              <w:noProof/>
            </w:rPr>
            <w:tab/>
          </w:r>
          <w:r>
            <w:rPr>
              <w:noProof/>
            </w:rPr>
            <w:fldChar w:fldCharType="begin"/>
          </w:r>
          <w:r>
            <w:rPr>
              <w:noProof/>
            </w:rPr>
            <w:instrText xml:space="preserve"> PAGEREF _Toc487184522 \h </w:instrText>
          </w:r>
          <w:r>
            <w:rPr>
              <w:noProof/>
            </w:rPr>
          </w:r>
          <w:r>
            <w:rPr>
              <w:noProof/>
            </w:rPr>
            <w:fldChar w:fldCharType="separate"/>
          </w:r>
          <w:r w:rsidR="00600638">
            <w:rPr>
              <w:noProof/>
            </w:rPr>
            <w:t>13</w:t>
          </w:r>
          <w:r>
            <w:rPr>
              <w:noProof/>
            </w:rPr>
            <w:fldChar w:fldCharType="end"/>
          </w:r>
        </w:p>
        <w:p w14:paraId="7615875D" w14:textId="155A0251" w:rsidR="007A4D6B" w:rsidRDefault="007A4D6B">
          <w:pPr>
            <w:pStyle w:val="TOC1"/>
            <w:tabs>
              <w:tab w:val="left" w:pos="480"/>
            </w:tabs>
            <w:rPr>
              <w:rFonts w:asciiTheme="minorHAnsi" w:eastAsiaTheme="minorEastAsia" w:hAnsiTheme="minorHAnsi"/>
              <w:b w:val="0"/>
              <w:bCs w:val="0"/>
              <w:noProof/>
              <w:color w:val="auto"/>
              <w:sz w:val="22"/>
              <w:szCs w:val="22"/>
              <w:lang w:val="en-AU" w:eastAsia="en-AU"/>
            </w:rPr>
          </w:pPr>
          <w:r>
            <w:rPr>
              <w:noProof/>
            </w:rPr>
            <w:t>2</w:t>
          </w:r>
          <w:r>
            <w:rPr>
              <w:rFonts w:asciiTheme="minorHAnsi" w:eastAsiaTheme="minorEastAsia" w:hAnsiTheme="minorHAnsi"/>
              <w:b w:val="0"/>
              <w:bCs w:val="0"/>
              <w:noProof/>
              <w:color w:val="auto"/>
              <w:sz w:val="22"/>
              <w:szCs w:val="22"/>
              <w:lang w:val="en-AU" w:eastAsia="en-AU"/>
            </w:rPr>
            <w:tab/>
          </w:r>
          <w:r>
            <w:rPr>
              <w:noProof/>
            </w:rPr>
            <w:t>Overview of approach and methodology</w:t>
          </w:r>
          <w:r>
            <w:rPr>
              <w:noProof/>
            </w:rPr>
            <w:tab/>
          </w:r>
          <w:r>
            <w:rPr>
              <w:noProof/>
            </w:rPr>
            <w:fldChar w:fldCharType="begin"/>
          </w:r>
          <w:r>
            <w:rPr>
              <w:noProof/>
            </w:rPr>
            <w:instrText xml:space="preserve"> PAGEREF _Toc487184523 \h </w:instrText>
          </w:r>
          <w:r>
            <w:rPr>
              <w:noProof/>
            </w:rPr>
          </w:r>
          <w:r>
            <w:rPr>
              <w:noProof/>
            </w:rPr>
            <w:fldChar w:fldCharType="separate"/>
          </w:r>
          <w:r w:rsidR="00600638">
            <w:rPr>
              <w:noProof/>
            </w:rPr>
            <w:t>16</w:t>
          </w:r>
          <w:r>
            <w:rPr>
              <w:noProof/>
            </w:rPr>
            <w:fldChar w:fldCharType="end"/>
          </w:r>
        </w:p>
        <w:p w14:paraId="32F6E855" w14:textId="596670D8"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2.1</w:t>
          </w:r>
          <w:r>
            <w:rPr>
              <w:rFonts w:asciiTheme="minorHAnsi" w:eastAsiaTheme="minorEastAsia" w:hAnsiTheme="minorHAnsi"/>
              <w:bCs w:val="0"/>
              <w:noProof/>
              <w:lang w:val="en-AU" w:eastAsia="en-AU"/>
            </w:rPr>
            <w:tab/>
          </w:r>
          <w:r>
            <w:rPr>
              <w:noProof/>
            </w:rPr>
            <w:t>Selection of networks</w:t>
          </w:r>
          <w:r>
            <w:rPr>
              <w:noProof/>
            </w:rPr>
            <w:tab/>
          </w:r>
          <w:r>
            <w:rPr>
              <w:noProof/>
            </w:rPr>
            <w:fldChar w:fldCharType="begin"/>
          </w:r>
          <w:r>
            <w:rPr>
              <w:noProof/>
            </w:rPr>
            <w:instrText xml:space="preserve"> PAGEREF _Toc487184524 \h </w:instrText>
          </w:r>
          <w:r>
            <w:rPr>
              <w:noProof/>
            </w:rPr>
          </w:r>
          <w:r>
            <w:rPr>
              <w:noProof/>
            </w:rPr>
            <w:fldChar w:fldCharType="separate"/>
          </w:r>
          <w:r w:rsidR="00600638">
            <w:rPr>
              <w:noProof/>
            </w:rPr>
            <w:t>16</w:t>
          </w:r>
          <w:r>
            <w:rPr>
              <w:noProof/>
            </w:rPr>
            <w:fldChar w:fldCharType="end"/>
          </w:r>
        </w:p>
        <w:p w14:paraId="453BCDC9" w14:textId="17383F3B"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2.2</w:t>
          </w:r>
          <w:r>
            <w:rPr>
              <w:rFonts w:asciiTheme="minorHAnsi" w:eastAsiaTheme="minorEastAsia" w:hAnsiTheme="minorHAnsi"/>
              <w:bCs w:val="0"/>
              <w:noProof/>
              <w:lang w:val="en-AU" w:eastAsia="en-AU"/>
            </w:rPr>
            <w:tab/>
          </w:r>
          <w:r>
            <w:rPr>
              <w:noProof/>
            </w:rPr>
            <w:t>Selection of clinical trials</w:t>
          </w:r>
          <w:r>
            <w:rPr>
              <w:noProof/>
            </w:rPr>
            <w:tab/>
          </w:r>
          <w:r>
            <w:rPr>
              <w:noProof/>
            </w:rPr>
            <w:fldChar w:fldCharType="begin"/>
          </w:r>
          <w:r>
            <w:rPr>
              <w:noProof/>
            </w:rPr>
            <w:instrText xml:space="preserve"> PAGEREF _Toc487184525 \h </w:instrText>
          </w:r>
          <w:r>
            <w:rPr>
              <w:noProof/>
            </w:rPr>
          </w:r>
          <w:r>
            <w:rPr>
              <w:noProof/>
            </w:rPr>
            <w:fldChar w:fldCharType="separate"/>
          </w:r>
          <w:r w:rsidR="00600638">
            <w:rPr>
              <w:noProof/>
            </w:rPr>
            <w:t>18</w:t>
          </w:r>
          <w:r>
            <w:rPr>
              <w:noProof/>
            </w:rPr>
            <w:fldChar w:fldCharType="end"/>
          </w:r>
        </w:p>
        <w:p w14:paraId="225267BF" w14:textId="68228A31"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2.3</w:t>
          </w:r>
          <w:r>
            <w:rPr>
              <w:rFonts w:asciiTheme="minorHAnsi" w:eastAsiaTheme="minorEastAsia" w:hAnsiTheme="minorHAnsi"/>
              <w:bCs w:val="0"/>
              <w:noProof/>
              <w:lang w:val="en-AU" w:eastAsia="en-AU"/>
            </w:rPr>
            <w:tab/>
          </w:r>
          <w:r>
            <w:rPr>
              <w:noProof/>
            </w:rPr>
            <w:t>Evaluation of health and economic benefit</w:t>
          </w:r>
          <w:r>
            <w:rPr>
              <w:noProof/>
            </w:rPr>
            <w:tab/>
          </w:r>
          <w:r>
            <w:rPr>
              <w:noProof/>
            </w:rPr>
            <w:fldChar w:fldCharType="begin"/>
          </w:r>
          <w:r>
            <w:rPr>
              <w:noProof/>
            </w:rPr>
            <w:instrText xml:space="preserve"> PAGEREF _Toc487184526 \h </w:instrText>
          </w:r>
          <w:r>
            <w:rPr>
              <w:noProof/>
            </w:rPr>
          </w:r>
          <w:r>
            <w:rPr>
              <w:noProof/>
            </w:rPr>
            <w:fldChar w:fldCharType="separate"/>
          </w:r>
          <w:r w:rsidR="00600638">
            <w:rPr>
              <w:noProof/>
            </w:rPr>
            <w:t>21</w:t>
          </w:r>
          <w:r>
            <w:rPr>
              <w:noProof/>
            </w:rPr>
            <w:fldChar w:fldCharType="end"/>
          </w:r>
        </w:p>
        <w:p w14:paraId="4E62C80D" w14:textId="2E115A97" w:rsidR="007A4D6B" w:rsidRDefault="007A4D6B">
          <w:pPr>
            <w:pStyle w:val="TOC1"/>
            <w:tabs>
              <w:tab w:val="left" w:pos="480"/>
            </w:tabs>
            <w:rPr>
              <w:rFonts w:asciiTheme="minorHAnsi" w:eastAsiaTheme="minorEastAsia" w:hAnsiTheme="minorHAnsi"/>
              <w:b w:val="0"/>
              <w:bCs w:val="0"/>
              <w:noProof/>
              <w:color w:val="auto"/>
              <w:sz w:val="22"/>
              <w:szCs w:val="22"/>
              <w:lang w:val="en-AU" w:eastAsia="en-AU"/>
            </w:rPr>
          </w:pPr>
          <w:r>
            <w:rPr>
              <w:noProof/>
            </w:rPr>
            <w:t>3</w:t>
          </w:r>
          <w:r>
            <w:rPr>
              <w:rFonts w:asciiTheme="minorHAnsi" w:eastAsiaTheme="minorEastAsia" w:hAnsiTheme="minorHAnsi"/>
              <w:b w:val="0"/>
              <w:bCs w:val="0"/>
              <w:noProof/>
              <w:color w:val="auto"/>
              <w:sz w:val="22"/>
              <w:szCs w:val="22"/>
              <w:lang w:val="en-AU" w:eastAsia="en-AU"/>
            </w:rPr>
            <w:tab/>
          </w:r>
          <w:r>
            <w:rPr>
              <w:noProof/>
            </w:rPr>
            <w:t>Results of the health and economic evaluation</w:t>
          </w:r>
          <w:r>
            <w:rPr>
              <w:noProof/>
            </w:rPr>
            <w:tab/>
          </w:r>
          <w:r>
            <w:rPr>
              <w:noProof/>
            </w:rPr>
            <w:fldChar w:fldCharType="begin"/>
          </w:r>
          <w:r>
            <w:rPr>
              <w:noProof/>
            </w:rPr>
            <w:instrText xml:space="preserve"> PAGEREF _Toc487184527 \h </w:instrText>
          </w:r>
          <w:r>
            <w:rPr>
              <w:noProof/>
            </w:rPr>
          </w:r>
          <w:r>
            <w:rPr>
              <w:noProof/>
            </w:rPr>
            <w:fldChar w:fldCharType="separate"/>
          </w:r>
          <w:r w:rsidR="00600638">
            <w:rPr>
              <w:noProof/>
            </w:rPr>
            <w:t>27</w:t>
          </w:r>
          <w:r>
            <w:rPr>
              <w:noProof/>
            </w:rPr>
            <w:fldChar w:fldCharType="end"/>
          </w:r>
        </w:p>
        <w:p w14:paraId="3EA1875E" w14:textId="5AB74BAA"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3.1</w:t>
          </w:r>
          <w:r>
            <w:rPr>
              <w:rFonts w:asciiTheme="minorHAnsi" w:eastAsiaTheme="minorEastAsia" w:hAnsiTheme="minorHAnsi"/>
              <w:bCs w:val="0"/>
              <w:noProof/>
              <w:lang w:val="en-AU" w:eastAsia="en-AU"/>
            </w:rPr>
            <w:tab/>
          </w:r>
          <w:r>
            <w:rPr>
              <w:noProof/>
            </w:rPr>
            <w:t>Consolidated heath and economic impact</w:t>
          </w:r>
          <w:r>
            <w:rPr>
              <w:noProof/>
            </w:rPr>
            <w:tab/>
          </w:r>
          <w:r>
            <w:rPr>
              <w:noProof/>
            </w:rPr>
            <w:fldChar w:fldCharType="begin"/>
          </w:r>
          <w:r>
            <w:rPr>
              <w:noProof/>
            </w:rPr>
            <w:instrText xml:space="preserve"> PAGEREF _Toc487184528 \h </w:instrText>
          </w:r>
          <w:r>
            <w:rPr>
              <w:noProof/>
            </w:rPr>
          </w:r>
          <w:r>
            <w:rPr>
              <w:noProof/>
            </w:rPr>
            <w:fldChar w:fldCharType="separate"/>
          </w:r>
          <w:r w:rsidR="00600638">
            <w:rPr>
              <w:noProof/>
            </w:rPr>
            <w:t>28</w:t>
          </w:r>
          <w:r>
            <w:rPr>
              <w:noProof/>
            </w:rPr>
            <w:fldChar w:fldCharType="end"/>
          </w:r>
        </w:p>
        <w:p w14:paraId="55D30986" w14:textId="2BDE2FE8"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3.2</w:t>
          </w:r>
          <w:r>
            <w:rPr>
              <w:rFonts w:asciiTheme="minorHAnsi" w:eastAsiaTheme="minorEastAsia" w:hAnsiTheme="minorHAnsi"/>
              <w:bCs w:val="0"/>
              <w:noProof/>
              <w:lang w:val="en-AU" w:eastAsia="en-AU"/>
            </w:rPr>
            <w:tab/>
          </w:r>
          <w:r>
            <w:rPr>
              <w:noProof/>
            </w:rPr>
            <w:t>Sensitivity analysis</w:t>
          </w:r>
          <w:r>
            <w:rPr>
              <w:noProof/>
            </w:rPr>
            <w:tab/>
          </w:r>
          <w:r>
            <w:rPr>
              <w:noProof/>
            </w:rPr>
            <w:fldChar w:fldCharType="begin"/>
          </w:r>
          <w:r>
            <w:rPr>
              <w:noProof/>
            </w:rPr>
            <w:instrText xml:space="preserve"> PAGEREF _Toc487184529 \h </w:instrText>
          </w:r>
          <w:r>
            <w:rPr>
              <w:noProof/>
            </w:rPr>
          </w:r>
          <w:r>
            <w:rPr>
              <w:noProof/>
            </w:rPr>
            <w:fldChar w:fldCharType="separate"/>
          </w:r>
          <w:r w:rsidR="00600638">
            <w:rPr>
              <w:noProof/>
            </w:rPr>
            <w:t>33</w:t>
          </w:r>
          <w:r>
            <w:rPr>
              <w:noProof/>
            </w:rPr>
            <w:fldChar w:fldCharType="end"/>
          </w:r>
        </w:p>
        <w:p w14:paraId="1C21347F" w14:textId="17960855"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3.3</w:t>
          </w:r>
          <w:r>
            <w:rPr>
              <w:rFonts w:asciiTheme="minorHAnsi" w:eastAsiaTheme="minorEastAsia" w:hAnsiTheme="minorHAnsi"/>
              <w:bCs w:val="0"/>
              <w:noProof/>
              <w:lang w:val="en-AU" w:eastAsia="en-AU"/>
            </w:rPr>
            <w:tab/>
          </w:r>
          <w:r>
            <w:rPr>
              <w:noProof/>
            </w:rPr>
            <w:t>Case study results</w:t>
          </w:r>
          <w:r>
            <w:rPr>
              <w:noProof/>
            </w:rPr>
            <w:tab/>
          </w:r>
          <w:r>
            <w:rPr>
              <w:noProof/>
            </w:rPr>
            <w:fldChar w:fldCharType="begin"/>
          </w:r>
          <w:r>
            <w:rPr>
              <w:noProof/>
            </w:rPr>
            <w:instrText xml:space="preserve"> PAGEREF _Toc487184530 \h </w:instrText>
          </w:r>
          <w:r>
            <w:rPr>
              <w:noProof/>
            </w:rPr>
          </w:r>
          <w:r>
            <w:rPr>
              <w:noProof/>
            </w:rPr>
            <w:fldChar w:fldCharType="separate"/>
          </w:r>
          <w:r w:rsidR="00600638">
            <w:rPr>
              <w:noProof/>
            </w:rPr>
            <w:t>35</w:t>
          </w:r>
          <w:r>
            <w:rPr>
              <w:noProof/>
            </w:rPr>
            <w:fldChar w:fldCharType="end"/>
          </w:r>
        </w:p>
        <w:p w14:paraId="40E7A54F" w14:textId="7E5B424F" w:rsidR="007A4D6B" w:rsidRDefault="007A4D6B">
          <w:pPr>
            <w:pStyle w:val="TOC1"/>
            <w:tabs>
              <w:tab w:val="left" w:pos="480"/>
            </w:tabs>
            <w:rPr>
              <w:rFonts w:asciiTheme="minorHAnsi" w:eastAsiaTheme="minorEastAsia" w:hAnsiTheme="minorHAnsi"/>
              <w:b w:val="0"/>
              <w:bCs w:val="0"/>
              <w:noProof/>
              <w:color w:val="auto"/>
              <w:sz w:val="22"/>
              <w:szCs w:val="22"/>
              <w:lang w:val="en-AU" w:eastAsia="en-AU"/>
            </w:rPr>
          </w:pPr>
          <w:r w:rsidRPr="00504F60">
            <w:rPr>
              <w:noProof/>
              <w:lang w:val="en-GB"/>
            </w:rPr>
            <w:t>4</w:t>
          </w:r>
          <w:r>
            <w:rPr>
              <w:rFonts w:asciiTheme="minorHAnsi" w:eastAsiaTheme="minorEastAsia" w:hAnsiTheme="minorHAnsi"/>
              <w:b w:val="0"/>
              <w:bCs w:val="0"/>
              <w:noProof/>
              <w:color w:val="auto"/>
              <w:sz w:val="22"/>
              <w:szCs w:val="22"/>
              <w:lang w:val="en-AU" w:eastAsia="en-AU"/>
            </w:rPr>
            <w:tab/>
          </w:r>
          <w:r w:rsidRPr="00504F60">
            <w:rPr>
              <w:noProof/>
              <w:lang w:val="en-GB"/>
            </w:rPr>
            <w:t>Key findings and recommendations</w:t>
          </w:r>
          <w:r>
            <w:rPr>
              <w:noProof/>
            </w:rPr>
            <w:tab/>
          </w:r>
          <w:r>
            <w:rPr>
              <w:noProof/>
            </w:rPr>
            <w:fldChar w:fldCharType="begin"/>
          </w:r>
          <w:r>
            <w:rPr>
              <w:noProof/>
            </w:rPr>
            <w:instrText xml:space="preserve"> PAGEREF _Toc487184531 \h </w:instrText>
          </w:r>
          <w:r>
            <w:rPr>
              <w:noProof/>
            </w:rPr>
          </w:r>
          <w:r>
            <w:rPr>
              <w:noProof/>
            </w:rPr>
            <w:fldChar w:fldCharType="separate"/>
          </w:r>
          <w:r w:rsidR="00600638">
            <w:rPr>
              <w:noProof/>
            </w:rPr>
            <w:t>41</w:t>
          </w:r>
          <w:r>
            <w:rPr>
              <w:noProof/>
            </w:rPr>
            <w:fldChar w:fldCharType="end"/>
          </w:r>
        </w:p>
        <w:p w14:paraId="11BD91E2" w14:textId="74F58FB3" w:rsidR="007A4D6B" w:rsidRDefault="007A4D6B" w:rsidP="00392788">
          <w:pPr>
            <w:pStyle w:val="TOC2"/>
            <w:spacing w:line="276" w:lineRule="auto"/>
            <w:ind w:left="238"/>
            <w:rPr>
              <w:rFonts w:asciiTheme="minorHAnsi" w:eastAsiaTheme="minorEastAsia" w:hAnsiTheme="minorHAnsi"/>
              <w:bCs w:val="0"/>
              <w:noProof/>
              <w:lang w:val="en-AU" w:eastAsia="en-AU"/>
            </w:rPr>
          </w:pPr>
          <w:r w:rsidRPr="00504F60">
            <w:rPr>
              <w:bCs w:val="0"/>
              <w:noProof/>
            </w:rPr>
            <w:t>4.1</w:t>
          </w:r>
          <w:r>
            <w:rPr>
              <w:rFonts w:asciiTheme="minorHAnsi" w:eastAsiaTheme="minorEastAsia" w:hAnsiTheme="minorHAnsi"/>
              <w:bCs w:val="0"/>
              <w:noProof/>
              <w:lang w:val="en-AU" w:eastAsia="en-AU"/>
            </w:rPr>
            <w:tab/>
          </w:r>
          <w:r>
            <w:rPr>
              <w:noProof/>
            </w:rPr>
            <w:t>Key findings</w:t>
          </w:r>
          <w:r>
            <w:rPr>
              <w:noProof/>
            </w:rPr>
            <w:tab/>
          </w:r>
          <w:r>
            <w:rPr>
              <w:noProof/>
            </w:rPr>
            <w:fldChar w:fldCharType="begin"/>
          </w:r>
          <w:r>
            <w:rPr>
              <w:noProof/>
            </w:rPr>
            <w:instrText xml:space="preserve"> PAGEREF _Toc487184532 \h </w:instrText>
          </w:r>
          <w:r>
            <w:rPr>
              <w:noProof/>
            </w:rPr>
          </w:r>
          <w:r>
            <w:rPr>
              <w:noProof/>
            </w:rPr>
            <w:fldChar w:fldCharType="separate"/>
          </w:r>
          <w:r w:rsidR="00600638">
            <w:rPr>
              <w:noProof/>
            </w:rPr>
            <w:t>41</w:t>
          </w:r>
          <w:r>
            <w:rPr>
              <w:noProof/>
            </w:rPr>
            <w:fldChar w:fldCharType="end"/>
          </w:r>
        </w:p>
        <w:p w14:paraId="309237D6" w14:textId="2F515903"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4.2</w:t>
          </w:r>
          <w:r>
            <w:rPr>
              <w:rFonts w:asciiTheme="minorHAnsi" w:eastAsiaTheme="minorEastAsia" w:hAnsiTheme="minorHAnsi"/>
              <w:bCs w:val="0"/>
              <w:noProof/>
              <w:lang w:val="en-AU" w:eastAsia="en-AU"/>
            </w:rPr>
            <w:tab/>
          </w:r>
          <w:r>
            <w:rPr>
              <w:noProof/>
            </w:rPr>
            <w:t>Suggested next steps</w:t>
          </w:r>
          <w:r>
            <w:rPr>
              <w:noProof/>
            </w:rPr>
            <w:tab/>
          </w:r>
          <w:r>
            <w:rPr>
              <w:noProof/>
            </w:rPr>
            <w:fldChar w:fldCharType="begin"/>
          </w:r>
          <w:r>
            <w:rPr>
              <w:noProof/>
            </w:rPr>
            <w:instrText xml:space="preserve"> PAGEREF _Toc487184533 \h </w:instrText>
          </w:r>
          <w:r>
            <w:rPr>
              <w:noProof/>
            </w:rPr>
          </w:r>
          <w:r>
            <w:rPr>
              <w:noProof/>
            </w:rPr>
            <w:fldChar w:fldCharType="separate"/>
          </w:r>
          <w:r w:rsidR="00600638">
            <w:rPr>
              <w:noProof/>
            </w:rPr>
            <w:t>44</w:t>
          </w:r>
          <w:r>
            <w:rPr>
              <w:noProof/>
            </w:rPr>
            <w:fldChar w:fldCharType="end"/>
          </w:r>
        </w:p>
        <w:p w14:paraId="7474D113" w14:textId="015D419E" w:rsidR="007A4D6B" w:rsidRDefault="007A4D6B">
          <w:pPr>
            <w:pStyle w:val="TOC1"/>
            <w:tabs>
              <w:tab w:val="left" w:pos="480"/>
            </w:tabs>
            <w:rPr>
              <w:rFonts w:asciiTheme="minorHAnsi" w:eastAsiaTheme="minorEastAsia" w:hAnsiTheme="minorHAnsi"/>
              <w:b w:val="0"/>
              <w:bCs w:val="0"/>
              <w:noProof/>
              <w:color w:val="auto"/>
              <w:sz w:val="22"/>
              <w:szCs w:val="22"/>
              <w:lang w:val="en-AU" w:eastAsia="en-AU"/>
            </w:rPr>
          </w:pPr>
          <w:r>
            <w:rPr>
              <w:noProof/>
            </w:rPr>
            <w:t>5</w:t>
          </w:r>
          <w:r>
            <w:rPr>
              <w:rFonts w:asciiTheme="minorHAnsi" w:eastAsiaTheme="minorEastAsia" w:hAnsiTheme="minorHAnsi"/>
              <w:b w:val="0"/>
              <w:bCs w:val="0"/>
              <w:noProof/>
              <w:color w:val="auto"/>
              <w:sz w:val="22"/>
              <w:szCs w:val="22"/>
              <w:lang w:val="en-AU" w:eastAsia="en-AU"/>
            </w:rPr>
            <w:tab/>
          </w:r>
          <w:r>
            <w:rPr>
              <w:noProof/>
            </w:rPr>
            <w:t>Acknowledgements</w:t>
          </w:r>
          <w:r>
            <w:rPr>
              <w:noProof/>
            </w:rPr>
            <w:tab/>
          </w:r>
          <w:r>
            <w:rPr>
              <w:noProof/>
            </w:rPr>
            <w:fldChar w:fldCharType="begin"/>
          </w:r>
          <w:r>
            <w:rPr>
              <w:noProof/>
            </w:rPr>
            <w:instrText xml:space="preserve"> PAGEREF _Toc487184534 \h </w:instrText>
          </w:r>
          <w:r>
            <w:rPr>
              <w:noProof/>
            </w:rPr>
          </w:r>
          <w:r>
            <w:rPr>
              <w:noProof/>
            </w:rPr>
            <w:fldChar w:fldCharType="separate"/>
          </w:r>
          <w:r w:rsidR="00600638">
            <w:rPr>
              <w:noProof/>
            </w:rPr>
            <w:t>45</w:t>
          </w:r>
          <w:r>
            <w:rPr>
              <w:noProof/>
            </w:rPr>
            <w:fldChar w:fldCharType="end"/>
          </w:r>
        </w:p>
        <w:p w14:paraId="4085B8EB" w14:textId="459E45C9"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5.1</w:t>
          </w:r>
          <w:r>
            <w:rPr>
              <w:rFonts w:asciiTheme="minorHAnsi" w:eastAsiaTheme="minorEastAsia" w:hAnsiTheme="minorHAnsi"/>
              <w:bCs w:val="0"/>
              <w:noProof/>
              <w:lang w:val="en-AU" w:eastAsia="en-AU"/>
            </w:rPr>
            <w:tab/>
          </w:r>
          <w:r>
            <w:rPr>
              <w:noProof/>
            </w:rPr>
            <w:t>Steering Committee</w:t>
          </w:r>
          <w:r>
            <w:rPr>
              <w:noProof/>
            </w:rPr>
            <w:tab/>
          </w:r>
          <w:r>
            <w:rPr>
              <w:noProof/>
            </w:rPr>
            <w:fldChar w:fldCharType="begin"/>
          </w:r>
          <w:r>
            <w:rPr>
              <w:noProof/>
            </w:rPr>
            <w:instrText xml:space="preserve"> PAGEREF _Toc487184535 \h </w:instrText>
          </w:r>
          <w:r>
            <w:rPr>
              <w:noProof/>
            </w:rPr>
          </w:r>
          <w:r>
            <w:rPr>
              <w:noProof/>
            </w:rPr>
            <w:fldChar w:fldCharType="separate"/>
          </w:r>
          <w:r w:rsidR="00600638">
            <w:rPr>
              <w:noProof/>
            </w:rPr>
            <w:t>45</w:t>
          </w:r>
          <w:r>
            <w:rPr>
              <w:noProof/>
            </w:rPr>
            <w:fldChar w:fldCharType="end"/>
          </w:r>
        </w:p>
        <w:p w14:paraId="6513E251" w14:textId="55E66494"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5.2</w:t>
          </w:r>
          <w:r>
            <w:rPr>
              <w:rFonts w:asciiTheme="minorHAnsi" w:eastAsiaTheme="minorEastAsia" w:hAnsiTheme="minorHAnsi"/>
              <w:bCs w:val="0"/>
              <w:noProof/>
              <w:lang w:val="en-AU" w:eastAsia="en-AU"/>
            </w:rPr>
            <w:tab/>
          </w:r>
          <w:r>
            <w:rPr>
              <w:noProof/>
            </w:rPr>
            <w:t>Participating networks and investigators</w:t>
          </w:r>
          <w:r>
            <w:rPr>
              <w:noProof/>
            </w:rPr>
            <w:tab/>
          </w:r>
          <w:r>
            <w:rPr>
              <w:noProof/>
            </w:rPr>
            <w:fldChar w:fldCharType="begin"/>
          </w:r>
          <w:r>
            <w:rPr>
              <w:noProof/>
            </w:rPr>
            <w:instrText xml:space="preserve"> PAGEREF _Toc487184536 \h </w:instrText>
          </w:r>
          <w:r>
            <w:rPr>
              <w:noProof/>
            </w:rPr>
          </w:r>
          <w:r>
            <w:rPr>
              <w:noProof/>
            </w:rPr>
            <w:fldChar w:fldCharType="separate"/>
          </w:r>
          <w:r w:rsidR="00600638">
            <w:rPr>
              <w:noProof/>
            </w:rPr>
            <w:t>46</w:t>
          </w:r>
          <w:r>
            <w:rPr>
              <w:noProof/>
            </w:rPr>
            <w:fldChar w:fldCharType="end"/>
          </w:r>
        </w:p>
        <w:p w14:paraId="46DE1A30" w14:textId="51100A6D" w:rsidR="007A4D6B" w:rsidRDefault="007A4D6B">
          <w:pPr>
            <w:pStyle w:val="TOC1"/>
            <w:tabs>
              <w:tab w:val="left" w:pos="480"/>
            </w:tabs>
            <w:rPr>
              <w:rFonts w:asciiTheme="minorHAnsi" w:eastAsiaTheme="minorEastAsia" w:hAnsiTheme="minorHAnsi"/>
              <w:b w:val="0"/>
              <w:bCs w:val="0"/>
              <w:noProof/>
              <w:color w:val="auto"/>
              <w:sz w:val="22"/>
              <w:szCs w:val="22"/>
              <w:lang w:val="en-AU" w:eastAsia="en-AU"/>
            </w:rPr>
          </w:pPr>
          <w:r>
            <w:rPr>
              <w:noProof/>
            </w:rPr>
            <w:t>6</w:t>
          </w:r>
          <w:r>
            <w:rPr>
              <w:rFonts w:asciiTheme="minorHAnsi" w:eastAsiaTheme="minorEastAsia" w:hAnsiTheme="minorHAnsi"/>
              <w:b w:val="0"/>
              <w:bCs w:val="0"/>
              <w:noProof/>
              <w:color w:val="auto"/>
              <w:sz w:val="22"/>
              <w:szCs w:val="22"/>
              <w:lang w:val="en-AU" w:eastAsia="en-AU"/>
            </w:rPr>
            <w:tab/>
          </w:r>
          <w:r>
            <w:rPr>
              <w:noProof/>
            </w:rPr>
            <w:t>Glossary of key health economic terms</w:t>
          </w:r>
          <w:r>
            <w:rPr>
              <w:noProof/>
            </w:rPr>
            <w:tab/>
          </w:r>
          <w:r>
            <w:rPr>
              <w:noProof/>
            </w:rPr>
            <w:fldChar w:fldCharType="begin"/>
          </w:r>
          <w:r>
            <w:rPr>
              <w:noProof/>
            </w:rPr>
            <w:instrText xml:space="preserve"> PAGEREF _Toc487184537 \h </w:instrText>
          </w:r>
          <w:r>
            <w:rPr>
              <w:noProof/>
            </w:rPr>
          </w:r>
          <w:r>
            <w:rPr>
              <w:noProof/>
            </w:rPr>
            <w:fldChar w:fldCharType="separate"/>
          </w:r>
          <w:r w:rsidR="00600638">
            <w:rPr>
              <w:noProof/>
            </w:rPr>
            <w:t>49</w:t>
          </w:r>
          <w:r>
            <w:rPr>
              <w:noProof/>
            </w:rPr>
            <w:fldChar w:fldCharType="end"/>
          </w:r>
        </w:p>
        <w:p w14:paraId="519F7855" w14:textId="3E0A4E96" w:rsidR="007A4D6B" w:rsidRDefault="007A4D6B">
          <w:pPr>
            <w:pStyle w:val="TOC1"/>
            <w:tabs>
              <w:tab w:val="left" w:pos="480"/>
            </w:tabs>
            <w:rPr>
              <w:rFonts w:asciiTheme="minorHAnsi" w:eastAsiaTheme="minorEastAsia" w:hAnsiTheme="minorHAnsi"/>
              <w:b w:val="0"/>
              <w:bCs w:val="0"/>
              <w:noProof/>
              <w:color w:val="auto"/>
              <w:sz w:val="22"/>
              <w:szCs w:val="22"/>
              <w:lang w:val="en-AU" w:eastAsia="en-AU"/>
            </w:rPr>
          </w:pPr>
          <w:r>
            <w:rPr>
              <w:noProof/>
            </w:rPr>
            <w:t>7</w:t>
          </w:r>
          <w:r>
            <w:rPr>
              <w:rFonts w:asciiTheme="minorHAnsi" w:eastAsiaTheme="minorEastAsia" w:hAnsiTheme="minorHAnsi"/>
              <w:b w:val="0"/>
              <w:bCs w:val="0"/>
              <w:noProof/>
              <w:color w:val="auto"/>
              <w:sz w:val="22"/>
              <w:szCs w:val="22"/>
              <w:lang w:val="en-AU" w:eastAsia="en-AU"/>
            </w:rPr>
            <w:tab/>
          </w:r>
          <w:r>
            <w:rPr>
              <w:noProof/>
            </w:rPr>
            <w:t>List of tables and figures</w:t>
          </w:r>
          <w:r>
            <w:rPr>
              <w:noProof/>
            </w:rPr>
            <w:tab/>
          </w:r>
          <w:r>
            <w:rPr>
              <w:noProof/>
            </w:rPr>
            <w:fldChar w:fldCharType="begin"/>
          </w:r>
          <w:r>
            <w:rPr>
              <w:noProof/>
            </w:rPr>
            <w:instrText xml:space="preserve"> PAGEREF _Toc487184538 \h </w:instrText>
          </w:r>
          <w:r>
            <w:rPr>
              <w:noProof/>
            </w:rPr>
          </w:r>
          <w:r>
            <w:rPr>
              <w:noProof/>
            </w:rPr>
            <w:fldChar w:fldCharType="separate"/>
          </w:r>
          <w:r w:rsidR="00600638">
            <w:rPr>
              <w:noProof/>
            </w:rPr>
            <w:t>50</w:t>
          </w:r>
          <w:r>
            <w:rPr>
              <w:noProof/>
            </w:rPr>
            <w:fldChar w:fldCharType="end"/>
          </w:r>
        </w:p>
        <w:p w14:paraId="6DD826FF" w14:textId="370EE7D5" w:rsidR="007A4D6B" w:rsidRDefault="007A4D6B">
          <w:pPr>
            <w:pStyle w:val="TOC1"/>
            <w:tabs>
              <w:tab w:val="left" w:pos="480"/>
            </w:tabs>
            <w:rPr>
              <w:rFonts w:asciiTheme="minorHAnsi" w:eastAsiaTheme="minorEastAsia" w:hAnsiTheme="minorHAnsi"/>
              <w:b w:val="0"/>
              <w:bCs w:val="0"/>
              <w:noProof/>
              <w:color w:val="auto"/>
              <w:sz w:val="22"/>
              <w:szCs w:val="22"/>
              <w:lang w:val="en-AU" w:eastAsia="en-AU"/>
            </w:rPr>
          </w:pPr>
          <w:r>
            <w:rPr>
              <w:noProof/>
            </w:rPr>
            <w:t>8</w:t>
          </w:r>
          <w:r>
            <w:rPr>
              <w:rFonts w:asciiTheme="minorHAnsi" w:eastAsiaTheme="minorEastAsia" w:hAnsiTheme="minorHAnsi"/>
              <w:b w:val="0"/>
              <w:bCs w:val="0"/>
              <w:noProof/>
              <w:color w:val="auto"/>
              <w:sz w:val="22"/>
              <w:szCs w:val="22"/>
              <w:lang w:val="en-AU" w:eastAsia="en-AU"/>
            </w:rPr>
            <w:tab/>
          </w:r>
          <w:r>
            <w:rPr>
              <w:noProof/>
            </w:rPr>
            <w:t>Technical Appendices</w:t>
          </w:r>
          <w:r>
            <w:rPr>
              <w:noProof/>
            </w:rPr>
            <w:tab/>
          </w:r>
          <w:r>
            <w:rPr>
              <w:noProof/>
            </w:rPr>
            <w:fldChar w:fldCharType="begin"/>
          </w:r>
          <w:r>
            <w:rPr>
              <w:noProof/>
            </w:rPr>
            <w:instrText xml:space="preserve"> PAGEREF _Toc487184539 \h </w:instrText>
          </w:r>
          <w:r>
            <w:rPr>
              <w:noProof/>
            </w:rPr>
          </w:r>
          <w:r>
            <w:rPr>
              <w:noProof/>
            </w:rPr>
            <w:fldChar w:fldCharType="separate"/>
          </w:r>
          <w:r w:rsidR="00600638">
            <w:rPr>
              <w:noProof/>
            </w:rPr>
            <w:t>51</w:t>
          </w:r>
          <w:r>
            <w:rPr>
              <w:noProof/>
            </w:rPr>
            <w:fldChar w:fldCharType="end"/>
          </w:r>
        </w:p>
        <w:p w14:paraId="185D07D7" w14:textId="2FF292C3"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8.1</w:t>
          </w:r>
          <w:r>
            <w:rPr>
              <w:rFonts w:asciiTheme="minorHAnsi" w:eastAsiaTheme="minorEastAsia" w:hAnsiTheme="minorHAnsi"/>
              <w:bCs w:val="0"/>
              <w:noProof/>
              <w:lang w:val="en-AU" w:eastAsia="en-AU"/>
            </w:rPr>
            <w:tab/>
          </w:r>
          <w:r>
            <w:rPr>
              <w:noProof/>
            </w:rPr>
            <w:t>Appendix A: Network level results</w:t>
          </w:r>
          <w:r>
            <w:rPr>
              <w:noProof/>
            </w:rPr>
            <w:tab/>
          </w:r>
          <w:r>
            <w:rPr>
              <w:noProof/>
            </w:rPr>
            <w:fldChar w:fldCharType="begin"/>
          </w:r>
          <w:r>
            <w:rPr>
              <w:noProof/>
            </w:rPr>
            <w:instrText xml:space="preserve"> PAGEREF _Toc487184540 \h </w:instrText>
          </w:r>
          <w:r>
            <w:rPr>
              <w:noProof/>
            </w:rPr>
          </w:r>
          <w:r>
            <w:rPr>
              <w:noProof/>
            </w:rPr>
            <w:fldChar w:fldCharType="separate"/>
          </w:r>
          <w:r w:rsidR="00600638">
            <w:rPr>
              <w:noProof/>
            </w:rPr>
            <w:t>51</w:t>
          </w:r>
          <w:r>
            <w:rPr>
              <w:noProof/>
            </w:rPr>
            <w:fldChar w:fldCharType="end"/>
          </w:r>
        </w:p>
        <w:p w14:paraId="440278AE" w14:textId="62400689"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8.2</w:t>
          </w:r>
          <w:r>
            <w:rPr>
              <w:rFonts w:asciiTheme="minorHAnsi" w:eastAsiaTheme="minorEastAsia" w:hAnsiTheme="minorHAnsi"/>
              <w:bCs w:val="0"/>
              <w:noProof/>
              <w:lang w:val="en-AU" w:eastAsia="en-AU"/>
            </w:rPr>
            <w:tab/>
          </w:r>
          <w:r>
            <w:rPr>
              <w:noProof/>
            </w:rPr>
            <w:t>Supplementary Appendix B: Individual trial level results</w:t>
          </w:r>
          <w:r>
            <w:rPr>
              <w:noProof/>
            </w:rPr>
            <w:tab/>
          </w:r>
          <w:r>
            <w:rPr>
              <w:noProof/>
            </w:rPr>
            <w:fldChar w:fldCharType="begin"/>
          </w:r>
          <w:r>
            <w:rPr>
              <w:noProof/>
            </w:rPr>
            <w:instrText xml:space="preserve"> PAGEREF _Toc487184541 \h </w:instrText>
          </w:r>
          <w:r>
            <w:rPr>
              <w:noProof/>
            </w:rPr>
          </w:r>
          <w:r>
            <w:rPr>
              <w:noProof/>
            </w:rPr>
            <w:fldChar w:fldCharType="separate"/>
          </w:r>
          <w:r w:rsidR="00600638">
            <w:rPr>
              <w:noProof/>
            </w:rPr>
            <w:t>51</w:t>
          </w:r>
          <w:r>
            <w:rPr>
              <w:noProof/>
            </w:rPr>
            <w:fldChar w:fldCharType="end"/>
          </w:r>
        </w:p>
        <w:p w14:paraId="2DDC802E" w14:textId="4FA1CB38" w:rsidR="007A4D6B" w:rsidRDefault="007A4D6B">
          <w:pPr>
            <w:pStyle w:val="TOC1"/>
            <w:rPr>
              <w:rFonts w:asciiTheme="minorHAnsi" w:eastAsiaTheme="minorEastAsia" w:hAnsiTheme="minorHAnsi"/>
              <w:b w:val="0"/>
              <w:bCs w:val="0"/>
              <w:noProof/>
              <w:color w:val="auto"/>
              <w:sz w:val="22"/>
              <w:szCs w:val="22"/>
              <w:lang w:val="en-AU" w:eastAsia="en-AU"/>
            </w:rPr>
          </w:pPr>
          <w:r>
            <w:rPr>
              <w:noProof/>
            </w:rPr>
            <w:t>The Australasian Stroke Trials Network (ASTN)</w:t>
          </w:r>
          <w:r>
            <w:rPr>
              <w:noProof/>
            </w:rPr>
            <w:tab/>
          </w:r>
          <w:r>
            <w:rPr>
              <w:noProof/>
            </w:rPr>
            <w:fldChar w:fldCharType="begin"/>
          </w:r>
          <w:r>
            <w:rPr>
              <w:noProof/>
            </w:rPr>
            <w:instrText xml:space="preserve"> PAGEREF _Toc487184542 \h </w:instrText>
          </w:r>
          <w:r>
            <w:rPr>
              <w:noProof/>
            </w:rPr>
          </w:r>
          <w:r>
            <w:rPr>
              <w:noProof/>
            </w:rPr>
            <w:fldChar w:fldCharType="separate"/>
          </w:r>
          <w:r w:rsidR="00600638">
            <w:rPr>
              <w:noProof/>
            </w:rPr>
            <w:t>52</w:t>
          </w:r>
          <w:r>
            <w:rPr>
              <w:noProof/>
            </w:rPr>
            <w:fldChar w:fldCharType="end"/>
          </w:r>
        </w:p>
        <w:p w14:paraId="7F2E3DCC" w14:textId="66EDE719" w:rsidR="007A4D6B" w:rsidRPr="00392788" w:rsidRDefault="007A4D6B" w:rsidP="00392788">
          <w:pPr>
            <w:pStyle w:val="TOC2"/>
            <w:spacing w:line="276" w:lineRule="auto"/>
            <w:ind w:left="238"/>
            <w:rPr>
              <w:noProof/>
            </w:rPr>
          </w:pPr>
          <w:r>
            <w:rPr>
              <w:noProof/>
            </w:rPr>
            <w:t>History</w:t>
          </w:r>
          <w:r w:rsidR="00392788">
            <w:rPr>
              <w:noProof/>
            </w:rPr>
            <w:t xml:space="preserve">…………………………………………………………………………………………………….. </w:t>
          </w:r>
          <w:r>
            <w:rPr>
              <w:noProof/>
            </w:rPr>
            <w:fldChar w:fldCharType="begin"/>
          </w:r>
          <w:r>
            <w:rPr>
              <w:noProof/>
            </w:rPr>
            <w:instrText xml:space="preserve"> PAGEREF _Toc487184543 \h </w:instrText>
          </w:r>
          <w:r>
            <w:rPr>
              <w:noProof/>
            </w:rPr>
          </w:r>
          <w:r>
            <w:rPr>
              <w:noProof/>
            </w:rPr>
            <w:fldChar w:fldCharType="separate"/>
          </w:r>
          <w:r w:rsidR="00600638">
            <w:rPr>
              <w:noProof/>
            </w:rPr>
            <w:t>52</w:t>
          </w:r>
          <w:r>
            <w:rPr>
              <w:noProof/>
            </w:rPr>
            <w:fldChar w:fldCharType="end"/>
          </w:r>
        </w:p>
        <w:p w14:paraId="2C05BA30" w14:textId="4ECB4387"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Core functions</w:t>
          </w:r>
          <w:r>
            <w:rPr>
              <w:noProof/>
            </w:rPr>
            <w:tab/>
          </w:r>
          <w:r>
            <w:rPr>
              <w:noProof/>
            </w:rPr>
            <w:fldChar w:fldCharType="begin"/>
          </w:r>
          <w:r>
            <w:rPr>
              <w:noProof/>
            </w:rPr>
            <w:instrText xml:space="preserve"> PAGEREF _Toc487184544 \h </w:instrText>
          </w:r>
          <w:r>
            <w:rPr>
              <w:noProof/>
            </w:rPr>
          </w:r>
          <w:r>
            <w:rPr>
              <w:noProof/>
            </w:rPr>
            <w:fldChar w:fldCharType="separate"/>
          </w:r>
          <w:r w:rsidR="00600638">
            <w:rPr>
              <w:noProof/>
            </w:rPr>
            <w:t>53</w:t>
          </w:r>
          <w:r>
            <w:rPr>
              <w:noProof/>
            </w:rPr>
            <w:fldChar w:fldCharType="end"/>
          </w:r>
        </w:p>
        <w:p w14:paraId="72C49FAC" w14:textId="4A7E8BAB"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Structure and funding</w:t>
          </w:r>
          <w:r>
            <w:rPr>
              <w:noProof/>
            </w:rPr>
            <w:tab/>
          </w:r>
          <w:r>
            <w:rPr>
              <w:noProof/>
            </w:rPr>
            <w:fldChar w:fldCharType="begin"/>
          </w:r>
          <w:r>
            <w:rPr>
              <w:noProof/>
            </w:rPr>
            <w:instrText xml:space="preserve"> PAGEREF _Toc487184545 \h </w:instrText>
          </w:r>
          <w:r>
            <w:rPr>
              <w:noProof/>
            </w:rPr>
          </w:r>
          <w:r>
            <w:rPr>
              <w:noProof/>
            </w:rPr>
            <w:fldChar w:fldCharType="separate"/>
          </w:r>
          <w:r w:rsidR="00600638">
            <w:rPr>
              <w:noProof/>
            </w:rPr>
            <w:t>54</w:t>
          </w:r>
          <w:r>
            <w:rPr>
              <w:noProof/>
            </w:rPr>
            <w:fldChar w:fldCharType="end"/>
          </w:r>
        </w:p>
        <w:p w14:paraId="7C2E7A53" w14:textId="4F776BE1" w:rsidR="007A4D6B" w:rsidRDefault="007A4D6B">
          <w:pPr>
            <w:pStyle w:val="TOC1"/>
            <w:rPr>
              <w:rFonts w:asciiTheme="minorHAnsi" w:eastAsiaTheme="minorEastAsia" w:hAnsiTheme="minorHAnsi"/>
              <w:b w:val="0"/>
              <w:bCs w:val="0"/>
              <w:noProof/>
              <w:color w:val="auto"/>
              <w:sz w:val="22"/>
              <w:szCs w:val="22"/>
              <w:lang w:val="en-AU" w:eastAsia="en-AU"/>
            </w:rPr>
          </w:pPr>
          <w:r>
            <w:rPr>
              <w:noProof/>
            </w:rPr>
            <w:t>Interdisciplinary Maternal and Perinatal Australasian Collaborative Trials (IMPACT) Network</w:t>
          </w:r>
          <w:r>
            <w:rPr>
              <w:noProof/>
            </w:rPr>
            <w:tab/>
          </w:r>
          <w:r>
            <w:rPr>
              <w:noProof/>
            </w:rPr>
            <w:fldChar w:fldCharType="begin"/>
          </w:r>
          <w:r>
            <w:rPr>
              <w:noProof/>
            </w:rPr>
            <w:instrText xml:space="preserve"> PAGEREF _Toc487184546 \h </w:instrText>
          </w:r>
          <w:r>
            <w:rPr>
              <w:noProof/>
            </w:rPr>
          </w:r>
          <w:r>
            <w:rPr>
              <w:noProof/>
            </w:rPr>
            <w:fldChar w:fldCharType="separate"/>
          </w:r>
          <w:r w:rsidR="00600638">
            <w:rPr>
              <w:noProof/>
            </w:rPr>
            <w:t>58</w:t>
          </w:r>
          <w:r>
            <w:rPr>
              <w:noProof/>
            </w:rPr>
            <w:fldChar w:fldCharType="end"/>
          </w:r>
        </w:p>
        <w:p w14:paraId="1E17B120" w14:textId="60DFF2EE"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lastRenderedPageBreak/>
            <w:t>History</w:t>
          </w:r>
          <w:r w:rsidR="00392788">
            <w:rPr>
              <w:noProof/>
            </w:rPr>
            <w:t xml:space="preserve"> </w:t>
          </w:r>
          <w:r>
            <w:rPr>
              <w:noProof/>
            </w:rPr>
            <w:tab/>
          </w:r>
          <w:r>
            <w:rPr>
              <w:noProof/>
            </w:rPr>
            <w:fldChar w:fldCharType="begin"/>
          </w:r>
          <w:r>
            <w:rPr>
              <w:noProof/>
            </w:rPr>
            <w:instrText xml:space="preserve"> PAGEREF _Toc487184547 \h </w:instrText>
          </w:r>
          <w:r>
            <w:rPr>
              <w:noProof/>
            </w:rPr>
          </w:r>
          <w:r>
            <w:rPr>
              <w:noProof/>
            </w:rPr>
            <w:fldChar w:fldCharType="separate"/>
          </w:r>
          <w:r w:rsidR="00600638">
            <w:rPr>
              <w:noProof/>
            </w:rPr>
            <w:t>58</w:t>
          </w:r>
          <w:r>
            <w:rPr>
              <w:noProof/>
            </w:rPr>
            <w:fldChar w:fldCharType="end"/>
          </w:r>
        </w:p>
        <w:p w14:paraId="0DF2CC8E" w14:textId="4EEDFB19"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Core functions</w:t>
          </w:r>
          <w:r>
            <w:rPr>
              <w:noProof/>
            </w:rPr>
            <w:tab/>
          </w:r>
          <w:r>
            <w:rPr>
              <w:noProof/>
            </w:rPr>
            <w:fldChar w:fldCharType="begin"/>
          </w:r>
          <w:r>
            <w:rPr>
              <w:noProof/>
            </w:rPr>
            <w:instrText xml:space="preserve"> PAGEREF _Toc487184548 \h </w:instrText>
          </w:r>
          <w:r>
            <w:rPr>
              <w:noProof/>
            </w:rPr>
          </w:r>
          <w:r>
            <w:rPr>
              <w:noProof/>
            </w:rPr>
            <w:fldChar w:fldCharType="separate"/>
          </w:r>
          <w:r w:rsidR="00600638">
            <w:rPr>
              <w:noProof/>
            </w:rPr>
            <w:t>59</w:t>
          </w:r>
          <w:r>
            <w:rPr>
              <w:noProof/>
            </w:rPr>
            <w:fldChar w:fldCharType="end"/>
          </w:r>
        </w:p>
        <w:p w14:paraId="369E1258" w14:textId="59745D70"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Structure and Funding</w:t>
          </w:r>
          <w:r>
            <w:rPr>
              <w:noProof/>
            </w:rPr>
            <w:tab/>
          </w:r>
          <w:r>
            <w:rPr>
              <w:noProof/>
            </w:rPr>
            <w:fldChar w:fldCharType="begin"/>
          </w:r>
          <w:r>
            <w:rPr>
              <w:noProof/>
            </w:rPr>
            <w:instrText xml:space="preserve"> PAGEREF _Toc487184549 \h </w:instrText>
          </w:r>
          <w:r>
            <w:rPr>
              <w:noProof/>
            </w:rPr>
          </w:r>
          <w:r>
            <w:rPr>
              <w:noProof/>
            </w:rPr>
            <w:fldChar w:fldCharType="separate"/>
          </w:r>
          <w:r w:rsidR="00600638">
            <w:rPr>
              <w:noProof/>
            </w:rPr>
            <w:t>60</w:t>
          </w:r>
          <w:r>
            <w:rPr>
              <w:noProof/>
            </w:rPr>
            <w:fldChar w:fldCharType="end"/>
          </w:r>
        </w:p>
        <w:p w14:paraId="69327AA1" w14:textId="6289B0A1" w:rsidR="007A4D6B" w:rsidRDefault="007A4D6B">
          <w:pPr>
            <w:pStyle w:val="TOC1"/>
            <w:rPr>
              <w:rFonts w:asciiTheme="minorHAnsi" w:eastAsiaTheme="minorEastAsia" w:hAnsiTheme="minorHAnsi"/>
              <w:b w:val="0"/>
              <w:bCs w:val="0"/>
              <w:noProof/>
              <w:color w:val="auto"/>
              <w:sz w:val="22"/>
              <w:szCs w:val="22"/>
              <w:lang w:val="en-AU" w:eastAsia="en-AU"/>
            </w:rPr>
          </w:pPr>
          <w:r>
            <w:rPr>
              <w:noProof/>
            </w:rPr>
            <w:t>Australian and New Zealand Intensive Care Society Clinical Trials Group (ANZICS CTG)</w:t>
          </w:r>
          <w:r>
            <w:rPr>
              <w:noProof/>
            </w:rPr>
            <w:tab/>
          </w:r>
          <w:r>
            <w:rPr>
              <w:noProof/>
            </w:rPr>
            <w:fldChar w:fldCharType="begin"/>
          </w:r>
          <w:r>
            <w:rPr>
              <w:noProof/>
            </w:rPr>
            <w:instrText xml:space="preserve"> PAGEREF _Toc487184550 \h </w:instrText>
          </w:r>
          <w:r>
            <w:rPr>
              <w:noProof/>
            </w:rPr>
          </w:r>
          <w:r>
            <w:rPr>
              <w:noProof/>
            </w:rPr>
            <w:fldChar w:fldCharType="separate"/>
          </w:r>
          <w:r w:rsidR="00600638">
            <w:rPr>
              <w:noProof/>
            </w:rPr>
            <w:t>65</w:t>
          </w:r>
          <w:r>
            <w:rPr>
              <w:noProof/>
            </w:rPr>
            <w:fldChar w:fldCharType="end"/>
          </w:r>
        </w:p>
        <w:p w14:paraId="50976953" w14:textId="50913BA2" w:rsidR="007A4D6B" w:rsidRPr="00392788" w:rsidRDefault="007A4D6B" w:rsidP="00392788">
          <w:pPr>
            <w:pStyle w:val="TOC2"/>
            <w:spacing w:line="276" w:lineRule="auto"/>
            <w:ind w:left="238"/>
            <w:rPr>
              <w:noProof/>
            </w:rPr>
          </w:pPr>
          <w:r>
            <w:rPr>
              <w:noProof/>
            </w:rPr>
            <w:t>History</w:t>
          </w:r>
          <w:r w:rsidR="00392788">
            <w:rPr>
              <w:noProof/>
            </w:rPr>
            <w:t xml:space="preserve"> </w:t>
          </w:r>
          <w:r>
            <w:rPr>
              <w:noProof/>
            </w:rPr>
            <w:tab/>
          </w:r>
          <w:r>
            <w:rPr>
              <w:noProof/>
            </w:rPr>
            <w:fldChar w:fldCharType="begin"/>
          </w:r>
          <w:r>
            <w:rPr>
              <w:noProof/>
            </w:rPr>
            <w:instrText xml:space="preserve"> PAGEREF _Toc487184551 \h </w:instrText>
          </w:r>
          <w:r>
            <w:rPr>
              <w:noProof/>
            </w:rPr>
          </w:r>
          <w:r>
            <w:rPr>
              <w:noProof/>
            </w:rPr>
            <w:fldChar w:fldCharType="separate"/>
          </w:r>
          <w:r w:rsidR="00600638">
            <w:rPr>
              <w:noProof/>
            </w:rPr>
            <w:t>65</w:t>
          </w:r>
          <w:r>
            <w:rPr>
              <w:noProof/>
            </w:rPr>
            <w:fldChar w:fldCharType="end"/>
          </w:r>
        </w:p>
        <w:p w14:paraId="5BB07223" w14:textId="53A7B68A"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Core functions</w:t>
          </w:r>
          <w:r>
            <w:rPr>
              <w:noProof/>
            </w:rPr>
            <w:tab/>
          </w:r>
          <w:r>
            <w:rPr>
              <w:noProof/>
            </w:rPr>
            <w:fldChar w:fldCharType="begin"/>
          </w:r>
          <w:r>
            <w:rPr>
              <w:noProof/>
            </w:rPr>
            <w:instrText xml:space="preserve"> PAGEREF _Toc487184552 \h </w:instrText>
          </w:r>
          <w:r>
            <w:rPr>
              <w:noProof/>
            </w:rPr>
          </w:r>
          <w:r>
            <w:rPr>
              <w:noProof/>
            </w:rPr>
            <w:fldChar w:fldCharType="separate"/>
          </w:r>
          <w:r w:rsidR="00600638">
            <w:rPr>
              <w:noProof/>
            </w:rPr>
            <w:t>66</w:t>
          </w:r>
          <w:r>
            <w:rPr>
              <w:noProof/>
            </w:rPr>
            <w:fldChar w:fldCharType="end"/>
          </w:r>
        </w:p>
        <w:p w14:paraId="1B179284" w14:textId="3C58FD67" w:rsidR="007A4D6B" w:rsidRDefault="007A4D6B" w:rsidP="00392788">
          <w:pPr>
            <w:pStyle w:val="TOC2"/>
            <w:spacing w:line="276" w:lineRule="auto"/>
            <w:ind w:left="238"/>
            <w:rPr>
              <w:rFonts w:asciiTheme="minorHAnsi" w:eastAsiaTheme="minorEastAsia" w:hAnsiTheme="minorHAnsi"/>
              <w:bCs w:val="0"/>
              <w:noProof/>
              <w:lang w:val="en-AU" w:eastAsia="en-AU"/>
            </w:rPr>
          </w:pPr>
          <w:r>
            <w:rPr>
              <w:noProof/>
            </w:rPr>
            <w:t>Structure and funding</w:t>
          </w:r>
          <w:r>
            <w:rPr>
              <w:noProof/>
            </w:rPr>
            <w:tab/>
          </w:r>
          <w:r>
            <w:rPr>
              <w:noProof/>
            </w:rPr>
            <w:fldChar w:fldCharType="begin"/>
          </w:r>
          <w:r>
            <w:rPr>
              <w:noProof/>
            </w:rPr>
            <w:instrText xml:space="preserve"> PAGEREF _Toc487184553 \h </w:instrText>
          </w:r>
          <w:r>
            <w:rPr>
              <w:noProof/>
            </w:rPr>
          </w:r>
          <w:r>
            <w:rPr>
              <w:noProof/>
            </w:rPr>
            <w:fldChar w:fldCharType="separate"/>
          </w:r>
          <w:r w:rsidR="00600638">
            <w:rPr>
              <w:noProof/>
            </w:rPr>
            <w:t>67</w:t>
          </w:r>
          <w:r>
            <w:rPr>
              <w:noProof/>
            </w:rPr>
            <w:fldChar w:fldCharType="end"/>
          </w:r>
        </w:p>
        <w:p w14:paraId="44895A90" w14:textId="528C0ED4" w:rsidR="009C19B6" w:rsidRDefault="009C19B6">
          <w:r w:rsidRPr="00011DC6">
            <w:rPr>
              <w:rFonts w:asciiTheme="minorHAnsi" w:hAnsiTheme="minorHAnsi"/>
              <w:szCs w:val="24"/>
            </w:rPr>
            <w:fldChar w:fldCharType="end"/>
          </w:r>
        </w:p>
      </w:sdtContent>
    </w:sdt>
    <w:p w14:paraId="01952EB2" w14:textId="77777777" w:rsidR="005A296E" w:rsidRPr="00F4411D" w:rsidRDefault="005A296E" w:rsidP="00CB3873">
      <w:pPr>
        <w:rPr>
          <w:color w:val="808080"/>
        </w:rPr>
        <w:sectPr w:rsidR="005A296E" w:rsidRPr="00F4411D" w:rsidSect="00392788">
          <w:footerReference w:type="default" r:id="rId20"/>
          <w:pgSz w:w="11900" w:h="16840"/>
          <w:pgMar w:top="1440" w:right="1080" w:bottom="1440" w:left="1080" w:header="708" w:footer="708" w:gutter="0"/>
          <w:cols w:space="708"/>
          <w:docGrid w:linePitch="400"/>
        </w:sectPr>
      </w:pPr>
    </w:p>
    <w:p w14:paraId="0CD52368" w14:textId="77777777" w:rsidR="00FE6F6B" w:rsidRDefault="00FE6F6B">
      <w:pPr>
        <w:spacing w:before="0" w:after="200" w:line="276" w:lineRule="auto"/>
        <w:rPr>
          <w:rFonts w:ascii="Franklin Gothic Heavy" w:hAnsi="Franklin Gothic Heavy"/>
          <w:b/>
          <w:bCs/>
          <w:color w:val="2F5496" w:themeColor="accent5" w:themeShade="BF"/>
          <w:sz w:val="40"/>
          <w:szCs w:val="40"/>
        </w:rPr>
      </w:pPr>
      <w:r>
        <w:rPr>
          <w:rFonts w:ascii="Franklin Gothic Heavy" w:hAnsi="Franklin Gothic Heavy"/>
          <w:b/>
          <w:bCs/>
          <w:color w:val="2F5496" w:themeColor="accent5" w:themeShade="BF"/>
          <w:sz w:val="40"/>
          <w:szCs w:val="40"/>
        </w:rPr>
        <w:lastRenderedPageBreak/>
        <w:br w:type="page"/>
      </w:r>
    </w:p>
    <w:p w14:paraId="67691E0D" w14:textId="30E60AA9" w:rsidR="004A6057" w:rsidRPr="00392788" w:rsidRDefault="00E20C89" w:rsidP="00915516">
      <w:pPr>
        <w:spacing w:before="0" w:after="200" w:line="276" w:lineRule="auto"/>
        <w:rPr>
          <w:rFonts w:ascii="Franklin Gothic Heavy" w:hAnsi="Franklin Gothic Heavy"/>
          <w:bCs/>
          <w:color w:val="2F5496" w:themeColor="accent5" w:themeShade="BF"/>
          <w:sz w:val="36"/>
          <w:szCs w:val="40"/>
        </w:rPr>
      </w:pPr>
      <w:r w:rsidRPr="00392788">
        <w:rPr>
          <w:rFonts w:ascii="Franklin Gothic Heavy" w:hAnsi="Franklin Gothic Heavy"/>
          <w:bCs/>
          <w:color w:val="2F5496" w:themeColor="accent5" w:themeShade="BF"/>
          <w:sz w:val="36"/>
          <w:szCs w:val="40"/>
        </w:rPr>
        <w:lastRenderedPageBreak/>
        <w:t xml:space="preserve">Acronyms and </w:t>
      </w:r>
      <w:r w:rsidR="001276F5" w:rsidRPr="00392788">
        <w:rPr>
          <w:rFonts w:ascii="Franklin Gothic Heavy" w:hAnsi="Franklin Gothic Heavy"/>
          <w:bCs/>
          <w:color w:val="2F5496" w:themeColor="accent5" w:themeShade="BF"/>
          <w:sz w:val="36"/>
          <w:szCs w:val="40"/>
        </w:rPr>
        <w:t>a</w:t>
      </w:r>
      <w:r w:rsidRPr="00392788">
        <w:rPr>
          <w:rFonts w:ascii="Franklin Gothic Heavy" w:hAnsi="Franklin Gothic Heavy"/>
          <w:bCs/>
          <w:color w:val="2F5496" w:themeColor="accent5" w:themeShade="BF"/>
          <w:sz w:val="36"/>
          <w:szCs w:val="40"/>
        </w:rPr>
        <w:t>bbreviations</w:t>
      </w:r>
    </w:p>
    <w:p w14:paraId="5EE697B3" w14:textId="5A2D613D" w:rsidR="005A296E" w:rsidRDefault="003B753A" w:rsidP="00760B1C">
      <w:pPr>
        <w:rPr>
          <w:rStyle w:val="Strong"/>
        </w:rPr>
        <w:sectPr w:rsidR="005A296E" w:rsidSect="00F074A5">
          <w:footerReference w:type="default" r:id="rId21"/>
          <w:type w:val="continuous"/>
          <w:pgSz w:w="11900" w:h="16840"/>
          <w:pgMar w:top="1440" w:right="1080" w:bottom="1440" w:left="1080" w:header="708" w:footer="708" w:gutter="0"/>
          <w:cols w:space="708"/>
          <w:docGrid w:linePitch="400"/>
        </w:sectPr>
      </w:pPr>
      <w:r>
        <w:rPr>
          <w:rStyle w:val="Strong"/>
        </w:rPr>
        <w:br/>
      </w:r>
    </w:p>
    <w:p w14:paraId="22FFEDC1" w14:textId="77777777" w:rsidR="005A296E" w:rsidRDefault="005A296E" w:rsidP="00392788">
      <w:pPr>
        <w:spacing w:line="276" w:lineRule="auto"/>
      </w:pPr>
      <w:r w:rsidRPr="005A296E">
        <w:rPr>
          <w:rStyle w:val="Strong"/>
        </w:rPr>
        <w:lastRenderedPageBreak/>
        <w:t>ACSQHC</w:t>
      </w:r>
      <w:r>
        <w:rPr>
          <w:b/>
          <w:bCs/>
        </w:rPr>
        <w:br/>
      </w:r>
      <w:r w:rsidRPr="0058326A">
        <w:t xml:space="preserve">Australian </w:t>
      </w:r>
      <w:r w:rsidRPr="005A296E">
        <w:t xml:space="preserve">Commission on Safety and Quality in </w:t>
      </w:r>
      <w:r>
        <w:t>Health Care (the Commission)</w:t>
      </w:r>
    </w:p>
    <w:p w14:paraId="5601953C" w14:textId="43BDC35A" w:rsidR="00760B1C" w:rsidRDefault="00740C7B" w:rsidP="00392788">
      <w:pPr>
        <w:spacing w:line="276" w:lineRule="auto"/>
      </w:pPr>
      <w:r w:rsidRPr="00740C7B">
        <w:rPr>
          <w:rStyle w:val="Strong"/>
        </w:rPr>
        <w:t>ACTA</w:t>
      </w:r>
      <w:r w:rsidR="005A296E">
        <w:br/>
      </w:r>
      <w:r w:rsidR="00760B1C">
        <w:t>Australian Clinical Trials Alliance</w:t>
      </w:r>
    </w:p>
    <w:p w14:paraId="0C313DCE" w14:textId="601B0635" w:rsidR="00760B1C" w:rsidRDefault="00740C7B" w:rsidP="00392788">
      <w:pPr>
        <w:spacing w:line="276" w:lineRule="auto"/>
      </w:pPr>
      <w:r w:rsidRPr="00740C7B">
        <w:rPr>
          <w:rStyle w:val="Strong"/>
        </w:rPr>
        <w:t>AIHW</w:t>
      </w:r>
      <w:r w:rsidR="005A296E">
        <w:br/>
      </w:r>
      <w:r w:rsidR="00760B1C">
        <w:t xml:space="preserve">Australian Institute of Health and Welfare </w:t>
      </w:r>
    </w:p>
    <w:p w14:paraId="16291181" w14:textId="082E7AA3" w:rsidR="00A81405" w:rsidRDefault="00A81405" w:rsidP="00392788">
      <w:pPr>
        <w:spacing w:line="276" w:lineRule="auto"/>
        <w:rPr>
          <w:rStyle w:val="Strong"/>
        </w:rPr>
      </w:pPr>
      <w:r w:rsidRPr="00A81405">
        <w:rPr>
          <w:rStyle w:val="Strong"/>
        </w:rPr>
        <w:t>AR-DRG</w:t>
      </w:r>
      <w:r>
        <w:rPr>
          <w:rStyle w:val="Strong"/>
        </w:rPr>
        <w:br/>
      </w:r>
      <w:r w:rsidRPr="00F074A5">
        <w:t>Australian refined diagnosis-related group</w:t>
      </w:r>
    </w:p>
    <w:p w14:paraId="49ECB1F3" w14:textId="354F507F" w:rsidR="00760B1C" w:rsidRPr="00D85C9B" w:rsidRDefault="00740C7B" w:rsidP="00392788">
      <w:pPr>
        <w:spacing w:line="276" w:lineRule="auto"/>
      </w:pPr>
      <w:r w:rsidRPr="00740C7B">
        <w:rPr>
          <w:rStyle w:val="Strong"/>
        </w:rPr>
        <w:t>ASTN</w:t>
      </w:r>
      <w:r w:rsidR="005A296E">
        <w:rPr>
          <w:rStyle w:val="Strong"/>
        </w:rPr>
        <w:br/>
      </w:r>
      <w:r w:rsidR="00760B1C" w:rsidRPr="00D85C9B">
        <w:t>Australasian Stroke Trials Network</w:t>
      </w:r>
    </w:p>
    <w:p w14:paraId="3FE1E1D6" w14:textId="6840CEBA" w:rsidR="00760B1C" w:rsidRPr="00D85C9B" w:rsidRDefault="00740C7B" w:rsidP="00392788">
      <w:pPr>
        <w:spacing w:line="276" w:lineRule="auto"/>
      </w:pPr>
      <w:r w:rsidRPr="00740C7B">
        <w:rPr>
          <w:rStyle w:val="Strong"/>
        </w:rPr>
        <w:t>ANZICS CT</w:t>
      </w:r>
      <w:r w:rsidR="005A296E">
        <w:rPr>
          <w:rStyle w:val="Strong"/>
        </w:rPr>
        <w:t>G</w:t>
      </w:r>
      <w:r w:rsidR="005A296E">
        <w:rPr>
          <w:rStyle w:val="Strong"/>
        </w:rPr>
        <w:br/>
      </w:r>
      <w:r w:rsidR="00760B1C" w:rsidRPr="00D85C9B">
        <w:t>Australian and New Zealand Intensive Care Society Clinical Trials Group</w:t>
      </w:r>
    </w:p>
    <w:p w14:paraId="3E23B9FD" w14:textId="10997575" w:rsidR="00760B1C" w:rsidRPr="00D85C9B" w:rsidRDefault="00740C7B" w:rsidP="00392788">
      <w:pPr>
        <w:spacing w:line="276" w:lineRule="auto"/>
      </w:pPr>
      <w:r w:rsidRPr="00740C7B">
        <w:rPr>
          <w:rStyle w:val="Strong"/>
        </w:rPr>
        <w:t>BC</w:t>
      </w:r>
      <w:r>
        <w:rPr>
          <w:rStyle w:val="Strong"/>
        </w:rPr>
        <w:t>R</w:t>
      </w:r>
      <w:r w:rsidR="005A296E">
        <w:rPr>
          <w:rStyle w:val="Strong"/>
        </w:rPr>
        <w:br/>
      </w:r>
      <w:r w:rsidR="00760B1C" w:rsidRPr="00D85C9B">
        <w:t xml:space="preserve">Benefit to </w:t>
      </w:r>
      <w:r w:rsidR="00184AEB">
        <w:t>C</w:t>
      </w:r>
      <w:r w:rsidR="00760B1C" w:rsidRPr="00D85C9B">
        <w:t>ost Ratio</w:t>
      </w:r>
    </w:p>
    <w:p w14:paraId="5FC0A0E2" w14:textId="75406301" w:rsidR="00D51E6C" w:rsidRDefault="00D51E6C" w:rsidP="00392788">
      <w:pPr>
        <w:spacing w:line="276" w:lineRule="auto"/>
        <w:rPr>
          <w:rStyle w:val="Strong"/>
        </w:rPr>
      </w:pPr>
      <w:r>
        <w:rPr>
          <w:rStyle w:val="Strong"/>
        </w:rPr>
        <w:t>HTA</w:t>
      </w:r>
      <w:r>
        <w:rPr>
          <w:rStyle w:val="Strong"/>
        </w:rPr>
        <w:br/>
      </w:r>
      <w:r w:rsidRPr="00D51E6C">
        <w:rPr>
          <w:rStyle w:val="Strong"/>
          <w:b w:val="0"/>
          <w:bCs w:val="0"/>
        </w:rPr>
        <w:t>Health Technology Assessment</w:t>
      </w:r>
    </w:p>
    <w:p w14:paraId="0C418CA6" w14:textId="2E0E2D96" w:rsidR="00760B1C" w:rsidRDefault="005A296E" w:rsidP="00392788">
      <w:pPr>
        <w:spacing w:line="276" w:lineRule="auto"/>
      </w:pPr>
      <w:r w:rsidRPr="005A296E">
        <w:rPr>
          <w:rStyle w:val="Strong"/>
        </w:rPr>
        <w:t>IHPA</w:t>
      </w:r>
      <w:r>
        <w:br/>
      </w:r>
      <w:r w:rsidR="00760B1C" w:rsidRPr="00AF6925">
        <w:t>Independent Ho</w:t>
      </w:r>
      <w:r w:rsidR="00760B1C">
        <w:t>spital Pricing Authority</w:t>
      </w:r>
    </w:p>
    <w:p w14:paraId="492FBF44" w14:textId="6BEC5055" w:rsidR="00760B1C" w:rsidRPr="00D85C9B" w:rsidRDefault="005A296E" w:rsidP="00392788">
      <w:pPr>
        <w:spacing w:line="276" w:lineRule="auto"/>
      </w:pPr>
      <w:r w:rsidRPr="005A296E">
        <w:rPr>
          <w:rStyle w:val="Strong"/>
        </w:rPr>
        <w:t>IMPACT</w:t>
      </w:r>
      <w:r>
        <w:br/>
      </w:r>
      <w:r w:rsidR="00184AEB">
        <w:t xml:space="preserve">Interdisciplinary Maternal </w:t>
      </w:r>
      <w:r w:rsidR="00760B1C" w:rsidRPr="00D85C9B">
        <w:t xml:space="preserve">Perinatal </w:t>
      </w:r>
      <w:r w:rsidR="00D64194">
        <w:t>Australasian Collaborative</w:t>
      </w:r>
      <w:r w:rsidR="00760B1C" w:rsidRPr="00D85C9B">
        <w:t xml:space="preserve"> Trials Network</w:t>
      </w:r>
    </w:p>
    <w:p w14:paraId="08579779" w14:textId="77777777" w:rsidR="005A296E" w:rsidRDefault="005A296E" w:rsidP="00392788">
      <w:pPr>
        <w:spacing w:line="276" w:lineRule="auto"/>
        <w:rPr>
          <w:rStyle w:val="Strong"/>
        </w:rPr>
      </w:pPr>
      <w:r>
        <w:rPr>
          <w:rStyle w:val="Strong"/>
        </w:rPr>
        <w:t>Networks</w:t>
      </w:r>
      <w:r>
        <w:rPr>
          <w:rStyle w:val="Strong"/>
        </w:rPr>
        <w:br/>
      </w:r>
      <w:r w:rsidRPr="005A296E">
        <w:t>Clinical Trials Networks</w:t>
      </w:r>
    </w:p>
    <w:p w14:paraId="5D4C3102" w14:textId="235AAA37" w:rsidR="00760B1C" w:rsidRPr="005A296E" w:rsidRDefault="00D85369" w:rsidP="00392788">
      <w:pPr>
        <w:spacing w:line="276" w:lineRule="auto"/>
        <w:rPr>
          <w:b/>
          <w:bCs/>
          <w:color w:val="2F5496" w:themeColor="accent5" w:themeShade="BF"/>
        </w:rPr>
      </w:pPr>
      <w:r w:rsidRPr="005A296E">
        <w:rPr>
          <w:rStyle w:val="Strong"/>
        </w:rPr>
        <w:t>NH</w:t>
      </w:r>
      <w:r w:rsidR="005A296E" w:rsidRPr="005A296E">
        <w:rPr>
          <w:rStyle w:val="Strong"/>
        </w:rPr>
        <w:t>MRC</w:t>
      </w:r>
      <w:r w:rsidR="005A296E">
        <w:br/>
      </w:r>
      <w:r w:rsidR="00760B1C">
        <w:t xml:space="preserve">National Health and Medical Research Council </w:t>
      </w:r>
    </w:p>
    <w:p w14:paraId="0574D8C2" w14:textId="571FB5BC" w:rsidR="00760B1C" w:rsidRPr="00D85C9B" w:rsidRDefault="005A296E" w:rsidP="00392788">
      <w:pPr>
        <w:spacing w:line="276" w:lineRule="auto"/>
      </w:pPr>
      <w:r w:rsidRPr="005A296E">
        <w:rPr>
          <w:rStyle w:val="Strong"/>
        </w:rPr>
        <w:t>NICU</w:t>
      </w:r>
      <w:r>
        <w:br/>
      </w:r>
      <w:r w:rsidR="00760B1C" w:rsidRPr="00D85C9B">
        <w:t>Neonatal Intensive Care Unit</w:t>
      </w:r>
    </w:p>
    <w:p w14:paraId="7CF36AE2" w14:textId="4E0D79B2" w:rsidR="00760B1C" w:rsidRDefault="005A296E" w:rsidP="00392788">
      <w:pPr>
        <w:spacing w:line="276" w:lineRule="auto"/>
      </w:pPr>
      <w:r w:rsidRPr="005A296E">
        <w:rPr>
          <w:rStyle w:val="Strong"/>
        </w:rPr>
        <w:t>NIH</w:t>
      </w:r>
      <w:r>
        <w:br/>
      </w:r>
      <w:r w:rsidR="00760B1C" w:rsidRPr="00501919">
        <w:t>National Institute of Health</w:t>
      </w:r>
    </w:p>
    <w:p w14:paraId="1F47661E" w14:textId="01F05102" w:rsidR="00A81405" w:rsidRDefault="00A81405" w:rsidP="00392788">
      <w:pPr>
        <w:spacing w:line="276" w:lineRule="auto"/>
        <w:rPr>
          <w:rStyle w:val="Strong"/>
        </w:rPr>
      </w:pPr>
      <w:r>
        <w:rPr>
          <w:rStyle w:val="Strong"/>
        </w:rPr>
        <w:lastRenderedPageBreak/>
        <w:t>NIHR</w:t>
      </w:r>
      <w:r>
        <w:rPr>
          <w:rStyle w:val="Strong"/>
        </w:rPr>
        <w:br/>
      </w:r>
      <w:r w:rsidRPr="00F074A5">
        <w:t>National Institute for Health Research</w:t>
      </w:r>
    </w:p>
    <w:p w14:paraId="6F5631A5" w14:textId="0BE8EB21" w:rsidR="00760B1C" w:rsidRDefault="00760B1C" w:rsidP="00392788">
      <w:pPr>
        <w:spacing w:line="276" w:lineRule="auto"/>
      </w:pPr>
      <w:r w:rsidRPr="005A296E">
        <w:rPr>
          <w:rStyle w:val="Strong"/>
        </w:rPr>
        <w:t>NINDS</w:t>
      </w:r>
      <w:r w:rsidR="005A296E">
        <w:br/>
      </w:r>
      <w:r w:rsidRPr="00085AE0">
        <w:t>National Institute of Neurological Disorders and Stroke </w:t>
      </w:r>
    </w:p>
    <w:p w14:paraId="56503109" w14:textId="56816850" w:rsidR="00760B1C" w:rsidRDefault="005A296E" w:rsidP="00392788">
      <w:pPr>
        <w:spacing w:line="276" w:lineRule="auto"/>
      </w:pPr>
      <w:r w:rsidRPr="005A296E">
        <w:rPr>
          <w:rStyle w:val="Strong"/>
        </w:rPr>
        <w:t>QALY</w:t>
      </w:r>
      <w:r>
        <w:br/>
      </w:r>
      <w:r w:rsidR="00760B1C" w:rsidRPr="00E743AA">
        <w:t>Quality Adjusted Life Year</w:t>
      </w:r>
    </w:p>
    <w:p w14:paraId="7EBB0608" w14:textId="3DA660D8" w:rsidR="00760B1C" w:rsidRDefault="005A296E" w:rsidP="00392788">
      <w:pPr>
        <w:spacing w:line="276" w:lineRule="auto"/>
      </w:pPr>
      <w:r w:rsidRPr="005A296E">
        <w:rPr>
          <w:rStyle w:val="Strong"/>
        </w:rPr>
        <w:t>RCT</w:t>
      </w:r>
      <w:r>
        <w:br/>
      </w:r>
      <w:r w:rsidR="00760B1C">
        <w:t xml:space="preserve">Randomised Controlled Trials </w:t>
      </w:r>
    </w:p>
    <w:p w14:paraId="2353DC79" w14:textId="2A6AC6A6" w:rsidR="00A81405" w:rsidRDefault="005A296E" w:rsidP="00392788">
      <w:pPr>
        <w:spacing w:line="276" w:lineRule="auto"/>
      </w:pPr>
      <w:r w:rsidRPr="005A296E">
        <w:rPr>
          <w:rStyle w:val="Strong"/>
        </w:rPr>
        <w:t>TBI</w:t>
      </w:r>
      <w:r>
        <w:br/>
      </w:r>
      <w:r w:rsidR="00760B1C">
        <w:t>Traumatic Brain Injury</w:t>
      </w:r>
    </w:p>
    <w:p w14:paraId="41328B69" w14:textId="5E9F17FF" w:rsidR="00A81405" w:rsidRDefault="00A81405" w:rsidP="00392788">
      <w:pPr>
        <w:spacing w:line="276" w:lineRule="auto"/>
        <w:sectPr w:rsidR="00A81405" w:rsidSect="00F074A5">
          <w:type w:val="continuous"/>
          <w:pgSz w:w="11900" w:h="16840"/>
          <w:pgMar w:top="1440" w:right="1080" w:bottom="1440" w:left="1080" w:header="708" w:footer="708" w:gutter="0"/>
          <w:cols w:num="2" w:space="708"/>
          <w:docGrid w:linePitch="400"/>
        </w:sectPr>
      </w:pPr>
      <w:r w:rsidRPr="00F074A5">
        <w:rPr>
          <w:rStyle w:val="Strong"/>
        </w:rPr>
        <w:t>WHO</w:t>
      </w:r>
      <w:r w:rsidR="00DB4A34">
        <w:br/>
        <w:t>World Health Organiz</w:t>
      </w:r>
      <w:r w:rsidR="00273FE5">
        <w:t>ation</w:t>
      </w:r>
    </w:p>
    <w:p w14:paraId="76B733A2" w14:textId="65A2AC61" w:rsidR="0063257E" w:rsidRDefault="0063257E" w:rsidP="0063257E">
      <w:pPr>
        <w:pStyle w:val="Heading1"/>
        <w:numPr>
          <w:ilvl w:val="0"/>
          <w:numId w:val="0"/>
        </w:numPr>
      </w:pPr>
      <w:bookmarkStart w:id="7" w:name="_Toc487184519"/>
      <w:r>
        <w:lastRenderedPageBreak/>
        <w:t xml:space="preserve">Executive </w:t>
      </w:r>
      <w:r w:rsidR="00062974">
        <w:t>s</w:t>
      </w:r>
      <w:r>
        <w:t>ummary</w:t>
      </w:r>
      <w:bookmarkEnd w:id="7"/>
    </w:p>
    <w:p w14:paraId="0497DA75" w14:textId="0F7A0060" w:rsidR="0084585C" w:rsidRDefault="0084585C" w:rsidP="00392788">
      <w:pPr>
        <w:pStyle w:val="Commissionbodytext"/>
      </w:pPr>
      <w:r w:rsidRPr="00657F18">
        <w:t>The delivery of high</w:t>
      </w:r>
      <w:r w:rsidR="00B16068" w:rsidRPr="00722F9C">
        <w:t>-</w:t>
      </w:r>
      <w:r w:rsidRPr="00392788">
        <w:t>quality health care relies on the availability of high</w:t>
      </w:r>
      <w:r w:rsidR="00B16068" w:rsidRPr="00392788">
        <w:t>-</w:t>
      </w:r>
      <w:r w:rsidRPr="00392788">
        <w:t>quality evidence to inform best practices.</w:t>
      </w:r>
      <w:r w:rsidR="00BD68CF" w:rsidRPr="00392788">
        <w:t xml:space="preserve"> </w:t>
      </w:r>
      <w:r w:rsidR="007B4B33" w:rsidRPr="00392788">
        <w:t>Historically, e</w:t>
      </w:r>
      <w:r w:rsidRPr="00392788">
        <w:t>vidence</w:t>
      </w:r>
      <w:r w:rsidR="00EB5CB2" w:rsidRPr="00392788">
        <w:t>-</w:t>
      </w:r>
      <w:r w:rsidRPr="00392788">
        <w:t>generating activities</w:t>
      </w:r>
      <w:r w:rsidR="008965B0">
        <w:t>,</w:t>
      </w:r>
      <w:r w:rsidR="00EB5CB2" w:rsidRPr="00657F18">
        <w:t xml:space="preserve"> </w:t>
      </w:r>
      <w:r w:rsidRPr="00722F9C">
        <w:t>such clinical trials</w:t>
      </w:r>
      <w:r w:rsidR="008965B0">
        <w:t>,</w:t>
      </w:r>
      <w:r w:rsidRPr="00657F18">
        <w:t xml:space="preserve"> have</w:t>
      </w:r>
      <w:r w:rsidR="007B4B33" w:rsidRPr="00722F9C">
        <w:t xml:space="preserve"> </w:t>
      </w:r>
      <w:r w:rsidRPr="00392788">
        <w:t xml:space="preserve">been </w:t>
      </w:r>
      <w:r w:rsidR="007B4B33" w:rsidRPr="00392788">
        <w:t xml:space="preserve">organised and </w:t>
      </w:r>
      <w:r w:rsidRPr="00392788">
        <w:t>carried out separate</w:t>
      </w:r>
      <w:r w:rsidR="00AC6022" w:rsidRPr="00392788">
        <w:t>ly</w:t>
      </w:r>
      <w:r w:rsidRPr="00392788">
        <w:t xml:space="preserve"> to other aspects of the healthcare system. </w:t>
      </w:r>
      <w:r w:rsidR="007B4B33" w:rsidRPr="00392788">
        <w:t>Increasingly</w:t>
      </w:r>
      <w:r w:rsidR="00EB5CB2" w:rsidRPr="00392788">
        <w:t xml:space="preserve">, </w:t>
      </w:r>
      <w:r w:rsidR="004F7984" w:rsidRPr="00392788">
        <w:t>g</w:t>
      </w:r>
      <w:r w:rsidR="007B4B33" w:rsidRPr="00392788">
        <w:t xml:space="preserve">overnments are </w:t>
      </w:r>
      <w:r w:rsidRPr="00392788">
        <w:t>looking to foster greater coordination and systematic integration of these efforts</w:t>
      </w:r>
      <w:r w:rsidR="007B4B33" w:rsidRPr="00392788">
        <w:t xml:space="preserve"> embedded within routine clinical care in order</w:t>
      </w:r>
      <w:r w:rsidRPr="00392788">
        <w:t xml:space="preserve"> to deliver better safety, quality and value.</w:t>
      </w:r>
    </w:p>
    <w:p w14:paraId="566D09C3" w14:textId="77777777" w:rsidR="007B47AB" w:rsidRPr="00657F18" w:rsidRDefault="007B47AB" w:rsidP="00392788">
      <w:pPr>
        <w:pStyle w:val="Commissionbodytext"/>
      </w:pPr>
    </w:p>
    <w:p w14:paraId="50A462F7" w14:textId="274D63B8" w:rsidR="0084585C" w:rsidRDefault="0084585C" w:rsidP="00392788">
      <w:pPr>
        <w:pStyle w:val="Commissionbodytext"/>
      </w:pPr>
      <w:r w:rsidRPr="00722F9C">
        <w:t>Clinical trials provide evidence by testing the efficacy</w:t>
      </w:r>
      <w:r w:rsidR="00184AEB" w:rsidRPr="00392788">
        <w:t xml:space="preserve">, effectiveness </w:t>
      </w:r>
      <w:r w:rsidRPr="00392788">
        <w:t>or cost-effectiveness of a healthcare intervention.</w:t>
      </w:r>
      <w:r w:rsidR="00BD68CF" w:rsidRPr="00392788">
        <w:t xml:space="preserve"> </w:t>
      </w:r>
      <w:r w:rsidRPr="00392788">
        <w:t xml:space="preserve">They differ in their context </w:t>
      </w:r>
      <w:r w:rsidRPr="00657F18">
        <w:t>(who is conducting them) and phase</w:t>
      </w:r>
      <w:r w:rsidRPr="00392788">
        <w:t xml:space="preserve"> </w:t>
      </w:r>
      <w:r w:rsidRPr="00657F18">
        <w:t>(from early phase testing of safety in sma</w:t>
      </w:r>
      <w:r w:rsidRPr="00722F9C">
        <w:t xml:space="preserve">ll groups, to </w:t>
      </w:r>
      <w:r w:rsidR="00F71233">
        <w:t>late-phase</w:t>
      </w:r>
      <w:r w:rsidRPr="00657F18">
        <w:t xml:space="preserve"> trials that monitor long-term effects in the whole population once an intervention is implemented). Their findings vary, from no difference</w:t>
      </w:r>
      <w:r w:rsidR="009F03B5" w:rsidRPr="00722F9C">
        <w:t xml:space="preserve"> between compared interventions, to highly significant differences that lead to ch</w:t>
      </w:r>
      <w:r w:rsidR="009F03B5" w:rsidRPr="00392788">
        <w:t>anges in clinical practice.</w:t>
      </w:r>
    </w:p>
    <w:p w14:paraId="253179F4" w14:textId="77777777" w:rsidR="007B47AB" w:rsidRPr="00657F18" w:rsidRDefault="007B47AB" w:rsidP="00392788">
      <w:pPr>
        <w:pStyle w:val="Commissionbodytext"/>
      </w:pPr>
    </w:p>
    <w:p w14:paraId="4D757ADE" w14:textId="64F7D570" w:rsidR="0084585C" w:rsidRDefault="0084585C" w:rsidP="00392788">
      <w:pPr>
        <w:pStyle w:val="Commissionbodytext"/>
      </w:pPr>
      <w:r w:rsidRPr="00722F9C">
        <w:t>Late</w:t>
      </w:r>
      <w:r w:rsidR="00F71233">
        <w:t>-</w:t>
      </w:r>
      <w:r w:rsidRPr="00722F9C">
        <w:t xml:space="preserve">phase investigator-initiated trials (the focus of this evaluation) can be complex in logistics and methods. As a result, organised communities of experts with diverse skills, known as </w:t>
      </w:r>
      <w:r w:rsidR="007B47AB">
        <w:t>c</w:t>
      </w:r>
      <w:r w:rsidRPr="00722F9C">
        <w:t xml:space="preserve">linical </w:t>
      </w:r>
      <w:r w:rsidR="007B47AB">
        <w:t>t</w:t>
      </w:r>
      <w:r w:rsidRPr="00722F9C">
        <w:t xml:space="preserve">rials </w:t>
      </w:r>
      <w:r w:rsidR="007B47AB">
        <w:t>n</w:t>
      </w:r>
      <w:r w:rsidRPr="00722F9C">
        <w:t>etworks (</w:t>
      </w:r>
      <w:r w:rsidR="00F7026A" w:rsidRPr="00392788">
        <w:t>n</w:t>
      </w:r>
      <w:r w:rsidRPr="00392788">
        <w:t xml:space="preserve">etworks), have formed to bring together </w:t>
      </w:r>
      <w:r w:rsidR="00755928" w:rsidRPr="00392788">
        <w:t xml:space="preserve">the </w:t>
      </w:r>
      <w:r w:rsidRPr="00392788">
        <w:t xml:space="preserve">skills and collective technical and logistical capability </w:t>
      </w:r>
      <w:r w:rsidR="00755928" w:rsidRPr="00392788">
        <w:t xml:space="preserve">necessary </w:t>
      </w:r>
      <w:r w:rsidRPr="00392788">
        <w:t xml:space="preserve">to perform </w:t>
      </w:r>
      <w:r w:rsidR="000B737F" w:rsidRPr="00392788">
        <w:t>these</w:t>
      </w:r>
      <w:r w:rsidRPr="00392788">
        <w:t xml:space="preserve"> trials</w:t>
      </w:r>
      <w:r w:rsidR="00814EBD" w:rsidRPr="00392788">
        <w:t xml:space="preserve">. These networks </w:t>
      </w:r>
      <w:r w:rsidR="00605DA2" w:rsidRPr="00392788">
        <w:t xml:space="preserve">often help to establish or build long-term partnerships with expert methods centres commonly referred to as clinical trial coordinating centres. </w:t>
      </w:r>
      <w:r w:rsidRPr="00392788">
        <w:t xml:space="preserve">Australia has a strong reputation for establishing highly successful </w:t>
      </w:r>
      <w:r w:rsidR="00F7026A" w:rsidRPr="00392788">
        <w:t>n</w:t>
      </w:r>
      <w:r w:rsidRPr="00392788">
        <w:t xml:space="preserve">etworks across a number of clinical areas. A recent report commissioned by the </w:t>
      </w:r>
      <w:r w:rsidR="007B58D8" w:rsidRPr="00392788">
        <w:t>NHMRC</w:t>
      </w:r>
      <w:r w:rsidRPr="00392788">
        <w:t xml:space="preserve"> showed that Australian </w:t>
      </w:r>
      <w:r w:rsidR="00F7026A" w:rsidRPr="00392788">
        <w:t>n</w:t>
      </w:r>
      <w:r w:rsidRPr="00392788">
        <w:t xml:space="preserve">etworks had together completed or initiated more than 1,000 studies </w:t>
      </w:r>
      <w:r w:rsidR="00D85C9B" w:rsidRPr="00392788">
        <w:t xml:space="preserve">involving more than </w:t>
      </w:r>
      <w:r w:rsidR="00A668F0">
        <w:t>one</w:t>
      </w:r>
      <w:r w:rsidR="00D85C9B" w:rsidRPr="00392788">
        <w:t xml:space="preserve"> million participants in the years 2004 to 2014</w:t>
      </w:r>
      <w:r w:rsidRPr="00392788">
        <w:t>.</w:t>
      </w:r>
      <w:r w:rsidRPr="00392788">
        <w:rPr>
          <w:vertAlign w:val="superscript"/>
        </w:rPr>
        <w:footnoteReference w:id="1"/>
      </w:r>
      <w:r w:rsidRPr="00657F18">
        <w:t xml:space="preserve"> </w:t>
      </w:r>
    </w:p>
    <w:p w14:paraId="57EE1C17" w14:textId="77777777" w:rsidR="007B47AB" w:rsidRPr="00657F18" w:rsidRDefault="007B47AB" w:rsidP="00392788">
      <w:pPr>
        <w:pStyle w:val="Commissionbodytext"/>
      </w:pPr>
    </w:p>
    <w:p w14:paraId="2EF76806" w14:textId="25252216" w:rsidR="0084585C" w:rsidRPr="00392788" w:rsidRDefault="0084585C" w:rsidP="00392788">
      <w:pPr>
        <w:pStyle w:val="Commissionbodytext"/>
      </w:pPr>
      <w:r w:rsidRPr="00722F9C">
        <w:t xml:space="preserve">There is growing evidence suggesting that individual Australian-led clinical trials have had a major impact in </w:t>
      </w:r>
      <w:r w:rsidRPr="00392788">
        <w:t>terms of improving health</w:t>
      </w:r>
      <w:r w:rsidR="008965B0">
        <w:t xml:space="preserve"> </w:t>
      </w:r>
      <w:r w:rsidRPr="00657F18">
        <w:t>care quality and outcomes. This evaluation was designed to evaluate their potential overall health and economic impact</w:t>
      </w:r>
      <w:r w:rsidR="00AC6022" w:rsidRPr="00722F9C">
        <w:t>.</w:t>
      </w:r>
      <w:r w:rsidRPr="00392788">
        <w:t xml:space="preserve"> </w:t>
      </w:r>
      <w:r w:rsidR="00AC6022" w:rsidRPr="00392788">
        <w:t>E</w:t>
      </w:r>
      <w:r w:rsidRPr="00392788">
        <w:t xml:space="preserve">stimates of improvements to quality of life and direct service costs avoided </w:t>
      </w:r>
      <w:r w:rsidR="00AC6022" w:rsidRPr="00392788">
        <w:t>were used</w:t>
      </w:r>
      <w:r w:rsidRPr="00392788">
        <w:t>.</w:t>
      </w:r>
      <w:r w:rsidR="00BD68CF" w:rsidRPr="00392788">
        <w:t xml:space="preserve"> </w:t>
      </w:r>
      <w:r w:rsidRPr="00392788">
        <w:t>Interviews and</w:t>
      </w:r>
      <w:r w:rsidR="009561A7" w:rsidRPr="00392788">
        <w:t xml:space="preserve"> a</w:t>
      </w:r>
      <w:r w:rsidRPr="00392788">
        <w:t xml:space="preserve"> literature review were </w:t>
      </w:r>
      <w:r w:rsidR="00AC6022" w:rsidRPr="00392788">
        <w:t xml:space="preserve">also </w:t>
      </w:r>
      <w:r w:rsidRPr="00392788">
        <w:t xml:space="preserve">performed to understand the unique ways </w:t>
      </w:r>
      <w:r w:rsidR="00AC6022" w:rsidRPr="00392788">
        <w:t xml:space="preserve">in which </w:t>
      </w:r>
      <w:r w:rsidR="00F7026A" w:rsidRPr="00392788">
        <w:t>n</w:t>
      </w:r>
      <w:r w:rsidRPr="00392788">
        <w:t>etworks add value to the clinical trial process.</w:t>
      </w:r>
      <w:r w:rsidR="00BD68CF" w:rsidRPr="00392788">
        <w:t xml:space="preserve"> </w:t>
      </w:r>
    </w:p>
    <w:p w14:paraId="0EA6F97C" w14:textId="77777777" w:rsidR="007B47AB" w:rsidRDefault="007B47AB" w:rsidP="00392788">
      <w:pPr>
        <w:pStyle w:val="Commissionbodytext"/>
      </w:pPr>
    </w:p>
    <w:p w14:paraId="64877737" w14:textId="40EF1C79" w:rsidR="007B47AB" w:rsidRDefault="0084585C" w:rsidP="00392788">
      <w:pPr>
        <w:pStyle w:val="Commissionbodytext"/>
      </w:pPr>
      <w:r w:rsidRPr="00657F18">
        <w:t xml:space="preserve">A selection of three Australian </w:t>
      </w:r>
      <w:r w:rsidR="00F7026A" w:rsidRPr="00722F9C">
        <w:t>n</w:t>
      </w:r>
      <w:r w:rsidRPr="00392788">
        <w:t>etworks were included</w:t>
      </w:r>
      <w:r w:rsidR="00AC6022" w:rsidRPr="00392788">
        <w:t xml:space="preserve"> in the evaluation</w:t>
      </w:r>
      <w:r w:rsidRPr="00392788">
        <w:t xml:space="preserve"> based on their maturity, </w:t>
      </w:r>
      <w:r w:rsidR="00AC6022" w:rsidRPr="00392788">
        <w:t>level</w:t>
      </w:r>
      <w:r w:rsidRPr="00392788">
        <w:t xml:space="preserve"> of local investment and </w:t>
      </w:r>
      <w:r w:rsidR="00AC6022" w:rsidRPr="00392788">
        <w:t xml:space="preserve">availability </w:t>
      </w:r>
      <w:r w:rsidRPr="00392788">
        <w:t>to participate</w:t>
      </w:r>
      <w:r w:rsidR="007B47AB">
        <w:t>:</w:t>
      </w:r>
      <w:r w:rsidR="00116D03" w:rsidRPr="00722F9C">
        <w:t xml:space="preserve"> </w:t>
      </w:r>
    </w:p>
    <w:p w14:paraId="2C2F4819" w14:textId="30243702" w:rsidR="007B47AB" w:rsidRPr="00722F9C" w:rsidRDefault="0084585C" w:rsidP="00615DF0">
      <w:pPr>
        <w:pStyle w:val="ListNumber"/>
        <w:numPr>
          <w:ilvl w:val="0"/>
          <w:numId w:val="14"/>
        </w:numPr>
      </w:pPr>
      <w:r w:rsidRPr="00657F18">
        <w:t>Australasian Stroke Trials Network (ASTN)</w:t>
      </w:r>
    </w:p>
    <w:p w14:paraId="2F8367BF" w14:textId="72A35FD9" w:rsidR="007B47AB" w:rsidRPr="00657F18" w:rsidRDefault="00184AEB" w:rsidP="00392788">
      <w:pPr>
        <w:pStyle w:val="ListNumber"/>
      </w:pPr>
      <w:r w:rsidRPr="00392788">
        <w:t xml:space="preserve">Interdisciplinary Maternal </w:t>
      </w:r>
      <w:r w:rsidR="0084585C" w:rsidRPr="00392788">
        <w:t>Perinatal</w:t>
      </w:r>
      <w:r w:rsidRPr="00392788">
        <w:t xml:space="preserve"> Australasian Collaborative </w:t>
      </w:r>
      <w:r w:rsidR="00116D03" w:rsidRPr="00392788">
        <w:t>Trials (IMPACT) Network</w:t>
      </w:r>
    </w:p>
    <w:p w14:paraId="3D5F0C27" w14:textId="3AE6A83A" w:rsidR="00D54F94" w:rsidRPr="00392788" w:rsidRDefault="0084585C" w:rsidP="00392788">
      <w:pPr>
        <w:pStyle w:val="ListNumber"/>
      </w:pPr>
      <w:r w:rsidRPr="00392788">
        <w:t>Australian and New Zealand Intensive Care Society Clinical Trials Group (ANZICS CTG).</w:t>
      </w:r>
      <w:r w:rsidR="00116D03" w:rsidRPr="00392788">
        <w:t xml:space="preserve"> </w:t>
      </w:r>
    </w:p>
    <w:p w14:paraId="2CB4B688" w14:textId="77777777" w:rsidR="00996BE6" w:rsidRDefault="00996BE6" w:rsidP="00392788">
      <w:pPr>
        <w:pStyle w:val="Commissionbodytext"/>
        <w:rPr>
          <w:bCs/>
          <w:iCs/>
        </w:rPr>
      </w:pPr>
      <w:r>
        <w:rPr>
          <w:bCs/>
          <w:iCs/>
        </w:rPr>
        <w:br w:type="page"/>
      </w:r>
    </w:p>
    <w:p w14:paraId="1C3E6F2A" w14:textId="457F488B" w:rsidR="008B6070" w:rsidRDefault="008B6070" w:rsidP="008B6070">
      <w:pPr>
        <w:pStyle w:val="Commissionbodytext"/>
      </w:pPr>
      <w:r w:rsidRPr="00392788">
        <w:lastRenderedPageBreak/>
        <w:t>In total, 25 high-impact clinical trials were evaluated across the three networks. If the results of these trials were implemented in 65% of the eligible Australian patient population</w:t>
      </w:r>
      <w:r w:rsidR="002F38F6">
        <w:t>s</w:t>
      </w:r>
      <w:r w:rsidRPr="00392788">
        <w:t xml:space="preserve"> for one year: </w:t>
      </w:r>
    </w:p>
    <w:p w14:paraId="223B5376" w14:textId="77777777" w:rsidR="008B6070" w:rsidRPr="00657F18" w:rsidRDefault="008B6070" w:rsidP="008B6070">
      <w:pPr>
        <w:pStyle w:val="Commissionbodytext"/>
      </w:pPr>
    </w:p>
    <w:p w14:paraId="58FD87FE" w14:textId="77777777" w:rsidR="008B6070" w:rsidRPr="00392788" w:rsidRDefault="008B6070" w:rsidP="008B6070">
      <w:pPr>
        <w:pStyle w:val="Commissionbullets"/>
      </w:pPr>
      <w:r w:rsidRPr="00722F9C">
        <w:t>The gross be</w:t>
      </w:r>
      <w:r w:rsidRPr="00392788">
        <w:t>nefit would be approximately $2 billion (2014 dollars) measured through better health outcomes and reduced health service costs</w:t>
      </w:r>
    </w:p>
    <w:p w14:paraId="115708F9" w14:textId="77777777" w:rsidR="008B6070" w:rsidRDefault="008B6070" w:rsidP="008B6070">
      <w:pPr>
        <w:pStyle w:val="Commissionbullets"/>
      </w:pPr>
      <w:r w:rsidRPr="00392788">
        <w:t xml:space="preserve">Reductions in health service costs </w:t>
      </w:r>
      <w:r>
        <w:t xml:space="preserve">would </w:t>
      </w:r>
      <w:r w:rsidRPr="00392788">
        <w:t>account for 30% ($580 million) of the gross benefit</w:t>
      </w:r>
      <w:r>
        <w:t>,</w:t>
      </w:r>
      <w:r w:rsidRPr="00392788">
        <w:t xml:space="preserve"> and this alone </w:t>
      </w:r>
      <w:r>
        <w:t>would exceed</w:t>
      </w:r>
      <w:r w:rsidRPr="00392788">
        <w:t xml:space="preserve"> </w:t>
      </w:r>
      <w:r>
        <w:t xml:space="preserve">the </w:t>
      </w:r>
      <w:r w:rsidRPr="00392788">
        <w:t>total costs for the three networks and all of their research activity from 2004 to 2014</w:t>
      </w:r>
      <w:r>
        <w:t>.</w:t>
      </w:r>
    </w:p>
    <w:p w14:paraId="52FFE8EF" w14:textId="77777777" w:rsidR="008B6070" w:rsidRDefault="008B6070" w:rsidP="008B6070">
      <w:pPr>
        <w:pStyle w:val="Commissionbodytext"/>
      </w:pPr>
    </w:p>
    <w:p w14:paraId="3E9806AB" w14:textId="77777777" w:rsidR="008B6070" w:rsidRDefault="008B6070" w:rsidP="008B6070">
      <w:pPr>
        <w:pStyle w:val="Commissionbodytext"/>
      </w:pPr>
      <w:r>
        <w:t>The report also finds:</w:t>
      </w:r>
    </w:p>
    <w:p w14:paraId="38320D96" w14:textId="77777777" w:rsidR="00A91EF0" w:rsidRPr="00392788" w:rsidRDefault="00A91EF0" w:rsidP="008B6070">
      <w:pPr>
        <w:pStyle w:val="Commissionbodytext"/>
      </w:pPr>
    </w:p>
    <w:p w14:paraId="6944B2E6" w14:textId="77777777" w:rsidR="008B6070" w:rsidRPr="00392788" w:rsidRDefault="008B6070" w:rsidP="008B6070">
      <w:pPr>
        <w:pStyle w:val="Commissionbodytext"/>
        <w:numPr>
          <w:ilvl w:val="0"/>
          <w:numId w:val="13"/>
        </w:numPr>
      </w:pPr>
      <w:r w:rsidRPr="00392788">
        <w:t>The overall consolidated benefit-to-cost ratio for the networks is 5.8:1, or a return of $5.80 for every $1 invested</w:t>
      </w:r>
    </w:p>
    <w:p w14:paraId="0B900729" w14:textId="77777777" w:rsidR="008B6070" w:rsidRPr="00392788" w:rsidRDefault="008B6070" w:rsidP="008B6070">
      <w:pPr>
        <w:pStyle w:val="Commissionbodytext"/>
        <w:numPr>
          <w:ilvl w:val="0"/>
          <w:numId w:val="13"/>
        </w:numPr>
      </w:pPr>
      <w:r>
        <w:t xml:space="preserve">The results of the 25 trials only needed to </w:t>
      </w:r>
      <w:r w:rsidRPr="00392788">
        <w:t>be implemented in 11% of the eligible patient population</w:t>
      </w:r>
      <w:r>
        <w:t>s</w:t>
      </w:r>
      <w:r w:rsidRPr="00392788">
        <w:t xml:space="preserve"> for benefits to exceed costs</w:t>
      </w:r>
    </w:p>
    <w:p w14:paraId="2F6F6F0F" w14:textId="77777777" w:rsidR="008B6070" w:rsidRPr="00392788" w:rsidRDefault="008B6070" w:rsidP="008B6070">
      <w:pPr>
        <w:pStyle w:val="Commissionbodytext"/>
        <w:numPr>
          <w:ilvl w:val="0"/>
          <w:numId w:val="13"/>
        </w:numPr>
      </w:pPr>
      <w:r>
        <w:t>For every $1 awarded in National Health and Medical Research Council (NHMRC)</w:t>
      </w:r>
      <w:r w:rsidRPr="00392788">
        <w:t xml:space="preserve"> grants to the 25 trials</w:t>
      </w:r>
      <w:r>
        <w:t xml:space="preserve">, a return of </w:t>
      </w:r>
      <w:r w:rsidRPr="00392788">
        <w:t xml:space="preserve">$51.10 </w:t>
      </w:r>
      <w:r>
        <w:t>was achieved</w:t>
      </w:r>
    </w:p>
    <w:p w14:paraId="61047102" w14:textId="26CA4417" w:rsidR="008B6070" w:rsidRDefault="008B6070" w:rsidP="008B6070">
      <w:pPr>
        <w:pStyle w:val="Commissionbodytext"/>
        <w:numPr>
          <w:ilvl w:val="0"/>
          <w:numId w:val="13"/>
        </w:numPr>
      </w:pPr>
      <w:r w:rsidRPr="00392788">
        <w:t xml:space="preserve">Just 9% of the </w:t>
      </w:r>
      <w:r>
        <w:t xml:space="preserve">$2 billion </w:t>
      </w:r>
      <w:r w:rsidRPr="00392788">
        <w:t xml:space="preserve">gross benefit from the trials in this study </w:t>
      </w:r>
      <w:r>
        <w:t xml:space="preserve">was equivalent to </w:t>
      </w:r>
      <w:r w:rsidRPr="00392788">
        <w:t>all NHMRC funding received by all Australian networks between 2004 and 2014</w:t>
      </w:r>
    </w:p>
    <w:p w14:paraId="687C3CFC" w14:textId="08E3E851" w:rsidR="00D54F94" w:rsidRPr="00F009D8" w:rsidRDefault="007B47AB" w:rsidP="00392788">
      <w:pPr>
        <w:pStyle w:val="Commissionbullets"/>
        <w:rPr>
          <w:rStyle w:val="Strong"/>
          <w:b w:val="0"/>
        </w:rPr>
      </w:pPr>
      <w:r>
        <w:rPr>
          <w:rStyle w:val="Strong"/>
          <w:b w:val="0"/>
        </w:rPr>
        <w:t>T</w:t>
      </w:r>
      <w:r w:rsidR="00D54F94" w:rsidRPr="00F009D8">
        <w:rPr>
          <w:rStyle w:val="Strong"/>
          <w:b w:val="0"/>
        </w:rPr>
        <w:t>rials conducted by networks influence clinical guidelines, identify ways to improve safety and quality and identify opportunities for more efficient resource use</w:t>
      </w:r>
    </w:p>
    <w:p w14:paraId="5E2612A6" w14:textId="2A5424BF" w:rsidR="00D54F94" w:rsidRPr="00395A04" w:rsidRDefault="007B47AB" w:rsidP="00392788">
      <w:pPr>
        <w:pStyle w:val="Commissionbullets"/>
        <w:rPr>
          <w:rStyle w:val="Strong"/>
          <w:b w:val="0"/>
        </w:rPr>
      </w:pPr>
      <w:r>
        <w:rPr>
          <w:rStyle w:val="Strong"/>
          <w:b w:val="0"/>
        </w:rPr>
        <w:t>I</w:t>
      </w:r>
      <w:r w:rsidR="00D54F94" w:rsidRPr="00F009D8">
        <w:rPr>
          <w:rStyle w:val="Strong"/>
          <w:b w:val="0"/>
        </w:rPr>
        <w:t>ncreasing implementation of trial evidence into practice can lead to considerable additional health and economic gains</w:t>
      </w:r>
      <w:r w:rsidR="0067558F" w:rsidRPr="00F009D8">
        <w:rPr>
          <w:rStyle w:val="Strong"/>
          <w:b w:val="0"/>
        </w:rPr>
        <w:t>.</w:t>
      </w:r>
    </w:p>
    <w:p w14:paraId="6E1D9982" w14:textId="77777777" w:rsidR="007B47AB" w:rsidRDefault="007B47AB" w:rsidP="00EE7152">
      <w:pPr>
        <w:spacing w:before="0" w:after="0" w:line="240" w:lineRule="auto"/>
        <w:rPr>
          <w:rFonts w:eastAsia="Times New Roman" w:cs="Times New Roman"/>
          <w:lang w:val="en-AU" w:eastAsia="en-AU"/>
        </w:rPr>
      </w:pPr>
    </w:p>
    <w:p w14:paraId="0B1FD8B5" w14:textId="79128B80" w:rsidR="00536309" w:rsidRDefault="00536309" w:rsidP="00392788">
      <w:pPr>
        <w:pStyle w:val="Commissionbodytext"/>
      </w:pPr>
      <w:r w:rsidRPr="00657F18">
        <w:t xml:space="preserve">These findings are indicative of the potential size of health and economic benefit of clinical trials conducted through Australian </w:t>
      </w:r>
      <w:r w:rsidR="00F7026A" w:rsidRPr="00722F9C">
        <w:t>n</w:t>
      </w:r>
      <w:r w:rsidRPr="00392788">
        <w:t>etworks and represent the starting point for further evaluation. Measurement of the full size of in-kind support within trials</w:t>
      </w:r>
      <w:r w:rsidR="00046EB8" w:rsidRPr="00392788">
        <w:t>,</w:t>
      </w:r>
      <w:r w:rsidR="008A31E2" w:rsidRPr="00392788">
        <w:t xml:space="preserve"> for example</w:t>
      </w:r>
      <w:r w:rsidR="00046EB8" w:rsidRPr="00392788">
        <w:t>,</w:t>
      </w:r>
      <w:r w:rsidRPr="00392788">
        <w:t xml:space="preserve"> and reliable measurement of the true percentage of implementation of trial evidence, w</w:t>
      </w:r>
      <w:r w:rsidR="00814EBD" w:rsidRPr="00392788">
        <w:t>ere</w:t>
      </w:r>
      <w:r w:rsidRPr="00392788">
        <w:t xml:space="preserve"> beyond the scope of this evaluation due to lack of readily available data.</w:t>
      </w:r>
    </w:p>
    <w:p w14:paraId="0A9752B1" w14:textId="77777777" w:rsidR="007B47AB" w:rsidRPr="00657F18" w:rsidRDefault="007B47AB" w:rsidP="00392788">
      <w:pPr>
        <w:pStyle w:val="Commissionbodytext"/>
      </w:pPr>
    </w:p>
    <w:p w14:paraId="2AC1E053" w14:textId="577E9EB7" w:rsidR="009B4D69" w:rsidRPr="00392788" w:rsidRDefault="0084585C" w:rsidP="00392788">
      <w:pPr>
        <w:pStyle w:val="Commissionbodytext"/>
      </w:pPr>
      <w:r w:rsidRPr="00722F9C">
        <w:t>Netw</w:t>
      </w:r>
      <w:r w:rsidRPr="00392788">
        <w:t xml:space="preserve">orks add value by ensuring highly relevant research questions are generated and the correct methodology is </w:t>
      </w:r>
      <w:r w:rsidR="00326D16" w:rsidRPr="00392788">
        <w:t>used</w:t>
      </w:r>
      <w:r w:rsidRPr="00392788">
        <w:t xml:space="preserve"> to answer these</w:t>
      </w:r>
      <w:r w:rsidR="00536309" w:rsidRPr="00392788">
        <w:t xml:space="preserve"> questions</w:t>
      </w:r>
      <w:r w:rsidRPr="00392788">
        <w:t>.</w:t>
      </w:r>
      <w:r w:rsidR="00BD68CF" w:rsidRPr="00392788">
        <w:t xml:space="preserve"> </w:t>
      </w:r>
      <w:r w:rsidRPr="00392788">
        <w:t>They provide efficiency through established trial infr</w:t>
      </w:r>
      <w:r w:rsidR="00D579FE" w:rsidRPr="00392788">
        <w:t>astructure and</w:t>
      </w:r>
      <w:r w:rsidR="0023008E" w:rsidRPr="00392788">
        <w:t xml:space="preserve"> site-based</w:t>
      </w:r>
      <w:r w:rsidR="00D579FE" w:rsidRPr="00392788">
        <w:t xml:space="preserve"> par</w:t>
      </w:r>
      <w:r w:rsidR="0023008E" w:rsidRPr="00392788">
        <w:t xml:space="preserve">tnerships that provide </w:t>
      </w:r>
      <w:r w:rsidR="00D579FE" w:rsidRPr="00392788">
        <w:t xml:space="preserve">access to patients and </w:t>
      </w:r>
      <w:r w:rsidR="0023008E" w:rsidRPr="00392788">
        <w:t xml:space="preserve">specialised </w:t>
      </w:r>
      <w:r w:rsidR="00D579FE" w:rsidRPr="00392788">
        <w:t xml:space="preserve">trial coordination expertise </w:t>
      </w:r>
      <w:r w:rsidR="0023008E" w:rsidRPr="00392788">
        <w:t>and en</w:t>
      </w:r>
      <w:r w:rsidR="008A31E2" w:rsidRPr="00392788">
        <w:t>s</w:t>
      </w:r>
      <w:r w:rsidR="0023008E" w:rsidRPr="00392788">
        <w:t>ur</w:t>
      </w:r>
      <w:r w:rsidR="00184AEB" w:rsidRPr="00392788">
        <w:t>e</w:t>
      </w:r>
      <w:r w:rsidR="0023008E" w:rsidRPr="00392788">
        <w:t xml:space="preserve"> capacity through the training and career development</w:t>
      </w:r>
      <w:r w:rsidRPr="00392788">
        <w:t xml:space="preserve"> </w:t>
      </w:r>
      <w:r w:rsidR="0023008E" w:rsidRPr="00392788">
        <w:t xml:space="preserve">of </w:t>
      </w:r>
      <w:r w:rsidRPr="00392788">
        <w:t>trial experts (trialists)</w:t>
      </w:r>
      <w:r w:rsidR="0023008E" w:rsidRPr="00392788">
        <w:t xml:space="preserve">. </w:t>
      </w:r>
      <w:r w:rsidRPr="00392788">
        <w:t xml:space="preserve">Networks are likely to enhance the implementation of evidence into practice, as they are composed of </w:t>
      </w:r>
      <w:r w:rsidR="00536309" w:rsidRPr="00392788">
        <w:t xml:space="preserve">a </w:t>
      </w:r>
      <w:r w:rsidRPr="00392788">
        <w:t xml:space="preserve">large number of practicing clinicians </w:t>
      </w:r>
      <w:r w:rsidR="00326D16" w:rsidRPr="00392788">
        <w:t>that</w:t>
      </w:r>
      <w:r w:rsidRPr="00392788">
        <w:t xml:space="preserve"> co</w:t>
      </w:r>
      <w:r w:rsidR="00536309" w:rsidRPr="00392788">
        <w:t>ordinate</w:t>
      </w:r>
      <w:r w:rsidRPr="00392788">
        <w:t xml:space="preserve"> dissemination and knowledge sharing activities.</w:t>
      </w:r>
      <w:r w:rsidR="00814EBD" w:rsidRPr="00392788">
        <w:t xml:space="preserve"> </w:t>
      </w:r>
      <w:r w:rsidR="007F7652" w:rsidRPr="00392788">
        <w:t>N</w:t>
      </w:r>
      <w:r w:rsidRPr="00392788">
        <w:t xml:space="preserve">etworks describe missed opportunities </w:t>
      </w:r>
      <w:r w:rsidR="00E956EF" w:rsidRPr="00392788">
        <w:t xml:space="preserve">to </w:t>
      </w:r>
      <w:r w:rsidRPr="00392788">
        <w:t>maximi</w:t>
      </w:r>
      <w:r w:rsidR="00536309" w:rsidRPr="00392788">
        <w:t>s</w:t>
      </w:r>
      <w:r w:rsidR="00E956EF" w:rsidRPr="00392788">
        <w:t>e</w:t>
      </w:r>
      <w:r w:rsidRPr="00392788">
        <w:t xml:space="preserve"> these impacts</w:t>
      </w:r>
      <w:r w:rsidR="00046EB8" w:rsidRPr="00392788">
        <w:t>,</w:t>
      </w:r>
      <w:r w:rsidR="007F7652" w:rsidRPr="00392788">
        <w:t xml:space="preserve"> however</w:t>
      </w:r>
      <w:r w:rsidRPr="00392788">
        <w:t xml:space="preserve">, </w:t>
      </w:r>
      <w:r w:rsidR="00E956EF" w:rsidRPr="00392788">
        <w:t xml:space="preserve">related in large part to reliance </w:t>
      </w:r>
      <w:r w:rsidRPr="00392788">
        <w:t>on considerable in-kind contributions by clinicians and other experts</w:t>
      </w:r>
      <w:r w:rsidR="00E956EF" w:rsidRPr="00392788">
        <w:t xml:space="preserve"> </w:t>
      </w:r>
      <w:r w:rsidRPr="00392788">
        <w:t xml:space="preserve">to enable trials to be undertaken. </w:t>
      </w:r>
    </w:p>
    <w:p w14:paraId="2BD0D4B7" w14:textId="77777777" w:rsidR="00996BE6" w:rsidRDefault="00996BE6">
      <w:pPr>
        <w:spacing w:before="0" w:after="200" w:line="276" w:lineRule="auto"/>
        <w:rPr>
          <w:rFonts w:ascii="Franklin Gothic Heavy" w:eastAsiaTheme="majorEastAsia" w:hAnsi="Franklin Gothic Heavy" w:cstheme="majorBidi"/>
          <w:bCs/>
          <w:color w:val="2F5496" w:themeColor="accent5" w:themeShade="BF"/>
          <w:spacing w:val="20"/>
          <w:sz w:val="36"/>
          <w:szCs w:val="28"/>
        </w:rPr>
      </w:pPr>
      <w:r>
        <w:br w:type="page"/>
      </w:r>
    </w:p>
    <w:p w14:paraId="496FCC0A" w14:textId="31245ED8" w:rsidR="00806F6A" w:rsidRDefault="0036274F" w:rsidP="00E11C81">
      <w:pPr>
        <w:pStyle w:val="Heading1"/>
        <w:spacing w:before="120" w:after="240"/>
      </w:pPr>
      <w:bookmarkStart w:id="8" w:name="_Toc487184520"/>
      <w:r>
        <w:lastRenderedPageBreak/>
        <w:t>Background and o</w:t>
      </w:r>
      <w:r w:rsidR="00F27685">
        <w:t>bjec</w:t>
      </w:r>
      <w:r w:rsidR="00F27685" w:rsidRPr="00915516">
        <w:rPr>
          <w:color w:val="2F5496"/>
        </w:rPr>
        <w:t>tives</w:t>
      </w:r>
      <w:bookmarkEnd w:id="8"/>
    </w:p>
    <w:p w14:paraId="439A0EFD" w14:textId="2F9BBE01" w:rsidR="005114F1" w:rsidRDefault="005114F1" w:rsidP="00392788">
      <w:pPr>
        <w:pStyle w:val="Commissionbodytext"/>
      </w:pPr>
      <w:r w:rsidRPr="00657F18">
        <w:t>T</w:t>
      </w:r>
      <w:r w:rsidR="007921FA" w:rsidRPr="00722F9C">
        <w:t>his section provides a brief outline of the different types of clinical trials, the structure and functions of clinical trials networks</w:t>
      </w:r>
      <w:r w:rsidR="007921FA" w:rsidRPr="00392788">
        <w:t xml:space="preserve"> and current thinking about the role and value of clinical trials within a quality-driven health system.</w:t>
      </w:r>
    </w:p>
    <w:p w14:paraId="4957A33C" w14:textId="77777777" w:rsidR="007B47AB" w:rsidRPr="00657F18" w:rsidRDefault="007B47AB" w:rsidP="00392788">
      <w:pPr>
        <w:pStyle w:val="Commissionbodytext"/>
      </w:pPr>
    </w:p>
    <w:p w14:paraId="3ED573A9" w14:textId="72793C04" w:rsidR="00E210C4" w:rsidRDefault="00FC7F32" w:rsidP="00392788">
      <w:pPr>
        <w:pStyle w:val="Commissionbodytext"/>
      </w:pPr>
      <w:r w:rsidRPr="00722F9C">
        <w:t>The delivery of high</w:t>
      </w:r>
      <w:r w:rsidR="00B16068" w:rsidRPr="00392788">
        <w:t>-</w:t>
      </w:r>
      <w:r w:rsidRPr="00392788">
        <w:t xml:space="preserve">quality health care relies on the availability of </w:t>
      </w:r>
      <w:r w:rsidR="00060594" w:rsidRPr="00392788">
        <w:t xml:space="preserve">reliable </w:t>
      </w:r>
      <w:r w:rsidRPr="00392788">
        <w:t>evidence to inform best practice. Historically</w:t>
      </w:r>
      <w:r w:rsidR="007707FA" w:rsidRPr="00392788">
        <w:t>,</w:t>
      </w:r>
      <w:r w:rsidRPr="00392788">
        <w:t xml:space="preserve"> </w:t>
      </w:r>
      <w:r w:rsidR="00836C72" w:rsidRPr="00392788">
        <w:t>evidence</w:t>
      </w:r>
      <w:r w:rsidR="000B737F" w:rsidRPr="00392788">
        <w:t>-</w:t>
      </w:r>
      <w:r w:rsidR="00836C72" w:rsidRPr="00392788">
        <w:t>generating activities</w:t>
      </w:r>
      <w:r w:rsidR="00FC749F" w:rsidRPr="00392788">
        <w:t xml:space="preserve"> </w:t>
      </w:r>
      <w:r w:rsidR="00574DCA" w:rsidRPr="00392788">
        <w:t>(</w:t>
      </w:r>
      <w:r w:rsidR="00FC749F" w:rsidRPr="00392788">
        <w:t xml:space="preserve">such as </w:t>
      </w:r>
      <w:r w:rsidR="000B737F" w:rsidRPr="00392788">
        <w:t xml:space="preserve">clinical </w:t>
      </w:r>
      <w:r w:rsidR="00FC749F" w:rsidRPr="00392788">
        <w:t>trials</w:t>
      </w:r>
      <w:r w:rsidR="00574DCA" w:rsidRPr="00392788">
        <w:t>)</w:t>
      </w:r>
      <w:r w:rsidR="00FC749F" w:rsidRPr="00392788">
        <w:t xml:space="preserve"> </w:t>
      </w:r>
      <w:r w:rsidR="00836C72" w:rsidRPr="00392788">
        <w:t xml:space="preserve">have been carried </w:t>
      </w:r>
      <w:r w:rsidR="00FC749F" w:rsidRPr="00392788">
        <w:t xml:space="preserve">out </w:t>
      </w:r>
      <w:r w:rsidR="00836C72" w:rsidRPr="00392788">
        <w:t>separate</w:t>
      </w:r>
      <w:r w:rsidR="00574DCA" w:rsidRPr="00392788">
        <w:t>ly</w:t>
      </w:r>
      <w:r w:rsidR="00836C72" w:rsidRPr="00392788">
        <w:t xml:space="preserve"> </w:t>
      </w:r>
      <w:r w:rsidR="00FC749F" w:rsidRPr="00392788">
        <w:t xml:space="preserve">to other </w:t>
      </w:r>
      <w:r w:rsidR="005C3A66" w:rsidRPr="00392788">
        <w:t>aspects of the</w:t>
      </w:r>
      <w:r w:rsidR="00836C72" w:rsidRPr="00392788">
        <w:t xml:space="preserve"> health</w:t>
      </w:r>
      <w:r w:rsidR="00A61F57" w:rsidRPr="00392788">
        <w:t>care</w:t>
      </w:r>
      <w:r w:rsidR="00836C72" w:rsidRPr="00392788">
        <w:t xml:space="preserve"> system</w:t>
      </w:r>
      <w:r w:rsidR="00F73A52" w:rsidRPr="00392788">
        <w:t xml:space="preserve"> </w:t>
      </w:r>
      <w:r w:rsidR="00574DCA" w:rsidRPr="00392788">
        <w:t>(</w:t>
      </w:r>
      <w:r w:rsidR="00F73A52" w:rsidRPr="00392788">
        <w:t>such as measurement of health outcomes or development of safety and quality</w:t>
      </w:r>
      <w:r w:rsidR="00574DCA" w:rsidRPr="00392788">
        <w:t xml:space="preserve"> policies)</w:t>
      </w:r>
      <w:r w:rsidR="00F73A52" w:rsidRPr="00392788">
        <w:t>.</w:t>
      </w:r>
      <w:r w:rsidR="00BD68CF" w:rsidRPr="00392788">
        <w:t xml:space="preserve"> </w:t>
      </w:r>
      <w:r w:rsidR="00836C72" w:rsidRPr="00392788">
        <w:t>G</w:t>
      </w:r>
      <w:r w:rsidRPr="00392788">
        <w:t xml:space="preserve">overnments are increasingly looking to foster greater coordination and systematic integration of these efforts in order to build self-improving </w:t>
      </w:r>
      <w:r w:rsidR="00B47599" w:rsidRPr="00392788">
        <w:t xml:space="preserve">systems </w:t>
      </w:r>
      <w:r w:rsidRPr="00392788">
        <w:t>of health</w:t>
      </w:r>
      <w:r w:rsidR="00C229CD">
        <w:t xml:space="preserve"> </w:t>
      </w:r>
      <w:r w:rsidRPr="00657F18">
        <w:t>care.</w:t>
      </w:r>
      <w:r w:rsidR="00BD68CF" w:rsidRPr="00722F9C">
        <w:t xml:space="preserve"> </w:t>
      </w:r>
      <w:r w:rsidR="00FF2693" w:rsidRPr="00392788">
        <w:t>Such systems are thought to deliver better outcomes and better value.</w:t>
      </w:r>
    </w:p>
    <w:p w14:paraId="30964DF4" w14:textId="77777777" w:rsidR="007B47AB" w:rsidRPr="00657F18" w:rsidRDefault="007B47AB" w:rsidP="00392788">
      <w:pPr>
        <w:pStyle w:val="Commissionbodytext"/>
      </w:pPr>
    </w:p>
    <w:p w14:paraId="6EE69160" w14:textId="2ADE3470" w:rsidR="007707FA" w:rsidRDefault="00B47599" w:rsidP="00392788">
      <w:pPr>
        <w:pStyle w:val="Commissionbodytext"/>
      </w:pPr>
      <w:r w:rsidRPr="00722F9C">
        <w:t xml:space="preserve">In a self-improving </w:t>
      </w:r>
      <w:r w:rsidR="000452E4" w:rsidRPr="00392788">
        <w:t>system</w:t>
      </w:r>
      <w:r w:rsidR="007707FA" w:rsidRPr="00392788">
        <w:t xml:space="preserve"> </w:t>
      </w:r>
      <w:r w:rsidR="00604D8D" w:rsidRPr="00392788">
        <w:t>(</w:t>
      </w:r>
      <w:r w:rsidR="00604D8D" w:rsidRPr="00392788">
        <w:fldChar w:fldCharType="begin"/>
      </w:r>
      <w:r w:rsidR="00604D8D" w:rsidRPr="00392788">
        <w:instrText xml:space="preserve"> REF _Ref482005630 \h </w:instrText>
      </w:r>
      <w:r w:rsidR="00062974">
        <w:instrText xml:space="preserve"> \* MERGEFORMAT </w:instrText>
      </w:r>
      <w:r w:rsidR="00604D8D" w:rsidRPr="00392788">
        <w:fldChar w:fldCharType="separate"/>
      </w:r>
      <w:r w:rsidR="007B3054">
        <w:t>Figure 1</w:t>
      </w:r>
      <w:r w:rsidR="00604D8D" w:rsidRPr="00392788">
        <w:fldChar w:fldCharType="end"/>
      </w:r>
      <w:r w:rsidR="00604D8D" w:rsidRPr="00392788">
        <w:t xml:space="preserve">) </w:t>
      </w:r>
      <w:r w:rsidR="000452E4" w:rsidRPr="00392788">
        <w:t>activities designed to investigate</w:t>
      </w:r>
      <w:r w:rsidR="00FC749F" w:rsidRPr="00392788">
        <w:t xml:space="preserve"> </w:t>
      </w:r>
      <w:r w:rsidR="005C3A66" w:rsidRPr="00392788">
        <w:t xml:space="preserve">and produce </w:t>
      </w:r>
      <w:r w:rsidR="00FC749F" w:rsidRPr="00392788">
        <w:t>evidence</w:t>
      </w:r>
      <w:r w:rsidR="005C3A66" w:rsidRPr="00392788">
        <w:t xml:space="preserve"> are embedded </w:t>
      </w:r>
      <w:r w:rsidR="00E37C63" w:rsidRPr="00392788">
        <w:t>alongside</w:t>
      </w:r>
      <w:r w:rsidR="005C3A66" w:rsidRPr="00392788">
        <w:t xml:space="preserve"> activities to</w:t>
      </w:r>
      <w:r w:rsidR="007707FA" w:rsidRPr="00392788">
        <w:t>:</w:t>
      </w:r>
      <w:r w:rsidR="00A61F57" w:rsidRPr="00392788">
        <w:t xml:space="preserve"> </w:t>
      </w:r>
    </w:p>
    <w:p w14:paraId="298E86D4" w14:textId="77777777" w:rsidR="007B47AB" w:rsidRPr="00657F18" w:rsidRDefault="007B47AB" w:rsidP="00392788">
      <w:pPr>
        <w:pStyle w:val="Commissionbodytext"/>
      </w:pPr>
    </w:p>
    <w:p w14:paraId="7CDB62B0" w14:textId="4AFD340C" w:rsidR="007707FA" w:rsidRPr="0058294C" w:rsidRDefault="00395A04" w:rsidP="00392788">
      <w:pPr>
        <w:pStyle w:val="Commissionbullets"/>
        <w:rPr>
          <w:rStyle w:val="Strong"/>
          <w:b w:val="0"/>
          <w:bCs w:val="0"/>
          <w:iCs/>
          <w:color w:val="auto"/>
          <w:lang w:val="en-US"/>
        </w:rPr>
      </w:pPr>
      <w:r>
        <w:rPr>
          <w:rStyle w:val="Strong"/>
          <w:b w:val="0"/>
        </w:rPr>
        <w:t>I</w:t>
      </w:r>
      <w:r w:rsidR="005C3A66" w:rsidRPr="00395A04">
        <w:rPr>
          <w:rStyle w:val="Strong"/>
          <w:b w:val="0"/>
        </w:rPr>
        <w:t>mplement</w:t>
      </w:r>
      <w:r w:rsidR="005C3A66" w:rsidRPr="0058294C">
        <w:rPr>
          <w:rStyle w:val="Strong"/>
          <w:bCs w:val="0"/>
          <w:iCs/>
          <w:color w:val="auto"/>
        </w:rPr>
        <w:t xml:space="preserve"> </w:t>
      </w:r>
      <w:r w:rsidR="005C3A66" w:rsidRPr="0058294C">
        <w:rPr>
          <w:rStyle w:val="Strong"/>
          <w:b w:val="0"/>
          <w:bCs w:val="0"/>
          <w:iCs/>
          <w:color w:val="auto"/>
        </w:rPr>
        <w:t>this evidence in</w:t>
      </w:r>
      <w:r w:rsidR="00585EF0" w:rsidRPr="0058294C">
        <w:rPr>
          <w:rStyle w:val="Strong"/>
          <w:b w:val="0"/>
          <w:bCs w:val="0"/>
          <w:iCs/>
          <w:color w:val="auto"/>
        </w:rPr>
        <w:t>to</w:t>
      </w:r>
      <w:r w:rsidR="005C3A66" w:rsidRPr="0058294C">
        <w:rPr>
          <w:rStyle w:val="Strong"/>
          <w:b w:val="0"/>
          <w:bCs w:val="0"/>
          <w:iCs/>
          <w:color w:val="auto"/>
        </w:rPr>
        <w:t xml:space="preserve"> practice</w:t>
      </w:r>
    </w:p>
    <w:p w14:paraId="134A965D" w14:textId="3FFDFEA4" w:rsidR="007707FA" w:rsidRDefault="00395A04" w:rsidP="00392788">
      <w:pPr>
        <w:pStyle w:val="Commissionbullets"/>
        <w:rPr>
          <w:rStyle w:val="Strong"/>
          <w:b w:val="0"/>
          <w:bCs w:val="0"/>
          <w:iCs/>
          <w:color w:val="auto"/>
        </w:rPr>
      </w:pPr>
      <w:r>
        <w:rPr>
          <w:rStyle w:val="Strong"/>
          <w:b w:val="0"/>
        </w:rPr>
        <w:t>M</w:t>
      </w:r>
      <w:r w:rsidR="005C3A66" w:rsidRPr="00395A04">
        <w:rPr>
          <w:rStyle w:val="Strong"/>
          <w:b w:val="0"/>
        </w:rPr>
        <w:t>easure</w:t>
      </w:r>
      <w:r w:rsidR="005C3A66" w:rsidRPr="0058294C">
        <w:rPr>
          <w:rStyle w:val="Strong"/>
          <w:bCs w:val="0"/>
          <w:iCs/>
          <w:color w:val="auto"/>
        </w:rPr>
        <w:t xml:space="preserve"> </w:t>
      </w:r>
      <w:r w:rsidR="00B80F08" w:rsidRPr="0058294C">
        <w:rPr>
          <w:rStyle w:val="Strong"/>
          <w:b w:val="0"/>
          <w:bCs w:val="0"/>
          <w:iCs/>
          <w:color w:val="auto"/>
        </w:rPr>
        <w:t>subsequent</w:t>
      </w:r>
      <w:r w:rsidR="00B80F08" w:rsidRPr="0058294C">
        <w:rPr>
          <w:rStyle w:val="Strong"/>
          <w:bCs w:val="0"/>
          <w:iCs/>
          <w:color w:val="auto"/>
        </w:rPr>
        <w:t xml:space="preserve"> </w:t>
      </w:r>
      <w:r w:rsidR="00BE5273" w:rsidRPr="0058294C">
        <w:rPr>
          <w:rStyle w:val="Strong"/>
          <w:b w:val="0"/>
          <w:bCs w:val="0"/>
          <w:iCs/>
          <w:color w:val="auto"/>
        </w:rPr>
        <w:t>treatment</w:t>
      </w:r>
      <w:r w:rsidR="00A61F57" w:rsidRPr="0058294C">
        <w:rPr>
          <w:rStyle w:val="Strong"/>
          <w:b w:val="0"/>
          <w:bCs w:val="0"/>
          <w:iCs/>
          <w:color w:val="auto"/>
        </w:rPr>
        <w:t>s</w:t>
      </w:r>
      <w:r w:rsidR="005C3A66" w:rsidRPr="0058294C">
        <w:rPr>
          <w:rStyle w:val="Strong"/>
          <w:b w:val="0"/>
          <w:bCs w:val="0"/>
          <w:iCs/>
          <w:color w:val="auto"/>
        </w:rPr>
        <w:t>, outcomes and variation within the system.</w:t>
      </w:r>
    </w:p>
    <w:p w14:paraId="0E1EAA94" w14:textId="77777777" w:rsidR="00C229CD" w:rsidRPr="0058294C" w:rsidRDefault="00C229CD" w:rsidP="00392788">
      <w:pPr>
        <w:pStyle w:val="Commissionbullets"/>
        <w:numPr>
          <w:ilvl w:val="0"/>
          <w:numId w:val="0"/>
        </w:numPr>
        <w:ind w:left="720"/>
        <w:rPr>
          <w:rStyle w:val="Strong"/>
          <w:b w:val="0"/>
          <w:bCs w:val="0"/>
          <w:iCs/>
          <w:color w:val="auto"/>
        </w:rPr>
      </w:pPr>
    </w:p>
    <w:p w14:paraId="77C99C7E" w14:textId="52F25E55" w:rsidR="00400DA8" w:rsidRDefault="002178F8" w:rsidP="00392788">
      <w:pPr>
        <w:pStyle w:val="Commissionbodytext"/>
        <w:rPr>
          <w:rFonts w:eastAsiaTheme="minorEastAsia"/>
          <w:b/>
          <w:bCs/>
          <w:color w:val="2F5496" w:themeColor="accent5" w:themeShade="BF"/>
          <w:spacing w:val="6"/>
          <w:szCs w:val="18"/>
          <w:lang w:bidi="hi-IN"/>
        </w:rPr>
      </w:pPr>
      <w:r>
        <w:t>For example, e</w:t>
      </w:r>
      <w:r w:rsidR="005C3A66" w:rsidRPr="00D85C9B">
        <w:t xml:space="preserve">vidence </w:t>
      </w:r>
      <w:r>
        <w:t>generated in</w:t>
      </w:r>
      <w:r w:rsidR="00F73A52">
        <w:t xml:space="preserve"> </w:t>
      </w:r>
      <w:r w:rsidR="005C3A66" w:rsidRPr="00D85C9B">
        <w:t>clinical trials</w:t>
      </w:r>
      <w:r w:rsidR="00585EF0">
        <w:t xml:space="preserve"> </w:t>
      </w:r>
      <w:r w:rsidR="0040524D">
        <w:t>may</w:t>
      </w:r>
      <w:r w:rsidR="005C3A66" w:rsidRPr="00D85C9B">
        <w:t xml:space="preserve"> inform the deve</w:t>
      </w:r>
      <w:r w:rsidR="00BE5273" w:rsidRPr="00BE5273">
        <w:t>lopment of clinical guidelines</w:t>
      </w:r>
      <w:r w:rsidR="00585EF0">
        <w:t xml:space="preserve">. Clinical quality registries </w:t>
      </w:r>
      <w:r w:rsidR="0040524D">
        <w:t>may</w:t>
      </w:r>
      <w:r w:rsidR="00585EF0">
        <w:t xml:space="preserve"> measure the</w:t>
      </w:r>
      <w:r w:rsidR="00BE5273">
        <w:t xml:space="preserve"> </w:t>
      </w:r>
      <w:r w:rsidR="00F73A52">
        <w:t>implementation of</w:t>
      </w:r>
      <w:r w:rsidR="00BE5273" w:rsidRPr="00BE5273">
        <w:t xml:space="preserve"> </w:t>
      </w:r>
      <w:r w:rsidR="00585EF0">
        <w:t>these guidelines</w:t>
      </w:r>
      <w:r w:rsidR="007707FA">
        <w:t xml:space="preserve"> and </w:t>
      </w:r>
      <w:r w:rsidR="00585EF0">
        <w:t xml:space="preserve">feed </w:t>
      </w:r>
      <w:r w:rsidR="007707FA">
        <w:t xml:space="preserve">this </w:t>
      </w:r>
      <w:r w:rsidR="00585EF0">
        <w:t xml:space="preserve">information </w:t>
      </w:r>
      <w:r w:rsidR="005C3A66" w:rsidRPr="00D85C9B">
        <w:t xml:space="preserve">back </w:t>
      </w:r>
      <w:r w:rsidR="00F73A52">
        <w:t xml:space="preserve">to </w:t>
      </w:r>
      <w:r w:rsidR="00585EF0">
        <w:t xml:space="preserve">stakeholders (including </w:t>
      </w:r>
      <w:r w:rsidR="00F73A52">
        <w:t>clinicians, policy makers</w:t>
      </w:r>
      <w:r w:rsidR="00585EF0">
        <w:t xml:space="preserve"> and researchers)</w:t>
      </w:r>
      <w:r w:rsidR="00F73A52">
        <w:t xml:space="preserve"> </w:t>
      </w:r>
      <w:r w:rsidR="00BE5273">
        <w:t xml:space="preserve">to </w:t>
      </w:r>
      <w:r w:rsidR="00585EF0">
        <w:t>inform clinical practice and decision</w:t>
      </w:r>
      <w:r w:rsidR="000B737F">
        <w:t>-</w:t>
      </w:r>
      <w:r w:rsidR="00585EF0">
        <w:t xml:space="preserve">making. This </w:t>
      </w:r>
      <w:r w:rsidR="0040524D">
        <w:t>may</w:t>
      </w:r>
      <w:r w:rsidR="007707FA">
        <w:t xml:space="preserve"> </w:t>
      </w:r>
      <w:r w:rsidR="00585EF0">
        <w:t xml:space="preserve">ultimately lead to improvements in practice and </w:t>
      </w:r>
      <w:r w:rsidR="00BE5273">
        <w:t>identif</w:t>
      </w:r>
      <w:r w:rsidR="00585EF0">
        <w:t>ication of</w:t>
      </w:r>
      <w:r w:rsidR="00BE5273" w:rsidRPr="00BE5273">
        <w:t xml:space="preserve"> new research topics</w:t>
      </w:r>
      <w:r w:rsidR="00B80F08">
        <w:t>.</w:t>
      </w:r>
      <w:bookmarkStart w:id="9" w:name="_Ref475266653"/>
    </w:p>
    <w:p w14:paraId="4B517237" w14:textId="10B1FC6D" w:rsidR="00D32D25" w:rsidRDefault="00163850" w:rsidP="00163850">
      <w:pPr>
        <w:pStyle w:val="Caption"/>
      </w:pPr>
      <w:bookmarkStart w:id="10" w:name="_Ref482005630"/>
      <w:bookmarkStart w:id="11" w:name="_Toc482629532"/>
      <w:bookmarkEnd w:id="9"/>
      <w:r>
        <w:t xml:space="preserve">Figure </w:t>
      </w:r>
      <w:fldSimple w:instr=" SEQ Figure \* ARABIC ">
        <w:r w:rsidR="007B3054">
          <w:rPr>
            <w:noProof/>
          </w:rPr>
          <w:t>1</w:t>
        </w:r>
      </w:fldSimple>
      <w:bookmarkEnd w:id="10"/>
      <w:r w:rsidRPr="007E2CC9">
        <w:rPr>
          <w:rStyle w:val="Strong"/>
        </w:rPr>
        <w:t>.</w:t>
      </w:r>
      <w:r>
        <w:rPr>
          <w:rStyle w:val="Strong"/>
        </w:rPr>
        <w:t xml:space="preserve"> </w:t>
      </w:r>
      <w:r>
        <w:t>A</w:t>
      </w:r>
      <w:r w:rsidRPr="00B74FDA">
        <w:t xml:space="preserve"> self-improving health</w:t>
      </w:r>
      <w:r>
        <w:t>care</w:t>
      </w:r>
      <w:r w:rsidRPr="00B74FDA">
        <w:t xml:space="preserve"> system</w:t>
      </w:r>
      <w:bookmarkEnd w:id="11"/>
    </w:p>
    <w:p w14:paraId="44804D9C" w14:textId="5E0B4723" w:rsidR="00A14460" w:rsidRDefault="00CC40C3" w:rsidP="00D32D25">
      <w:pPr>
        <w:pStyle w:val="Caption"/>
        <w:jc w:val="center"/>
      </w:pPr>
      <w:r>
        <w:rPr>
          <w:iCs/>
          <w:noProof/>
          <w:lang w:val="en-AU" w:eastAsia="en-AU" w:bidi="ar-SA"/>
        </w:rPr>
        <w:drawing>
          <wp:inline distT="0" distB="0" distL="0" distR="0" wp14:anchorId="31483955" wp14:editId="229111E2">
            <wp:extent cx="4701325" cy="3634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T_Venn_Commission.jpg"/>
                    <pic:cNvPicPr/>
                  </pic:nvPicPr>
                  <pic:blipFill rotWithShape="1">
                    <a:blip r:embed="rId22">
                      <a:extLst>
                        <a:ext uri="{28A0092B-C50C-407E-A947-70E740481C1C}">
                          <a14:useLocalDpi xmlns:a14="http://schemas.microsoft.com/office/drawing/2010/main" val="0"/>
                        </a:ext>
                      </a:extLst>
                    </a:blip>
                    <a:srcRect b="14960"/>
                    <a:stretch/>
                  </pic:blipFill>
                  <pic:spPr bwMode="auto">
                    <a:xfrm>
                      <a:off x="0" y="0"/>
                      <a:ext cx="4778108" cy="3694103"/>
                    </a:xfrm>
                    <a:prstGeom prst="rect">
                      <a:avLst/>
                    </a:prstGeom>
                    <a:ln>
                      <a:noFill/>
                    </a:ln>
                    <a:extLst>
                      <a:ext uri="{53640926-AAD7-44D8-BBD7-CCE9431645EC}">
                        <a14:shadowObscured xmlns:a14="http://schemas.microsoft.com/office/drawing/2010/main"/>
                      </a:ext>
                    </a:extLst>
                  </pic:spPr>
                </pic:pic>
              </a:graphicData>
            </a:graphic>
          </wp:inline>
        </w:drawing>
      </w:r>
      <w:r w:rsidRPr="00D85C9B" w:rsidDel="00165168">
        <w:rPr>
          <w:noProof/>
          <w:lang w:val="en-GB" w:bidi="ar-SA"/>
        </w:rPr>
        <w:t xml:space="preserve"> </w:t>
      </w:r>
    </w:p>
    <w:p w14:paraId="44BE1A3D" w14:textId="0D641BA6" w:rsidR="00806F6A" w:rsidRDefault="00806F6A" w:rsidP="00915516">
      <w:pPr>
        <w:pStyle w:val="Heading2"/>
      </w:pPr>
      <w:bookmarkStart w:id="12" w:name="_Toc487184521"/>
      <w:r>
        <w:lastRenderedPageBreak/>
        <w:t>Introduction to clinical trials</w:t>
      </w:r>
      <w:bookmarkEnd w:id="12"/>
      <w:r w:rsidR="00994D91">
        <w:t xml:space="preserve"> </w:t>
      </w:r>
    </w:p>
    <w:p w14:paraId="4C017CA9" w14:textId="5422D0BF" w:rsidR="00806F6A" w:rsidRDefault="00806F6A" w:rsidP="00392788">
      <w:pPr>
        <w:pStyle w:val="Commissionbodytext"/>
      </w:pPr>
      <w:r>
        <w:t>Clinical trials test the efficacy</w:t>
      </w:r>
      <w:r w:rsidR="00E37C63">
        <w:t xml:space="preserve">, effectiveness </w:t>
      </w:r>
      <w:r>
        <w:t xml:space="preserve">or cost-effectiveness of </w:t>
      </w:r>
      <w:r w:rsidR="002178F8">
        <w:t xml:space="preserve">healthcare </w:t>
      </w:r>
      <w:r>
        <w:t>intervention</w:t>
      </w:r>
      <w:r w:rsidR="00CF3F5E">
        <w:t>s</w:t>
      </w:r>
      <w:r w:rsidR="00395A04">
        <w:t>,</w:t>
      </w:r>
      <w:r>
        <w:t xml:space="preserve"> includ</w:t>
      </w:r>
      <w:r w:rsidR="00CF3F5E">
        <w:t>ing</w:t>
      </w:r>
      <w:r>
        <w:t xml:space="preserve"> preventive measures, treatments, care pathways and </w:t>
      </w:r>
      <w:r w:rsidR="00CF3F5E">
        <w:t xml:space="preserve">diagnostic </w:t>
      </w:r>
      <w:r>
        <w:t>tes</w:t>
      </w:r>
      <w:r w:rsidR="000D19CC">
        <w:t>ts</w:t>
      </w:r>
      <w:r w:rsidR="00E11C81">
        <w:t>. Often</w:t>
      </w:r>
      <w:r>
        <w:t xml:space="preserve"> trials will compare on</w:t>
      </w:r>
      <w:r w:rsidR="00E50E8E">
        <w:t xml:space="preserve">e intervention against another </w:t>
      </w:r>
      <w:r>
        <w:t>to see which is more effective or efficient in achie</w:t>
      </w:r>
      <w:r w:rsidR="00DF4CB7">
        <w:t>ving a desired outcome.</w:t>
      </w:r>
      <w:r>
        <w:t xml:space="preserve"> </w:t>
      </w:r>
      <w:r w:rsidR="00CF3F5E">
        <w:t>The most rigorous</w:t>
      </w:r>
      <w:r w:rsidR="00FE2830">
        <w:t>,</w:t>
      </w:r>
      <w:r w:rsidR="00CF3F5E">
        <w:t xml:space="preserve"> and therefore influential</w:t>
      </w:r>
      <w:r w:rsidR="00FE2830">
        <w:t>,</w:t>
      </w:r>
      <w:r w:rsidR="00CF3F5E">
        <w:t xml:space="preserve"> way to determine if a cause</w:t>
      </w:r>
      <w:r w:rsidR="00A668F0">
        <w:t>-</w:t>
      </w:r>
      <w:r w:rsidR="00CF3F5E">
        <w:t xml:space="preserve">effect relationship exists between a treatment and an outcome is for </w:t>
      </w:r>
      <w:r>
        <w:t xml:space="preserve">participants </w:t>
      </w:r>
      <w:r w:rsidR="00CF3F5E">
        <w:t>to be</w:t>
      </w:r>
      <w:r>
        <w:t xml:space="preserve"> randomly allocated to the intervention they receive</w:t>
      </w:r>
      <w:r w:rsidR="008A31E2">
        <w:t>.</w:t>
      </w:r>
      <w:r w:rsidR="00CF3F5E">
        <w:rPr>
          <w:rStyle w:val="FootnoteReference"/>
        </w:rPr>
        <w:footnoteReference w:id="2"/>
      </w:r>
      <w:r>
        <w:t xml:space="preserve"> This is</w:t>
      </w:r>
      <w:r w:rsidR="00CF3F5E">
        <w:t xml:space="preserve"> known as a randomised contro</w:t>
      </w:r>
      <w:r w:rsidR="00E37C63">
        <w:t>l</w:t>
      </w:r>
      <w:r w:rsidR="00CF3F5E">
        <w:t>l</w:t>
      </w:r>
      <w:r w:rsidR="00E37C63">
        <w:t>ed</w:t>
      </w:r>
      <w:r w:rsidR="00CF3F5E">
        <w:t xml:space="preserve"> trial (RCT).</w:t>
      </w:r>
      <w:r w:rsidR="00BD68CF">
        <w:t xml:space="preserve"> </w:t>
      </w:r>
    </w:p>
    <w:p w14:paraId="07A27D84" w14:textId="77777777" w:rsidR="00C229CD" w:rsidRDefault="00C229CD" w:rsidP="00392788">
      <w:pPr>
        <w:pStyle w:val="Commissionbodytext"/>
      </w:pPr>
    </w:p>
    <w:p w14:paraId="57FB37A3" w14:textId="4ECA318E" w:rsidR="007E146D" w:rsidRDefault="00684A04" w:rsidP="00392788">
      <w:pPr>
        <w:pStyle w:val="Commissionbodytext"/>
      </w:pPr>
      <w:r>
        <w:t>Clinical</w:t>
      </w:r>
      <w:r w:rsidR="00DA5E50">
        <w:t xml:space="preserve"> trials differ in terms of why they are conducted </w:t>
      </w:r>
      <w:r w:rsidR="00DA5E50" w:rsidRPr="00060594">
        <w:t>(context),</w:t>
      </w:r>
      <w:r w:rsidR="00DA5E50">
        <w:t xml:space="preserve"> what type of evidence they </w:t>
      </w:r>
      <w:r w:rsidR="000D19CC">
        <w:t xml:space="preserve">are designed </w:t>
      </w:r>
      <w:r w:rsidR="00DA5E50">
        <w:t xml:space="preserve">to generate </w:t>
      </w:r>
      <w:r w:rsidR="00DA5E50" w:rsidRPr="00060594">
        <w:t>(phase)</w:t>
      </w:r>
      <w:r w:rsidR="00DA5E50" w:rsidRPr="00CF3F5E">
        <w:t xml:space="preserve"> </w:t>
      </w:r>
      <w:r w:rsidR="00DA5E50">
        <w:t xml:space="preserve">and what is </w:t>
      </w:r>
      <w:r w:rsidR="00460146">
        <w:t>learnt</w:t>
      </w:r>
      <w:r w:rsidR="00DA5E50">
        <w:t xml:space="preserve"> about the intervention being tested </w:t>
      </w:r>
      <w:r w:rsidR="00DA5E50" w:rsidRPr="00060594">
        <w:t>(findings)</w:t>
      </w:r>
      <w:r w:rsidR="00C229CD">
        <w:t xml:space="preserve"> </w:t>
      </w:r>
      <w:r w:rsidR="00D9386E">
        <w:t xml:space="preserve">as illustrated in </w:t>
      </w:r>
      <w:r w:rsidR="006F6116">
        <w:fldChar w:fldCharType="begin"/>
      </w:r>
      <w:r w:rsidR="006F6116">
        <w:instrText xml:space="preserve"> REF _Ref475268492 \h </w:instrText>
      </w:r>
      <w:r w:rsidR="00C229CD">
        <w:instrText xml:space="preserve"> \* MERGEFORMAT </w:instrText>
      </w:r>
      <w:r w:rsidR="006F6116">
        <w:fldChar w:fldCharType="separate"/>
      </w:r>
      <w:r w:rsidR="007B3054">
        <w:t xml:space="preserve">Figure </w:t>
      </w:r>
      <w:r w:rsidR="007B3054">
        <w:rPr>
          <w:noProof/>
        </w:rPr>
        <w:t>2</w:t>
      </w:r>
      <w:r w:rsidR="006F6116">
        <w:fldChar w:fldCharType="end"/>
      </w:r>
      <w:r w:rsidR="006F6116">
        <w:t xml:space="preserve"> and</w:t>
      </w:r>
      <w:r w:rsidR="00D9386E">
        <w:t xml:space="preserve"> explained further below</w:t>
      </w:r>
      <w:r w:rsidR="00DA5E50" w:rsidRPr="00060594">
        <w:t>.</w:t>
      </w:r>
    </w:p>
    <w:p w14:paraId="289DD5E5" w14:textId="0B7C6877" w:rsidR="000E3424" w:rsidRDefault="000E3424" w:rsidP="00915516">
      <w:pPr>
        <w:pStyle w:val="Caption"/>
      </w:pPr>
      <w:bookmarkStart w:id="13" w:name="_Ref475268492"/>
      <w:bookmarkStart w:id="14" w:name="_Ref475268413"/>
      <w:bookmarkStart w:id="15" w:name="_Toc482629533"/>
      <w:r>
        <w:t xml:space="preserve">Figure </w:t>
      </w:r>
      <w:fldSimple w:instr=" SEQ Figure \* ARABIC ">
        <w:r w:rsidR="007B3054">
          <w:rPr>
            <w:noProof/>
          </w:rPr>
          <w:t>2</w:t>
        </w:r>
      </w:fldSimple>
      <w:bookmarkEnd w:id="13"/>
      <w:r w:rsidR="006F6116">
        <w:t xml:space="preserve">. Defining characteristics of </w:t>
      </w:r>
      <w:r>
        <w:t>clinical trials</w:t>
      </w:r>
      <w:bookmarkEnd w:id="14"/>
      <w:bookmarkEnd w:id="15"/>
    </w:p>
    <w:p w14:paraId="3C1CD329" w14:textId="715E3108" w:rsidR="00913F6B" w:rsidRDefault="0040524D" w:rsidP="00F074A5">
      <w:pPr>
        <w:spacing w:before="120"/>
        <w:rPr>
          <w:rFonts w:eastAsiaTheme="majorEastAsia" w:cstheme="majorBidi"/>
          <w:b/>
          <w:bCs/>
          <w:color w:val="2F5496" w:themeColor="accent5" w:themeShade="BF"/>
          <w:spacing w:val="14"/>
          <w:sz w:val="28"/>
        </w:rPr>
      </w:pPr>
      <w:r>
        <w:rPr>
          <w:noProof/>
          <w:lang w:val="en-AU" w:eastAsia="en-AU"/>
        </w:rPr>
        <w:drawing>
          <wp:inline distT="0" distB="0" distL="0" distR="0" wp14:anchorId="26A6DAC6" wp14:editId="363A2B1D">
            <wp:extent cx="6224724" cy="3030234"/>
            <wp:effectExtent l="0" t="0" r="0" b="0"/>
            <wp:docPr id="8" name="Picture 8" descr="Diagram describing the different contexts in which trials are conducted (either commercially sponsored or investigator-initiated), the four main phases of trials from 1 to 4 that test the safety, efficacy and effectiveness of an intervention, and the key outcomes of trials in terms of showing the relative effectiveness and or cost effectiveness of an intervention against a comparator." title="Defining characteristics of clinical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46521" cy="3040845"/>
                    </a:xfrm>
                    <a:prstGeom prst="rect">
                      <a:avLst/>
                    </a:prstGeom>
                    <a:noFill/>
                  </pic:spPr>
                </pic:pic>
              </a:graphicData>
            </a:graphic>
          </wp:inline>
        </w:drawing>
      </w:r>
    </w:p>
    <w:p w14:paraId="4C8B2191" w14:textId="14AFECD1" w:rsidR="00F27685" w:rsidRPr="00F27685" w:rsidRDefault="00F27685" w:rsidP="00915516">
      <w:pPr>
        <w:pStyle w:val="Heading3"/>
      </w:pPr>
      <w:r w:rsidRPr="00F27685">
        <w:t>Context</w:t>
      </w:r>
    </w:p>
    <w:p w14:paraId="0A4A8F38" w14:textId="09039681" w:rsidR="00F27685" w:rsidRPr="00F27685" w:rsidRDefault="00F27685" w:rsidP="00392788">
      <w:pPr>
        <w:pStyle w:val="Commissionbodytext"/>
      </w:pPr>
      <w:r w:rsidRPr="00F27685">
        <w:t>Clinical trials can be conducted by</w:t>
      </w:r>
      <w:r w:rsidR="00F009D8">
        <w:t xml:space="preserve"> </w:t>
      </w:r>
      <w:r w:rsidR="004A4F09">
        <w:rPr>
          <w:rStyle w:val="Strong"/>
          <w:b w:val="0"/>
        </w:rPr>
        <w:t>c</w:t>
      </w:r>
      <w:r w:rsidRPr="00395A04">
        <w:rPr>
          <w:rStyle w:val="Strong"/>
          <w:b w:val="0"/>
        </w:rPr>
        <w:t>ommercial entities</w:t>
      </w:r>
      <w:r w:rsidRPr="00F27685">
        <w:t xml:space="preserve"> </w:t>
      </w:r>
      <w:r w:rsidR="00185A5C">
        <w:t>with</w:t>
      </w:r>
      <w:r w:rsidRPr="00F27685">
        <w:t xml:space="preserve"> a financial interest in the intervention being tested</w:t>
      </w:r>
      <w:r w:rsidR="00395A04">
        <w:t xml:space="preserve">. </w:t>
      </w:r>
      <w:r w:rsidR="004A4F09">
        <w:t>These might include</w:t>
      </w:r>
      <w:r w:rsidRPr="00F27685">
        <w:t xml:space="preserve"> pharmaceutical </w:t>
      </w:r>
      <w:r w:rsidR="00E37C63">
        <w:t xml:space="preserve">companies </w:t>
      </w:r>
      <w:r w:rsidRPr="00F27685">
        <w:t>or c</w:t>
      </w:r>
      <w:r w:rsidR="00E37C63">
        <w:t>ontract</w:t>
      </w:r>
      <w:r w:rsidRPr="00F27685">
        <w:t xml:space="preserve"> research </w:t>
      </w:r>
      <w:r w:rsidR="00E37C63">
        <w:t>organisation</w:t>
      </w:r>
      <w:r w:rsidR="004A4F09">
        <w:t>s for example</w:t>
      </w:r>
      <w:r w:rsidRPr="00F27685">
        <w:t xml:space="preserve">. These trials </w:t>
      </w:r>
      <w:r w:rsidR="009563F8">
        <w:t xml:space="preserve">are conducted to </w:t>
      </w:r>
      <w:r w:rsidRPr="00F27685">
        <w:t>support licensing or regulatory approval of new therapies or diagnostic methods</w:t>
      </w:r>
      <w:r w:rsidR="002178F8">
        <w:t>.</w:t>
      </w:r>
      <w:r w:rsidRPr="00F27685">
        <w:t xml:space="preserve"> </w:t>
      </w:r>
    </w:p>
    <w:p w14:paraId="0217CAE0" w14:textId="77777777" w:rsidR="00C229CD" w:rsidRDefault="00C229CD" w:rsidP="00392788">
      <w:pPr>
        <w:pStyle w:val="Commissionbodytext"/>
        <w:rPr>
          <w:rStyle w:val="Strong"/>
          <w:b w:val="0"/>
        </w:rPr>
      </w:pPr>
    </w:p>
    <w:p w14:paraId="69651FB9" w14:textId="693E484E" w:rsidR="00F27685" w:rsidRPr="00F27685" w:rsidRDefault="004A4F09" w:rsidP="00392788">
      <w:pPr>
        <w:pStyle w:val="Commissionbodytext"/>
      </w:pPr>
      <w:r>
        <w:rPr>
          <w:rStyle w:val="Strong"/>
          <w:b w:val="0"/>
        </w:rPr>
        <w:lastRenderedPageBreak/>
        <w:t>Clinical trials are also conducted by</w:t>
      </w:r>
      <w:r w:rsidR="00F009D8">
        <w:rPr>
          <w:rStyle w:val="Strong"/>
          <w:b w:val="0"/>
        </w:rPr>
        <w:t xml:space="preserve"> </w:t>
      </w:r>
      <w:r>
        <w:rPr>
          <w:rStyle w:val="Strong"/>
          <w:b w:val="0"/>
        </w:rPr>
        <w:t>i</w:t>
      </w:r>
      <w:r w:rsidR="00F27685" w:rsidRPr="00395A04">
        <w:rPr>
          <w:rStyle w:val="Strong"/>
          <w:b w:val="0"/>
        </w:rPr>
        <w:t>ndependent clinical investigators and researchers</w:t>
      </w:r>
      <w:r w:rsidR="00C229CD">
        <w:rPr>
          <w:rStyle w:val="Strong"/>
          <w:b w:val="0"/>
        </w:rPr>
        <w:t>. F</w:t>
      </w:r>
      <w:r>
        <w:t>or example</w:t>
      </w:r>
      <w:r w:rsidR="00C229CD">
        <w:t>,</w:t>
      </w:r>
      <w:r w:rsidR="00F27685" w:rsidRPr="00F27685">
        <w:t xml:space="preserve"> those working within the healthcare system</w:t>
      </w:r>
      <w:r w:rsidR="00C93752">
        <w:t xml:space="preserve"> (including acute, sub-acute and primary care settings)</w:t>
      </w:r>
      <w:r w:rsidR="00F27685" w:rsidRPr="00F27685">
        <w:t xml:space="preserve"> or public institutions</w:t>
      </w:r>
      <w:r w:rsidR="00C229CD">
        <w:t xml:space="preserve">, </w:t>
      </w:r>
      <w:r w:rsidR="00F27685" w:rsidRPr="00F27685">
        <w:t xml:space="preserve">such as </w:t>
      </w:r>
      <w:r w:rsidR="007921FA">
        <w:t>u</w:t>
      </w:r>
      <w:r w:rsidR="00F27685" w:rsidRPr="00F27685">
        <w:t xml:space="preserve">niversities. These trials </w:t>
      </w:r>
      <w:r w:rsidR="009563F8">
        <w:t xml:space="preserve">are conducted to </w:t>
      </w:r>
      <w:r w:rsidR="00F27685" w:rsidRPr="00F27685">
        <w:t>test therapies and generate clinical evidence to inform</w:t>
      </w:r>
      <w:r w:rsidR="00E11C81">
        <w:t xml:space="preserve"> </w:t>
      </w:r>
      <w:r w:rsidR="00F27685" w:rsidRPr="00F27685">
        <w:t>health-related decisions and improve the safety and quality of health</w:t>
      </w:r>
      <w:r w:rsidR="00C229CD">
        <w:t xml:space="preserve"> </w:t>
      </w:r>
      <w:r w:rsidR="00F27685" w:rsidRPr="00F27685">
        <w:t xml:space="preserve">care. </w:t>
      </w:r>
      <w:r w:rsidR="00E856BA">
        <w:t>The</w:t>
      </w:r>
      <w:r w:rsidR="0040524D">
        <w:t>se trials</w:t>
      </w:r>
      <w:r w:rsidR="00E856BA">
        <w:t xml:space="preserve"> are often referred to as investigator-initiated or investigator-led trials.</w:t>
      </w:r>
    </w:p>
    <w:p w14:paraId="677EE7E0" w14:textId="77777777" w:rsidR="00F27685" w:rsidRPr="00F27685" w:rsidRDefault="00F27685" w:rsidP="00915516">
      <w:pPr>
        <w:pStyle w:val="Heading3"/>
      </w:pPr>
      <w:r w:rsidRPr="00F27685">
        <w:t xml:space="preserve">Phases </w:t>
      </w:r>
    </w:p>
    <w:p w14:paraId="5634A5DA" w14:textId="0D5C5FFC" w:rsidR="00684A04" w:rsidRDefault="009561A7" w:rsidP="00392788">
      <w:pPr>
        <w:pStyle w:val="Commissionbodytext"/>
      </w:pPr>
      <w:r>
        <w:t>In broad terms, c</w:t>
      </w:r>
      <w:r w:rsidR="00F27685" w:rsidRPr="00F27685">
        <w:t>linical trials can be divided into four phases:</w:t>
      </w:r>
    </w:p>
    <w:p w14:paraId="2BDAF11C" w14:textId="77777777" w:rsidR="00C229CD" w:rsidRDefault="00C229CD" w:rsidP="00392788">
      <w:pPr>
        <w:pStyle w:val="Commissionbodytext"/>
      </w:pPr>
    </w:p>
    <w:p w14:paraId="636E6BA7" w14:textId="1568C62F" w:rsidR="00684A04" w:rsidRDefault="00684A04" w:rsidP="00615DF0">
      <w:pPr>
        <w:pStyle w:val="List"/>
        <w:numPr>
          <w:ilvl w:val="0"/>
          <w:numId w:val="7"/>
        </w:numPr>
        <w:tabs>
          <w:tab w:val="left" w:pos="284"/>
        </w:tabs>
        <w:spacing w:before="0" w:after="0" w:line="276" w:lineRule="auto"/>
        <w:ind w:left="1587" w:hanging="1230"/>
        <w:contextualSpacing w:val="0"/>
      </w:pPr>
      <w:r>
        <w:t xml:space="preserve">Early testing of a new intervention </w:t>
      </w:r>
      <w:r w:rsidR="00CE3C24">
        <w:t>to establish</w:t>
      </w:r>
      <w:r>
        <w:t xml:space="preserve"> safety, usually among a small </w:t>
      </w:r>
      <w:r w:rsidR="00185A5C">
        <w:t xml:space="preserve">number </w:t>
      </w:r>
      <w:r>
        <w:t>of trial participants</w:t>
      </w:r>
      <w:r w:rsidR="00C229CD">
        <w:t>.</w:t>
      </w:r>
    </w:p>
    <w:p w14:paraId="1E24DEC1" w14:textId="7FBB7C53" w:rsidR="00684A04" w:rsidRDefault="00CE3C24" w:rsidP="00615DF0">
      <w:pPr>
        <w:pStyle w:val="List"/>
        <w:numPr>
          <w:ilvl w:val="0"/>
          <w:numId w:val="7"/>
        </w:numPr>
        <w:contextualSpacing w:val="0"/>
      </w:pPr>
      <w:r>
        <w:t>E</w:t>
      </w:r>
      <w:r w:rsidR="00684A04">
        <w:t>xamin</w:t>
      </w:r>
      <w:r>
        <w:t>ation of</w:t>
      </w:r>
      <w:r w:rsidR="00684A04">
        <w:t xml:space="preserve"> whether a treatment does what it is intended to do (efficacy)</w:t>
      </w:r>
      <w:r w:rsidR="00DC734A">
        <w:t>.</w:t>
      </w:r>
    </w:p>
    <w:p w14:paraId="5D8BE4F4" w14:textId="6F87B77D" w:rsidR="00684A04" w:rsidRDefault="00684A04" w:rsidP="00615DF0">
      <w:pPr>
        <w:pStyle w:val="List"/>
        <w:numPr>
          <w:ilvl w:val="0"/>
          <w:numId w:val="7"/>
        </w:numPr>
        <w:contextualSpacing w:val="0"/>
      </w:pPr>
      <w:r>
        <w:t>Assess</w:t>
      </w:r>
      <w:r w:rsidR="00CE3C24">
        <w:t>ment of</w:t>
      </w:r>
      <w:r>
        <w:t xml:space="preserve"> efficacy </w:t>
      </w:r>
      <w:r w:rsidR="00CE3C24">
        <w:t>i</w:t>
      </w:r>
      <w:r>
        <w:t>n a broader and more representative patient population</w:t>
      </w:r>
      <w:r w:rsidR="00185A5C">
        <w:t xml:space="preserve"> and</w:t>
      </w:r>
      <w:r>
        <w:t xml:space="preserve"> determin</w:t>
      </w:r>
      <w:r w:rsidR="00CE3C24">
        <w:t>ation of</w:t>
      </w:r>
      <w:r>
        <w:t xml:space="preserve"> how well a treatment does what it is intended to do (effectiveness) compared to alternatives</w:t>
      </w:r>
      <w:r w:rsidR="00DC734A">
        <w:t>.</w:t>
      </w:r>
    </w:p>
    <w:p w14:paraId="2EC2605A" w14:textId="5EEABFE5" w:rsidR="00684A04" w:rsidRDefault="00684A04" w:rsidP="00615DF0">
      <w:pPr>
        <w:pStyle w:val="List"/>
        <w:numPr>
          <w:ilvl w:val="0"/>
          <w:numId w:val="7"/>
        </w:numPr>
        <w:contextualSpacing w:val="0"/>
      </w:pPr>
      <w:r>
        <w:t>Monitor</w:t>
      </w:r>
      <w:r w:rsidR="00CE3C24">
        <w:t>ing of</w:t>
      </w:r>
      <w:r>
        <w:t xml:space="preserve"> the long-term effects of interventions on the general population</w:t>
      </w:r>
      <w:r w:rsidR="00CE3C24">
        <w:t>,</w:t>
      </w:r>
      <w:r>
        <w:t xml:space="preserve"> after they have been introduced into practice.</w:t>
      </w:r>
    </w:p>
    <w:p w14:paraId="06A9340D" w14:textId="2A2151FD" w:rsidR="00F27685" w:rsidRPr="00F27685" w:rsidRDefault="009561A7" w:rsidP="00392788">
      <w:pPr>
        <w:pStyle w:val="Commissionbodytext"/>
      </w:pPr>
      <w:r>
        <w:t>T</w:t>
      </w:r>
      <w:r w:rsidR="00F27685" w:rsidRPr="00F27685">
        <w:t xml:space="preserve">here </w:t>
      </w:r>
      <w:r w:rsidR="009563F8">
        <w:t xml:space="preserve">can </w:t>
      </w:r>
      <w:r w:rsidR="00CE3C24">
        <w:t xml:space="preserve">also </w:t>
      </w:r>
      <w:r w:rsidR="009563F8">
        <w:t>be</w:t>
      </w:r>
      <w:r w:rsidR="00F27685" w:rsidRPr="00F27685">
        <w:t xml:space="preserve"> pre-clinical stages that occur prior to Phase I, where scientific information such as a biological mechanism of action are evaluated. </w:t>
      </w:r>
      <w:r w:rsidR="00D9386E">
        <w:t>In practice, t</w:t>
      </w:r>
      <w:r w:rsidR="00F27685" w:rsidRPr="00F27685">
        <w:t>he four phases also over</w:t>
      </w:r>
      <w:r w:rsidR="00F0259A">
        <w:t>lap</w:t>
      </w:r>
      <w:r w:rsidR="00D9386E">
        <w:t xml:space="preserve">, </w:t>
      </w:r>
      <w:r w:rsidR="00D9386E" w:rsidRPr="00D9386E">
        <w:t>with safety, efficacy</w:t>
      </w:r>
      <w:r w:rsidR="00D9386E">
        <w:t xml:space="preserve"> and effectiveness considered to</w:t>
      </w:r>
      <w:r w:rsidR="00D9386E" w:rsidRPr="00D9386E">
        <w:t xml:space="preserve"> varying degrees throughout</w:t>
      </w:r>
      <w:r w:rsidR="0040524D">
        <w:t xml:space="preserve"> </w:t>
      </w:r>
      <w:r w:rsidR="008A31E2">
        <w:t xml:space="preserve">all </w:t>
      </w:r>
      <w:r w:rsidR="0040524D">
        <w:t>phases</w:t>
      </w:r>
      <w:r w:rsidR="00F0259A">
        <w:t xml:space="preserve">. </w:t>
      </w:r>
      <w:r w:rsidR="0090473F">
        <w:t>For</w:t>
      </w:r>
      <w:r>
        <w:t xml:space="preserve"> this reason, trials are often grouped </w:t>
      </w:r>
      <w:r w:rsidR="002C2E86">
        <w:t xml:space="preserve">together </w:t>
      </w:r>
      <w:r>
        <w:t xml:space="preserve">and described </w:t>
      </w:r>
      <w:r w:rsidR="002C2E86">
        <w:t xml:space="preserve">as </w:t>
      </w:r>
      <w:r w:rsidR="00F27685" w:rsidRPr="00F27685">
        <w:t xml:space="preserve">either </w:t>
      </w:r>
      <w:r w:rsidR="00F27685" w:rsidRPr="00060594">
        <w:t>late</w:t>
      </w:r>
      <w:r w:rsidR="00F71233">
        <w:t>-</w:t>
      </w:r>
      <w:r w:rsidR="00A668F0">
        <w:t>phase</w:t>
      </w:r>
      <w:r w:rsidR="00F27685" w:rsidRPr="00D85C9B">
        <w:rPr>
          <w:b/>
        </w:rPr>
        <w:t xml:space="preserve"> </w:t>
      </w:r>
      <w:r w:rsidR="00F27685" w:rsidRPr="00F27685">
        <w:t>or</w:t>
      </w:r>
      <w:r w:rsidR="00F27685" w:rsidRPr="00D85C9B">
        <w:rPr>
          <w:b/>
        </w:rPr>
        <w:t xml:space="preserve"> </w:t>
      </w:r>
      <w:r w:rsidR="00F27685" w:rsidRPr="00060594">
        <w:t>early</w:t>
      </w:r>
      <w:r w:rsidR="00F71233">
        <w:t>-</w:t>
      </w:r>
      <w:r w:rsidR="00F27685" w:rsidRPr="00F27685">
        <w:t>phase. For th</w:t>
      </w:r>
      <w:r w:rsidR="000A1344">
        <w:t xml:space="preserve">is </w:t>
      </w:r>
      <w:r w:rsidR="00EC65A8">
        <w:t>evaluation,</w:t>
      </w:r>
      <w:r w:rsidR="000A1344">
        <w:t xml:space="preserve"> late-</w:t>
      </w:r>
      <w:r>
        <w:t xml:space="preserve">phase trials </w:t>
      </w:r>
      <w:r w:rsidR="00CE3C24">
        <w:t>a</w:t>
      </w:r>
      <w:r>
        <w:t>re</w:t>
      </w:r>
      <w:r w:rsidR="00F27685" w:rsidRPr="00F27685">
        <w:t xml:space="preserve"> defined as Phase II and beyond. </w:t>
      </w:r>
    </w:p>
    <w:p w14:paraId="6B79F6A0" w14:textId="77777777" w:rsidR="00DA5E50" w:rsidRDefault="00DA5E50" w:rsidP="00915516">
      <w:pPr>
        <w:pStyle w:val="Heading3"/>
      </w:pPr>
      <w:r>
        <w:t>Findings</w:t>
      </w:r>
    </w:p>
    <w:p w14:paraId="418BAB36" w14:textId="3691181E" w:rsidR="002D2701" w:rsidRDefault="00F27685" w:rsidP="00392788">
      <w:pPr>
        <w:pStyle w:val="Commissionbodytext"/>
      </w:pPr>
      <w:r w:rsidRPr="00F27685">
        <w:t>Trials may or may not find a difference in comparative effe</w:t>
      </w:r>
      <w:r w:rsidR="00451EA9">
        <w:t xml:space="preserve">ctiveness between </w:t>
      </w:r>
      <w:r w:rsidR="00E856BA">
        <w:t>the interventions being tested</w:t>
      </w:r>
      <w:r w:rsidR="00F71233">
        <w:t>,</w:t>
      </w:r>
      <w:r w:rsidR="004A4F09">
        <w:t xml:space="preserve"> meaning that</w:t>
      </w:r>
      <w:r w:rsidR="00F009D8">
        <w:t xml:space="preserve"> </w:t>
      </w:r>
      <w:r w:rsidR="00CE3C24">
        <w:t xml:space="preserve">the outcomes of </w:t>
      </w:r>
      <w:r w:rsidR="00E856BA">
        <w:t xml:space="preserve">intervention X </w:t>
      </w:r>
      <w:r w:rsidR="00CE3C24">
        <w:t xml:space="preserve">may or may not be </w:t>
      </w:r>
      <w:r w:rsidR="00E856BA">
        <w:t xml:space="preserve">better than </w:t>
      </w:r>
      <w:r w:rsidR="00CE3C24">
        <w:t xml:space="preserve">the outcomes of </w:t>
      </w:r>
      <w:r w:rsidR="00E856BA">
        <w:t>intervention Y</w:t>
      </w:r>
      <w:r w:rsidRPr="00F27685">
        <w:t xml:space="preserve">. </w:t>
      </w:r>
      <w:r w:rsidR="00CE3C24">
        <w:t>Furthermore, a</w:t>
      </w:r>
      <w:r w:rsidRPr="00F27685">
        <w:t>ny difference in</w:t>
      </w:r>
      <w:r w:rsidR="00E856BA">
        <w:t xml:space="preserve"> </w:t>
      </w:r>
      <w:r w:rsidRPr="00F27685">
        <w:t>effectiveness</w:t>
      </w:r>
      <w:r w:rsidR="00E856BA">
        <w:t xml:space="preserve"> </w:t>
      </w:r>
      <w:r w:rsidRPr="00F27685">
        <w:t xml:space="preserve">may </w:t>
      </w:r>
      <w:r w:rsidR="00834812">
        <w:t xml:space="preserve">or may not </w:t>
      </w:r>
      <w:r w:rsidRPr="00F27685">
        <w:t>be accompanied by a difference in cost</w:t>
      </w:r>
      <w:r w:rsidR="007E1BFC">
        <w:t>.</w:t>
      </w:r>
      <w:r w:rsidR="00BD68CF">
        <w:t xml:space="preserve"> </w:t>
      </w:r>
    </w:p>
    <w:p w14:paraId="643BEEE6" w14:textId="348A6B02" w:rsidR="00180869" w:rsidRPr="00392788" w:rsidRDefault="00180869" w:rsidP="00392788">
      <w:pPr>
        <w:spacing w:before="0" w:after="200" w:line="276" w:lineRule="auto"/>
        <w:rPr>
          <w:rFonts w:eastAsia="Times New Roman" w:cs="Arial"/>
          <w:lang w:val="en-AU" w:eastAsia="en-AU"/>
        </w:rPr>
      </w:pPr>
      <w:r>
        <w:br w:type="page"/>
      </w:r>
    </w:p>
    <w:p w14:paraId="1F3789B1" w14:textId="5320BFA4" w:rsidR="005C66B3" w:rsidRDefault="00BF5D34" w:rsidP="000E3424">
      <w:pPr>
        <w:pStyle w:val="Heading2"/>
      </w:pPr>
      <w:bookmarkStart w:id="16" w:name="_Toc487184522"/>
      <w:r>
        <w:lastRenderedPageBreak/>
        <w:t xml:space="preserve">Introduction to </w:t>
      </w:r>
      <w:r w:rsidR="00F4411D">
        <w:t>clinical trials n</w:t>
      </w:r>
      <w:r w:rsidR="0047360B">
        <w:t>etworks</w:t>
      </w:r>
      <w:bookmarkEnd w:id="16"/>
    </w:p>
    <w:p w14:paraId="1CA046A0" w14:textId="3A36D88C" w:rsidR="00655E92" w:rsidRDefault="00F71233" w:rsidP="00392788">
      <w:pPr>
        <w:pStyle w:val="Commissionbodytext"/>
      </w:pPr>
      <w:r>
        <w:t>Late-phase</w:t>
      </w:r>
      <w:r w:rsidR="002A5BC1" w:rsidRPr="00284A64">
        <w:t xml:space="preserve"> </w:t>
      </w:r>
      <w:r w:rsidR="00756954">
        <w:t xml:space="preserve">clinical trials </w:t>
      </w:r>
      <w:r w:rsidR="002A5BC1" w:rsidRPr="00284A64">
        <w:t>are usually complex</w:t>
      </w:r>
      <w:r w:rsidR="008408EC">
        <w:t xml:space="preserve">, involve many patients over </w:t>
      </w:r>
      <w:r w:rsidR="0090473F">
        <w:t>dispersed</w:t>
      </w:r>
      <w:r w:rsidR="008408EC">
        <w:t xml:space="preserve"> locations and </w:t>
      </w:r>
      <w:r w:rsidR="00B16594">
        <w:t>include advanced scientific methods</w:t>
      </w:r>
      <w:r w:rsidR="0058326A">
        <w:t xml:space="preserve">. </w:t>
      </w:r>
      <w:r w:rsidR="00777B8F">
        <w:t xml:space="preserve">Often </w:t>
      </w:r>
      <w:r w:rsidR="008A31E2">
        <w:t>participants</w:t>
      </w:r>
      <w:r w:rsidR="008A31E2" w:rsidRPr="00284A64">
        <w:t xml:space="preserve"> </w:t>
      </w:r>
      <w:r w:rsidR="00777B8F">
        <w:t>are</w:t>
      </w:r>
      <w:r w:rsidR="002A5BC1" w:rsidRPr="00284A64">
        <w:t xml:space="preserve"> recruited across </w:t>
      </w:r>
      <w:r w:rsidR="0090473F">
        <w:t xml:space="preserve">multiple </w:t>
      </w:r>
      <w:r w:rsidR="002A5BC1" w:rsidRPr="00284A64">
        <w:t xml:space="preserve">hospitals in Australia and overseas in order to detect the effects of </w:t>
      </w:r>
      <w:r w:rsidR="00777B8F">
        <w:t>the evaluated</w:t>
      </w:r>
      <w:r w:rsidR="002A5BC1" w:rsidRPr="00284A64">
        <w:t xml:space="preserve"> intervention over a </w:t>
      </w:r>
      <w:r w:rsidR="00777B8F">
        <w:t xml:space="preserve">broad </w:t>
      </w:r>
      <w:r w:rsidR="002A5BC1" w:rsidRPr="00284A64">
        <w:t>range of patients.</w:t>
      </w:r>
    </w:p>
    <w:p w14:paraId="6AF00158" w14:textId="3EAA0C22" w:rsidR="002A5BC1" w:rsidRPr="00284A64" w:rsidRDefault="00BD68CF" w:rsidP="00392788">
      <w:pPr>
        <w:pStyle w:val="Commissionbodytext"/>
      </w:pPr>
      <w:r>
        <w:t xml:space="preserve"> </w:t>
      </w:r>
    </w:p>
    <w:p w14:paraId="701B9AB4" w14:textId="046B0493" w:rsidR="003D746B" w:rsidRDefault="003D746B" w:rsidP="00392788">
      <w:pPr>
        <w:pStyle w:val="Commissionbodytext"/>
      </w:pPr>
      <w:r>
        <w:t>Clinical trials networks (networks), made up of a geographically dispersed and multidisciplinary communit</w:t>
      </w:r>
      <w:r w:rsidR="00C668DA">
        <w:t>ies</w:t>
      </w:r>
      <w:r>
        <w:t xml:space="preserve"> of experts</w:t>
      </w:r>
      <w:r w:rsidR="0044431A">
        <w:t>,</w:t>
      </w:r>
      <w:r w:rsidR="00777B8F">
        <w:t xml:space="preserve"> have formed </w:t>
      </w:r>
      <w:r w:rsidR="001A4144">
        <w:t xml:space="preserve">to </w:t>
      </w:r>
      <w:r w:rsidR="004108D1">
        <w:t xml:space="preserve">overcome some of the challenges of </w:t>
      </w:r>
      <w:r w:rsidR="00605DA2">
        <w:t>design</w:t>
      </w:r>
      <w:r w:rsidR="004108D1">
        <w:t>ing and</w:t>
      </w:r>
      <w:r w:rsidR="00605DA2">
        <w:t xml:space="preserve"> conduct</w:t>
      </w:r>
      <w:r w:rsidR="004108D1">
        <w:t>ing</w:t>
      </w:r>
      <w:r w:rsidR="00605DA2">
        <w:t xml:space="preserve"> </w:t>
      </w:r>
      <w:r w:rsidR="001A4144">
        <w:t>these trials</w:t>
      </w:r>
      <w:r w:rsidR="004108D1">
        <w:t xml:space="preserve"> successfully. </w:t>
      </w:r>
      <w:r>
        <w:t xml:space="preserve">Common among all </w:t>
      </w:r>
      <w:r w:rsidR="00F7026A">
        <w:t>n</w:t>
      </w:r>
      <w:r w:rsidRPr="00284A64">
        <w:t xml:space="preserve">etworks </w:t>
      </w:r>
      <w:r>
        <w:t xml:space="preserve">is the involvement of multiple healthcare facilities and practicing clinicians. As a result, networks are closely integrated within the healthcare system and </w:t>
      </w:r>
      <w:r w:rsidRPr="00284A64">
        <w:t xml:space="preserve">provide a unique model for </w:t>
      </w:r>
      <w:r>
        <w:t xml:space="preserve">building, sharing and </w:t>
      </w:r>
      <w:r w:rsidRPr="00284A64">
        <w:t xml:space="preserve">sustaining the </w:t>
      </w:r>
      <w:r>
        <w:t xml:space="preserve">complex </w:t>
      </w:r>
      <w:r w:rsidRPr="00284A64">
        <w:t>infrastructure needed to conduct multip</w:t>
      </w:r>
      <w:r>
        <w:t>le, multicentr</w:t>
      </w:r>
      <w:r w:rsidR="008A31E2">
        <w:t>e</w:t>
      </w:r>
      <w:r>
        <w:t xml:space="preserve"> clinical trials. </w:t>
      </w:r>
    </w:p>
    <w:p w14:paraId="189B2DE8" w14:textId="77777777" w:rsidR="00F71233" w:rsidRDefault="00F71233" w:rsidP="00392788">
      <w:pPr>
        <w:pStyle w:val="Commissionbodytext"/>
      </w:pPr>
    </w:p>
    <w:p w14:paraId="498C2FA1" w14:textId="6339782C" w:rsidR="003D746B" w:rsidRPr="00D85C9B" w:rsidRDefault="003D746B" w:rsidP="00392788">
      <w:pPr>
        <w:pStyle w:val="Commissionbodytext"/>
      </w:pPr>
      <w:r>
        <w:t>Networks have a set of core functions that enable trials to be undertaken in a robust and efficient way (</w:t>
      </w:r>
      <w:r w:rsidR="00EC65A8">
        <w:t xml:space="preserve">see </w:t>
      </w:r>
      <w:r w:rsidR="004D3458">
        <w:fldChar w:fldCharType="begin"/>
      </w:r>
      <w:r w:rsidR="004D3458">
        <w:instrText xml:space="preserve"> REF _Ref475266850 \h </w:instrText>
      </w:r>
      <w:r w:rsidR="00F71233">
        <w:instrText xml:space="preserve"> \* MERGEFORMAT </w:instrText>
      </w:r>
      <w:r w:rsidR="004D3458">
        <w:fldChar w:fldCharType="separate"/>
      </w:r>
      <w:r w:rsidR="007B3054">
        <w:t xml:space="preserve">Table </w:t>
      </w:r>
      <w:r w:rsidR="007B3054">
        <w:rPr>
          <w:noProof/>
        </w:rPr>
        <w:t>1</w:t>
      </w:r>
      <w:r w:rsidR="004D3458">
        <w:fldChar w:fldCharType="end"/>
      </w:r>
      <w:r>
        <w:t xml:space="preserve">). Many of these functions can be categorised as </w:t>
      </w:r>
      <w:r w:rsidRPr="001416F0">
        <w:t>facilitating</w:t>
      </w:r>
      <w:r>
        <w:t xml:space="preserve"> the design of trials. Some </w:t>
      </w:r>
      <w:r w:rsidR="00F7026A">
        <w:t>n</w:t>
      </w:r>
      <w:r>
        <w:t xml:space="preserve">etworks also </w:t>
      </w:r>
      <w:r w:rsidR="00E37C63">
        <w:t xml:space="preserve">independently </w:t>
      </w:r>
      <w:r>
        <w:t xml:space="preserve">manage or </w:t>
      </w:r>
      <w:r w:rsidRPr="001416F0">
        <w:t>coordinate</w:t>
      </w:r>
      <w:r>
        <w:rPr>
          <w:b/>
        </w:rPr>
        <w:t xml:space="preserve"> </w:t>
      </w:r>
      <w:r>
        <w:t>trials once they commence</w:t>
      </w:r>
      <w:r w:rsidR="0060055A">
        <w:t>, although the majority form close working partnerships</w:t>
      </w:r>
      <w:r w:rsidR="004108D1">
        <w:t xml:space="preserve"> with</w:t>
      </w:r>
      <w:r w:rsidR="00E37C63">
        <w:t xml:space="preserve"> large</w:t>
      </w:r>
      <w:r w:rsidR="004108D1">
        <w:t xml:space="preserve"> c</w:t>
      </w:r>
      <w:r w:rsidR="0060055A">
        <w:t>linical trial</w:t>
      </w:r>
      <w:r w:rsidR="00E37C63">
        <w:t xml:space="preserve"> </w:t>
      </w:r>
      <w:r w:rsidR="0060055A">
        <w:t xml:space="preserve">coordinating centres </w:t>
      </w:r>
      <w:r w:rsidR="00605DA2">
        <w:t xml:space="preserve">that house </w:t>
      </w:r>
      <w:r w:rsidR="004108D1">
        <w:t xml:space="preserve">a critical mass of expertise in trial methods, </w:t>
      </w:r>
      <w:r w:rsidR="007E146D">
        <w:t>biostatistics</w:t>
      </w:r>
      <w:r w:rsidR="004108D1">
        <w:t>, health economics, project coordination and data management.</w:t>
      </w:r>
      <w:r w:rsidR="004108D1" w:rsidRPr="004108D1">
        <w:t xml:space="preserve"> </w:t>
      </w:r>
    </w:p>
    <w:p w14:paraId="4370C0CD" w14:textId="27EA8277" w:rsidR="003D746B" w:rsidRDefault="003D746B" w:rsidP="003D746B">
      <w:pPr>
        <w:pStyle w:val="Caption"/>
        <w:keepNext/>
      </w:pPr>
      <w:bookmarkStart w:id="17" w:name="_Ref475266850"/>
      <w:bookmarkStart w:id="18" w:name="_Toc479177724"/>
      <w:r>
        <w:t xml:space="preserve">Table </w:t>
      </w:r>
      <w:fldSimple w:instr=" SEQ Table \* ARABIC ">
        <w:r w:rsidR="007B3054">
          <w:rPr>
            <w:noProof/>
          </w:rPr>
          <w:t>1</w:t>
        </w:r>
      </w:fldSimple>
      <w:bookmarkEnd w:id="17"/>
      <w:r>
        <w:t>. Core functions of clinical trials networks</w:t>
      </w:r>
      <w:bookmarkEnd w:id="18"/>
    </w:p>
    <w:tbl>
      <w:tblPr>
        <w:tblStyle w:val="MediumShading1-Accent5"/>
        <w:tblW w:w="9671" w:type="dxa"/>
        <w:jc w:val="center"/>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420" w:firstRow="1" w:lastRow="0" w:firstColumn="0" w:lastColumn="0" w:noHBand="0" w:noVBand="1"/>
      </w:tblPr>
      <w:tblGrid>
        <w:gridCol w:w="4786"/>
        <w:gridCol w:w="4885"/>
      </w:tblGrid>
      <w:tr w:rsidR="00BA1D2B" w:rsidRPr="00BA1D2B" w14:paraId="0DEA8263" w14:textId="77777777" w:rsidTr="00392788">
        <w:trPr>
          <w:cnfStyle w:val="100000000000" w:firstRow="1" w:lastRow="0" w:firstColumn="0" w:lastColumn="0" w:oddVBand="0" w:evenVBand="0" w:oddHBand="0" w:evenHBand="0" w:firstRowFirstColumn="0" w:firstRowLastColumn="0" w:lastRowFirstColumn="0" w:lastRowLastColumn="0"/>
          <w:trHeight w:hRule="exact" w:val="567"/>
          <w:tblHeader/>
          <w:jc w:val="center"/>
        </w:trPr>
        <w:tc>
          <w:tcPr>
            <w:tcW w:w="4786" w:type="dxa"/>
            <w:tcBorders>
              <w:top w:val="none" w:sz="0" w:space="0" w:color="auto"/>
              <w:left w:val="none" w:sz="0" w:space="0" w:color="auto"/>
              <w:bottom w:val="single" w:sz="8" w:space="0" w:color="D9D9D9" w:themeColor="background1" w:themeShade="D9"/>
              <w:right w:val="none" w:sz="0" w:space="0" w:color="auto"/>
            </w:tcBorders>
            <w:shd w:val="clear" w:color="auto" w:fill="2F5496" w:themeFill="accent5" w:themeFillShade="BF"/>
            <w:tcMar>
              <w:top w:w="0" w:type="dxa"/>
              <w:left w:w="113" w:type="dxa"/>
              <w:bottom w:w="0" w:type="dxa"/>
              <w:right w:w="113" w:type="dxa"/>
            </w:tcMar>
            <w:vAlign w:val="bottom"/>
            <w:hideMark/>
          </w:tcPr>
          <w:p w14:paraId="57A1457F" w14:textId="51FC22F2" w:rsidR="003D746B" w:rsidRPr="00F074A5" w:rsidRDefault="003D746B" w:rsidP="00392788">
            <w:pPr>
              <w:spacing w:after="0" w:line="276" w:lineRule="auto"/>
              <w:rPr>
                <w:b w:val="0"/>
                <w:bCs w:val="0"/>
                <w:sz w:val="21"/>
                <w:szCs w:val="21"/>
                <w:lang w:val="en-AU"/>
              </w:rPr>
            </w:pPr>
            <w:r w:rsidRPr="00643275">
              <w:rPr>
                <w:sz w:val="21"/>
                <w:szCs w:val="21"/>
                <w:lang w:val="en-AU"/>
              </w:rPr>
              <w:t xml:space="preserve">Clinical </w:t>
            </w:r>
            <w:r w:rsidR="00F71233">
              <w:rPr>
                <w:sz w:val="21"/>
                <w:szCs w:val="21"/>
                <w:lang w:val="en-AU"/>
              </w:rPr>
              <w:t>t</w:t>
            </w:r>
            <w:r w:rsidRPr="00643275">
              <w:rPr>
                <w:sz w:val="21"/>
                <w:szCs w:val="21"/>
                <w:lang w:val="en-AU"/>
              </w:rPr>
              <w:t xml:space="preserve">rial </w:t>
            </w:r>
            <w:r w:rsidR="00F71233">
              <w:rPr>
                <w:sz w:val="21"/>
                <w:szCs w:val="21"/>
                <w:lang w:val="en-AU"/>
              </w:rPr>
              <w:t>f</w:t>
            </w:r>
            <w:r w:rsidRPr="00643275">
              <w:rPr>
                <w:sz w:val="21"/>
                <w:szCs w:val="21"/>
                <w:lang w:val="en-AU"/>
              </w:rPr>
              <w:t>acilitation</w:t>
            </w:r>
          </w:p>
        </w:tc>
        <w:tc>
          <w:tcPr>
            <w:tcW w:w="4885" w:type="dxa"/>
            <w:tcBorders>
              <w:top w:val="none" w:sz="0" w:space="0" w:color="auto"/>
              <w:left w:val="none" w:sz="0" w:space="0" w:color="auto"/>
              <w:bottom w:val="none" w:sz="0" w:space="0" w:color="auto"/>
              <w:right w:val="none" w:sz="0" w:space="0" w:color="auto"/>
            </w:tcBorders>
            <w:shd w:val="clear" w:color="auto" w:fill="2F5496" w:themeFill="accent5" w:themeFillShade="BF"/>
            <w:tcMar>
              <w:top w:w="0" w:type="dxa"/>
              <w:left w:w="113" w:type="dxa"/>
              <w:bottom w:w="0" w:type="dxa"/>
              <w:right w:w="113" w:type="dxa"/>
            </w:tcMar>
            <w:vAlign w:val="bottom"/>
            <w:hideMark/>
          </w:tcPr>
          <w:p w14:paraId="60F40ED9" w14:textId="272F467F" w:rsidR="003D746B" w:rsidRPr="00F074A5" w:rsidRDefault="003D746B" w:rsidP="00392788">
            <w:pPr>
              <w:spacing w:after="0" w:line="276" w:lineRule="auto"/>
              <w:rPr>
                <w:b w:val="0"/>
                <w:bCs w:val="0"/>
                <w:sz w:val="21"/>
                <w:szCs w:val="21"/>
                <w:lang w:val="en-AU"/>
              </w:rPr>
            </w:pPr>
            <w:r w:rsidRPr="00643275">
              <w:rPr>
                <w:sz w:val="21"/>
                <w:szCs w:val="21"/>
                <w:lang w:val="en-AU"/>
              </w:rPr>
              <w:t xml:space="preserve">Clinical </w:t>
            </w:r>
            <w:r w:rsidR="00F71233">
              <w:rPr>
                <w:sz w:val="21"/>
                <w:szCs w:val="21"/>
                <w:lang w:val="en-AU"/>
              </w:rPr>
              <w:t>t</w:t>
            </w:r>
            <w:r w:rsidRPr="00643275">
              <w:rPr>
                <w:sz w:val="21"/>
                <w:szCs w:val="21"/>
                <w:lang w:val="en-AU"/>
              </w:rPr>
              <w:t xml:space="preserve">rial </w:t>
            </w:r>
            <w:r w:rsidR="00F71233">
              <w:rPr>
                <w:sz w:val="21"/>
                <w:szCs w:val="21"/>
                <w:lang w:val="en-AU"/>
              </w:rPr>
              <w:t>c</w:t>
            </w:r>
            <w:r w:rsidRPr="00643275">
              <w:rPr>
                <w:sz w:val="21"/>
                <w:szCs w:val="21"/>
                <w:lang w:val="en-AU"/>
              </w:rPr>
              <w:t>oordination</w:t>
            </w:r>
          </w:p>
        </w:tc>
      </w:tr>
      <w:tr w:rsidR="000433AB" w:rsidRPr="000433AB" w14:paraId="5C393810" w14:textId="77777777" w:rsidTr="00392788">
        <w:trPr>
          <w:cnfStyle w:val="000000100000" w:firstRow="0" w:lastRow="0" w:firstColumn="0" w:lastColumn="0" w:oddVBand="0" w:evenVBand="0" w:oddHBand="1" w:evenHBand="0" w:firstRowFirstColumn="0" w:firstRowLastColumn="0" w:lastRowFirstColumn="0" w:lastRowLastColumn="0"/>
          <w:trHeight w:hRule="exact" w:val="567"/>
          <w:jc w:val="center"/>
        </w:trPr>
        <w:tc>
          <w:tcPr>
            <w:tcW w:w="4786" w:type="dxa"/>
            <w:tcBorders>
              <w:right w:val="single" w:sz="8" w:space="0" w:color="D9D9D9" w:themeColor="background1" w:themeShade="D9"/>
            </w:tcBorders>
            <w:shd w:val="clear" w:color="auto" w:fill="auto"/>
            <w:tcMar>
              <w:top w:w="0" w:type="dxa"/>
              <w:left w:w="113" w:type="dxa"/>
              <w:bottom w:w="0" w:type="dxa"/>
              <w:right w:w="113" w:type="dxa"/>
            </w:tcMar>
            <w:vAlign w:val="center"/>
            <w:hideMark/>
          </w:tcPr>
          <w:p w14:paraId="7898C47D" w14:textId="77777777" w:rsidR="003D746B" w:rsidRPr="00BA1D2B" w:rsidRDefault="003D746B" w:rsidP="00392788">
            <w:pPr>
              <w:spacing w:before="0" w:after="0" w:line="276" w:lineRule="auto"/>
              <w:rPr>
                <w:sz w:val="21"/>
                <w:szCs w:val="21"/>
                <w:lang w:val="en-AU"/>
              </w:rPr>
            </w:pPr>
            <w:r w:rsidRPr="00BA1D2B">
              <w:rPr>
                <w:sz w:val="21"/>
                <w:szCs w:val="21"/>
                <w:lang w:val="en-AU"/>
              </w:rPr>
              <w:t>Identification of important clinical questions</w:t>
            </w:r>
          </w:p>
        </w:tc>
        <w:tc>
          <w:tcPr>
            <w:tcW w:w="4885" w:type="dxa"/>
            <w:tcBorders>
              <w:left w:val="single" w:sz="8" w:space="0" w:color="D9D9D9" w:themeColor="background1" w:themeShade="D9"/>
            </w:tcBorders>
            <w:shd w:val="clear" w:color="auto" w:fill="auto"/>
            <w:tcMar>
              <w:top w:w="0" w:type="dxa"/>
              <w:left w:w="113" w:type="dxa"/>
              <w:bottom w:w="0" w:type="dxa"/>
              <w:right w:w="113" w:type="dxa"/>
            </w:tcMar>
            <w:vAlign w:val="center"/>
            <w:hideMark/>
          </w:tcPr>
          <w:p w14:paraId="17B6D5EA" w14:textId="18BF305A" w:rsidR="003D746B" w:rsidRPr="00BA1D2B" w:rsidRDefault="003D746B" w:rsidP="00392788">
            <w:pPr>
              <w:spacing w:before="0" w:after="0" w:line="276" w:lineRule="auto"/>
              <w:rPr>
                <w:sz w:val="21"/>
                <w:szCs w:val="21"/>
                <w:lang w:val="en-AU"/>
              </w:rPr>
            </w:pPr>
            <w:r w:rsidRPr="00BA1D2B">
              <w:rPr>
                <w:sz w:val="21"/>
                <w:szCs w:val="21"/>
                <w:lang w:val="en-AU"/>
              </w:rPr>
              <w:t>Direct trial coordination and management</w:t>
            </w:r>
            <w:r w:rsidR="00605DA2" w:rsidRPr="00BA1D2B">
              <w:rPr>
                <w:sz w:val="21"/>
                <w:szCs w:val="21"/>
                <w:lang w:val="en-AU"/>
              </w:rPr>
              <w:t>*</w:t>
            </w:r>
          </w:p>
        </w:tc>
      </w:tr>
      <w:tr w:rsidR="00BA1D2B" w:rsidRPr="00BA1D2B" w14:paraId="2FB5894F" w14:textId="77777777" w:rsidTr="00392788">
        <w:trPr>
          <w:cnfStyle w:val="000000010000" w:firstRow="0" w:lastRow="0" w:firstColumn="0" w:lastColumn="0" w:oddVBand="0" w:evenVBand="0" w:oddHBand="0" w:evenHBand="1" w:firstRowFirstColumn="0" w:firstRowLastColumn="0" w:lastRowFirstColumn="0" w:lastRowLastColumn="0"/>
          <w:trHeight w:hRule="exact" w:val="567"/>
          <w:jc w:val="center"/>
        </w:trPr>
        <w:tc>
          <w:tcPr>
            <w:tcW w:w="4786" w:type="dxa"/>
            <w:tcBorders>
              <w:right w:val="none" w:sz="0" w:space="0" w:color="auto"/>
            </w:tcBorders>
            <w:shd w:val="clear" w:color="auto" w:fill="auto"/>
            <w:tcMar>
              <w:top w:w="0" w:type="dxa"/>
              <w:left w:w="113" w:type="dxa"/>
              <w:bottom w:w="0" w:type="dxa"/>
              <w:right w:w="113" w:type="dxa"/>
            </w:tcMar>
            <w:vAlign w:val="center"/>
            <w:hideMark/>
          </w:tcPr>
          <w:p w14:paraId="1A28B7A6" w14:textId="77C17331" w:rsidR="003D746B" w:rsidRPr="00BA1D2B" w:rsidRDefault="003D746B" w:rsidP="00392788">
            <w:pPr>
              <w:spacing w:before="0" w:after="0" w:line="276" w:lineRule="auto"/>
              <w:rPr>
                <w:sz w:val="21"/>
                <w:szCs w:val="21"/>
                <w:lang w:val="en-AU"/>
              </w:rPr>
            </w:pPr>
            <w:r w:rsidRPr="00BA1D2B">
              <w:rPr>
                <w:sz w:val="21"/>
                <w:szCs w:val="21"/>
                <w:lang w:val="en-AU"/>
              </w:rPr>
              <w:t>Collaborative study protocol development</w:t>
            </w:r>
          </w:p>
        </w:tc>
        <w:tc>
          <w:tcPr>
            <w:tcW w:w="4885" w:type="dxa"/>
            <w:tcBorders>
              <w:left w:val="none" w:sz="0" w:space="0" w:color="auto"/>
            </w:tcBorders>
            <w:shd w:val="clear" w:color="auto" w:fill="auto"/>
            <w:tcMar>
              <w:top w:w="0" w:type="dxa"/>
              <w:left w:w="113" w:type="dxa"/>
              <w:bottom w:w="0" w:type="dxa"/>
              <w:right w:w="113" w:type="dxa"/>
            </w:tcMar>
            <w:vAlign w:val="center"/>
            <w:hideMark/>
          </w:tcPr>
          <w:p w14:paraId="271A1C1F" w14:textId="79AEACAE" w:rsidR="003D746B" w:rsidRPr="00BA1D2B" w:rsidRDefault="003D746B" w:rsidP="00392788">
            <w:pPr>
              <w:spacing w:before="0" w:after="0" w:line="276" w:lineRule="auto"/>
              <w:rPr>
                <w:sz w:val="21"/>
                <w:szCs w:val="21"/>
                <w:lang w:val="en-AU"/>
              </w:rPr>
            </w:pPr>
            <w:r w:rsidRPr="00BA1D2B">
              <w:rPr>
                <w:sz w:val="21"/>
                <w:szCs w:val="21"/>
                <w:lang w:val="en-AU"/>
              </w:rPr>
              <w:t>Site management</w:t>
            </w:r>
            <w:r w:rsidR="00605DA2" w:rsidRPr="00BA1D2B">
              <w:rPr>
                <w:sz w:val="21"/>
                <w:szCs w:val="21"/>
                <w:lang w:val="en-AU"/>
              </w:rPr>
              <w:t>*</w:t>
            </w:r>
          </w:p>
        </w:tc>
      </w:tr>
      <w:tr w:rsidR="00BA1D2B" w:rsidRPr="00BA1D2B" w14:paraId="216297AA" w14:textId="77777777" w:rsidTr="00392788">
        <w:trPr>
          <w:cnfStyle w:val="000000100000" w:firstRow="0" w:lastRow="0" w:firstColumn="0" w:lastColumn="0" w:oddVBand="0" w:evenVBand="0" w:oddHBand="1" w:evenHBand="0" w:firstRowFirstColumn="0" w:firstRowLastColumn="0" w:lastRowFirstColumn="0" w:lastRowLastColumn="0"/>
          <w:trHeight w:hRule="exact" w:val="567"/>
          <w:jc w:val="center"/>
        </w:trPr>
        <w:tc>
          <w:tcPr>
            <w:tcW w:w="4786" w:type="dxa"/>
            <w:tcBorders>
              <w:right w:val="none" w:sz="0" w:space="0" w:color="auto"/>
            </w:tcBorders>
            <w:shd w:val="clear" w:color="auto" w:fill="auto"/>
            <w:tcMar>
              <w:top w:w="0" w:type="dxa"/>
              <w:left w:w="113" w:type="dxa"/>
              <w:bottom w:w="0" w:type="dxa"/>
              <w:right w:w="113" w:type="dxa"/>
            </w:tcMar>
            <w:vAlign w:val="center"/>
            <w:hideMark/>
          </w:tcPr>
          <w:p w14:paraId="62617071" w14:textId="5BB037FF" w:rsidR="003D746B" w:rsidRPr="00BA1D2B" w:rsidRDefault="003D746B" w:rsidP="00392788">
            <w:pPr>
              <w:spacing w:before="0" w:after="0" w:line="276" w:lineRule="auto"/>
              <w:rPr>
                <w:sz w:val="21"/>
                <w:szCs w:val="21"/>
                <w:lang w:val="en-AU"/>
              </w:rPr>
            </w:pPr>
            <w:r w:rsidRPr="00BA1D2B">
              <w:rPr>
                <w:sz w:val="21"/>
                <w:szCs w:val="21"/>
                <w:lang w:val="en-AU"/>
              </w:rPr>
              <w:t xml:space="preserve">Peer review </w:t>
            </w:r>
            <w:r w:rsidR="00F71233">
              <w:rPr>
                <w:sz w:val="21"/>
                <w:szCs w:val="21"/>
                <w:lang w:val="en-AU"/>
              </w:rPr>
              <w:t>and</w:t>
            </w:r>
            <w:r w:rsidRPr="00BA1D2B">
              <w:rPr>
                <w:sz w:val="21"/>
                <w:szCs w:val="21"/>
                <w:lang w:val="en-AU"/>
              </w:rPr>
              <w:t xml:space="preserve"> formal endorsement of trials</w:t>
            </w:r>
          </w:p>
        </w:tc>
        <w:tc>
          <w:tcPr>
            <w:tcW w:w="4885" w:type="dxa"/>
            <w:tcBorders>
              <w:left w:val="none" w:sz="0" w:space="0" w:color="auto"/>
            </w:tcBorders>
            <w:shd w:val="clear" w:color="auto" w:fill="auto"/>
            <w:tcMar>
              <w:top w:w="0" w:type="dxa"/>
              <w:left w:w="113" w:type="dxa"/>
              <w:bottom w:w="0" w:type="dxa"/>
              <w:right w:w="113" w:type="dxa"/>
            </w:tcMar>
            <w:vAlign w:val="center"/>
            <w:hideMark/>
          </w:tcPr>
          <w:p w14:paraId="4F238999" w14:textId="3B03BDC9" w:rsidR="003D746B" w:rsidRPr="00BA1D2B" w:rsidRDefault="003D746B" w:rsidP="00392788">
            <w:pPr>
              <w:spacing w:before="0" w:after="0" w:line="276" w:lineRule="auto"/>
              <w:rPr>
                <w:sz w:val="21"/>
                <w:szCs w:val="21"/>
                <w:lang w:val="en-AU"/>
              </w:rPr>
            </w:pPr>
            <w:r w:rsidRPr="00BA1D2B">
              <w:rPr>
                <w:sz w:val="21"/>
                <w:szCs w:val="21"/>
                <w:lang w:val="en-AU"/>
              </w:rPr>
              <w:t>Data management</w:t>
            </w:r>
            <w:r w:rsidR="007E146D" w:rsidRPr="00BA1D2B">
              <w:rPr>
                <w:sz w:val="21"/>
                <w:szCs w:val="21"/>
                <w:lang w:val="en-AU"/>
              </w:rPr>
              <w:t>*</w:t>
            </w:r>
          </w:p>
        </w:tc>
      </w:tr>
      <w:tr w:rsidR="00BA1D2B" w:rsidRPr="00BA1D2B" w14:paraId="36895820" w14:textId="77777777" w:rsidTr="00392788">
        <w:trPr>
          <w:cnfStyle w:val="000000010000" w:firstRow="0" w:lastRow="0" w:firstColumn="0" w:lastColumn="0" w:oddVBand="0" w:evenVBand="0" w:oddHBand="0" w:evenHBand="1" w:firstRowFirstColumn="0" w:firstRowLastColumn="0" w:lastRowFirstColumn="0" w:lastRowLastColumn="0"/>
          <w:trHeight w:hRule="exact" w:val="567"/>
          <w:jc w:val="center"/>
        </w:trPr>
        <w:tc>
          <w:tcPr>
            <w:tcW w:w="4786" w:type="dxa"/>
            <w:tcBorders>
              <w:right w:val="none" w:sz="0" w:space="0" w:color="auto"/>
            </w:tcBorders>
            <w:shd w:val="clear" w:color="auto" w:fill="auto"/>
            <w:tcMar>
              <w:top w:w="0" w:type="dxa"/>
              <w:left w:w="113" w:type="dxa"/>
              <w:bottom w:w="0" w:type="dxa"/>
              <w:right w:w="113" w:type="dxa"/>
            </w:tcMar>
            <w:vAlign w:val="center"/>
            <w:hideMark/>
          </w:tcPr>
          <w:p w14:paraId="5E610981" w14:textId="77777777" w:rsidR="003D746B" w:rsidRPr="00BA1D2B" w:rsidRDefault="003D746B" w:rsidP="00392788">
            <w:pPr>
              <w:spacing w:before="0" w:after="0" w:line="276" w:lineRule="auto"/>
              <w:rPr>
                <w:sz w:val="21"/>
                <w:szCs w:val="21"/>
                <w:lang w:val="en-AU"/>
              </w:rPr>
            </w:pPr>
            <w:r w:rsidRPr="00BA1D2B">
              <w:rPr>
                <w:sz w:val="21"/>
                <w:szCs w:val="21"/>
                <w:lang w:val="en-AU"/>
              </w:rPr>
              <w:t>Scientific meetings</w:t>
            </w:r>
          </w:p>
        </w:tc>
        <w:tc>
          <w:tcPr>
            <w:tcW w:w="4885" w:type="dxa"/>
            <w:tcBorders>
              <w:left w:val="none" w:sz="0" w:space="0" w:color="auto"/>
            </w:tcBorders>
            <w:shd w:val="clear" w:color="auto" w:fill="auto"/>
            <w:tcMar>
              <w:top w:w="0" w:type="dxa"/>
              <w:left w:w="113" w:type="dxa"/>
              <w:bottom w:w="0" w:type="dxa"/>
              <w:right w:w="113" w:type="dxa"/>
            </w:tcMar>
            <w:vAlign w:val="center"/>
            <w:hideMark/>
          </w:tcPr>
          <w:p w14:paraId="4BB69545" w14:textId="1994AD1A" w:rsidR="003D746B" w:rsidRPr="00BA1D2B" w:rsidRDefault="003D746B" w:rsidP="00392788">
            <w:pPr>
              <w:spacing w:before="0" w:after="0" w:line="276" w:lineRule="auto"/>
              <w:rPr>
                <w:sz w:val="21"/>
                <w:szCs w:val="21"/>
                <w:lang w:val="en-AU"/>
              </w:rPr>
            </w:pPr>
            <w:r w:rsidRPr="00BA1D2B">
              <w:rPr>
                <w:sz w:val="21"/>
                <w:szCs w:val="21"/>
                <w:lang w:val="en-AU"/>
              </w:rPr>
              <w:t>Recruitment of trial participants</w:t>
            </w:r>
            <w:r w:rsidR="007E146D" w:rsidRPr="00BA1D2B">
              <w:rPr>
                <w:sz w:val="21"/>
                <w:szCs w:val="21"/>
                <w:lang w:val="en-AU"/>
              </w:rPr>
              <w:t>*</w:t>
            </w:r>
          </w:p>
        </w:tc>
      </w:tr>
      <w:tr w:rsidR="00BA1D2B" w:rsidRPr="00BA1D2B" w14:paraId="22CF15F7" w14:textId="77777777" w:rsidTr="00392788">
        <w:trPr>
          <w:cnfStyle w:val="000000100000" w:firstRow="0" w:lastRow="0" w:firstColumn="0" w:lastColumn="0" w:oddVBand="0" w:evenVBand="0" w:oddHBand="1" w:evenHBand="0" w:firstRowFirstColumn="0" w:firstRowLastColumn="0" w:lastRowFirstColumn="0" w:lastRowLastColumn="0"/>
          <w:trHeight w:hRule="exact" w:val="567"/>
          <w:jc w:val="center"/>
        </w:trPr>
        <w:tc>
          <w:tcPr>
            <w:tcW w:w="4786" w:type="dxa"/>
            <w:tcBorders>
              <w:right w:val="none" w:sz="0" w:space="0" w:color="auto"/>
            </w:tcBorders>
            <w:shd w:val="clear" w:color="auto" w:fill="auto"/>
            <w:tcMar>
              <w:top w:w="0" w:type="dxa"/>
              <w:left w:w="113" w:type="dxa"/>
              <w:bottom w:w="0" w:type="dxa"/>
              <w:right w:w="113" w:type="dxa"/>
            </w:tcMar>
            <w:vAlign w:val="center"/>
            <w:hideMark/>
          </w:tcPr>
          <w:p w14:paraId="4E069838" w14:textId="3D23940F" w:rsidR="003D746B" w:rsidRPr="00BA1D2B" w:rsidRDefault="003D746B" w:rsidP="00392788">
            <w:pPr>
              <w:spacing w:before="0" w:after="0" w:line="276" w:lineRule="auto"/>
              <w:rPr>
                <w:sz w:val="21"/>
                <w:szCs w:val="21"/>
                <w:lang w:val="en-AU"/>
              </w:rPr>
            </w:pPr>
            <w:r w:rsidRPr="00BA1D2B">
              <w:rPr>
                <w:sz w:val="21"/>
                <w:szCs w:val="21"/>
                <w:lang w:val="en-AU"/>
              </w:rPr>
              <w:t xml:space="preserve">Grant </w:t>
            </w:r>
            <w:r w:rsidR="00D36497" w:rsidRPr="00BA1D2B">
              <w:rPr>
                <w:sz w:val="21"/>
                <w:szCs w:val="21"/>
                <w:lang w:val="en-AU"/>
              </w:rPr>
              <w:t>w</w:t>
            </w:r>
            <w:r w:rsidRPr="00BA1D2B">
              <w:rPr>
                <w:sz w:val="21"/>
                <w:szCs w:val="21"/>
                <w:lang w:val="en-AU"/>
              </w:rPr>
              <w:t>riting</w:t>
            </w:r>
            <w:r w:rsidR="00605DA2" w:rsidRPr="00BA1D2B">
              <w:rPr>
                <w:sz w:val="21"/>
                <w:szCs w:val="21"/>
                <w:lang w:val="en-AU"/>
              </w:rPr>
              <w:t>*</w:t>
            </w:r>
          </w:p>
        </w:tc>
        <w:tc>
          <w:tcPr>
            <w:tcW w:w="4885" w:type="dxa"/>
            <w:tcBorders>
              <w:left w:val="none" w:sz="0" w:space="0" w:color="auto"/>
            </w:tcBorders>
            <w:shd w:val="clear" w:color="auto" w:fill="auto"/>
            <w:tcMar>
              <w:top w:w="0" w:type="dxa"/>
              <w:left w:w="113" w:type="dxa"/>
              <w:bottom w:w="0" w:type="dxa"/>
              <w:right w:w="113" w:type="dxa"/>
            </w:tcMar>
            <w:vAlign w:val="center"/>
            <w:hideMark/>
          </w:tcPr>
          <w:p w14:paraId="6E0A78F4" w14:textId="5EC7EE31" w:rsidR="003D746B" w:rsidRPr="00BA1D2B" w:rsidRDefault="003D746B" w:rsidP="00392788">
            <w:pPr>
              <w:spacing w:before="0" w:after="0" w:line="276" w:lineRule="auto"/>
              <w:rPr>
                <w:sz w:val="21"/>
                <w:szCs w:val="21"/>
                <w:lang w:val="en-AU"/>
              </w:rPr>
            </w:pPr>
            <w:r w:rsidRPr="00BA1D2B">
              <w:rPr>
                <w:sz w:val="21"/>
                <w:szCs w:val="21"/>
                <w:lang w:val="en-AU"/>
              </w:rPr>
              <w:t>Monitoring</w:t>
            </w:r>
            <w:r w:rsidR="00605DA2" w:rsidRPr="00BA1D2B">
              <w:rPr>
                <w:sz w:val="21"/>
                <w:szCs w:val="21"/>
                <w:lang w:val="en-AU"/>
              </w:rPr>
              <w:t>*</w:t>
            </w:r>
          </w:p>
        </w:tc>
      </w:tr>
      <w:tr w:rsidR="00BA1D2B" w:rsidRPr="00BA1D2B" w14:paraId="55513E9D" w14:textId="77777777" w:rsidTr="00392788">
        <w:trPr>
          <w:cnfStyle w:val="000000010000" w:firstRow="0" w:lastRow="0" w:firstColumn="0" w:lastColumn="0" w:oddVBand="0" w:evenVBand="0" w:oddHBand="0" w:evenHBand="1" w:firstRowFirstColumn="0" w:firstRowLastColumn="0" w:lastRowFirstColumn="0" w:lastRowLastColumn="0"/>
          <w:trHeight w:hRule="exact" w:val="567"/>
          <w:jc w:val="center"/>
        </w:trPr>
        <w:tc>
          <w:tcPr>
            <w:tcW w:w="4786" w:type="dxa"/>
            <w:tcBorders>
              <w:right w:val="none" w:sz="0" w:space="0" w:color="auto"/>
            </w:tcBorders>
            <w:shd w:val="clear" w:color="auto" w:fill="auto"/>
            <w:tcMar>
              <w:top w:w="0" w:type="dxa"/>
              <w:left w:w="113" w:type="dxa"/>
              <w:bottom w:w="0" w:type="dxa"/>
              <w:right w:w="113" w:type="dxa"/>
            </w:tcMar>
            <w:vAlign w:val="center"/>
            <w:hideMark/>
          </w:tcPr>
          <w:p w14:paraId="7D8A58CD" w14:textId="7806E172" w:rsidR="003D746B" w:rsidRPr="00BA1D2B" w:rsidRDefault="003D746B" w:rsidP="00392788">
            <w:pPr>
              <w:spacing w:before="0" w:after="0" w:line="276" w:lineRule="auto"/>
              <w:rPr>
                <w:sz w:val="21"/>
                <w:szCs w:val="21"/>
                <w:lang w:val="en-AU"/>
              </w:rPr>
            </w:pPr>
            <w:r w:rsidRPr="00BA1D2B">
              <w:rPr>
                <w:sz w:val="21"/>
                <w:szCs w:val="21"/>
                <w:lang w:val="en-AU"/>
              </w:rPr>
              <w:t>Education/training/mentoring of researchers</w:t>
            </w:r>
            <w:r w:rsidR="007E146D" w:rsidRPr="00BA1D2B">
              <w:rPr>
                <w:sz w:val="21"/>
                <w:szCs w:val="21"/>
                <w:lang w:val="en-AU"/>
              </w:rPr>
              <w:t>*</w:t>
            </w:r>
          </w:p>
        </w:tc>
        <w:tc>
          <w:tcPr>
            <w:tcW w:w="4885" w:type="dxa"/>
            <w:tcBorders>
              <w:left w:val="none" w:sz="0" w:space="0" w:color="auto"/>
            </w:tcBorders>
            <w:shd w:val="clear" w:color="auto" w:fill="auto"/>
            <w:tcMar>
              <w:top w:w="0" w:type="dxa"/>
              <w:left w:w="113" w:type="dxa"/>
              <w:bottom w:w="0" w:type="dxa"/>
              <w:right w:w="113" w:type="dxa"/>
            </w:tcMar>
            <w:vAlign w:val="center"/>
            <w:hideMark/>
          </w:tcPr>
          <w:p w14:paraId="3F7DB9E4" w14:textId="18F3DF3D" w:rsidR="003D746B" w:rsidRPr="00BA1D2B" w:rsidRDefault="003D746B" w:rsidP="00392788">
            <w:pPr>
              <w:spacing w:before="0" w:after="0" w:line="276" w:lineRule="auto"/>
              <w:rPr>
                <w:sz w:val="21"/>
                <w:szCs w:val="21"/>
                <w:lang w:val="en-AU"/>
              </w:rPr>
            </w:pPr>
            <w:r w:rsidRPr="00BA1D2B">
              <w:rPr>
                <w:sz w:val="21"/>
                <w:szCs w:val="21"/>
                <w:lang w:val="en-AU"/>
              </w:rPr>
              <w:t>Statistical analysis</w:t>
            </w:r>
            <w:r w:rsidR="00605DA2" w:rsidRPr="00BA1D2B">
              <w:rPr>
                <w:sz w:val="21"/>
                <w:szCs w:val="21"/>
                <w:lang w:val="en-AU"/>
              </w:rPr>
              <w:t>*</w:t>
            </w:r>
          </w:p>
        </w:tc>
      </w:tr>
      <w:tr w:rsidR="00BA1D2B" w:rsidRPr="00BA1D2B" w14:paraId="5B6EA152" w14:textId="77777777" w:rsidTr="00392788">
        <w:trPr>
          <w:cnfStyle w:val="000000100000" w:firstRow="0" w:lastRow="0" w:firstColumn="0" w:lastColumn="0" w:oddVBand="0" w:evenVBand="0" w:oddHBand="1" w:evenHBand="0" w:firstRowFirstColumn="0" w:firstRowLastColumn="0" w:lastRowFirstColumn="0" w:lastRowLastColumn="0"/>
          <w:trHeight w:hRule="exact" w:val="567"/>
          <w:jc w:val="center"/>
        </w:trPr>
        <w:tc>
          <w:tcPr>
            <w:tcW w:w="4786" w:type="dxa"/>
            <w:tcBorders>
              <w:right w:val="none" w:sz="0" w:space="0" w:color="auto"/>
            </w:tcBorders>
            <w:shd w:val="clear" w:color="auto" w:fill="auto"/>
            <w:tcMar>
              <w:top w:w="0" w:type="dxa"/>
              <w:left w:w="113" w:type="dxa"/>
              <w:bottom w:w="0" w:type="dxa"/>
              <w:right w:w="113" w:type="dxa"/>
            </w:tcMar>
            <w:vAlign w:val="center"/>
            <w:hideMark/>
          </w:tcPr>
          <w:p w14:paraId="28DBDE42" w14:textId="77777777" w:rsidR="003D746B" w:rsidRPr="00BA1D2B" w:rsidRDefault="003D746B" w:rsidP="00392788">
            <w:pPr>
              <w:spacing w:before="0" w:after="0" w:line="276" w:lineRule="auto"/>
              <w:rPr>
                <w:sz w:val="21"/>
                <w:szCs w:val="21"/>
                <w:lang w:val="en-AU"/>
              </w:rPr>
            </w:pPr>
            <w:r w:rsidRPr="00BA1D2B">
              <w:rPr>
                <w:sz w:val="21"/>
                <w:szCs w:val="21"/>
                <w:lang w:val="en-AU"/>
              </w:rPr>
              <w:t>Advocacy and industry/consumer liaison</w:t>
            </w:r>
          </w:p>
        </w:tc>
        <w:tc>
          <w:tcPr>
            <w:tcW w:w="4885" w:type="dxa"/>
            <w:tcBorders>
              <w:left w:val="none" w:sz="0" w:space="0" w:color="auto"/>
            </w:tcBorders>
            <w:shd w:val="clear" w:color="auto" w:fill="auto"/>
            <w:tcMar>
              <w:top w:w="0" w:type="dxa"/>
              <w:left w:w="113" w:type="dxa"/>
              <w:bottom w:w="0" w:type="dxa"/>
              <w:right w:w="113" w:type="dxa"/>
            </w:tcMar>
            <w:vAlign w:val="center"/>
            <w:hideMark/>
          </w:tcPr>
          <w:p w14:paraId="15EA5FEC" w14:textId="3709AF22" w:rsidR="003D746B" w:rsidRPr="00BA1D2B" w:rsidRDefault="003D746B" w:rsidP="00392788">
            <w:pPr>
              <w:spacing w:before="0" w:after="0" w:line="276" w:lineRule="auto"/>
              <w:rPr>
                <w:sz w:val="21"/>
                <w:szCs w:val="21"/>
                <w:lang w:val="en-AU"/>
              </w:rPr>
            </w:pPr>
            <w:r w:rsidRPr="00BA1D2B">
              <w:rPr>
                <w:sz w:val="21"/>
                <w:szCs w:val="21"/>
                <w:lang w:val="en-AU"/>
              </w:rPr>
              <w:t>Regulatory affairs</w:t>
            </w:r>
            <w:r w:rsidR="00605DA2" w:rsidRPr="00BA1D2B">
              <w:rPr>
                <w:sz w:val="21"/>
                <w:szCs w:val="21"/>
                <w:lang w:val="en-AU"/>
              </w:rPr>
              <w:t>*</w:t>
            </w:r>
          </w:p>
        </w:tc>
      </w:tr>
      <w:tr w:rsidR="00BA1D2B" w:rsidRPr="00BA1D2B" w14:paraId="74CD2423" w14:textId="77777777" w:rsidTr="00392788">
        <w:trPr>
          <w:cnfStyle w:val="000000010000" w:firstRow="0" w:lastRow="0" w:firstColumn="0" w:lastColumn="0" w:oddVBand="0" w:evenVBand="0" w:oddHBand="0" w:evenHBand="1" w:firstRowFirstColumn="0" w:firstRowLastColumn="0" w:lastRowFirstColumn="0" w:lastRowLastColumn="0"/>
          <w:trHeight w:hRule="exact" w:val="567"/>
          <w:jc w:val="center"/>
        </w:trPr>
        <w:tc>
          <w:tcPr>
            <w:tcW w:w="4786" w:type="dxa"/>
            <w:tcBorders>
              <w:right w:val="none" w:sz="0" w:space="0" w:color="auto"/>
            </w:tcBorders>
            <w:shd w:val="clear" w:color="auto" w:fill="auto"/>
            <w:tcMar>
              <w:top w:w="0" w:type="dxa"/>
              <w:left w:w="113" w:type="dxa"/>
              <w:bottom w:w="0" w:type="dxa"/>
              <w:right w:w="113" w:type="dxa"/>
            </w:tcMar>
            <w:vAlign w:val="center"/>
            <w:hideMark/>
          </w:tcPr>
          <w:p w14:paraId="3E2FB6A8" w14:textId="09908352" w:rsidR="003D746B" w:rsidRPr="00BA1D2B" w:rsidRDefault="003D746B" w:rsidP="00392788">
            <w:pPr>
              <w:spacing w:before="0" w:after="0" w:line="276" w:lineRule="auto"/>
              <w:rPr>
                <w:sz w:val="21"/>
                <w:szCs w:val="21"/>
                <w:lang w:val="en-AU"/>
              </w:rPr>
            </w:pPr>
            <w:r w:rsidRPr="00BA1D2B">
              <w:rPr>
                <w:sz w:val="21"/>
                <w:szCs w:val="21"/>
                <w:lang w:val="en-AU"/>
              </w:rPr>
              <w:t>Site selection and trial oversight</w:t>
            </w:r>
            <w:r w:rsidR="00605DA2" w:rsidRPr="00BA1D2B">
              <w:rPr>
                <w:sz w:val="21"/>
                <w:szCs w:val="21"/>
                <w:lang w:val="en-AU"/>
              </w:rPr>
              <w:t>*</w:t>
            </w:r>
          </w:p>
        </w:tc>
        <w:tc>
          <w:tcPr>
            <w:tcW w:w="4885" w:type="dxa"/>
            <w:tcBorders>
              <w:left w:val="none" w:sz="0" w:space="0" w:color="auto"/>
            </w:tcBorders>
            <w:shd w:val="clear" w:color="auto" w:fill="auto"/>
            <w:tcMar>
              <w:top w:w="0" w:type="dxa"/>
              <w:left w:w="113" w:type="dxa"/>
              <w:bottom w:w="0" w:type="dxa"/>
              <w:right w:w="113" w:type="dxa"/>
            </w:tcMar>
            <w:vAlign w:val="center"/>
            <w:hideMark/>
          </w:tcPr>
          <w:p w14:paraId="477F2C23" w14:textId="77777777" w:rsidR="003D746B" w:rsidRPr="00BA1D2B" w:rsidRDefault="003D746B" w:rsidP="00392788">
            <w:pPr>
              <w:spacing w:before="0" w:after="0" w:line="276" w:lineRule="auto"/>
              <w:rPr>
                <w:sz w:val="21"/>
                <w:szCs w:val="21"/>
                <w:lang w:val="en-AU"/>
              </w:rPr>
            </w:pPr>
            <w:r w:rsidRPr="00BA1D2B">
              <w:rPr>
                <w:sz w:val="21"/>
                <w:szCs w:val="21"/>
                <w:lang w:val="en-AU"/>
              </w:rPr>
              <w:t>May or may not act as study sponsor</w:t>
            </w:r>
          </w:p>
        </w:tc>
      </w:tr>
      <w:tr w:rsidR="00BA1D2B" w:rsidRPr="00BA1D2B" w14:paraId="1D48BCA0" w14:textId="77777777" w:rsidTr="00392788">
        <w:trPr>
          <w:cnfStyle w:val="000000100000" w:firstRow="0" w:lastRow="0" w:firstColumn="0" w:lastColumn="0" w:oddVBand="0" w:evenVBand="0" w:oddHBand="1" w:evenHBand="0" w:firstRowFirstColumn="0" w:firstRowLastColumn="0" w:lastRowFirstColumn="0" w:lastRowLastColumn="0"/>
          <w:trHeight w:hRule="exact" w:val="567"/>
          <w:jc w:val="center"/>
        </w:trPr>
        <w:tc>
          <w:tcPr>
            <w:tcW w:w="4786" w:type="dxa"/>
            <w:tcBorders>
              <w:right w:val="none" w:sz="0" w:space="0" w:color="auto"/>
            </w:tcBorders>
            <w:shd w:val="clear" w:color="auto" w:fill="auto"/>
            <w:tcMar>
              <w:top w:w="0" w:type="dxa"/>
              <w:left w:w="113" w:type="dxa"/>
              <w:bottom w:w="0" w:type="dxa"/>
              <w:right w:w="113" w:type="dxa"/>
            </w:tcMar>
            <w:vAlign w:val="center"/>
            <w:hideMark/>
          </w:tcPr>
          <w:p w14:paraId="7CF0425B" w14:textId="77777777" w:rsidR="003D746B" w:rsidRPr="00BA1D2B" w:rsidRDefault="003D746B" w:rsidP="00392788">
            <w:pPr>
              <w:spacing w:before="0" w:after="0" w:line="276" w:lineRule="auto"/>
              <w:rPr>
                <w:sz w:val="21"/>
                <w:szCs w:val="21"/>
                <w:lang w:val="en-AU"/>
              </w:rPr>
            </w:pPr>
            <w:r w:rsidRPr="00BA1D2B">
              <w:rPr>
                <w:sz w:val="21"/>
                <w:szCs w:val="21"/>
                <w:lang w:val="en-AU"/>
              </w:rPr>
              <w:t>Clinical guideline development</w:t>
            </w:r>
          </w:p>
        </w:tc>
        <w:tc>
          <w:tcPr>
            <w:tcW w:w="4885" w:type="dxa"/>
            <w:tcBorders>
              <w:left w:val="none" w:sz="0" w:space="0" w:color="auto"/>
            </w:tcBorders>
            <w:shd w:val="clear" w:color="auto" w:fill="auto"/>
            <w:tcMar>
              <w:top w:w="0" w:type="dxa"/>
              <w:left w:w="113" w:type="dxa"/>
              <w:bottom w:w="0" w:type="dxa"/>
              <w:right w:w="113" w:type="dxa"/>
            </w:tcMar>
            <w:vAlign w:val="center"/>
            <w:hideMark/>
          </w:tcPr>
          <w:p w14:paraId="282E8FA0" w14:textId="77777777" w:rsidR="003D746B" w:rsidRPr="00BA1D2B" w:rsidRDefault="003D746B" w:rsidP="00392788">
            <w:pPr>
              <w:spacing w:before="0" w:after="0" w:line="276" w:lineRule="auto"/>
              <w:rPr>
                <w:sz w:val="21"/>
                <w:szCs w:val="21"/>
                <w:lang w:val="en-AU"/>
              </w:rPr>
            </w:pPr>
          </w:p>
        </w:tc>
      </w:tr>
    </w:tbl>
    <w:p w14:paraId="7C79220D" w14:textId="6F850175" w:rsidR="004108D1" w:rsidRDefault="00605DA2" w:rsidP="00352327">
      <w:pPr>
        <w:rPr>
          <w:lang w:val="en-AU"/>
        </w:rPr>
      </w:pPr>
      <w:r w:rsidRPr="00352327">
        <w:rPr>
          <w:sz w:val="18"/>
          <w:szCs w:val="16"/>
          <w:lang w:val="en-AU"/>
        </w:rPr>
        <w:t xml:space="preserve">* Activities that are often undertaken in </w:t>
      </w:r>
      <w:r w:rsidR="007E146D" w:rsidRPr="00352327">
        <w:rPr>
          <w:sz w:val="18"/>
          <w:szCs w:val="16"/>
          <w:lang w:val="en-AU"/>
        </w:rPr>
        <w:t>partnersh</w:t>
      </w:r>
      <w:r w:rsidR="007E146D">
        <w:rPr>
          <w:sz w:val="18"/>
          <w:szCs w:val="16"/>
          <w:lang w:val="en-AU"/>
        </w:rPr>
        <w:t>ip</w:t>
      </w:r>
      <w:r w:rsidR="004108D1">
        <w:rPr>
          <w:sz w:val="18"/>
          <w:szCs w:val="16"/>
          <w:lang w:val="en-AU"/>
        </w:rPr>
        <w:t xml:space="preserve"> with clinical t</w:t>
      </w:r>
      <w:r w:rsidRPr="00352327">
        <w:rPr>
          <w:sz w:val="18"/>
          <w:szCs w:val="16"/>
          <w:lang w:val="en-AU"/>
        </w:rPr>
        <w:t>rial</w:t>
      </w:r>
      <w:r w:rsidR="004108D1">
        <w:rPr>
          <w:sz w:val="18"/>
          <w:szCs w:val="16"/>
          <w:lang w:val="en-AU"/>
        </w:rPr>
        <w:t xml:space="preserve"> coordinating c</w:t>
      </w:r>
      <w:r w:rsidRPr="00352327">
        <w:rPr>
          <w:sz w:val="18"/>
          <w:szCs w:val="16"/>
          <w:lang w:val="en-AU"/>
        </w:rPr>
        <w:t>entres.</w:t>
      </w:r>
    </w:p>
    <w:p w14:paraId="7752C509" w14:textId="33D08D27" w:rsidR="00D646AC" w:rsidRDefault="004108D1" w:rsidP="00392788">
      <w:pPr>
        <w:pStyle w:val="Commissionbodytext"/>
        <w:rPr>
          <w:rFonts w:eastAsiaTheme="minorEastAsia"/>
          <w:b/>
          <w:bCs/>
          <w:color w:val="2F5496" w:themeColor="accent5" w:themeShade="BF"/>
          <w:spacing w:val="6"/>
          <w:szCs w:val="18"/>
          <w:lang w:bidi="hi-IN"/>
        </w:rPr>
      </w:pPr>
      <w:r>
        <w:t>The defining characteristics of networks provide levers that add value to the process of conducting investigator-initiated clinical trials</w:t>
      </w:r>
      <w:bookmarkStart w:id="19" w:name="_Ref475266866"/>
      <w:r w:rsidR="00D646AC">
        <w:t xml:space="preserve"> </w:t>
      </w:r>
      <w:r w:rsidR="0063257E">
        <w:t>(</w:t>
      </w:r>
      <w:r w:rsidR="0063257E">
        <w:fldChar w:fldCharType="begin"/>
      </w:r>
      <w:r w:rsidR="0063257E">
        <w:instrText xml:space="preserve"> REF _Ref482005697 \h </w:instrText>
      </w:r>
      <w:r w:rsidR="00F71233">
        <w:instrText xml:space="preserve"> \* MERGEFORMAT </w:instrText>
      </w:r>
      <w:r w:rsidR="0063257E">
        <w:fldChar w:fldCharType="separate"/>
      </w:r>
      <w:r w:rsidR="007B3054">
        <w:t xml:space="preserve">Table </w:t>
      </w:r>
      <w:r w:rsidR="007B3054">
        <w:rPr>
          <w:noProof/>
        </w:rPr>
        <w:t>2</w:t>
      </w:r>
      <w:r w:rsidR="0063257E">
        <w:fldChar w:fldCharType="end"/>
      </w:r>
      <w:r w:rsidR="0063257E">
        <w:t>).</w:t>
      </w:r>
      <w:bookmarkStart w:id="20" w:name="_Ref482004832"/>
      <w:bookmarkStart w:id="21" w:name="_Toc479177725"/>
    </w:p>
    <w:p w14:paraId="74F98917" w14:textId="47C94AAC" w:rsidR="00903EF5" w:rsidRPr="00323A94" w:rsidRDefault="00903EF5" w:rsidP="00903EF5">
      <w:pPr>
        <w:pStyle w:val="Caption"/>
      </w:pPr>
      <w:bookmarkStart w:id="22" w:name="_Ref482005697"/>
      <w:r>
        <w:lastRenderedPageBreak/>
        <w:t xml:space="preserve">Table </w:t>
      </w:r>
      <w:fldSimple w:instr=" SEQ Table \* ARABIC ">
        <w:r w:rsidR="007B3054">
          <w:rPr>
            <w:noProof/>
          </w:rPr>
          <w:t>2</w:t>
        </w:r>
      </w:fldSimple>
      <w:bookmarkEnd w:id="19"/>
      <w:bookmarkEnd w:id="20"/>
      <w:bookmarkEnd w:id="22"/>
      <w:r>
        <w:t>. Network characteristics that add value to clinical trials</w:t>
      </w:r>
      <w:bookmarkEnd w:id="21"/>
    </w:p>
    <w:tbl>
      <w:tblPr>
        <w:tblStyle w:val="GridTable5Dark-Accent41"/>
        <w:tblW w:w="9999"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420" w:firstRow="1" w:lastRow="0" w:firstColumn="0" w:lastColumn="0" w:noHBand="0" w:noVBand="1"/>
      </w:tblPr>
      <w:tblGrid>
        <w:gridCol w:w="2486"/>
        <w:gridCol w:w="3132"/>
        <w:gridCol w:w="4381"/>
      </w:tblGrid>
      <w:tr w:rsidR="007E146D" w:rsidRPr="0050296E" w14:paraId="015657AD" w14:textId="77777777" w:rsidTr="00392788">
        <w:trPr>
          <w:cnfStyle w:val="100000000000" w:firstRow="1" w:lastRow="0" w:firstColumn="0" w:lastColumn="0" w:oddVBand="0" w:evenVBand="0" w:oddHBand="0" w:evenHBand="0" w:firstRowFirstColumn="0" w:firstRowLastColumn="0" w:lastRowFirstColumn="0" w:lastRowLastColumn="0"/>
          <w:trHeight w:val="453"/>
          <w:tblHeader/>
        </w:trPr>
        <w:tc>
          <w:tcPr>
            <w:tcW w:w="2486" w:type="dxa"/>
            <w:tcBorders>
              <w:top w:val="none" w:sz="0" w:space="0" w:color="auto"/>
              <w:left w:val="none" w:sz="0" w:space="0" w:color="auto"/>
              <w:right w:val="none" w:sz="0" w:space="0" w:color="auto"/>
            </w:tcBorders>
            <w:shd w:val="clear" w:color="auto" w:fill="2F5496" w:themeFill="accent5" w:themeFillShade="BF"/>
            <w:tcMar>
              <w:top w:w="0" w:type="dxa"/>
              <w:left w:w="113" w:type="dxa"/>
              <w:bottom w:w="0" w:type="dxa"/>
              <w:right w:w="113" w:type="dxa"/>
            </w:tcMar>
            <w:vAlign w:val="bottom"/>
            <w:hideMark/>
          </w:tcPr>
          <w:p w14:paraId="240D2188" w14:textId="4CF1245B" w:rsidR="00903EF5" w:rsidRPr="00F074A5" w:rsidRDefault="00903EF5" w:rsidP="00392788">
            <w:pPr>
              <w:spacing w:after="0" w:line="276" w:lineRule="auto"/>
              <w:rPr>
                <w:rFonts w:eastAsiaTheme="minorHAnsi"/>
                <w:b w:val="0"/>
                <w:bCs w:val="0"/>
                <w:sz w:val="21"/>
                <w:szCs w:val="21"/>
                <w:lang w:val="en-AU" w:eastAsia="zh-CN"/>
              </w:rPr>
            </w:pPr>
            <w:r w:rsidRPr="00643275">
              <w:rPr>
                <w:sz w:val="21"/>
                <w:szCs w:val="21"/>
                <w:lang w:val="en-AU"/>
              </w:rPr>
              <w:t xml:space="preserve">Network </w:t>
            </w:r>
            <w:r w:rsidR="00F71233" w:rsidRPr="00392788">
              <w:rPr>
                <w:rFonts w:eastAsiaTheme="minorHAnsi"/>
                <w:bCs w:val="0"/>
                <w:sz w:val="21"/>
                <w:szCs w:val="21"/>
                <w:lang w:val="en-AU" w:eastAsia="zh-CN"/>
              </w:rPr>
              <w:t>c</w:t>
            </w:r>
            <w:r w:rsidRPr="00643275">
              <w:rPr>
                <w:sz w:val="21"/>
                <w:szCs w:val="21"/>
                <w:lang w:val="en-AU"/>
              </w:rPr>
              <w:t>haracteristic</w:t>
            </w:r>
          </w:p>
        </w:tc>
        <w:tc>
          <w:tcPr>
            <w:tcW w:w="3132" w:type="dxa"/>
            <w:tcBorders>
              <w:top w:val="none" w:sz="0" w:space="0" w:color="auto"/>
              <w:left w:val="none" w:sz="0" w:space="0" w:color="auto"/>
              <w:right w:val="none" w:sz="0" w:space="0" w:color="auto"/>
            </w:tcBorders>
            <w:shd w:val="clear" w:color="auto" w:fill="2F5496" w:themeFill="accent5" w:themeFillShade="BF"/>
            <w:tcMar>
              <w:top w:w="0" w:type="dxa"/>
              <w:left w:w="113" w:type="dxa"/>
              <w:bottom w:w="0" w:type="dxa"/>
              <w:right w:w="113" w:type="dxa"/>
            </w:tcMar>
            <w:vAlign w:val="bottom"/>
            <w:hideMark/>
          </w:tcPr>
          <w:p w14:paraId="26CC20B8" w14:textId="5A0CA128" w:rsidR="00903EF5" w:rsidRPr="00F074A5" w:rsidRDefault="00903EF5" w:rsidP="00392788">
            <w:pPr>
              <w:spacing w:after="0" w:line="276" w:lineRule="auto"/>
              <w:rPr>
                <w:rFonts w:eastAsiaTheme="minorHAnsi"/>
                <w:b w:val="0"/>
                <w:bCs w:val="0"/>
                <w:sz w:val="21"/>
                <w:szCs w:val="21"/>
                <w:lang w:val="en-AU" w:eastAsia="zh-CN"/>
              </w:rPr>
            </w:pPr>
            <w:r w:rsidRPr="00643275">
              <w:rPr>
                <w:sz w:val="21"/>
                <w:szCs w:val="21"/>
                <w:lang w:val="en-AU"/>
              </w:rPr>
              <w:t xml:space="preserve">Value </w:t>
            </w:r>
            <w:r w:rsidR="00F71233" w:rsidRPr="00392788">
              <w:rPr>
                <w:rFonts w:eastAsiaTheme="minorHAnsi"/>
                <w:bCs w:val="0"/>
                <w:sz w:val="21"/>
                <w:szCs w:val="21"/>
                <w:lang w:val="en-AU" w:eastAsia="zh-CN"/>
              </w:rPr>
              <w:t>l</w:t>
            </w:r>
            <w:r w:rsidRPr="00643275">
              <w:rPr>
                <w:sz w:val="21"/>
                <w:szCs w:val="21"/>
                <w:lang w:val="en-AU"/>
              </w:rPr>
              <w:t>ever</w:t>
            </w:r>
          </w:p>
        </w:tc>
        <w:tc>
          <w:tcPr>
            <w:tcW w:w="4381" w:type="dxa"/>
            <w:tcBorders>
              <w:top w:val="none" w:sz="0" w:space="0" w:color="auto"/>
              <w:left w:val="none" w:sz="0" w:space="0" w:color="auto"/>
              <w:right w:val="none" w:sz="0" w:space="0" w:color="auto"/>
            </w:tcBorders>
            <w:shd w:val="clear" w:color="auto" w:fill="2F5496" w:themeFill="accent5" w:themeFillShade="BF"/>
            <w:tcMar>
              <w:top w:w="0" w:type="dxa"/>
              <w:left w:w="113" w:type="dxa"/>
              <w:bottom w:w="0" w:type="dxa"/>
              <w:right w:w="113" w:type="dxa"/>
            </w:tcMar>
            <w:vAlign w:val="bottom"/>
            <w:hideMark/>
          </w:tcPr>
          <w:p w14:paraId="0010032C" w14:textId="318F5D2A" w:rsidR="00903EF5" w:rsidRPr="00F074A5" w:rsidRDefault="00903EF5" w:rsidP="00392788">
            <w:pPr>
              <w:spacing w:after="0" w:line="276" w:lineRule="auto"/>
              <w:rPr>
                <w:rFonts w:eastAsiaTheme="minorHAnsi"/>
                <w:b w:val="0"/>
                <w:bCs w:val="0"/>
                <w:sz w:val="21"/>
                <w:szCs w:val="21"/>
                <w:lang w:val="en-AU" w:eastAsia="zh-CN"/>
              </w:rPr>
            </w:pPr>
            <w:r w:rsidRPr="00643275">
              <w:rPr>
                <w:sz w:val="21"/>
                <w:szCs w:val="21"/>
                <w:lang w:val="en-AU"/>
              </w:rPr>
              <w:t xml:space="preserve">Added </w:t>
            </w:r>
            <w:r w:rsidR="00F71233" w:rsidRPr="00392788">
              <w:rPr>
                <w:rFonts w:eastAsiaTheme="minorHAnsi"/>
                <w:bCs w:val="0"/>
                <w:sz w:val="21"/>
                <w:szCs w:val="21"/>
                <w:lang w:val="en-AU" w:eastAsia="zh-CN"/>
              </w:rPr>
              <w:t>v</w:t>
            </w:r>
            <w:r w:rsidRPr="00643275">
              <w:rPr>
                <w:sz w:val="21"/>
                <w:szCs w:val="21"/>
                <w:lang w:val="en-AU"/>
              </w:rPr>
              <w:t>alue</w:t>
            </w:r>
          </w:p>
        </w:tc>
      </w:tr>
      <w:tr w:rsidR="007E146D" w:rsidRPr="0050296E" w14:paraId="5A5F3081" w14:textId="77777777" w:rsidTr="00392788">
        <w:trPr>
          <w:cnfStyle w:val="000000100000" w:firstRow="0" w:lastRow="0" w:firstColumn="0" w:lastColumn="0" w:oddVBand="0" w:evenVBand="0" w:oddHBand="1" w:evenHBand="0" w:firstRowFirstColumn="0" w:firstRowLastColumn="0" w:lastRowFirstColumn="0" w:lastRowLastColumn="0"/>
          <w:trHeight w:val="1838"/>
        </w:trPr>
        <w:tc>
          <w:tcPr>
            <w:tcW w:w="2486" w:type="dxa"/>
            <w:shd w:val="clear" w:color="auto" w:fill="auto"/>
            <w:tcMar>
              <w:top w:w="0" w:type="dxa"/>
              <w:left w:w="113" w:type="dxa"/>
              <w:bottom w:w="0" w:type="dxa"/>
              <w:right w:w="113" w:type="dxa"/>
            </w:tcMar>
            <w:vAlign w:val="center"/>
            <w:hideMark/>
          </w:tcPr>
          <w:p w14:paraId="686E2D29" w14:textId="2C36F417" w:rsidR="00903EF5" w:rsidRPr="0050296E" w:rsidRDefault="00903EF5" w:rsidP="00392788">
            <w:pPr>
              <w:spacing w:before="0" w:after="0" w:line="276" w:lineRule="auto"/>
              <w:rPr>
                <w:rStyle w:val="highlight"/>
                <w:sz w:val="21"/>
                <w:szCs w:val="21"/>
              </w:rPr>
            </w:pPr>
            <w:r w:rsidRPr="0050296E">
              <w:rPr>
                <w:rStyle w:val="highlight"/>
                <w:sz w:val="21"/>
                <w:szCs w:val="21"/>
              </w:rPr>
              <w:t>A highly collaborative community of clinicians and research experts</w:t>
            </w:r>
            <w:r w:rsidR="004A4F09">
              <w:rPr>
                <w:rStyle w:val="highlight"/>
                <w:sz w:val="21"/>
                <w:szCs w:val="21"/>
              </w:rPr>
              <w:t>.</w:t>
            </w:r>
          </w:p>
        </w:tc>
        <w:tc>
          <w:tcPr>
            <w:tcW w:w="3132" w:type="dxa"/>
            <w:shd w:val="clear" w:color="auto" w:fill="auto"/>
            <w:tcMar>
              <w:top w:w="0" w:type="dxa"/>
              <w:left w:w="113" w:type="dxa"/>
              <w:bottom w:w="0" w:type="dxa"/>
              <w:right w:w="113" w:type="dxa"/>
            </w:tcMar>
            <w:vAlign w:val="center"/>
            <w:hideMark/>
          </w:tcPr>
          <w:p w14:paraId="2F7E7E3E" w14:textId="533ECFFA" w:rsidR="00903EF5" w:rsidRDefault="00903EF5" w:rsidP="00392788">
            <w:pPr>
              <w:spacing w:before="0" w:after="0" w:line="276" w:lineRule="auto"/>
              <w:rPr>
                <w:rStyle w:val="highlight"/>
                <w:sz w:val="21"/>
                <w:szCs w:val="21"/>
              </w:rPr>
            </w:pPr>
            <w:r w:rsidRPr="0050296E">
              <w:rPr>
                <w:rStyle w:val="highlight"/>
                <w:sz w:val="21"/>
                <w:szCs w:val="21"/>
              </w:rPr>
              <w:t>Shared values and insight of the most relevant front-line clinical issues</w:t>
            </w:r>
            <w:r w:rsidR="004A4F09">
              <w:rPr>
                <w:rStyle w:val="highlight"/>
                <w:sz w:val="21"/>
                <w:szCs w:val="21"/>
              </w:rPr>
              <w:t>.</w:t>
            </w:r>
          </w:p>
          <w:p w14:paraId="65C776EC" w14:textId="2BBD82F3" w:rsidR="00903EF5" w:rsidRPr="0050296E" w:rsidRDefault="00903EF5" w:rsidP="00392788">
            <w:pPr>
              <w:spacing w:before="0" w:after="0" w:line="276" w:lineRule="auto"/>
              <w:rPr>
                <w:rStyle w:val="highlight"/>
                <w:sz w:val="21"/>
                <w:szCs w:val="21"/>
              </w:rPr>
            </w:pPr>
            <w:r w:rsidRPr="0050296E">
              <w:rPr>
                <w:rStyle w:val="highlight"/>
                <w:sz w:val="21"/>
                <w:szCs w:val="21"/>
              </w:rPr>
              <w:t>Knowledge dissemination and expertise transfer</w:t>
            </w:r>
            <w:r w:rsidR="004A4F09">
              <w:rPr>
                <w:rStyle w:val="highlight"/>
                <w:sz w:val="21"/>
                <w:szCs w:val="21"/>
              </w:rPr>
              <w:t>.</w:t>
            </w:r>
          </w:p>
        </w:tc>
        <w:tc>
          <w:tcPr>
            <w:tcW w:w="4381" w:type="dxa"/>
            <w:shd w:val="clear" w:color="auto" w:fill="auto"/>
            <w:tcMar>
              <w:top w:w="0" w:type="dxa"/>
              <w:left w:w="113" w:type="dxa"/>
              <w:bottom w:w="0" w:type="dxa"/>
              <w:right w:w="113" w:type="dxa"/>
            </w:tcMar>
            <w:vAlign w:val="center"/>
            <w:hideMark/>
          </w:tcPr>
          <w:p w14:paraId="306A118E" w14:textId="0850338B" w:rsidR="00903EF5" w:rsidRDefault="00903EF5" w:rsidP="00392788">
            <w:pPr>
              <w:spacing w:before="0" w:after="0" w:line="276" w:lineRule="auto"/>
              <w:rPr>
                <w:rStyle w:val="highlight"/>
                <w:sz w:val="21"/>
                <w:szCs w:val="21"/>
              </w:rPr>
            </w:pPr>
            <w:r w:rsidRPr="0050296E">
              <w:rPr>
                <w:rStyle w:val="highlight"/>
                <w:sz w:val="21"/>
                <w:szCs w:val="21"/>
              </w:rPr>
              <w:t>Research questions are targeted to relevant clinical topics</w:t>
            </w:r>
            <w:r w:rsidR="004A4F09">
              <w:rPr>
                <w:rStyle w:val="highlight"/>
                <w:sz w:val="21"/>
                <w:szCs w:val="21"/>
              </w:rPr>
              <w:t>.</w:t>
            </w:r>
          </w:p>
          <w:p w14:paraId="302A1B1F" w14:textId="20556D56" w:rsidR="00903EF5" w:rsidRPr="0050296E" w:rsidRDefault="00903EF5" w:rsidP="00392788">
            <w:pPr>
              <w:spacing w:before="0" w:after="0" w:line="276" w:lineRule="auto"/>
              <w:rPr>
                <w:rStyle w:val="highlight"/>
                <w:sz w:val="21"/>
                <w:szCs w:val="21"/>
              </w:rPr>
            </w:pPr>
            <w:r w:rsidRPr="0050296E">
              <w:rPr>
                <w:rStyle w:val="highlight"/>
                <w:sz w:val="21"/>
                <w:szCs w:val="21"/>
              </w:rPr>
              <w:t>Maximises trial feasibility and awareness of findings.</w:t>
            </w:r>
            <w:r w:rsidR="00BD68CF">
              <w:rPr>
                <w:rStyle w:val="highlight"/>
                <w:sz w:val="21"/>
                <w:szCs w:val="21"/>
              </w:rPr>
              <w:t xml:space="preserve"> </w:t>
            </w:r>
            <w:r w:rsidRPr="0050296E">
              <w:rPr>
                <w:rStyle w:val="highlight"/>
                <w:sz w:val="21"/>
                <w:szCs w:val="21"/>
              </w:rPr>
              <w:t xml:space="preserve">This is likely to </w:t>
            </w:r>
            <w:r w:rsidR="00E37C63">
              <w:rPr>
                <w:rStyle w:val="highlight"/>
                <w:sz w:val="21"/>
                <w:szCs w:val="21"/>
              </w:rPr>
              <w:t>enhance</w:t>
            </w:r>
            <w:r w:rsidRPr="0050296E">
              <w:rPr>
                <w:rStyle w:val="highlight"/>
                <w:sz w:val="21"/>
                <w:szCs w:val="21"/>
              </w:rPr>
              <w:t xml:space="preserve"> subsequent implementation of evidence in to practice</w:t>
            </w:r>
            <w:r w:rsidR="004A4F09">
              <w:rPr>
                <w:rStyle w:val="highlight"/>
                <w:sz w:val="21"/>
                <w:szCs w:val="21"/>
              </w:rPr>
              <w:t>.</w:t>
            </w:r>
          </w:p>
        </w:tc>
      </w:tr>
      <w:tr w:rsidR="007E146D" w:rsidRPr="0050296E" w14:paraId="46A3392C" w14:textId="77777777" w:rsidTr="00392788">
        <w:trPr>
          <w:trHeight w:val="1551"/>
        </w:trPr>
        <w:tc>
          <w:tcPr>
            <w:tcW w:w="2486" w:type="dxa"/>
            <w:shd w:val="clear" w:color="auto" w:fill="auto"/>
            <w:tcMar>
              <w:top w:w="0" w:type="dxa"/>
              <w:left w:w="113" w:type="dxa"/>
              <w:bottom w:w="0" w:type="dxa"/>
              <w:right w:w="113" w:type="dxa"/>
            </w:tcMar>
            <w:vAlign w:val="center"/>
            <w:hideMark/>
          </w:tcPr>
          <w:p w14:paraId="10D4A034" w14:textId="41E1E489" w:rsidR="00903EF5" w:rsidRPr="0050296E" w:rsidRDefault="00903EF5" w:rsidP="00392788">
            <w:pPr>
              <w:spacing w:before="0" w:after="0" w:line="276" w:lineRule="auto"/>
              <w:rPr>
                <w:rStyle w:val="highlight"/>
                <w:sz w:val="21"/>
                <w:szCs w:val="21"/>
              </w:rPr>
            </w:pPr>
            <w:r w:rsidRPr="0050296E">
              <w:rPr>
                <w:rStyle w:val="highlight"/>
                <w:sz w:val="21"/>
                <w:szCs w:val="21"/>
              </w:rPr>
              <w:t>Representation across multiple geographically dispersed sites</w:t>
            </w:r>
            <w:r w:rsidR="00E37C63">
              <w:rPr>
                <w:rStyle w:val="highlight"/>
                <w:sz w:val="21"/>
                <w:szCs w:val="21"/>
              </w:rPr>
              <w:t>, often including rural and regional centres</w:t>
            </w:r>
            <w:r w:rsidR="004A4F09">
              <w:rPr>
                <w:rStyle w:val="highlight"/>
                <w:sz w:val="21"/>
                <w:szCs w:val="21"/>
              </w:rPr>
              <w:t>.</w:t>
            </w:r>
          </w:p>
        </w:tc>
        <w:tc>
          <w:tcPr>
            <w:tcW w:w="3132" w:type="dxa"/>
            <w:shd w:val="clear" w:color="auto" w:fill="auto"/>
            <w:tcMar>
              <w:top w:w="0" w:type="dxa"/>
              <w:left w:w="113" w:type="dxa"/>
              <w:bottom w:w="0" w:type="dxa"/>
              <w:right w:w="113" w:type="dxa"/>
            </w:tcMar>
            <w:vAlign w:val="center"/>
            <w:hideMark/>
          </w:tcPr>
          <w:p w14:paraId="4812AE7A" w14:textId="3A53F4C4" w:rsidR="00903EF5" w:rsidRPr="0050296E" w:rsidRDefault="00903EF5" w:rsidP="00392788">
            <w:pPr>
              <w:spacing w:before="0" w:after="0" w:line="276" w:lineRule="auto"/>
              <w:rPr>
                <w:rStyle w:val="highlight"/>
                <w:sz w:val="21"/>
                <w:szCs w:val="21"/>
              </w:rPr>
            </w:pPr>
            <w:r w:rsidRPr="0050296E">
              <w:rPr>
                <w:rStyle w:val="highlight"/>
                <w:sz w:val="21"/>
                <w:szCs w:val="21"/>
              </w:rPr>
              <w:t>Access to large numbers of patients often required in late-phase trials</w:t>
            </w:r>
            <w:r w:rsidR="004A4F09">
              <w:rPr>
                <w:rStyle w:val="highlight"/>
                <w:sz w:val="21"/>
                <w:szCs w:val="21"/>
              </w:rPr>
              <w:t>.</w:t>
            </w:r>
          </w:p>
        </w:tc>
        <w:tc>
          <w:tcPr>
            <w:tcW w:w="4381" w:type="dxa"/>
            <w:shd w:val="clear" w:color="auto" w:fill="auto"/>
            <w:tcMar>
              <w:top w:w="0" w:type="dxa"/>
              <w:left w:w="113" w:type="dxa"/>
              <w:bottom w:w="0" w:type="dxa"/>
              <w:right w:w="113" w:type="dxa"/>
            </w:tcMar>
            <w:vAlign w:val="center"/>
            <w:hideMark/>
          </w:tcPr>
          <w:p w14:paraId="0FBC5205" w14:textId="07D610EC" w:rsidR="00903EF5" w:rsidRPr="0050296E" w:rsidRDefault="00903EF5" w:rsidP="00392788">
            <w:pPr>
              <w:spacing w:before="0" w:after="0" w:line="276" w:lineRule="auto"/>
              <w:rPr>
                <w:rStyle w:val="highlight"/>
                <w:sz w:val="21"/>
                <w:szCs w:val="21"/>
              </w:rPr>
            </w:pPr>
            <w:r w:rsidRPr="0050296E">
              <w:rPr>
                <w:rStyle w:val="highlight"/>
                <w:sz w:val="21"/>
                <w:szCs w:val="21"/>
              </w:rPr>
              <w:t>Capacity to recruit sufficient sample sizes quickly and efficiently</w:t>
            </w:r>
            <w:r w:rsidR="004A4F09">
              <w:rPr>
                <w:rStyle w:val="highlight"/>
                <w:sz w:val="21"/>
                <w:szCs w:val="21"/>
              </w:rPr>
              <w:t>.</w:t>
            </w:r>
          </w:p>
        </w:tc>
      </w:tr>
      <w:tr w:rsidR="007E146D" w:rsidRPr="0050296E" w14:paraId="639440A2" w14:textId="77777777" w:rsidTr="00392788">
        <w:trPr>
          <w:cnfStyle w:val="000000100000" w:firstRow="0" w:lastRow="0" w:firstColumn="0" w:lastColumn="0" w:oddVBand="0" w:evenVBand="0" w:oddHBand="1" w:evenHBand="0" w:firstRowFirstColumn="0" w:firstRowLastColumn="0" w:lastRowFirstColumn="0" w:lastRowLastColumn="0"/>
          <w:trHeight w:val="1262"/>
        </w:trPr>
        <w:tc>
          <w:tcPr>
            <w:tcW w:w="2486" w:type="dxa"/>
            <w:shd w:val="clear" w:color="auto" w:fill="auto"/>
            <w:tcMar>
              <w:top w:w="0" w:type="dxa"/>
              <w:left w:w="113" w:type="dxa"/>
              <w:bottom w:w="0" w:type="dxa"/>
              <w:right w:w="113" w:type="dxa"/>
            </w:tcMar>
            <w:vAlign w:val="center"/>
            <w:hideMark/>
          </w:tcPr>
          <w:p w14:paraId="7ED51F07" w14:textId="120933BD" w:rsidR="00903EF5" w:rsidRPr="0050296E" w:rsidRDefault="00903EF5" w:rsidP="00392788">
            <w:pPr>
              <w:spacing w:before="0" w:after="0" w:line="276" w:lineRule="auto"/>
              <w:rPr>
                <w:rStyle w:val="highlight"/>
                <w:sz w:val="21"/>
                <w:szCs w:val="21"/>
              </w:rPr>
            </w:pPr>
            <w:r w:rsidRPr="0050296E">
              <w:rPr>
                <w:rStyle w:val="highlight"/>
                <w:sz w:val="21"/>
                <w:szCs w:val="21"/>
              </w:rPr>
              <w:t>Continuity of staffing and resourcing structure across projects</w:t>
            </w:r>
            <w:r w:rsidR="004A4F09">
              <w:rPr>
                <w:rStyle w:val="highlight"/>
                <w:sz w:val="21"/>
                <w:szCs w:val="21"/>
              </w:rPr>
              <w:t>.</w:t>
            </w:r>
          </w:p>
        </w:tc>
        <w:tc>
          <w:tcPr>
            <w:tcW w:w="3132" w:type="dxa"/>
            <w:shd w:val="clear" w:color="auto" w:fill="auto"/>
            <w:tcMar>
              <w:top w:w="0" w:type="dxa"/>
              <w:left w:w="113" w:type="dxa"/>
              <w:bottom w:w="0" w:type="dxa"/>
              <w:right w:w="113" w:type="dxa"/>
            </w:tcMar>
            <w:vAlign w:val="center"/>
            <w:hideMark/>
          </w:tcPr>
          <w:p w14:paraId="51144BC6" w14:textId="06129695" w:rsidR="00903EF5" w:rsidRPr="0050296E" w:rsidRDefault="00903EF5" w:rsidP="00392788">
            <w:pPr>
              <w:spacing w:before="0" w:after="0" w:line="276" w:lineRule="auto"/>
              <w:rPr>
                <w:rStyle w:val="highlight"/>
                <w:sz w:val="21"/>
                <w:szCs w:val="21"/>
              </w:rPr>
            </w:pPr>
            <w:r w:rsidRPr="0050296E">
              <w:rPr>
                <w:rStyle w:val="highlight"/>
                <w:sz w:val="21"/>
                <w:szCs w:val="21"/>
              </w:rPr>
              <w:t>Sequential commencement of new trials as old ones complete</w:t>
            </w:r>
            <w:r w:rsidR="004A4F09">
              <w:rPr>
                <w:rStyle w:val="highlight"/>
                <w:sz w:val="21"/>
                <w:szCs w:val="21"/>
              </w:rPr>
              <w:t>.</w:t>
            </w:r>
          </w:p>
        </w:tc>
        <w:tc>
          <w:tcPr>
            <w:tcW w:w="4381" w:type="dxa"/>
            <w:shd w:val="clear" w:color="auto" w:fill="auto"/>
            <w:tcMar>
              <w:top w:w="0" w:type="dxa"/>
              <w:left w:w="113" w:type="dxa"/>
              <w:bottom w:w="0" w:type="dxa"/>
              <w:right w:w="113" w:type="dxa"/>
            </w:tcMar>
            <w:vAlign w:val="center"/>
            <w:hideMark/>
          </w:tcPr>
          <w:p w14:paraId="12ABCAEA" w14:textId="12277918" w:rsidR="00903EF5" w:rsidRPr="0050296E" w:rsidRDefault="00903EF5" w:rsidP="00392788">
            <w:pPr>
              <w:spacing w:before="0" w:after="0" w:line="276" w:lineRule="auto"/>
              <w:rPr>
                <w:rStyle w:val="highlight"/>
                <w:sz w:val="21"/>
                <w:szCs w:val="21"/>
              </w:rPr>
            </w:pPr>
            <w:r w:rsidRPr="0050296E">
              <w:rPr>
                <w:rStyle w:val="highlight"/>
                <w:sz w:val="21"/>
                <w:szCs w:val="21"/>
              </w:rPr>
              <w:t>Greater efficiency and effectiveness in research design. Trial infrastructure doesn’t need to be dismantled and recreated</w:t>
            </w:r>
            <w:r w:rsidR="004A4F09">
              <w:rPr>
                <w:rStyle w:val="highlight"/>
                <w:sz w:val="21"/>
                <w:szCs w:val="21"/>
              </w:rPr>
              <w:t>.</w:t>
            </w:r>
          </w:p>
        </w:tc>
      </w:tr>
      <w:tr w:rsidR="007E146D" w:rsidRPr="0050296E" w14:paraId="3E8939B6" w14:textId="77777777" w:rsidTr="00392788">
        <w:trPr>
          <w:trHeight w:val="954"/>
        </w:trPr>
        <w:tc>
          <w:tcPr>
            <w:tcW w:w="2486" w:type="dxa"/>
            <w:shd w:val="clear" w:color="auto" w:fill="auto"/>
            <w:tcMar>
              <w:top w:w="0" w:type="dxa"/>
              <w:left w:w="113" w:type="dxa"/>
              <w:bottom w:w="0" w:type="dxa"/>
              <w:right w:w="113" w:type="dxa"/>
            </w:tcMar>
            <w:vAlign w:val="center"/>
          </w:tcPr>
          <w:p w14:paraId="49806795" w14:textId="0F5D5295" w:rsidR="00903EF5" w:rsidRPr="0050296E" w:rsidRDefault="00903EF5" w:rsidP="00392788">
            <w:pPr>
              <w:spacing w:before="0" w:after="0" w:line="276" w:lineRule="auto"/>
              <w:rPr>
                <w:rStyle w:val="highlight"/>
                <w:sz w:val="21"/>
                <w:szCs w:val="21"/>
              </w:rPr>
            </w:pPr>
            <w:r w:rsidRPr="0050296E">
              <w:rPr>
                <w:rStyle w:val="highlight"/>
                <w:sz w:val="21"/>
                <w:szCs w:val="21"/>
              </w:rPr>
              <w:t xml:space="preserve">Established </w:t>
            </w:r>
            <w:r w:rsidR="007E146D">
              <w:rPr>
                <w:rStyle w:val="highlight"/>
                <w:sz w:val="21"/>
                <w:szCs w:val="21"/>
              </w:rPr>
              <w:t>n</w:t>
            </w:r>
            <w:r w:rsidRPr="0050296E">
              <w:rPr>
                <w:rStyle w:val="highlight"/>
                <w:sz w:val="21"/>
                <w:szCs w:val="21"/>
              </w:rPr>
              <w:t>etwork infrastructure</w:t>
            </w:r>
            <w:r w:rsidR="004A4F09">
              <w:rPr>
                <w:rStyle w:val="highlight"/>
                <w:sz w:val="21"/>
                <w:szCs w:val="21"/>
              </w:rPr>
              <w:t>.</w:t>
            </w:r>
          </w:p>
        </w:tc>
        <w:tc>
          <w:tcPr>
            <w:tcW w:w="3132" w:type="dxa"/>
            <w:shd w:val="clear" w:color="auto" w:fill="auto"/>
            <w:tcMar>
              <w:top w:w="0" w:type="dxa"/>
              <w:left w:w="113" w:type="dxa"/>
              <w:bottom w:w="0" w:type="dxa"/>
              <w:right w:w="113" w:type="dxa"/>
            </w:tcMar>
            <w:vAlign w:val="center"/>
          </w:tcPr>
          <w:p w14:paraId="5E12AC13" w14:textId="0A35CED6" w:rsidR="00903EF5" w:rsidRPr="0050296E" w:rsidRDefault="00903EF5" w:rsidP="00392788">
            <w:pPr>
              <w:spacing w:before="0" w:after="0" w:line="276" w:lineRule="auto"/>
              <w:rPr>
                <w:rStyle w:val="highlight"/>
                <w:sz w:val="21"/>
                <w:szCs w:val="21"/>
              </w:rPr>
            </w:pPr>
            <w:r w:rsidRPr="0050296E">
              <w:rPr>
                <w:rStyle w:val="highlight"/>
                <w:sz w:val="21"/>
                <w:szCs w:val="21"/>
              </w:rPr>
              <w:t>Permanent central data</w:t>
            </w:r>
            <w:r>
              <w:rPr>
                <w:rStyle w:val="highlight"/>
                <w:sz w:val="21"/>
                <w:szCs w:val="21"/>
              </w:rPr>
              <w:t xml:space="preserve"> and</w:t>
            </w:r>
            <w:r w:rsidRPr="0050296E">
              <w:rPr>
                <w:rStyle w:val="highlight"/>
                <w:sz w:val="21"/>
                <w:szCs w:val="21"/>
              </w:rPr>
              <w:t xml:space="preserve"> statistical expertise and experience</w:t>
            </w:r>
            <w:r w:rsidR="004A4F09">
              <w:rPr>
                <w:rStyle w:val="highlight"/>
                <w:sz w:val="21"/>
                <w:szCs w:val="21"/>
              </w:rPr>
              <w:t>.</w:t>
            </w:r>
          </w:p>
        </w:tc>
        <w:tc>
          <w:tcPr>
            <w:tcW w:w="4381" w:type="dxa"/>
            <w:shd w:val="clear" w:color="auto" w:fill="auto"/>
            <w:tcMar>
              <w:top w:w="0" w:type="dxa"/>
              <w:left w:w="113" w:type="dxa"/>
              <w:bottom w:w="0" w:type="dxa"/>
              <w:right w:w="113" w:type="dxa"/>
            </w:tcMar>
            <w:vAlign w:val="center"/>
          </w:tcPr>
          <w:p w14:paraId="0D6032CA" w14:textId="4D4C9DC4" w:rsidR="00903EF5" w:rsidRPr="0050296E" w:rsidRDefault="00903EF5" w:rsidP="00392788">
            <w:pPr>
              <w:spacing w:before="0" w:after="0" w:line="276" w:lineRule="auto"/>
              <w:rPr>
                <w:rStyle w:val="highlight"/>
                <w:sz w:val="21"/>
                <w:szCs w:val="21"/>
              </w:rPr>
            </w:pPr>
            <w:r w:rsidRPr="0050296E">
              <w:rPr>
                <w:rStyle w:val="highlight"/>
                <w:sz w:val="21"/>
                <w:szCs w:val="21"/>
              </w:rPr>
              <w:t>Continuity of and longevity of training and mentoring</w:t>
            </w:r>
            <w:r w:rsidR="004A4F09">
              <w:rPr>
                <w:rStyle w:val="highlight"/>
                <w:sz w:val="21"/>
                <w:szCs w:val="21"/>
              </w:rPr>
              <w:t>.</w:t>
            </w:r>
          </w:p>
        </w:tc>
      </w:tr>
      <w:tr w:rsidR="007E146D" w:rsidRPr="0050296E" w14:paraId="2A70DFDA" w14:textId="77777777" w:rsidTr="00392788">
        <w:trPr>
          <w:cnfStyle w:val="000000100000" w:firstRow="0" w:lastRow="0" w:firstColumn="0" w:lastColumn="0" w:oddVBand="0" w:evenVBand="0" w:oddHBand="1" w:evenHBand="0" w:firstRowFirstColumn="0" w:firstRowLastColumn="0" w:lastRowFirstColumn="0" w:lastRowLastColumn="0"/>
          <w:trHeight w:val="968"/>
        </w:trPr>
        <w:tc>
          <w:tcPr>
            <w:tcW w:w="2486" w:type="dxa"/>
            <w:shd w:val="clear" w:color="auto" w:fill="auto"/>
            <w:tcMar>
              <w:top w:w="0" w:type="dxa"/>
              <w:left w:w="113" w:type="dxa"/>
              <w:bottom w:w="0" w:type="dxa"/>
              <w:right w:w="113" w:type="dxa"/>
            </w:tcMar>
            <w:vAlign w:val="center"/>
          </w:tcPr>
          <w:p w14:paraId="3177DC27" w14:textId="313AAA97" w:rsidR="00903EF5" w:rsidRPr="0050296E" w:rsidRDefault="00903EF5" w:rsidP="00392788">
            <w:pPr>
              <w:spacing w:before="0" w:after="0" w:line="276" w:lineRule="auto"/>
              <w:rPr>
                <w:rStyle w:val="highlight"/>
                <w:sz w:val="21"/>
                <w:szCs w:val="21"/>
              </w:rPr>
            </w:pPr>
            <w:r w:rsidRPr="0050296E">
              <w:rPr>
                <w:rStyle w:val="highlight"/>
                <w:sz w:val="21"/>
                <w:szCs w:val="21"/>
              </w:rPr>
              <w:t>Only requirement to participate is treating eligible patients</w:t>
            </w:r>
            <w:r w:rsidR="004A4F09">
              <w:rPr>
                <w:rStyle w:val="highlight"/>
                <w:sz w:val="21"/>
                <w:szCs w:val="21"/>
              </w:rPr>
              <w:t>.</w:t>
            </w:r>
          </w:p>
        </w:tc>
        <w:tc>
          <w:tcPr>
            <w:tcW w:w="3132" w:type="dxa"/>
            <w:shd w:val="clear" w:color="auto" w:fill="auto"/>
            <w:tcMar>
              <w:top w:w="0" w:type="dxa"/>
              <w:left w:w="113" w:type="dxa"/>
              <w:bottom w:w="0" w:type="dxa"/>
              <w:right w:w="113" w:type="dxa"/>
            </w:tcMar>
            <w:vAlign w:val="center"/>
          </w:tcPr>
          <w:p w14:paraId="5E458042" w14:textId="21B4D421" w:rsidR="00903EF5" w:rsidRPr="0050296E" w:rsidRDefault="00903EF5" w:rsidP="00392788">
            <w:pPr>
              <w:spacing w:before="0" w:after="0" w:line="276" w:lineRule="auto"/>
              <w:rPr>
                <w:rStyle w:val="highlight"/>
                <w:sz w:val="21"/>
                <w:szCs w:val="21"/>
              </w:rPr>
            </w:pPr>
            <w:r w:rsidRPr="0050296E">
              <w:rPr>
                <w:rStyle w:val="highlight"/>
                <w:sz w:val="21"/>
                <w:szCs w:val="21"/>
              </w:rPr>
              <w:t>Horizontally devolved and broadly inclusive structure</w:t>
            </w:r>
            <w:r w:rsidR="004A4F09">
              <w:rPr>
                <w:rStyle w:val="highlight"/>
                <w:sz w:val="21"/>
                <w:szCs w:val="21"/>
              </w:rPr>
              <w:t>.</w:t>
            </w:r>
          </w:p>
        </w:tc>
        <w:tc>
          <w:tcPr>
            <w:tcW w:w="4381" w:type="dxa"/>
            <w:shd w:val="clear" w:color="auto" w:fill="auto"/>
            <w:tcMar>
              <w:top w:w="0" w:type="dxa"/>
              <w:left w:w="113" w:type="dxa"/>
              <w:bottom w:w="0" w:type="dxa"/>
              <w:right w:w="113" w:type="dxa"/>
            </w:tcMar>
            <w:vAlign w:val="center"/>
          </w:tcPr>
          <w:p w14:paraId="2B5657BE" w14:textId="0F4D409F" w:rsidR="00903EF5" w:rsidRPr="0050296E" w:rsidRDefault="00903EF5" w:rsidP="00392788">
            <w:pPr>
              <w:spacing w:before="0" w:after="0" w:line="276" w:lineRule="auto"/>
              <w:rPr>
                <w:rStyle w:val="highlight"/>
                <w:sz w:val="21"/>
                <w:szCs w:val="21"/>
              </w:rPr>
            </w:pPr>
            <w:r w:rsidRPr="0050296E">
              <w:rPr>
                <w:rStyle w:val="highlight"/>
                <w:sz w:val="21"/>
                <w:szCs w:val="21"/>
              </w:rPr>
              <w:t>High external validity of trials findings across broad settings</w:t>
            </w:r>
            <w:r w:rsidR="004A4F09">
              <w:rPr>
                <w:rStyle w:val="highlight"/>
                <w:sz w:val="21"/>
                <w:szCs w:val="21"/>
              </w:rPr>
              <w:t>.</w:t>
            </w:r>
          </w:p>
        </w:tc>
      </w:tr>
      <w:tr w:rsidR="007E146D" w:rsidRPr="0050296E" w14:paraId="10BBF839" w14:textId="77777777" w:rsidTr="00392788">
        <w:trPr>
          <w:trHeight w:val="1562"/>
        </w:trPr>
        <w:tc>
          <w:tcPr>
            <w:tcW w:w="2486" w:type="dxa"/>
            <w:shd w:val="clear" w:color="auto" w:fill="auto"/>
            <w:tcMar>
              <w:top w:w="0" w:type="dxa"/>
              <w:left w:w="113" w:type="dxa"/>
              <w:bottom w:w="0" w:type="dxa"/>
              <w:right w:w="113" w:type="dxa"/>
            </w:tcMar>
            <w:vAlign w:val="center"/>
            <w:hideMark/>
          </w:tcPr>
          <w:p w14:paraId="7D199718" w14:textId="32AF29F7" w:rsidR="00903EF5" w:rsidRPr="0050296E" w:rsidRDefault="00903EF5" w:rsidP="00392788">
            <w:pPr>
              <w:spacing w:before="0" w:after="0" w:line="276" w:lineRule="auto"/>
              <w:rPr>
                <w:rStyle w:val="highlight"/>
                <w:sz w:val="21"/>
                <w:szCs w:val="21"/>
              </w:rPr>
            </w:pPr>
            <w:r w:rsidRPr="0050296E">
              <w:rPr>
                <w:rStyle w:val="highlight"/>
                <w:sz w:val="21"/>
                <w:szCs w:val="21"/>
              </w:rPr>
              <w:t>High proportion of key clinical opinion leaders</w:t>
            </w:r>
            <w:r w:rsidR="004A4F09">
              <w:rPr>
                <w:rStyle w:val="highlight"/>
                <w:sz w:val="21"/>
                <w:szCs w:val="21"/>
              </w:rPr>
              <w:t>.</w:t>
            </w:r>
          </w:p>
        </w:tc>
        <w:tc>
          <w:tcPr>
            <w:tcW w:w="3132" w:type="dxa"/>
            <w:shd w:val="clear" w:color="auto" w:fill="auto"/>
            <w:tcMar>
              <w:top w:w="0" w:type="dxa"/>
              <w:left w:w="113" w:type="dxa"/>
              <w:bottom w:w="0" w:type="dxa"/>
              <w:right w:w="113" w:type="dxa"/>
            </w:tcMar>
            <w:vAlign w:val="center"/>
            <w:hideMark/>
          </w:tcPr>
          <w:p w14:paraId="6AC0A45C" w14:textId="04E9AAAC" w:rsidR="00903EF5" w:rsidRDefault="00903EF5" w:rsidP="00392788">
            <w:pPr>
              <w:spacing w:before="0" w:after="0" w:line="276" w:lineRule="auto"/>
              <w:rPr>
                <w:rStyle w:val="highlight"/>
                <w:sz w:val="21"/>
                <w:szCs w:val="21"/>
              </w:rPr>
            </w:pPr>
            <w:r w:rsidRPr="0050296E">
              <w:rPr>
                <w:rStyle w:val="highlight"/>
                <w:sz w:val="21"/>
                <w:szCs w:val="21"/>
              </w:rPr>
              <w:t>Engagement, mandate and trust of clinicians on the front line of care</w:t>
            </w:r>
            <w:r w:rsidR="004A4F09">
              <w:rPr>
                <w:rStyle w:val="highlight"/>
                <w:sz w:val="21"/>
                <w:szCs w:val="21"/>
              </w:rPr>
              <w:t>.</w:t>
            </w:r>
          </w:p>
          <w:p w14:paraId="59C675F1" w14:textId="134535F8" w:rsidR="00903EF5" w:rsidRPr="0050296E" w:rsidRDefault="00903EF5" w:rsidP="00392788">
            <w:pPr>
              <w:spacing w:before="0" w:after="0" w:line="276" w:lineRule="auto"/>
              <w:rPr>
                <w:rStyle w:val="highlight"/>
                <w:sz w:val="21"/>
                <w:szCs w:val="21"/>
              </w:rPr>
            </w:pPr>
            <w:r w:rsidRPr="0050296E">
              <w:rPr>
                <w:rStyle w:val="highlight"/>
                <w:sz w:val="21"/>
                <w:szCs w:val="21"/>
              </w:rPr>
              <w:t>Knowledge dissemination and expertise transfer</w:t>
            </w:r>
            <w:r w:rsidR="004A4F09">
              <w:rPr>
                <w:rStyle w:val="highlight"/>
                <w:sz w:val="21"/>
                <w:szCs w:val="21"/>
              </w:rPr>
              <w:t>.</w:t>
            </w:r>
          </w:p>
        </w:tc>
        <w:tc>
          <w:tcPr>
            <w:tcW w:w="4381" w:type="dxa"/>
            <w:shd w:val="clear" w:color="auto" w:fill="auto"/>
            <w:tcMar>
              <w:top w:w="0" w:type="dxa"/>
              <w:left w:w="113" w:type="dxa"/>
              <w:bottom w:w="0" w:type="dxa"/>
              <w:right w:w="113" w:type="dxa"/>
            </w:tcMar>
            <w:vAlign w:val="center"/>
            <w:hideMark/>
          </w:tcPr>
          <w:p w14:paraId="2DA792EA" w14:textId="61342862" w:rsidR="00903EF5" w:rsidRPr="0050296E" w:rsidRDefault="00903EF5" w:rsidP="00392788">
            <w:pPr>
              <w:spacing w:before="0" w:after="0" w:line="276" w:lineRule="auto"/>
              <w:rPr>
                <w:rStyle w:val="highlight"/>
                <w:sz w:val="21"/>
                <w:szCs w:val="21"/>
              </w:rPr>
            </w:pPr>
            <w:r w:rsidRPr="0050296E">
              <w:rPr>
                <w:rStyle w:val="highlight"/>
                <w:sz w:val="21"/>
                <w:szCs w:val="21"/>
              </w:rPr>
              <w:t>Maximises trial feasibility and awareness of findings.</w:t>
            </w:r>
            <w:r w:rsidR="00BD68CF">
              <w:rPr>
                <w:rStyle w:val="highlight"/>
                <w:sz w:val="21"/>
                <w:szCs w:val="21"/>
              </w:rPr>
              <w:t xml:space="preserve"> </w:t>
            </w:r>
            <w:r w:rsidRPr="0050296E">
              <w:rPr>
                <w:rStyle w:val="highlight"/>
                <w:sz w:val="21"/>
                <w:szCs w:val="21"/>
              </w:rPr>
              <w:t>This is likely to</w:t>
            </w:r>
            <w:r w:rsidR="00E37C63">
              <w:rPr>
                <w:rStyle w:val="highlight"/>
                <w:sz w:val="21"/>
                <w:szCs w:val="21"/>
              </w:rPr>
              <w:t xml:space="preserve"> enhance</w:t>
            </w:r>
            <w:r w:rsidRPr="0050296E">
              <w:rPr>
                <w:rStyle w:val="highlight"/>
                <w:sz w:val="21"/>
                <w:szCs w:val="21"/>
              </w:rPr>
              <w:t xml:space="preserve"> subsequent implementation of evidence in to practice</w:t>
            </w:r>
            <w:r w:rsidR="004A4F09">
              <w:rPr>
                <w:rStyle w:val="highlight"/>
                <w:sz w:val="21"/>
                <w:szCs w:val="21"/>
              </w:rPr>
              <w:t>.</w:t>
            </w:r>
          </w:p>
        </w:tc>
      </w:tr>
    </w:tbl>
    <w:p w14:paraId="2E45E5DC" w14:textId="77777777" w:rsidR="006F22D7" w:rsidRDefault="006F22D7" w:rsidP="00392788">
      <w:pPr>
        <w:pStyle w:val="Commissionbodytext"/>
      </w:pPr>
    </w:p>
    <w:p w14:paraId="3ACEFE72" w14:textId="2AA1972D" w:rsidR="00E9139B" w:rsidRDefault="00903EF5" w:rsidP="00392788">
      <w:pPr>
        <w:pStyle w:val="Commissionbodytext"/>
        <w:rPr>
          <w:rFonts w:eastAsiaTheme="majorEastAsia" w:cstheme="majorBidi"/>
          <w:b/>
          <w:bCs/>
          <w:color w:val="1F3864" w:themeColor="accent5" w:themeShade="80"/>
          <w:spacing w:val="14"/>
          <w:sz w:val="28"/>
        </w:rPr>
      </w:pPr>
      <w:r>
        <w:t>Clinical trials n</w:t>
      </w:r>
      <w:r w:rsidRPr="0062014F">
        <w:t>etworks exist across the world and are diver</w:t>
      </w:r>
      <w:r>
        <w:t xml:space="preserve">se in their size and structure. </w:t>
      </w:r>
      <w:r w:rsidR="000D19CC">
        <w:t xml:space="preserve">Australia has a strong reputation for </w:t>
      </w:r>
      <w:r w:rsidR="00CF1D36">
        <w:t>establishing highly successful networks</w:t>
      </w:r>
      <w:r w:rsidR="0040524D">
        <w:t>,</w:t>
      </w:r>
      <w:r w:rsidR="00CF1D36">
        <w:t xml:space="preserve"> across </w:t>
      </w:r>
      <w:r w:rsidR="00AA2738">
        <w:t>mul</w:t>
      </w:r>
      <w:r w:rsidR="008A31E2">
        <w:t>t</w:t>
      </w:r>
      <w:r w:rsidR="00AA2738">
        <w:t>i</w:t>
      </w:r>
      <w:r w:rsidR="008A31E2">
        <w:t>ple</w:t>
      </w:r>
      <w:r w:rsidR="00CF1D36">
        <w:t xml:space="preserve"> clinical areas. A </w:t>
      </w:r>
      <w:r w:rsidR="00D77CC8">
        <w:t>recent report</w:t>
      </w:r>
      <w:r w:rsidR="00CF1D36">
        <w:t xml:space="preserve"> commissioned by the </w:t>
      </w:r>
      <w:r w:rsidR="00A222E3">
        <w:t>NHMRC</w:t>
      </w:r>
      <w:r w:rsidR="0040524D">
        <w:t>,</w:t>
      </w:r>
      <w:r w:rsidR="008376FC">
        <w:t xml:space="preserve"> </w:t>
      </w:r>
      <w:r w:rsidR="00216BB5">
        <w:t>found</w:t>
      </w:r>
      <w:r w:rsidR="0058326A">
        <w:t xml:space="preserve"> that Australian </w:t>
      </w:r>
      <w:r w:rsidR="00F7026A">
        <w:t>n</w:t>
      </w:r>
      <w:r w:rsidR="0058326A">
        <w:t xml:space="preserve">etworks had </w:t>
      </w:r>
      <w:r w:rsidR="002A5BC1" w:rsidRPr="002A5BC1">
        <w:t>together completed or initiated more than 1</w:t>
      </w:r>
      <w:r w:rsidR="009F5153">
        <w:t>,</w:t>
      </w:r>
      <w:r w:rsidR="002A5BC1" w:rsidRPr="002A5BC1">
        <w:t>000 st</w:t>
      </w:r>
      <w:r w:rsidR="0058326A">
        <w:t>udi</w:t>
      </w:r>
      <w:r w:rsidR="00CF1D36">
        <w:t xml:space="preserve">es </w:t>
      </w:r>
      <w:r w:rsidR="003A3AFD">
        <w:t>from</w:t>
      </w:r>
      <w:r w:rsidR="00800E5C">
        <w:t xml:space="preserve"> 2004 </w:t>
      </w:r>
      <w:r w:rsidR="00CF1D36">
        <w:t>to 2014. These studies involved more than one</w:t>
      </w:r>
      <w:r w:rsidR="0058326A">
        <w:t xml:space="preserve"> m</w:t>
      </w:r>
      <w:r w:rsidR="002A5BC1" w:rsidRPr="002A5BC1">
        <w:t>illio</w:t>
      </w:r>
      <w:r w:rsidR="00E64B41">
        <w:t xml:space="preserve">n participants and </w:t>
      </w:r>
      <w:r w:rsidR="00CF1D36">
        <w:t>generated at l</w:t>
      </w:r>
      <w:r w:rsidR="0058326A">
        <w:t>east $1</w:t>
      </w:r>
      <w:r w:rsidR="009F5153">
        <w:t xml:space="preserve"> </w:t>
      </w:r>
      <w:r w:rsidR="0058326A">
        <w:t>b</w:t>
      </w:r>
      <w:r w:rsidR="002A5BC1" w:rsidRPr="002A5BC1">
        <w:t>illion in total</w:t>
      </w:r>
      <w:r w:rsidR="0058326A">
        <w:t xml:space="preserve"> research funding</w:t>
      </w:r>
      <w:r w:rsidR="00CF1D36">
        <w:t xml:space="preserve">. </w:t>
      </w:r>
      <w:r w:rsidR="002A5BC1" w:rsidRPr="002A5BC1">
        <w:t xml:space="preserve">Conservative estimates suggest that </w:t>
      </w:r>
      <w:r w:rsidR="00216BB5">
        <w:t xml:space="preserve">between one quarter and one third </w:t>
      </w:r>
      <w:r w:rsidR="002A5BC1" w:rsidRPr="002A5BC1">
        <w:t xml:space="preserve">of all </w:t>
      </w:r>
      <w:r w:rsidR="0058326A">
        <w:t xml:space="preserve">NHMRC funding to support clinical trials </w:t>
      </w:r>
      <w:r w:rsidR="0040524D">
        <w:t>between 2004 and 2014</w:t>
      </w:r>
      <w:r w:rsidR="0058326A">
        <w:t xml:space="preserve"> was awarded to trials conducted by an established network.</w:t>
      </w:r>
      <w:r w:rsidR="00060594">
        <w:rPr>
          <w:rStyle w:val="FootnoteReference"/>
        </w:rPr>
        <w:footnoteReference w:id="3"/>
      </w:r>
      <w:r w:rsidR="002D3BB9">
        <w:t xml:space="preserve"> </w:t>
      </w:r>
    </w:p>
    <w:p w14:paraId="5E55C444" w14:textId="3ECC330B" w:rsidR="0058326A" w:rsidRDefault="00FC3DF1" w:rsidP="002D2701">
      <w:pPr>
        <w:pStyle w:val="Heading3"/>
      </w:pPr>
      <w:r>
        <w:lastRenderedPageBreak/>
        <w:t xml:space="preserve">Understanding </w:t>
      </w:r>
      <w:r w:rsidR="0058326A">
        <w:t xml:space="preserve">the </w:t>
      </w:r>
      <w:r w:rsidR="00E64B41">
        <w:t>value proposition for clinical trials and networks</w:t>
      </w:r>
      <w:r w:rsidR="00C508C7">
        <w:t xml:space="preserve"> </w:t>
      </w:r>
    </w:p>
    <w:p w14:paraId="06FF8C64" w14:textId="63F5E1BB" w:rsidR="00015814" w:rsidRDefault="000D19CC" w:rsidP="00392788">
      <w:pPr>
        <w:pStyle w:val="Commissionbodytext"/>
      </w:pPr>
      <w:r>
        <w:t xml:space="preserve">National and international assessments of the health and economic returns from </w:t>
      </w:r>
      <w:r w:rsidR="00216BB5">
        <w:t>health and medical research</w:t>
      </w:r>
      <w:r w:rsidR="003A3AFD">
        <w:t>,</w:t>
      </w:r>
      <w:r w:rsidR="00216BB5">
        <w:t xml:space="preserve"> </w:t>
      </w:r>
      <w:r w:rsidR="00015814">
        <w:t xml:space="preserve">and other </w:t>
      </w:r>
      <w:r w:rsidR="00216BB5">
        <w:t xml:space="preserve">activities that generate </w:t>
      </w:r>
      <w:r w:rsidR="00015814">
        <w:t>e</w:t>
      </w:r>
      <w:r>
        <w:t>vidence</w:t>
      </w:r>
      <w:r w:rsidR="003A3AFD">
        <w:t>,</w:t>
      </w:r>
      <w:r>
        <w:t xml:space="preserve"> have demonstrated potentially large returns on </w:t>
      </w:r>
      <w:r w:rsidRPr="00165976">
        <w:t>investment.</w:t>
      </w:r>
      <w:r w:rsidR="00015814" w:rsidRPr="00001CAE">
        <w:rPr>
          <w:rStyle w:val="FootnoteReference"/>
        </w:rPr>
        <w:footnoteReference w:id="4"/>
      </w:r>
      <w:r w:rsidR="0067558F" w:rsidRPr="00001CAE">
        <w:rPr>
          <w:vertAlign w:val="superscript"/>
        </w:rPr>
        <w:t>,</w:t>
      </w:r>
      <w:r w:rsidR="002A53B2" w:rsidRPr="00001CAE">
        <w:rPr>
          <w:rStyle w:val="FootnoteReference"/>
        </w:rPr>
        <w:footnoteReference w:id="5"/>
      </w:r>
      <w:r w:rsidR="0067558F" w:rsidRPr="00001CAE">
        <w:rPr>
          <w:vertAlign w:val="superscript"/>
        </w:rPr>
        <w:t>,</w:t>
      </w:r>
      <w:r w:rsidR="002A53B2" w:rsidRPr="00001CAE">
        <w:rPr>
          <w:rStyle w:val="FootnoteReference"/>
        </w:rPr>
        <w:footnoteReference w:id="6"/>
      </w:r>
      <w:r w:rsidR="00BD68CF" w:rsidRPr="00165976">
        <w:t xml:space="preserve"> </w:t>
      </w:r>
      <w:r w:rsidR="00216BB5" w:rsidRPr="00165976">
        <w:t>Whil</w:t>
      </w:r>
      <w:r w:rsidR="008A31E2">
        <w:t>e</w:t>
      </w:r>
      <w:r w:rsidR="00216BB5" w:rsidRPr="00165976">
        <w:t xml:space="preserve"> the</w:t>
      </w:r>
      <w:r w:rsidR="00015814" w:rsidRPr="00165976">
        <w:t xml:space="preserve"> value </w:t>
      </w:r>
      <w:r w:rsidR="00216BB5" w:rsidRPr="00165976">
        <w:t xml:space="preserve">of clinical trials activity within the broader </w:t>
      </w:r>
      <w:r w:rsidR="0031098A" w:rsidRPr="00165976">
        <w:t xml:space="preserve">health and medical </w:t>
      </w:r>
      <w:r w:rsidR="00216BB5" w:rsidRPr="00165976">
        <w:t xml:space="preserve">research landscape has not been </w:t>
      </w:r>
      <w:r w:rsidR="00D85369" w:rsidRPr="00165976">
        <w:t>fully evaluated</w:t>
      </w:r>
      <w:r w:rsidR="00015814" w:rsidRPr="00165976">
        <w:t>, there is gr</w:t>
      </w:r>
      <w:r w:rsidR="00216BB5" w:rsidRPr="00165976">
        <w:t xml:space="preserve">owing evidence suggesting that a number of </w:t>
      </w:r>
      <w:r w:rsidR="00015814" w:rsidRPr="00165976">
        <w:t>Australian</w:t>
      </w:r>
      <w:r w:rsidR="006F22D7">
        <w:t>-</w:t>
      </w:r>
      <w:r w:rsidR="00015814" w:rsidRPr="00165976">
        <w:t>led</w:t>
      </w:r>
      <w:r w:rsidR="00216BB5" w:rsidRPr="00165976">
        <w:t xml:space="preserve"> investigator-initiated </w:t>
      </w:r>
      <w:r w:rsidR="00015814" w:rsidRPr="00165976">
        <w:t>clinical trials have had a major impact in terms of improving health</w:t>
      </w:r>
      <w:r w:rsidR="006F22D7">
        <w:t xml:space="preserve"> </w:t>
      </w:r>
      <w:r w:rsidR="00015814" w:rsidRPr="00165976">
        <w:t>care quality and outcomes.</w:t>
      </w:r>
      <w:r w:rsidR="00015814" w:rsidRPr="00352327">
        <w:rPr>
          <w:rStyle w:val="FootnoteReference"/>
        </w:rPr>
        <w:footnoteReference w:id="7"/>
      </w:r>
    </w:p>
    <w:p w14:paraId="077BFFA3" w14:textId="77777777" w:rsidR="006F22D7" w:rsidRDefault="006F22D7" w:rsidP="00392788">
      <w:pPr>
        <w:pStyle w:val="Commissionbodytext"/>
        <w:rPr>
          <w:rStyle w:val="Strong"/>
        </w:rPr>
      </w:pPr>
    </w:p>
    <w:p w14:paraId="3E204BD2" w14:textId="2F809730" w:rsidR="000D19CC" w:rsidRDefault="0030113D" w:rsidP="00392788">
      <w:pPr>
        <w:pStyle w:val="Commissionbodytext"/>
      </w:pPr>
      <w:r w:rsidRPr="00915516">
        <w:rPr>
          <w:rStyle w:val="Strong"/>
        </w:rPr>
        <w:t>R</w:t>
      </w:r>
      <w:r w:rsidR="000D19CC" w:rsidRPr="00915516">
        <w:rPr>
          <w:rStyle w:val="Strong"/>
        </w:rPr>
        <w:t>eturns</w:t>
      </w:r>
      <w:r w:rsidR="00D85369" w:rsidRPr="00915516">
        <w:rPr>
          <w:rStyle w:val="Strong"/>
        </w:rPr>
        <w:t xml:space="preserve"> from </w:t>
      </w:r>
      <w:r w:rsidR="00216BB5" w:rsidRPr="00915516">
        <w:rPr>
          <w:rStyle w:val="Strong"/>
        </w:rPr>
        <w:t>these trials are</w:t>
      </w:r>
      <w:r w:rsidR="000D19CC" w:rsidRPr="00915516">
        <w:rPr>
          <w:rStyle w:val="Strong"/>
        </w:rPr>
        <w:t xml:space="preserve"> not simply </w:t>
      </w:r>
      <w:r w:rsidR="0040524D" w:rsidRPr="00915516">
        <w:rPr>
          <w:rStyle w:val="Strong"/>
        </w:rPr>
        <w:t>associated with</w:t>
      </w:r>
      <w:r w:rsidR="000D19CC" w:rsidRPr="00915516">
        <w:rPr>
          <w:rStyle w:val="Strong"/>
        </w:rPr>
        <w:t xml:space="preserve"> t</w:t>
      </w:r>
      <w:r w:rsidR="00901AC7" w:rsidRPr="00915516">
        <w:rPr>
          <w:rStyle w:val="Strong"/>
        </w:rPr>
        <w:t>he discovery of new therapies</w:t>
      </w:r>
      <w:r w:rsidR="00D85369" w:rsidRPr="00915516">
        <w:rPr>
          <w:rStyle w:val="Strong"/>
        </w:rPr>
        <w:t>.</w:t>
      </w:r>
      <w:r w:rsidR="00BD68CF">
        <w:t xml:space="preserve"> </w:t>
      </w:r>
      <w:r w:rsidR="00D85369">
        <w:t>M</w:t>
      </w:r>
      <w:r w:rsidR="000D19CC">
        <w:t>uch of the suggested benefit comes from identifying unexplained and unjustified variation in practices, identifying more efficient models of care</w:t>
      </w:r>
      <w:r w:rsidR="003A3AFD">
        <w:t>,</w:t>
      </w:r>
      <w:r w:rsidR="000D19CC">
        <w:t xml:space="preserve"> as well as flagging expensive services that are no more effective than</w:t>
      </w:r>
      <w:r w:rsidR="00DF5B67">
        <w:t xml:space="preserve"> lower cost alternatives</w:t>
      </w:r>
      <w:r w:rsidR="000D19CC">
        <w:t>.</w:t>
      </w:r>
    </w:p>
    <w:p w14:paraId="05D7C67D" w14:textId="77777777" w:rsidR="006F22D7" w:rsidRDefault="006F22D7" w:rsidP="00392788">
      <w:pPr>
        <w:pStyle w:val="Commissionbodytext"/>
      </w:pPr>
    </w:p>
    <w:p w14:paraId="79048E18" w14:textId="50734A36" w:rsidR="00E9139B" w:rsidRDefault="00D85369" w:rsidP="00392788">
      <w:pPr>
        <w:pStyle w:val="Commissionbodytext"/>
        <w:rPr>
          <w:rFonts w:eastAsiaTheme="majorEastAsia" w:cstheme="majorBidi"/>
          <w:bCs/>
          <w:color w:val="2F5496" w:themeColor="accent5" w:themeShade="BF"/>
          <w:spacing w:val="20"/>
          <w:sz w:val="48"/>
          <w:szCs w:val="28"/>
        </w:rPr>
      </w:pPr>
      <w:r>
        <w:t xml:space="preserve">Within the clinical trials sector, </w:t>
      </w:r>
      <w:r w:rsidR="0031098A">
        <w:t>n</w:t>
      </w:r>
      <w:r w:rsidR="000D19CC">
        <w:t xml:space="preserve">etworks </w:t>
      </w:r>
      <w:r w:rsidR="000D19CC" w:rsidRPr="0058326A">
        <w:t>are widely rega</w:t>
      </w:r>
      <w:r w:rsidR="00E64B41">
        <w:t xml:space="preserve">rded to be key drivers of </w:t>
      </w:r>
      <w:r w:rsidR="00756954">
        <w:t>impact</w:t>
      </w:r>
      <w:r w:rsidR="000D19CC" w:rsidRPr="0058326A">
        <w:t xml:space="preserve"> and value for public investment</w:t>
      </w:r>
      <w:r>
        <w:t>.</w:t>
      </w:r>
      <w:r w:rsidR="005B274F">
        <w:rPr>
          <w:rStyle w:val="FootnoteReference"/>
        </w:rPr>
        <w:footnoteReference w:id="8"/>
      </w:r>
      <w:r w:rsidR="00216BB5">
        <w:t xml:space="preserve"> </w:t>
      </w:r>
      <w:r w:rsidR="008A31E2">
        <w:t>T</w:t>
      </w:r>
      <w:r w:rsidR="00216BB5">
        <w:t>o date</w:t>
      </w:r>
      <w:r w:rsidR="008A31E2">
        <w:t xml:space="preserve"> however,</w:t>
      </w:r>
      <w:r w:rsidR="00216BB5">
        <w:t xml:space="preserve"> th</w:t>
      </w:r>
      <w:r w:rsidR="00E64B41">
        <w:t>ere has been no attempt to</w:t>
      </w:r>
      <w:r w:rsidR="00C905A2">
        <w:t xml:space="preserve"> formally</w:t>
      </w:r>
      <w:r w:rsidR="00E64B41">
        <w:t xml:space="preserve"> </w:t>
      </w:r>
      <w:r w:rsidR="0030113D">
        <w:t xml:space="preserve">evaluate </w:t>
      </w:r>
      <w:r w:rsidR="006979DF">
        <w:t>the</w:t>
      </w:r>
      <w:r w:rsidR="00C905A2">
        <w:t xml:space="preserve"> economic</w:t>
      </w:r>
      <w:r w:rsidR="00E64B41">
        <w:t xml:space="preserve"> impact </w:t>
      </w:r>
      <w:r w:rsidR="006979DF">
        <w:t xml:space="preserve">of networks </w:t>
      </w:r>
      <w:r w:rsidR="00E64B41">
        <w:t>in Australia</w:t>
      </w:r>
      <w:r w:rsidR="009E30A4">
        <w:t xml:space="preserve"> or </w:t>
      </w:r>
      <w:r w:rsidR="00C905A2">
        <w:t xml:space="preserve">describe </w:t>
      </w:r>
      <w:r w:rsidR="009E30A4">
        <w:t xml:space="preserve">the </w:t>
      </w:r>
      <w:r w:rsidR="006979DF">
        <w:t xml:space="preserve">specific </w:t>
      </w:r>
      <w:r w:rsidR="009E30A4">
        <w:t xml:space="preserve">ways </w:t>
      </w:r>
      <w:r w:rsidR="00F7026A">
        <w:t>n</w:t>
      </w:r>
      <w:r w:rsidR="009E30A4">
        <w:t xml:space="preserve">etworks add value to the clinical trial process. </w:t>
      </w:r>
      <w:r w:rsidR="00CF1D36">
        <w:t>In April 2016</w:t>
      </w:r>
      <w:r w:rsidR="006F22D7">
        <w:t>,</w:t>
      </w:r>
      <w:r w:rsidR="00CF1D36">
        <w:t xml:space="preserve"> the </w:t>
      </w:r>
      <w:r w:rsidR="0058326A" w:rsidRPr="0058326A">
        <w:t>Australian Commission on Safety and Quality in Hea</w:t>
      </w:r>
      <w:r w:rsidR="00CF1D36">
        <w:t>lth</w:t>
      </w:r>
      <w:r w:rsidR="0067558F">
        <w:t xml:space="preserve"> C</w:t>
      </w:r>
      <w:r w:rsidR="0058326A" w:rsidRPr="0058326A">
        <w:t xml:space="preserve">are (the Commission) </w:t>
      </w:r>
      <w:r w:rsidR="00CF1D36">
        <w:t xml:space="preserve">commissioned the Australian Clinical Trials Alliance (ACTA), in </w:t>
      </w:r>
      <w:r w:rsidR="0031098A">
        <w:t>a</w:t>
      </w:r>
      <w:r w:rsidR="00CF1D36">
        <w:t xml:space="preserve">ssociation with </w:t>
      </w:r>
      <w:r w:rsidR="0031098A">
        <w:t>Quantium Health</w:t>
      </w:r>
      <w:r w:rsidR="00CF1D36">
        <w:t xml:space="preserve"> Outcomes </w:t>
      </w:r>
      <w:r w:rsidR="0031098A">
        <w:t>(formerly Health Outcomes Australia)</w:t>
      </w:r>
      <w:r w:rsidR="00CF1D36">
        <w:t xml:space="preserve">, to investigate </w:t>
      </w:r>
      <w:r w:rsidR="0058326A" w:rsidRPr="0058326A">
        <w:t>the h</w:t>
      </w:r>
      <w:r w:rsidR="00E64B41">
        <w:t xml:space="preserve">ealth and economic </w:t>
      </w:r>
      <w:r w:rsidR="00DF5B67">
        <w:t>impact of</w:t>
      </w:r>
      <w:r w:rsidR="00E64B41">
        <w:t xml:space="preserve"> </w:t>
      </w:r>
      <w:r w:rsidR="000D19CC">
        <w:t>clinical trials</w:t>
      </w:r>
      <w:r w:rsidR="00CF1D36">
        <w:t xml:space="preserve"> conducted by </w:t>
      </w:r>
      <w:r w:rsidR="00F7026A">
        <w:t>n</w:t>
      </w:r>
      <w:r w:rsidR="000D19CC">
        <w:t>etwork</w:t>
      </w:r>
      <w:r w:rsidR="0058326A" w:rsidRPr="0058326A">
        <w:t>s in Australia</w:t>
      </w:r>
      <w:r w:rsidR="00C508C7">
        <w:t>.</w:t>
      </w:r>
    </w:p>
    <w:p w14:paraId="35512177" w14:textId="77777777" w:rsidR="004108D1" w:rsidRDefault="004108D1">
      <w:pPr>
        <w:spacing w:before="0" w:after="200" w:line="276" w:lineRule="auto"/>
        <w:rPr>
          <w:rFonts w:ascii="Franklin Gothic Heavy" w:eastAsiaTheme="majorEastAsia" w:hAnsi="Franklin Gothic Heavy" w:cstheme="majorBidi"/>
          <w:bCs/>
          <w:color w:val="2F5496" w:themeColor="accent5" w:themeShade="BF"/>
          <w:spacing w:val="20"/>
          <w:sz w:val="40"/>
          <w:szCs w:val="28"/>
        </w:rPr>
      </w:pPr>
      <w:r>
        <w:br w:type="page"/>
      </w:r>
    </w:p>
    <w:p w14:paraId="2535885A" w14:textId="3357069B" w:rsidR="0036274F" w:rsidRDefault="0036274F" w:rsidP="00E11C81">
      <w:pPr>
        <w:pStyle w:val="Heading1"/>
        <w:spacing w:before="120" w:after="240"/>
      </w:pPr>
      <w:bookmarkStart w:id="23" w:name="_Toc487184523"/>
      <w:r>
        <w:lastRenderedPageBreak/>
        <w:t>Overview of approach and methodology</w:t>
      </w:r>
      <w:bookmarkEnd w:id="23"/>
    </w:p>
    <w:p w14:paraId="4F5689D0" w14:textId="6AE1BC17" w:rsidR="005A296E" w:rsidRPr="00F074A5" w:rsidRDefault="00901AC7" w:rsidP="00392788">
      <w:pPr>
        <w:pStyle w:val="Commissionbodytext"/>
      </w:pPr>
      <w:bookmarkStart w:id="24" w:name="_Toc329424852"/>
      <w:r w:rsidRPr="00F074A5">
        <w:t xml:space="preserve">This section provides an </w:t>
      </w:r>
      <w:r w:rsidR="00A573AE" w:rsidRPr="00F074A5">
        <w:t xml:space="preserve">overview of the approach to </w:t>
      </w:r>
      <w:r w:rsidR="0031098A" w:rsidRPr="00F074A5">
        <w:t>n</w:t>
      </w:r>
      <w:r w:rsidR="00A573AE" w:rsidRPr="00F074A5">
        <w:t>etwork and clinical trial selection and the methodology used in the evaluati</w:t>
      </w:r>
      <w:r w:rsidRPr="00F074A5">
        <w:t>on.</w:t>
      </w:r>
    </w:p>
    <w:p w14:paraId="54001DFE" w14:textId="157FDF2E" w:rsidR="00A573AE" w:rsidRPr="005A296E" w:rsidRDefault="006220D4" w:rsidP="00257D81">
      <w:pPr>
        <w:pStyle w:val="Heading2"/>
      </w:pPr>
      <w:bookmarkStart w:id="25" w:name="_Toc487184524"/>
      <w:r>
        <w:t>S</w:t>
      </w:r>
      <w:r w:rsidR="00A573AE" w:rsidRPr="0036274F">
        <w:t xml:space="preserve">election of </w:t>
      </w:r>
      <w:r w:rsidR="00A573AE">
        <w:t>networks</w:t>
      </w:r>
      <w:bookmarkEnd w:id="25"/>
    </w:p>
    <w:p w14:paraId="4810E3A1" w14:textId="70F9B38A" w:rsidR="00A573AE" w:rsidRDefault="00460146" w:rsidP="00392788">
      <w:pPr>
        <w:pStyle w:val="Commissionbodytext"/>
      </w:pPr>
      <w:r>
        <w:t>The</w:t>
      </w:r>
      <w:r w:rsidR="00BC3460">
        <w:t xml:space="preserve"> </w:t>
      </w:r>
      <w:r w:rsidR="007815A0" w:rsidRPr="00F074A5">
        <w:rPr>
          <w:i/>
        </w:rPr>
        <w:t>Report on the Activities and Achievements of Clinical Trials Networks in Australia 2004</w:t>
      </w:r>
      <w:r w:rsidR="006F22D7">
        <w:rPr>
          <w:i/>
        </w:rPr>
        <w:t>–</w:t>
      </w:r>
      <w:r w:rsidR="007815A0" w:rsidRPr="00F074A5">
        <w:rPr>
          <w:i/>
        </w:rPr>
        <w:t xml:space="preserve">2014 </w:t>
      </w:r>
      <w:r w:rsidR="007815A0">
        <w:t xml:space="preserve">(the Profiling Networks Report) </w:t>
      </w:r>
      <w:r w:rsidR="006B4AAB">
        <w:t>provided a</w:t>
      </w:r>
      <w:r w:rsidR="00BC3460">
        <w:t xml:space="preserve"> starting point fo</w:t>
      </w:r>
      <w:r w:rsidR="006B4AAB">
        <w:t xml:space="preserve">r </w:t>
      </w:r>
      <w:r w:rsidR="00153855">
        <w:t>the selection of</w:t>
      </w:r>
      <w:r w:rsidR="00BF3BA9">
        <w:t xml:space="preserve"> case study</w:t>
      </w:r>
      <w:r w:rsidR="00153855">
        <w:t xml:space="preserve"> </w:t>
      </w:r>
      <w:r w:rsidR="00F7026A">
        <w:t>n</w:t>
      </w:r>
      <w:r w:rsidR="00153855">
        <w:t>etworks and trials for th</w:t>
      </w:r>
      <w:r w:rsidR="00991DE5">
        <w:t>e</w:t>
      </w:r>
      <w:r w:rsidR="00153855">
        <w:t xml:space="preserve"> evaluation</w:t>
      </w:r>
      <w:r w:rsidR="003968B6">
        <w:t>. Th</w:t>
      </w:r>
      <w:r w:rsidR="003650B7">
        <w:t>e</w:t>
      </w:r>
      <w:r w:rsidR="003968B6">
        <w:t xml:space="preserve"> </w:t>
      </w:r>
      <w:r w:rsidR="0038484E">
        <w:t>r</w:t>
      </w:r>
      <w:r w:rsidR="00991DE5">
        <w:t xml:space="preserve">eport </w:t>
      </w:r>
      <w:r w:rsidR="00BC3460">
        <w:t>identified</w:t>
      </w:r>
      <w:r w:rsidR="00066799">
        <w:t xml:space="preserve"> a total of</w:t>
      </w:r>
      <w:r w:rsidR="00BC3460">
        <w:t xml:space="preserve"> 3</w:t>
      </w:r>
      <w:r w:rsidR="007815A0">
        <w:t>7</w:t>
      </w:r>
      <w:r w:rsidR="00BC3460">
        <w:t xml:space="preserve"> established networks in Australia and </w:t>
      </w:r>
      <w:r w:rsidR="007C7E9E">
        <w:t xml:space="preserve">presented </w:t>
      </w:r>
      <w:r w:rsidR="00BC3460">
        <w:t xml:space="preserve">comprehensive data </w:t>
      </w:r>
      <w:r w:rsidR="007C7E9E">
        <w:t xml:space="preserve">from 34 </w:t>
      </w:r>
      <w:r w:rsidR="00153855">
        <w:t>of the</w:t>
      </w:r>
      <w:r w:rsidR="003650B7">
        <w:t xml:space="preserve"> networks</w:t>
      </w:r>
      <w:r w:rsidR="00153855">
        <w:t xml:space="preserve"> </w:t>
      </w:r>
      <w:r w:rsidR="007C7E9E">
        <w:t xml:space="preserve">for the period </w:t>
      </w:r>
      <w:r w:rsidR="00BC3460">
        <w:t>20</w:t>
      </w:r>
      <w:r w:rsidR="0067558F">
        <w:t>0</w:t>
      </w:r>
      <w:r w:rsidR="00BC3460">
        <w:t>4</w:t>
      </w:r>
      <w:r w:rsidR="007C7E9E">
        <w:t xml:space="preserve"> </w:t>
      </w:r>
      <w:r w:rsidR="00DF02F3">
        <w:t>to</w:t>
      </w:r>
      <w:r w:rsidR="007C7E9E">
        <w:t xml:space="preserve"> 2014.</w:t>
      </w:r>
      <w:r w:rsidR="00220EFF">
        <w:rPr>
          <w:rStyle w:val="FootnoteReference"/>
          <w:bCs/>
          <w:iCs/>
        </w:rPr>
        <w:footnoteReference w:id="9"/>
      </w:r>
    </w:p>
    <w:p w14:paraId="41F9D827" w14:textId="77777777" w:rsidR="006F22D7" w:rsidRDefault="006F22D7" w:rsidP="00392788">
      <w:pPr>
        <w:pStyle w:val="Commissionbodytext"/>
      </w:pPr>
    </w:p>
    <w:p w14:paraId="238B6F12" w14:textId="30542335" w:rsidR="00A573AE" w:rsidRDefault="00A573AE" w:rsidP="00392788">
      <w:pPr>
        <w:pStyle w:val="Commissionbodytext"/>
      </w:pPr>
      <w:r w:rsidRPr="0036274F">
        <w:t xml:space="preserve">Networks </w:t>
      </w:r>
      <w:r w:rsidR="0038484E">
        <w:t xml:space="preserve">from the Profiling Networks Report </w:t>
      </w:r>
      <w:r w:rsidRPr="0036274F">
        <w:t>were inclu</w:t>
      </w:r>
      <w:r w:rsidR="00972A76">
        <w:t>ded</w:t>
      </w:r>
      <w:r w:rsidRPr="0036274F">
        <w:t xml:space="preserve"> </w:t>
      </w:r>
      <w:r w:rsidR="003650B7">
        <w:t xml:space="preserve">in the evaluation </w:t>
      </w:r>
      <w:r w:rsidRPr="0036274F">
        <w:t>if they met t</w:t>
      </w:r>
      <w:r w:rsidR="003650B7">
        <w:t xml:space="preserve">he following </w:t>
      </w:r>
      <w:r w:rsidRPr="0036274F">
        <w:t>criteria:</w:t>
      </w:r>
    </w:p>
    <w:p w14:paraId="26D7835E" w14:textId="77777777" w:rsidR="006F22D7" w:rsidRPr="0036274F" w:rsidRDefault="006F22D7" w:rsidP="00392788">
      <w:pPr>
        <w:pStyle w:val="Commissionbodytext"/>
      </w:pPr>
    </w:p>
    <w:p w14:paraId="3730B831" w14:textId="10DCF04D" w:rsidR="00A573AE" w:rsidRPr="00CF205A" w:rsidRDefault="00A573AE" w:rsidP="00392788">
      <w:pPr>
        <w:pStyle w:val="Commissionbullets"/>
      </w:pPr>
      <w:r w:rsidRPr="00F009D8">
        <w:rPr>
          <w:rStyle w:val="Strong"/>
          <w:b w:val="0"/>
        </w:rPr>
        <w:t>Maturity</w:t>
      </w:r>
      <w:r w:rsidRPr="00EE7152">
        <w:rPr>
          <w:rStyle w:val="Strong"/>
          <w:b w:val="0"/>
        </w:rPr>
        <w:t>:</w:t>
      </w:r>
      <w:r w:rsidRPr="00CF205A">
        <w:t xml:space="preserve"> </w:t>
      </w:r>
      <w:r w:rsidR="003650B7">
        <w:t xml:space="preserve">networks had to have been </w:t>
      </w:r>
      <w:r w:rsidRPr="00CF205A">
        <w:t xml:space="preserve">operational for </w:t>
      </w:r>
      <w:r w:rsidR="009806FF">
        <w:t>10</w:t>
      </w:r>
      <w:r w:rsidRPr="00CF205A">
        <w:t xml:space="preserve"> or more years </w:t>
      </w:r>
      <w:r w:rsidR="003650B7">
        <w:t>and have</w:t>
      </w:r>
      <w:r w:rsidRPr="00CF205A">
        <w:t xml:space="preserve"> five or more high-impact peer reviewed clinical trial</w:t>
      </w:r>
      <w:r w:rsidR="00BC0B35">
        <w:t xml:space="preserve">s </w:t>
      </w:r>
      <w:r w:rsidR="003650B7">
        <w:t>where an</w:t>
      </w:r>
      <w:r w:rsidR="00BC0B35">
        <w:t xml:space="preserve"> influence (or potential influence)</w:t>
      </w:r>
      <w:r w:rsidRPr="00CF205A">
        <w:t xml:space="preserve"> on local clinical policy and/or practice could be identified </w:t>
      </w:r>
    </w:p>
    <w:p w14:paraId="545272F7" w14:textId="3371DFAF" w:rsidR="003650B7" w:rsidRPr="003650B7" w:rsidRDefault="00A573AE" w:rsidP="00392788">
      <w:pPr>
        <w:pStyle w:val="Commissionbullets"/>
      </w:pPr>
      <w:r w:rsidRPr="00F009D8">
        <w:rPr>
          <w:rStyle w:val="Strong"/>
          <w:b w:val="0"/>
        </w:rPr>
        <w:t>Local Investment:</w:t>
      </w:r>
      <w:r w:rsidRPr="00CF205A">
        <w:rPr>
          <w:b/>
        </w:rPr>
        <w:t xml:space="preserve"> </w:t>
      </w:r>
      <w:r w:rsidR="003650B7" w:rsidRPr="00972A76">
        <w:t xml:space="preserve">a </w:t>
      </w:r>
      <w:r w:rsidRPr="00CF205A">
        <w:t xml:space="preserve">significant proportion of </w:t>
      </w:r>
      <w:r w:rsidR="003650B7">
        <w:t xml:space="preserve">the </w:t>
      </w:r>
      <w:r w:rsidRPr="00CF205A">
        <w:t xml:space="preserve">research funding </w:t>
      </w:r>
      <w:r w:rsidR="003650B7">
        <w:t xml:space="preserve">received by the clinical trials had to be </w:t>
      </w:r>
      <w:r w:rsidRPr="00CF205A">
        <w:t xml:space="preserve">from Australian funders, primarily the NHMRC </w:t>
      </w:r>
    </w:p>
    <w:p w14:paraId="14EF350B" w14:textId="06FB7E76" w:rsidR="00452F23" w:rsidRPr="00EE7152" w:rsidRDefault="00A573AE" w:rsidP="00EE7152">
      <w:pPr>
        <w:pStyle w:val="Commissionbullets"/>
        <w:rPr>
          <w:rStyle w:val="Strong"/>
          <w:b w:val="0"/>
        </w:rPr>
      </w:pPr>
      <w:r w:rsidRPr="00F009D8">
        <w:rPr>
          <w:rStyle w:val="Strong"/>
          <w:b w:val="0"/>
        </w:rPr>
        <w:t>Feasibility:</w:t>
      </w:r>
      <w:r w:rsidRPr="00EE7152">
        <w:rPr>
          <w:rStyle w:val="Strong"/>
        </w:rPr>
        <w:t xml:space="preserve"> </w:t>
      </w:r>
      <w:r w:rsidR="00972A76" w:rsidRPr="00EE7152">
        <w:rPr>
          <w:rStyle w:val="Strong"/>
          <w:b w:val="0"/>
        </w:rPr>
        <w:t xml:space="preserve">networks had to be </w:t>
      </w:r>
      <w:r w:rsidR="00645E16" w:rsidRPr="00EE7152">
        <w:rPr>
          <w:rStyle w:val="Strong"/>
          <w:b w:val="0"/>
        </w:rPr>
        <w:t>available</w:t>
      </w:r>
      <w:r w:rsidRPr="00EE7152">
        <w:rPr>
          <w:rStyle w:val="Strong"/>
          <w:b w:val="0"/>
        </w:rPr>
        <w:t xml:space="preserve"> to participate for the duration of the project and </w:t>
      </w:r>
      <w:r w:rsidR="0040524D" w:rsidRPr="00EE7152">
        <w:rPr>
          <w:rStyle w:val="Strong"/>
          <w:b w:val="0"/>
        </w:rPr>
        <w:t xml:space="preserve">be </w:t>
      </w:r>
      <w:r w:rsidR="00972A76" w:rsidRPr="00EE7152">
        <w:rPr>
          <w:rStyle w:val="Strong"/>
          <w:b w:val="0"/>
        </w:rPr>
        <w:t xml:space="preserve">able to </w:t>
      </w:r>
      <w:r w:rsidRPr="00EE7152">
        <w:rPr>
          <w:rStyle w:val="Strong"/>
          <w:b w:val="0"/>
        </w:rPr>
        <w:t xml:space="preserve">provide data and in-kind engagement. </w:t>
      </w:r>
    </w:p>
    <w:p w14:paraId="27849389" w14:textId="77777777" w:rsidR="006F22D7" w:rsidRDefault="006F22D7" w:rsidP="00392788">
      <w:pPr>
        <w:pStyle w:val="Commissionbullets"/>
        <w:numPr>
          <w:ilvl w:val="0"/>
          <w:numId w:val="0"/>
        </w:numPr>
        <w:ind w:left="720"/>
      </w:pPr>
    </w:p>
    <w:p w14:paraId="0772916C" w14:textId="3581400F" w:rsidR="00A7729E" w:rsidRDefault="00972A76" w:rsidP="00392788">
      <w:pPr>
        <w:pStyle w:val="Commissionbodytext"/>
      </w:pPr>
      <w:r>
        <w:t>F</w:t>
      </w:r>
      <w:r w:rsidR="004D6142">
        <w:t xml:space="preserve">our </w:t>
      </w:r>
      <w:r>
        <w:t>n</w:t>
      </w:r>
      <w:r w:rsidR="00BA1E7E">
        <w:t>etworks</w:t>
      </w:r>
      <w:r w:rsidR="00DA1EFB">
        <w:t xml:space="preserve"> were</w:t>
      </w:r>
      <w:r w:rsidR="004D6142">
        <w:t xml:space="preserve"> </w:t>
      </w:r>
      <w:r>
        <w:t>shortlisted on the basis that they met the first two criteria</w:t>
      </w:r>
      <w:r w:rsidR="006979DF">
        <w:t>.</w:t>
      </w:r>
      <w:r>
        <w:t xml:space="preserve"> </w:t>
      </w:r>
      <w:r w:rsidR="007B58D8">
        <w:t>As</w:t>
      </w:r>
      <w:r w:rsidR="00AA2738">
        <w:t xml:space="preserve"> one</w:t>
      </w:r>
      <w:r w:rsidR="004D6142">
        <w:t xml:space="preserve"> </w:t>
      </w:r>
      <w:r>
        <w:t>of these n</w:t>
      </w:r>
      <w:r w:rsidR="004D6142">
        <w:t>etwork</w:t>
      </w:r>
      <w:r>
        <w:t>s</w:t>
      </w:r>
      <w:r w:rsidR="004D6142">
        <w:t xml:space="preserve"> </w:t>
      </w:r>
      <w:r>
        <w:t xml:space="preserve">was unable </w:t>
      </w:r>
      <w:r w:rsidR="0095558B">
        <w:t>to participate</w:t>
      </w:r>
      <w:r w:rsidR="004D6142">
        <w:t xml:space="preserve"> </w:t>
      </w:r>
      <w:r>
        <w:t xml:space="preserve">for the duration </w:t>
      </w:r>
      <w:r w:rsidR="004D6142">
        <w:t>of the evaluation</w:t>
      </w:r>
      <w:r w:rsidR="00991DE5">
        <w:t>, t</w:t>
      </w:r>
      <w:r w:rsidR="007C7E9E">
        <w:t xml:space="preserve">hree </w:t>
      </w:r>
      <w:r w:rsidR="00F7026A">
        <w:t>n</w:t>
      </w:r>
      <w:r w:rsidR="00A573AE" w:rsidRPr="00A573AE">
        <w:t>etworks</w:t>
      </w:r>
      <w:r w:rsidR="004D6142">
        <w:t xml:space="preserve"> were </w:t>
      </w:r>
      <w:r w:rsidR="007C7E9E">
        <w:t xml:space="preserve">included in the </w:t>
      </w:r>
      <w:r w:rsidR="00A573AE" w:rsidRPr="00A573AE">
        <w:t>evaluation</w:t>
      </w:r>
      <w:r w:rsidR="00991DE5">
        <w:t>, as described below and in</w:t>
      </w:r>
      <w:r w:rsidR="004D3458">
        <w:t xml:space="preserve"> </w:t>
      </w:r>
      <w:r w:rsidR="00A7729E">
        <w:fldChar w:fldCharType="begin"/>
      </w:r>
      <w:r w:rsidR="00A7729E">
        <w:instrText xml:space="preserve"> REF _Ref479175533 \h </w:instrText>
      </w:r>
      <w:r w:rsidR="00452F23">
        <w:instrText xml:space="preserve"> \* MERGEFORMAT </w:instrText>
      </w:r>
      <w:r w:rsidR="00A7729E">
        <w:fldChar w:fldCharType="separate"/>
      </w:r>
      <w:r w:rsidR="007B3054">
        <w:t xml:space="preserve">Table </w:t>
      </w:r>
      <w:r w:rsidR="007B3054">
        <w:rPr>
          <w:noProof/>
        </w:rPr>
        <w:t>3</w:t>
      </w:r>
      <w:r w:rsidR="00A7729E">
        <w:fldChar w:fldCharType="end"/>
      </w:r>
      <w:r w:rsidR="00A7729E">
        <w:t>.</w:t>
      </w:r>
    </w:p>
    <w:p w14:paraId="3A834429" w14:textId="77777777" w:rsidR="00452F23" w:rsidRDefault="00452F23" w:rsidP="00392788">
      <w:pPr>
        <w:pStyle w:val="Commissionbodytext"/>
      </w:pPr>
    </w:p>
    <w:p w14:paraId="3E292BD0" w14:textId="329F0F12" w:rsidR="00A573AE" w:rsidRPr="00CD7CE4" w:rsidRDefault="00A573AE" w:rsidP="00392788">
      <w:pPr>
        <w:pStyle w:val="Commissionbullets"/>
      </w:pPr>
      <w:r w:rsidRPr="009F5153">
        <w:rPr>
          <w:rStyle w:val="Strong"/>
        </w:rPr>
        <w:t>Australasian Stroke Trials Network (ASTN)</w:t>
      </w:r>
      <w:r w:rsidR="0045559E" w:rsidRPr="009F5153">
        <w:rPr>
          <w:rStyle w:val="Strong"/>
        </w:rPr>
        <w:t>.</w:t>
      </w:r>
      <w:r w:rsidR="0045559E" w:rsidRPr="00BA1D2B">
        <w:rPr>
          <w:rStyle w:val="Strong"/>
          <w:b w:val="0"/>
          <w:bCs w:val="0"/>
          <w:color w:val="auto"/>
        </w:rPr>
        <w:t xml:space="preserve"> </w:t>
      </w:r>
      <w:r w:rsidR="0045559E" w:rsidRPr="00CD7CE4">
        <w:t>The ASTN was established in 1996 and ha</w:t>
      </w:r>
      <w:r w:rsidR="00612A45" w:rsidRPr="00CD7CE4">
        <w:t>s</w:t>
      </w:r>
      <w:r w:rsidR="0045559E" w:rsidRPr="00CD7CE4">
        <w:t xml:space="preserve"> completed or initiated more than 75 multicentr</w:t>
      </w:r>
      <w:r w:rsidR="009F5153">
        <w:t>e</w:t>
      </w:r>
      <w:r w:rsidR="0045559E" w:rsidRPr="00CD7CE4">
        <w:t xml:space="preserve"> clinical trials and related studies in stroke care, diagnosis or prevention</w:t>
      </w:r>
      <w:r w:rsidR="00DE24C6" w:rsidRPr="00CD7CE4">
        <w:t>.</w:t>
      </w:r>
    </w:p>
    <w:p w14:paraId="4C82A84C" w14:textId="1E8B38EE" w:rsidR="00A573AE" w:rsidRPr="00CD7CE4" w:rsidRDefault="00A573AE" w:rsidP="00392788">
      <w:pPr>
        <w:pStyle w:val="Commissionbullets"/>
      </w:pPr>
      <w:r w:rsidRPr="009F5153">
        <w:rPr>
          <w:rStyle w:val="Strong"/>
        </w:rPr>
        <w:t xml:space="preserve">Interdisciplinary Maternal Perinatal </w:t>
      </w:r>
      <w:r w:rsidR="00E37C63" w:rsidRPr="009F5153">
        <w:rPr>
          <w:rStyle w:val="Strong"/>
        </w:rPr>
        <w:t xml:space="preserve">Australasian </w:t>
      </w:r>
      <w:r w:rsidRPr="009F5153">
        <w:rPr>
          <w:rStyle w:val="Strong"/>
        </w:rPr>
        <w:t>C</w:t>
      </w:r>
      <w:r w:rsidR="00E37C63" w:rsidRPr="009F5153">
        <w:rPr>
          <w:rStyle w:val="Strong"/>
        </w:rPr>
        <w:t>ollaborative</w:t>
      </w:r>
      <w:r w:rsidRPr="009F5153">
        <w:rPr>
          <w:rStyle w:val="Strong"/>
        </w:rPr>
        <w:t xml:space="preserve"> Trials (IMPACT) Network</w:t>
      </w:r>
      <w:r w:rsidR="0045559E" w:rsidRPr="00F009D8">
        <w:rPr>
          <w:rStyle w:val="Strong"/>
          <w:b w:val="0"/>
        </w:rPr>
        <w:t>.</w:t>
      </w:r>
      <w:r w:rsidR="0045559E" w:rsidRPr="00BA1D2B">
        <w:rPr>
          <w:rStyle w:val="Strong"/>
          <w:b w:val="0"/>
          <w:bCs w:val="0"/>
          <w:color w:val="auto"/>
        </w:rPr>
        <w:t xml:space="preserve"> </w:t>
      </w:r>
      <w:r w:rsidR="0045559E" w:rsidRPr="00CD7CE4">
        <w:t>The IMPACT Network formed in 1994 and has completed or initiated close to 300 clinical trials and related studies in maternal and perinatal health.</w:t>
      </w:r>
    </w:p>
    <w:p w14:paraId="2ED17441" w14:textId="1EC8C8D6" w:rsidR="007815A0" w:rsidRPr="00CD7CE4" w:rsidRDefault="00A573AE" w:rsidP="00392788">
      <w:pPr>
        <w:pStyle w:val="Commissionbullets"/>
      </w:pPr>
      <w:r w:rsidRPr="009F5153">
        <w:rPr>
          <w:rStyle w:val="Strong"/>
        </w:rPr>
        <w:t>Australian and New Zealand Intensive Care Society Clinical Trials Group (ANZICS CTG)</w:t>
      </w:r>
      <w:r w:rsidR="0045559E" w:rsidRPr="00F009D8">
        <w:rPr>
          <w:rStyle w:val="Strong"/>
          <w:b w:val="0"/>
        </w:rPr>
        <w:t>.</w:t>
      </w:r>
      <w:r w:rsidR="0045559E" w:rsidRPr="00CD7CE4">
        <w:rPr>
          <w:rStyle w:val="Strong"/>
          <w:b w:val="0"/>
          <w:bCs w:val="0"/>
          <w:color w:val="auto"/>
        </w:rPr>
        <w:t xml:space="preserve"> </w:t>
      </w:r>
      <w:r w:rsidR="0045559E" w:rsidRPr="00CD7CE4">
        <w:t xml:space="preserve">The ANZICS CTG was established in 1994 and has completed or initiated </w:t>
      </w:r>
      <w:r w:rsidR="0054717A">
        <w:t>approximately</w:t>
      </w:r>
      <w:r w:rsidR="0045559E" w:rsidRPr="00CD7CE4">
        <w:t xml:space="preserve"> 90 clinical trials and related studies in intensive care.</w:t>
      </w:r>
      <w:r w:rsidR="007815A0" w:rsidRPr="00CD7CE4">
        <w:t xml:space="preserve"> </w:t>
      </w:r>
      <w:bookmarkStart w:id="26" w:name="_Ref475266891"/>
    </w:p>
    <w:p w14:paraId="76164A5B" w14:textId="77777777" w:rsidR="00996BE6" w:rsidRDefault="00996BE6">
      <w:pPr>
        <w:spacing w:before="0" w:after="200" w:line="276" w:lineRule="auto"/>
        <w:rPr>
          <w:rFonts w:eastAsiaTheme="minorEastAsia"/>
          <w:b/>
          <w:bCs/>
          <w:color w:val="2F5496" w:themeColor="accent5" w:themeShade="BF"/>
          <w:spacing w:val="6"/>
          <w:szCs w:val="18"/>
          <w:lang w:bidi="hi-IN"/>
        </w:rPr>
      </w:pPr>
      <w:r>
        <w:br w:type="page"/>
      </w:r>
    </w:p>
    <w:p w14:paraId="6B41F071" w14:textId="55F3D35B" w:rsidR="00BA1D2B" w:rsidRDefault="000433AB" w:rsidP="00F074A5">
      <w:pPr>
        <w:pStyle w:val="Caption"/>
      </w:pPr>
      <w:bookmarkStart w:id="27" w:name="_Ref479175533"/>
      <w:bookmarkStart w:id="28" w:name="_Toc479177726"/>
      <w:r>
        <w:lastRenderedPageBreak/>
        <w:t xml:space="preserve">Table </w:t>
      </w:r>
      <w:fldSimple w:instr=" SEQ Table \* ARABIC ">
        <w:r w:rsidR="007B3054">
          <w:rPr>
            <w:noProof/>
          </w:rPr>
          <w:t>3</w:t>
        </w:r>
      </w:fldSimple>
      <w:bookmarkEnd w:id="27"/>
      <w:r>
        <w:t>. Networks included in the analysis</w:t>
      </w:r>
      <w:bookmarkEnd w:id="28"/>
    </w:p>
    <w:tbl>
      <w:tblPr>
        <w:tblStyle w:val="TableGrid"/>
        <w:tblW w:w="0" w:type="auto"/>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4A0" w:firstRow="1" w:lastRow="0" w:firstColumn="1" w:lastColumn="0" w:noHBand="0" w:noVBand="1"/>
      </w:tblPr>
      <w:tblGrid>
        <w:gridCol w:w="1675"/>
        <w:gridCol w:w="1162"/>
        <w:gridCol w:w="1666"/>
        <w:gridCol w:w="1782"/>
        <w:gridCol w:w="1596"/>
        <w:gridCol w:w="2075"/>
      </w:tblGrid>
      <w:tr w:rsidR="008869AC" w:rsidRPr="00392788" w14:paraId="7D28BB9E" w14:textId="77777777" w:rsidTr="00392788">
        <w:trPr>
          <w:trHeight w:val="733"/>
        </w:trPr>
        <w:tc>
          <w:tcPr>
            <w:tcW w:w="1675" w:type="dxa"/>
            <w:shd w:val="clear" w:color="auto" w:fill="2F5496" w:themeFill="accent5" w:themeFillShade="BF"/>
            <w:vAlign w:val="bottom"/>
          </w:tcPr>
          <w:p w14:paraId="347C8D11" w14:textId="653DE566" w:rsidR="008869AC" w:rsidRPr="00392788" w:rsidRDefault="008869AC" w:rsidP="00392788">
            <w:pPr>
              <w:spacing w:after="0" w:line="276" w:lineRule="auto"/>
              <w:rPr>
                <w:rFonts w:cs="Arial"/>
                <w:b/>
                <w:color w:val="FFFFFF" w:themeColor="background1"/>
                <w:sz w:val="21"/>
                <w:szCs w:val="21"/>
                <w:lang w:bidi="hi-IN"/>
              </w:rPr>
            </w:pPr>
            <w:r w:rsidRPr="00392788">
              <w:rPr>
                <w:rFonts w:cs="Arial"/>
                <w:b/>
                <w:color w:val="FFFFFF" w:themeColor="background1"/>
                <w:sz w:val="21"/>
                <w:szCs w:val="21"/>
                <w:lang w:bidi="hi-IN"/>
              </w:rPr>
              <w:t>Network</w:t>
            </w:r>
          </w:p>
        </w:tc>
        <w:tc>
          <w:tcPr>
            <w:tcW w:w="1162" w:type="dxa"/>
            <w:shd w:val="clear" w:color="auto" w:fill="2F5496" w:themeFill="accent5" w:themeFillShade="BF"/>
            <w:vAlign w:val="bottom"/>
          </w:tcPr>
          <w:p w14:paraId="293CA17D" w14:textId="792F2917" w:rsidR="008869AC" w:rsidRPr="00392788" w:rsidRDefault="008869AC" w:rsidP="00392788">
            <w:pPr>
              <w:spacing w:after="0" w:line="276" w:lineRule="auto"/>
              <w:rPr>
                <w:rFonts w:cs="Arial"/>
                <w:b/>
                <w:color w:val="FFFFFF" w:themeColor="background1"/>
                <w:sz w:val="21"/>
                <w:szCs w:val="21"/>
                <w:lang w:bidi="hi-IN"/>
              </w:rPr>
            </w:pPr>
            <w:r w:rsidRPr="00392788">
              <w:rPr>
                <w:rFonts w:cs="Arial"/>
                <w:b/>
                <w:color w:val="FFFFFF" w:themeColor="background1"/>
                <w:sz w:val="21"/>
                <w:szCs w:val="21"/>
                <w:lang w:bidi="hi-IN"/>
              </w:rPr>
              <w:t xml:space="preserve">Year </w:t>
            </w:r>
            <w:r w:rsidR="00452F23">
              <w:rPr>
                <w:rFonts w:cs="Arial"/>
                <w:b/>
                <w:color w:val="FFFFFF" w:themeColor="background1"/>
                <w:sz w:val="21"/>
                <w:szCs w:val="21"/>
                <w:lang w:bidi="hi-IN"/>
              </w:rPr>
              <w:t>s</w:t>
            </w:r>
            <w:r w:rsidRPr="00392788">
              <w:rPr>
                <w:rFonts w:cs="Arial"/>
                <w:b/>
                <w:color w:val="FFFFFF" w:themeColor="background1"/>
                <w:sz w:val="21"/>
                <w:szCs w:val="21"/>
                <w:lang w:bidi="hi-IN"/>
              </w:rPr>
              <w:t>tarted</w:t>
            </w:r>
          </w:p>
        </w:tc>
        <w:tc>
          <w:tcPr>
            <w:tcW w:w="1666" w:type="dxa"/>
            <w:shd w:val="clear" w:color="auto" w:fill="2F5496" w:themeFill="accent5" w:themeFillShade="BF"/>
            <w:vAlign w:val="bottom"/>
          </w:tcPr>
          <w:p w14:paraId="160C09DC" w14:textId="2FA92099" w:rsidR="008869AC" w:rsidRPr="00392788" w:rsidRDefault="008869AC" w:rsidP="00392788">
            <w:pPr>
              <w:spacing w:after="0" w:line="276" w:lineRule="auto"/>
              <w:rPr>
                <w:rFonts w:cs="Arial"/>
                <w:b/>
                <w:color w:val="FFFFFF" w:themeColor="background1"/>
                <w:sz w:val="21"/>
                <w:szCs w:val="21"/>
                <w:lang w:bidi="hi-IN"/>
              </w:rPr>
            </w:pPr>
            <w:r w:rsidRPr="00392788">
              <w:rPr>
                <w:rFonts w:cs="Arial"/>
                <w:b/>
                <w:color w:val="FFFFFF" w:themeColor="background1"/>
                <w:sz w:val="21"/>
                <w:szCs w:val="21"/>
                <w:lang w:bidi="hi-IN"/>
              </w:rPr>
              <w:t>Studies</w:t>
            </w:r>
          </w:p>
        </w:tc>
        <w:tc>
          <w:tcPr>
            <w:tcW w:w="1782" w:type="dxa"/>
            <w:shd w:val="clear" w:color="auto" w:fill="2F5496" w:themeFill="accent5" w:themeFillShade="BF"/>
            <w:vAlign w:val="bottom"/>
          </w:tcPr>
          <w:p w14:paraId="66E30167" w14:textId="5769B81F" w:rsidR="008869AC" w:rsidRPr="00392788" w:rsidRDefault="008869AC" w:rsidP="00392788">
            <w:pPr>
              <w:spacing w:after="0" w:line="276" w:lineRule="auto"/>
              <w:rPr>
                <w:rFonts w:cs="Arial"/>
                <w:b/>
                <w:color w:val="FFFFFF" w:themeColor="background1"/>
                <w:sz w:val="21"/>
                <w:szCs w:val="21"/>
                <w:lang w:bidi="hi-IN"/>
              </w:rPr>
            </w:pPr>
            <w:r w:rsidRPr="00392788">
              <w:rPr>
                <w:rFonts w:cs="Arial"/>
                <w:b/>
                <w:color w:val="FFFFFF" w:themeColor="background1"/>
                <w:sz w:val="21"/>
                <w:szCs w:val="21"/>
                <w:lang w:bidi="hi-IN"/>
              </w:rPr>
              <w:t>Funding</w:t>
            </w:r>
          </w:p>
        </w:tc>
        <w:tc>
          <w:tcPr>
            <w:tcW w:w="1596" w:type="dxa"/>
            <w:shd w:val="clear" w:color="auto" w:fill="2F5496" w:themeFill="accent5" w:themeFillShade="BF"/>
            <w:vAlign w:val="bottom"/>
          </w:tcPr>
          <w:p w14:paraId="2DB9CD5F" w14:textId="253BC4DC" w:rsidR="008869AC" w:rsidRPr="00392788" w:rsidRDefault="008869AC" w:rsidP="00392788">
            <w:pPr>
              <w:spacing w:after="0" w:line="276" w:lineRule="auto"/>
              <w:rPr>
                <w:rFonts w:cs="Arial"/>
                <w:b/>
                <w:color w:val="FFFFFF" w:themeColor="background1"/>
                <w:sz w:val="21"/>
                <w:szCs w:val="21"/>
                <w:lang w:bidi="hi-IN"/>
              </w:rPr>
            </w:pPr>
            <w:r w:rsidRPr="00392788">
              <w:rPr>
                <w:rFonts w:cs="Arial"/>
                <w:b/>
                <w:color w:val="FFFFFF" w:themeColor="background1"/>
                <w:sz w:val="21"/>
                <w:szCs w:val="21"/>
                <w:lang w:bidi="hi-IN"/>
              </w:rPr>
              <w:t>Publications</w:t>
            </w:r>
          </w:p>
        </w:tc>
        <w:tc>
          <w:tcPr>
            <w:tcW w:w="2075" w:type="dxa"/>
            <w:shd w:val="clear" w:color="auto" w:fill="2F5496" w:themeFill="accent5" w:themeFillShade="BF"/>
            <w:vAlign w:val="bottom"/>
          </w:tcPr>
          <w:p w14:paraId="4C088024" w14:textId="0D20E75A" w:rsidR="008869AC" w:rsidRPr="00392788" w:rsidRDefault="008869AC" w:rsidP="00392788">
            <w:pPr>
              <w:spacing w:after="0" w:line="276" w:lineRule="auto"/>
              <w:rPr>
                <w:rFonts w:cs="Arial"/>
                <w:b/>
                <w:color w:val="FFFFFF" w:themeColor="background1"/>
                <w:sz w:val="21"/>
                <w:szCs w:val="21"/>
                <w:lang w:bidi="hi-IN"/>
              </w:rPr>
            </w:pPr>
            <w:r w:rsidRPr="00392788">
              <w:rPr>
                <w:rFonts w:cs="Arial"/>
                <w:b/>
                <w:color w:val="FFFFFF" w:themeColor="background1"/>
                <w:sz w:val="21"/>
                <w:szCs w:val="21"/>
                <w:lang w:bidi="hi-IN"/>
              </w:rPr>
              <w:t xml:space="preserve">Known </w:t>
            </w:r>
            <w:r w:rsidR="00452F23">
              <w:rPr>
                <w:rFonts w:cs="Arial"/>
                <w:b/>
                <w:color w:val="FFFFFF" w:themeColor="background1"/>
                <w:sz w:val="21"/>
                <w:szCs w:val="21"/>
                <w:lang w:bidi="hi-IN"/>
              </w:rPr>
              <w:t>h</w:t>
            </w:r>
            <w:r w:rsidRPr="00392788">
              <w:rPr>
                <w:rFonts w:cs="Arial"/>
                <w:b/>
                <w:color w:val="FFFFFF" w:themeColor="background1"/>
                <w:sz w:val="21"/>
                <w:szCs w:val="21"/>
                <w:lang w:bidi="hi-IN"/>
              </w:rPr>
              <w:t>igh</w:t>
            </w:r>
            <w:r w:rsidR="00121FF1" w:rsidRPr="00392788">
              <w:rPr>
                <w:rFonts w:cs="Arial"/>
                <w:b/>
                <w:color w:val="FFFFFF" w:themeColor="background1"/>
                <w:sz w:val="21"/>
                <w:szCs w:val="21"/>
                <w:lang w:bidi="hi-IN"/>
              </w:rPr>
              <w:t>-</w:t>
            </w:r>
            <w:r w:rsidRPr="00392788">
              <w:rPr>
                <w:rFonts w:cs="Arial"/>
                <w:b/>
                <w:color w:val="FFFFFF" w:themeColor="background1"/>
                <w:sz w:val="21"/>
                <w:szCs w:val="21"/>
                <w:lang w:bidi="hi-IN"/>
              </w:rPr>
              <w:t xml:space="preserve"> </w:t>
            </w:r>
            <w:r w:rsidR="00452F23">
              <w:rPr>
                <w:rFonts w:cs="Arial"/>
                <w:b/>
                <w:color w:val="FFFFFF" w:themeColor="background1"/>
                <w:sz w:val="21"/>
                <w:szCs w:val="21"/>
                <w:lang w:bidi="hi-IN"/>
              </w:rPr>
              <w:t>i</w:t>
            </w:r>
            <w:r w:rsidRPr="00392788">
              <w:rPr>
                <w:rFonts w:cs="Arial"/>
                <w:b/>
                <w:color w:val="FFFFFF" w:themeColor="background1"/>
                <w:sz w:val="21"/>
                <w:szCs w:val="21"/>
                <w:lang w:bidi="hi-IN"/>
              </w:rPr>
              <w:t xml:space="preserve">mpact </w:t>
            </w:r>
            <w:r w:rsidR="00452F23">
              <w:rPr>
                <w:rFonts w:cs="Arial"/>
                <w:b/>
                <w:color w:val="FFFFFF" w:themeColor="background1"/>
                <w:sz w:val="21"/>
                <w:szCs w:val="21"/>
                <w:lang w:bidi="hi-IN"/>
              </w:rPr>
              <w:t>t</w:t>
            </w:r>
            <w:r w:rsidRPr="00392788">
              <w:rPr>
                <w:rFonts w:cs="Arial"/>
                <w:b/>
                <w:color w:val="FFFFFF" w:themeColor="background1"/>
                <w:sz w:val="21"/>
                <w:szCs w:val="21"/>
                <w:lang w:bidi="hi-IN"/>
              </w:rPr>
              <w:t>rials</w:t>
            </w:r>
          </w:p>
        </w:tc>
      </w:tr>
      <w:tr w:rsidR="008869AC" w:rsidRPr="00392788" w14:paraId="621392C5" w14:textId="77777777" w:rsidTr="00392788">
        <w:trPr>
          <w:trHeight w:val="2186"/>
        </w:trPr>
        <w:tc>
          <w:tcPr>
            <w:tcW w:w="1675" w:type="dxa"/>
            <w:vAlign w:val="center"/>
          </w:tcPr>
          <w:p w14:paraId="1EB294BC" w14:textId="4DD677D5" w:rsidR="008869AC" w:rsidRPr="00657F18" w:rsidRDefault="008869AC" w:rsidP="00392788">
            <w:pPr>
              <w:spacing w:before="0" w:after="0" w:line="276" w:lineRule="auto"/>
              <w:rPr>
                <w:rFonts w:cs="Arial"/>
                <w:sz w:val="21"/>
                <w:szCs w:val="21"/>
                <w:lang w:bidi="hi-IN"/>
              </w:rPr>
            </w:pPr>
            <w:r w:rsidRPr="00392788">
              <w:rPr>
                <w:rFonts w:eastAsia="Yu Mincho" w:cs="Arial"/>
                <w:kern w:val="24"/>
                <w:sz w:val="21"/>
                <w:szCs w:val="21"/>
                <w:lang w:val="en-AU"/>
              </w:rPr>
              <w:t>Australasian Stroke Trials Network (ASTN)</w:t>
            </w:r>
          </w:p>
        </w:tc>
        <w:tc>
          <w:tcPr>
            <w:tcW w:w="1162" w:type="dxa"/>
            <w:vAlign w:val="center"/>
          </w:tcPr>
          <w:p w14:paraId="4400BF59" w14:textId="37BFF667" w:rsidR="008869AC" w:rsidRPr="00657F18" w:rsidRDefault="008869AC" w:rsidP="00392788">
            <w:pPr>
              <w:spacing w:before="0" w:after="0" w:line="276" w:lineRule="auto"/>
              <w:rPr>
                <w:rFonts w:cs="Arial"/>
                <w:sz w:val="21"/>
                <w:szCs w:val="21"/>
                <w:lang w:bidi="hi-IN"/>
              </w:rPr>
            </w:pPr>
            <w:r w:rsidRPr="00392788">
              <w:rPr>
                <w:rFonts w:eastAsia="Yu Mincho" w:cs="Arial"/>
                <w:kern w:val="24"/>
                <w:sz w:val="21"/>
                <w:szCs w:val="21"/>
                <w:lang w:val="en-AU"/>
              </w:rPr>
              <w:t>1996</w:t>
            </w:r>
          </w:p>
        </w:tc>
        <w:tc>
          <w:tcPr>
            <w:tcW w:w="1666" w:type="dxa"/>
            <w:vAlign w:val="center"/>
          </w:tcPr>
          <w:p w14:paraId="5A5CA6F5"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40 Published</w:t>
            </w:r>
          </w:p>
          <w:p w14:paraId="6BB98502" w14:textId="2F7DE12B" w:rsidR="008869AC" w:rsidRPr="00657F18" w:rsidRDefault="008869AC" w:rsidP="00392788">
            <w:pPr>
              <w:spacing w:before="0" w:after="0" w:line="276" w:lineRule="auto"/>
              <w:rPr>
                <w:rFonts w:cs="Arial"/>
                <w:sz w:val="21"/>
                <w:szCs w:val="21"/>
                <w:lang w:bidi="hi-IN"/>
              </w:rPr>
            </w:pPr>
            <w:r w:rsidRPr="00392788">
              <w:rPr>
                <w:rFonts w:eastAsia="Yu Mincho" w:cs="Arial"/>
                <w:kern w:val="24"/>
                <w:sz w:val="21"/>
                <w:szCs w:val="21"/>
                <w:lang w:val="en-AU"/>
              </w:rPr>
              <w:t>35 Current</w:t>
            </w:r>
          </w:p>
        </w:tc>
        <w:tc>
          <w:tcPr>
            <w:tcW w:w="1782" w:type="dxa"/>
            <w:vAlign w:val="center"/>
          </w:tcPr>
          <w:p w14:paraId="0B33F223"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&gt;$50 million</w:t>
            </w:r>
          </w:p>
          <w:p w14:paraId="62DCCF14" w14:textId="77777777" w:rsidR="008869AC" w:rsidRPr="00392788" w:rsidRDefault="008869AC" w:rsidP="00392788">
            <w:pPr>
              <w:spacing w:before="0" w:after="0" w:line="276" w:lineRule="auto"/>
              <w:rPr>
                <w:rFonts w:eastAsia="Yu Mincho" w:cs="Arial"/>
                <w:kern w:val="24"/>
                <w:sz w:val="21"/>
                <w:szCs w:val="21"/>
                <w:lang w:val="en-AU"/>
              </w:rPr>
            </w:pPr>
            <w:r w:rsidRPr="00392788">
              <w:rPr>
                <w:rFonts w:eastAsia="Yu Mincho" w:cs="Arial"/>
                <w:kern w:val="24"/>
                <w:sz w:val="21"/>
                <w:szCs w:val="21"/>
                <w:lang w:val="en-AU"/>
              </w:rPr>
              <w:t>Total</w:t>
            </w:r>
          </w:p>
          <w:p w14:paraId="4C010C1B" w14:textId="77777777" w:rsidR="008869AC" w:rsidRPr="00392788" w:rsidRDefault="008869AC" w:rsidP="00392788">
            <w:pPr>
              <w:spacing w:before="0" w:after="0" w:line="276" w:lineRule="auto"/>
              <w:rPr>
                <w:rFonts w:eastAsia="Yu Mincho" w:cs="Arial"/>
                <w:sz w:val="21"/>
                <w:szCs w:val="21"/>
                <w:lang w:val="en-AU"/>
              </w:rPr>
            </w:pPr>
          </w:p>
          <w:p w14:paraId="47308919" w14:textId="5F3A397B" w:rsidR="008869AC" w:rsidRPr="00657F18" w:rsidRDefault="008869AC" w:rsidP="00392788">
            <w:pPr>
              <w:spacing w:before="0" w:after="0" w:line="276" w:lineRule="auto"/>
              <w:rPr>
                <w:rFonts w:cs="Arial"/>
                <w:sz w:val="21"/>
                <w:szCs w:val="21"/>
                <w:lang w:bidi="hi-IN"/>
              </w:rPr>
            </w:pPr>
            <w:r w:rsidRPr="00392788">
              <w:rPr>
                <w:rFonts w:eastAsia="Yu Mincho" w:cs="Arial"/>
                <w:kern w:val="24"/>
                <w:sz w:val="21"/>
                <w:szCs w:val="21"/>
                <w:lang w:val="en-AU"/>
              </w:rPr>
              <w:t>&gt;$10 million NHMRC</w:t>
            </w:r>
          </w:p>
        </w:tc>
        <w:tc>
          <w:tcPr>
            <w:tcW w:w="1596" w:type="dxa"/>
            <w:vAlign w:val="center"/>
          </w:tcPr>
          <w:p w14:paraId="2C086929" w14:textId="57BBFD12" w:rsidR="008869AC" w:rsidRPr="00657F18" w:rsidRDefault="008869AC" w:rsidP="00392788">
            <w:pPr>
              <w:spacing w:before="0" w:after="0" w:line="276" w:lineRule="auto"/>
              <w:rPr>
                <w:rFonts w:cs="Arial"/>
                <w:sz w:val="21"/>
                <w:szCs w:val="21"/>
                <w:lang w:bidi="hi-IN"/>
              </w:rPr>
            </w:pPr>
            <w:r w:rsidRPr="00392788">
              <w:rPr>
                <w:rFonts w:eastAsia="Yu Mincho" w:cs="Arial"/>
                <w:kern w:val="24"/>
                <w:sz w:val="21"/>
                <w:szCs w:val="21"/>
                <w:lang w:val="en-AU"/>
              </w:rPr>
              <w:t>180+</w:t>
            </w:r>
          </w:p>
        </w:tc>
        <w:tc>
          <w:tcPr>
            <w:tcW w:w="2075" w:type="dxa"/>
            <w:vAlign w:val="center"/>
          </w:tcPr>
          <w:p w14:paraId="61E89020" w14:textId="77777777" w:rsidR="008869AC" w:rsidRPr="00392788" w:rsidRDefault="008869AC" w:rsidP="00392788">
            <w:pPr>
              <w:spacing w:before="0" w:after="0" w:line="276" w:lineRule="auto"/>
              <w:rPr>
                <w:rFonts w:eastAsia="Yu Mincho" w:cs="Arial"/>
                <w:kern w:val="24"/>
                <w:sz w:val="21"/>
                <w:szCs w:val="21"/>
                <w:lang w:val="en-AU"/>
              </w:rPr>
            </w:pPr>
            <w:r w:rsidRPr="00392788">
              <w:rPr>
                <w:rFonts w:eastAsia="Yu Mincho" w:cs="Arial"/>
                <w:kern w:val="24"/>
                <w:sz w:val="21"/>
                <w:szCs w:val="21"/>
                <w:lang w:val="en-AU"/>
              </w:rPr>
              <w:t>5+ including</w:t>
            </w:r>
          </w:p>
          <w:p w14:paraId="31EE0DBE"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ARCH</w:t>
            </w:r>
          </w:p>
          <w:p w14:paraId="1491FE01"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Extend-IA</w:t>
            </w:r>
          </w:p>
          <w:p w14:paraId="3FCA26E2"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INTERACT-2</w:t>
            </w:r>
          </w:p>
          <w:p w14:paraId="4942809F"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PROGRESS</w:t>
            </w:r>
          </w:p>
          <w:p w14:paraId="174D2968"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AVERT</w:t>
            </w:r>
          </w:p>
          <w:p w14:paraId="52B3299E"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QASC</w:t>
            </w:r>
          </w:p>
          <w:p w14:paraId="59B72502" w14:textId="3E507109"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Enchanted</w:t>
            </w:r>
          </w:p>
        </w:tc>
      </w:tr>
      <w:tr w:rsidR="008869AC" w:rsidRPr="00392788" w14:paraId="74A872E0" w14:textId="77777777" w:rsidTr="00392788">
        <w:trPr>
          <w:trHeight w:val="2284"/>
        </w:trPr>
        <w:tc>
          <w:tcPr>
            <w:tcW w:w="1675" w:type="dxa"/>
            <w:vAlign w:val="center"/>
          </w:tcPr>
          <w:p w14:paraId="23F26FA0" w14:textId="7E7A4C31" w:rsidR="008869AC" w:rsidRPr="00392788" w:rsidRDefault="00A34277" w:rsidP="00392788">
            <w:pPr>
              <w:spacing w:before="0" w:after="0" w:line="276" w:lineRule="auto"/>
              <w:rPr>
                <w:rFonts w:eastAsia="Yu Mincho" w:cs="Arial"/>
                <w:kern w:val="24"/>
                <w:sz w:val="21"/>
                <w:szCs w:val="21"/>
                <w:lang w:val="en-AU"/>
              </w:rPr>
            </w:pPr>
            <w:r w:rsidRPr="00392788">
              <w:rPr>
                <w:rFonts w:eastAsia="Yu Mincho" w:cs="Arial"/>
                <w:kern w:val="24"/>
                <w:sz w:val="21"/>
                <w:szCs w:val="21"/>
                <w:lang w:val="en-AU"/>
              </w:rPr>
              <w:t xml:space="preserve">Interdisciplinary Maternal </w:t>
            </w:r>
            <w:r w:rsidR="008869AC" w:rsidRPr="00392788">
              <w:rPr>
                <w:rFonts w:eastAsia="Yu Mincho" w:cs="Arial"/>
                <w:kern w:val="24"/>
                <w:sz w:val="21"/>
                <w:szCs w:val="21"/>
                <w:lang w:val="en-AU"/>
              </w:rPr>
              <w:t xml:space="preserve">Perinatal Australasian Collaborative Trials </w:t>
            </w:r>
            <w:r w:rsidRPr="00392788">
              <w:rPr>
                <w:rFonts w:eastAsia="Yu Mincho" w:cs="Arial"/>
                <w:kern w:val="24"/>
                <w:sz w:val="21"/>
                <w:szCs w:val="21"/>
                <w:lang w:val="en-AU"/>
              </w:rPr>
              <w:t>(IMPACT)</w:t>
            </w:r>
            <w:r w:rsidRPr="00392788">
              <w:rPr>
                <w:rFonts w:eastAsia="Yu Mincho" w:cs="Arial"/>
                <w:kern w:val="24"/>
                <w:sz w:val="21"/>
                <w:szCs w:val="21"/>
                <w:lang w:val="en-AU"/>
              </w:rPr>
              <w:br/>
            </w:r>
            <w:r w:rsidR="008869AC" w:rsidRPr="00392788">
              <w:rPr>
                <w:rFonts w:eastAsia="Yu Mincho" w:cs="Arial"/>
                <w:kern w:val="24"/>
                <w:sz w:val="21"/>
                <w:szCs w:val="21"/>
                <w:lang w:val="en-AU"/>
              </w:rPr>
              <w:t xml:space="preserve">Network </w:t>
            </w:r>
          </w:p>
        </w:tc>
        <w:tc>
          <w:tcPr>
            <w:tcW w:w="1162" w:type="dxa"/>
            <w:vAlign w:val="center"/>
          </w:tcPr>
          <w:p w14:paraId="26B121B9" w14:textId="20ACD7D6" w:rsidR="008869AC" w:rsidRPr="00657F18" w:rsidRDefault="008869AC" w:rsidP="00392788">
            <w:pPr>
              <w:spacing w:before="0" w:after="0" w:line="276" w:lineRule="auto"/>
              <w:rPr>
                <w:rFonts w:cs="Arial"/>
                <w:sz w:val="21"/>
                <w:szCs w:val="21"/>
                <w:lang w:bidi="hi-IN"/>
              </w:rPr>
            </w:pPr>
            <w:r w:rsidRPr="00392788">
              <w:rPr>
                <w:rFonts w:eastAsia="Yu Mincho" w:cs="Arial"/>
                <w:kern w:val="24"/>
                <w:sz w:val="21"/>
                <w:szCs w:val="21"/>
                <w:lang w:val="en-AU"/>
              </w:rPr>
              <w:t>1994</w:t>
            </w:r>
          </w:p>
        </w:tc>
        <w:tc>
          <w:tcPr>
            <w:tcW w:w="1666" w:type="dxa"/>
            <w:vAlign w:val="center"/>
          </w:tcPr>
          <w:p w14:paraId="21E0FBCB" w14:textId="2B19CA63"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147 Published</w:t>
            </w:r>
          </w:p>
          <w:p w14:paraId="74676C74" w14:textId="4F28666C" w:rsidR="008869AC" w:rsidRPr="00657F18" w:rsidRDefault="008869AC" w:rsidP="00392788">
            <w:pPr>
              <w:spacing w:before="0" w:after="0" w:line="276" w:lineRule="auto"/>
              <w:rPr>
                <w:rFonts w:cs="Arial"/>
                <w:sz w:val="21"/>
                <w:szCs w:val="21"/>
                <w:lang w:bidi="hi-IN"/>
              </w:rPr>
            </w:pPr>
            <w:r w:rsidRPr="00392788">
              <w:rPr>
                <w:rFonts w:eastAsia="Yu Mincho" w:cs="Arial"/>
                <w:kern w:val="24"/>
                <w:sz w:val="21"/>
                <w:szCs w:val="21"/>
                <w:lang w:val="en-AU"/>
              </w:rPr>
              <w:t>150 Current</w:t>
            </w:r>
          </w:p>
        </w:tc>
        <w:tc>
          <w:tcPr>
            <w:tcW w:w="1782" w:type="dxa"/>
            <w:vAlign w:val="center"/>
          </w:tcPr>
          <w:p w14:paraId="5BEE289B" w14:textId="42581062"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$10</w:t>
            </w:r>
            <w:r w:rsidR="006031B3">
              <w:rPr>
                <w:rFonts w:eastAsia="Yu Mincho" w:cs="Arial"/>
                <w:kern w:val="24"/>
                <w:sz w:val="21"/>
                <w:szCs w:val="21"/>
                <w:lang w:val="en-AU"/>
              </w:rPr>
              <w:t>–</w:t>
            </w:r>
            <w:r w:rsidRPr="00392788">
              <w:rPr>
                <w:rFonts w:eastAsia="Yu Mincho" w:cs="Arial"/>
                <w:kern w:val="24"/>
                <w:sz w:val="21"/>
                <w:szCs w:val="21"/>
                <w:lang w:val="en-AU"/>
              </w:rPr>
              <w:t>25 million</w:t>
            </w:r>
          </w:p>
          <w:p w14:paraId="5A98A750" w14:textId="77777777" w:rsidR="008869AC" w:rsidRPr="00392788" w:rsidRDefault="008869AC" w:rsidP="00392788">
            <w:pPr>
              <w:spacing w:before="0" w:after="0" w:line="276" w:lineRule="auto"/>
              <w:rPr>
                <w:rFonts w:eastAsia="Yu Mincho" w:cs="Arial"/>
                <w:kern w:val="24"/>
                <w:sz w:val="21"/>
                <w:szCs w:val="21"/>
                <w:lang w:val="en-AU"/>
              </w:rPr>
            </w:pPr>
            <w:r w:rsidRPr="00392788">
              <w:rPr>
                <w:rFonts w:eastAsia="Yu Mincho" w:cs="Arial"/>
                <w:kern w:val="24"/>
                <w:sz w:val="21"/>
                <w:szCs w:val="21"/>
                <w:lang w:val="en-AU"/>
              </w:rPr>
              <w:t>Total</w:t>
            </w:r>
          </w:p>
          <w:p w14:paraId="2D577C35" w14:textId="77777777" w:rsidR="008869AC" w:rsidRPr="00392788" w:rsidRDefault="008869AC" w:rsidP="00392788">
            <w:pPr>
              <w:spacing w:before="0" w:after="0" w:line="276" w:lineRule="auto"/>
              <w:rPr>
                <w:rFonts w:eastAsia="Yu Mincho" w:cs="Arial"/>
                <w:sz w:val="21"/>
                <w:szCs w:val="21"/>
                <w:lang w:val="en-AU"/>
              </w:rPr>
            </w:pPr>
          </w:p>
          <w:p w14:paraId="3EB88B76" w14:textId="1044D66C" w:rsidR="008869AC" w:rsidRPr="00657F18" w:rsidRDefault="008869AC" w:rsidP="00392788">
            <w:pPr>
              <w:spacing w:before="0" w:after="0" w:line="276" w:lineRule="auto"/>
              <w:rPr>
                <w:rFonts w:cs="Arial"/>
                <w:sz w:val="21"/>
                <w:szCs w:val="21"/>
                <w:lang w:bidi="hi-IN"/>
              </w:rPr>
            </w:pPr>
            <w:r w:rsidRPr="00392788">
              <w:rPr>
                <w:rFonts w:eastAsia="Yu Mincho" w:cs="Arial"/>
                <w:kern w:val="24"/>
                <w:sz w:val="21"/>
                <w:szCs w:val="21"/>
                <w:lang w:val="en-AU"/>
              </w:rPr>
              <w:t>&gt;$10 million NHMRC</w:t>
            </w:r>
          </w:p>
        </w:tc>
        <w:tc>
          <w:tcPr>
            <w:tcW w:w="1596" w:type="dxa"/>
            <w:vAlign w:val="center"/>
          </w:tcPr>
          <w:p w14:paraId="48CB084E" w14:textId="3BE2A68E" w:rsidR="008869AC" w:rsidRPr="00657F18" w:rsidRDefault="008869AC" w:rsidP="00392788">
            <w:pPr>
              <w:spacing w:before="0" w:after="0" w:line="276" w:lineRule="auto"/>
              <w:rPr>
                <w:rFonts w:cs="Arial"/>
                <w:sz w:val="21"/>
                <w:szCs w:val="21"/>
                <w:lang w:bidi="hi-IN"/>
              </w:rPr>
            </w:pPr>
            <w:r w:rsidRPr="00392788">
              <w:rPr>
                <w:rFonts w:eastAsia="Yu Mincho" w:cs="Arial"/>
                <w:kern w:val="24"/>
                <w:sz w:val="21"/>
                <w:szCs w:val="21"/>
                <w:lang w:val="en-AU"/>
              </w:rPr>
              <w:t>145+</w:t>
            </w:r>
          </w:p>
        </w:tc>
        <w:tc>
          <w:tcPr>
            <w:tcW w:w="2075" w:type="dxa"/>
            <w:vAlign w:val="center"/>
          </w:tcPr>
          <w:p w14:paraId="011C6DB5" w14:textId="17760046" w:rsidR="008869AC" w:rsidRPr="00392788" w:rsidRDefault="008869AC" w:rsidP="00392788">
            <w:pPr>
              <w:spacing w:before="0" w:after="0" w:line="276" w:lineRule="auto"/>
              <w:rPr>
                <w:rFonts w:eastAsia="Yu Mincho" w:cs="Arial"/>
                <w:kern w:val="24"/>
                <w:sz w:val="21"/>
                <w:szCs w:val="21"/>
                <w:lang w:val="en-GB"/>
              </w:rPr>
            </w:pPr>
            <w:r w:rsidRPr="00392788">
              <w:rPr>
                <w:rFonts w:eastAsia="Yu Mincho" w:cs="Arial"/>
                <w:kern w:val="24"/>
                <w:sz w:val="21"/>
                <w:szCs w:val="21"/>
                <w:lang w:val="en-GB"/>
              </w:rPr>
              <w:t>5+ including</w:t>
            </w:r>
          </w:p>
          <w:p w14:paraId="3AA95D3F" w14:textId="77777777" w:rsidR="008869AC" w:rsidRPr="00392788" w:rsidRDefault="008869AC" w:rsidP="00392788">
            <w:pPr>
              <w:spacing w:before="0" w:after="0" w:line="276" w:lineRule="auto"/>
              <w:rPr>
                <w:rFonts w:eastAsia="Yu Mincho" w:cs="Arial"/>
                <w:sz w:val="21"/>
                <w:szCs w:val="21"/>
                <w:lang w:val="en-GB"/>
              </w:rPr>
            </w:pPr>
            <w:r w:rsidRPr="00392788">
              <w:rPr>
                <w:rFonts w:eastAsia="Yu Mincho" w:cs="Arial"/>
                <w:kern w:val="24"/>
                <w:sz w:val="21"/>
                <w:szCs w:val="21"/>
                <w:lang w:val="en-GB"/>
              </w:rPr>
              <w:t>ICE</w:t>
            </w:r>
          </w:p>
          <w:p w14:paraId="0E6AFEFA" w14:textId="77777777" w:rsidR="008869AC" w:rsidRPr="00392788" w:rsidRDefault="008869AC" w:rsidP="00392788">
            <w:pPr>
              <w:spacing w:before="0" w:after="0" w:line="276" w:lineRule="auto"/>
              <w:rPr>
                <w:rFonts w:eastAsia="Yu Mincho" w:cs="Arial"/>
                <w:sz w:val="21"/>
                <w:szCs w:val="21"/>
                <w:lang w:val="en-GB"/>
              </w:rPr>
            </w:pPr>
            <w:r w:rsidRPr="00392788">
              <w:rPr>
                <w:rFonts w:eastAsia="Yu Mincho" w:cs="Arial"/>
                <w:kern w:val="24"/>
                <w:sz w:val="21"/>
                <w:szCs w:val="21"/>
                <w:lang w:val="en-GB"/>
              </w:rPr>
              <w:t>VIBeS Plus</w:t>
            </w:r>
          </w:p>
          <w:p w14:paraId="39C46788" w14:textId="77777777" w:rsidR="008869AC" w:rsidRPr="00392788" w:rsidRDefault="008869AC" w:rsidP="00392788">
            <w:pPr>
              <w:spacing w:before="0" w:after="0" w:line="276" w:lineRule="auto"/>
              <w:rPr>
                <w:rFonts w:eastAsia="Yu Mincho" w:cs="Arial"/>
                <w:sz w:val="21"/>
                <w:szCs w:val="21"/>
                <w:lang w:val="en-GB"/>
              </w:rPr>
            </w:pPr>
            <w:r w:rsidRPr="00392788">
              <w:rPr>
                <w:rFonts w:eastAsia="Yu Mincho" w:cs="Arial"/>
                <w:kern w:val="24"/>
                <w:sz w:val="21"/>
                <w:szCs w:val="21"/>
                <w:lang w:val="en-GB"/>
              </w:rPr>
              <w:t>COSMOS/M@NGO</w:t>
            </w:r>
          </w:p>
          <w:p w14:paraId="3EC4946A" w14:textId="77777777" w:rsidR="008869AC" w:rsidRPr="00392788" w:rsidRDefault="008869AC" w:rsidP="00392788">
            <w:pPr>
              <w:spacing w:before="0" w:after="0" w:line="276" w:lineRule="auto"/>
              <w:rPr>
                <w:rFonts w:eastAsia="Yu Mincho" w:cs="Arial"/>
                <w:sz w:val="21"/>
                <w:szCs w:val="21"/>
              </w:rPr>
            </w:pPr>
            <w:r w:rsidRPr="00392788">
              <w:rPr>
                <w:rFonts w:eastAsia="Yu Mincho" w:cs="Arial"/>
                <w:kern w:val="24"/>
                <w:sz w:val="21"/>
                <w:szCs w:val="21"/>
              </w:rPr>
              <w:t>MAP</w:t>
            </w:r>
          </w:p>
          <w:p w14:paraId="167E6F57" w14:textId="77777777" w:rsidR="008869AC" w:rsidRPr="00392788" w:rsidRDefault="008869AC" w:rsidP="00392788">
            <w:pPr>
              <w:spacing w:before="0" w:after="0" w:line="276" w:lineRule="auto"/>
              <w:rPr>
                <w:rFonts w:eastAsia="Yu Mincho" w:cs="Arial"/>
                <w:sz w:val="21"/>
                <w:szCs w:val="21"/>
              </w:rPr>
            </w:pPr>
            <w:r w:rsidRPr="00392788">
              <w:rPr>
                <w:rFonts w:eastAsia="Yu Mincho" w:cs="Arial"/>
                <w:kern w:val="24"/>
                <w:sz w:val="21"/>
                <w:szCs w:val="21"/>
              </w:rPr>
              <w:t>COIN</w:t>
            </w:r>
          </w:p>
          <w:p w14:paraId="0B82255D" w14:textId="77777777" w:rsidR="008869AC" w:rsidRPr="00392788" w:rsidRDefault="008869AC" w:rsidP="00392788">
            <w:pPr>
              <w:spacing w:before="0" w:after="0" w:line="276" w:lineRule="auto"/>
              <w:rPr>
                <w:rFonts w:eastAsia="Yu Mincho" w:cs="Arial"/>
                <w:sz w:val="21"/>
                <w:szCs w:val="21"/>
                <w:lang w:val="fr-FR"/>
              </w:rPr>
            </w:pPr>
            <w:r w:rsidRPr="00392788">
              <w:rPr>
                <w:rFonts w:eastAsia="Yu Mincho" w:cs="Arial"/>
                <w:kern w:val="24"/>
                <w:sz w:val="21"/>
                <w:szCs w:val="21"/>
                <w:lang w:val="fr-FR"/>
              </w:rPr>
              <w:t>ACTORDS</w:t>
            </w:r>
          </w:p>
          <w:p w14:paraId="25457CB7" w14:textId="77777777" w:rsidR="008869AC" w:rsidRPr="00392788" w:rsidRDefault="008869AC" w:rsidP="00392788">
            <w:pPr>
              <w:spacing w:before="0" w:after="0" w:line="276" w:lineRule="auto"/>
              <w:rPr>
                <w:rFonts w:eastAsia="Yu Mincho" w:cs="Arial"/>
                <w:sz w:val="21"/>
                <w:szCs w:val="21"/>
                <w:lang w:val="fr-FR"/>
              </w:rPr>
            </w:pPr>
            <w:r w:rsidRPr="00392788">
              <w:rPr>
                <w:rFonts w:eastAsia="Yu Mincho" w:cs="Arial"/>
                <w:kern w:val="24"/>
                <w:sz w:val="21"/>
                <w:szCs w:val="21"/>
                <w:lang w:val="fr-FR"/>
              </w:rPr>
              <w:t>ACHOIS</w:t>
            </w:r>
          </w:p>
          <w:p w14:paraId="300A7B64" w14:textId="75CE383E" w:rsidR="008869AC" w:rsidRPr="00392788" w:rsidRDefault="008869AC" w:rsidP="00392788">
            <w:pPr>
              <w:spacing w:before="0" w:after="0" w:line="276" w:lineRule="auto"/>
              <w:rPr>
                <w:rFonts w:eastAsia="Yu Mincho" w:cs="Arial"/>
                <w:sz w:val="21"/>
                <w:szCs w:val="21"/>
                <w:lang w:val="fr-FR"/>
              </w:rPr>
            </w:pPr>
            <w:r w:rsidRPr="00392788">
              <w:rPr>
                <w:rFonts w:eastAsia="Yu Mincho" w:cs="Arial"/>
                <w:kern w:val="24"/>
                <w:sz w:val="21"/>
                <w:szCs w:val="21"/>
                <w:lang w:val="fr-FR"/>
              </w:rPr>
              <w:t>ACTOMgSO4</w:t>
            </w:r>
          </w:p>
        </w:tc>
      </w:tr>
      <w:tr w:rsidR="008869AC" w:rsidRPr="00392788" w14:paraId="4E39F3DC" w14:textId="77777777" w:rsidTr="00392788">
        <w:tc>
          <w:tcPr>
            <w:tcW w:w="1675" w:type="dxa"/>
            <w:vAlign w:val="center"/>
          </w:tcPr>
          <w:p w14:paraId="50BB4BC2" w14:textId="59F6EC42" w:rsidR="008869AC" w:rsidRPr="00657F18" w:rsidRDefault="008869AC" w:rsidP="00392788">
            <w:pPr>
              <w:spacing w:before="0" w:after="0" w:line="276" w:lineRule="auto"/>
              <w:rPr>
                <w:rFonts w:cs="Arial"/>
                <w:sz w:val="21"/>
                <w:szCs w:val="21"/>
                <w:lang w:bidi="hi-IN"/>
              </w:rPr>
            </w:pPr>
            <w:r w:rsidRPr="00392788">
              <w:rPr>
                <w:rFonts w:eastAsia="Yu Mincho" w:cs="Arial"/>
                <w:kern w:val="24"/>
                <w:sz w:val="21"/>
                <w:szCs w:val="21"/>
                <w:lang w:val="en-AU"/>
              </w:rPr>
              <w:t xml:space="preserve">Australian and </w:t>
            </w:r>
            <w:r w:rsidRPr="00392788">
              <w:rPr>
                <w:rFonts w:eastAsia="Yu Mincho" w:cs="Arial"/>
                <w:kern w:val="24"/>
                <w:sz w:val="21"/>
                <w:szCs w:val="21"/>
                <w:lang w:val="en-AU"/>
              </w:rPr>
              <w:br/>
              <w:t>New Zealand Intensive Care Society Clinical Trials Group (ANZICS CTG)</w:t>
            </w:r>
          </w:p>
        </w:tc>
        <w:tc>
          <w:tcPr>
            <w:tcW w:w="1162" w:type="dxa"/>
            <w:vAlign w:val="center"/>
          </w:tcPr>
          <w:p w14:paraId="3C56276B" w14:textId="70D2752B" w:rsidR="008869AC" w:rsidRPr="00657F18" w:rsidRDefault="008869AC" w:rsidP="00392788">
            <w:pPr>
              <w:spacing w:before="0" w:after="0" w:line="276" w:lineRule="auto"/>
              <w:rPr>
                <w:rFonts w:cs="Arial"/>
                <w:sz w:val="21"/>
                <w:szCs w:val="21"/>
                <w:lang w:bidi="hi-IN"/>
              </w:rPr>
            </w:pPr>
            <w:r w:rsidRPr="00392788">
              <w:rPr>
                <w:rFonts w:eastAsia="Yu Mincho" w:cs="Arial"/>
                <w:kern w:val="24"/>
                <w:sz w:val="21"/>
                <w:szCs w:val="21"/>
                <w:lang w:val="en-AU"/>
              </w:rPr>
              <w:t>1994</w:t>
            </w:r>
          </w:p>
        </w:tc>
        <w:tc>
          <w:tcPr>
            <w:tcW w:w="1666" w:type="dxa"/>
            <w:vAlign w:val="center"/>
          </w:tcPr>
          <w:p w14:paraId="54E5E09D"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41 Published</w:t>
            </w:r>
          </w:p>
          <w:p w14:paraId="50331AD2" w14:textId="41E78D86" w:rsidR="008869AC" w:rsidRPr="00657F18" w:rsidRDefault="008869AC" w:rsidP="00392788">
            <w:pPr>
              <w:spacing w:before="0" w:after="0" w:line="276" w:lineRule="auto"/>
              <w:rPr>
                <w:rFonts w:cs="Arial"/>
                <w:sz w:val="21"/>
                <w:szCs w:val="21"/>
                <w:lang w:bidi="hi-IN"/>
              </w:rPr>
            </w:pPr>
            <w:r w:rsidRPr="00392788">
              <w:rPr>
                <w:rFonts w:eastAsia="Yu Mincho" w:cs="Arial"/>
                <w:kern w:val="24"/>
                <w:sz w:val="21"/>
                <w:szCs w:val="21"/>
                <w:lang w:val="en-AU"/>
              </w:rPr>
              <w:t>48 Current</w:t>
            </w:r>
          </w:p>
        </w:tc>
        <w:tc>
          <w:tcPr>
            <w:tcW w:w="1782" w:type="dxa"/>
            <w:vAlign w:val="center"/>
          </w:tcPr>
          <w:p w14:paraId="603C781C"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&gt;$50 million</w:t>
            </w:r>
          </w:p>
          <w:p w14:paraId="0AD8B074" w14:textId="77777777" w:rsidR="008869AC" w:rsidRPr="00392788" w:rsidRDefault="008869AC" w:rsidP="00392788">
            <w:pPr>
              <w:spacing w:before="0" w:after="0" w:line="276" w:lineRule="auto"/>
              <w:rPr>
                <w:rFonts w:eastAsia="Yu Mincho" w:cs="Arial"/>
                <w:kern w:val="24"/>
                <w:sz w:val="21"/>
                <w:szCs w:val="21"/>
                <w:lang w:val="en-AU"/>
              </w:rPr>
            </w:pPr>
            <w:r w:rsidRPr="00392788">
              <w:rPr>
                <w:rFonts w:eastAsia="Yu Mincho" w:cs="Arial"/>
                <w:kern w:val="24"/>
                <w:sz w:val="21"/>
                <w:szCs w:val="21"/>
                <w:lang w:val="en-AU"/>
              </w:rPr>
              <w:t>Total</w:t>
            </w:r>
          </w:p>
          <w:p w14:paraId="35F6034B" w14:textId="77777777" w:rsidR="008869AC" w:rsidRPr="00392788" w:rsidRDefault="008869AC" w:rsidP="00392788">
            <w:pPr>
              <w:spacing w:before="0" w:after="0" w:line="276" w:lineRule="auto"/>
              <w:rPr>
                <w:rFonts w:eastAsia="Yu Mincho" w:cs="Arial"/>
                <w:sz w:val="21"/>
                <w:szCs w:val="21"/>
                <w:lang w:val="en-AU"/>
              </w:rPr>
            </w:pPr>
          </w:p>
          <w:p w14:paraId="5398DA28" w14:textId="39E93414" w:rsidR="008869AC" w:rsidRPr="00657F18" w:rsidRDefault="008869AC" w:rsidP="00392788">
            <w:pPr>
              <w:spacing w:before="0" w:after="0" w:line="276" w:lineRule="auto"/>
              <w:rPr>
                <w:rFonts w:cs="Arial"/>
                <w:sz w:val="21"/>
                <w:szCs w:val="21"/>
                <w:lang w:bidi="hi-IN"/>
              </w:rPr>
            </w:pPr>
            <w:r w:rsidRPr="00392788">
              <w:rPr>
                <w:rFonts w:eastAsia="Yu Mincho" w:cs="Arial"/>
                <w:kern w:val="24"/>
                <w:sz w:val="21"/>
                <w:szCs w:val="21"/>
                <w:lang w:val="en-AU"/>
              </w:rPr>
              <w:t>&gt;$50 million NHMRC</w:t>
            </w:r>
          </w:p>
        </w:tc>
        <w:tc>
          <w:tcPr>
            <w:tcW w:w="1596" w:type="dxa"/>
            <w:vAlign w:val="center"/>
          </w:tcPr>
          <w:p w14:paraId="29F611A4" w14:textId="427FC951" w:rsidR="008869AC" w:rsidRPr="00657F18" w:rsidRDefault="008869AC" w:rsidP="00392788">
            <w:pPr>
              <w:spacing w:before="0" w:after="0" w:line="276" w:lineRule="auto"/>
              <w:rPr>
                <w:rFonts w:cs="Arial"/>
                <w:sz w:val="21"/>
                <w:szCs w:val="21"/>
                <w:lang w:bidi="hi-IN"/>
              </w:rPr>
            </w:pPr>
            <w:r w:rsidRPr="00392788">
              <w:rPr>
                <w:rFonts w:eastAsia="Yu Mincho" w:cs="Arial"/>
                <w:kern w:val="24"/>
                <w:sz w:val="21"/>
                <w:szCs w:val="21"/>
                <w:lang w:val="en-AU"/>
              </w:rPr>
              <w:t>130+</w:t>
            </w:r>
          </w:p>
        </w:tc>
        <w:tc>
          <w:tcPr>
            <w:tcW w:w="2075" w:type="dxa"/>
            <w:vAlign w:val="center"/>
          </w:tcPr>
          <w:p w14:paraId="3B5B1167"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5+ including</w:t>
            </w:r>
            <w:r w:rsidRPr="00392788">
              <w:rPr>
                <w:rFonts w:eastAsia="Yu Mincho" w:cs="Arial"/>
                <w:kern w:val="24"/>
                <w:sz w:val="21"/>
                <w:szCs w:val="21"/>
                <w:lang w:val="en-AU"/>
              </w:rPr>
              <w:br/>
              <w:t>NICE-SUGAR</w:t>
            </w:r>
          </w:p>
          <w:p w14:paraId="2FB76241"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DECRA</w:t>
            </w:r>
          </w:p>
          <w:p w14:paraId="2941162E" w14:textId="24F53BC6"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SAFE</w:t>
            </w:r>
          </w:p>
          <w:p w14:paraId="40FCAFE3"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RENAL</w:t>
            </w:r>
          </w:p>
          <w:p w14:paraId="38F474C0"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CHEST</w:t>
            </w:r>
          </w:p>
          <w:p w14:paraId="152FC910"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ARISE</w:t>
            </w:r>
          </w:p>
          <w:p w14:paraId="7B01FFF7" w14:textId="77777777"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EPO-TBI</w:t>
            </w:r>
          </w:p>
          <w:p w14:paraId="600F83A3" w14:textId="16C59D58" w:rsidR="008869AC" w:rsidRPr="00392788" w:rsidRDefault="008869AC" w:rsidP="00392788">
            <w:pPr>
              <w:spacing w:before="0" w:after="0" w:line="276" w:lineRule="auto"/>
              <w:rPr>
                <w:rFonts w:eastAsia="Yu Mincho" w:cs="Arial"/>
                <w:sz w:val="21"/>
                <w:szCs w:val="21"/>
                <w:lang w:val="en-AU"/>
              </w:rPr>
            </w:pPr>
            <w:r w:rsidRPr="00392788">
              <w:rPr>
                <w:rFonts w:eastAsia="Yu Mincho" w:cs="Arial"/>
                <w:kern w:val="24"/>
                <w:sz w:val="21"/>
                <w:szCs w:val="21"/>
                <w:lang w:val="en-AU"/>
              </w:rPr>
              <w:t>SAFE-TBI</w:t>
            </w:r>
          </w:p>
        </w:tc>
      </w:tr>
    </w:tbl>
    <w:bookmarkEnd w:id="26"/>
    <w:p w14:paraId="0E853C74" w14:textId="7DFFF04E" w:rsidR="00060594" w:rsidRPr="00060594" w:rsidRDefault="00BE612B" w:rsidP="00F074A5">
      <w:pPr>
        <w:pStyle w:val="ListBullet3"/>
        <w:numPr>
          <w:ilvl w:val="0"/>
          <w:numId w:val="0"/>
        </w:numPr>
        <w:rPr>
          <w:sz w:val="18"/>
          <w:szCs w:val="18"/>
          <w:lang w:val="en-AU"/>
        </w:rPr>
      </w:pPr>
      <w:r>
        <w:rPr>
          <w:sz w:val="18"/>
          <w:szCs w:val="18"/>
          <w:lang w:val="en-AU"/>
        </w:rPr>
        <w:t xml:space="preserve">Data related to studies, publications and </w:t>
      </w:r>
      <w:r w:rsidR="008869AC">
        <w:rPr>
          <w:sz w:val="18"/>
          <w:szCs w:val="18"/>
          <w:lang w:val="en-AU"/>
        </w:rPr>
        <w:t>known high</w:t>
      </w:r>
      <w:r w:rsidR="00121FF1">
        <w:rPr>
          <w:sz w:val="18"/>
          <w:szCs w:val="18"/>
          <w:lang w:val="en-AU"/>
        </w:rPr>
        <w:t>-</w:t>
      </w:r>
      <w:r w:rsidR="008869AC">
        <w:rPr>
          <w:sz w:val="18"/>
          <w:szCs w:val="18"/>
          <w:lang w:val="en-AU"/>
        </w:rPr>
        <w:t>impact trials sourced</w:t>
      </w:r>
      <w:r>
        <w:rPr>
          <w:sz w:val="18"/>
          <w:szCs w:val="18"/>
          <w:lang w:val="en-AU"/>
        </w:rPr>
        <w:t xml:space="preserve"> from the Profiling Networks Project</w:t>
      </w:r>
      <w:r w:rsidR="008869AC">
        <w:rPr>
          <w:sz w:val="18"/>
          <w:szCs w:val="18"/>
          <w:lang w:val="en-AU"/>
        </w:rPr>
        <w:t xml:space="preserve"> were current at end 2014.</w:t>
      </w:r>
    </w:p>
    <w:p w14:paraId="11C2A944" w14:textId="47794B47" w:rsidR="007E146D" w:rsidRDefault="007C7E9E" w:rsidP="00392788">
      <w:pPr>
        <w:pStyle w:val="Commissionbodytext"/>
        <w:rPr>
          <w:rFonts w:eastAsiaTheme="majorEastAsia" w:cstheme="majorBidi"/>
          <w:b/>
          <w:bCs/>
          <w:color w:val="00A9E5"/>
          <w:sz w:val="36"/>
          <w:szCs w:val="26"/>
        </w:rPr>
      </w:pPr>
      <w:r>
        <w:t>The</w:t>
      </w:r>
      <w:r w:rsidR="00972A76">
        <w:t xml:space="preserve"> three</w:t>
      </w:r>
      <w:r>
        <w:t xml:space="preserve"> n</w:t>
      </w:r>
      <w:r w:rsidR="00A573AE" w:rsidRPr="00A573AE">
        <w:t>etworks represent a variety of care settings and clinical disciplines</w:t>
      </w:r>
      <w:r w:rsidR="00972A76">
        <w:t xml:space="preserve"> and </w:t>
      </w:r>
      <w:r w:rsidR="00066799">
        <w:t>ha</w:t>
      </w:r>
      <w:r w:rsidR="00972A76">
        <w:t>ve</w:t>
      </w:r>
      <w:r w:rsidR="00A573AE" w:rsidRPr="00A573AE">
        <w:t xml:space="preserve"> been active for around twenty years. </w:t>
      </w:r>
      <w:r w:rsidR="00A904B4">
        <w:t>T</w:t>
      </w:r>
      <w:r w:rsidR="00066799">
        <w:t xml:space="preserve">he </w:t>
      </w:r>
      <w:r w:rsidR="00F7026A">
        <w:t>n</w:t>
      </w:r>
      <w:r w:rsidR="00A573AE" w:rsidRPr="00A573AE">
        <w:t xml:space="preserve">etworks </w:t>
      </w:r>
      <w:r w:rsidR="00991DE5">
        <w:t xml:space="preserve">also </w:t>
      </w:r>
      <w:r w:rsidR="00A573AE" w:rsidRPr="00A573AE">
        <w:t>account</w:t>
      </w:r>
      <w:r w:rsidR="00B1576D">
        <w:t xml:space="preserve"> for more than one</w:t>
      </w:r>
      <w:r w:rsidR="00452F23">
        <w:t>-</w:t>
      </w:r>
      <w:r w:rsidR="00066799">
        <w:t>third of all published investigator-initiated</w:t>
      </w:r>
      <w:r w:rsidR="00A573AE" w:rsidRPr="00A573AE">
        <w:t xml:space="preserve"> clinical tria</w:t>
      </w:r>
      <w:r w:rsidR="00066799">
        <w:t xml:space="preserve">ls reported </w:t>
      </w:r>
      <w:r w:rsidR="00A573AE" w:rsidRPr="00A573AE">
        <w:t>in the Profiling Networks</w:t>
      </w:r>
      <w:r w:rsidR="00A573AE">
        <w:t xml:space="preserve"> Report</w:t>
      </w:r>
      <w:r w:rsidR="00A573AE" w:rsidRPr="00A573AE">
        <w:t xml:space="preserve">. </w:t>
      </w:r>
      <w:r w:rsidR="00CF205A">
        <w:t>As such, th</w:t>
      </w:r>
      <w:r w:rsidR="00A573AE">
        <w:t xml:space="preserve">ey </w:t>
      </w:r>
      <w:r w:rsidR="00991DE5">
        <w:t>a</w:t>
      </w:r>
      <w:r w:rsidR="00A573AE">
        <w:t>re</w:t>
      </w:r>
      <w:r w:rsidR="00A573AE" w:rsidRPr="00A573AE">
        <w:t xml:space="preserve"> considered to provide a comprehensive basis upon which to make high-level estimations of </w:t>
      </w:r>
      <w:r w:rsidR="00A904B4">
        <w:t>the</w:t>
      </w:r>
      <w:r w:rsidR="00DA1EFB">
        <w:t xml:space="preserve"> </w:t>
      </w:r>
      <w:r w:rsidR="00A573AE" w:rsidRPr="00A573AE">
        <w:t>health and economic benefit of cli</w:t>
      </w:r>
      <w:r w:rsidR="00066799">
        <w:t xml:space="preserve">nical trials conducted through </w:t>
      </w:r>
      <w:r w:rsidR="00F7026A">
        <w:t>n</w:t>
      </w:r>
      <w:r w:rsidR="00A573AE" w:rsidRPr="00A573AE">
        <w:t>etworks.</w:t>
      </w:r>
    </w:p>
    <w:p w14:paraId="2208D596" w14:textId="77777777" w:rsidR="0054717A" w:rsidRDefault="0054717A">
      <w:pPr>
        <w:spacing w:before="0" w:after="200" w:line="276" w:lineRule="auto"/>
        <w:rPr>
          <w:rFonts w:ascii="Franklin Gothic Medium" w:eastAsiaTheme="majorEastAsia" w:hAnsi="Franklin Gothic Medium" w:cstheme="majorBidi"/>
          <w:b/>
          <w:bCs/>
          <w:color w:val="2F5496" w:themeColor="accent5" w:themeShade="BF"/>
          <w:sz w:val="32"/>
          <w:szCs w:val="26"/>
        </w:rPr>
      </w:pPr>
      <w:r>
        <w:br w:type="page"/>
      </w:r>
    </w:p>
    <w:p w14:paraId="1324415F" w14:textId="7C99596E" w:rsidR="001224B3" w:rsidRPr="00060594" w:rsidRDefault="001224B3" w:rsidP="00060594">
      <w:pPr>
        <w:pStyle w:val="Heading2"/>
      </w:pPr>
      <w:bookmarkStart w:id="29" w:name="_Toc487184525"/>
      <w:r>
        <w:lastRenderedPageBreak/>
        <w:t>S</w:t>
      </w:r>
      <w:r w:rsidRPr="0036274F">
        <w:t xml:space="preserve">election of </w:t>
      </w:r>
      <w:r>
        <w:t>clinical trials</w:t>
      </w:r>
      <w:bookmarkEnd w:id="29"/>
    </w:p>
    <w:p w14:paraId="500EFF02" w14:textId="689D14F4" w:rsidR="00E604E7" w:rsidRDefault="00991DE5" w:rsidP="00392788">
      <w:pPr>
        <w:pStyle w:val="Commissionbodytext"/>
      </w:pPr>
      <w:r>
        <w:t>C</w:t>
      </w:r>
      <w:r w:rsidR="00A573AE">
        <w:t>linical t</w:t>
      </w:r>
      <w:r w:rsidR="00A573AE" w:rsidRPr="00A573AE">
        <w:t>rials</w:t>
      </w:r>
      <w:r w:rsidR="005F4BC8">
        <w:t xml:space="preserve"> </w:t>
      </w:r>
      <w:r w:rsidR="00A573AE">
        <w:t>were</w:t>
      </w:r>
      <w:r w:rsidR="00A573AE" w:rsidRPr="00A573AE">
        <w:t xml:space="preserve"> </w:t>
      </w:r>
      <w:r w:rsidR="00BF4C70">
        <w:t xml:space="preserve">suitable for </w:t>
      </w:r>
      <w:r w:rsidR="0038484E">
        <w:t>inclu</w:t>
      </w:r>
      <w:r w:rsidR="00BF4C70">
        <w:t>sion</w:t>
      </w:r>
      <w:r w:rsidR="0038484E">
        <w:t xml:space="preserve"> in the evaluation</w:t>
      </w:r>
      <w:r w:rsidR="005F4BC8">
        <w:t xml:space="preserve"> </w:t>
      </w:r>
      <w:r w:rsidR="00A573AE" w:rsidRPr="00A573AE">
        <w:t>if</w:t>
      </w:r>
      <w:r w:rsidR="00A904B4">
        <w:t xml:space="preserve"> </w:t>
      </w:r>
      <w:r>
        <w:t>they:</w:t>
      </w:r>
    </w:p>
    <w:p w14:paraId="6D39B1A0" w14:textId="77777777" w:rsidR="00452F23" w:rsidRDefault="00452F23" w:rsidP="00392788">
      <w:pPr>
        <w:pStyle w:val="Commissionbodytext"/>
      </w:pPr>
    </w:p>
    <w:p w14:paraId="2A9CD29E" w14:textId="5EB2C975" w:rsidR="00BF4C70" w:rsidRDefault="006175A9" w:rsidP="00392788">
      <w:pPr>
        <w:pStyle w:val="Commissionbullets"/>
      </w:pPr>
      <w:r>
        <w:t>W</w:t>
      </w:r>
      <w:r w:rsidR="00BF4C70">
        <w:t>ere investigator-</w:t>
      </w:r>
      <w:r w:rsidR="00962DA7">
        <w:t>initiated</w:t>
      </w:r>
    </w:p>
    <w:p w14:paraId="02EC32B3" w14:textId="43C6EF77" w:rsidR="00E604E7" w:rsidRDefault="006175A9" w:rsidP="00392788">
      <w:pPr>
        <w:pStyle w:val="Commissionbullets"/>
      </w:pPr>
      <w:r>
        <w:t>W</w:t>
      </w:r>
      <w:r w:rsidR="00A904B4" w:rsidRPr="00707A3F">
        <w:t xml:space="preserve">ere identified as having </w:t>
      </w:r>
      <w:r w:rsidR="003E50C1" w:rsidRPr="00707A3F">
        <w:t xml:space="preserve">had </w:t>
      </w:r>
      <w:r w:rsidR="00BF4C70" w:rsidRPr="0040524D">
        <w:t xml:space="preserve">(or as having the potential to have) </w:t>
      </w:r>
      <w:r w:rsidR="003E50C1" w:rsidRPr="0040524D">
        <w:t xml:space="preserve">a </w:t>
      </w:r>
      <w:r w:rsidR="00A904B4" w:rsidRPr="0040524D">
        <w:t>significant impact on clinical practice or policy</w:t>
      </w:r>
      <w:r w:rsidR="003E50C1" w:rsidRPr="0040524D">
        <w:t xml:space="preserve"> as part of the Profiling Networks </w:t>
      </w:r>
      <w:r w:rsidR="0031098A">
        <w:t>Report</w:t>
      </w:r>
      <w:r w:rsidR="00A904B4" w:rsidRPr="0040524D">
        <w:t>.</w:t>
      </w:r>
      <w:r w:rsidR="00BD68CF">
        <w:t xml:space="preserve"> </w:t>
      </w:r>
    </w:p>
    <w:p w14:paraId="41DD8A63" w14:textId="77777777" w:rsidR="00452F23" w:rsidRPr="0040524D" w:rsidRDefault="00452F23" w:rsidP="00392788">
      <w:pPr>
        <w:pStyle w:val="Commissionbullets"/>
        <w:numPr>
          <w:ilvl w:val="0"/>
          <w:numId w:val="0"/>
        </w:numPr>
        <w:ind w:left="720"/>
      </w:pPr>
    </w:p>
    <w:p w14:paraId="52EAAF81" w14:textId="2A58C8BC" w:rsidR="00020332" w:rsidRDefault="001224B3" w:rsidP="00392788">
      <w:pPr>
        <w:pStyle w:val="Commissionbodytext"/>
      </w:pPr>
      <w:r>
        <w:t xml:space="preserve">Clinical </w:t>
      </w:r>
      <w:r w:rsidR="00BF4C70">
        <w:t>t</w:t>
      </w:r>
      <w:r w:rsidR="00E604E7">
        <w:t xml:space="preserve">rials </w:t>
      </w:r>
      <w:r>
        <w:t xml:space="preserve">which have these characteristics are generally </w:t>
      </w:r>
      <w:r w:rsidR="005F4BC8">
        <w:t>late-phase</w:t>
      </w:r>
      <w:r w:rsidR="0031098A">
        <w:t xml:space="preserve"> RCTs that</w:t>
      </w:r>
      <w:r w:rsidR="00E604E7">
        <w:t xml:space="preserve"> show </w:t>
      </w:r>
      <w:r w:rsidR="0031098A">
        <w:t>whether</w:t>
      </w:r>
      <w:r w:rsidR="00E604E7">
        <w:t xml:space="preserve"> the </w:t>
      </w:r>
      <w:r w:rsidR="002856FF">
        <w:t xml:space="preserve">trial </w:t>
      </w:r>
      <w:r w:rsidR="00A904B4">
        <w:t xml:space="preserve">intervention </w:t>
      </w:r>
      <w:r>
        <w:t>i</w:t>
      </w:r>
      <w:r w:rsidR="00A904B4">
        <w:t>s</w:t>
      </w:r>
      <w:r w:rsidR="00E604E7">
        <w:t xml:space="preserve"> more </w:t>
      </w:r>
      <w:r w:rsidR="00707A3F">
        <w:t>effective than the alternative,</w:t>
      </w:r>
      <w:r w:rsidR="00E604E7">
        <w:t xml:space="preserve"> less effective than the </w:t>
      </w:r>
      <w:r w:rsidR="00A904B4">
        <w:t xml:space="preserve">alternative, or equally effective </w:t>
      </w:r>
      <w:r w:rsidR="00E604E7">
        <w:t>but with</w:t>
      </w:r>
      <w:r w:rsidR="002856FF">
        <w:t xml:space="preserve"> different</w:t>
      </w:r>
      <w:r w:rsidR="00A904B4">
        <w:t xml:space="preserve"> ongoing cost</w:t>
      </w:r>
      <w:r w:rsidR="002856FF">
        <w:t>s</w:t>
      </w:r>
      <w:r w:rsidR="00001CAE">
        <w:t xml:space="preserve"> (</w:t>
      </w:r>
      <w:r w:rsidR="00001CAE">
        <w:fldChar w:fldCharType="begin"/>
      </w:r>
      <w:r w:rsidR="00001CAE">
        <w:instrText xml:space="preserve"> REF _Ref479176380 \h </w:instrText>
      </w:r>
      <w:r w:rsidR="00452F23">
        <w:instrText xml:space="preserve"> \* MERGEFORMAT </w:instrText>
      </w:r>
      <w:r w:rsidR="00001CAE">
        <w:fldChar w:fldCharType="separate"/>
      </w:r>
      <w:r w:rsidR="007B3054">
        <w:t xml:space="preserve">Figure </w:t>
      </w:r>
      <w:r w:rsidR="007B3054">
        <w:rPr>
          <w:noProof/>
        </w:rPr>
        <w:t>3</w:t>
      </w:r>
      <w:r w:rsidR="00001CAE">
        <w:fldChar w:fldCharType="end"/>
      </w:r>
      <w:r w:rsidR="00001CAE">
        <w:t>).</w:t>
      </w:r>
      <w:r w:rsidR="00FE14DD">
        <w:t xml:space="preserve"> </w:t>
      </w:r>
      <w:r>
        <w:t xml:space="preserve">They are </w:t>
      </w:r>
      <w:r w:rsidR="00060594">
        <w:t xml:space="preserve">often </w:t>
      </w:r>
      <w:r>
        <w:t>also large (in terms of patient numbers), multicentre, peer reviewed and published in high</w:t>
      </w:r>
      <w:r w:rsidR="00121FF1">
        <w:t>-</w:t>
      </w:r>
      <w:r>
        <w:t>profile journals.</w:t>
      </w:r>
    </w:p>
    <w:p w14:paraId="7948E972" w14:textId="778E174C" w:rsidR="007E146D" w:rsidRDefault="00A67A22" w:rsidP="00A67A22">
      <w:pPr>
        <w:pStyle w:val="Caption"/>
        <w:rPr>
          <w:lang w:val="en-AU"/>
        </w:rPr>
      </w:pPr>
      <w:bookmarkStart w:id="30" w:name="_Ref479176380"/>
      <w:bookmarkStart w:id="31" w:name="_Ref479176375"/>
      <w:bookmarkStart w:id="32" w:name="_Toc482629534"/>
      <w:r>
        <w:t xml:space="preserve">Figure </w:t>
      </w:r>
      <w:fldSimple w:instr=" SEQ Figure \* ARABIC ">
        <w:r w:rsidR="007B3054">
          <w:rPr>
            <w:noProof/>
          </w:rPr>
          <w:t>3</w:t>
        </w:r>
      </w:fldSimple>
      <w:bookmarkEnd w:id="30"/>
      <w:r>
        <w:t>. Types of trials included in the analysis</w:t>
      </w:r>
      <w:bookmarkEnd w:id="31"/>
      <w:bookmarkEnd w:id="32"/>
    </w:p>
    <w:p w14:paraId="430F8240" w14:textId="76FED8D6" w:rsidR="000433AB" w:rsidRDefault="0040524D" w:rsidP="00F074A5">
      <w:pPr>
        <w:rPr>
          <w:szCs w:val="18"/>
          <w:lang w:val="en-AU"/>
        </w:rPr>
      </w:pPr>
      <w:r>
        <w:rPr>
          <w:noProof/>
          <w:lang w:val="en-AU" w:eastAsia="en-AU"/>
        </w:rPr>
        <w:drawing>
          <wp:inline distT="0" distB="0" distL="0" distR="0" wp14:anchorId="30ADCF69" wp14:editId="37F83764">
            <wp:extent cx="6072324" cy="3097092"/>
            <wp:effectExtent l="0" t="0" r="0" b="1905"/>
            <wp:docPr id="10" name="Picture 10" descr="Diagram showing that trials inluded in this anlaysis were conducted by independent investigators, were late-phase trials (phase 2, 3 or 4) and showed a comparative difference in either the effectivess or cost effectiveness of the intervention being evaluated." title="Types of trials inlcuded in the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5818" cy="3109075"/>
                    </a:xfrm>
                    <a:prstGeom prst="rect">
                      <a:avLst/>
                    </a:prstGeom>
                    <a:noFill/>
                  </pic:spPr>
                </pic:pic>
              </a:graphicData>
            </a:graphic>
          </wp:inline>
        </w:drawing>
      </w:r>
    </w:p>
    <w:p w14:paraId="2B0E00EE" w14:textId="3B94FC84" w:rsidR="00233492" w:rsidRDefault="003D6918" w:rsidP="00392788">
      <w:pPr>
        <w:pStyle w:val="Commissionbodytext"/>
      </w:pPr>
      <w:r>
        <w:br/>
      </w:r>
      <w:r w:rsidR="001224B3">
        <w:t>Identification of</w:t>
      </w:r>
      <w:r w:rsidR="0031098A">
        <w:t xml:space="preserve"> high</w:t>
      </w:r>
      <w:r w:rsidR="00121FF1">
        <w:t>-</w:t>
      </w:r>
      <w:r w:rsidR="0031098A">
        <w:t>impact</w:t>
      </w:r>
      <w:r w:rsidR="001224B3">
        <w:t xml:space="preserve"> trials occurred as part of </w:t>
      </w:r>
      <w:r w:rsidR="00BF4C70" w:rsidRPr="00E9139B">
        <w:t>the Profiling Networks Report</w:t>
      </w:r>
      <w:r w:rsidR="001224B3">
        <w:t xml:space="preserve">, and consequently, this report was used to identify trials for </w:t>
      </w:r>
      <w:r w:rsidR="00BF4C70" w:rsidRPr="00E9139B">
        <w:t>inclusion</w:t>
      </w:r>
      <w:r w:rsidR="00BF4C70">
        <w:t xml:space="preserve"> in the evaluation. </w:t>
      </w:r>
      <w:r w:rsidR="00A573AE" w:rsidRPr="00A573AE">
        <w:t xml:space="preserve">In order to ensure that </w:t>
      </w:r>
      <w:r w:rsidR="00E604E7">
        <w:t xml:space="preserve">significant </w:t>
      </w:r>
      <w:r w:rsidR="00DA1EFB">
        <w:t xml:space="preserve">trials </w:t>
      </w:r>
      <w:r w:rsidR="00220EFF">
        <w:t>w</w:t>
      </w:r>
      <w:r w:rsidR="00267419">
        <w:t>ere</w:t>
      </w:r>
      <w:r w:rsidR="00A573AE" w:rsidRPr="00A573AE">
        <w:t xml:space="preserve"> </w:t>
      </w:r>
      <w:r w:rsidR="003E50C1">
        <w:t xml:space="preserve">not </w:t>
      </w:r>
      <w:r w:rsidR="00A573AE" w:rsidRPr="00A573AE">
        <w:t>mi</w:t>
      </w:r>
      <w:r w:rsidR="00E604E7">
        <w:t xml:space="preserve">ssed, </w:t>
      </w:r>
      <w:r w:rsidR="00F7026A">
        <w:t>n</w:t>
      </w:r>
      <w:r w:rsidR="00A573AE" w:rsidRPr="00A573AE">
        <w:t xml:space="preserve">etworks were invited to confirm the trials </w:t>
      </w:r>
      <w:r w:rsidR="003E50C1">
        <w:t xml:space="preserve">that </w:t>
      </w:r>
      <w:r w:rsidR="00363D26">
        <w:t>had been</w:t>
      </w:r>
      <w:r w:rsidR="003E50C1">
        <w:t xml:space="preserve"> selected.</w:t>
      </w:r>
      <w:r w:rsidR="00013240">
        <w:t xml:space="preserve"> One additional</w:t>
      </w:r>
      <w:r w:rsidR="001224B3">
        <w:t xml:space="preserve"> recent</w:t>
      </w:r>
      <w:r w:rsidR="00013240">
        <w:t xml:space="preserve"> trial was </w:t>
      </w:r>
      <w:r w:rsidR="003E50C1">
        <w:t xml:space="preserve">subsequently </w:t>
      </w:r>
      <w:r w:rsidR="00460146">
        <w:t xml:space="preserve">identified </w:t>
      </w:r>
      <w:r w:rsidR="00FD63D7">
        <w:t>(ENCHANTED</w:t>
      </w:r>
      <w:r w:rsidR="00267419">
        <w:t>)</w:t>
      </w:r>
      <w:r w:rsidR="00460146">
        <w:t xml:space="preserve">, </w:t>
      </w:r>
      <w:r w:rsidR="003E50C1">
        <w:t>resulting in</w:t>
      </w:r>
      <w:r w:rsidR="00020332">
        <w:t xml:space="preserve"> a sample of 25 trials acros</w:t>
      </w:r>
      <w:r w:rsidR="00944F27">
        <w:t xml:space="preserve">s the three case study </w:t>
      </w:r>
      <w:r w:rsidR="00F7026A">
        <w:t>n</w:t>
      </w:r>
      <w:r w:rsidR="00E604E7">
        <w:t>etworks</w:t>
      </w:r>
      <w:r w:rsidR="004D3458">
        <w:t xml:space="preserve"> (</w:t>
      </w:r>
      <w:r w:rsidR="004D3458">
        <w:fldChar w:fldCharType="begin"/>
      </w:r>
      <w:r w:rsidR="004D3458">
        <w:instrText xml:space="preserve"> REF _Ref475267206 \h </w:instrText>
      </w:r>
      <w:r w:rsidR="00452F23">
        <w:instrText xml:space="preserve"> \* MERGEFORMAT </w:instrText>
      </w:r>
      <w:r w:rsidR="004D3458">
        <w:fldChar w:fldCharType="separate"/>
      </w:r>
      <w:r w:rsidR="007B3054">
        <w:t xml:space="preserve">Table </w:t>
      </w:r>
      <w:r w:rsidR="007B3054">
        <w:rPr>
          <w:noProof/>
        </w:rPr>
        <w:t>4</w:t>
      </w:r>
      <w:r w:rsidR="004D3458">
        <w:fldChar w:fldCharType="end"/>
      </w:r>
      <w:r w:rsidR="004D3458">
        <w:t xml:space="preserve">). </w:t>
      </w:r>
      <w:r w:rsidR="004D3458" w:rsidRPr="00352327">
        <w:t>T</w:t>
      </w:r>
      <w:r w:rsidR="00E604E7" w:rsidRPr="00352327">
        <w:t>his represent</w:t>
      </w:r>
      <w:r w:rsidR="0025728D" w:rsidRPr="00352327">
        <w:t>s</w:t>
      </w:r>
      <w:r w:rsidR="00794456" w:rsidRPr="00352327">
        <w:t xml:space="preserve"> a sample of </w:t>
      </w:r>
      <w:r w:rsidR="00E604E7" w:rsidRPr="00352327">
        <w:t>approximately 1</w:t>
      </w:r>
      <w:r w:rsidR="006A7C5C" w:rsidRPr="00352327">
        <w:t>0</w:t>
      </w:r>
      <w:r w:rsidR="00E604E7" w:rsidRPr="00352327">
        <w:t xml:space="preserve">% of all </w:t>
      </w:r>
      <w:r w:rsidR="00C1068A" w:rsidRPr="00352327">
        <w:t>studies</w:t>
      </w:r>
      <w:r w:rsidR="00794456" w:rsidRPr="00352327">
        <w:t xml:space="preserve"> (including early-phase, pilot and observational studies) </w:t>
      </w:r>
      <w:r w:rsidR="00E604E7" w:rsidRPr="00352327">
        <w:t>ever completed by the</w:t>
      </w:r>
      <w:r w:rsidR="00E956EF" w:rsidRPr="00352327">
        <w:t>se three</w:t>
      </w:r>
      <w:r w:rsidR="00E604E7" w:rsidRPr="00352327">
        <w:t xml:space="preserve"> </w:t>
      </w:r>
      <w:r w:rsidR="00F7026A" w:rsidRPr="00352327">
        <w:t>n</w:t>
      </w:r>
      <w:r w:rsidR="00E604E7" w:rsidRPr="00352327">
        <w:t>etworks</w:t>
      </w:r>
      <w:r w:rsidR="0025728D" w:rsidRPr="00352327">
        <w:t>:</w:t>
      </w:r>
    </w:p>
    <w:p w14:paraId="5DA81A4F" w14:textId="77777777" w:rsidR="00452F23" w:rsidRPr="00352327" w:rsidRDefault="00452F23" w:rsidP="00392788">
      <w:pPr>
        <w:pStyle w:val="Commissionbodytext"/>
      </w:pPr>
    </w:p>
    <w:p w14:paraId="13F97D40" w14:textId="443D2DB9" w:rsidR="00233492" w:rsidRPr="00352327" w:rsidRDefault="00233492" w:rsidP="00392788">
      <w:pPr>
        <w:pStyle w:val="Commissionbullets"/>
      </w:pPr>
      <w:r w:rsidRPr="00352327">
        <w:t>18% of completed ASTN studies</w:t>
      </w:r>
    </w:p>
    <w:p w14:paraId="6341A590" w14:textId="1DE0BEA1" w:rsidR="00233492" w:rsidRPr="00352327" w:rsidRDefault="00233492" w:rsidP="00392788">
      <w:pPr>
        <w:pStyle w:val="Commissionbullets"/>
      </w:pPr>
      <w:r w:rsidRPr="00352327">
        <w:t>7% of completed IMPACT Studies</w:t>
      </w:r>
    </w:p>
    <w:p w14:paraId="199E7ABA" w14:textId="0D3B9FD9" w:rsidR="00996BE6" w:rsidRDefault="006A7C5C" w:rsidP="00392788">
      <w:pPr>
        <w:pStyle w:val="Commissionbullets"/>
      </w:pPr>
      <w:r w:rsidRPr="00352327">
        <w:t>20% of completed ANZICS CTG studies</w:t>
      </w:r>
      <w:r w:rsidR="00046EB8">
        <w:t>.</w:t>
      </w:r>
    </w:p>
    <w:p w14:paraId="437000C7" w14:textId="6FFE81F4" w:rsidR="00452F23" w:rsidRDefault="00452F23" w:rsidP="00392788">
      <w:pPr>
        <w:pStyle w:val="Commissionbullets"/>
        <w:numPr>
          <w:ilvl w:val="0"/>
          <w:numId w:val="0"/>
        </w:numPr>
        <w:ind w:left="720"/>
      </w:pPr>
    </w:p>
    <w:p w14:paraId="11CC5B44" w14:textId="77777777" w:rsidR="00452F23" w:rsidRPr="00F074A5" w:rsidRDefault="00452F23" w:rsidP="00392788">
      <w:pPr>
        <w:pStyle w:val="Commissionbullets"/>
        <w:numPr>
          <w:ilvl w:val="0"/>
          <w:numId w:val="0"/>
        </w:numPr>
        <w:ind w:left="720"/>
      </w:pPr>
    </w:p>
    <w:p w14:paraId="0A27C09E" w14:textId="2EA5F039" w:rsidR="00944F27" w:rsidRPr="00421972" w:rsidRDefault="004D3458" w:rsidP="004D3458">
      <w:pPr>
        <w:pStyle w:val="Caption"/>
      </w:pPr>
      <w:bookmarkStart w:id="33" w:name="_Ref475267137"/>
      <w:bookmarkStart w:id="34" w:name="_Ref475267206"/>
      <w:bookmarkStart w:id="35" w:name="_Toc479177727"/>
      <w:r>
        <w:lastRenderedPageBreak/>
        <w:t>Table</w:t>
      </w:r>
      <w:bookmarkEnd w:id="33"/>
      <w:r>
        <w:t xml:space="preserve"> </w:t>
      </w:r>
      <w:fldSimple w:instr=" SEQ Table \* ARABIC ">
        <w:r w:rsidR="007B3054">
          <w:rPr>
            <w:noProof/>
          </w:rPr>
          <w:t>4</w:t>
        </w:r>
      </w:fldSimple>
      <w:bookmarkEnd w:id="34"/>
      <w:r>
        <w:t>. Individual trials selected for analysis</w:t>
      </w:r>
      <w:bookmarkEnd w:id="35"/>
    </w:p>
    <w:tbl>
      <w:tblPr>
        <w:tblStyle w:val="TableGrid"/>
        <w:tblW w:w="1002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1212"/>
        <w:gridCol w:w="1592"/>
        <w:gridCol w:w="7224"/>
      </w:tblGrid>
      <w:tr w:rsidR="00996BE6" w:rsidRPr="00996BE6" w14:paraId="0BDDD989" w14:textId="77777777" w:rsidTr="00392788">
        <w:trPr>
          <w:cantSplit/>
          <w:trHeight w:val="625"/>
          <w:tblHeader/>
        </w:trPr>
        <w:tc>
          <w:tcPr>
            <w:tcW w:w="1212" w:type="dxa"/>
            <w:shd w:val="clear" w:color="auto" w:fill="2F5496" w:themeFill="accent5" w:themeFillShade="BF"/>
            <w:tcMar>
              <w:top w:w="0" w:type="dxa"/>
              <w:left w:w="113" w:type="dxa"/>
              <w:bottom w:w="0" w:type="dxa"/>
              <w:right w:w="113" w:type="dxa"/>
            </w:tcMar>
            <w:vAlign w:val="bottom"/>
          </w:tcPr>
          <w:p w14:paraId="2DB50791" w14:textId="10479EBF" w:rsidR="0025728D" w:rsidRPr="00392788" w:rsidRDefault="0025728D" w:rsidP="00392788">
            <w:pPr>
              <w:spacing w:after="0" w:line="276" w:lineRule="auto"/>
              <w:rPr>
                <w:b/>
                <w:color w:val="FFFFFF" w:themeColor="background1"/>
                <w:sz w:val="21"/>
                <w:szCs w:val="21"/>
                <w:lang w:val="en-AU"/>
              </w:rPr>
            </w:pPr>
            <w:r w:rsidRPr="00392788">
              <w:rPr>
                <w:b/>
                <w:color w:val="FFFFFF" w:themeColor="background1"/>
                <w:sz w:val="21"/>
                <w:szCs w:val="21"/>
                <w:lang w:val="en-AU"/>
              </w:rPr>
              <w:t>Network</w:t>
            </w:r>
          </w:p>
        </w:tc>
        <w:tc>
          <w:tcPr>
            <w:tcW w:w="1592" w:type="dxa"/>
            <w:shd w:val="clear" w:color="auto" w:fill="2F5496" w:themeFill="accent5" w:themeFillShade="BF"/>
            <w:tcMar>
              <w:top w:w="0" w:type="dxa"/>
              <w:left w:w="113" w:type="dxa"/>
              <w:bottom w:w="0" w:type="dxa"/>
              <w:right w:w="113" w:type="dxa"/>
            </w:tcMar>
            <w:vAlign w:val="bottom"/>
          </w:tcPr>
          <w:p w14:paraId="5291123D" w14:textId="1349CE2B" w:rsidR="0025728D" w:rsidRPr="00392788" w:rsidRDefault="0025728D" w:rsidP="00392788">
            <w:pPr>
              <w:spacing w:after="0" w:line="276" w:lineRule="auto"/>
              <w:rPr>
                <w:b/>
                <w:color w:val="FFFFFF" w:themeColor="background1"/>
                <w:sz w:val="21"/>
                <w:szCs w:val="21"/>
                <w:lang w:val="en-AU"/>
              </w:rPr>
            </w:pPr>
            <w:r w:rsidRPr="00392788">
              <w:rPr>
                <w:b/>
                <w:color w:val="FFFFFF" w:themeColor="background1"/>
                <w:sz w:val="21"/>
                <w:szCs w:val="21"/>
                <w:lang w:val="en-AU"/>
              </w:rPr>
              <w:t xml:space="preserve">Trial </w:t>
            </w:r>
            <w:r w:rsidR="006031B3">
              <w:rPr>
                <w:b/>
                <w:color w:val="FFFFFF" w:themeColor="background1"/>
                <w:sz w:val="21"/>
                <w:szCs w:val="21"/>
                <w:lang w:val="en-AU"/>
              </w:rPr>
              <w:t>a</w:t>
            </w:r>
            <w:r w:rsidRPr="00392788">
              <w:rPr>
                <w:b/>
                <w:color w:val="FFFFFF" w:themeColor="background1"/>
                <w:sz w:val="21"/>
                <w:szCs w:val="21"/>
                <w:lang w:val="en-AU"/>
              </w:rPr>
              <w:t>cronym</w:t>
            </w:r>
          </w:p>
        </w:tc>
        <w:tc>
          <w:tcPr>
            <w:tcW w:w="7224" w:type="dxa"/>
            <w:shd w:val="clear" w:color="auto" w:fill="2F5496" w:themeFill="accent5" w:themeFillShade="BF"/>
            <w:tcMar>
              <w:top w:w="0" w:type="dxa"/>
              <w:left w:w="113" w:type="dxa"/>
              <w:bottom w:w="0" w:type="dxa"/>
              <w:right w:w="113" w:type="dxa"/>
            </w:tcMar>
            <w:vAlign w:val="bottom"/>
          </w:tcPr>
          <w:p w14:paraId="2275878D" w14:textId="1E380C7D" w:rsidR="0025728D" w:rsidRPr="00392788" w:rsidRDefault="0025728D" w:rsidP="00392788">
            <w:pPr>
              <w:spacing w:after="0" w:line="276" w:lineRule="auto"/>
              <w:rPr>
                <w:b/>
                <w:color w:val="FFFFFF" w:themeColor="background1"/>
                <w:sz w:val="21"/>
                <w:szCs w:val="21"/>
                <w:lang w:val="en-AU"/>
              </w:rPr>
            </w:pPr>
            <w:r w:rsidRPr="00392788">
              <w:rPr>
                <w:b/>
                <w:color w:val="FFFFFF" w:themeColor="background1"/>
                <w:sz w:val="21"/>
                <w:szCs w:val="21"/>
                <w:lang w:val="en-AU"/>
              </w:rPr>
              <w:t xml:space="preserve">Trial </w:t>
            </w:r>
            <w:r w:rsidR="006031B3">
              <w:rPr>
                <w:b/>
                <w:color w:val="FFFFFF" w:themeColor="background1"/>
                <w:sz w:val="21"/>
                <w:szCs w:val="21"/>
                <w:lang w:val="en-AU"/>
              </w:rPr>
              <w:t>p</w:t>
            </w:r>
            <w:r w:rsidRPr="00392788">
              <w:rPr>
                <w:b/>
                <w:color w:val="FFFFFF" w:themeColor="background1"/>
                <w:sz w:val="21"/>
                <w:szCs w:val="21"/>
                <w:lang w:val="en-AU"/>
              </w:rPr>
              <w:t xml:space="preserve">ublication </w:t>
            </w:r>
            <w:r w:rsidR="006031B3">
              <w:rPr>
                <w:b/>
                <w:color w:val="FFFFFF" w:themeColor="background1"/>
                <w:sz w:val="21"/>
                <w:szCs w:val="21"/>
                <w:lang w:val="en-AU"/>
              </w:rPr>
              <w:t>r</w:t>
            </w:r>
            <w:r w:rsidRPr="00392788">
              <w:rPr>
                <w:b/>
                <w:color w:val="FFFFFF" w:themeColor="background1"/>
                <w:sz w:val="21"/>
                <w:szCs w:val="21"/>
                <w:lang w:val="en-AU"/>
              </w:rPr>
              <w:t>eference</w:t>
            </w:r>
          </w:p>
        </w:tc>
      </w:tr>
      <w:tr w:rsidR="00996BE6" w:rsidRPr="00996BE6" w14:paraId="425E42ED" w14:textId="77777777" w:rsidTr="00392788">
        <w:trPr>
          <w:cantSplit/>
          <w:trHeight w:val="595"/>
        </w:trPr>
        <w:tc>
          <w:tcPr>
            <w:tcW w:w="1212" w:type="dxa"/>
            <w:tcMar>
              <w:top w:w="0" w:type="dxa"/>
              <w:left w:w="113" w:type="dxa"/>
              <w:bottom w:w="0" w:type="dxa"/>
              <w:right w:w="113" w:type="dxa"/>
            </w:tcMar>
          </w:tcPr>
          <w:p w14:paraId="4E20467C"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ASTN</w:t>
            </w:r>
          </w:p>
        </w:tc>
        <w:tc>
          <w:tcPr>
            <w:tcW w:w="1592" w:type="dxa"/>
            <w:tcMar>
              <w:top w:w="0" w:type="dxa"/>
              <w:left w:w="113" w:type="dxa"/>
              <w:bottom w:w="0" w:type="dxa"/>
              <w:right w:w="113" w:type="dxa"/>
            </w:tcMar>
          </w:tcPr>
          <w:p w14:paraId="473CECC5"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ARCH</w:t>
            </w:r>
          </w:p>
        </w:tc>
        <w:tc>
          <w:tcPr>
            <w:tcW w:w="7224" w:type="dxa"/>
            <w:tcMar>
              <w:top w:w="0" w:type="dxa"/>
              <w:left w:w="113" w:type="dxa"/>
              <w:bottom w:w="0" w:type="dxa"/>
              <w:right w:w="113" w:type="dxa"/>
            </w:tcMar>
          </w:tcPr>
          <w:p w14:paraId="075426B9" w14:textId="24A40406"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Clopidogrel plus aspirin versus warfarin in patients with stroke and aortic arch plaques. Stroke 2014; 45:1248</w:t>
            </w:r>
            <w:r w:rsidR="005C2181">
              <w:rPr>
                <w:rFonts w:eastAsia="Times New Roman" w:cs="Arial"/>
                <w:color w:val="000000"/>
                <w:sz w:val="21"/>
                <w:szCs w:val="21"/>
                <w:lang w:val="en-AU"/>
              </w:rPr>
              <w:t>–</w:t>
            </w:r>
            <w:r w:rsidRPr="00392788">
              <w:rPr>
                <w:rFonts w:eastAsia="Times New Roman" w:cs="Arial"/>
                <w:color w:val="000000"/>
                <w:sz w:val="21"/>
                <w:szCs w:val="21"/>
                <w:lang w:val="en-AU"/>
              </w:rPr>
              <w:t>57</w:t>
            </w:r>
            <w:r w:rsidR="00A668F0">
              <w:rPr>
                <w:rFonts w:eastAsia="Times New Roman" w:cs="Arial"/>
                <w:color w:val="000000"/>
                <w:sz w:val="21"/>
                <w:szCs w:val="21"/>
                <w:lang w:val="en-AU"/>
              </w:rPr>
              <w:t>.</w:t>
            </w:r>
          </w:p>
        </w:tc>
      </w:tr>
      <w:tr w:rsidR="00996BE6" w:rsidRPr="00996BE6" w14:paraId="275B2B29" w14:textId="77777777" w:rsidTr="00392788">
        <w:trPr>
          <w:cantSplit/>
          <w:trHeight w:val="742"/>
        </w:trPr>
        <w:tc>
          <w:tcPr>
            <w:tcW w:w="1212" w:type="dxa"/>
            <w:tcMar>
              <w:top w:w="0" w:type="dxa"/>
              <w:left w:w="113" w:type="dxa"/>
              <w:bottom w:w="0" w:type="dxa"/>
              <w:right w:w="113" w:type="dxa"/>
            </w:tcMar>
          </w:tcPr>
          <w:p w14:paraId="353A4F05"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ASTN</w:t>
            </w:r>
          </w:p>
        </w:tc>
        <w:tc>
          <w:tcPr>
            <w:tcW w:w="1592" w:type="dxa"/>
            <w:tcMar>
              <w:top w:w="0" w:type="dxa"/>
              <w:left w:w="113" w:type="dxa"/>
              <w:bottom w:w="0" w:type="dxa"/>
              <w:right w:w="113" w:type="dxa"/>
            </w:tcMar>
          </w:tcPr>
          <w:p w14:paraId="18F65340"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AVERT</w:t>
            </w:r>
          </w:p>
        </w:tc>
        <w:tc>
          <w:tcPr>
            <w:tcW w:w="7224" w:type="dxa"/>
            <w:tcMar>
              <w:top w:w="0" w:type="dxa"/>
              <w:left w:w="113" w:type="dxa"/>
              <w:bottom w:w="0" w:type="dxa"/>
              <w:right w:w="113" w:type="dxa"/>
            </w:tcMar>
          </w:tcPr>
          <w:p w14:paraId="3CE48F53" w14:textId="56AF1570"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E</w:t>
            </w:r>
            <w:r w:rsidR="00A668F0">
              <w:rPr>
                <w:rFonts w:eastAsia="Calibri" w:cs="Arial"/>
                <w:color w:val="000000"/>
                <w:sz w:val="21"/>
                <w:szCs w:val="21"/>
                <w:lang w:val="en-AU"/>
              </w:rPr>
              <w:t>ffi</w:t>
            </w:r>
            <w:r w:rsidRPr="00657F18">
              <w:rPr>
                <w:rFonts w:eastAsia="Times New Roman" w:cs="Arial"/>
                <w:color w:val="000000"/>
                <w:sz w:val="21"/>
                <w:szCs w:val="21"/>
                <w:lang w:val="en-AU"/>
              </w:rPr>
              <w:t>cacy and safety of very early mobilisation within 24h of stroke onset (AVERT): a randomised control</w:t>
            </w:r>
            <w:r w:rsidRPr="00722F9C">
              <w:rPr>
                <w:rFonts w:eastAsia="Times New Roman" w:cs="Arial"/>
                <w:color w:val="000000"/>
                <w:sz w:val="21"/>
                <w:szCs w:val="21"/>
                <w:lang w:val="en-AU"/>
              </w:rPr>
              <w:t>led trial. Lancet 2015; 386: 46–55.</w:t>
            </w:r>
          </w:p>
        </w:tc>
      </w:tr>
      <w:tr w:rsidR="00996BE6" w:rsidRPr="00996BE6" w14:paraId="3C95F21E" w14:textId="77777777" w:rsidTr="00392788">
        <w:trPr>
          <w:cantSplit/>
          <w:trHeight w:val="641"/>
        </w:trPr>
        <w:tc>
          <w:tcPr>
            <w:tcW w:w="1212" w:type="dxa"/>
            <w:tcMar>
              <w:top w:w="0" w:type="dxa"/>
              <w:left w:w="113" w:type="dxa"/>
              <w:bottom w:w="0" w:type="dxa"/>
              <w:right w:w="113" w:type="dxa"/>
            </w:tcMar>
          </w:tcPr>
          <w:p w14:paraId="6F938CB9"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ASTN</w:t>
            </w:r>
          </w:p>
        </w:tc>
        <w:tc>
          <w:tcPr>
            <w:tcW w:w="1592" w:type="dxa"/>
            <w:tcMar>
              <w:top w:w="0" w:type="dxa"/>
              <w:left w:w="113" w:type="dxa"/>
              <w:bottom w:w="0" w:type="dxa"/>
              <w:right w:w="113" w:type="dxa"/>
            </w:tcMar>
          </w:tcPr>
          <w:p w14:paraId="0A8A8454"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ENCHANTED</w:t>
            </w:r>
          </w:p>
        </w:tc>
        <w:tc>
          <w:tcPr>
            <w:tcW w:w="7224" w:type="dxa"/>
            <w:tcMar>
              <w:top w:w="0" w:type="dxa"/>
              <w:left w:w="113" w:type="dxa"/>
              <w:bottom w:w="0" w:type="dxa"/>
              <w:right w:w="113" w:type="dxa"/>
            </w:tcMar>
          </w:tcPr>
          <w:p w14:paraId="7F034C60" w14:textId="433B2482"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Low-dose versus standard-dose intravenous alteplase in acute ischemic stroke. N Engl J Med 2016; 374:2313</w:t>
            </w:r>
            <w:r w:rsidR="005C2181">
              <w:rPr>
                <w:rFonts w:eastAsia="Times New Roman" w:cs="Arial"/>
                <w:color w:val="000000"/>
                <w:sz w:val="21"/>
                <w:szCs w:val="21"/>
                <w:lang w:val="en-AU"/>
              </w:rPr>
              <w:t>–</w:t>
            </w:r>
            <w:r w:rsidRPr="00392788">
              <w:rPr>
                <w:rFonts w:eastAsia="Times New Roman" w:cs="Arial"/>
                <w:color w:val="000000"/>
                <w:sz w:val="21"/>
                <w:szCs w:val="21"/>
                <w:lang w:val="en-AU"/>
              </w:rPr>
              <w:t>23</w:t>
            </w:r>
            <w:r w:rsidR="00A668F0">
              <w:rPr>
                <w:rFonts w:eastAsia="Times New Roman" w:cs="Arial"/>
                <w:color w:val="000000"/>
                <w:sz w:val="21"/>
                <w:szCs w:val="21"/>
                <w:lang w:val="en-AU"/>
              </w:rPr>
              <w:t>.</w:t>
            </w:r>
          </w:p>
        </w:tc>
      </w:tr>
      <w:tr w:rsidR="00996BE6" w:rsidRPr="00996BE6" w14:paraId="48D1AF98" w14:textId="77777777" w:rsidTr="00392788">
        <w:trPr>
          <w:cantSplit/>
          <w:trHeight w:val="165"/>
        </w:trPr>
        <w:tc>
          <w:tcPr>
            <w:tcW w:w="1212" w:type="dxa"/>
            <w:tcMar>
              <w:top w:w="0" w:type="dxa"/>
              <w:left w:w="113" w:type="dxa"/>
              <w:bottom w:w="0" w:type="dxa"/>
              <w:right w:w="113" w:type="dxa"/>
            </w:tcMar>
          </w:tcPr>
          <w:p w14:paraId="5F762A76"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ASTN</w:t>
            </w:r>
          </w:p>
        </w:tc>
        <w:tc>
          <w:tcPr>
            <w:tcW w:w="1592" w:type="dxa"/>
            <w:tcMar>
              <w:top w:w="0" w:type="dxa"/>
              <w:left w:w="113" w:type="dxa"/>
              <w:bottom w:w="0" w:type="dxa"/>
              <w:right w:w="113" w:type="dxa"/>
            </w:tcMar>
          </w:tcPr>
          <w:p w14:paraId="5347C83C"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EXTEND-IA</w:t>
            </w:r>
          </w:p>
        </w:tc>
        <w:tc>
          <w:tcPr>
            <w:tcW w:w="7224" w:type="dxa"/>
            <w:tcMar>
              <w:top w:w="0" w:type="dxa"/>
              <w:left w:w="113" w:type="dxa"/>
              <w:bottom w:w="0" w:type="dxa"/>
              <w:right w:w="113" w:type="dxa"/>
            </w:tcMar>
          </w:tcPr>
          <w:p w14:paraId="03D977B3" w14:textId="4EF47042" w:rsidR="00060594" w:rsidRPr="00392788" w:rsidRDefault="00060594" w:rsidP="00A10702">
            <w:pPr>
              <w:spacing w:line="240" w:lineRule="auto"/>
              <w:rPr>
                <w:rFonts w:cs="Arial"/>
                <w:sz w:val="21"/>
                <w:szCs w:val="21"/>
                <w:lang w:val="en-AU"/>
              </w:rPr>
            </w:pPr>
            <w:bookmarkStart w:id="36" w:name="RANGE!B3"/>
            <w:r w:rsidRPr="00392788">
              <w:rPr>
                <w:rFonts w:eastAsia="Times New Roman" w:cs="Arial"/>
                <w:color w:val="000000"/>
                <w:sz w:val="21"/>
                <w:szCs w:val="21"/>
              </w:rPr>
              <w:t xml:space="preserve">Endovascular therapy for ischemic stroke with perfusion-imaging selection. </w:t>
            </w:r>
            <w:r w:rsidRPr="00392788">
              <w:rPr>
                <w:rFonts w:eastAsia="Times New Roman" w:cs="Arial"/>
                <w:color w:val="000000"/>
                <w:sz w:val="21"/>
                <w:szCs w:val="21"/>
              </w:rPr>
              <w:br/>
              <w:t>N Engl J Med 2015; 372:1009</w:t>
            </w:r>
            <w:r w:rsidR="005C2181">
              <w:rPr>
                <w:rFonts w:eastAsia="Times New Roman" w:cs="Arial"/>
                <w:color w:val="000000"/>
                <w:sz w:val="21"/>
                <w:szCs w:val="21"/>
              </w:rPr>
              <w:t>–</w:t>
            </w:r>
            <w:r w:rsidRPr="00722F9C">
              <w:rPr>
                <w:rFonts w:eastAsia="Times New Roman" w:cs="Arial"/>
                <w:color w:val="000000"/>
                <w:sz w:val="21"/>
                <w:szCs w:val="21"/>
              </w:rPr>
              <w:t>18</w:t>
            </w:r>
            <w:bookmarkEnd w:id="36"/>
            <w:r w:rsidR="00A668F0">
              <w:rPr>
                <w:rFonts w:eastAsia="Times New Roman" w:cs="Arial"/>
                <w:color w:val="000000"/>
                <w:sz w:val="21"/>
                <w:szCs w:val="21"/>
              </w:rPr>
              <w:t>.</w:t>
            </w:r>
          </w:p>
        </w:tc>
      </w:tr>
      <w:tr w:rsidR="00996BE6" w:rsidRPr="00996BE6" w14:paraId="50E51ED3" w14:textId="77777777" w:rsidTr="00392788">
        <w:trPr>
          <w:cantSplit/>
          <w:trHeight w:val="165"/>
        </w:trPr>
        <w:tc>
          <w:tcPr>
            <w:tcW w:w="1212" w:type="dxa"/>
            <w:tcMar>
              <w:top w:w="0" w:type="dxa"/>
              <w:left w:w="113" w:type="dxa"/>
              <w:bottom w:w="0" w:type="dxa"/>
              <w:right w:w="113" w:type="dxa"/>
            </w:tcMar>
          </w:tcPr>
          <w:p w14:paraId="2F4A4272"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ASTN</w:t>
            </w:r>
          </w:p>
        </w:tc>
        <w:tc>
          <w:tcPr>
            <w:tcW w:w="1592" w:type="dxa"/>
            <w:tcMar>
              <w:top w:w="0" w:type="dxa"/>
              <w:left w:w="113" w:type="dxa"/>
              <w:bottom w:w="0" w:type="dxa"/>
              <w:right w:w="113" w:type="dxa"/>
            </w:tcMar>
          </w:tcPr>
          <w:p w14:paraId="4EE3DC4A"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INTERACT2</w:t>
            </w:r>
          </w:p>
        </w:tc>
        <w:tc>
          <w:tcPr>
            <w:tcW w:w="7224" w:type="dxa"/>
            <w:tcMar>
              <w:top w:w="0" w:type="dxa"/>
              <w:left w:w="113" w:type="dxa"/>
              <w:bottom w:w="0" w:type="dxa"/>
              <w:right w:w="113" w:type="dxa"/>
            </w:tcMar>
          </w:tcPr>
          <w:p w14:paraId="1686EAA9" w14:textId="1283766F" w:rsidR="00060594" w:rsidRPr="00392788" w:rsidRDefault="00060594" w:rsidP="006175A9">
            <w:pPr>
              <w:spacing w:line="240" w:lineRule="auto"/>
              <w:rPr>
                <w:rFonts w:cs="Arial"/>
                <w:sz w:val="21"/>
                <w:szCs w:val="21"/>
                <w:lang w:val="en-AU"/>
              </w:rPr>
            </w:pPr>
            <w:r w:rsidRPr="00392788">
              <w:rPr>
                <w:rFonts w:eastAsia="Times New Roman" w:cs="Arial"/>
                <w:color w:val="000000"/>
                <w:sz w:val="21"/>
                <w:szCs w:val="21"/>
                <w:lang w:val="en-AU"/>
              </w:rPr>
              <w:t>Rapid blood-pressure lowering in patients with acute intracerebral haemorrhage. N Engl J Med 2013; 368:2355</w:t>
            </w:r>
            <w:r w:rsidR="005C2181">
              <w:rPr>
                <w:rFonts w:eastAsia="Times New Roman" w:cs="Arial"/>
                <w:color w:val="000000"/>
                <w:sz w:val="21"/>
                <w:szCs w:val="21"/>
                <w:lang w:val="en-AU"/>
              </w:rPr>
              <w:t>–</w:t>
            </w:r>
            <w:r w:rsidRPr="00722F9C">
              <w:rPr>
                <w:rFonts w:eastAsia="Times New Roman" w:cs="Arial"/>
                <w:color w:val="000000"/>
                <w:sz w:val="21"/>
                <w:szCs w:val="21"/>
                <w:lang w:val="en-AU"/>
              </w:rPr>
              <w:t>65</w:t>
            </w:r>
            <w:r w:rsidR="00A668F0">
              <w:rPr>
                <w:rFonts w:eastAsia="Times New Roman" w:cs="Arial"/>
                <w:color w:val="000000"/>
                <w:sz w:val="21"/>
                <w:szCs w:val="21"/>
                <w:lang w:val="en-AU"/>
              </w:rPr>
              <w:t>.</w:t>
            </w:r>
          </w:p>
        </w:tc>
      </w:tr>
      <w:tr w:rsidR="00996BE6" w:rsidRPr="00996BE6" w14:paraId="5B58D05F" w14:textId="77777777" w:rsidTr="00392788">
        <w:trPr>
          <w:cantSplit/>
          <w:trHeight w:val="165"/>
        </w:trPr>
        <w:tc>
          <w:tcPr>
            <w:tcW w:w="1212" w:type="dxa"/>
            <w:tcMar>
              <w:top w:w="0" w:type="dxa"/>
              <w:left w:w="113" w:type="dxa"/>
              <w:bottom w:w="0" w:type="dxa"/>
              <w:right w:w="113" w:type="dxa"/>
            </w:tcMar>
          </w:tcPr>
          <w:p w14:paraId="00DC5ECC"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ASTN</w:t>
            </w:r>
          </w:p>
        </w:tc>
        <w:tc>
          <w:tcPr>
            <w:tcW w:w="1592" w:type="dxa"/>
            <w:tcMar>
              <w:top w:w="0" w:type="dxa"/>
              <w:left w:w="113" w:type="dxa"/>
              <w:bottom w:w="0" w:type="dxa"/>
              <w:right w:w="113" w:type="dxa"/>
            </w:tcMar>
          </w:tcPr>
          <w:p w14:paraId="212D58EE"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PROGRESS</w:t>
            </w:r>
          </w:p>
        </w:tc>
        <w:tc>
          <w:tcPr>
            <w:tcW w:w="7224" w:type="dxa"/>
            <w:tcMar>
              <w:top w:w="0" w:type="dxa"/>
              <w:left w:w="113" w:type="dxa"/>
              <w:bottom w:w="0" w:type="dxa"/>
              <w:right w:w="113" w:type="dxa"/>
            </w:tcMar>
          </w:tcPr>
          <w:p w14:paraId="63B96B5E" w14:textId="15D652AA"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Randomised trial of a perindopril-based blood</w:t>
            </w:r>
            <w:r w:rsidR="00D705D8" w:rsidRPr="00392788">
              <w:rPr>
                <w:rFonts w:eastAsia="Times New Roman" w:cs="Arial"/>
                <w:color w:val="000000"/>
                <w:sz w:val="21"/>
                <w:szCs w:val="21"/>
                <w:lang w:val="en-AU"/>
              </w:rPr>
              <w:t xml:space="preserve"> </w:t>
            </w:r>
            <w:r w:rsidRPr="00392788">
              <w:rPr>
                <w:rFonts w:eastAsia="Times New Roman" w:cs="Arial"/>
                <w:color w:val="000000"/>
                <w:sz w:val="21"/>
                <w:szCs w:val="21"/>
                <w:lang w:val="en-AU"/>
              </w:rPr>
              <w:t>pressure lowering regimen among 6</w:t>
            </w:r>
            <w:r w:rsidR="00A668F0">
              <w:rPr>
                <w:rFonts w:eastAsia="Times New Roman" w:cs="Arial"/>
                <w:color w:val="000000"/>
                <w:sz w:val="21"/>
                <w:szCs w:val="21"/>
                <w:lang w:val="en-AU"/>
              </w:rPr>
              <w:t>,</w:t>
            </w:r>
            <w:r w:rsidRPr="00392788">
              <w:rPr>
                <w:rFonts w:eastAsia="Times New Roman" w:cs="Arial"/>
                <w:color w:val="000000"/>
                <w:sz w:val="21"/>
                <w:szCs w:val="21"/>
                <w:lang w:val="en-AU"/>
              </w:rPr>
              <w:t>105 individuals with previous stroke or transient ischaemic attack. Lancet 2001; 358:1033</w:t>
            </w:r>
            <w:r w:rsidR="005C2181">
              <w:rPr>
                <w:rFonts w:eastAsia="Times New Roman" w:cs="Arial"/>
                <w:color w:val="000000"/>
                <w:sz w:val="21"/>
                <w:szCs w:val="21"/>
                <w:lang w:val="en-AU"/>
              </w:rPr>
              <w:t>–</w:t>
            </w:r>
            <w:r w:rsidRPr="00722F9C">
              <w:rPr>
                <w:rFonts w:eastAsia="Times New Roman" w:cs="Arial"/>
                <w:color w:val="000000"/>
                <w:sz w:val="21"/>
                <w:szCs w:val="21"/>
                <w:lang w:val="en-AU"/>
              </w:rPr>
              <w:t>41</w:t>
            </w:r>
            <w:r w:rsidR="00A668F0">
              <w:rPr>
                <w:rFonts w:eastAsia="Times New Roman" w:cs="Arial"/>
                <w:color w:val="000000"/>
                <w:sz w:val="21"/>
                <w:szCs w:val="21"/>
                <w:lang w:val="en-AU"/>
              </w:rPr>
              <w:t>.</w:t>
            </w:r>
          </w:p>
        </w:tc>
      </w:tr>
      <w:tr w:rsidR="00996BE6" w:rsidRPr="00996BE6" w14:paraId="3E395E6B" w14:textId="77777777" w:rsidTr="00392788">
        <w:trPr>
          <w:cantSplit/>
          <w:trHeight w:val="165"/>
        </w:trPr>
        <w:tc>
          <w:tcPr>
            <w:tcW w:w="1212" w:type="dxa"/>
            <w:tcMar>
              <w:top w:w="0" w:type="dxa"/>
              <w:left w:w="113" w:type="dxa"/>
              <w:bottom w:w="0" w:type="dxa"/>
              <w:right w:w="113" w:type="dxa"/>
            </w:tcMar>
          </w:tcPr>
          <w:p w14:paraId="793EBF26"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ASTN</w:t>
            </w:r>
          </w:p>
        </w:tc>
        <w:tc>
          <w:tcPr>
            <w:tcW w:w="1592" w:type="dxa"/>
            <w:tcMar>
              <w:top w:w="0" w:type="dxa"/>
              <w:left w:w="113" w:type="dxa"/>
              <w:bottom w:w="0" w:type="dxa"/>
              <w:right w:w="113" w:type="dxa"/>
            </w:tcMar>
          </w:tcPr>
          <w:p w14:paraId="7738118F"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QASC</w:t>
            </w:r>
          </w:p>
        </w:tc>
        <w:tc>
          <w:tcPr>
            <w:tcW w:w="7224" w:type="dxa"/>
            <w:tcMar>
              <w:top w:w="0" w:type="dxa"/>
              <w:left w:w="113" w:type="dxa"/>
              <w:bottom w:w="0" w:type="dxa"/>
              <w:right w:w="113" w:type="dxa"/>
            </w:tcMar>
          </w:tcPr>
          <w:p w14:paraId="3D06856C" w14:textId="74A9A465"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Implementation of evidence-based treatment protocols to manage fever, hyperglycaemia and swallowing dysfunction in acute stroke (QASC): a cluster randomised controlled trial. Lancet 2011; 378:1699</w:t>
            </w:r>
            <w:r w:rsidR="005C2181">
              <w:rPr>
                <w:rFonts w:eastAsia="Times New Roman" w:cs="Arial"/>
                <w:color w:val="000000"/>
                <w:sz w:val="21"/>
                <w:szCs w:val="21"/>
                <w:lang w:val="en-AU"/>
              </w:rPr>
              <w:t>–</w:t>
            </w:r>
            <w:r w:rsidRPr="00722F9C">
              <w:rPr>
                <w:rFonts w:eastAsia="Times New Roman" w:cs="Arial"/>
                <w:color w:val="000000"/>
                <w:sz w:val="21"/>
                <w:szCs w:val="21"/>
                <w:lang w:val="en-AU"/>
              </w:rPr>
              <w:t>706</w:t>
            </w:r>
            <w:r w:rsidR="00A668F0">
              <w:rPr>
                <w:rFonts w:eastAsia="Times New Roman" w:cs="Arial"/>
                <w:color w:val="000000"/>
                <w:sz w:val="21"/>
                <w:szCs w:val="21"/>
                <w:lang w:val="en-AU"/>
              </w:rPr>
              <w:t>.</w:t>
            </w:r>
          </w:p>
        </w:tc>
      </w:tr>
      <w:tr w:rsidR="00996BE6" w:rsidRPr="00996BE6" w14:paraId="0122CF87" w14:textId="77777777" w:rsidTr="00392788">
        <w:trPr>
          <w:cantSplit/>
          <w:trHeight w:val="165"/>
        </w:trPr>
        <w:tc>
          <w:tcPr>
            <w:tcW w:w="1212" w:type="dxa"/>
            <w:tcMar>
              <w:top w:w="0" w:type="dxa"/>
              <w:left w:w="113" w:type="dxa"/>
              <w:bottom w:w="0" w:type="dxa"/>
              <w:right w:w="113" w:type="dxa"/>
            </w:tcMar>
          </w:tcPr>
          <w:p w14:paraId="1F08CD64"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IMPACT</w:t>
            </w:r>
          </w:p>
        </w:tc>
        <w:tc>
          <w:tcPr>
            <w:tcW w:w="1592" w:type="dxa"/>
            <w:tcMar>
              <w:top w:w="0" w:type="dxa"/>
              <w:left w:w="113" w:type="dxa"/>
              <w:bottom w:w="0" w:type="dxa"/>
              <w:right w:w="113" w:type="dxa"/>
            </w:tcMar>
          </w:tcPr>
          <w:p w14:paraId="2FBC298E"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ACHOIS</w:t>
            </w:r>
          </w:p>
        </w:tc>
        <w:tc>
          <w:tcPr>
            <w:tcW w:w="7224" w:type="dxa"/>
            <w:tcMar>
              <w:top w:w="0" w:type="dxa"/>
              <w:left w:w="113" w:type="dxa"/>
              <w:bottom w:w="0" w:type="dxa"/>
              <w:right w:w="113" w:type="dxa"/>
            </w:tcMar>
          </w:tcPr>
          <w:p w14:paraId="6092F736" w14:textId="2B14B000"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Effect of treatment of gestational diabetes mellitus on pregnancy outcomes. N Engl J Med 2005; 352:2477</w:t>
            </w:r>
            <w:r w:rsidR="005C2181">
              <w:rPr>
                <w:rFonts w:eastAsia="Times New Roman" w:cs="Arial"/>
                <w:color w:val="000000"/>
                <w:sz w:val="21"/>
                <w:szCs w:val="21"/>
                <w:lang w:val="en-AU"/>
              </w:rPr>
              <w:t>–</w:t>
            </w:r>
            <w:r w:rsidRPr="00722F9C">
              <w:rPr>
                <w:rFonts w:eastAsia="Times New Roman" w:cs="Arial"/>
                <w:color w:val="000000"/>
                <w:sz w:val="21"/>
                <w:szCs w:val="21"/>
                <w:lang w:val="en-AU"/>
              </w:rPr>
              <w:t>86</w:t>
            </w:r>
            <w:r w:rsidR="00A668F0">
              <w:rPr>
                <w:rFonts w:eastAsia="Times New Roman" w:cs="Arial"/>
                <w:color w:val="000000"/>
                <w:sz w:val="21"/>
                <w:szCs w:val="21"/>
                <w:lang w:val="en-AU"/>
              </w:rPr>
              <w:t>.</w:t>
            </w:r>
          </w:p>
        </w:tc>
      </w:tr>
      <w:tr w:rsidR="00996BE6" w:rsidRPr="00996BE6" w14:paraId="61E92204" w14:textId="77777777" w:rsidTr="00392788">
        <w:trPr>
          <w:cantSplit/>
          <w:trHeight w:val="165"/>
        </w:trPr>
        <w:tc>
          <w:tcPr>
            <w:tcW w:w="1212" w:type="dxa"/>
            <w:tcMar>
              <w:top w:w="0" w:type="dxa"/>
              <w:left w:w="113" w:type="dxa"/>
              <w:bottom w:w="0" w:type="dxa"/>
              <w:right w:w="113" w:type="dxa"/>
            </w:tcMar>
          </w:tcPr>
          <w:p w14:paraId="2F8019A7"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IMPACT</w:t>
            </w:r>
          </w:p>
        </w:tc>
        <w:tc>
          <w:tcPr>
            <w:tcW w:w="1592" w:type="dxa"/>
            <w:tcMar>
              <w:top w:w="0" w:type="dxa"/>
              <w:left w:w="113" w:type="dxa"/>
              <w:bottom w:w="0" w:type="dxa"/>
              <w:right w:w="113" w:type="dxa"/>
            </w:tcMar>
          </w:tcPr>
          <w:p w14:paraId="6064EA91" w14:textId="470373B1"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ACTOM</w:t>
            </w:r>
            <w:r w:rsidR="00996BE6" w:rsidRPr="00392788">
              <w:rPr>
                <w:rFonts w:eastAsia="Times New Roman" w:cs="Arial"/>
                <w:color w:val="000000"/>
                <w:sz w:val="21"/>
                <w:szCs w:val="21"/>
              </w:rPr>
              <w:t>g</w:t>
            </w:r>
            <w:r w:rsidRPr="00392788">
              <w:rPr>
                <w:rFonts w:eastAsia="Times New Roman" w:cs="Arial"/>
                <w:color w:val="000000"/>
                <w:sz w:val="21"/>
                <w:szCs w:val="21"/>
              </w:rPr>
              <w:t>SO4</w:t>
            </w:r>
          </w:p>
        </w:tc>
        <w:tc>
          <w:tcPr>
            <w:tcW w:w="7224" w:type="dxa"/>
            <w:tcMar>
              <w:top w:w="0" w:type="dxa"/>
              <w:left w:w="113" w:type="dxa"/>
              <w:bottom w:w="0" w:type="dxa"/>
              <w:right w:w="113" w:type="dxa"/>
            </w:tcMar>
          </w:tcPr>
          <w:p w14:paraId="1A87AC49" w14:textId="53B0CCD6"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Effect of magnesium sulfate given for neuroprotection before preterm birth: a randomised controlled trial. JAMA 2003; 290(20):2669</w:t>
            </w:r>
            <w:r w:rsidR="005C2181">
              <w:rPr>
                <w:rFonts w:eastAsia="Times New Roman" w:cs="Arial"/>
                <w:color w:val="000000"/>
                <w:sz w:val="21"/>
                <w:szCs w:val="21"/>
                <w:lang w:val="en-AU"/>
              </w:rPr>
              <w:t>–</w:t>
            </w:r>
            <w:r w:rsidRPr="00722F9C">
              <w:rPr>
                <w:rFonts w:eastAsia="Times New Roman" w:cs="Arial"/>
                <w:color w:val="000000"/>
                <w:sz w:val="21"/>
                <w:szCs w:val="21"/>
                <w:lang w:val="en-AU"/>
              </w:rPr>
              <w:t>76</w:t>
            </w:r>
            <w:r w:rsidR="00A668F0">
              <w:rPr>
                <w:rFonts w:eastAsia="Times New Roman" w:cs="Arial"/>
                <w:color w:val="000000"/>
                <w:sz w:val="21"/>
                <w:szCs w:val="21"/>
                <w:lang w:val="en-AU"/>
              </w:rPr>
              <w:t>.</w:t>
            </w:r>
          </w:p>
        </w:tc>
      </w:tr>
      <w:tr w:rsidR="00996BE6" w:rsidRPr="00996BE6" w14:paraId="75DDBDD7" w14:textId="77777777" w:rsidTr="00392788">
        <w:trPr>
          <w:cantSplit/>
          <w:trHeight w:val="165"/>
        </w:trPr>
        <w:tc>
          <w:tcPr>
            <w:tcW w:w="1212" w:type="dxa"/>
            <w:tcMar>
              <w:top w:w="0" w:type="dxa"/>
              <w:left w:w="113" w:type="dxa"/>
              <w:bottom w:w="0" w:type="dxa"/>
              <w:right w:w="113" w:type="dxa"/>
            </w:tcMar>
          </w:tcPr>
          <w:p w14:paraId="47CAE7D1"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IMPACT</w:t>
            </w:r>
          </w:p>
        </w:tc>
        <w:tc>
          <w:tcPr>
            <w:tcW w:w="1592" w:type="dxa"/>
            <w:tcMar>
              <w:top w:w="0" w:type="dxa"/>
              <w:left w:w="113" w:type="dxa"/>
              <w:bottom w:w="0" w:type="dxa"/>
              <w:right w:w="113" w:type="dxa"/>
            </w:tcMar>
          </w:tcPr>
          <w:p w14:paraId="4E2C1A23"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ACTORDS</w:t>
            </w:r>
          </w:p>
        </w:tc>
        <w:tc>
          <w:tcPr>
            <w:tcW w:w="7224" w:type="dxa"/>
            <w:tcMar>
              <w:top w:w="0" w:type="dxa"/>
              <w:left w:w="113" w:type="dxa"/>
              <w:bottom w:w="0" w:type="dxa"/>
              <w:right w:w="113" w:type="dxa"/>
            </w:tcMar>
          </w:tcPr>
          <w:p w14:paraId="0CF3890F" w14:textId="40AF099B"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Neonatal respiratory distress syndrome after repeat exposure to antenatal corticosteroids: a randomised controlled trial. Lancet 2006; 367:1913</w:t>
            </w:r>
            <w:r w:rsidR="005C2181">
              <w:rPr>
                <w:rFonts w:eastAsia="Times New Roman" w:cs="Arial"/>
                <w:color w:val="000000"/>
                <w:sz w:val="21"/>
                <w:szCs w:val="21"/>
                <w:lang w:val="en-AU"/>
              </w:rPr>
              <w:t>–</w:t>
            </w:r>
            <w:r w:rsidRPr="00722F9C">
              <w:rPr>
                <w:rFonts w:eastAsia="Times New Roman" w:cs="Arial"/>
                <w:color w:val="000000"/>
                <w:sz w:val="21"/>
                <w:szCs w:val="21"/>
                <w:lang w:val="en-AU"/>
              </w:rPr>
              <w:t>19</w:t>
            </w:r>
            <w:r w:rsidR="00A668F0">
              <w:rPr>
                <w:rFonts w:eastAsia="Times New Roman" w:cs="Arial"/>
                <w:color w:val="000000"/>
                <w:sz w:val="21"/>
                <w:szCs w:val="21"/>
                <w:lang w:val="en-AU"/>
              </w:rPr>
              <w:t>.</w:t>
            </w:r>
          </w:p>
        </w:tc>
      </w:tr>
      <w:tr w:rsidR="00996BE6" w:rsidRPr="00996BE6" w14:paraId="3560B23A" w14:textId="77777777" w:rsidTr="00392788">
        <w:trPr>
          <w:cantSplit/>
          <w:trHeight w:val="545"/>
        </w:trPr>
        <w:tc>
          <w:tcPr>
            <w:tcW w:w="1212" w:type="dxa"/>
            <w:tcMar>
              <w:top w:w="0" w:type="dxa"/>
              <w:left w:w="113" w:type="dxa"/>
              <w:bottom w:w="0" w:type="dxa"/>
              <w:right w:w="113" w:type="dxa"/>
            </w:tcMar>
          </w:tcPr>
          <w:p w14:paraId="56C8E68D"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IMPACT</w:t>
            </w:r>
          </w:p>
        </w:tc>
        <w:tc>
          <w:tcPr>
            <w:tcW w:w="1592" w:type="dxa"/>
            <w:tcMar>
              <w:top w:w="0" w:type="dxa"/>
              <w:left w:w="113" w:type="dxa"/>
              <w:bottom w:w="0" w:type="dxa"/>
              <w:right w:w="113" w:type="dxa"/>
            </w:tcMar>
          </w:tcPr>
          <w:p w14:paraId="74419C64"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COIN</w:t>
            </w:r>
          </w:p>
        </w:tc>
        <w:tc>
          <w:tcPr>
            <w:tcW w:w="7224" w:type="dxa"/>
            <w:tcMar>
              <w:top w:w="0" w:type="dxa"/>
              <w:left w:w="113" w:type="dxa"/>
              <w:bottom w:w="0" w:type="dxa"/>
              <w:right w:w="113" w:type="dxa"/>
            </w:tcMar>
          </w:tcPr>
          <w:p w14:paraId="14199B1F" w14:textId="16104D50"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 xml:space="preserve">Nasal CPAP or intubation at birth for very preterm infants. </w:t>
            </w:r>
            <w:r w:rsidRPr="00392788">
              <w:rPr>
                <w:rFonts w:eastAsia="Times New Roman" w:cs="Arial"/>
                <w:color w:val="000000"/>
                <w:sz w:val="21"/>
                <w:szCs w:val="21"/>
                <w:lang w:val="en-AU"/>
              </w:rPr>
              <w:br/>
              <w:t>N Engl J Med 2008; 358:700</w:t>
            </w:r>
            <w:r w:rsidR="005C2181">
              <w:rPr>
                <w:rFonts w:eastAsia="Times New Roman" w:cs="Arial"/>
                <w:color w:val="000000"/>
                <w:sz w:val="21"/>
                <w:szCs w:val="21"/>
                <w:lang w:val="en-AU"/>
              </w:rPr>
              <w:t>–</w:t>
            </w:r>
            <w:r w:rsidRPr="00722F9C">
              <w:rPr>
                <w:rFonts w:eastAsia="Times New Roman" w:cs="Arial"/>
                <w:color w:val="000000"/>
                <w:sz w:val="21"/>
                <w:szCs w:val="21"/>
                <w:lang w:val="en-AU"/>
              </w:rPr>
              <w:t>8</w:t>
            </w:r>
            <w:r w:rsidR="00A668F0">
              <w:rPr>
                <w:rFonts w:eastAsia="Times New Roman" w:cs="Arial"/>
                <w:color w:val="000000"/>
                <w:sz w:val="21"/>
                <w:szCs w:val="21"/>
                <w:lang w:val="en-AU"/>
              </w:rPr>
              <w:t>.</w:t>
            </w:r>
          </w:p>
        </w:tc>
      </w:tr>
      <w:tr w:rsidR="00996BE6" w:rsidRPr="00996BE6" w14:paraId="45D012A8" w14:textId="77777777" w:rsidTr="00392788">
        <w:trPr>
          <w:cantSplit/>
          <w:trHeight w:val="165"/>
        </w:trPr>
        <w:tc>
          <w:tcPr>
            <w:tcW w:w="1212" w:type="dxa"/>
            <w:tcMar>
              <w:top w:w="0" w:type="dxa"/>
              <w:left w:w="113" w:type="dxa"/>
              <w:bottom w:w="0" w:type="dxa"/>
              <w:right w:w="113" w:type="dxa"/>
            </w:tcMar>
          </w:tcPr>
          <w:p w14:paraId="59A23D3A"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IMPACT</w:t>
            </w:r>
          </w:p>
        </w:tc>
        <w:tc>
          <w:tcPr>
            <w:tcW w:w="1592" w:type="dxa"/>
            <w:tcMar>
              <w:top w:w="0" w:type="dxa"/>
              <w:left w:w="113" w:type="dxa"/>
              <w:bottom w:w="0" w:type="dxa"/>
              <w:right w:w="113" w:type="dxa"/>
            </w:tcMar>
          </w:tcPr>
          <w:p w14:paraId="4013B1F6"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COSMOS</w:t>
            </w:r>
          </w:p>
        </w:tc>
        <w:tc>
          <w:tcPr>
            <w:tcW w:w="7224" w:type="dxa"/>
            <w:tcMar>
              <w:top w:w="0" w:type="dxa"/>
              <w:left w:w="113" w:type="dxa"/>
              <w:bottom w:w="0" w:type="dxa"/>
              <w:right w:w="113" w:type="dxa"/>
            </w:tcMar>
          </w:tcPr>
          <w:p w14:paraId="4E9F06AE" w14:textId="0A72ACEA"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Effects of continuity of care by a primary midwife (caseload midwifery) on caesarean section rates in women of low obstetric risk: the COSMOS randomised controlled trial. BJOG 2012</w:t>
            </w:r>
            <w:r w:rsidR="006175A9" w:rsidRPr="00392788">
              <w:rPr>
                <w:rFonts w:eastAsia="Times New Roman" w:cs="Arial"/>
                <w:color w:val="000000"/>
                <w:sz w:val="21"/>
                <w:szCs w:val="21"/>
                <w:lang w:val="en-AU"/>
              </w:rPr>
              <w:t>;</w:t>
            </w:r>
            <w:r w:rsidRPr="00392788">
              <w:rPr>
                <w:rFonts w:eastAsia="Times New Roman" w:cs="Arial"/>
                <w:color w:val="000000"/>
                <w:sz w:val="21"/>
                <w:szCs w:val="21"/>
                <w:lang w:val="en-AU"/>
              </w:rPr>
              <w:t xml:space="preserve"> 119:1483</w:t>
            </w:r>
            <w:r w:rsidR="005C2181">
              <w:rPr>
                <w:rFonts w:eastAsia="Times New Roman" w:cs="Arial"/>
                <w:color w:val="000000"/>
                <w:sz w:val="21"/>
                <w:szCs w:val="21"/>
                <w:lang w:val="en-AU"/>
              </w:rPr>
              <w:t>–</w:t>
            </w:r>
            <w:r w:rsidRPr="00722F9C">
              <w:rPr>
                <w:rFonts w:eastAsia="Times New Roman" w:cs="Arial"/>
                <w:color w:val="000000"/>
                <w:sz w:val="21"/>
                <w:szCs w:val="21"/>
                <w:lang w:val="en-AU"/>
              </w:rPr>
              <w:t>92</w:t>
            </w:r>
            <w:r w:rsidR="00A668F0">
              <w:rPr>
                <w:rFonts w:eastAsia="Times New Roman" w:cs="Arial"/>
                <w:color w:val="000000"/>
                <w:sz w:val="21"/>
                <w:szCs w:val="21"/>
                <w:lang w:val="en-AU"/>
              </w:rPr>
              <w:t>.</w:t>
            </w:r>
          </w:p>
        </w:tc>
      </w:tr>
      <w:tr w:rsidR="00996BE6" w:rsidRPr="00996BE6" w14:paraId="13DE65FD" w14:textId="77777777" w:rsidTr="00392788">
        <w:trPr>
          <w:cantSplit/>
          <w:trHeight w:val="165"/>
        </w:trPr>
        <w:tc>
          <w:tcPr>
            <w:tcW w:w="1212" w:type="dxa"/>
            <w:tcMar>
              <w:top w:w="0" w:type="dxa"/>
              <w:left w:w="113" w:type="dxa"/>
              <w:bottom w:w="0" w:type="dxa"/>
              <w:right w:w="113" w:type="dxa"/>
            </w:tcMar>
          </w:tcPr>
          <w:p w14:paraId="5A68A1E1"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lastRenderedPageBreak/>
              <w:t>IMPACT</w:t>
            </w:r>
          </w:p>
        </w:tc>
        <w:tc>
          <w:tcPr>
            <w:tcW w:w="1592" w:type="dxa"/>
            <w:tcMar>
              <w:top w:w="0" w:type="dxa"/>
              <w:left w:w="113" w:type="dxa"/>
              <w:bottom w:w="0" w:type="dxa"/>
              <w:right w:w="113" w:type="dxa"/>
            </w:tcMar>
          </w:tcPr>
          <w:p w14:paraId="7B170F53"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ICE</w:t>
            </w:r>
          </w:p>
        </w:tc>
        <w:tc>
          <w:tcPr>
            <w:tcW w:w="7224" w:type="dxa"/>
            <w:tcMar>
              <w:top w:w="0" w:type="dxa"/>
              <w:left w:w="113" w:type="dxa"/>
              <w:bottom w:w="0" w:type="dxa"/>
              <w:right w:w="113" w:type="dxa"/>
            </w:tcMar>
          </w:tcPr>
          <w:p w14:paraId="3EB3D425" w14:textId="6806746B"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Whole-body hypothermia for term and near-term newborns with hypoxic-ischemic encephalopathy. Arch Pediatr Adolesc Med 2011; 165(8):692</w:t>
            </w:r>
            <w:r w:rsidR="005C2181">
              <w:rPr>
                <w:rFonts w:eastAsia="Times New Roman" w:cs="Arial"/>
                <w:color w:val="000000"/>
                <w:sz w:val="21"/>
                <w:szCs w:val="21"/>
                <w:lang w:val="en-AU"/>
              </w:rPr>
              <w:t>–</w:t>
            </w:r>
            <w:r w:rsidRPr="00722F9C">
              <w:rPr>
                <w:rFonts w:eastAsia="Times New Roman" w:cs="Arial"/>
                <w:color w:val="000000"/>
                <w:sz w:val="21"/>
                <w:szCs w:val="21"/>
                <w:lang w:val="en-AU"/>
              </w:rPr>
              <w:t>700</w:t>
            </w:r>
            <w:r w:rsidR="005F435C">
              <w:rPr>
                <w:rFonts w:eastAsia="Times New Roman" w:cs="Arial"/>
                <w:color w:val="000000"/>
                <w:sz w:val="21"/>
                <w:szCs w:val="21"/>
                <w:lang w:val="en-AU"/>
              </w:rPr>
              <w:t>.</w:t>
            </w:r>
          </w:p>
        </w:tc>
      </w:tr>
      <w:tr w:rsidR="00996BE6" w:rsidRPr="00996BE6" w14:paraId="3E9F363E" w14:textId="77777777" w:rsidTr="00392788">
        <w:trPr>
          <w:cantSplit/>
          <w:trHeight w:val="165"/>
        </w:trPr>
        <w:tc>
          <w:tcPr>
            <w:tcW w:w="1212" w:type="dxa"/>
            <w:tcMar>
              <w:top w:w="0" w:type="dxa"/>
              <w:left w:w="113" w:type="dxa"/>
              <w:bottom w:w="0" w:type="dxa"/>
              <w:right w:w="113" w:type="dxa"/>
            </w:tcMar>
          </w:tcPr>
          <w:p w14:paraId="55FB4684"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IMPACT</w:t>
            </w:r>
          </w:p>
        </w:tc>
        <w:tc>
          <w:tcPr>
            <w:tcW w:w="1592" w:type="dxa"/>
            <w:tcMar>
              <w:top w:w="0" w:type="dxa"/>
              <w:left w:w="113" w:type="dxa"/>
              <w:bottom w:w="0" w:type="dxa"/>
              <w:right w:w="113" w:type="dxa"/>
            </w:tcMar>
          </w:tcPr>
          <w:p w14:paraId="23CD2B38"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M@NGO</w:t>
            </w:r>
          </w:p>
        </w:tc>
        <w:tc>
          <w:tcPr>
            <w:tcW w:w="7224" w:type="dxa"/>
            <w:tcMar>
              <w:top w:w="0" w:type="dxa"/>
              <w:left w:w="113" w:type="dxa"/>
              <w:bottom w:w="0" w:type="dxa"/>
              <w:right w:w="113" w:type="dxa"/>
            </w:tcMar>
          </w:tcPr>
          <w:p w14:paraId="10FFC116" w14:textId="5AAD19F7"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Caseload midwifery versus standard maternity care for women of any risk: M@NGO, a randomised controlled trial. Lancet 2013; 382:1723</w:t>
            </w:r>
            <w:r w:rsidR="005C2181">
              <w:rPr>
                <w:rFonts w:eastAsia="Times New Roman" w:cs="Arial"/>
                <w:color w:val="000000"/>
                <w:sz w:val="21"/>
                <w:szCs w:val="21"/>
                <w:lang w:val="en-AU"/>
              </w:rPr>
              <w:t>–</w:t>
            </w:r>
            <w:r w:rsidRPr="00722F9C">
              <w:rPr>
                <w:rFonts w:eastAsia="Times New Roman" w:cs="Arial"/>
                <w:color w:val="000000"/>
                <w:sz w:val="21"/>
                <w:szCs w:val="21"/>
                <w:lang w:val="en-AU"/>
              </w:rPr>
              <w:t>32</w:t>
            </w:r>
            <w:r w:rsidR="005F435C">
              <w:rPr>
                <w:rFonts w:eastAsia="Times New Roman" w:cs="Arial"/>
                <w:color w:val="000000"/>
                <w:sz w:val="21"/>
                <w:szCs w:val="21"/>
                <w:lang w:val="en-AU"/>
              </w:rPr>
              <w:t>.</w:t>
            </w:r>
          </w:p>
        </w:tc>
      </w:tr>
      <w:tr w:rsidR="00996BE6" w:rsidRPr="00996BE6" w14:paraId="37D31B79" w14:textId="77777777" w:rsidTr="00392788">
        <w:trPr>
          <w:cantSplit/>
          <w:trHeight w:val="1035"/>
        </w:trPr>
        <w:tc>
          <w:tcPr>
            <w:tcW w:w="1212" w:type="dxa"/>
            <w:tcMar>
              <w:top w:w="0" w:type="dxa"/>
              <w:left w:w="113" w:type="dxa"/>
              <w:bottom w:w="0" w:type="dxa"/>
              <w:right w:w="113" w:type="dxa"/>
            </w:tcMar>
          </w:tcPr>
          <w:p w14:paraId="7CF0CCC6"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IMPACT</w:t>
            </w:r>
          </w:p>
        </w:tc>
        <w:tc>
          <w:tcPr>
            <w:tcW w:w="1592" w:type="dxa"/>
            <w:tcMar>
              <w:top w:w="0" w:type="dxa"/>
              <w:left w:w="113" w:type="dxa"/>
              <w:bottom w:w="0" w:type="dxa"/>
              <w:right w:w="113" w:type="dxa"/>
            </w:tcMar>
          </w:tcPr>
          <w:p w14:paraId="3CECC97B"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MAP</w:t>
            </w:r>
          </w:p>
        </w:tc>
        <w:tc>
          <w:tcPr>
            <w:tcW w:w="7224" w:type="dxa"/>
            <w:tcMar>
              <w:top w:w="0" w:type="dxa"/>
              <w:left w:w="113" w:type="dxa"/>
              <w:bottom w:w="0" w:type="dxa"/>
              <w:right w:w="113" w:type="dxa"/>
            </w:tcMar>
          </w:tcPr>
          <w:p w14:paraId="62FA4FC5" w14:textId="3DCA048E"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 xml:space="preserve">Management of asthma in pregnancy guided by measurement of fraction of exhaled nitric oxide: a double-blind, randomised controlled trial. </w:t>
            </w:r>
            <w:r w:rsidRPr="00392788">
              <w:rPr>
                <w:rFonts w:eastAsia="Times New Roman" w:cs="Arial"/>
                <w:color w:val="000000"/>
                <w:sz w:val="21"/>
                <w:szCs w:val="21"/>
                <w:lang w:val="en-AU"/>
              </w:rPr>
              <w:br/>
              <w:t>Lancet 2011</w:t>
            </w:r>
            <w:r w:rsidR="006175A9" w:rsidRPr="00392788">
              <w:rPr>
                <w:rFonts w:eastAsia="Times New Roman" w:cs="Arial"/>
                <w:color w:val="000000"/>
                <w:sz w:val="21"/>
                <w:szCs w:val="21"/>
                <w:lang w:val="en-AU"/>
              </w:rPr>
              <w:t>;</w:t>
            </w:r>
            <w:r w:rsidRPr="00392788">
              <w:rPr>
                <w:rFonts w:eastAsia="Times New Roman" w:cs="Arial"/>
                <w:color w:val="000000"/>
                <w:sz w:val="21"/>
                <w:szCs w:val="21"/>
                <w:lang w:val="en-AU"/>
              </w:rPr>
              <w:t xml:space="preserve"> 378:983</w:t>
            </w:r>
            <w:r w:rsidR="005C2181">
              <w:rPr>
                <w:rFonts w:eastAsia="Times New Roman" w:cs="Arial"/>
                <w:color w:val="000000"/>
                <w:sz w:val="21"/>
                <w:szCs w:val="21"/>
                <w:lang w:val="en-AU"/>
              </w:rPr>
              <w:t>–</w:t>
            </w:r>
            <w:r w:rsidRPr="00722F9C">
              <w:rPr>
                <w:rFonts w:eastAsia="Times New Roman" w:cs="Arial"/>
                <w:color w:val="000000"/>
                <w:sz w:val="21"/>
                <w:szCs w:val="21"/>
                <w:lang w:val="en-AU"/>
              </w:rPr>
              <w:t>90</w:t>
            </w:r>
            <w:r w:rsidR="005F435C">
              <w:rPr>
                <w:rFonts w:eastAsia="Times New Roman" w:cs="Arial"/>
                <w:color w:val="000000"/>
                <w:sz w:val="21"/>
                <w:szCs w:val="21"/>
                <w:lang w:val="en-AU"/>
              </w:rPr>
              <w:t>.</w:t>
            </w:r>
          </w:p>
        </w:tc>
      </w:tr>
      <w:tr w:rsidR="00996BE6" w:rsidRPr="00996BE6" w14:paraId="0313F942" w14:textId="77777777" w:rsidTr="00392788">
        <w:trPr>
          <w:cantSplit/>
          <w:trHeight w:val="165"/>
        </w:trPr>
        <w:tc>
          <w:tcPr>
            <w:tcW w:w="1212" w:type="dxa"/>
            <w:tcMar>
              <w:top w:w="0" w:type="dxa"/>
              <w:left w:w="113" w:type="dxa"/>
              <w:bottom w:w="0" w:type="dxa"/>
              <w:right w:w="113" w:type="dxa"/>
            </w:tcMar>
          </w:tcPr>
          <w:p w14:paraId="38D1C1CE"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IMPACT</w:t>
            </w:r>
          </w:p>
        </w:tc>
        <w:tc>
          <w:tcPr>
            <w:tcW w:w="1592" w:type="dxa"/>
            <w:tcMar>
              <w:top w:w="0" w:type="dxa"/>
              <w:left w:w="113" w:type="dxa"/>
              <w:bottom w:w="0" w:type="dxa"/>
              <w:right w:w="113" w:type="dxa"/>
            </w:tcMar>
          </w:tcPr>
          <w:p w14:paraId="6204D54C"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PPROMT</w:t>
            </w:r>
          </w:p>
        </w:tc>
        <w:tc>
          <w:tcPr>
            <w:tcW w:w="7224" w:type="dxa"/>
            <w:tcMar>
              <w:top w:w="0" w:type="dxa"/>
              <w:left w:w="113" w:type="dxa"/>
              <w:bottom w:w="0" w:type="dxa"/>
              <w:right w:w="113" w:type="dxa"/>
            </w:tcMar>
          </w:tcPr>
          <w:p w14:paraId="6E77C02A" w14:textId="0A1D7DAD"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Immediate delivery compared with expectant management after preterm pre-labour rupture of the membranes close to term (PPROMT trial): a randomised controlled trial. Lancet 2015; 387: 444–52</w:t>
            </w:r>
            <w:r w:rsidR="005F435C">
              <w:rPr>
                <w:rFonts w:eastAsia="Times New Roman" w:cs="Arial"/>
                <w:color w:val="000000"/>
                <w:sz w:val="21"/>
                <w:szCs w:val="21"/>
                <w:lang w:val="en-AU"/>
              </w:rPr>
              <w:t>.</w:t>
            </w:r>
          </w:p>
        </w:tc>
      </w:tr>
      <w:tr w:rsidR="00996BE6" w:rsidRPr="00996BE6" w14:paraId="26D42DAB" w14:textId="77777777" w:rsidTr="00392788">
        <w:trPr>
          <w:cantSplit/>
          <w:trHeight w:val="165"/>
        </w:trPr>
        <w:tc>
          <w:tcPr>
            <w:tcW w:w="1212" w:type="dxa"/>
            <w:tcMar>
              <w:top w:w="0" w:type="dxa"/>
              <w:left w:w="113" w:type="dxa"/>
              <w:bottom w:w="0" w:type="dxa"/>
              <w:right w:w="113" w:type="dxa"/>
            </w:tcMar>
          </w:tcPr>
          <w:p w14:paraId="304DFEF7"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IMPACT</w:t>
            </w:r>
          </w:p>
        </w:tc>
        <w:tc>
          <w:tcPr>
            <w:tcW w:w="1592" w:type="dxa"/>
            <w:tcMar>
              <w:top w:w="0" w:type="dxa"/>
              <w:left w:w="113" w:type="dxa"/>
              <w:bottom w:w="0" w:type="dxa"/>
              <w:right w:w="113" w:type="dxa"/>
            </w:tcMar>
          </w:tcPr>
          <w:p w14:paraId="3B3B2718"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VIBES+</w:t>
            </w:r>
          </w:p>
        </w:tc>
        <w:tc>
          <w:tcPr>
            <w:tcW w:w="7224" w:type="dxa"/>
            <w:tcMar>
              <w:top w:w="0" w:type="dxa"/>
              <w:left w:w="113" w:type="dxa"/>
              <w:bottom w:w="0" w:type="dxa"/>
              <w:right w:w="113" w:type="dxa"/>
            </w:tcMar>
          </w:tcPr>
          <w:p w14:paraId="67579AA2" w14:textId="286B1144" w:rsidR="00060594" w:rsidRPr="00392788" w:rsidRDefault="00060594" w:rsidP="00D705D8">
            <w:pPr>
              <w:spacing w:line="240" w:lineRule="auto"/>
              <w:rPr>
                <w:rFonts w:cs="Arial"/>
                <w:sz w:val="21"/>
                <w:szCs w:val="21"/>
                <w:lang w:val="en-AU"/>
              </w:rPr>
            </w:pPr>
            <w:r w:rsidRPr="00392788">
              <w:rPr>
                <w:rFonts w:eastAsia="Times New Roman" w:cs="Arial"/>
                <w:color w:val="000000"/>
                <w:sz w:val="21"/>
                <w:szCs w:val="21"/>
                <w:lang w:val="en-AU"/>
              </w:rPr>
              <w:t xml:space="preserve">Preventive care at home for very preterm infants improves infant and caregiver outcomes at </w:t>
            </w:r>
            <w:r w:rsidR="00D705D8" w:rsidRPr="00392788">
              <w:rPr>
                <w:rFonts w:eastAsia="Times New Roman" w:cs="Arial"/>
                <w:color w:val="000000"/>
                <w:sz w:val="21"/>
                <w:szCs w:val="21"/>
                <w:lang w:val="en-AU"/>
              </w:rPr>
              <w:t xml:space="preserve">two </w:t>
            </w:r>
            <w:r w:rsidRPr="00392788">
              <w:rPr>
                <w:rFonts w:eastAsia="Times New Roman" w:cs="Arial"/>
                <w:color w:val="000000"/>
                <w:sz w:val="21"/>
                <w:szCs w:val="21"/>
                <w:lang w:val="en-AU"/>
              </w:rPr>
              <w:t>years. Pediatrics 2010; 126:e171</w:t>
            </w:r>
            <w:r w:rsidR="005C2181">
              <w:rPr>
                <w:rFonts w:eastAsia="Times New Roman" w:cs="Arial"/>
                <w:color w:val="000000"/>
                <w:sz w:val="21"/>
                <w:szCs w:val="21"/>
                <w:lang w:val="en-AU"/>
              </w:rPr>
              <w:t>–</w:t>
            </w:r>
            <w:r w:rsidRPr="00722F9C">
              <w:rPr>
                <w:rFonts w:eastAsia="Times New Roman" w:cs="Arial"/>
                <w:color w:val="000000"/>
                <w:sz w:val="21"/>
                <w:szCs w:val="21"/>
                <w:lang w:val="en-AU"/>
              </w:rPr>
              <w:t>e178</w:t>
            </w:r>
            <w:r w:rsidR="005F435C">
              <w:rPr>
                <w:rFonts w:eastAsia="Times New Roman" w:cs="Arial"/>
                <w:color w:val="000000"/>
                <w:sz w:val="21"/>
                <w:szCs w:val="21"/>
                <w:lang w:val="en-AU"/>
              </w:rPr>
              <w:t>.</w:t>
            </w:r>
          </w:p>
        </w:tc>
      </w:tr>
      <w:tr w:rsidR="00996BE6" w:rsidRPr="00996BE6" w14:paraId="44CC0557" w14:textId="77777777" w:rsidTr="00392788">
        <w:trPr>
          <w:cantSplit/>
          <w:trHeight w:val="165"/>
        </w:trPr>
        <w:tc>
          <w:tcPr>
            <w:tcW w:w="1212" w:type="dxa"/>
            <w:tcMar>
              <w:top w:w="0" w:type="dxa"/>
              <w:left w:w="113" w:type="dxa"/>
              <w:bottom w:w="0" w:type="dxa"/>
              <w:right w:w="113" w:type="dxa"/>
            </w:tcMar>
          </w:tcPr>
          <w:p w14:paraId="00E5BEB9"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ANZICS CTG</w:t>
            </w:r>
          </w:p>
        </w:tc>
        <w:tc>
          <w:tcPr>
            <w:tcW w:w="1592" w:type="dxa"/>
            <w:tcMar>
              <w:top w:w="0" w:type="dxa"/>
              <w:left w:w="113" w:type="dxa"/>
              <w:bottom w:w="0" w:type="dxa"/>
              <w:right w:w="113" w:type="dxa"/>
            </w:tcMar>
          </w:tcPr>
          <w:p w14:paraId="08D26E31"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ARISE</w:t>
            </w:r>
          </w:p>
        </w:tc>
        <w:tc>
          <w:tcPr>
            <w:tcW w:w="7224" w:type="dxa"/>
            <w:tcMar>
              <w:top w:w="0" w:type="dxa"/>
              <w:left w:w="113" w:type="dxa"/>
              <w:bottom w:w="0" w:type="dxa"/>
              <w:right w:w="113" w:type="dxa"/>
            </w:tcMar>
          </w:tcPr>
          <w:p w14:paraId="0BD9FD03" w14:textId="2E82391E"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Goal-directed resuscitation for patients with early septic shock. N Engl J Med 2014; 371:1496</w:t>
            </w:r>
            <w:r w:rsidR="005C2181">
              <w:rPr>
                <w:rFonts w:eastAsia="Times New Roman" w:cs="Arial"/>
                <w:color w:val="000000"/>
                <w:sz w:val="21"/>
                <w:szCs w:val="21"/>
                <w:lang w:val="en-AU"/>
              </w:rPr>
              <w:t>–</w:t>
            </w:r>
            <w:r w:rsidRPr="00722F9C">
              <w:rPr>
                <w:rFonts w:eastAsia="Times New Roman" w:cs="Arial"/>
                <w:color w:val="000000"/>
                <w:sz w:val="21"/>
                <w:szCs w:val="21"/>
                <w:lang w:val="en-AU"/>
              </w:rPr>
              <w:t>506</w:t>
            </w:r>
            <w:r w:rsidR="005F435C">
              <w:rPr>
                <w:rFonts w:eastAsia="Times New Roman" w:cs="Arial"/>
                <w:color w:val="000000"/>
                <w:sz w:val="21"/>
                <w:szCs w:val="21"/>
                <w:lang w:val="en-AU"/>
              </w:rPr>
              <w:t>.</w:t>
            </w:r>
          </w:p>
        </w:tc>
      </w:tr>
      <w:tr w:rsidR="00996BE6" w:rsidRPr="00996BE6" w14:paraId="77EA5043" w14:textId="77777777" w:rsidTr="00392788">
        <w:trPr>
          <w:cantSplit/>
          <w:trHeight w:val="165"/>
        </w:trPr>
        <w:tc>
          <w:tcPr>
            <w:tcW w:w="1212" w:type="dxa"/>
            <w:tcMar>
              <w:top w:w="0" w:type="dxa"/>
              <w:left w:w="113" w:type="dxa"/>
              <w:bottom w:w="0" w:type="dxa"/>
              <w:right w:w="113" w:type="dxa"/>
            </w:tcMar>
          </w:tcPr>
          <w:p w14:paraId="61F5A100"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ANZICS CTG</w:t>
            </w:r>
          </w:p>
        </w:tc>
        <w:tc>
          <w:tcPr>
            <w:tcW w:w="1592" w:type="dxa"/>
            <w:tcMar>
              <w:top w:w="0" w:type="dxa"/>
              <w:left w:w="113" w:type="dxa"/>
              <w:bottom w:w="0" w:type="dxa"/>
              <w:right w:w="113" w:type="dxa"/>
            </w:tcMar>
          </w:tcPr>
          <w:p w14:paraId="272E5C9C"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CHEST</w:t>
            </w:r>
          </w:p>
        </w:tc>
        <w:tc>
          <w:tcPr>
            <w:tcW w:w="7224" w:type="dxa"/>
            <w:tcMar>
              <w:top w:w="0" w:type="dxa"/>
              <w:left w:w="113" w:type="dxa"/>
              <w:bottom w:w="0" w:type="dxa"/>
              <w:right w:w="113" w:type="dxa"/>
            </w:tcMar>
          </w:tcPr>
          <w:p w14:paraId="38A39DD2" w14:textId="54D5FE73"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Hydroxyethyl starch or saline for fluid resuscitation in intensive care.</w:t>
            </w:r>
            <w:r w:rsidR="0096241B" w:rsidRPr="00392788">
              <w:rPr>
                <w:rFonts w:eastAsia="Times New Roman" w:cs="Arial"/>
                <w:color w:val="000000"/>
                <w:sz w:val="21"/>
                <w:szCs w:val="21"/>
                <w:lang w:val="en-AU"/>
              </w:rPr>
              <w:t xml:space="preserve"> </w:t>
            </w:r>
            <w:r w:rsidRPr="00392788">
              <w:rPr>
                <w:rFonts w:eastAsia="Times New Roman" w:cs="Arial"/>
                <w:color w:val="000000"/>
                <w:sz w:val="21"/>
                <w:szCs w:val="21"/>
                <w:lang w:val="en-AU"/>
              </w:rPr>
              <w:t>N Engl J Med 2012;</w:t>
            </w:r>
            <w:r w:rsidR="006175A9" w:rsidRPr="00392788">
              <w:rPr>
                <w:rFonts w:eastAsia="Times New Roman" w:cs="Arial"/>
                <w:color w:val="000000"/>
                <w:sz w:val="21"/>
                <w:szCs w:val="21"/>
                <w:lang w:val="en-AU"/>
              </w:rPr>
              <w:t xml:space="preserve"> </w:t>
            </w:r>
            <w:r w:rsidRPr="00392788">
              <w:rPr>
                <w:rFonts w:eastAsia="Times New Roman" w:cs="Arial"/>
                <w:color w:val="000000"/>
                <w:sz w:val="21"/>
                <w:szCs w:val="21"/>
                <w:lang w:val="en-AU"/>
              </w:rPr>
              <w:t>367:1901</w:t>
            </w:r>
            <w:r w:rsidR="005C2181">
              <w:rPr>
                <w:rFonts w:eastAsia="Times New Roman" w:cs="Arial"/>
                <w:color w:val="000000"/>
                <w:sz w:val="21"/>
                <w:szCs w:val="21"/>
                <w:lang w:val="en-AU"/>
              </w:rPr>
              <w:t>–</w:t>
            </w:r>
            <w:r w:rsidRPr="00722F9C">
              <w:rPr>
                <w:rFonts w:eastAsia="Times New Roman" w:cs="Arial"/>
                <w:color w:val="000000"/>
                <w:sz w:val="21"/>
                <w:szCs w:val="21"/>
                <w:lang w:val="en-AU"/>
              </w:rPr>
              <w:t>11</w:t>
            </w:r>
            <w:r w:rsidR="005F435C">
              <w:rPr>
                <w:rFonts w:eastAsia="Times New Roman" w:cs="Arial"/>
                <w:color w:val="000000"/>
                <w:sz w:val="21"/>
                <w:szCs w:val="21"/>
                <w:lang w:val="en-AU"/>
              </w:rPr>
              <w:t>.</w:t>
            </w:r>
          </w:p>
        </w:tc>
      </w:tr>
      <w:tr w:rsidR="00996BE6" w:rsidRPr="00996BE6" w14:paraId="0B2248E6" w14:textId="77777777" w:rsidTr="00392788">
        <w:trPr>
          <w:cantSplit/>
          <w:trHeight w:val="165"/>
        </w:trPr>
        <w:tc>
          <w:tcPr>
            <w:tcW w:w="1212" w:type="dxa"/>
            <w:tcMar>
              <w:top w:w="0" w:type="dxa"/>
              <w:left w:w="113" w:type="dxa"/>
              <w:bottom w:w="0" w:type="dxa"/>
              <w:right w:w="113" w:type="dxa"/>
            </w:tcMar>
          </w:tcPr>
          <w:p w14:paraId="73160569"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ANZICS CTG</w:t>
            </w:r>
          </w:p>
        </w:tc>
        <w:tc>
          <w:tcPr>
            <w:tcW w:w="1592" w:type="dxa"/>
            <w:tcMar>
              <w:top w:w="0" w:type="dxa"/>
              <w:left w:w="113" w:type="dxa"/>
              <w:bottom w:w="0" w:type="dxa"/>
              <w:right w:w="113" w:type="dxa"/>
            </w:tcMar>
          </w:tcPr>
          <w:p w14:paraId="2EDA7CB7"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DECRA</w:t>
            </w:r>
          </w:p>
        </w:tc>
        <w:tc>
          <w:tcPr>
            <w:tcW w:w="7224" w:type="dxa"/>
            <w:tcMar>
              <w:top w:w="0" w:type="dxa"/>
              <w:left w:w="113" w:type="dxa"/>
              <w:bottom w:w="0" w:type="dxa"/>
              <w:right w:w="113" w:type="dxa"/>
            </w:tcMar>
          </w:tcPr>
          <w:p w14:paraId="0EEF3DCB" w14:textId="308F77B7"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Decompressive Craniectomy in Diffuse Traumatic Brain Injury. N Engl J Med 2011;</w:t>
            </w:r>
            <w:r w:rsidR="006175A9" w:rsidRPr="00392788">
              <w:rPr>
                <w:rFonts w:eastAsia="Times New Roman" w:cs="Arial"/>
                <w:color w:val="000000"/>
                <w:sz w:val="21"/>
                <w:szCs w:val="21"/>
                <w:lang w:val="en-AU"/>
              </w:rPr>
              <w:t xml:space="preserve"> </w:t>
            </w:r>
            <w:r w:rsidRPr="00392788">
              <w:rPr>
                <w:rFonts w:eastAsia="Times New Roman" w:cs="Arial"/>
                <w:color w:val="000000"/>
                <w:sz w:val="21"/>
                <w:szCs w:val="21"/>
                <w:lang w:val="en-AU"/>
              </w:rPr>
              <w:t>364:1493</w:t>
            </w:r>
            <w:r w:rsidR="005F435C">
              <w:rPr>
                <w:rFonts w:eastAsia="Times New Roman" w:cs="Arial"/>
                <w:color w:val="000000"/>
                <w:sz w:val="21"/>
                <w:szCs w:val="21"/>
                <w:lang w:val="en-AU"/>
              </w:rPr>
              <w:t>.</w:t>
            </w:r>
          </w:p>
        </w:tc>
      </w:tr>
      <w:tr w:rsidR="00996BE6" w:rsidRPr="00996BE6" w14:paraId="39A7C68E" w14:textId="77777777" w:rsidTr="00392788">
        <w:trPr>
          <w:cantSplit/>
          <w:trHeight w:val="165"/>
        </w:trPr>
        <w:tc>
          <w:tcPr>
            <w:tcW w:w="1212" w:type="dxa"/>
            <w:tcMar>
              <w:top w:w="0" w:type="dxa"/>
              <w:left w:w="113" w:type="dxa"/>
              <w:bottom w:w="0" w:type="dxa"/>
              <w:right w:w="113" w:type="dxa"/>
            </w:tcMar>
          </w:tcPr>
          <w:p w14:paraId="3D536337"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ANZICS CTG</w:t>
            </w:r>
          </w:p>
        </w:tc>
        <w:tc>
          <w:tcPr>
            <w:tcW w:w="1592" w:type="dxa"/>
            <w:tcMar>
              <w:top w:w="0" w:type="dxa"/>
              <w:left w:w="113" w:type="dxa"/>
              <w:bottom w:w="0" w:type="dxa"/>
              <w:right w:w="113" w:type="dxa"/>
            </w:tcMar>
          </w:tcPr>
          <w:p w14:paraId="43120FA5"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EPO-TBI</w:t>
            </w:r>
          </w:p>
        </w:tc>
        <w:tc>
          <w:tcPr>
            <w:tcW w:w="7224" w:type="dxa"/>
            <w:tcMar>
              <w:top w:w="0" w:type="dxa"/>
              <w:left w:w="113" w:type="dxa"/>
              <w:bottom w:w="0" w:type="dxa"/>
              <w:right w:w="113" w:type="dxa"/>
            </w:tcMar>
          </w:tcPr>
          <w:p w14:paraId="26EEFE8A" w14:textId="0AF07D94"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rPr>
              <w:t>Erythropoietin in traumatic brain injury (EPO-TBI): a double-blind randomised controlled trial. Lancet 2015; 386: 2499</w:t>
            </w:r>
            <w:r w:rsidR="005C2181">
              <w:rPr>
                <w:rFonts w:eastAsia="Times New Roman" w:cs="Arial"/>
                <w:color w:val="000000"/>
                <w:sz w:val="21"/>
                <w:szCs w:val="21"/>
              </w:rPr>
              <w:t>–</w:t>
            </w:r>
            <w:r w:rsidRPr="00722F9C">
              <w:rPr>
                <w:rFonts w:eastAsia="Times New Roman" w:cs="Arial"/>
                <w:color w:val="000000"/>
                <w:sz w:val="21"/>
                <w:szCs w:val="21"/>
              </w:rPr>
              <w:t>506</w:t>
            </w:r>
            <w:r w:rsidR="005F435C">
              <w:rPr>
                <w:rFonts w:eastAsia="Times New Roman" w:cs="Arial"/>
                <w:color w:val="000000"/>
                <w:sz w:val="21"/>
                <w:szCs w:val="21"/>
              </w:rPr>
              <w:t>.</w:t>
            </w:r>
          </w:p>
        </w:tc>
      </w:tr>
      <w:tr w:rsidR="00996BE6" w:rsidRPr="00996BE6" w14:paraId="39A51C32" w14:textId="77777777" w:rsidTr="00392788">
        <w:trPr>
          <w:cantSplit/>
          <w:trHeight w:val="556"/>
        </w:trPr>
        <w:tc>
          <w:tcPr>
            <w:tcW w:w="1212" w:type="dxa"/>
            <w:tcMar>
              <w:top w:w="0" w:type="dxa"/>
              <w:left w:w="113" w:type="dxa"/>
              <w:bottom w:w="0" w:type="dxa"/>
              <w:right w:w="113" w:type="dxa"/>
            </w:tcMar>
          </w:tcPr>
          <w:p w14:paraId="747907EE"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ANZICS CTG</w:t>
            </w:r>
          </w:p>
        </w:tc>
        <w:tc>
          <w:tcPr>
            <w:tcW w:w="1592" w:type="dxa"/>
            <w:tcMar>
              <w:top w:w="0" w:type="dxa"/>
              <w:left w:w="113" w:type="dxa"/>
              <w:bottom w:w="0" w:type="dxa"/>
              <w:right w:w="113" w:type="dxa"/>
            </w:tcMar>
          </w:tcPr>
          <w:p w14:paraId="62322733"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NICE-SUGAR</w:t>
            </w:r>
          </w:p>
        </w:tc>
        <w:tc>
          <w:tcPr>
            <w:tcW w:w="7224" w:type="dxa"/>
            <w:tcMar>
              <w:top w:w="0" w:type="dxa"/>
              <w:left w:w="113" w:type="dxa"/>
              <w:bottom w:w="0" w:type="dxa"/>
              <w:right w:w="113" w:type="dxa"/>
            </w:tcMar>
          </w:tcPr>
          <w:p w14:paraId="3916C58A" w14:textId="470E3EED" w:rsidR="00060594" w:rsidRPr="00392788" w:rsidRDefault="00060594" w:rsidP="00CC6641">
            <w:pPr>
              <w:spacing w:line="240" w:lineRule="auto"/>
              <w:rPr>
                <w:rFonts w:cs="Arial"/>
                <w:sz w:val="21"/>
                <w:szCs w:val="21"/>
                <w:lang w:val="en-AU"/>
              </w:rPr>
            </w:pPr>
            <w:r w:rsidRPr="00392788">
              <w:rPr>
                <w:rFonts w:eastAsia="Times New Roman" w:cs="Arial"/>
                <w:color w:val="000000"/>
                <w:sz w:val="21"/>
                <w:szCs w:val="21"/>
                <w:lang w:val="en-AU"/>
              </w:rPr>
              <w:t>Intensive versus Conventional Glucose Control in Critically Ill Patients.</w:t>
            </w:r>
            <w:r w:rsidR="00643275" w:rsidRPr="00392788">
              <w:rPr>
                <w:rFonts w:eastAsia="Times New Roman" w:cs="Arial"/>
                <w:color w:val="000000"/>
                <w:sz w:val="21"/>
                <w:szCs w:val="21"/>
                <w:lang w:val="en-AU"/>
              </w:rPr>
              <w:t xml:space="preserve"> </w:t>
            </w:r>
            <w:r w:rsidRPr="00392788">
              <w:rPr>
                <w:rFonts w:eastAsia="Times New Roman" w:cs="Arial"/>
                <w:color w:val="000000"/>
                <w:sz w:val="21"/>
                <w:szCs w:val="21"/>
                <w:lang w:val="en-AU"/>
              </w:rPr>
              <w:t>N Engl J Med 2009; 360:1283</w:t>
            </w:r>
            <w:r w:rsidR="005C2181">
              <w:rPr>
                <w:rFonts w:eastAsia="Times New Roman" w:cs="Arial"/>
                <w:color w:val="000000"/>
                <w:sz w:val="21"/>
                <w:szCs w:val="21"/>
                <w:lang w:val="en-AU"/>
              </w:rPr>
              <w:t>–</w:t>
            </w:r>
            <w:r w:rsidRPr="00722F9C">
              <w:rPr>
                <w:rFonts w:eastAsia="Times New Roman" w:cs="Arial"/>
                <w:color w:val="000000"/>
                <w:sz w:val="21"/>
                <w:szCs w:val="21"/>
                <w:lang w:val="en-AU"/>
              </w:rPr>
              <w:t>97</w:t>
            </w:r>
            <w:r w:rsidR="005F435C">
              <w:rPr>
                <w:rFonts w:eastAsia="Times New Roman" w:cs="Arial"/>
                <w:color w:val="000000"/>
                <w:sz w:val="21"/>
                <w:szCs w:val="21"/>
                <w:lang w:val="en-AU"/>
              </w:rPr>
              <w:t>.</w:t>
            </w:r>
          </w:p>
        </w:tc>
      </w:tr>
      <w:tr w:rsidR="00996BE6" w:rsidRPr="00996BE6" w14:paraId="2DCE0DDA" w14:textId="77777777" w:rsidTr="00392788">
        <w:trPr>
          <w:cantSplit/>
          <w:trHeight w:val="567"/>
        </w:trPr>
        <w:tc>
          <w:tcPr>
            <w:tcW w:w="1212" w:type="dxa"/>
            <w:tcMar>
              <w:top w:w="0" w:type="dxa"/>
              <w:left w:w="113" w:type="dxa"/>
              <w:bottom w:w="0" w:type="dxa"/>
              <w:right w:w="113" w:type="dxa"/>
            </w:tcMar>
          </w:tcPr>
          <w:p w14:paraId="0E377492"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ANZICS CTG</w:t>
            </w:r>
          </w:p>
        </w:tc>
        <w:tc>
          <w:tcPr>
            <w:tcW w:w="1592" w:type="dxa"/>
            <w:tcMar>
              <w:top w:w="0" w:type="dxa"/>
              <w:left w:w="113" w:type="dxa"/>
              <w:bottom w:w="0" w:type="dxa"/>
              <w:right w:w="113" w:type="dxa"/>
            </w:tcMar>
          </w:tcPr>
          <w:p w14:paraId="007FC6AE"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RENAL</w:t>
            </w:r>
          </w:p>
        </w:tc>
        <w:tc>
          <w:tcPr>
            <w:tcW w:w="7224" w:type="dxa"/>
            <w:tcMar>
              <w:top w:w="0" w:type="dxa"/>
              <w:left w:w="113" w:type="dxa"/>
              <w:bottom w:w="0" w:type="dxa"/>
              <w:right w:w="113" w:type="dxa"/>
            </w:tcMar>
          </w:tcPr>
          <w:p w14:paraId="40F5B92F" w14:textId="0890F1BA"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lang w:val="en-AU"/>
              </w:rPr>
              <w:t>Intensity of Continuous Renal-Replacement Therapy in Critically Ill Patients. N Engl J Med 2009;</w:t>
            </w:r>
            <w:r w:rsidR="006175A9" w:rsidRPr="00392788">
              <w:rPr>
                <w:rFonts w:eastAsia="Times New Roman" w:cs="Arial"/>
                <w:color w:val="000000"/>
                <w:sz w:val="21"/>
                <w:szCs w:val="21"/>
                <w:lang w:val="en-AU"/>
              </w:rPr>
              <w:t xml:space="preserve"> </w:t>
            </w:r>
            <w:r w:rsidRPr="00392788">
              <w:rPr>
                <w:rFonts w:eastAsia="Times New Roman" w:cs="Arial"/>
                <w:color w:val="000000"/>
                <w:sz w:val="21"/>
                <w:szCs w:val="21"/>
                <w:lang w:val="en-AU"/>
              </w:rPr>
              <w:t>361:1627</w:t>
            </w:r>
            <w:r w:rsidR="005C2181">
              <w:rPr>
                <w:rFonts w:eastAsia="Times New Roman" w:cs="Arial"/>
                <w:color w:val="000000"/>
                <w:sz w:val="21"/>
                <w:szCs w:val="21"/>
                <w:lang w:val="en-AU"/>
              </w:rPr>
              <w:t>–</w:t>
            </w:r>
            <w:r w:rsidRPr="00722F9C">
              <w:rPr>
                <w:rFonts w:eastAsia="Times New Roman" w:cs="Arial"/>
                <w:color w:val="000000"/>
                <w:sz w:val="21"/>
                <w:szCs w:val="21"/>
                <w:lang w:val="en-AU"/>
              </w:rPr>
              <w:t>38</w:t>
            </w:r>
            <w:r w:rsidR="005F435C">
              <w:rPr>
                <w:rFonts w:eastAsia="Times New Roman" w:cs="Arial"/>
                <w:color w:val="000000"/>
                <w:sz w:val="21"/>
                <w:szCs w:val="21"/>
                <w:lang w:val="en-AU"/>
              </w:rPr>
              <w:t>.</w:t>
            </w:r>
          </w:p>
        </w:tc>
      </w:tr>
      <w:tr w:rsidR="00996BE6" w:rsidRPr="00996BE6" w14:paraId="61B9195A" w14:textId="77777777" w:rsidTr="00392788">
        <w:trPr>
          <w:cantSplit/>
          <w:trHeight w:val="165"/>
        </w:trPr>
        <w:tc>
          <w:tcPr>
            <w:tcW w:w="1212" w:type="dxa"/>
            <w:tcMar>
              <w:top w:w="0" w:type="dxa"/>
              <w:left w:w="113" w:type="dxa"/>
              <w:bottom w:w="0" w:type="dxa"/>
              <w:right w:w="113" w:type="dxa"/>
            </w:tcMar>
          </w:tcPr>
          <w:p w14:paraId="54F637F7" w14:textId="77777777" w:rsidR="00060594" w:rsidRPr="00657F18" w:rsidRDefault="00060594" w:rsidP="00A10702">
            <w:pPr>
              <w:spacing w:line="240" w:lineRule="auto"/>
              <w:rPr>
                <w:rFonts w:eastAsia="Times New Roman" w:cs="Arial"/>
                <w:color w:val="000000"/>
                <w:sz w:val="21"/>
                <w:szCs w:val="21"/>
              </w:rPr>
            </w:pPr>
            <w:r w:rsidRPr="00657F18">
              <w:rPr>
                <w:rFonts w:eastAsia="Times New Roman" w:cs="Arial"/>
                <w:color w:val="000000"/>
                <w:sz w:val="21"/>
                <w:szCs w:val="21"/>
              </w:rPr>
              <w:t>ANZICS CTG</w:t>
            </w:r>
          </w:p>
        </w:tc>
        <w:tc>
          <w:tcPr>
            <w:tcW w:w="1592" w:type="dxa"/>
            <w:tcMar>
              <w:top w:w="0" w:type="dxa"/>
              <w:left w:w="113" w:type="dxa"/>
              <w:bottom w:w="0" w:type="dxa"/>
              <w:right w:w="113" w:type="dxa"/>
            </w:tcMar>
          </w:tcPr>
          <w:p w14:paraId="04CDDB6C" w14:textId="77777777" w:rsidR="00060594" w:rsidRPr="00392788" w:rsidRDefault="00060594" w:rsidP="00A10702">
            <w:pPr>
              <w:spacing w:line="240" w:lineRule="auto"/>
              <w:rPr>
                <w:rFonts w:cs="Arial"/>
                <w:sz w:val="21"/>
                <w:szCs w:val="21"/>
                <w:lang w:val="en-AU"/>
              </w:rPr>
            </w:pPr>
            <w:r w:rsidRPr="00722F9C">
              <w:rPr>
                <w:rFonts w:eastAsia="Times New Roman" w:cs="Arial"/>
                <w:color w:val="000000"/>
                <w:sz w:val="21"/>
                <w:szCs w:val="21"/>
              </w:rPr>
              <w:t>SAFE</w:t>
            </w:r>
          </w:p>
        </w:tc>
        <w:tc>
          <w:tcPr>
            <w:tcW w:w="7224" w:type="dxa"/>
            <w:tcMar>
              <w:top w:w="0" w:type="dxa"/>
              <w:left w:w="113" w:type="dxa"/>
              <w:bottom w:w="0" w:type="dxa"/>
              <w:right w:w="113" w:type="dxa"/>
            </w:tcMar>
          </w:tcPr>
          <w:p w14:paraId="686765CB" w14:textId="3B962810" w:rsidR="00060594" w:rsidRPr="00392788" w:rsidRDefault="00060594" w:rsidP="00A10702">
            <w:pPr>
              <w:spacing w:line="240" w:lineRule="auto"/>
              <w:rPr>
                <w:rFonts w:cs="Arial"/>
                <w:sz w:val="21"/>
                <w:szCs w:val="21"/>
                <w:lang w:val="en-AU"/>
              </w:rPr>
            </w:pPr>
            <w:r w:rsidRPr="00392788">
              <w:rPr>
                <w:rFonts w:eastAsia="Times New Roman" w:cs="Arial"/>
                <w:color w:val="000000"/>
                <w:sz w:val="21"/>
                <w:szCs w:val="21"/>
              </w:rPr>
              <w:t>A Comparison of Albumin and Saline for Fluid Resuscitation in the Intensive Care Unit. N Engl J Med 2004; 350:2247</w:t>
            </w:r>
            <w:r w:rsidR="005C2181">
              <w:rPr>
                <w:rFonts w:eastAsia="Times New Roman" w:cs="Arial"/>
                <w:color w:val="000000"/>
                <w:sz w:val="21"/>
                <w:szCs w:val="21"/>
              </w:rPr>
              <w:t>–</w:t>
            </w:r>
            <w:r w:rsidRPr="00722F9C">
              <w:rPr>
                <w:rFonts w:eastAsia="Times New Roman" w:cs="Arial"/>
                <w:color w:val="000000"/>
                <w:sz w:val="21"/>
                <w:szCs w:val="21"/>
              </w:rPr>
              <w:t>56</w:t>
            </w:r>
            <w:r w:rsidR="005F435C">
              <w:rPr>
                <w:rFonts w:eastAsia="Times New Roman" w:cs="Arial"/>
                <w:color w:val="000000"/>
                <w:sz w:val="21"/>
                <w:szCs w:val="21"/>
              </w:rPr>
              <w:t>.</w:t>
            </w:r>
          </w:p>
        </w:tc>
      </w:tr>
    </w:tbl>
    <w:p w14:paraId="6E1E0A4C" w14:textId="5A1BCFC0" w:rsidR="00643275" w:rsidRDefault="00643275">
      <w:pPr>
        <w:spacing w:before="0" w:after="200" w:line="276" w:lineRule="auto"/>
        <w:rPr>
          <w:rFonts w:ascii="Franklin Gothic Medium" w:eastAsiaTheme="majorEastAsia" w:hAnsi="Franklin Gothic Medium" w:cstheme="majorBidi"/>
          <w:b/>
          <w:bCs/>
          <w:color w:val="2F5496" w:themeColor="accent5" w:themeShade="BF"/>
          <w:sz w:val="32"/>
          <w:szCs w:val="26"/>
        </w:rPr>
      </w:pPr>
      <w:bookmarkStart w:id="37" w:name="_Toc475279447"/>
      <w:bookmarkStart w:id="38" w:name="_Toc475279506"/>
      <w:bookmarkStart w:id="39" w:name="_Toc475279564"/>
      <w:bookmarkStart w:id="40" w:name="_Toc475279877"/>
      <w:bookmarkStart w:id="41" w:name="_Toc475350957"/>
      <w:bookmarkStart w:id="42" w:name="_Toc475352583"/>
      <w:bookmarkStart w:id="43" w:name="_Toc475352680"/>
      <w:bookmarkStart w:id="44" w:name="_Toc475352769"/>
      <w:bookmarkStart w:id="45" w:name="_Toc329424854"/>
      <w:bookmarkEnd w:id="37"/>
      <w:bookmarkEnd w:id="38"/>
      <w:bookmarkEnd w:id="39"/>
      <w:bookmarkEnd w:id="40"/>
      <w:bookmarkEnd w:id="41"/>
      <w:bookmarkEnd w:id="42"/>
      <w:bookmarkEnd w:id="43"/>
      <w:bookmarkEnd w:id="44"/>
    </w:p>
    <w:p w14:paraId="631292DB" w14:textId="61149827" w:rsidR="00A573AE" w:rsidRPr="00A573AE" w:rsidRDefault="006220D4" w:rsidP="00257D81">
      <w:pPr>
        <w:pStyle w:val="Heading2"/>
      </w:pPr>
      <w:bookmarkStart w:id="46" w:name="_Toc487184526"/>
      <w:r>
        <w:lastRenderedPageBreak/>
        <w:t>E</w:t>
      </w:r>
      <w:r w:rsidR="00A573AE" w:rsidRPr="00A573AE">
        <w:t>valuation of health and economic benefit</w:t>
      </w:r>
      <w:bookmarkEnd w:id="45"/>
      <w:bookmarkEnd w:id="46"/>
    </w:p>
    <w:p w14:paraId="437223D6" w14:textId="77777777" w:rsidR="005C2181" w:rsidRDefault="005C2181" w:rsidP="005C2181">
      <w:pPr>
        <w:pStyle w:val="Commissionbodytext"/>
      </w:pPr>
      <w:r w:rsidRPr="007B7069">
        <w:t>The evaluation foll</w:t>
      </w:r>
      <w:r>
        <w:t>owed a six-stage process to:</w:t>
      </w:r>
    </w:p>
    <w:p w14:paraId="0CD5AFB2" w14:textId="77777777" w:rsidR="005C2181" w:rsidRDefault="005C2181" w:rsidP="005C2181">
      <w:pPr>
        <w:pStyle w:val="Commissionbodytext"/>
      </w:pPr>
      <w:r>
        <w:t xml:space="preserve"> </w:t>
      </w:r>
    </w:p>
    <w:p w14:paraId="7CC2092A" w14:textId="77777777" w:rsidR="005C2181" w:rsidRPr="00657F18" w:rsidRDefault="005C2181" w:rsidP="00615DF0">
      <w:pPr>
        <w:pStyle w:val="ListNumber"/>
        <w:numPr>
          <w:ilvl w:val="0"/>
          <w:numId w:val="15"/>
        </w:numPr>
        <w:spacing w:before="0" w:after="0" w:line="276" w:lineRule="auto"/>
        <w:contextualSpacing w:val="0"/>
        <w:rPr>
          <w:lang w:val="en-AU" w:eastAsia="en-AU"/>
        </w:rPr>
      </w:pPr>
      <w:r w:rsidRPr="00657F18">
        <w:rPr>
          <w:lang w:val="en-AU" w:eastAsia="en-AU"/>
        </w:rPr>
        <w:t xml:space="preserve">Understand the potential impact of the trials on clinical practice and/or policy </w:t>
      </w:r>
    </w:p>
    <w:p w14:paraId="3AE697BB" w14:textId="77777777" w:rsidR="005C2181" w:rsidRPr="00A029E2" w:rsidRDefault="005C2181" w:rsidP="005C2181">
      <w:pPr>
        <w:pStyle w:val="ListNumber"/>
        <w:tabs>
          <w:tab w:val="clear" w:pos="360"/>
          <w:tab w:val="num" w:pos="851"/>
        </w:tabs>
        <w:spacing w:before="0" w:after="0" w:line="276" w:lineRule="auto"/>
        <w:ind w:left="357"/>
        <w:contextualSpacing w:val="0"/>
        <w:rPr>
          <w:lang w:val="en-AU" w:eastAsia="en-AU"/>
        </w:rPr>
      </w:pPr>
      <w:r w:rsidRPr="00A029E2">
        <w:rPr>
          <w:lang w:val="en-AU" w:eastAsia="en-AU"/>
        </w:rPr>
        <w:t xml:space="preserve">Identify the number of people affected if the trial findings were implemented </w:t>
      </w:r>
    </w:p>
    <w:p w14:paraId="3B57A3FF" w14:textId="77777777" w:rsidR="005C2181" w:rsidRPr="00A029E2" w:rsidRDefault="005C2181" w:rsidP="005C2181">
      <w:pPr>
        <w:pStyle w:val="ListNumber"/>
        <w:tabs>
          <w:tab w:val="clear" w:pos="360"/>
          <w:tab w:val="num" w:pos="851"/>
        </w:tabs>
        <w:spacing w:before="0" w:after="0" w:line="276" w:lineRule="auto"/>
        <w:ind w:left="357"/>
        <w:contextualSpacing w:val="0"/>
        <w:rPr>
          <w:lang w:eastAsia="en-AU"/>
        </w:rPr>
      </w:pPr>
      <w:r w:rsidRPr="00A029E2">
        <w:rPr>
          <w:lang w:eastAsia="en-AU"/>
        </w:rPr>
        <w:t>Calculate the benefit of trial findings on ongoing patient health outcomes</w:t>
      </w:r>
    </w:p>
    <w:p w14:paraId="2C3B36EB" w14:textId="77777777" w:rsidR="005C2181" w:rsidRPr="00A029E2" w:rsidRDefault="005C2181" w:rsidP="005C2181">
      <w:pPr>
        <w:pStyle w:val="ListNumber"/>
        <w:tabs>
          <w:tab w:val="clear" w:pos="360"/>
          <w:tab w:val="num" w:pos="851"/>
        </w:tabs>
        <w:spacing w:before="0" w:after="0" w:line="276" w:lineRule="auto"/>
        <w:ind w:left="357"/>
        <w:contextualSpacing w:val="0"/>
        <w:rPr>
          <w:lang w:val="en-AU" w:eastAsia="en-AU"/>
        </w:rPr>
      </w:pPr>
      <w:r w:rsidRPr="00A029E2">
        <w:rPr>
          <w:lang w:val="en-AU" w:eastAsia="en-AU"/>
        </w:rPr>
        <w:t>Calculate the benefit of trial findings on ongoing direct health service costs</w:t>
      </w:r>
    </w:p>
    <w:p w14:paraId="76B6A192" w14:textId="7385ADB5" w:rsidR="005C2181" w:rsidRDefault="005C2181" w:rsidP="005C2181">
      <w:pPr>
        <w:pStyle w:val="ListNumber"/>
        <w:tabs>
          <w:tab w:val="clear" w:pos="360"/>
          <w:tab w:val="num" w:pos="851"/>
        </w:tabs>
        <w:spacing w:before="0" w:after="0" w:line="276" w:lineRule="auto"/>
        <w:ind w:left="357"/>
        <w:contextualSpacing w:val="0"/>
        <w:rPr>
          <w:lang w:val="en-AU" w:eastAsia="en-AU"/>
        </w:rPr>
      </w:pPr>
      <w:r w:rsidRPr="00A029E2">
        <w:rPr>
          <w:lang w:val="en-AU" w:eastAsia="en-AU"/>
        </w:rPr>
        <w:t xml:space="preserve">Measure </w:t>
      </w:r>
      <w:r w:rsidRPr="00A029E2">
        <w:rPr>
          <w:rFonts w:eastAsia="Arial"/>
        </w:rPr>
        <w:t xml:space="preserve">the </w:t>
      </w:r>
      <w:r w:rsidRPr="00A029E2">
        <w:rPr>
          <w:lang w:val="en-AU" w:eastAsia="en-AU"/>
        </w:rPr>
        <w:t>benefits against clinical trial and network costs</w:t>
      </w:r>
    </w:p>
    <w:p w14:paraId="6A65FBE0" w14:textId="65F7CA18" w:rsidR="005C2181" w:rsidRPr="00657F18" w:rsidRDefault="005C2181" w:rsidP="00392788">
      <w:pPr>
        <w:pStyle w:val="ListNumber"/>
        <w:tabs>
          <w:tab w:val="clear" w:pos="360"/>
          <w:tab w:val="num" w:pos="851"/>
        </w:tabs>
        <w:spacing w:before="0" w:after="0" w:line="276" w:lineRule="auto"/>
        <w:ind w:left="357"/>
        <w:contextualSpacing w:val="0"/>
        <w:rPr>
          <w:lang w:val="en-AU" w:eastAsia="en-AU"/>
        </w:rPr>
      </w:pPr>
      <w:r w:rsidRPr="005C2181">
        <w:rPr>
          <w:lang w:val="en-AU" w:eastAsia="en-AU"/>
        </w:rPr>
        <w:t>U</w:t>
      </w:r>
      <w:r w:rsidRPr="00E1414B">
        <w:rPr>
          <w:lang w:val="en-AU" w:eastAsia="en-AU"/>
        </w:rPr>
        <w:t>ndertake sensitivity analyses to investigate what would happen to the results if assumptions changed.</w:t>
      </w:r>
    </w:p>
    <w:p w14:paraId="05694178" w14:textId="5B187225" w:rsidR="00AF6925" w:rsidRPr="00AF6925" w:rsidRDefault="006A27FF" w:rsidP="00257D81">
      <w:pPr>
        <w:pStyle w:val="Heading3"/>
      </w:pPr>
      <w:r>
        <w:t>Understanding the</w:t>
      </w:r>
      <w:r w:rsidR="00AF6925" w:rsidRPr="00AF6925">
        <w:t xml:space="preserve"> </w:t>
      </w:r>
      <w:r>
        <w:t xml:space="preserve">potential </w:t>
      </w:r>
      <w:r w:rsidR="00AF6925">
        <w:t xml:space="preserve">impact </w:t>
      </w:r>
      <w:r w:rsidR="00AF6925" w:rsidRPr="00AF6925">
        <w:t xml:space="preserve">on clinical </w:t>
      </w:r>
      <w:r w:rsidR="00AF6925">
        <w:t>practice and/or policy</w:t>
      </w:r>
    </w:p>
    <w:p w14:paraId="65D9CF1D" w14:textId="22DA2C28" w:rsidR="00B02C6E" w:rsidRPr="00AF6925" w:rsidRDefault="00B02C6E" w:rsidP="00392788">
      <w:pPr>
        <w:pStyle w:val="Commissionbodytext"/>
        <w:rPr>
          <w:lang w:val="en-GB"/>
        </w:rPr>
      </w:pPr>
      <w:r w:rsidRPr="00AF6925">
        <w:t>T</w:t>
      </w:r>
      <w:r>
        <w:t>he first step wa</w:t>
      </w:r>
      <w:r w:rsidRPr="00AF6925">
        <w:t>s to unders</w:t>
      </w:r>
      <w:r>
        <w:t>tand what effect the</w:t>
      </w:r>
      <w:r w:rsidRPr="00AF6925">
        <w:t xml:space="preserve"> clinical trial</w:t>
      </w:r>
      <w:r>
        <w:t>s</w:t>
      </w:r>
      <w:r w:rsidRPr="00AF6925">
        <w:t xml:space="preserve"> may have </w:t>
      </w:r>
      <w:r>
        <w:t xml:space="preserve">had </w:t>
      </w:r>
      <w:r w:rsidRPr="00AF6925">
        <w:t>on</w:t>
      </w:r>
      <w:r>
        <w:t xml:space="preserve"> clinical practice and what </w:t>
      </w:r>
      <w:r w:rsidR="00AD5DBF">
        <w:t xml:space="preserve">might </w:t>
      </w:r>
      <w:r>
        <w:t>have happened if the trial had not taken place. For example, if a trial identified that a recently introduced</w:t>
      </w:r>
      <w:r w:rsidRPr="00AF6925">
        <w:t xml:space="preserve"> </w:t>
      </w:r>
      <w:r>
        <w:t>treatment</w:t>
      </w:r>
      <w:r w:rsidRPr="00AF6925">
        <w:t xml:space="preserve"> was</w:t>
      </w:r>
      <w:r>
        <w:t xml:space="preserve"> unsafe for patients, this treatment may have been stopped. This would be particularly important if the treatment was already becoming a standard practice.</w:t>
      </w:r>
    </w:p>
    <w:p w14:paraId="19AC5273" w14:textId="77777777" w:rsidR="006C45FF" w:rsidRDefault="006C45FF" w:rsidP="00392788">
      <w:pPr>
        <w:pStyle w:val="Commissionbodytext"/>
        <w:rPr>
          <w:lang w:val="en-GB"/>
        </w:rPr>
      </w:pPr>
    </w:p>
    <w:p w14:paraId="09D03DE9" w14:textId="3F4D75C8" w:rsidR="00AB36F7" w:rsidRDefault="00B02C6E" w:rsidP="00392788">
      <w:pPr>
        <w:pStyle w:val="Commissionbodytext"/>
        <w:rPr>
          <w:lang w:val="en-GB"/>
        </w:rPr>
      </w:pPr>
      <w:r>
        <w:rPr>
          <w:lang w:val="en-GB"/>
        </w:rPr>
        <w:t>Since t</w:t>
      </w:r>
      <w:r w:rsidRPr="006816F0">
        <w:rPr>
          <w:lang w:val="en-GB"/>
        </w:rPr>
        <w:t xml:space="preserve">he goal </w:t>
      </w:r>
      <w:r>
        <w:rPr>
          <w:lang w:val="en-GB"/>
        </w:rPr>
        <w:t>of</w:t>
      </w:r>
      <w:r w:rsidRPr="006816F0">
        <w:rPr>
          <w:lang w:val="en-GB"/>
        </w:rPr>
        <w:t xml:space="preserve"> the analysis </w:t>
      </w:r>
      <w:r>
        <w:rPr>
          <w:lang w:val="en-GB"/>
        </w:rPr>
        <w:t>wa</w:t>
      </w:r>
      <w:r w:rsidRPr="006816F0">
        <w:rPr>
          <w:lang w:val="en-GB"/>
        </w:rPr>
        <w:t xml:space="preserve">s to determine the benefits </w:t>
      </w:r>
      <w:r>
        <w:rPr>
          <w:lang w:val="en-GB"/>
        </w:rPr>
        <w:t xml:space="preserve">relating to </w:t>
      </w:r>
      <w:r w:rsidRPr="006816F0">
        <w:rPr>
          <w:lang w:val="en-GB"/>
        </w:rPr>
        <w:t xml:space="preserve">changes in clinical practice or policy, </w:t>
      </w:r>
      <w:r>
        <w:rPr>
          <w:lang w:val="en-GB"/>
        </w:rPr>
        <w:t>the evaluation focused only on outcomes that were</w:t>
      </w:r>
      <w:r w:rsidRPr="00AF6925">
        <w:rPr>
          <w:lang w:val="en-GB"/>
        </w:rPr>
        <w:t xml:space="preserve"> explicitly measured in each </w:t>
      </w:r>
      <w:r>
        <w:rPr>
          <w:lang w:val="en-GB"/>
        </w:rPr>
        <w:t>trial and that we</w:t>
      </w:r>
      <w:r w:rsidRPr="00AF6925">
        <w:rPr>
          <w:lang w:val="en-GB"/>
        </w:rPr>
        <w:t xml:space="preserve">re considered </w:t>
      </w:r>
      <w:r>
        <w:rPr>
          <w:lang w:val="en-GB"/>
        </w:rPr>
        <w:t xml:space="preserve">to be </w:t>
      </w:r>
      <w:r w:rsidRPr="00AF6925">
        <w:rPr>
          <w:lang w:val="en-GB"/>
        </w:rPr>
        <w:t xml:space="preserve">clinically significant. </w:t>
      </w:r>
      <w:r w:rsidRPr="00D85C9B">
        <w:rPr>
          <w:lang w:val="en-GB"/>
        </w:rPr>
        <w:t xml:space="preserve">That is, the difference </w:t>
      </w:r>
      <w:r>
        <w:rPr>
          <w:lang w:val="en-GB"/>
        </w:rPr>
        <w:t xml:space="preserve">in </w:t>
      </w:r>
      <w:r w:rsidRPr="00D85C9B">
        <w:rPr>
          <w:lang w:val="en-GB"/>
        </w:rPr>
        <w:t>treatment</w:t>
      </w:r>
      <w:r>
        <w:rPr>
          <w:lang w:val="en-GB"/>
        </w:rPr>
        <w:t xml:space="preserve"> outcomes</w:t>
      </w:r>
      <w:r w:rsidRPr="00D85C9B">
        <w:rPr>
          <w:lang w:val="en-GB"/>
        </w:rPr>
        <w:t xml:space="preserve"> </w:t>
      </w:r>
      <w:r>
        <w:rPr>
          <w:lang w:val="en-GB"/>
        </w:rPr>
        <w:t>had to be</w:t>
      </w:r>
      <w:r w:rsidRPr="00D85C9B">
        <w:rPr>
          <w:lang w:val="en-GB"/>
        </w:rPr>
        <w:t xml:space="preserve"> large enough that most clinicians would consider altering their practice based on the results</w:t>
      </w:r>
      <w:r>
        <w:rPr>
          <w:lang w:val="en-GB"/>
        </w:rPr>
        <w:t xml:space="preserve">. </w:t>
      </w:r>
      <w:r w:rsidRPr="006D3B25">
        <w:t>Generally</w:t>
      </w:r>
      <w:r w:rsidR="00AB36F7">
        <w:t xml:space="preserve"> speaking</w:t>
      </w:r>
      <w:r w:rsidRPr="006D3B25">
        <w:t>,</w:t>
      </w:r>
      <w:r w:rsidR="00AB36F7">
        <w:t xml:space="preserve"> </w:t>
      </w:r>
      <w:r w:rsidR="00AB36F7" w:rsidRPr="00AB36F7">
        <w:rPr>
          <w:lang w:val="en-GB"/>
        </w:rPr>
        <w:t xml:space="preserve">statistically significant outcomes were also likely to be clinically significant. </w:t>
      </w:r>
    </w:p>
    <w:p w14:paraId="15880691" w14:textId="77777777" w:rsidR="006C45FF" w:rsidRDefault="006C45FF" w:rsidP="00392788">
      <w:pPr>
        <w:pStyle w:val="Commissionbodytext"/>
      </w:pPr>
    </w:p>
    <w:p w14:paraId="31DBC483" w14:textId="26DCBFB1" w:rsidR="00AB36F7" w:rsidRPr="00352327" w:rsidRDefault="00631ACD" w:rsidP="00392788">
      <w:pPr>
        <w:pStyle w:val="Commissionbodytext"/>
        <w:rPr>
          <w:highlight w:val="yellow"/>
          <w:lang w:val="en-GB"/>
        </w:rPr>
      </w:pPr>
      <w:r>
        <w:t xml:space="preserve">Trials </w:t>
      </w:r>
      <w:r w:rsidR="00AB36F7">
        <w:t>were included because the networks identified them as being high-impact studies</w:t>
      </w:r>
      <w:r>
        <w:t xml:space="preserve">. </w:t>
      </w:r>
      <w:r w:rsidR="00B04763">
        <w:t xml:space="preserve">Insights into </w:t>
      </w:r>
      <w:r w:rsidR="00B04763" w:rsidRPr="00AF6925">
        <w:t xml:space="preserve">clinical </w:t>
      </w:r>
      <w:r w:rsidR="00B04763">
        <w:t xml:space="preserve">impact and </w:t>
      </w:r>
      <w:r w:rsidR="00B04763" w:rsidRPr="00AF6925">
        <w:t>si</w:t>
      </w:r>
      <w:r w:rsidR="00B04763">
        <w:t>gnificance were derived from qualitative</w:t>
      </w:r>
      <w:r w:rsidR="00B04763" w:rsidRPr="00AF6925">
        <w:t xml:space="preserve"> interviews with clinicians</w:t>
      </w:r>
      <w:r w:rsidR="00B04763">
        <w:t xml:space="preserve"> and trialists</w:t>
      </w:r>
      <w:r w:rsidR="00B04763" w:rsidRPr="00AF6925">
        <w:t xml:space="preserve">, review of treatment protocols, </w:t>
      </w:r>
      <w:r w:rsidR="00B04763">
        <w:t xml:space="preserve">review of the </w:t>
      </w:r>
      <w:r w:rsidR="00B04763" w:rsidRPr="00AF6925">
        <w:t>literature (</w:t>
      </w:r>
      <w:r w:rsidR="00B04763">
        <w:t xml:space="preserve">particularly </w:t>
      </w:r>
      <w:r w:rsidR="00B04763" w:rsidRPr="00AF6925">
        <w:rPr>
          <w:lang w:val="en-GB"/>
        </w:rPr>
        <w:t xml:space="preserve">review of the </w:t>
      </w:r>
      <w:r w:rsidR="00B04763">
        <w:rPr>
          <w:lang w:val="en-GB"/>
        </w:rPr>
        <w:t>trial</w:t>
      </w:r>
      <w:r w:rsidR="00B04763" w:rsidRPr="00AF6925">
        <w:rPr>
          <w:lang w:val="en-GB"/>
        </w:rPr>
        <w:t xml:space="preserve"> paper</w:t>
      </w:r>
      <w:r w:rsidR="00B04763">
        <w:rPr>
          <w:lang w:val="en-GB"/>
        </w:rPr>
        <w:t xml:space="preserve"> and </w:t>
      </w:r>
      <w:r w:rsidR="00B04763" w:rsidRPr="00AF6925">
        <w:rPr>
          <w:lang w:val="en-GB"/>
        </w:rPr>
        <w:t>earlier</w:t>
      </w:r>
      <w:r w:rsidR="00B04763">
        <w:rPr>
          <w:lang w:val="en-GB"/>
        </w:rPr>
        <w:t xml:space="preserve"> or</w:t>
      </w:r>
      <w:r w:rsidR="00B04763" w:rsidRPr="00AF6925">
        <w:rPr>
          <w:lang w:val="en-GB"/>
        </w:rPr>
        <w:t xml:space="preserve"> associated publications</w:t>
      </w:r>
      <w:r w:rsidR="00B04763" w:rsidRPr="00AF6925">
        <w:t xml:space="preserve">) and </w:t>
      </w:r>
      <w:r w:rsidR="00B04763">
        <w:t xml:space="preserve">basic </w:t>
      </w:r>
      <w:r w:rsidR="00B04763" w:rsidRPr="00AF6925">
        <w:t xml:space="preserve">analysis of available published data on </w:t>
      </w:r>
      <w:r w:rsidR="00B04763">
        <w:t xml:space="preserve">trends in treatment practices. </w:t>
      </w:r>
      <w:r w:rsidR="00B04763">
        <w:rPr>
          <w:lang w:val="en-GB"/>
        </w:rPr>
        <w:t>This method was also followed to understand the ways in which networks support trials. Sometimes</w:t>
      </w:r>
      <w:r w:rsidR="00B04763" w:rsidRPr="006816F0">
        <w:rPr>
          <w:lang w:val="en-GB"/>
        </w:rPr>
        <w:t xml:space="preserve"> it </w:t>
      </w:r>
      <w:r w:rsidR="00B04763">
        <w:rPr>
          <w:lang w:val="en-GB"/>
        </w:rPr>
        <w:t>was also</w:t>
      </w:r>
      <w:r w:rsidR="00B04763" w:rsidRPr="006816F0">
        <w:rPr>
          <w:lang w:val="en-GB"/>
        </w:rPr>
        <w:t xml:space="preserve"> possible to verify treatment patterns through indirect routes, such as by checking the sales figures </w:t>
      </w:r>
      <w:r w:rsidR="00B04763" w:rsidRPr="00352327">
        <w:rPr>
          <w:lang w:val="en-GB"/>
        </w:rPr>
        <w:t>for treatment materials.</w:t>
      </w:r>
    </w:p>
    <w:p w14:paraId="2E5BF316" w14:textId="77777777" w:rsidR="006C45FF" w:rsidRDefault="006C45FF" w:rsidP="00392788">
      <w:pPr>
        <w:pStyle w:val="Commissionbodytext"/>
      </w:pPr>
    </w:p>
    <w:p w14:paraId="38C75591" w14:textId="476041C6" w:rsidR="00B02C6E" w:rsidRDefault="00B02C6E" w:rsidP="00392788">
      <w:pPr>
        <w:pStyle w:val="Commissionbodytext"/>
      </w:pPr>
      <w:r w:rsidRPr="006D3B25">
        <w:t>In a small number of cases clinical significance was thought to exist in spi</w:t>
      </w:r>
      <w:r>
        <w:t xml:space="preserve">te of </w:t>
      </w:r>
      <w:r w:rsidRPr="006D3B25">
        <w:t xml:space="preserve">there being no statistically significant difference in specific outcomes from the </w:t>
      </w:r>
      <w:r>
        <w:t>trial.</w:t>
      </w:r>
      <w:r w:rsidRPr="006D3B25">
        <w:t xml:space="preserve"> Clinical significance was still re</w:t>
      </w:r>
      <w:r w:rsidR="00B04763">
        <w:t xml:space="preserve">corded for these findings for several </w:t>
      </w:r>
      <w:r w:rsidRPr="006D3B25">
        <w:t>reasons:</w:t>
      </w:r>
      <w:r w:rsidR="0096241B">
        <w:t xml:space="preserve"> </w:t>
      </w:r>
      <w:r w:rsidRPr="006D3B25">
        <w:t xml:space="preserve"> </w:t>
      </w:r>
    </w:p>
    <w:p w14:paraId="52C82C82" w14:textId="77777777" w:rsidR="006C45FF" w:rsidRPr="006D3B25" w:rsidRDefault="006C45FF" w:rsidP="00392788">
      <w:pPr>
        <w:pStyle w:val="Commissionbodytext"/>
      </w:pPr>
    </w:p>
    <w:p w14:paraId="522A7AC2" w14:textId="2B439E68" w:rsidR="00B02C6E" w:rsidRPr="006D3B25" w:rsidRDefault="00B02C6E" w:rsidP="00392788">
      <w:pPr>
        <w:pStyle w:val="Commissionbullets"/>
      </w:pPr>
      <w:r w:rsidRPr="006D3B25">
        <w:t>When trial findings were joined with other parallel results, statistical significance did exist (e.g. ACTOMgSO4)</w:t>
      </w:r>
    </w:p>
    <w:p w14:paraId="42B45193" w14:textId="5C20CB6E" w:rsidR="00B02C6E" w:rsidRPr="006D3B25" w:rsidRDefault="00B02C6E" w:rsidP="00392788">
      <w:pPr>
        <w:pStyle w:val="Commissionbullets"/>
      </w:pPr>
      <w:r w:rsidRPr="006D3B25">
        <w:t xml:space="preserve">Because statistical adjustment to overcome baseline differences in the health of patients within each intervention group doesn’t affect the impact of the overall findings on clinical decision-making (e.g. DECRA) </w:t>
      </w:r>
    </w:p>
    <w:p w14:paraId="1AAA39DD" w14:textId="6CC13F4A" w:rsidR="00B02C6E" w:rsidRPr="006D3B25" w:rsidRDefault="00B02C6E" w:rsidP="00392788">
      <w:pPr>
        <w:pStyle w:val="Commissionbullets"/>
      </w:pPr>
      <w:r w:rsidRPr="006D3B25">
        <w:lastRenderedPageBreak/>
        <w:t>The trial wasn’t sufficiently powered to detect statistical difference (</w:t>
      </w:r>
      <w:r>
        <w:t xml:space="preserve">e.g. </w:t>
      </w:r>
      <w:r w:rsidRPr="006D3B25">
        <w:t xml:space="preserve">ARCH), but the clinical findings were still considered to be significant and can or have been confirmed in further study. </w:t>
      </w:r>
    </w:p>
    <w:p w14:paraId="0CCF6388" w14:textId="6B9C306A" w:rsidR="00AF6925" w:rsidRPr="00AF6925" w:rsidRDefault="00046EB8" w:rsidP="00257D81">
      <w:pPr>
        <w:pStyle w:val="Heading3"/>
      </w:pPr>
      <w:r>
        <w:t xml:space="preserve"> </w:t>
      </w:r>
      <w:r w:rsidR="00AF6925" w:rsidRPr="00AF6925">
        <w:t>Identifying the number of people affected if findings were implemented</w:t>
      </w:r>
    </w:p>
    <w:p w14:paraId="3B5D9BCF" w14:textId="5A2E0997" w:rsidR="00D42E71" w:rsidRDefault="00D42E71" w:rsidP="00392788">
      <w:pPr>
        <w:pStyle w:val="Commissionbodytext"/>
      </w:pPr>
      <w:r>
        <w:t>The next step was to estimate how many patients would be affected by the findings of each trial.</w:t>
      </w:r>
      <w:r w:rsidR="00BD68CF">
        <w:t xml:space="preserve"> </w:t>
      </w:r>
      <w:r>
        <w:t>Th</w:t>
      </w:r>
      <w:r w:rsidR="00AD5DBF">
        <w:t>at</w:t>
      </w:r>
      <w:r>
        <w:t xml:space="preserve"> is, what proportion of eligible patients (e.g. all patients who have a stroke in a year) would successfully receive the more effective intervention that was identified by the trial.</w:t>
      </w:r>
      <w:r w:rsidR="00BD68CF">
        <w:t xml:space="preserve"> </w:t>
      </w:r>
      <w:r>
        <w:t xml:space="preserve">Eligible patient data </w:t>
      </w:r>
      <w:r w:rsidR="00D44B37">
        <w:t xml:space="preserve">were </w:t>
      </w:r>
      <w:r>
        <w:t>sourced from public records, such as the Australian Institute of Health and Welfare (AIHW).</w:t>
      </w:r>
      <w:r w:rsidR="006A21B0">
        <w:t xml:space="preserve"> If this information was </w:t>
      </w:r>
      <w:r w:rsidR="006A21B0" w:rsidRPr="00664878">
        <w:t xml:space="preserve">not available, </w:t>
      </w:r>
      <w:r w:rsidR="006A21B0">
        <w:t xml:space="preserve">expected prevalence was taken </w:t>
      </w:r>
      <w:r w:rsidR="006A21B0" w:rsidRPr="00664878">
        <w:t xml:space="preserve">directly from the trial </w:t>
      </w:r>
      <w:r w:rsidR="006A21B0">
        <w:t>background data</w:t>
      </w:r>
      <w:r w:rsidR="00B04763">
        <w:t>.</w:t>
      </w:r>
    </w:p>
    <w:p w14:paraId="61E400E1" w14:textId="77777777" w:rsidR="006C45FF" w:rsidRDefault="006C45FF" w:rsidP="00392788">
      <w:pPr>
        <w:pStyle w:val="Commissionbodytext"/>
      </w:pPr>
    </w:p>
    <w:p w14:paraId="136D5D09" w14:textId="6F337169" w:rsidR="006A21B0" w:rsidRDefault="00D42E71" w:rsidP="00392788">
      <w:pPr>
        <w:pStyle w:val="Commissionbodytext"/>
        <w:rPr>
          <w:lang w:val="en-GB"/>
        </w:rPr>
      </w:pPr>
      <w:r>
        <w:t>Real</w:t>
      </w:r>
      <w:r w:rsidR="00C13D76">
        <w:t>-</w:t>
      </w:r>
      <w:r>
        <w:t xml:space="preserve">world measurement of the degree to which each of the trials’ findings have been implemented in clinical practice was beyond the scope of this report. For this reason, </w:t>
      </w:r>
      <w:r w:rsidR="00CD7029">
        <w:t>standardised</w:t>
      </w:r>
      <w:r w:rsidRPr="0082094B">
        <w:rPr>
          <w:lang w:val="en-GB"/>
        </w:rPr>
        <w:t xml:space="preserve"> </w:t>
      </w:r>
      <w:r>
        <w:rPr>
          <w:lang w:val="en-GB"/>
        </w:rPr>
        <w:t>assumptions</w:t>
      </w:r>
      <w:r w:rsidRPr="0082094B">
        <w:rPr>
          <w:lang w:val="en-GB"/>
        </w:rPr>
        <w:t xml:space="preserve"> </w:t>
      </w:r>
      <w:r>
        <w:rPr>
          <w:lang w:val="en-GB"/>
        </w:rPr>
        <w:t xml:space="preserve">were used </w:t>
      </w:r>
      <w:r w:rsidR="00CD7029">
        <w:rPr>
          <w:lang w:val="en-GB"/>
        </w:rPr>
        <w:t>to determine the potential</w:t>
      </w:r>
      <w:r w:rsidR="00B04763">
        <w:rPr>
          <w:lang w:val="en-GB"/>
        </w:rPr>
        <w:t xml:space="preserve"> size of</w:t>
      </w:r>
      <w:r w:rsidR="00121FF1">
        <w:rPr>
          <w:lang w:val="en-GB"/>
        </w:rPr>
        <w:t xml:space="preserve"> the</w:t>
      </w:r>
      <w:r w:rsidR="00B04763">
        <w:rPr>
          <w:lang w:val="en-GB"/>
        </w:rPr>
        <w:t xml:space="preserve"> impa</w:t>
      </w:r>
      <w:r w:rsidR="00CD7029">
        <w:rPr>
          <w:lang w:val="en-GB"/>
        </w:rPr>
        <w:t xml:space="preserve">ct from the included case studies. These were </w:t>
      </w:r>
      <w:r>
        <w:rPr>
          <w:lang w:val="en-GB"/>
        </w:rPr>
        <w:t>based on</w:t>
      </w:r>
      <w:r>
        <w:rPr>
          <w:b/>
          <w:bCs/>
          <w:lang w:val="en-GB"/>
        </w:rPr>
        <w:t xml:space="preserve"> </w:t>
      </w:r>
      <w:r w:rsidRPr="00121FF1">
        <w:rPr>
          <w:rStyle w:val="Strong"/>
          <w:b w:val="0"/>
        </w:rPr>
        <w:t>the lifetime impact of trial findings on 65% of the patients who would be eligible to receive the trial intervention in any one year</w:t>
      </w:r>
      <w:r w:rsidRPr="00915516">
        <w:rPr>
          <w:rStyle w:val="Strong"/>
        </w:rPr>
        <w:t>.</w:t>
      </w:r>
      <w:r w:rsidRPr="00AF6925">
        <w:rPr>
          <w:vertAlign w:val="superscript"/>
          <w:lang w:val="en-GB"/>
        </w:rPr>
        <w:footnoteReference w:id="10"/>
      </w:r>
      <w:r>
        <w:rPr>
          <w:lang w:val="en-GB"/>
        </w:rPr>
        <w:t xml:space="preserve"> </w:t>
      </w:r>
    </w:p>
    <w:p w14:paraId="02EBA2EA" w14:textId="77777777" w:rsidR="006C45FF" w:rsidRDefault="006C45FF" w:rsidP="00392788">
      <w:pPr>
        <w:pStyle w:val="Commissionbodytext"/>
      </w:pPr>
    </w:p>
    <w:p w14:paraId="65CC7AFB" w14:textId="4BF844A4" w:rsidR="006A21B0" w:rsidRDefault="006A21B0" w:rsidP="00392788">
      <w:pPr>
        <w:pStyle w:val="Commissionbodytext"/>
        <w:rPr>
          <w:lang w:val="en-GB"/>
        </w:rPr>
      </w:pPr>
      <w:r>
        <w:t>The lifetime benefit for patients means that if 10 people, each aged 70, were expected to have an illness each year, then each of these 10 people were included in the evaluation and benefits were calculated over their remaining life expectancy (15.5 years from Australian Bureau of Statistics data).</w:t>
      </w:r>
      <w:r w:rsidR="0096241B">
        <w:t xml:space="preserve"> </w:t>
      </w:r>
      <w:r>
        <w:rPr>
          <w:lang w:val="en-GB"/>
        </w:rPr>
        <w:tab/>
      </w:r>
    </w:p>
    <w:p w14:paraId="657DCF9E" w14:textId="77777777" w:rsidR="006C45FF" w:rsidRDefault="006C45FF" w:rsidP="00392788">
      <w:pPr>
        <w:pStyle w:val="Commissionbodytext"/>
        <w:rPr>
          <w:lang w:val="en-GB"/>
        </w:rPr>
      </w:pPr>
    </w:p>
    <w:p w14:paraId="418106BA" w14:textId="1DFBF1F4" w:rsidR="00CD7029" w:rsidRDefault="00D42E71" w:rsidP="00392788">
      <w:pPr>
        <w:pStyle w:val="Commissionbodytext"/>
        <w:rPr>
          <w:lang w:val="en-GB"/>
        </w:rPr>
      </w:pPr>
      <w:r>
        <w:rPr>
          <w:lang w:val="en-GB"/>
        </w:rPr>
        <w:t>It is noted that for some trials</w:t>
      </w:r>
      <w:r w:rsidR="00CD7029">
        <w:rPr>
          <w:lang w:val="en-GB"/>
        </w:rPr>
        <w:t>, implementation in 65% of patients</w:t>
      </w:r>
      <w:r>
        <w:rPr>
          <w:lang w:val="en-GB"/>
        </w:rPr>
        <w:t xml:space="preserve"> may be an overestimation, whil</w:t>
      </w:r>
      <w:r w:rsidR="00AD5DBF">
        <w:rPr>
          <w:lang w:val="en-GB"/>
        </w:rPr>
        <w:t>e</w:t>
      </w:r>
      <w:r>
        <w:rPr>
          <w:lang w:val="en-GB"/>
        </w:rPr>
        <w:t xml:space="preserve"> for others it may be an underestimation. However, feedback from interviews with clinical opinion leaders indicated that this is likely to balance out across the set of trials included.</w:t>
      </w:r>
    </w:p>
    <w:p w14:paraId="1EFF0757" w14:textId="77777777" w:rsidR="006C45FF" w:rsidRDefault="006C45FF" w:rsidP="00392788">
      <w:pPr>
        <w:pStyle w:val="Commissionbodytext"/>
      </w:pPr>
    </w:p>
    <w:p w14:paraId="5B171B04" w14:textId="30732AA4" w:rsidR="00D42E71" w:rsidRDefault="00CD7029" w:rsidP="00392788">
      <w:pPr>
        <w:pStyle w:val="Commissionbodytext"/>
      </w:pPr>
      <w:r>
        <w:t>A</w:t>
      </w:r>
      <w:r w:rsidR="00D42E71">
        <w:t>ssumptions we</w:t>
      </w:r>
      <w:r w:rsidR="00D42E71" w:rsidRPr="00AF6925">
        <w:t>re chosen based on the approach validated through other similar evaluations</w:t>
      </w:r>
      <w:r w:rsidR="00D42E71">
        <w:t xml:space="preserve">, including a recently published report on the economic impact of </w:t>
      </w:r>
      <w:r w:rsidR="00A81405">
        <w:t>the National Institute for Health Research (</w:t>
      </w:r>
      <w:r w:rsidR="00D42E71">
        <w:t>NIHR</w:t>
      </w:r>
      <w:r w:rsidR="00A81405">
        <w:t>)</w:t>
      </w:r>
      <w:r w:rsidR="00D42E71">
        <w:t xml:space="preserve"> Health Technology Assessment program in the United Kingdom.</w:t>
      </w:r>
      <w:r w:rsidR="00D42E71">
        <w:rPr>
          <w:rStyle w:val="FootnoteReference"/>
          <w:lang w:val="en-GB"/>
        </w:rPr>
        <w:footnoteReference w:id="11"/>
      </w:r>
      <w:r w:rsidR="00D42E71" w:rsidRPr="00AF6925">
        <w:t xml:space="preserve"> </w:t>
      </w:r>
    </w:p>
    <w:p w14:paraId="4D37B3C3" w14:textId="77777777" w:rsidR="009806FF" w:rsidRPr="00AF6925" w:rsidRDefault="009806FF" w:rsidP="00392788">
      <w:pPr>
        <w:pStyle w:val="Commissionbodytext"/>
      </w:pPr>
    </w:p>
    <w:p w14:paraId="6A7FEFD2" w14:textId="32521C53" w:rsidR="00AF6925" w:rsidRPr="00AF6925" w:rsidRDefault="00AF6925" w:rsidP="00257D81">
      <w:pPr>
        <w:pStyle w:val="Heading3"/>
      </w:pPr>
      <w:r>
        <w:lastRenderedPageBreak/>
        <w:t xml:space="preserve">Calculating </w:t>
      </w:r>
      <w:r w:rsidR="0026068C">
        <w:t xml:space="preserve">the </w:t>
      </w:r>
      <w:r w:rsidR="00755C52">
        <w:t xml:space="preserve">benefit </w:t>
      </w:r>
      <w:r>
        <w:t>o</w:t>
      </w:r>
      <w:r w:rsidR="009628B4">
        <w:t>f trial findings on ongoing</w:t>
      </w:r>
      <w:r>
        <w:t xml:space="preserve"> </w:t>
      </w:r>
      <w:r w:rsidR="00823AB6">
        <w:t xml:space="preserve">patient </w:t>
      </w:r>
      <w:r>
        <w:t>health outcomes</w:t>
      </w:r>
    </w:p>
    <w:p w14:paraId="0309B0ED" w14:textId="20E19986" w:rsidR="00EF30C8" w:rsidRDefault="00E74D3F" w:rsidP="00392788">
      <w:pPr>
        <w:pStyle w:val="Commissionbodytext"/>
      </w:pPr>
      <w:r>
        <w:t xml:space="preserve">Improvements </w:t>
      </w:r>
      <w:r w:rsidR="00DB1906">
        <w:t>to life expectancy and</w:t>
      </w:r>
      <w:r w:rsidR="00460DE9">
        <w:t>/or</w:t>
      </w:r>
      <w:r w:rsidR="00DB1906">
        <w:t xml:space="preserve"> quality of life </w:t>
      </w:r>
      <w:r w:rsidR="001014F4">
        <w:t>(</w:t>
      </w:r>
      <w:r w:rsidR="001014F4" w:rsidRPr="00A45AF9">
        <w:t xml:space="preserve">for example through better mental health in mothers with babies, or less ongoing impairment </w:t>
      </w:r>
      <w:r w:rsidR="001014F4">
        <w:t xml:space="preserve">following a traumatic brain trauma) </w:t>
      </w:r>
      <w:r>
        <w:t xml:space="preserve">were </w:t>
      </w:r>
      <w:r w:rsidR="009628B4">
        <w:t>value</w:t>
      </w:r>
      <w:r w:rsidR="00DB1906">
        <w:t>d</w:t>
      </w:r>
      <w:r>
        <w:t xml:space="preserve"> using </w:t>
      </w:r>
      <w:r w:rsidR="009628B4">
        <w:t>standard guidance</w:t>
      </w:r>
      <w:r w:rsidR="009628B4" w:rsidRPr="00AF6925">
        <w:t xml:space="preserve"> </w:t>
      </w:r>
      <w:r>
        <w:t xml:space="preserve">on the </w:t>
      </w:r>
      <w:r w:rsidR="00DB1906">
        <w:t>Value of a Statistical Life Year (VSLY)</w:t>
      </w:r>
      <w:r w:rsidR="00EF30C8">
        <w:t>. This guidance</w:t>
      </w:r>
      <w:r w:rsidR="00DB1906">
        <w:t xml:space="preserve"> assigns </w:t>
      </w:r>
      <w:r w:rsidR="00AF6925" w:rsidRPr="00AF6925">
        <w:t xml:space="preserve">a year of life in full health </w:t>
      </w:r>
      <w:r w:rsidR="00DB1906">
        <w:t xml:space="preserve">a </w:t>
      </w:r>
      <w:r w:rsidR="00AF6925" w:rsidRPr="00AF6925">
        <w:t>value</w:t>
      </w:r>
      <w:r w:rsidR="00DB1906">
        <w:t xml:space="preserve"> of</w:t>
      </w:r>
      <w:r w:rsidR="00AF6925" w:rsidRPr="00AF6925">
        <w:t xml:space="preserve"> $180</w:t>
      </w:r>
      <w:r w:rsidR="00D44B37">
        <w:t>,</w:t>
      </w:r>
      <w:r w:rsidR="00AF6925" w:rsidRPr="00AF6925">
        <w:t>000</w:t>
      </w:r>
      <w:r w:rsidR="00121FF1">
        <w:t>.</w:t>
      </w:r>
      <w:r w:rsidR="00AF6925" w:rsidRPr="00AF6925">
        <w:rPr>
          <w:vertAlign w:val="superscript"/>
        </w:rPr>
        <w:footnoteReference w:id="12"/>
      </w:r>
      <w:r w:rsidR="00AF6925" w:rsidRPr="00AF6925">
        <w:t xml:space="preserve"> </w:t>
      </w:r>
      <w:r w:rsidR="00CD7029">
        <w:t xml:space="preserve">Increased life expectancy was modelled based on </w:t>
      </w:r>
      <w:r w:rsidR="00CD7029" w:rsidRPr="00460DE9">
        <w:t xml:space="preserve">life charts and </w:t>
      </w:r>
      <w:r w:rsidR="00CD7029">
        <w:t xml:space="preserve">the </w:t>
      </w:r>
      <w:r w:rsidR="00CD7029" w:rsidRPr="00460DE9">
        <w:t xml:space="preserve">baseline </w:t>
      </w:r>
      <w:r w:rsidR="00CD7029">
        <w:t xml:space="preserve">disease </w:t>
      </w:r>
      <w:r w:rsidR="00CD7029" w:rsidRPr="00460DE9">
        <w:t>characteristics</w:t>
      </w:r>
      <w:r w:rsidR="00CD7029">
        <w:t xml:space="preserve"> of eligible patients.</w:t>
      </w:r>
      <w:r w:rsidR="0096241B">
        <w:t xml:space="preserve"> </w:t>
      </w:r>
      <w:r w:rsidR="00CD7029">
        <w:t>This ensures that benefit calculations take in to account that patients may have pre-existing chronic diseases as recorded in trial data.</w:t>
      </w:r>
      <w:r w:rsidR="0096241B">
        <w:t xml:space="preserve"> </w:t>
      </w:r>
    </w:p>
    <w:p w14:paraId="587E44A8" w14:textId="77777777" w:rsidR="009806FF" w:rsidRDefault="009806FF" w:rsidP="00392788">
      <w:pPr>
        <w:pStyle w:val="Commissionbodytext"/>
      </w:pPr>
    </w:p>
    <w:p w14:paraId="473BAD4D" w14:textId="0830F045" w:rsidR="001014F4" w:rsidRDefault="00AF6925" w:rsidP="00392788">
      <w:pPr>
        <w:pStyle w:val="Commissionbodytext"/>
      </w:pPr>
      <w:r w:rsidRPr="00AF6925">
        <w:t xml:space="preserve">Where </w:t>
      </w:r>
      <w:r w:rsidR="00CD7029">
        <w:t>trial</w:t>
      </w:r>
      <w:r w:rsidRPr="00AF6925">
        <w:t xml:space="preserve"> outcome</w:t>
      </w:r>
      <w:r w:rsidR="009628B4">
        <w:t>s</w:t>
      </w:r>
      <w:r w:rsidRPr="00AF6925">
        <w:t xml:space="preserve"> w</w:t>
      </w:r>
      <w:r w:rsidR="009628B4">
        <w:t>ere</w:t>
      </w:r>
      <w:r w:rsidRPr="00AF6925">
        <w:t xml:space="preserve"> associated with substantial impairments to </w:t>
      </w:r>
      <w:r w:rsidR="00460DE9">
        <w:t>life expectancy or quality of life</w:t>
      </w:r>
      <w:r w:rsidR="001D72FA">
        <w:t xml:space="preserve"> </w:t>
      </w:r>
      <w:r w:rsidR="001D72FA" w:rsidRPr="00EF30C8">
        <w:t>(</w:t>
      </w:r>
      <w:r w:rsidR="001D72FA">
        <w:t>for example, where patients</w:t>
      </w:r>
      <w:r w:rsidR="001D72FA" w:rsidRPr="00EF30C8">
        <w:t xml:space="preserve"> under</w:t>
      </w:r>
      <w:r w:rsidR="001D72FA">
        <w:t>went</w:t>
      </w:r>
      <w:r w:rsidR="001D72FA" w:rsidRPr="00EF30C8">
        <w:t xml:space="preserve"> dialysis, or experienc</w:t>
      </w:r>
      <w:r w:rsidR="001D72FA">
        <w:t>ed side effects following</w:t>
      </w:r>
      <w:r w:rsidR="001D72FA" w:rsidRPr="00EF30C8">
        <w:t xml:space="preserve"> surgery)</w:t>
      </w:r>
      <w:r w:rsidRPr="00AF6925">
        <w:t xml:space="preserve">, adjustments were </w:t>
      </w:r>
      <w:r w:rsidR="00460DE9">
        <w:t>applied</w:t>
      </w:r>
      <w:r w:rsidR="00460DE9" w:rsidRPr="00AF6925">
        <w:t xml:space="preserve"> </w:t>
      </w:r>
      <w:r w:rsidRPr="00AF6925">
        <w:t xml:space="preserve">to this </w:t>
      </w:r>
      <w:r w:rsidR="00DB1906">
        <w:t>value</w:t>
      </w:r>
      <w:r w:rsidR="00DB1906" w:rsidRPr="00AF6925">
        <w:t xml:space="preserve"> </w:t>
      </w:r>
      <w:r w:rsidR="00460DE9">
        <w:t>using</w:t>
      </w:r>
      <w:r w:rsidRPr="00AF6925">
        <w:t xml:space="preserve"> published health state utility weightings</w:t>
      </w:r>
      <w:r w:rsidR="009628B4">
        <w:t xml:space="preserve"> and disease specific life expectancy data</w:t>
      </w:r>
      <w:r w:rsidR="00D14D29">
        <w:t xml:space="preserve"> published by the AIHW and the World Health Organi</w:t>
      </w:r>
      <w:r w:rsidR="0001347C">
        <w:t>z</w:t>
      </w:r>
      <w:r w:rsidR="00D14D29">
        <w:t>ation (WHO)</w:t>
      </w:r>
      <w:r w:rsidRPr="00AF6925">
        <w:t>.</w:t>
      </w:r>
      <w:r w:rsidR="00542269" w:rsidRPr="003A12A2">
        <w:rPr>
          <w:rStyle w:val="FootnoteReference"/>
        </w:rPr>
        <w:footnoteReference w:id="13"/>
      </w:r>
      <w:r w:rsidR="00E37C63" w:rsidRPr="003A12A2">
        <w:rPr>
          <w:vertAlign w:val="superscript"/>
        </w:rPr>
        <w:t>,</w:t>
      </w:r>
      <w:r w:rsidR="00190544">
        <w:rPr>
          <w:rStyle w:val="FootnoteReference"/>
        </w:rPr>
        <w:footnoteReference w:id="14"/>
      </w:r>
      <w:r w:rsidR="00190544">
        <w:t xml:space="preserve"> </w:t>
      </w:r>
      <w:r w:rsidR="004927D0">
        <w:t>The</w:t>
      </w:r>
      <w:r w:rsidR="004313FB">
        <w:t xml:space="preserve"> resulting value is</w:t>
      </w:r>
      <w:r w:rsidR="0026068C">
        <w:t xml:space="preserve"> referred to as</w:t>
      </w:r>
      <w:r w:rsidR="004313FB">
        <w:t xml:space="preserve"> a </w:t>
      </w:r>
      <w:r w:rsidR="004313FB" w:rsidRPr="00E743AA">
        <w:t>Quality Adjusted Life Year (QALY)</w:t>
      </w:r>
      <w:r w:rsidR="004313FB">
        <w:t>.</w:t>
      </w:r>
      <w:r w:rsidR="00E31C62">
        <w:t xml:space="preserve"> </w:t>
      </w:r>
    </w:p>
    <w:p w14:paraId="5FDD409D" w14:textId="77777777" w:rsidR="009806FF" w:rsidRDefault="009806FF" w:rsidP="00392788">
      <w:pPr>
        <w:pStyle w:val="Commissionbodytext"/>
      </w:pPr>
    </w:p>
    <w:p w14:paraId="1795343E" w14:textId="284AFD1E" w:rsidR="00643275" w:rsidRDefault="00CD7029" w:rsidP="00392788">
      <w:pPr>
        <w:pStyle w:val="Commissionbodytext"/>
        <w:rPr>
          <w:rFonts w:ascii="Franklin Gothic Medium" w:eastAsiaTheme="majorEastAsia" w:hAnsi="Franklin Gothic Medium" w:cstheme="majorBidi"/>
          <w:b/>
          <w:bCs/>
          <w:color w:val="2F5496" w:themeColor="accent5" w:themeShade="BF"/>
          <w:spacing w:val="14"/>
          <w:sz w:val="28"/>
        </w:rPr>
      </w:pPr>
      <w:r w:rsidRPr="00DC008A">
        <w:t xml:space="preserve">Ongoing costs </w:t>
      </w:r>
      <w:r>
        <w:t xml:space="preserve">of </w:t>
      </w:r>
      <w:r w:rsidRPr="00DC008A">
        <w:t xml:space="preserve">care when the </w:t>
      </w:r>
      <w:r>
        <w:t>expected alternative with a different intervention was</w:t>
      </w:r>
      <w:r w:rsidRPr="00DC008A">
        <w:t xml:space="preserve"> death</w:t>
      </w:r>
      <w:r>
        <w:t>, were</w:t>
      </w:r>
      <w:r w:rsidRPr="00DC008A">
        <w:t xml:space="preserve"> not included</w:t>
      </w:r>
      <w:r>
        <w:t xml:space="preserve"> unless any difference in mortality rate</w:t>
      </w:r>
      <w:r w:rsidR="00190544">
        <w:t>s</w:t>
      </w:r>
      <w:r>
        <w:t xml:space="preserve"> were explicitly measured in the trial. If ongoing service use costs were included, i</w:t>
      </w:r>
      <w:r w:rsidRPr="00DC008A">
        <w:t xml:space="preserve">n many cases </w:t>
      </w:r>
      <w:r>
        <w:t>it</w:t>
      </w:r>
      <w:r w:rsidRPr="00DC008A">
        <w:t xml:space="preserve"> would </w:t>
      </w:r>
      <w:r>
        <w:t xml:space="preserve">incorrectly </w:t>
      </w:r>
      <w:r w:rsidRPr="00DC008A">
        <w:t>imply that increased mortali</w:t>
      </w:r>
      <w:r>
        <w:t>ty was more economically viable.</w:t>
      </w:r>
      <w:r w:rsidR="0096241B">
        <w:t xml:space="preserve"> </w:t>
      </w:r>
      <w:r>
        <w:t xml:space="preserve">Given that macroeconomic gains (such as productivity) were not included in this evaluation, this would have been </w:t>
      </w:r>
      <w:r w:rsidR="00AA2738">
        <w:t>un</w:t>
      </w:r>
      <w:r>
        <w:t>balanced</w:t>
      </w:r>
      <w:r w:rsidR="00AA2738">
        <w:t>.</w:t>
      </w:r>
      <w:r w:rsidR="0096241B">
        <w:t xml:space="preserve"> </w:t>
      </w:r>
    </w:p>
    <w:p w14:paraId="1AEE7CF9" w14:textId="5BB70705" w:rsidR="009628B4" w:rsidRPr="00AF6925" w:rsidRDefault="009628B4" w:rsidP="001014F4">
      <w:pPr>
        <w:pStyle w:val="Heading3"/>
      </w:pPr>
      <w:r>
        <w:t xml:space="preserve">Calculating </w:t>
      </w:r>
      <w:r w:rsidR="0026068C">
        <w:t xml:space="preserve">the </w:t>
      </w:r>
      <w:r w:rsidR="00755C52">
        <w:t>benefit</w:t>
      </w:r>
      <w:r>
        <w:t xml:space="preserve"> </w:t>
      </w:r>
      <w:r w:rsidR="00755C52">
        <w:t xml:space="preserve">of trial findings on </w:t>
      </w:r>
      <w:r>
        <w:t>on</w:t>
      </w:r>
      <w:r w:rsidR="00755C52">
        <w:t>going</w:t>
      </w:r>
      <w:r>
        <w:t xml:space="preserve"> </w:t>
      </w:r>
      <w:r w:rsidR="00F03041">
        <w:t xml:space="preserve">direct </w:t>
      </w:r>
      <w:r>
        <w:t xml:space="preserve">health </w:t>
      </w:r>
      <w:r w:rsidR="00F03041">
        <w:t>service</w:t>
      </w:r>
      <w:r>
        <w:t xml:space="preserve"> costs</w:t>
      </w:r>
    </w:p>
    <w:p w14:paraId="2336D89B" w14:textId="60099914" w:rsidR="00E31C62" w:rsidRDefault="00E31C62" w:rsidP="00392788">
      <w:pPr>
        <w:pStyle w:val="Commissionbodytext"/>
      </w:pPr>
      <w:r w:rsidRPr="00657F18">
        <w:t>A</w:t>
      </w:r>
      <w:r w:rsidR="00972D14" w:rsidRPr="00657F18">
        <w:t>voided health</w:t>
      </w:r>
      <w:r w:rsidR="00FA3FE8" w:rsidRPr="00722F9C">
        <w:t xml:space="preserve"> service costs </w:t>
      </w:r>
      <w:r w:rsidRPr="00392788">
        <w:t>consisted of:</w:t>
      </w:r>
    </w:p>
    <w:p w14:paraId="6B4283D5" w14:textId="77777777" w:rsidR="009806FF" w:rsidRPr="00657F18" w:rsidRDefault="009806FF" w:rsidP="00392788">
      <w:pPr>
        <w:pStyle w:val="Commissionbodytext"/>
      </w:pPr>
    </w:p>
    <w:p w14:paraId="76C68252" w14:textId="5F781F71" w:rsidR="00E31C62" w:rsidRDefault="00121FF1" w:rsidP="00392788">
      <w:pPr>
        <w:pStyle w:val="Commissionbullets"/>
      </w:pPr>
      <w:r>
        <w:t>T</w:t>
      </w:r>
      <w:r w:rsidR="00FA3FE8" w:rsidRPr="00060594">
        <w:t xml:space="preserve">he difference in </w:t>
      </w:r>
      <w:r w:rsidR="00E31C62">
        <w:t xml:space="preserve">the </w:t>
      </w:r>
      <w:r w:rsidR="00FA3FE8" w:rsidRPr="00060594">
        <w:t xml:space="preserve">cost </w:t>
      </w:r>
      <w:r w:rsidR="00E31C62">
        <w:t>of</w:t>
      </w:r>
      <w:r w:rsidR="00FA3FE8" w:rsidRPr="00060594">
        <w:t xml:space="preserve"> implement</w:t>
      </w:r>
      <w:r w:rsidR="00E31C62">
        <w:t>ing</w:t>
      </w:r>
      <w:r w:rsidR="00FA3FE8" w:rsidRPr="00060594">
        <w:t xml:space="preserve"> </w:t>
      </w:r>
      <w:r w:rsidR="004927D0" w:rsidRPr="00060594">
        <w:t>interventions</w:t>
      </w:r>
    </w:p>
    <w:p w14:paraId="6892936E" w14:textId="51331FFA" w:rsidR="00FA3FE8" w:rsidRDefault="00121FF1" w:rsidP="00392788">
      <w:pPr>
        <w:pStyle w:val="Commissionbullets"/>
      </w:pPr>
      <w:r>
        <w:t>T</w:t>
      </w:r>
      <w:r w:rsidR="00FA3FE8" w:rsidRPr="00060594">
        <w:t xml:space="preserve">he difference in </w:t>
      </w:r>
      <w:r w:rsidR="00E31C62">
        <w:t xml:space="preserve">the </w:t>
      </w:r>
      <w:r w:rsidR="00FA3FE8" w:rsidRPr="00060594">
        <w:t xml:space="preserve">costs associated with </w:t>
      </w:r>
      <w:r w:rsidR="00A523F5">
        <w:t xml:space="preserve">primary and secondary </w:t>
      </w:r>
      <w:r w:rsidR="00FA3FE8" w:rsidRPr="00060594">
        <w:t xml:space="preserve">outcomes </w:t>
      </w:r>
      <w:r w:rsidR="00E31C62">
        <w:t>of</w:t>
      </w:r>
      <w:r w:rsidR="00BD68CF">
        <w:t xml:space="preserve"> </w:t>
      </w:r>
      <w:r w:rsidR="00FA3FE8" w:rsidRPr="00060594">
        <w:t>the</w:t>
      </w:r>
      <w:r w:rsidR="004927D0" w:rsidRPr="00060594">
        <w:t xml:space="preserve"> interventions</w:t>
      </w:r>
      <w:r w:rsidR="00FA3FE8" w:rsidRPr="00060594">
        <w:t>.</w:t>
      </w:r>
      <w:r w:rsidR="00BD68CF">
        <w:t xml:space="preserve"> </w:t>
      </w:r>
    </w:p>
    <w:p w14:paraId="315E9B74" w14:textId="77777777" w:rsidR="009806FF" w:rsidRPr="00060594" w:rsidRDefault="009806FF" w:rsidP="00392788">
      <w:pPr>
        <w:pStyle w:val="Commissionbullets"/>
        <w:numPr>
          <w:ilvl w:val="0"/>
          <w:numId w:val="0"/>
        </w:numPr>
        <w:ind w:left="720"/>
      </w:pPr>
    </w:p>
    <w:p w14:paraId="5F942F7D" w14:textId="332BA141" w:rsidR="00996BE6" w:rsidRDefault="0026068C" w:rsidP="00392788">
      <w:pPr>
        <w:pStyle w:val="Commissionbodytext"/>
      </w:pPr>
      <w:r>
        <w:t>Only d</w:t>
      </w:r>
      <w:r w:rsidR="009628B4" w:rsidRPr="00AF6925">
        <w:t xml:space="preserve">irect </w:t>
      </w:r>
      <w:r w:rsidR="00014CCF">
        <w:t xml:space="preserve">health </w:t>
      </w:r>
      <w:r w:rsidR="00707A3F">
        <w:t>service</w:t>
      </w:r>
      <w:r w:rsidR="00014CCF">
        <w:t xml:space="preserve"> </w:t>
      </w:r>
      <w:r w:rsidR="009628B4">
        <w:t>costs</w:t>
      </w:r>
      <w:r w:rsidR="000C774A">
        <w:t>, for example</w:t>
      </w:r>
      <w:r w:rsidR="009628B4">
        <w:t xml:space="preserve">  </w:t>
      </w:r>
      <w:r w:rsidR="00014CCF">
        <w:t xml:space="preserve">costs for a visit to </w:t>
      </w:r>
      <w:r w:rsidR="00D44B37">
        <w:t>an intensive care unit (</w:t>
      </w:r>
      <w:r w:rsidR="00014CCF">
        <w:t>I</w:t>
      </w:r>
      <w:r w:rsidR="00D705D8">
        <w:t>CU</w:t>
      </w:r>
      <w:r w:rsidR="00D44B37">
        <w:t>)</w:t>
      </w:r>
      <w:r w:rsidR="00014CCF">
        <w:t xml:space="preserve">, or </w:t>
      </w:r>
      <w:r w:rsidR="009628B4">
        <w:t>the cost</w:t>
      </w:r>
      <w:r w:rsidR="009628B4" w:rsidRPr="00AF6925">
        <w:t xml:space="preserve"> of providing </w:t>
      </w:r>
      <w:r w:rsidR="00FA3FE8">
        <w:t>stroke treatment</w:t>
      </w:r>
      <w:r w:rsidR="000C774A">
        <w:t>,</w:t>
      </w:r>
      <w:r w:rsidR="009628B4" w:rsidRPr="00AF6925">
        <w:t xml:space="preserve"> were evaluated</w:t>
      </w:r>
      <w:r w:rsidR="000C774A">
        <w:t>. These included</w:t>
      </w:r>
      <w:r w:rsidR="0096241B">
        <w:t xml:space="preserve"> </w:t>
      </w:r>
      <w:r w:rsidR="009628B4" w:rsidRPr="00AF6925">
        <w:t>the cost of materials, clinician time and overheads</w:t>
      </w:r>
      <w:r w:rsidR="008A2CFB">
        <w:t>, as appropriate for the trial</w:t>
      </w:r>
      <w:r w:rsidR="009628B4" w:rsidRPr="00AF6925">
        <w:t xml:space="preserve">. </w:t>
      </w:r>
      <w:r w:rsidR="00CD7029">
        <w:t>Additional m</w:t>
      </w:r>
      <w:r>
        <w:t xml:space="preserve">acroeconomic </w:t>
      </w:r>
      <w:r w:rsidR="00283BA6">
        <w:t>impacts</w:t>
      </w:r>
      <w:r>
        <w:t xml:space="preserve">, like </w:t>
      </w:r>
      <w:r w:rsidR="00874AD7">
        <w:t>loss of personal income and government tax revenue due to ill health</w:t>
      </w:r>
      <w:r w:rsidR="00072FAA">
        <w:t>,</w:t>
      </w:r>
      <w:r w:rsidR="00874AD7">
        <w:t xml:space="preserve"> were not included. </w:t>
      </w:r>
    </w:p>
    <w:p w14:paraId="14B56170" w14:textId="77777777" w:rsidR="009806FF" w:rsidRDefault="009806FF" w:rsidP="00392788">
      <w:pPr>
        <w:pStyle w:val="Commissionbodytext"/>
      </w:pPr>
    </w:p>
    <w:p w14:paraId="4A3D0B5D" w14:textId="027EDAC9" w:rsidR="009628B4" w:rsidRDefault="009628B4" w:rsidP="00392788">
      <w:pPr>
        <w:pStyle w:val="Commissionbodytext"/>
      </w:pPr>
      <w:r w:rsidRPr="00AF6925">
        <w:lastRenderedPageBreak/>
        <w:t>Two methodologies were considered</w:t>
      </w:r>
      <w:r w:rsidR="00014CCF">
        <w:t xml:space="preserve"> for </w:t>
      </w:r>
      <w:r w:rsidR="00072FAA">
        <w:t>calculating avoided direct health service costs</w:t>
      </w:r>
      <w:r w:rsidRPr="00AF6925">
        <w:t xml:space="preserve">: </w:t>
      </w:r>
    </w:p>
    <w:p w14:paraId="579C082A" w14:textId="77777777" w:rsidR="009806FF" w:rsidRPr="00AF6925" w:rsidRDefault="009806FF" w:rsidP="00392788">
      <w:pPr>
        <w:pStyle w:val="Commissionbodytext"/>
      </w:pPr>
    </w:p>
    <w:p w14:paraId="22E9BD63" w14:textId="0A4BBDCD" w:rsidR="009628B4" w:rsidRPr="00AF6925" w:rsidRDefault="009628B4" w:rsidP="00392788">
      <w:pPr>
        <w:pStyle w:val="Commissionbullets"/>
      </w:pPr>
      <w:r w:rsidRPr="00121FF1">
        <w:rPr>
          <w:rStyle w:val="Strong"/>
          <w:b w:val="0"/>
        </w:rPr>
        <w:t>Direct service input me</w:t>
      </w:r>
      <w:r w:rsidRPr="0096241B">
        <w:rPr>
          <w:rStyle w:val="Strong"/>
          <w:b w:val="0"/>
        </w:rPr>
        <w:t>thod</w:t>
      </w:r>
      <w:r w:rsidR="00121FF1">
        <w:t>,</w:t>
      </w:r>
      <w:r w:rsidR="00F009D8">
        <w:t xml:space="preserve"> </w:t>
      </w:r>
      <w:r w:rsidRPr="00AF6925">
        <w:t>us</w:t>
      </w:r>
      <w:r w:rsidR="00121FF1">
        <w:t>ing</w:t>
      </w:r>
      <w:r w:rsidRPr="00AF6925">
        <w:t xml:space="preserve"> estimates of avoided service use (e</w:t>
      </w:r>
      <w:r w:rsidR="00755C52">
        <w:t>.</w:t>
      </w:r>
      <w:r w:rsidRPr="00AF6925">
        <w:t>g</w:t>
      </w:r>
      <w:r w:rsidR="00755C52">
        <w:t>.</w:t>
      </w:r>
      <w:r w:rsidRPr="00AF6925">
        <w:t xml:space="preserve"> </w:t>
      </w:r>
      <w:r w:rsidR="008A2CFB">
        <w:t xml:space="preserve">avoided </w:t>
      </w:r>
      <w:r w:rsidRPr="00AF6925">
        <w:t>tests, medical treatments, surgeries, institutional care</w:t>
      </w:r>
      <w:r w:rsidR="00EC74BA">
        <w:t>, bed days, time on mechanical ventilation</w:t>
      </w:r>
      <w:r w:rsidRPr="00AF6925">
        <w:t>) based on trial data</w:t>
      </w:r>
      <w:r w:rsidR="00072FAA">
        <w:t xml:space="preserve"> in manuscripts and associated publications</w:t>
      </w:r>
      <w:r w:rsidRPr="00AF6925">
        <w:t xml:space="preserve">. </w:t>
      </w:r>
    </w:p>
    <w:p w14:paraId="7C134731" w14:textId="7D4CE720" w:rsidR="009628B4" w:rsidRPr="00AF6925" w:rsidRDefault="009628B4" w:rsidP="00392788">
      <w:pPr>
        <w:pStyle w:val="Commissionbullets"/>
      </w:pPr>
      <w:r w:rsidRPr="00121FF1">
        <w:rPr>
          <w:rStyle w:val="Strong"/>
          <w:b w:val="0"/>
        </w:rPr>
        <w:t>Per patient surveillance cost</w:t>
      </w:r>
      <w:r w:rsidR="00121FF1" w:rsidRPr="0096241B">
        <w:rPr>
          <w:rStyle w:val="Strong"/>
          <w:b w:val="0"/>
        </w:rPr>
        <w:t>,</w:t>
      </w:r>
      <w:r w:rsidRPr="00AF6925">
        <w:t xml:space="preserve"> us</w:t>
      </w:r>
      <w:r w:rsidR="00121FF1">
        <w:t>ing</w:t>
      </w:r>
      <w:r w:rsidRPr="00AF6925">
        <w:t xml:space="preserve"> actual </w:t>
      </w:r>
      <w:r w:rsidR="00014CCF">
        <w:t xml:space="preserve">individualised </w:t>
      </w:r>
      <w:r w:rsidRPr="00AF6925">
        <w:t>cost values</w:t>
      </w:r>
      <w:r w:rsidR="00014CCF">
        <w:t xml:space="preserve"> by</w:t>
      </w:r>
      <w:r w:rsidRPr="00AF6925">
        <w:t xml:space="preserve"> tracking individual patients as they use the health system</w:t>
      </w:r>
      <w:r w:rsidR="00014CCF">
        <w:t>.</w:t>
      </w:r>
    </w:p>
    <w:p w14:paraId="5F6AD77A" w14:textId="77777777" w:rsidR="003E359A" w:rsidRDefault="003E359A" w:rsidP="00392788">
      <w:pPr>
        <w:pStyle w:val="Commissionbodytext"/>
      </w:pPr>
    </w:p>
    <w:p w14:paraId="088786A5" w14:textId="0E6E2192" w:rsidR="003E359A" w:rsidRDefault="00CD7029" w:rsidP="00392788">
      <w:pPr>
        <w:pStyle w:val="Commissionbodytext"/>
      </w:pPr>
      <w:r>
        <w:t>P</w:t>
      </w:r>
      <w:r w:rsidRPr="00AF6925">
        <w:t>er patient surveillance cost</w:t>
      </w:r>
      <w:r>
        <w:t>s</w:t>
      </w:r>
      <w:r w:rsidRPr="00AF6925">
        <w:t xml:space="preserve"> </w:t>
      </w:r>
      <w:r>
        <w:t>were used w</w:t>
      </w:r>
      <w:r w:rsidRPr="00AF6925">
        <w:t>here there were published papers</w:t>
      </w:r>
      <w:r>
        <w:t xml:space="preserve"> avail</w:t>
      </w:r>
      <w:r w:rsidR="00B04763">
        <w:t>able (MA@NGO, COSMOS and CHEST)</w:t>
      </w:r>
      <w:r w:rsidRPr="00AF6925">
        <w:t xml:space="preserve">. Otherwise, the direct service input method was used as </w:t>
      </w:r>
      <w:r w:rsidR="0056161A">
        <w:t>it</w:t>
      </w:r>
      <w:r w:rsidR="0056161A" w:rsidRPr="00AF6925">
        <w:t xml:space="preserve"> </w:t>
      </w:r>
      <w:r w:rsidRPr="00AF6925">
        <w:t>provid</w:t>
      </w:r>
      <w:r>
        <w:t>es a close estimate that doesn’t require complex modelling. This approach was verified by cross</w:t>
      </w:r>
      <w:r w:rsidR="0056161A">
        <w:t>-</w:t>
      </w:r>
      <w:r>
        <w:t>comparing findings from both methodologies using the MA@NGO, COSMOS and CHEST trials. For each trial</w:t>
      </w:r>
      <w:r w:rsidR="003D3DAE">
        <w:t>,</w:t>
      </w:r>
      <w:r>
        <w:t xml:space="preserve"> very similar results were found.</w:t>
      </w:r>
    </w:p>
    <w:p w14:paraId="5410BE42" w14:textId="77777777" w:rsidR="003E359A" w:rsidRDefault="003E359A" w:rsidP="00392788">
      <w:pPr>
        <w:pStyle w:val="Commissionbodytext"/>
      </w:pPr>
    </w:p>
    <w:p w14:paraId="7381BDCC" w14:textId="4C11705F" w:rsidR="0060055A" w:rsidRDefault="004927D0" w:rsidP="00392788">
      <w:pPr>
        <w:pStyle w:val="Commissionbodytext"/>
        <w:rPr>
          <w:rFonts w:eastAsiaTheme="majorEastAsia" w:cstheme="majorBidi"/>
          <w:b/>
          <w:bCs/>
          <w:color w:val="2F5496" w:themeColor="accent5" w:themeShade="BF"/>
          <w:spacing w:val="14"/>
          <w:sz w:val="28"/>
        </w:rPr>
      </w:pPr>
      <w:r>
        <w:t xml:space="preserve">Estimated service use was based on current clinical guidelines and verified with clinicians. </w:t>
      </w:r>
      <w:r w:rsidR="00072FAA">
        <w:t xml:space="preserve">Associated service costs </w:t>
      </w:r>
      <w:r w:rsidR="009628B4" w:rsidRPr="00AF6925">
        <w:t>were sourced from the Independent Hospital Pricing Authority (IHPA), AIHW or published costing studies.</w:t>
      </w:r>
      <w:r w:rsidR="009628B4" w:rsidRPr="00352327">
        <w:rPr>
          <w:vertAlign w:val="superscript"/>
        </w:rPr>
        <w:footnoteReference w:id="15"/>
      </w:r>
      <w:r w:rsidR="0096241B">
        <w:t xml:space="preserve"> </w:t>
      </w:r>
      <w:r w:rsidR="000D6171">
        <w:t>Individual cost elements were</w:t>
      </w:r>
      <w:r w:rsidR="000D6171" w:rsidRPr="00403503">
        <w:t xml:space="preserve"> included on a </w:t>
      </w:r>
      <w:r w:rsidR="00B04763" w:rsidRPr="00403503">
        <w:t>case-by-case</w:t>
      </w:r>
      <w:r w:rsidR="000D6171" w:rsidRPr="00403503">
        <w:t xml:space="preserve"> basis depending on if they </w:t>
      </w:r>
      <w:r w:rsidR="000D6171">
        <w:t>were</w:t>
      </w:r>
      <w:r w:rsidR="000D6171" w:rsidRPr="00403503">
        <w:t xml:space="preserve"> likely to change if the trial findings </w:t>
      </w:r>
      <w:r w:rsidR="000D6171">
        <w:t>are</w:t>
      </w:r>
      <w:r w:rsidR="000D6171" w:rsidRPr="00403503">
        <w:t xml:space="preserve"> implemented</w:t>
      </w:r>
      <w:r w:rsidR="000D6171" w:rsidRPr="00EE7152">
        <w:t>.</w:t>
      </w:r>
      <w:r w:rsidR="000D6171" w:rsidRPr="00F009D8">
        <w:rPr>
          <w:b/>
        </w:rPr>
        <w:t xml:space="preserve"> </w:t>
      </w:r>
      <w:r w:rsidR="000D6171" w:rsidRPr="00121FF1">
        <w:rPr>
          <w:rStyle w:val="Strong"/>
          <w:b w:val="0"/>
        </w:rPr>
        <w:t>Only additional costs or savings, compared to the expected regular expenditure, were included.</w:t>
      </w:r>
      <w:r w:rsidR="0096241B">
        <w:rPr>
          <w:rStyle w:val="Strong"/>
        </w:rPr>
        <w:t xml:space="preserve"> </w:t>
      </w:r>
      <w:r w:rsidR="000D6171" w:rsidRPr="00607DD9">
        <w:t>For example, if a trial intervention leads to a reduction in the number of caesarean sections performed in a year, then the difference in cost between a normal vaginal delivery and caesarean section was used to work out the benefit.</w:t>
      </w:r>
    </w:p>
    <w:p w14:paraId="726DE6F3" w14:textId="325D3EB4" w:rsidR="00AF6925" w:rsidRPr="00AF6925" w:rsidRDefault="00AF6925" w:rsidP="00257D81">
      <w:pPr>
        <w:pStyle w:val="Heading3"/>
      </w:pPr>
      <w:r w:rsidRPr="00AF6925">
        <w:t xml:space="preserve">Measuring </w:t>
      </w:r>
      <w:r w:rsidR="00072FAA">
        <w:t xml:space="preserve">benefits </w:t>
      </w:r>
      <w:r w:rsidRPr="00AF6925">
        <w:t>against costs</w:t>
      </w:r>
    </w:p>
    <w:p w14:paraId="1050C3FB" w14:textId="005F961E" w:rsidR="00001CAE" w:rsidRPr="00F009D8" w:rsidRDefault="003D2052" w:rsidP="00392788">
      <w:pPr>
        <w:pStyle w:val="Commissionbodytext"/>
        <w:rPr>
          <w:b/>
        </w:rPr>
      </w:pPr>
      <w:r>
        <w:t>The relationship between networks, clinical trials and funding is depicted i</w:t>
      </w:r>
      <w:r w:rsidR="00FA582E">
        <w:t xml:space="preserve">n </w:t>
      </w:r>
      <w:r w:rsidR="00FA582E">
        <w:fldChar w:fldCharType="begin"/>
      </w:r>
      <w:r w:rsidR="00FA582E">
        <w:instrText xml:space="preserve"> REF _Ref482014781 \h </w:instrText>
      </w:r>
      <w:r w:rsidR="003D3DAE">
        <w:instrText xml:space="preserve"> \* MERGEFORMAT </w:instrText>
      </w:r>
      <w:r w:rsidR="00FA582E">
        <w:fldChar w:fldCharType="separate"/>
      </w:r>
      <w:r w:rsidR="007B3054">
        <w:t xml:space="preserve">Figure </w:t>
      </w:r>
      <w:r w:rsidR="007B3054">
        <w:rPr>
          <w:noProof/>
        </w:rPr>
        <w:t>4</w:t>
      </w:r>
      <w:r w:rsidR="00FA582E">
        <w:fldChar w:fldCharType="end"/>
      </w:r>
      <w:r w:rsidR="008D3047" w:rsidRPr="0096241B">
        <w:t>.</w:t>
      </w:r>
      <w:r w:rsidR="00FA582E" w:rsidRPr="00F009D8">
        <w:rPr>
          <w:b/>
        </w:rPr>
        <w:t xml:space="preserve"> </w:t>
      </w:r>
      <w:r w:rsidR="00C2102E" w:rsidRPr="0096241B">
        <w:rPr>
          <w:rStyle w:val="Strong"/>
          <w:b w:val="0"/>
        </w:rPr>
        <w:t>B</w:t>
      </w:r>
      <w:r w:rsidR="00755C52" w:rsidRPr="0096241B">
        <w:rPr>
          <w:rStyle w:val="Strong"/>
          <w:b w:val="0"/>
        </w:rPr>
        <w:t xml:space="preserve">enefits </w:t>
      </w:r>
      <w:r w:rsidR="002F5AE9" w:rsidRPr="0096241B">
        <w:rPr>
          <w:rStyle w:val="Strong"/>
          <w:b w:val="0"/>
        </w:rPr>
        <w:t>were compared against</w:t>
      </w:r>
      <w:r w:rsidR="00755C52" w:rsidRPr="00082A46">
        <w:rPr>
          <w:rStyle w:val="Strong"/>
          <w:b w:val="0"/>
        </w:rPr>
        <w:t xml:space="preserve"> the </w:t>
      </w:r>
      <w:r w:rsidR="000D6171" w:rsidRPr="00082A46">
        <w:rPr>
          <w:rStyle w:val="Strong"/>
          <w:b w:val="0"/>
        </w:rPr>
        <w:t xml:space="preserve">central operating </w:t>
      </w:r>
      <w:r w:rsidR="00755C52" w:rsidRPr="00025CC9">
        <w:rPr>
          <w:rStyle w:val="Strong"/>
          <w:b w:val="0"/>
        </w:rPr>
        <w:t>cost</w:t>
      </w:r>
      <w:r w:rsidR="000D6171" w:rsidRPr="00F009D8">
        <w:rPr>
          <w:rStyle w:val="Strong"/>
          <w:b w:val="0"/>
        </w:rPr>
        <w:t>s</w:t>
      </w:r>
      <w:r w:rsidR="00755C52" w:rsidRPr="00F009D8">
        <w:rPr>
          <w:rStyle w:val="Strong"/>
          <w:b w:val="0"/>
        </w:rPr>
        <w:t xml:space="preserve"> </w:t>
      </w:r>
      <w:r w:rsidR="00B92465" w:rsidRPr="00F009D8">
        <w:rPr>
          <w:rStyle w:val="Strong"/>
          <w:b w:val="0"/>
        </w:rPr>
        <w:t>of the network</w:t>
      </w:r>
      <w:r w:rsidR="000C501C" w:rsidRPr="00F009D8">
        <w:rPr>
          <w:rStyle w:val="Strong"/>
          <w:b w:val="0"/>
        </w:rPr>
        <w:t>s</w:t>
      </w:r>
      <w:r w:rsidR="00B92465" w:rsidRPr="00F009D8">
        <w:rPr>
          <w:rStyle w:val="Strong"/>
          <w:b w:val="0"/>
        </w:rPr>
        <w:t xml:space="preserve"> </w:t>
      </w:r>
      <w:r w:rsidR="000C501C" w:rsidRPr="00F009D8">
        <w:rPr>
          <w:rStyle w:val="Strong"/>
          <w:b w:val="0"/>
        </w:rPr>
        <w:t xml:space="preserve">(since inception) </w:t>
      </w:r>
      <w:r w:rsidR="00B92465" w:rsidRPr="00F009D8">
        <w:rPr>
          <w:rStyle w:val="Strong"/>
          <w:b w:val="0"/>
        </w:rPr>
        <w:t xml:space="preserve">and </w:t>
      </w:r>
      <w:r w:rsidR="000C501C" w:rsidRPr="00F009D8">
        <w:rPr>
          <w:rStyle w:val="Strong"/>
          <w:b w:val="0"/>
        </w:rPr>
        <w:t>the cost of</w:t>
      </w:r>
      <w:r w:rsidR="000D6171" w:rsidRPr="00F009D8">
        <w:rPr>
          <w:rStyle w:val="Strong"/>
          <w:b w:val="0"/>
        </w:rPr>
        <w:t xml:space="preserve"> performing</w:t>
      </w:r>
      <w:r w:rsidR="000C501C" w:rsidRPr="00F009D8">
        <w:rPr>
          <w:rStyle w:val="Strong"/>
          <w:b w:val="0"/>
        </w:rPr>
        <w:t xml:space="preserve"> </w:t>
      </w:r>
      <w:r w:rsidR="00B92465" w:rsidRPr="00F009D8">
        <w:rPr>
          <w:rStyle w:val="Strong"/>
          <w:b w:val="0"/>
        </w:rPr>
        <w:t xml:space="preserve">all </w:t>
      </w:r>
      <w:r w:rsidR="000D6171" w:rsidRPr="00F009D8">
        <w:rPr>
          <w:rStyle w:val="Strong"/>
          <w:b w:val="0"/>
        </w:rPr>
        <w:t>studies undertaken by</w:t>
      </w:r>
      <w:r w:rsidR="00B92465" w:rsidRPr="00F009D8">
        <w:rPr>
          <w:rStyle w:val="Strong"/>
          <w:b w:val="0"/>
        </w:rPr>
        <w:t xml:space="preserve"> </w:t>
      </w:r>
      <w:r w:rsidR="00755C52" w:rsidRPr="00F009D8">
        <w:rPr>
          <w:rStyle w:val="Strong"/>
          <w:b w:val="0"/>
        </w:rPr>
        <w:t xml:space="preserve">the </w:t>
      </w:r>
      <w:r w:rsidR="00F7026A" w:rsidRPr="00F009D8">
        <w:rPr>
          <w:rStyle w:val="Strong"/>
          <w:b w:val="0"/>
        </w:rPr>
        <w:t>n</w:t>
      </w:r>
      <w:r w:rsidR="002F5AE9" w:rsidRPr="00F009D8">
        <w:rPr>
          <w:rStyle w:val="Strong"/>
          <w:b w:val="0"/>
        </w:rPr>
        <w:t>etwork</w:t>
      </w:r>
      <w:r w:rsidR="000C501C" w:rsidRPr="00F009D8">
        <w:rPr>
          <w:rStyle w:val="Strong"/>
          <w:b w:val="0"/>
        </w:rPr>
        <w:t>s</w:t>
      </w:r>
      <w:r w:rsidR="000D6171" w:rsidRPr="00F009D8">
        <w:rPr>
          <w:rStyle w:val="Strong"/>
          <w:b w:val="0"/>
        </w:rPr>
        <w:t xml:space="preserve"> between 2004</w:t>
      </w:r>
      <w:r w:rsidR="0096241B">
        <w:rPr>
          <w:rStyle w:val="Strong"/>
          <w:b w:val="0"/>
        </w:rPr>
        <w:t xml:space="preserve"> and 20</w:t>
      </w:r>
      <w:r w:rsidR="000D6171" w:rsidRPr="0096241B">
        <w:rPr>
          <w:rStyle w:val="Strong"/>
          <w:b w:val="0"/>
        </w:rPr>
        <w:t>14.</w:t>
      </w:r>
      <w:bookmarkStart w:id="47" w:name="_Ref475267599"/>
      <w:bookmarkStart w:id="48" w:name="_Ref475267592"/>
      <w:bookmarkStart w:id="49" w:name="_Ref479176467"/>
    </w:p>
    <w:p w14:paraId="17D88C24" w14:textId="77777777" w:rsidR="0063257E" w:rsidRDefault="0063257E">
      <w:pPr>
        <w:spacing w:before="0" w:after="200" w:line="276" w:lineRule="auto"/>
        <w:rPr>
          <w:rFonts w:eastAsiaTheme="minorEastAsia"/>
          <w:b/>
          <w:bCs/>
          <w:color w:val="2F5496" w:themeColor="accent5" w:themeShade="BF"/>
          <w:spacing w:val="6"/>
          <w:szCs w:val="18"/>
          <w:lang w:bidi="hi-IN"/>
        </w:rPr>
      </w:pPr>
      <w:bookmarkStart w:id="50" w:name="_Ref482005936"/>
      <w:bookmarkEnd w:id="47"/>
      <w:bookmarkEnd w:id="48"/>
      <w:bookmarkEnd w:id="49"/>
      <w:r>
        <w:br w:type="page"/>
      </w:r>
    </w:p>
    <w:p w14:paraId="4B87714C" w14:textId="7E943C41" w:rsidR="00D05771" w:rsidRDefault="000B7575" w:rsidP="000B7575">
      <w:pPr>
        <w:pStyle w:val="Caption"/>
      </w:pPr>
      <w:bookmarkStart w:id="51" w:name="_Ref482014781"/>
      <w:bookmarkStart w:id="52" w:name="_Toc482629535"/>
      <w:r>
        <w:lastRenderedPageBreak/>
        <w:t xml:space="preserve">Figure </w:t>
      </w:r>
      <w:fldSimple w:instr=" SEQ Figure \* ARABIC ">
        <w:r w:rsidR="007B3054">
          <w:rPr>
            <w:noProof/>
          </w:rPr>
          <w:t>4</w:t>
        </w:r>
      </w:fldSimple>
      <w:bookmarkEnd w:id="50"/>
      <w:bookmarkEnd w:id="51"/>
      <w:r>
        <w:t>. Generic activity and funding structure of networks</w:t>
      </w:r>
      <w:bookmarkEnd w:id="52"/>
    </w:p>
    <w:p w14:paraId="6C75C2CF" w14:textId="77777777" w:rsidR="003D2052" w:rsidRDefault="003D2052" w:rsidP="003D2052">
      <w:r w:rsidRPr="00060594">
        <w:rPr>
          <w:noProof/>
          <w:color w:val="680000"/>
          <w:lang w:val="en-AU" w:eastAsia="en-AU"/>
        </w:rPr>
        <w:drawing>
          <wp:inline distT="0" distB="0" distL="0" distR="0" wp14:anchorId="43D3BA5F" wp14:editId="2EF05D01">
            <wp:extent cx="6490970" cy="3889375"/>
            <wp:effectExtent l="0" t="0" r="5080" b="0"/>
            <wp:docPr id="130" name="Picture 130" descr="Schematic diagram showing the primary sources of funding for central network functions as well as individual trials. The diagram shows the relationship between networks, trial coordinating centres and trial sites and also depicts the reliance of in-kind support across each of these settings." title="Generic activity and funding structure of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7-05 at 8.21.37 pm.png"/>
                    <pic:cNvPicPr/>
                  </pic:nvPicPr>
                  <pic:blipFill rotWithShape="1">
                    <a:blip r:embed="rId25">
                      <a:extLst>
                        <a:ext uri="{28A0092B-C50C-407E-A947-70E740481C1C}">
                          <a14:useLocalDpi xmlns:a14="http://schemas.microsoft.com/office/drawing/2010/main" val="0"/>
                        </a:ext>
                      </a:extLst>
                    </a:blip>
                    <a:srcRect t="1448"/>
                    <a:stretch/>
                  </pic:blipFill>
                  <pic:spPr bwMode="auto">
                    <a:xfrm>
                      <a:off x="0" y="0"/>
                      <a:ext cx="6490970" cy="3889375"/>
                    </a:xfrm>
                    <a:prstGeom prst="rect">
                      <a:avLst/>
                    </a:prstGeom>
                    <a:ln>
                      <a:noFill/>
                    </a:ln>
                    <a:extLst>
                      <a:ext uri="{53640926-AAD7-44D8-BBD7-CCE9431645EC}">
                        <a14:shadowObscured xmlns:a14="http://schemas.microsoft.com/office/drawing/2010/main"/>
                      </a:ext>
                    </a:extLst>
                  </pic:spPr>
                </pic:pic>
              </a:graphicData>
            </a:graphic>
          </wp:inline>
        </w:drawing>
      </w:r>
    </w:p>
    <w:p w14:paraId="5FB6D6DA" w14:textId="3151B25E" w:rsidR="001B6E24" w:rsidRPr="00657F18" w:rsidRDefault="001B6E24" w:rsidP="00657F18">
      <w:pPr>
        <w:pStyle w:val="Heading4"/>
      </w:pPr>
      <w:r w:rsidRPr="00657F18">
        <w:t>Calculating trial costs</w:t>
      </w:r>
    </w:p>
    <w:p w14:paraId="477F4C43" w14:textId="320A9749" w:rsidR="000C501C" w:rsidRDefault="00DC470B" w:rsidP="00392788">
      <w:pPr>
        <w:pStyle w:val="Commissionbodytext"/>
      </w:pPr>
      <w:r>
        <w:t xml:space="preserve">The cost of performing </w:t>
      </w:r>
      <w:r w:rsidR="004559AF" w:rsidRPr="00060594">
        <w:t>all studies</w:t>
      </w:r>
      <w:r w:rsidR="004559AF" w:rsidRPr="00DC470B">
        <w:t xml:space="preserve"> </w:t>
      </w:r>
      <w:r>
        <w:t>within the n</w:t>
      </w:r>
      <w:r w:rsidR="004559AF" w:rsidRPr="00D00132">
        <w:t>etwork</w:t>
      </w:r>
      <w:r>
        <w:t>s</w:t>
      </w:r>
      <w:r w:rsidR="00DD10AB">
        <w:t xml:space="preserve"> between 2004</w:t>
      </w:r>
      <w:r>
        <w:t xml:space="preserve"> and </w:t>
      </w:r>
      <w:r w:rsidR="00DD10AB">
        <w:t>201</w:t>
      </w:r>
      <w:r w:rsidR="00FD4BBE">
        <w:t xml:space="preserve">4 </w:t>
      </w:r>
      <w:r>
        <w:t>(</w:t>
      </w:r>
      <w:r w:rsidR="00FD4BBE">
        <w:t>inclusive)</w:t>
      </w:r>
      <w:r>
        <w:t xml:space="preserve"> w</w:t>
      </w:r>
      <w:r w:rsidR="00F1147B">
        <w:t>as</w:t>
      </w:r>
      <w:r>
        <w:t xml:space="preserve"> included in the evaluation</w:t>
      </w:r>
      <w:r w:rsidR="004559AF">
        <w:t>.</w:t>
      </w:r>
      <w:r w:rsidR="00DD10AB">
        <w:t xml:space="preserve"> </w:t>
      </w:r>
      <w:r>
        <w:t>F</w:t>
      </w:r>
      <w:r w:rsidR="004559AF">
        <w:t xml:space="preserve">unding for </w:t>
      </w:r>
      <w:r w:rsidR="00DD10AB">
        <w:t xml:space="preserve">early phase </w:t>
      </w:r>
      <w:r w:rsidR="002425D8">
        <w:t>studies</w:t>
      </w:r>
      <w:r>
        <w:t xml:space="preserve"> </w:t>
      </w:r>
      <w:r w:rsidR="002425D8">
        <w:t>(including studies</w:t>
      </w:r>
      <w:r w:rsidR="00D42E71">
        <w:t xml:space="preserve"> that did not lead to late-phase trials) </w:t>
      </w:r>
      <w:r>
        <w:t xml:space="preserve">was included on the basis that these </w:t>
      </w:r>
      <w:r w:rsidR="002425D8">
        <w:t>studies</w:t>
      </w:r>
      <w:r>
        <w:t xml:space="preserve"> </w:t>
      </w:r>
      <w:r w:rsidR="00DD10AB">
        <w:t xml:space="preserve">may have </w:t>
      </w:r>
      <w:r w:rsidR="004559AF">
        <w:t xml:space="preserve">contributed to </w:t>
      </w:r>
      <w:r>
        <w:t>late</w:t>
      </w:r>
      <w:r w:rsidR="00D42E71">
        <w:t>-</w:t>
      </w:r>
      <w:r>
        <w:t>phase</w:t>
      </w:r>
      <w:r w:rsidR="002425D8">
        <w:t xml:space="preserve"> trial</w:t>
      </w:r>
      <w:r>
        <w:t xml:space="preserve"> </w:t>
      </w:r>
      <w:r w:rsidR="000D3600">
        <w:t>benefits</w:t>
      </w:r>
      <w:r w:rsidR="00F1147B">
        <w:t xml:space="preserve"> </w:t>
      </w:r>
      <w:r w:rsidR="004559AF">
        <w:t>by providing introductory evidence, identifying trends or generating hypotheses</w:t>
      </w:r>
      <w:r w:rsidR="0096241B">
        <w:t xml:space="preserve"> for example</w:t>
      </w:r>
      <w:r w:rsidR="004559AF">
        <w:t>.</w:t>
      </w:r>
      <w:r w:rsidR="00A71B76">
        <w:t xml:space="preserve"> </w:t>
      </w:r>
      <w:r w:rsidR="0067365A">
        <w:t>This approach overc</w:t>
      </w:r>
      <w:r>
        <w:t>a</w:t>
      </w:r>
      <w:r w:rsidR="0067365A">
        <w:t xml:space="preserve">me some of the risk of bias </w:t>
      </w:r>
      <w:r w:rsidR="00A71B76">
        <w:t>associated with</w:t>
      </w:r>
      <w:r w:rsidR="0067365A">
        <w:t xml:space="preserve"> analysing only a selection of high-impact trials</w:t>
      </w:r>
      <w:r w:rsidR="00FD4BBE">
        <w:t xml:space="preserve">. </w:t>
      </w:r>
      <w:r w:rsidR="002425D8">
        <w:t>Costs (including in-kind) arising through</w:t>
      </w:r>
      <w:r w:rsidR="009A7E2E">
        <w:t xml:space="preserve"> trial </w:t>
      </w:r>
      <w:r w:rsidR="00EC458F">
        <w:t>coordinating centres that had formally established links with the networks wer</w:t>
      </w:r>
      <w:r w:rsidR="009A7E2E">
        <w:t>e</w:t>
      </w:r>
      <w:r w:rsidR="00EC458F">
        <w:t xml:space="preserve"> also included in the evaluation.</w:t>
      </w:r>
      <w:r w:rsidR="003D2052">
        <w:t xml:space="preserve"> Site level </w:t>
      </w:r>
      <w:r w:rsidR="003D3DAE">
        <w:br/>
      </w:r>
      <w:r w:rsidR="003D2052">
        <w:t xml:space="preserve">in-kind </w:t>
      </w:r>
      <w:r w:rsidR="002425D8">
        <w:t xml:space="preserve">support was </w:t>
      </w:r>
      <w:r w:rsidR="00F7026A">
        <w:t>noted by all three n</w:t>
      </w:r>
      <w:r w:rsidR="002425D8">
        <w:t>etworks but</w:t>
      </w:r>
      <w:r w:rsidR="003D2052">
        <w:t xml:space="preserve"> </w:t>
      </w:r>
      <w:r w:rsidR="002425D8">
        <w:t xml:space="preserve">these costs </w:t>
      </w:r>
      <w:r w:rsidR="003D2052">
        <w:t xml:space="preserve">could not be </w:t>
      </w:r>
      <w:r w:rsidR="002425D8">
        <w:t xml:space="preserve">readily </w:t>
      </w:r>
      <w:r w:rsidR="003D2052">
        <w:t>quantified and</w:t>
      </w:r>
      <w:r w:rsidR="003D3DAE">
        <w:t xml:space="preserve"> </w:t>
      </w:r>
      <w:r w:rsidR="003D2052">
        <w:t>were therefore not included in the analysis.</w:t>
      </w:r>
    </w:p>
    <w:p w14:paraId="0DFCD4D6" w14:textId="77777777" w:rsidR="003D3DAE" w:rsidRDefault="003D3DAE" w:rsidP="00392788">
      <w:pPr>
        <w:pStyle w:val="Commissionbodytext"/>
      </w:pPr>
    </w:p>
    <w:p w14:paraId="1DFD13B5" w14:textId="5B5A9CAA" w:rsidR="007A6725" w:rsidRDefault="00DC470B" w:rsidP="00392788">
      <w:pPr>
        <w:pStyle w:val="Commissionbodytext"/>
      </w:pPr>
      <w:r>
        <w:t>Only n</w:t>
      </w:r>
      <w:r w:rsidR="001B6E24">
        <w:t xml:space="preserve">on-commercial </w:t>
      </w:r>
      <w:r w:rsidR="001B6E24" w:rsidRPr="00AF6925">
        <w:t xml:space="preserve">funding </w:t>
      </w:r>
      <w:r>
        <w:t xml:space="preserve">was included </w:t>
      </w:r>
      <w:r w:rsidR="00F1147B">
        <w:t>in the evaluation. Funding data w</w:t>
      </w:r>
      <w:r w:rsidR="009A7E2E">
        <w:t>ere</w:t>
      </w:r>
      <w:r w:rsidR="00F1147B">
        <w:t xml:space="preserve"> sourced from</w:t>
      </w:r>
      <w:r>
        <w:t xml:space="preserve"> </w:t>
      </w:r>
      <w:r w:rsidR="001B6E24" w:rsidRPr="00AF6925">
        <w:t>the Profiling Networks Report and verifi</w:t>
      </w:r>
      <w:r w:rsidR="00F1147B">
        <w:t>ed</w:t>
      </w:r>
      <w:r w:rsidR="001B6E24" w:rsidRPr="00AF6925">
        <w:t xml:space="preserve"> </w:t>
      </w:r>
      <w:r>
        <w:t>by</w:t>
      </w:r>
      <w:r w:rsidR="001B6E24">
        <w:t xml:space="preserve"> </w:t>
      </w:r>
      <w:r w:rsidR="0096241B">
        <w:t>c</w:t>
      </w:r>
      <w:r w:rsidR="001B6E24">
        <w:t xml:space="preserve">hief </w:t>
      </w:r>
      <w:r w:rsidR="0096241B">
        <w:t>i</w:t>
      </w:r>
      <w:r w:rsidR="001B6E24">
        <w:t>nvestigators</w:t>
      </w:r>
      <w:r w:rsidR="0067365A">
        <w:t xml:space="preserve"> </w:t>
      </w:r>
      <w:r w:rsidR="001B6E24" w:rsidRPr="00AF6925">
        <w:t xml:space="preserve">or </w:t>
      </w:r>
      <w:r w:rsidR="0067365A">
        <w:t>their nominated representatives.</w:t>
      </w:r>
      <w:r w:rsidR="001B6E24" w:rsidRPr="00AF6925">
        <w:t xml:space="preserve"> The proportion of NHMRC funding</w:t>
      </w:r>
      <w:r w:rsidR="00F1147B">
        <w:t xml:space="preserve"> </w:t>
      </w:r>
      <w:r w:rsidR="005D0EEF">
        <w:t>within these figures was confirmed in the same manner</w:t>
      </w:r>
      <w:r w:rsidR="00C13D76">
        <w:t xml:space="preserve"> </w:t>
      </w:r>
      <w:r w:rsidR="005D0EEF">
        <w:t>and cross-</w:t>
      </w:r>
      <w:r w:rsidR="001B6E24" w:rsidRPr="00AF6925">
        <w:t xml:space="preserve">checked </w:t>
      </w:r>
      <w:r w:rsidR="00F1147B">
        <w:t>with</w:t>
      </w:r>
      <w:r w:rsidR="00F1147B" w:rsidRPr="00AF6925">
        <w:t xml:space="preserve"> </w:t>
      </w:r>
      <w:r w:rsidR="001B6E24" w:rsidRPr="00AF6925">
        <w:t>published NHMRC data sources.</w:t>
      </w:r>
      <w:r w:rsidR="00913F6B">
        <w:rPr>
          <w:rStyle w:val="FootnoteReference"/>
        </w:rPr>
        <w:footnoteReference w:id="16"/>
      </w:r>
      <w:r w:rsidR="00A71B76">
        <w:t xml:space="preserve"> </w:t>
      </w:r>
      <w:r w:rsidR="00800348">
        <w:t>Funding data were</w:t>
      </w:r>
      <w:r w:rsidR="00800348" w:rsidRPr="00A45AF9">
        <w:t xml:space="preserve"> </w:t>
      </w:r>
      <w:r w:rsidR="00800348">
        <w:t xml:space="preserve">readily </w:t>
      </w:r>
      <w:r w:rsidR="00800348" w:rsidRPr="00A45AF9">
        <w:t xml:space="preserve">available for approximately half of </w:t>
      </w:r>
      <w:r w:rsidR="00800348">
        <w:t>the</w:t>
      </w:r>
      <w:r w:rsidR="00800348" w:rsidRPr="00A45AF9">
        <w:t xml:space="preserve"> </w:t>
      </w:r>
      <w:r w:rsidR="00800348">
        <w:t>trials</w:t>
      </w:r>
      <w:r w:rsidR="00800348" w:rsidRPr="00A45AF9">
        <w:t xml:space="preserve"> </w:t>
      </w:r>
      <w:r w:rsidR="00800348">
        <w:t xml:space="preserve">within the networks. These data were used to calculate </w:t>
      </w:r>
      <w:r w:rsidR="00800348" w:rsidRPr="00A45AF9">
        <w:t xml:space="preserve">average </w:t>
      </w:r>
      <w:r w:rsidR="00800348" w:rsidRPr="00A45AF9">
        <w:lastRenderedPageBreak/>
        <w:t>cost</w:t>
      </w:r>
      <w:r w:rsidR="00800348">
        <w:t>s</w:t>
      </w:r>
      <w:r w:rsidR="00800348" w:rsidRPr="00A45AF9">
        <w:t xml:space="preserve"> per participant </w:t>
      </w:r>
      <w:r w:rsidR="00800348">
        <w:t>per clinical discipline. For trials where funding data were not readily available, funding was estimated based on the number of participants and corresponding average costs.</w:t>
      </w:r>
    </w:p>
    <w:p w14:paraId="390E33C5" w14:textId="77777777" w:rsidR="003D3DAE" w:rsidRDefault="003D3DAE" w:rsidP="00392788">
      <w:pPr>
        <w:pStyle w:val="Commissionbodytext"/>
      </w:pPr>
    </w:p>
    <w:p w14:paraId="10E9D31C" w14:textId="3E391B19" w:rsidR="007A6725" w:rsidRDefault="00313B8E" w:rsidP="00392788">
      <w:pPr>
        <w:pStyle w:val="Commissionbodytext"/>
      </w:pPr>
      <w:r>
        <w:t>The ongoing costs of the preferred intervention were included, accounting for the fact that if these are more expensive than the alternative they reduce the overall estimated benefit.</w:t>
      </w:r>
      <w:r w:rsidR="0060055A">
        <w:t xml:space="preserve"> </w:t>
      </w:r>
      <w:r w:rsidR="007A6725" w:rsidRPr="00EC74BA">
        <w:t xml:space="preserve">The costs of translation of evidence into clinical practice and </w:t>
      </w:r>
      <w:r w:rsidR="007A6725">
        <w:t>the cost or benefit of potential third</w:t>
      </w:r>
      <w:r w:rsidR="0096241B">
        <w:t>-</w:t>
      </w:r>
      <w:r w:rsidR="007A6725">
        <w:t>order consequences of trial outcomes</w:t>
      </w:r>
      <w:r w:rsidR="007A6725" w:rsidRPr="00EC74BA">
        <w:t xml:space="preserve"> </w:t>
      </w:r>
      <w:r>
        <w:t xml:space="preserve">were </w:t>
      </w:r>
      <w:r w:rsidR="007A6725" w:rsidRPr="00EC74BA">
        <w:t xml:space="preserve">not included unless explicitly measured in the </w:t>
      </w:r>
      <w:r w:rsidR="007A6725">
        <w:t>t</w:t>
      </w:r>
      <w:r w:rsidR="007A6725" w:rsidRPr="00EC74BA">
        <w:t xml:space="preserve">rial. </w:t>
      </w:r>
      <w:r w:rsidR="007A6725">
        <w:t>For example</w:t>
      </w:r>
      <w:r w:rsidR="00D646AC">
        <w:t>,</w:t>
      </w:r>
      <w:r w:rsidR="007A6725">
        <w:t xml:space="preserve"> if </w:t>
      </w:r>
      <w:r w:rsidR="007A6725" w:rsidRPr="00A523F5">
        <w:t xml:space="preserve">a </w:t>
      </w:r>
      <w:r w:rsidR="007A6725">
        <w:t xml:space="preserve">trial resulted in a </w:t>
      </w:r>
      <w:r w:rsidR="007A6725" w:rsidRPr="00A523F5">
        <w:t>reduction in c</w:t>
      </w:r>
      <w:r w:rsidR="0056161A">
        <w:t>a</w:t>
      </w:r>
      <w:r w:rsidR="007A6725" w:rsidRPr="00A523F5">
        <w:t xml:space="preserve">esarean section </w:t>
      </w:r>
      <w:r w:rsidR="007A6725">
        <w:t xml:space="preserve">rates, these mothers may have a reduced likelihood of undergoing </w:t>
      </w:r>
      <w:r w:rsidR="007A6725" w:rsidRPr="00A523F5">
        <w:t>c</w:t>
      </w:r>
      <w:r w:rsidR="0056161A">
        <w:t>a</w:t>
      </w:r>
      <w:r w:rsidR="007A6725" w:rsidRPr="00A523F5">
        <w:t>esarean sections</w:t>
      </w:r>
      <w:r w:rsidR="007A6725">
        <w:t xml:space="preserve"> (and their associated health outcomes) in any subsequent pregnanci</w:t>
      </w:r>
      <w:r w:rsidR="00D646AC">
        <w:t xml:space="preserve">es. </w:t>
      </w:r>
      <w:r w:rsidR="00B04763">
        <w:t>These we</w:t>
      </w:r>
      <w:r w:rsidR="007A6725">
        <w:t>re not included unless measured in the trial.</w:t>
      </w:r>
    </w:p>
    <w:p w14:paraId="6765C216" w14:textId="217120FB" w:rsidR="001B6E24" w:rsidRDefault="001B6E24" w:rsidP="00257D81">
      <w:pPr>
        <w:pStyle w:val="Heading4"/>
      </w:pPr>
      <w:r>
        <w:t>Calculating network costs</w:t>
      </w:r>
    </w:p>
    <w:p w14:paraId="48C55EB5" w14:textId="2BD611E8" w:rsidR="008E3877" w:rsidRPr="008E3877" w:rsidRDefault="008E3877" w:rsidP="00392788">
      <w:pPr>
        <w:pStyle w:val="Commissionbodytext"/>
      </w:pPr>
      <w:r>
        <w:t xml:space="preserve">Total network costs since inception were supplied by the networks and included in the evaluation. This conservative approach was taken on the basis that the </w:t>
      </w:r>
      <w:r w:rsidR="00D646AC">
        <w:t>capacity</w:t>
      </w:r>
      <w:r>
        <w:t xml:space="preserve"> and expertise developed over time may have contributed to the benefits being quantified. Network costs included the costs to establish, maintain and operate the network, cost of trial coordination</w:t>
      </w:r>
      <w:r>
        <w:softHyphen/>
        <w:t xml:space="preserve"> (either internally within the network or via collaboration with an established trial</w:t>
      </w:r>
      <w:r w:rsidR="0096241B">
        <w:t>-</w:t>
      </w:r>
      <w:r>
        <w:t>coordinating centre) and estimates of the value of in-kind contributions (expert time or facilities provided to the network at no cost). Any trial</w:t>
      </w:r>
      <w:r w:rsidR="00F009D8">
        <w:noBreakHyphen/>
      </w:r>
      <w:r>
        <w:t>coordination costs that could not be provided by the networks were estimated as a fixed proportion of clinical trial funding.</w:t>
      </w:r>
      <w:r>
        <w:rPr>
          <w:rStyle w:val="FootnoteReference"/>
        </w:rPr>
        <w:footnoteReference w:id="17"/>
      </w:r>
      <w:r>
        <w:t xml:space="preserve"> </w:t>
      </w:r>
    </w:p>
    <w:p w14:paraId="5F84BB3E" w14:textId="545DD76E" w:rsidR="00AF6925" w:rsidRPr="00AF6925" w:rsidRDefault="00AF6925" w:rsidP="00257D81">
      <w:pPr>
        <w:pStyle w:val="Heading3"/>
      </w:pPr>
      <w:r>
        <w:t>Sensitivity analysis</w:t>
      </w:r>
    </w:p>
    <w:p w14:paraId="0210201B" w14:textId="2F362FAC" w:rsidR="00AF6925" w:rsidRDefault="006B2D71" w:rsidP="00392788">
      <w:pPr>
        <w:pStyle w:val="Commissionbodytext"/>
      </w:pPr>
      <w:r>
        <w:t>Sensitivity analyses a</w:t>
      </w:r>
      <w:r w:rsidR="00AF6925">
        <w:t>re</w:t>
      </w:r>
      <w:r w:rsidR="00AF6925" w:rsidRPr="00AF6925">
        <w:t xml:space="preserve"> used to investigate what would happen to results if </w:t>
      </w:r>
      <w:r w:rsidR="00337398">
        <w:t xml:space="preserve">major </w:t>
      </w:r>
      <w:r w:rsidR="00AF6925" w:rsidRPr="00AF6925">
        <w:t>assumptions</w:t>
      </w:r>
      <w:r w:rsidR="00337398">
        <w:t xml:space="preserve"> used in calculations</w:t>
      </w:r>
      <w:r w:rsidR="00AF6925" w:rsidRPr="00AF6925">
        <w:t xml:space="preserve"> </w:t>
      </w:r>
      <w:r w:rsidR="00DD6945">
        <w:t xml:space="preserve">were to </w:t>
      </w:r>
      <w:r w:rsidR="00AF6925" w:rsidRPr="00AF6925">
        <w:t>change. They answer the question ‘</w:t>
      </w:r>
      <w:r w:rsidR="00D44B37">
        <w:t>d</w:t>
      </w:r>
      <w:r w:rsidR="00AF6925" w:rsidRPr="00AF6925">
        <w:t xml:space="preserve">o the decisions made in the analysis impact the strength of the findings?’ If the answer to the question is no, then the results can be viewed with a higher degree of certainty. The following </w:t>
      </w:r>
      <w:r w:rsidR="00D44B37">
        <w:t>were</w:t>
      </w:r>
      <w:r w:rsidR="00D44B37" w:rsidRPr="00AF6925">
        <w:t xml:space="preserve"> </w:t>
      </w:r>
      <w:r w:rsidR="00AF6925" w:rsidRPr="00AF6925">
        <w:t>tested through sensitivity analyses:</w:t>
      </w:r>
    </w:p>
    <w:p w14:paraId="23CAD166" w14:textId="77777777" w:rsidR="003D3DAE" w:rsidRPr="00AF6925" w:rsidRDefault="003D3DAE" w:rsidP="00392788">
      <w:pPr>
        <w:pStyle w:val="Commissionbodytext"/>
      </w:pPr>
    </w:p>
    <w:p w14:paraId="3FAC5279" w14:textId="3631B2C4" w:rsidR="00AF6925" w:rsidRPr="00AF6925" w:rsidRDefault="00AF6925" w:rsidP="00392788">
      <w:pPr>
        <w:pStyle w:val="Commissionbullets"/>
      </w:pPr>
      <w:r w:rsidRPr="00DC2004">
        <w:rPr>
          <w:rStyle w:val="Strong"/>
          <w:b w:val="0"/>
        </w:rPr>
        <w:t>Rate of implementation</w:t>
      </w:r>
      <w:r w:rsidR="0024726C">
        <w:rPr>
          <w:rStyle w:val="Strong"/>
          <w:b w:val="0"/>
        </w:rPr>
        <w:t>,</w:t>
      </w:r>
      <w:r w:rsidR="0024726C">
        <w:t xml:space="preserve"> </w:t>
      </w:r>
      <w:r w:rsidRPr="00AF6925">
        <w:t xml:space="preserve">what </w:t>
      </w:r>
      <w:r w:rsidR="006B2D71">
        <w:t>would happen to the results if the</w:t>
      </w:r>
      <w:r w:rsidRPr="00AF6925">
        <w:t xml:space="preserve"> trial finding</w:t>
      </w:r>
      <w:r w:rsidR="006B2D71">
        <w:t>s we</w:t>
      </w:r>
      <w:r w:rsidRPr="00AF6925">
        <w:t xml:space="preserve">re implemented in </w:t>
      </w:r>
      <w:r w:rsidR="00337398">
        <w:t>a number other than</w:t>
      </w:r>
      <w:r w:rsidRPr="00AF6925">
        <w:t xml:space="preserve"> 65% of the eligible population</w:t>
      </w:r>
    </w:p>
    <w:p w14:paraId="0F22A308" w14:textId="4CCF9AF9" w:rsidR="00DB3476" w:rsidRDefault="00AF6925" w:rsidP="00392788">
      <w:pPr>
        <w:pStyle w:val="Commissionbullets"/>
      </w:pPr>
      <w:r w:rsidRPr="00DC2004">
        <w:rPr>
          <w:rStyle w:val="Strong"/>
          <w:b w:val="0"/>
        </w:rPr>
        <w:t>Value of a year of life in full health</w:t>
      </w:r>
      <w:r w:rsidR="0024726C">
        <w:rPr>
          <w:rStyle w:val="Strong"/>
          <w:b w:val="0"/>
        </w:rPr>
        <w:t>,</w:t>
      </w:r>
      <w:r w:rsidR="0024726C">
        <w:t xml:space="preserve"> </w:t>
      </w:r>
      <w:r w:rsidRPr="00AF6925">
        <w:t xml:space="preserve">what </w:t>
      </w:r>
      <w:r w:rsidR="006B2D71">
        <w:t>would happen to the results</w:t>
      </w:r>
      <w:r w:rsidRPr="00AF6925">
        <w:t xml:space="preserve"> if</w:t>
      </w:r>
      <w:r w:rsidR="006B2D71">
        <w:t xml:space="preserve"> a year of life in full health was valued </w:t>
      </w:r>
      <w:r w:rsidR="00DD6945">
        <w:t>at less</w:t>
      </w:r>
      <w:r w:rsidRPr="00AF6925">
        <w:t xml:space="preserve"> than $180</w:t>
      </w:r>
      <w:r w:rsidR="00D44B37">
        <w:t>,</w:t>
      </w:r>
      <w:r w:rsidRPr="00AF6925">
        <w:t>000</w:t>
      </w:r>
      <w:bookmarkEnd w:id="24"/>
      <w:r w:rsidR="007A6725">
        <w:t>.</w:t>
      </w:r>
      <w:r w:rsidR="007A6725">
        <w:rPr>
          <w:rStyle w:val="FootnoteReference"/>
        </w:rPr>
        <w:footnoteReference w:id="18"/>
      </w:r>
    </w:p>
    <w:p w14:paraId="6EF392BD" w14:textId="77777777" w:rsidR="0060055A" w:rsidRDefault="0060055A">
      <w:pPr>
        <w:spacing w:before="0" w:after="200" w:line="276" w:lineRule="auto"/>
        <w:rPr>
          <w:rFonts w:ascii="Franklin Gothic Heavy" w:eastAsiaTheme="majorEastAsia" w:hAnsi="Franklin Gothic Heavy" w:cstheme="majorBidi"/>
          <w:bCs/>
          <w:color w:val="2F5496" w:themeColor="accent5" w:themeShade="BF"/>
          <w:spacing w:val="20"/>
          <w:sz w:val="40"/>
          <w:szCs w:val="28"/>
        </w:rPr>
      </w:pPr>
      <w:bookmarkStart w:id="53" w:name="_Toc329424855"/>
      <w:r>
        <w:br w:type="page"/>
      </w:r>
    </w:p>
    <w:p w14:paraId="36FF4535" w14:textId="4650C9F2" w:rsidR="00A45AF9" w:rsidRPr="00A45AF9" w:rsidRDefault="00A45AF9" w:rsidP="00E11C81">
      <w:pPr>
        <w:pStyle w:val="Heading1"/>
        <w:spacing w:before="120" w:after="240"/>
      </w:pPr>
      <w:bookmarkStart w:id="54" w:name="_Toc487184527"/>
      <w:r w:rsidRPr="00A45AF9">
        <w:lastRenderedPageBreak/>
        <w:t>Results of the health and economic evaluation</w:t>
      </w:r>
      <w:bookmarkEnd w:id="53"/>
      <w:bookmarkEnd w:id="54"/>
      <w:r w:rsidRPr="00A45AF9">
        <w:t xml:space="preserve"> </w:t>
      </w:r>
    </w:p>
    <w:p w14:paraId="01355C92" w14:textId="50F3E877" w:rsidR="00934D34" w:rsidRPr="00F074A5" w:rsidRDefault="00A45AF9" w:rsidP="00392788">
      <w:pPr>
        <w:pStyle w:val="Commissionbodytext"/>
      </w:pPr>
      <w:r w:rsidRPr="00F074A5">
        <w:t xml:space="preserve">This section presents the </w:t>
      </w:r>
      <w:r w:rsidR="00F22B02" w:rsidRPr="00F074A5">
        <w:t>consolidated findings from the analysis</w:t>
      </w:r>
      <w:r w:rsidRPr="00F074A5">
        <w:t xml:space="preserve">. </w:t>
      </w:r>
      <w:r w:rsidR="00934D34" w:rsidRPr="00F074A5">
        <w:t>I</w:t>
      </w:r>
      <w:r w:rsidR="0025728D" w:rsidRPr="00F074A5">
        <w:t xml:space="preserve">t is not the purpose of this evaluation to compare </w:t>
      </w:r>
      <w:r w:rsidR="00F7026A" w:rsidRPr="00F074A5">
        <w:t>n</w:t>
      </w:r>
      <w:r w:rsidR="0025728D" w:rsidRPr="00F074A5">
        <w:t>etworks or individual trials</w:t>
      </w:r>
      <w:r w:rsidR="00934D34" w:rsidRPr="00F074A5">
        <w:t xml:space="preserve">, </w:t>
      </w:r>
      <w:r w:rsidR="00454852" w:rsidRPr="00F074A5">
        <w:t>since</w:t>
      </w:r>
      <w:r w:rsidR="00934D34" w:rsidRPr="00F074A5">
        <w:t xml:space="preserve"> sampling was</w:t>
      </w:r>
      <w:r w:rsidR="0025728D" w:rsidRPr="00F074A5">
        <w:t xml:space="preserve"> uneven and economic differences </w:t>
      </w:r>
      <w:r w:rsidR="00454852" w:rsidRPr="00F074A5">
        <w:t xml:space="preserve">between </w:t>
      </w:r>
      <w:r w:rsidR="0025728D" w:rsidRPr="00F074A5">
        <w:t>clinical specialties</w:t>
      </w:r>
      <w:r w:rsidR="00454852" w:rsidRPr="00F074A5">
        <w:t xml:space="preserve"> are to be expected</w:t>
      </w:r>
      <w:r w:rsidR="0025728D" w:rsidRPr="00F074A5">
        <w:t>.</w:t>
      </w:r>
    </w:p>
    <w:p w14:paraId="6EF8D2F6" w14:textId="77777777" w:rsidR="003D3DAE" w:rsidRDefault="003D3DAE" w:rsidP="00392788">
      <w:pPr>
        <w:pStyle w:val="Commissionbodytext"/>
      </w:pPr>
    </w:p>
    <w:p w14:paraId="71344556" w14:textId="62FBBFC5" w:rsidR="00E539E4" w:rsidRPr="00F074A5" w:rsidRDefault="00934D34" w:rsidP="00392788">
      <w:pPr>
        <w:pStyle w:val="Commissionbodytext"/>
      </w:pPr>
      <w:r w:rsidRPr="00F074A5">
        <w:t xml:space="preserve">All values are in 2014 dollars. Values over $10 million </w:t>
      </w:r>
      <w:r w:rsidR="00596DF4" w:rsidRPr="00F074A5">
        <w:t>are</w:t>
      </w:r>
      <w:r w:rsidRPr="00F074A5">
        <w:t xml:space="preserve"> rounded to the nearest million for presentation.</w:t>
      </w:r>
      <w:r w:rsidR="00D4110B">
        <w:t xml:space="preserve"> Values over </w:t>
      </w:r>
      <w:r w:rsidR="00BF1BE7">
        <w:t xml:space="preserve">$1 billion are rounded to the nearest </w:t>
      </w:r>
      <w:r w:rsidR="00001CAE">
        <w:t>$</w:t>
      </w:r>
      <w:r w:rsidR="00BF1BE7">
        <w:t>100 million.</w:t>
      </w:r>
      <w:r w:rsidRPr="00F074A5">
        <w:t xml:space="preserve"> Ratios are presented to the nearest whole number, except for the consolidated gross benefit to cost ratio. </w:t>
      </w:r>
      <w:r w:rsidR="00A45AF9" w:rsidRPr="00F074A5">
        <w:t>Full network level and individual trial level results are presented in appendices.</w:t>
      </w:r>
      <w:bookmarkStart w:id="55" w:name="_Toc329424856"/>
    </w:p>
    <w:p w14:paraId="64FC2355" w14:textId="77777777" w:rsidR="003D3DAE" w:rsidRDefault="003D3DAE" w:rsidP="00392788">
      <w:pPr>
        <w:pStyle w:val="Commissionbodytext"/>
      </w:pPr>
    </w:p>
    <w:p w14:paraId="3B717217" w14:textId="799F07D3" w:rsidR="00AC3BDA" w:rsidRPr="00F074A5" w:rsidRDefault="00AC3BDA" w:rsidP="00392788">
      <w:pPr>
        <w:pStyle w:val="Commissionbodytext"/>
      </w:pPr>
      <w:r w:rsidRPr="00F074A5">
        <w:t>A 3% per annum discount rate was applied on costs and benefits to reflect that these accumulate over time and that the true value of money changes year on year.</w:t>
      </w:r>
      <w:r w:rsidRPr="00F074A5">
        <w:rPr>
          <w:vertAlign w:val="superscript"/>
        </w:rPr>
        <w:footnoteReference w:id="19"/>
      </w:r>
    </w:p>
    <w:p w14:paraId="586B8ECA" w14:textId="77777777" w:rsidR="00AC3BDA" w:rsidRPr="00915516" w:rsidRDefault="00AC3BDA" w:rsidP="00E539E4">
      <w:pPr>
        <w:rPr>
          <w:i/>
          <w:iCs/>
        </w:rPr>
      </w:pPr>
    </w:p>
    <w:bookmarkStart w:id="56" w:name="_Toc487184528"/>
    <w:bookmarkEnd w:id="55"/>
    <w:p w14:paraId="568F4302" w14:textId="202CE098" w:rsidR="001C193E" w:rsidRDefault="00180869" w:rsidP="00392524">
      <w:pPr>
        <w:pStyle w:val="Heading2"/>
      </w:pPr>
      <w:r>
        <w:rPr>
          <w:noProof/>
          <w:lang w:val="en-AU" w:eastAsia="en-AU"/>
        </w:rPr>
        <w:lastRenderedPageBreak/>
        <mc:AlternateContent>
          <mc:Choice Requires="wps">
            <w:drawing>
              <wp:anchor distT="0" distB="0" distL="114300" distR="114300" simplePos="0" relativeHeight="251656192" behindDoc="0" locked="0" layoutInCell="1" allowOverlap="1" wp14:anchorId="6B38C7BD" wp14:editId="3574AB4A">
                <wp:simplePos x="0" y="0"/>
                <wp:positionH relativeFrom="column">
                  <wp:posOffset>-41910</wp:posOffset>
                </wp:positionH>
                <wp:positionV relativeFrom="paragraph">
                  <wp:posOffset>465134</wp:posOffset>
                </wp:positionV>
                <wp:extent cx="6274435" cy="6424930"/>
                <wp:effectExtent l="0" t="0" r="0" b="6985"/>
                <wp:wrapSquare wrapText="bothSides"/>
                <wp:docPr id="2" name="Text Box 2"/>
                <wp:cNvGraphicFramePr/>
                <a:graphic xmlns:a="http://schemas.openxmlformats.org/drawingml/2006/main">
                  <a:graphicData uri="http://schemas.microsoft.com/office/word/2010/wordprocessingShape">
                    <wps:wsp>
                      <wps:cNvSpPr txBox="1"/>
                      <wps:spPr>
                        <a:xfrm>
                          <a:off x="0" y="0"/>
                          <a:ext cx="6274435" cy="6424930"/>
                        </a:xfrm>
                        <a:prstGeom prst="rect">
                          <a:avLst/>
                        </a:prstGeom>
                        <a:solidFill>
                          <a:schemeClr val="accent5">
                            <a:lumMod val="75000"/>
                          </a:schemeClr>
                        </a:solidFill>
                        <a:ln>
                          <a:noFill/>
                        </a:ln>
                        <a:effectLst/>
                      </wps:spPr>
                      <wps:txbx>
                        <w:txbxContent>
                          <w:p w14:paraId="516902EE" w14:textId="3F0EDB6E" w:rsidR="008B6070" w:rsidRPr="008B6070" w:rsidRDefault="008B6070" w:rsidP="008B6070">
                            <w:pPr>
                              <w:pStyle w:val="Commissionbodytext"/>
                              <w:rPr>
                                <w:color w:val="F2F2F2" w:themeColor="background1" w:themeShade="F2"/>
                                <w:sz w:val="28"/>
                                <w:szCs w:val="28"/>
                              </w:rPr>
                            </w:pPr>
                            <w:r w:rsidRPr="008B6070">
                              <w:rPr>
                                <w:color w:val="F2F2F2" w:themeColor="background1" w:themeShade="F2"/>
                                <w:sz w:val="28"/>
                                <w:szCs w:val="28"/>
                              </w:rPr>
                              <w:t>In total, 25 high-impact clinical trials were evaluated across the three networks. If the results of these trials were implemented in 65% of the eligible Australian patient population</w:t>
                            </w:r>
                            <w:r w:rsidR="002F38F6">
                              <w:rPr>
                                <w:color w:val="F2F2F2" w:themeColor="background1" w:themeShade="F2"/>
                                <w:sz w:val="28"/>
                                <w:szCs w:val="28"/>
                              </w:rPr>
                              <w:t>s</w:t>
                            </w:r>
                            <w:r w:rsidRPr="008B6070">
                              <w:rPr>
                                <w:color w:val="F2F2F2" w:themeColor="background1" w:themeShade="F2"/>
                                <w:sz w:val="28"/>
                                <w:szCs w:val="28"/>
                              </w:rPr>
                              <w:t xml:space="preserve"> for one year: </w:t>
                            </w:r>
                          </w:p>
                          <w:p w14:paraId="44A23708" w14:textId="77777777" w:rsidR="008B6070" w:rsidRPr="008B6070" w:rsidRDefault="008B6070" w:rsidP="008B6070">
                            <w:pPr>
                              <w:pStyle w:val="Commissionbodytext"/>
                              <w:rPr>
                                <w:color w:val="F2F2F2" w:themeColor="background1" w:themeShade="F2"/>
                                <w:sz w:val="28"/>
                                <w:szCs w:val="28"/>
                              </w:rPr>
                            </w:pPr>
                          </w:p>
                          <w:p w14:paraId="1E260E31" w14:textId="77777777" w:rsidR="008B6070" w:rsidRPr="008B6070" w:rsidRDefault="008B6070" w:rsidP="008B6070">
                            <w:pPr>
                              <w:pStyle w:val="Commissionbullets"/>
                              <w:rPr>
                                <w:color w:val="F2F2F2" w:themeColor="background1" w:themeShade="F2"/>
                                <w:sz w:val="28"/>
                                <w:szCs w:val="28"/>
                              </w:rPr>
                            </w:pPr>
                            <w:r w:rsidRPr="008B6070">
                              <w:rPr>
                                <w:color w:val="F2F2F2" w:themeColor="background1" w:themeShade="F2"/>
                                <w:sz w:val="28"/>
                                <w:szCs w:val="28"/>
                              </w:rPr>
                              <w:t>The gross benefit would be approximately $2 billion (2014 dollars) measured through better health outcomes and reduced health service costs</w:t>
                            </w:r>
                          </w:p>
                          <w:p w14:paraId="34FB30F0" w14:textId="77777777" w:rsidR="008B6070" w:rsidRPr="008B6070" w:rsidRDefault="008B6070" w:rsidP="008B6070">
                            <w:pPr>
                              <w:pStyle w:val="Commissionbullets"/>
                              <w:rPr>
                                <w:color w:val="F2F2F2" w:themeColor="background1" w:themeShade="F2"/>
                                <w:sz w:val="28"/>
                                <w:szCs w:val="28"/>
                              </w:rPr>
                            </w:pPr>
                            <w:r w:rsidRPr="008B6070">
                              <w:rPr>
                                <w:color w:val="F2F2F2" w:themeColor="background1" w:themeShade="F2"/>
                                <w:sz w:val="28"/>
                                <w:szCs w:val="28"/>
                              </w:rPr>
                              <w:t>Reductions in health service costs would account for 30% ($580 million) of the gross benefit, and this alone would exceed the total costs for the three networks and all of their research activity from 2004 to 2014.</w:t>
                            </w:r>
                          </w:p>
                          <w:p w14:paraId="23913770" w14:textId="77777777" w:rsidR="008B6070" w:rsidRPr="008B6070" w:rsidRDefault="008B6070" w:rsidP="008B6070">
                            <w:pPr>
                              <w:pStyle w:val="Commissionbodytext"/>
                              <w:rPr>
                                <w:color w:val="F2F2F2" w:themeColor="background1" w:themeShade="F2"/>
                                <w:sz w:val="28"/>
                                <w:szCs w:val="28"/>
                              </w:rPr>
                            </w:pPr>
                          </w:p>
                          <w:p w14:paraId="15088BC5" w14:textId="77777777" w:rsidR="008B6070" w:rsidRDefault="008B6070" w:rsidP="008B6070">
                            <w:pPr>
                              <w:pStyle w:val="Commissionbodytext"/>
                              <w:rPr>
                                <w:color w:val="F2F2F2" w:themeColor="background1" w:themeShade="F2"/>
                                <w:sz w:val="28"/>
                                <w:szCs w:val="28"/>
                              </w:rPr>
                            </w:pPr>
                            <w:r w:rsidRPr="008B6070">
                              <w:rPr>
                                <w:color w:val="F2F2F2" w:themeColor="background1" w:themeShade="F2"/>
                                <w:sz w:val="28"/>
                                <w:szCs w:val="28"/>
                              </w:rPr>
                              <w:t>The report also finds:</w:t>
                            </w:r>
                          </w:p>
                          <w:p w14:paraId="47B18A0A" w14:textId="77777777" w:rsidR="008B6070" w:rsidRPr="008B6070" w:rsidRDefault="008B6070" w:rsidP="008B6070">
                            <w:pPr>
                              <w:pStyle w:val="Commissionbodytext"/>
                              <w:rPr>
                                <w:color w:val="F2F2F2" w:themeColor="background1" w:themeShade="F2"/>
                                <w:sz w:val="28"/>
                                <w:szCs w:val="28"/>
                              </w:rPr>
                            </w:pPr>
                          </w:p>
                          <w:p w14:paraId="03E6D45E" w14:textId="77777777" w:rsidR="008B6070" w:rsidRPr="008B6070" w:rsidRDefault="008B6070" w:rsidP="008B6070">
                            <w:pPr>
                              <w:pStyle w:val="Commissionbodytext"/>
                              <w:numPr>
                                <w:ilvl w:val="0"/>
                                <w:numId w:val="13"/>
                              </w:numPr>
                              <w:rPr>
                                <w:color w:val="F2F2F2" w:themeColor="background1" w:themeShade="F2"/>
                                <w:sz w:val="28"/>
                                <w:szCs w:val="28"/>
                              </w:rPr>
                            </w:pPr>
                            <w:r w:rsidRPr="008B6070">
                              <w:rPr>
                                <w:color w:val="F2F2F2" w:themeColor="background1" w:themeShade="F2"/>
                                <w:sz w:val="28"/>
                                <w:szCs w:val="28"/>
                              </w:rPr>
                              <w:t>The overall consolidated benefit-to-cost ratio for the networks is 5.8:1, or a return of $5.80 for every $1 invested</w:t>
                            </w:r>
                          </w:p>
                          <w:p w14:paraId="496DDEC8" w14:textId="77777777" w:rsidR="008B6070" w:rsidRPr="008B6070" w:rsidRDefault="008B6070" w:rsidP="008B6070">
                            <w:pPr>
                              <w:pStyle w:val="Commissionbodytext"/>
                              <w:numPr>
                                <w:ilvl w:val="0"/>
                                <w:numId w:val="13"/>
                              </w:numPr>
                              <w:rPr>
                                <w:color w:val="F2F2F2" w:themeColor="background1" w:themeShade="F2"/>
                                <w:sz w:val="28"/>
                                <w:szCs w:val="28"/>
                              </w:rPr>
                            </w:pPr>
                            <w:r w:rsidRPr="008B6070">
                              <w:rPr>
                                <w:color w:val="F2F2F2" w:themeColor="background1" w:themeShade="F2"/>
                                <w:sz w:val="28"/>
                                <w:szCs w:val="28"/>
                              </w:rPr>
                              <w:t>The results of the 25 trials only needed to be implemented in 11% of the eligible patient populations for benefits to exceed costs</w:t>
                            </w:r>
                          </w:p>
                          <w:p w14:paraId="1708872F" w14:textId="471D3CC7" w:rsidR="008B6070" w:rsidRPr="008B6070" w:rsidRDefault="008B6070" w:rsidP="008B6070">
                            <w:pPr>
                              <w:pStyle w:val="Commissionbodytext"/>
                              <w:numPr>
                                <w:ilvl w:val="0"/>
                                <w:numId w:val="13"/>
                              </w:numPr>
                              <w:rPr>
                                <w:color w:val="F2F2F2" w:themeColor="background1" w:themeShade="F2"/>
                                <w:sz w:val="28"/>
                                <w:szCs w:val="28"/>
                              </w:rPr>
                            </w:pPr>
                            <w:r w:rsidRPr="008B6070">
                              <w:rPr>
                                <w:color w:val="F2F2F2" w:themeColor="background1" w:themeShade="F2"/>
                                <w:sz w:val="28"/>
                                <w:szCs w:val="28"/>
                              </w:rPr>
                              <w:t xml:space="preserve">For every $1 awarded in </w:t>
                            </w:r>
                            <w:r>
                              <w:rPr>
                                <w:color w:val="F2F2F2" w:themeColor="background1" w:themeShade="F2"/>
                                <w:sz w:val="28"/>
                                <w:szCs w:val="28"/>
                              </w:rPr>
                              <w:t xml:space="preserve">NHMRC </w:t>
                            </w:r>
                            <w:r w:rsidRPr="008B6070">
                              <w:rPr>
                                <w:color w:val="F2F2F2" w:themeColor="background1" w:themeShade="F2"/>
                                <w:sz w:val="28"/>
                                <w:szCs w:val="28"/>
                              </w:rPr>
                              <w:t>grants to the 25 trials, a return of $51.10 was achieved</w:t>
                            </w:r>
                          </w:p>
                          <w:p w14:paraId="3D36D876" w14:textId="7C4E003D" w:rsidR="008B6070" w:rsidRPr="008B6070" w:rsidRDefault="008B6070" w:rsidP="008B6070">
                            <w:pPr>
                              <w:pStyle w:val="Commissionbodytext"/>
                              <w:numPr>
                                <w:ilvl w:val="0"/>
                                <w:numId w:val="13"/>
                              </w:numPr>
                              <w:rPr>
                                <w:color w:val="F2F2F2" w:themeColor="background1" w:themeShade="F2"/>
                                <w:sz w:val="28"/>
                                <w:szCs w:val="28"/>
                              </w:rPr>
                            </w:pPr>
                            <w:r w:rsidRPr="008B6070">
                              <w:rPr>
                                <w:color w:val="F2F2F2" w:themeColor="background1" w:themeShade="F2"/>
                                <w:sz w:val="28"/>
                                <w:szCs w:val="28"/>
                              </w:rPr>
                              <w:t>Just 9% of the $2 billion gross benefit from the trials in this study was equivalent to all NHMRC funding received by all Australian networks between 2004 and 2014</w:t>
                            </w:r>
                          </w:p>
                          <w:p w14:paraId="6951A5D3" w14:textId="77777777" w:rsidR="008B6070" w:rsidRPr="008B6070" w:rsidRDefault="008B6070" w:rsidP="008B6070">
                            <w:pPr>
                              <w:pStyle w:val="Commissionbullets"/>
                              <w:rPr>
                                <w:rStyle w:val="Strong"/>
                                <w:b w:val="0"/>
                                <w:color w:val="F2F2F2" w:themeColor="background1" w:themeShade="F2"/>
                                <w:sz w:val="28"/>
                                <w:szCs w:val="28"/>
                              </w:rPr>
                            </w:pPr>
                            <w:r w:rsidRPr="008B6070">
                              <w:rPr>
                                <w:rStyle w:val="Strong"/>
                                <w:b w:val="0"/>
                                <w:color w:val="F2F2F2" w:themeColor="background1" w:themeShade="F2"/>
                                <w:sz w:val="28"/>
                                <w:szCs w:val="28"/>
                              </w:rPr>
                              <w:t>Trials conducted by networks influence clinical guidelines, identify ways to improve safety and quality and identify opportunities for more efficient resource use</w:t>
                            </w:r>
                          </w:p>
                          <w:p w14:paraId="7C53848A" w14:textId="77777777" w:rsidR="008B6070" w:rsidRPr="008B6070" w:rsidRDefault="008B6070" w:rsidP="008B6070">
                            <w:pPr>
                              <w:pStyle w:val="Commissionbullets"/>
                              <w:rPr>
                                <w:rStyle w:val="Strong"/>
                                <w:b w:val="0"/>
                                <w:color w:val="F2F2F2" w:themeColor="background1" w:themeShade="F2"/>
                                <w:sz w:val="28"/>
                                <w:szCs w:val="28"/>
                              </w:rPr>
                            </w:pPr>
                            <w:r w:rsidRPr="008B6070">
                              <w:rPr>
                                <w:rStyle w:val="Strong"/>
                                <w:b w:val="0"/>
                                <w:color w:val="F2F2F2" w:themeColor="background1" w:themeShade="F2"/>
                                <w:sz w:val="28"/>
                                <w:szCs w:val="28"/>
                              </w:rPr>
                              <w:t>Increasing implementation of trial evidence into practice can lead to considerable additional health and economic gains.</w:t>
                            </w:r>
                          </w:p>
                          <w:p w14:paraId="576C1AEC" w14:textId="77777777" w:rsidR="008B6070" w:rsidRDefault="008B6070" w:rsidP="008B6070">
                            <w:pPr>
                              <w:pStyle w:val="Commissionbodytext"/>
                              <w:ind w:left="720"/>
                            </w:pP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pt;margin-top:36.6pt;width:494.05pt;height:50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" fillcolor="#2f5496 [2408]" stroked="f">
                <v:textbox style="mso-fit-shape-to-text:t" inset="3mm,3mm,3mm,3mm">
                  <w:txbxContent>
                    <w:p w14:paraId="516902EE" w14:textId="3F0EDB6E" w:rsidR="008B6070" w:rsidRPr="008B6070" w:rsidRDefault="008B6070" w:rsidP="008B6070">
                      <w:pPr>
                        <w:pStyle w:val="Commissionbodytext"/>
                        <w:rPr>
                          <w:color w:val="F2F2F2" w:themeColor="background1" w:themeShade="F2"/>
                          <w:sz w:val="28"/>
                          <w:szCs w:val="28"/>
                        </w:rPr>
                      </w:pPr>
                      <w:r w:rsidRPr="008B6070">
                        <w:rPr>
                          <w:color w:val="F2F2F2" w:themeColor="background1" w:themeShade="F2"/>
                          <w:sz w:val="28"/>
                          <w:szCs w:val="28"/>
                        </w:rPr>
                        <w:t>In total, 25 high-impact clinical trials were evaluated across the three networks. If the results of these trials were implemented in 65% of the eligible Australian patient population</w:t>
                      </w:r>
                      <w:r w:rsidR="002F38F6">
                        <w:rPr>
                          <w:color w:val="F2F2F2" w:themeColor="background1" w:themeShade="F2"/>
                          <w:sz w:val="28"/>
                          <w:szCs w:val="28"/>
                        </w:rPr>
                        <w:t>s</w:t>
                      </w:r>
                      <w:bookmarkStart w:id="58" w:name="_GoBack"/>
                      <w:bookmarkEnd w:id="58"/>
                      <w:r w:rsidRPr="008B6070">
                        <w:rPr>
                          <w:color w:val="F2F2F2" w:themeColor="background1" w:themeShade="F2"/>
                          <w:sz w:val="28"/>
                          <w:szCs w:val="28"/>
                        </w:rPr>
                        <w:t xml:space="preserve"> for one year: </w:t>
                      </w:r>
                    </w:p>
                    <w:p w14:paraId="44A23708" w14:textId="77777777" w:rsidR="008B6070" w:rsidRPr="008B6070" w:rsidRDefault="008B6070" w:rsidP="008B6070">
                      <w:pPr>
                        <w:pStyle w:val="Commissionbodytext"/>
                        <w:rPr>
                          <w:color w:val="F2F2F2" w:themeColor="background1" w:themeShade="F2"/>
                          <w:sz w:val="28"/>
                          <w:szCs w:val="28"/>
                        </w:rPr>
                      </w:pPr>
                    </w:p>
                    <w:p w14:paraId="1E260E31" w14:textId="77777777" w:rsidR="008B6070" w:rsidRPr="008B6070" w:rsidRDefault="008B6070" w:rsidP="008B6070">
                      <w:pPr>
                        <w:pStyle w:val="Commissionbullets"/>
                        <w:rPr>
                          <w:color w:val="F2F2F2" w:themeColor="background1" w:themeShade="F2"/>
                          <w:sz w:val="28"/>
                          <w:szCs w:val="28"/>
                        </w:rPr>
                      </w:pPr>
                      <w:r w:rsidRPr="008B6070">
                        <w:rPr>
                          <w:color w:val="F2F2F2" w:themeColor="background1" w:themeShade="F2"/>
                          <w:sz w:val="28"/>
                          <w:szCs w:val="28"/>
                        </w:rPr>
                        <w:t>The gross benefit would be approximately $2 billion (2014 dollars) measured through better health outcomes and reduced health service costs</w:t>
                      </w:r>
                    </w:p>
                    <w:p w14:paraId="34FB30F0" w14:textId="77777777" w:rsidR="008B6070" w:rsidRPr="008B6070" w:rsidRDefault="008B6070" w:rsidP="008B6070">
                      <w:pPr>
                        <w:pStyle w:val="Commissionbullets"/>
                        <w:rPr>
                          <w:color w:val="F2F2F2" w:themeColor="background1" w:themeShade="F2"/>
                          <w:sz w:val="28"/>
                          <w:szCs w:val="28"/>
                        </w:rPr>
                      </w:pPr>
                      <w:r w:rsidRPr="008B6070">
                        <w:rPr>
                          <w:color w:val="F2F2F2" w:themeColor="background1" w:themeShade="F2"/>
                          <w:sz w:val="28"/>
                          <w:szCs w:val="28"/>
                        </w:rPr>
                        <w:t>Reductions in health service costs would account for 30% ($580 million) of the gross benefit, and this alone would exceed the total costs for the three networks and all of their research activity from 2004 to 2014.</w:t>
                      </w:r>
                    </w:p>
                    <w:p w14:paraId="23913770" w14:textId="77777777" w:rsidR="008B6070" w:rsidRPr="008B6070" w:rsidRDefault="008B6070" w:rsidP="008B6070">
                      <w:pPr>
                        <w:pStyle w:val="Commissionbodytext"/>
                        <w:rPr>
                          <w:color w:val="F2F2F2" w:themeColor="background1" w:themeShade="F2"/>
                          <w:sz w:val="28"/>
                          <w:szCs w:val="28"/>
                        </w:rPr>
                      </w:pPr>
                    </w:p>
                    <w:p w14:paraId="15088BC5" w14:textId="77777777" w:rsidR="008B6070" w:rsidRDefault="008B6070" w:rsidP="008B6070">
                      <w:pPr>
                        <w:pStyle w:val="Commissionbodytext"/>
                        <w:rPr>
                          <w:color w:val="F2F2F2" w:themeColor="background1" w:themeShade="F2"/>
                          <w:sz w:val="28"/>
                          <w:szCs w:val="28"/>
                        </w:rPr>
                      </w:pPr>
                      <w:r w:rsidRPr="008B6070">
                        <w:rPr>
                          <w:color w:val="F2F2F2" w:themeColor="background1" w:themeShade="F2"/>
                          <w:sz w:val="28"/>
                          <w:szCs w:val="28"/>
                        </w:rPr>
                        <w:t>The report also finds:</w:t>
                      </w:r>
                    </w:p>
                    <w:p w14:paraId="47B18A0A" w14:textId="77777777" w:rsidR="008B6070" w:rsidRPr="008B6070" w:rsidRDefault="008B6070" w:rsidP="008B6070">
                      <w:pPr>
                        <w:pStyle w:val="Commissionbodytext"/>
                        <w:rPr>
                          <w:color w:val="F2F2F2" w:themeColor="background1" w:themeShade="F2"/>
                          <w:sz w:val="28"/>
                          <w:szCs w:val="28"/>
                        </w:rPr>
                      </w:pPr>
                    </w:p>
                    <w:p w14:paraId="03E6D45E" w14:textId="77777777" w:rsidR="008B6070" w:rsidRPr="008B6070" w:rsidRDefault="008B6070" w:rsidP="008B6070">
                      <w:pPr>
                        <w:pStyle w:val="Commissionbodytext"/>
                        <w:numPr>
                          <w:ilvl w:val="0"/>
                          <w:numId w:val="13"/>
                        </w:numPr>
                        <w:rPr>
                          <w:color w:val="F2F2F2" w:themeColor="background1" w:themeShade="F2"/>
                          <w:sz w:val="28"/>
                          <w:szCs w:val="28"/>
                        </w:rPr>
                      </w:pPr>
                      <w:r w:rsidRPr="008B6070">
                        <w:rPr>
                          <w:color w:val="F2F2F2" w:themeColor="background1" w:themeShade="F2"/>
                          <w:sz w:val="28"/>
                          <w:szCs w:val="28"/>
                        </w:rPr>
                        <w:t>The overall consolidated benefit-to-cost ratio for the networks is 5.8:1, or a return of $5.80 for every $1 invested</w:t>
                      </w:r>
                    </w:p>
                    <w:p w14:paraId="496DDEC8" w14:textId="77777777" w:rsidR="008B6070" w:rsidRPr="008B6070" w:rsidRDefault="008B6070" w:rsidP="008B6070">
                      <w:pPr>
                        <w:pStyle w:val="Commissionbodytext"/>
                        <w:numPr>
                          <w:ilvl w:val="0"/>
                          <w:numId w:val="13"/>
                        </w:numPr>
                        <w:rPr>
                          <w:color w:val="F2F2F2" w:themeColor="background1" w:themeShade="F2"/>
                          <w:sz w:val="28"/>
                          <w:szCs w:val="28"/>
                        </w:rPr>
                      </w:pPr>
                      <w:r w:rsidRPr="008B6070">
                        <w:rPr>
                          <w:color w:val="F2F2F2" w:themeColor="background1" w:themeShade="F2"/>
                          <w:sz w:val="28"/>
                          <w:szCs w:val="28"/>
                        </w:rPr>
                        <w:t>The results of the 25 trials only needed to be implemented in 11% of the eligible patient populations for benefits to exceed costs</w:t>
                      </w:r>
                    </w:p>
                    <w:p w14:paraId="1708872F" w14:textId="471D3CC7" w:rsidR="008B6070" w:rsidRPr="008B6070" w:rsidRDefault="008B6070" w:rsidP="008B6070">
                      <w:pPr>
                        <w:pStyle w:val="Commissionbodytext"/>
                        <w:numPr>
                          <w:ilvl w:val="0"/>
                          <w:numId w:val="13"/>
                        </w:numPr>
                        <w:rPr>
                          <w:color w:val="F2F2F2" w:themeColor="background1" w:themeShade="F2"/>
                          <w:sz w:val="28"/>
                          <w:szCs w:val="28"/>
                        </w:rPr>
                      </w:pPr>
                      <w:r w:rsidRPr="008B6070">
                        <w:rPr>
                          <w:color w:val="F2F2F2" w:themeColor="background1" w:themeShade="F2"/>
                          <w:sz w:val="28"/>
                          <w:szCs w:val="28"/>
                        </w:rPr>
                        <w:t xml:space="preserve">For every $1 awarded in </w:t>
                      </w:r>
                      <w:r>
                        <w:rPr>
                          <w:color w:val="F2F2F2" w:themeColor="background1" w:themeShade="F2"/>
                          <w:sz w:val="28"/>
                          <w:szCs w:val="28"/>
                        </w:rPr>
                        <w:t xml:space="preserve">NHMRC </w:t>
                      </w:r>
                      <w:r w:rsidRPr="008B6070">
                        <w:rPr>
                          <w:color w:val="F2F2F2" w:themeColor="background1" w:themeShade="F2"/>
                          <w:sz w:val="28"/>
                          <w:szCs w:val="28"/>
                        </w:rPr>
                        <w:t>grants to the 25 trials, a return of $51.10 was achieved</w:t>
                      </w:r>
                    </w:p>
                    <w:p w14:paraId="3D36D876" w14:textId="7C4E003D" w:rsidR="008B6070" w:rsidRPr="008B6070" w:rsidRDefault="008B6070" w:rsidP="008B6070">
                      <w:pPr>
                        <w:pStyle w:val="Commissionbodytext"/>
                        <w:numPr>
                          <w:ilvl w:val="0"/>
                          <w:numId w:val="13"/>
                        </w:numPr>
                        <w:rPr>
                          <w:color w:val="F2F2F2" w:themeColor="background1" w:themeShade="F2"/>
                          <w:sz w:val="28"/>
                          <w:szCs w:val="28"/>
                        </w:rPr>
                      </w:pPr>
                      <w:r w:rsidRPr="008B6070">
                        <w:rPr>
                          <w:color w:val="F2F2F2" w:themeColor="background1" w:themeShade="F2"/>
                          <w:sz w:val="28"/>
                          <w:szCs w:val="28"/>
                        </w:rPr>
                        <w:t>Just 9% of the $2 billion gross benefit from the trials in this study was equivalent to all NHMRC funding received by all Australian networks between 2004 and 2014</w:t>
                      </w:r>
                    </w:p>
                    <w:p w14:paraId="6951A5D3" w14:textId="77777777" w:rsidR="008B6070" w:rsidRPr="008B6070" w:rsidRDefault="008B6070" w:rsidP="008B6070">
                      <w:pPr>
                        <w:pStyle w:val="Commissionbullets"/>
                        <w:rPr>
                          <w:rStyle w:val="Strong"/>
                          <w:b w:val="0"/>
                          <w:color w:val="F2F2F2" w:themeColor="background1" w:themeShade="F2"/>
                          <w:sz w:val="28"/>
                          <w:szCs w:val="28"/>
                        </w:rPr>
                      </w:pPr>
                      <w:r w:rsidRPr="008B6070">
                        <w:rPr>
                          <w:rStyle w:val="Strong"/>
                          <w:b w:val="0"/>
                          <w:color w:val="F2F2F2" w:themeColor="background1" w:themeShade="F2"/>
                          <w:sz w:val="28"/>
                          <w:szCs w:val="28"/>
                        </w:rPr>
                        <w:t>Trials conducted by networks influence clinical guidelines, identify ways to improve safety and quality and identify opportunities for more efficient resource use</w:t>
                      </w:r>
                    </w:p>
                    <w:p w14:paraId="7C53848A" w14:textId="77777777" w:rsidR="008B6070" w:rsidRPr="008B6070" w:rsidRDefault="008B6070" w:rsidP="008B6070">
                      <w:pPr>
                        <w:pStyle w:val="Commissionbullets"/>
                        <w:rPr>
                          <w:rStyle w:val="Strong"/>
                          <w:b w:val="0"/>
                          <w:color w:val="F2F2F2" w:themeColor="background1" w:themeShade="F2"/>
                          <w:sz w:val="28"/>
                          <w:szCs w:val="28"/>
                        </w:rPr>
                      </w:pPr>
                      <w:r w:rsidRPr="008B6070">
                        <w:rPr>
                          <w:rStyle w:val="Strong"/>
                          <w:b w:val="0"/>
                          <w:color w:val="F2F2F2" w:themeColor="background1" w:themeShade="F2"/>
                          <w:sz w:val="28"/>
                          <w:szCs w:val="28"/>
                        </w:rPr>
                        <w:t>Increasing implementation of trial evidence into practice can lead to considerable additional health and economic gains.</w:t>
                      </w:r>
                    </w:p>
                    <w:p w14:paraId="576C1AEC" w14:textId="77777777" w:rsidR="008B6070" w:rsidRDefault="008B6070" w:rsidP="008B6070">
                      <w:pPr>
                        <w:pStyle w:val="Commissionbodytext"/>
                        <w:ind w:left="720"/>
                      </w:pPr>
                    </w:p>
                  </w:txbxContent>
                </v:textbox>
                <w10:wrap type="square"/>
              </v:shape>
            </w:pict>
          </mc:Fallback>
        </mc:AlternateContent>
      </w:r>
      <w:r w:rsidR="00723150">
        <w:t>C</w:t>
      </w:r>
      <w:r w:rsidR="00392524">
        <w:t xml:space="preserve">onsolidated heath and economic </w:t>
      </w:r>
      <w:r w:rsidR="000A7187">
        <w:t>impact</w:t>
      </w:r>
      <w:bookmarkEnd w:id="56"/>
    </w:p>
    <w:p w14:paraId="7E07C832" w14:textId="2F63BBEB" w:rsidR="005C7D56" w:rsidRDefault="005C7D56" w:rsidP="005C7D56">
      <w:pPr>
        <w:spacing w:before="0" w:after="200" w:line="276" w:lineRule="auto"/>
      </w:pPr>
    </w:p>
    <w:p w14:paraId="5D82E360" w14:textId="77777777" w:rsidR="00180869" w:rsidRDefault="00180869">
      <w:pPr>
        <w:spacing w:before="0" w:after="200" w:line="276" w:lineRule="auto"/>
      </w:pPr>
      <w:bookmarkStart w:id="57" w:name="_Toc462567794"/>
      <w:r>
        <w:br w:type="page"/>
      </w:r>
    </w:p>
    <w:p w14:paraId="33EB2EC1" w14:textId="426992A7" w:rsidR="00F47FC0" w:rsidRPr="00082A46" w:rsidRDefault="009F37B9" w:rsidP="00392788">
      <w:pPr>
        <w:pStyle w:val="Commissionbodytext"/>
        <w:rPr>
          <w:rStyle w:val="Strong"/>
          <w:b w:val="0"/>
        </w:rPr>
      </w:pPr>
      <w:r>
        <w:lastRenderedPageBreak/>
        <w:t>The consolidated gross benefit</w:t>
      </w:r>
      <w:r w:rsidR="00CD2605">
        <w:t>s</w:t>
      </w:r>
      <w:r>
        <w:t xml:space="preserve"> </w:t>
      </w:r>
      <w:r w:rsidR="007F5472">
        <w:t xml:space="preserve">are </w:t>
      </w:r>
      <w:r w:rsidR="00F22B02">
        <w:t>estimated to be</w:t>
      </w:r>
      <w:r>
        <w:t xml:space="preserve"> almost $2 billion</w:t>
      </w:r>
      <w:r w:rsidR="00F47FC0">
        <w:t xml:space="preserve">. </w:t>
      </w:r>
      <w:r w:rsidR="004313FB">
        <w:t>B</w:t>
      </w:r>
      <w:r w:rsidR="00F47FC0">
        <w:t xml:space="preserve">enefits </w:t>
      </w:r>
      <w:r w:rsidR="00B76E4C">
        <w:t>a</w:t>
      </w:r>
      <w:r w:rsidR="00C446FC">
        <w:t>re</w:t>
      </w:r>
      <w:r w:rsidR="004313FB">
        <w:t xml:space="preserve"> </w:t>
      </w:r>
      <w:r w:rsidR="00F47FC0">
        <w:t xml:space="preserve">gained through </w:t>
      </w:r>
      <w:r w:rsidR="00823AB6">
        <w:t xml:space="preserve">both </w:t>
      </w:r>
      <w:r w:rsidR="00A06C2C">
        <w:t>i</w:t>
      </w:r>
      <w:r w:rsidR="00A06C2C" w:rsidRPr="00E743AA">
        <w:t xml:space="preserve">mprovements in patient health outcomes </w:t>
      </w:r>
      <w:r w:rsidRPr="00B6683D">
        <w:t>and sav</w:t>
      </w:r>
      <w:r>
        <w:t xml:space="preserve">ings from </w:t>
      </w:r>
      <w:r w:rsidR="00823AB6">
        <w:t xml:space="preserve">direct health service </w:t>
      </w:r>
      <w:r>
        <w:t>costs avoided</w:t>
      </w:r>
      <w:r w:rsidR="00421972">
        <w:t>. When the</w:t>
      </w:r>
      <w:r w:rsidR="002425D8">
        <w:t xml:space="preserve"> lifetime</w:t>
      </w:r>
      <w:r w:rsidR="00421972">
        <w:t xml:space="preserve"> cost</w:t>
      </w:r>
      <w:r w:rsidR="00596DF4">
        <w:t xml:space="preserve"> of</w:t>
      </w:r>
      <w:r w:rsidR="00421972">
        <w:t xml:space="preserve"> </w:t>
      </w:r>
      <w:r w:rsidR="002425D8">
        <w:t xml:space="preserve">operating </w:t>
      </w:r>
      <w:r w:rsidR="00421972">
        <w:t xml:space="preserve">the </w:t>
      </w:r>
      <w:r w:rsidR="002425D8">
        <w:t>n</w:t>
      </w:r>
      <w:r w:rsidR="00421972">
        <w:t xml:space="preserve">etworks and </w:t>
      </w:r>
      <w:r w:rsidR="00596DF4">
        <w:t xml:space="preserve">the cost of performing all </w:t>
      </w:r>
      <w:r w:rsidR="002425D8">
        <w:t>studies</w:t>
      </w:r>
      <w:r w:rsidR="00596DF4">
        <w:t xml:space="preserve"> within the networks is</w:t>
      </w:r>
      <w:r w:rsidR="00421972">
        <w:t xml:space="preserve"> deducted, the net benefit </w:t>
      </w:r>
      <w:r w:rsidR="00596DF4">
        <w:t>is</w:t>
      </w:r>
      <w:r w:rsidR="00421972">
        <w:t xml:space="preserve"> over $1.6 billion. </w:t>
      </w:r>
      <w:r w:rsidR="004313FB">
        <w:t xml:space="preserve">The breakdown of </w:t>
      </w:r>
      <w:r w:rsidR="00421972">
        <w:t xml:space="preserve">consolidated </w:t>
      </w:r>
      <w:r w:rsidR="004313FB">
        <w:t xml:space="preserve">benefits </w:t>
      </w:r>
      <w:r w:rsidR="00421972">
        <w:t xml:space="preserve">and costs </w:t>
      </w:r>
      <w:r w:rsidR="004313FB">
        <w:t xml:space="preserve">is shown in </w:t>
      </w:r>
      <w:r w:rsidR="00D05771">
        <w:fldChar w:fldCharType="begin"/>
      </w:r>
      <w:r w:rsidR="00D05771">
        <w:instrText xml:space="preserve"> REF _Ref475267650 \h </w:instrText>
      </w:r>
      <w:r w:rsidR="00487E4C">
        <w:instrText xml:space="preserve"> \* MERGEFORMAT </w:instrText>
      </w:r>
      <w:r w:rsidR="00D05771">
        <w:fldChar w:fldCharType="separate"/>
      </w:r>
      <w:r w:rsidR="007B3054">
        <w:t xml:space="preserve">Figure </w:t>
      </w:r>
      <w:r w:rsidR="007B3054">
        <w:rPr>
          <w:noProof/>
        </w:rPr>
        <w:t>5</w:t>
      </w:r>
      <w:r w:rsidR="00D05771">
        <w:fldChar w:fldCharType="end"/>
      </w:r>
      <w:r w:rsidR="004313FB" w:rsidRPr="000A1344">
        <w:t>.</w:t>
      </w:r>
      <w:r w:rsidR="00252C86">
        <w:t xml:space="preserve"> With a total </w:t>
      </w:r>
      <w:r w:rsidR="00D760C6">
        <w:t xml:space="preserve">gross </w:t>
      </w:r>
      <w:r w:rsidR="00252C86">
        <w:t xml:space="preserve">benefit of </w:t>
      </w:r>
      <w:r w:rsidR="00D760C6">
        <w:t xml:space="preserve">almost </w:t>
      </w:r>
      <w:r w:rsidR="00252C86">
        <w:t>$</w:t>
      </w:r>
      <w:r w:rsidR="007F5472">
        <w:t>2 billion</w:t>
      </w:r>
      <w:r w:rsidR="00252C86">
        <w:t xml:space="preserve"> and a total cost of </w:t>
      </w:r>
      <w:r w:rsidR="00180869">
        <w:br/>
      </w:r>
      <w:r w:rsidR="00252C86">
        <w:t>$335 million, the benefit</w:t>
      </w:r>
      <w:r w:rsidR="00180869">
        <w:t xml:space="preserve"> </w:t>
      </w:r>
      <w:r w:rsidR="00252C86">
        <w:t>to</w:t>
      </w:r>
      <w:r w:rsidR="00180869">
        <w:t xml:space="preserve"> </w:t>
      </w:r>
      <w:r w:rsidR="00252C86">
        <w:t>cost ratio is 5.8:1.</w:t>
      </w:r>
      <w:r w:rsidR="007F5472">
        <w:t xml:space="preserve"> </w:t>
      </w:r>
      <w:r w:rsidR="007F5472" w:rsidRPr="0024726C">
        <w:rPr>
          <w:rStyle w:val="Strong"/>
          <w:b w:val="0"/>
        </w:rPr>
        <w:t>In other words, every dollar invested retur</w:t>
      </w:r>
      <w:r w:rsidR="00B76E4C" w:rsidRPr="0024726C">
        <w:rPr>
          <w:rStyle w:val="Strong"/>
          <w:b w:val="0"/>
        </w:rPr>
        <w:t>ns</w:t>
      </w:r>
      <w:r w:rsidR="007F5472" w:rsidRPr="0024726C">
        <w:rPr>
          <w:rStyle w:val="Strong"/>
          <w:b w:val="0"/>
        </w:rPr>
        <w:t xml:space="preserve"> $5.80 in health and economic benefits.</w:t>
      </w:r>
    </w:p>
    <w:p w14:paraId="141E882C" w14:textId="767371ED" w:rsidR="004D3458" w:rsidRDefault="004D3458" w:rsidP="00915516">
      <w:pPr>
        <w:pStyle w:val="Caption"/>
      </w:pPr>
      <w:bookmarkStart w:id="58" w:name="_Ref475267650"/>
      <w:bookmarkStart w:id="59" w:name="_Toc482629536"/>
      <w:r>
        <w:t xml:space="preserve">Figure </w:t>
      </w:r>
      <w:fldSimple w:instr=" SEQ Figure \* ARABIC ">
        <w:r w:rsidR="007B3054">
          <w:rPr>
            <w:noProof/>
          </w:rPr>
          <w:t>5</w:t>
        </w:r>
      </w:fldSimple>
      <w:bookmarkEnd w:id="58"/>
      <w:r>
        <w:t xml:space="preserve">. </w:t>
      </w:r>
      <w:r w:rsidRPr="00C04442">
        <w:t>Consolidated health and economic impact</w:t>
      </w:r>
      <w:bookmarkEnd w:id="59"/>
    </w:p>
    <w:p w14:paraId="342199E0" w14:textId="5B8AE8A8" w:rsidR="00596DF4" w:rsidRDefault="00596DF4" w:rsidP="00421972">
      <w:pPr>
        <w:pStyle w:val="Caption"/>
        <w:keepNext/>
      </w:pPr>
      <w:bookmarkStart w:id="60" w:name="_Toc466895155"/>
      <w:bookmarkEnd w:id="57"/>
      <w:r>
        <w:rPr>
          <w:noProof/>
          <w:lang w:val="en-AU" w:eastAsia="en-AU" w:bidi="ar-SA"/>
        </w:rPr>
        <w:drawing>
          <wp:inline distT="0" distB="0" distL="0" distR="0" wp14:anchorId="1E148E6F" wp14:editId="27CFF12A">
            <wp:extent cx="5838825" cy="3981450"/>
            <wp:effectExtent l="0" t="0" r="3175" b="6350"/>
            <wp:docPr id="3" name="Chart 3" descr="Column graph showing approx $2 billion in gross benefits from improved health outcomes and health service costs avoided, and a net benefit of approx $1.6 billion after accounting for network and trial costs." title="Consolidate health and economic benefit"/>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40AEBBE" w14:textId="672BEB08" w:rsidR="00180869" w:rsidRDefault="002E172B" w:rsidP="00392788">
      <w:pPr>
        <w:pStyle w:val="Commissionbodytext"/>
      </w:pPr>
      <w:r>
        <w:t>Only non-commer</w:t>
      </w:r>
      <w:r w:rsidR="006B685C">
        <w:t>cial funding was included in this</w:t>
      </w:r>
      <w:r>
        <w:t xml:space="preserve"> analysis. </w:t>
      </w:r>
      <w:r w:rsidR="0056161A">
        <w:t>While</w:t>
      </w:r>
      <w:r>
        <w:t xml:space="preserve"> some cr</w:t>
      </w:r>
      <w:r w:rsidR="006B685C">
        <w:t xml:space="preserve">oss-subsidy of funding from </w:t>
      </w:r>
      <w:r w:rsidRPr="00352327">
        <w:t xml:space="preserve">commercial funding sources was </w:t>
      </w:r>
      <w:r w:rsidR="006B685C">
        <w:t xml:space="preserve">reported by networks, the </w:t>
      </w:r>
      <w:r w:rsidR="006B685C" w:rsidRPr="0082135D">
        <w:t>collection of accurate costing data</w:t>
      </w:r>
      <w:r w:rsidR="006B685C">
        <w:t xml:space="preserve"> for commercial funding</w:t>
      </w:r>
      <w:r w:rsidR="006B685C" w:rsidRPr="0082135D">
        <w:t xml:space="preserve"> </w:t>
      </w:r>
      <w:r w:rsidR="006B685C">
        <w:t xml:space="preserve">was </w:t>
      </w:r>
      <w:r w:rsidRPr="00352327">
        <w:t>bey</w:t>
      </w:r>
      <w:r w:rsidR="006B685C">
        <w:t>ond the scope of the evaluation.</w:t>
      </w:r>
      <w:r w:rsidRPr="00352327">
        <w:t xml:space="preserve"> </w:t>
      </w:r>
      <w:r w:rsidR="006B685C" w:rsidRPr="00C93E64">
        <w:t>The dire</w:t>
      </w:r>
      <w:r w:rsidR="006B685C">
        <w:t xml:space="preserve">ction of effect is preserved if two sizeable unrestricted commercial grants reported for the CHEST and PROGRESS trials are included in the </w:t>
      </w:r>
      <w:r w:rsidR="006B685C" w:rsidRPr="00C93E64">
        <w:t>analysis</w:t>
      </w:r>
      <w:r w:rsidR="009616E4">
        <w:t>.</w:t>
      </w:r>
    </w:p>
    <w:p w14:paraId="416DA97D" w14:textId="77777777" w:rsidR="0082597D" w:rsidRDefault="0082597D" w:rsidP="00392788">
      <w:pPr>
        <w:pStyle w:val="Commissionbodytext"/>
        <w:rPr>
          <w:rStyle w:val="CommissionbodytextChar"/>
        </w:rPr>
      </w:pPr>
    </w:p>
    <w:p w14:paraId="57A24184" w14:textId="1AE46DFF" w:rsidR="0082597D" w:rsidRDefault="00E056F8" w:rsidP="00392788">
      <w:pPr>
        <w:pStyle w:val="Commissionbodytext"/>
        <w:rPr>
          <w:rStyle w:val="CommissionbodytextChar"/>
          <w:rFonts w:eastAsiaTheme="minorHAnsi"/>
        </w:rPr>
      </w:pPr>
      <w:r w:rsidRPr="00392788">
        <w:rPr>
          <w:rStyle w:val="CommissionbodytextChar"/>
        </w:rPr>
        <w:t xml:space="preserve">The </w:t>
      </w:r>
      <w:r w:rsidRPr="0082597D">
        <w:rPr>
          <w:rFonts w:cstheme="minorBidi"/>
          <w:lang w:val="en-US" w:eastAsia="zh-CN"/>
        </w:rPr>
        <w:t>benefit to cost ratio</w:t>
      </w:r>
      <w:r w:rsidRPr="00392788">
        <w:rPr>
          <w:rStyle w:val="CommissionbodytextChar"/>
        </w:rPr>
        <w:t xml:space="preserve"> increases to 22:1</w:t>
      </w:r>
      <w:r w:rsidR="0024726C" w:rsidRPr="00392788">
        <w:rPr>
          <w:rStyle w:val="CommissionbodytextChar"/>
        </w:rPr>
        <w:t xml:space="preserve">, </w:t>
      </w:r>
      <w:r w:rsidR="00980B36" w:rsidRPr="00392788">
        <w:rPr>
          <w:rStyle w:val="CommissionbodytextChar"/>
        </w:rPr>
        <w:t>or</w:t>
      </w:r>
      <w:r w:rsidRPr="00392788">
        <w:rPr>
          <w:rStyle w:val="CommissionbodytextChar"/>
        </w:rPr>
        <w:t xml:space="preserve"> </w:t>
      </w:r>
      <w:r w:rsidR="00180869">
        <w:rPr>
          <w:rStyle w:val="CommissionbodytextChar"/>
        </w:rPr>
        <w:t xml:space="preserve">a </w:t>
      </w:r>
      <w:r w:rsidRPr="00392788">
        <w:rPr>
          <w:rStyle w:val="CommissionbodytextChar"/>
        </w:rPr>
        <w:t>return of $22 for every $1 invested</w:t>
      </w:r>
      <w:r w:rsidR="0024726C" w:rsidRPr="00392788">
        <w:rPr>
          <w:rStyle w:val="CommissionbodytextChar"/>
        </w:rPr>
        <w:t>,</w:t>
      </w:r>
      <w:r w:rsidRPr="00392788">
        <w:rPr>
          <w:rStyle w:val="CommissionbodytextChar"/>
        </w:rPr>
        <w:t xml:space="preserve"> wh</w:t>
      </w:r>
      <w:r w:rsidR="00A34277" w:rsidRPr="00392788">
        <w:rPr>
          <w:rStyle w:val="CommissionbodytextChar"/>
        </w:rPr>
        <w:t xml:space="preserve">en the costs are limited to funding to </w:t>
      </w:r>
      <w:r w:rsidRPr="00392788">
        <w:rPr>
          <w:rStyle w:val="CommissionbodytextChar"/>
        </w:rPr>
        <w:t>the 25 trials (including a loading of 30% for coordinating centre costs) combined with the lifetime costs of running the networks and in-kind contributions.</w:t>
      </w:r>
      <w:r>
        <w:t xml:space="preserve"> </w:t>
      </w:r>
    </w:p>
    <w:p w14:paraId="6A761DBF" w14:textId="77777777" w:rsidR="0082597D" w:rsidRDefault="0082597D" w:rsidP="00392788">
      <w:pPr>
        <w:pStyle w:val="Commissionbodytext"/>
      </w:pPr>
    </w:p>
    <w:p w14:paraId="011D30D3" w14:textId="5BE5F79C" w:rsidR="00507C5F" w:rsidRPr="00392788" w:rsidRDefault="00507C5F" w:rsidP="00392788">
      <w:pPr>
        <w:pStyle w:val="Commissionbodytext"/>
        <w:rPr>
          <w:rStyle w:val="CommissionbodytextChar"/>
        </w:rPr>
      </w:pPr>
      <w:r w:rsidRPr="00392788">
        <w:rPr>
          <w:rStyle w:val="CommissionbodytextChar"/>
        </w:rPr>
        <w:t>Looking specifically at the returns from NHMRC funding, the benefit to cost ratio for NHMRC funding to the 25 trials is 51:1</w:t>
      </w:r>
      <w:r w:rsidR="003249BE" w:rsidRPr="00392788">
        <w:rPr>
          <w:rStyle w:val="CommissionbodytextChar"/>
        </w:rPr>
        <w:t xml:space="preserve"> (</w:t>
      </w:r>
      <w:r w:rsidR="009616E4" w:rsidRPr="00392788">
        <w:rPr>
          <w:rStyle w:val="CommissionbodytextChar"/>
        </w:rPr>
        <w:t xml:space="preserve">see </w:t>
      </w:r>
      <w:r w:rsidR="0020787D" w:rsidRPr="00392788">
        <w:rPr>
          <w:rStyle w:val="CommissionbodytextChar"/>
        </w:rPr>
        <w:fldChar w:fldCharType="begin"/>
      </w:r>
      <w:r w:rsidR="0020787D" w:rsidRPr="00392788">
        <w:rPr>
          <w:rStyle w:val="CommissionbodytextChar"/>
        </w:rPr>
        <w:instrText xml:space="preserve"> REF _Ref475268716 \h </w:instrText>
      </w:r>
      <w:r w:rsidR="0082597D">
        <w:rPr>
          <w:rStyle w:val="CommissionbodytextChar"/>
          <w:rFonts w:eastAsiaTheme="minorHAnsi"/>
        </w:rPr>
        <w:instrText xml:space="preserve"> \* MERGEFORMAT </w:instrText>
      </w:r>
      <w:r w:rsidR="0020787D" w:rsidRPr="00392788">
        <w:rPr>
          <w:rStyle w:val="CommissionbodytextChar"/>
        </w:rPr>
      </w:r>
      <w:r w:rsidR="0020787D" w:rsidRPr="00392788">
        <w:rPr>
          <w:rStyle w:val="CommissionbodytextChar"/>
        </w:rPr>
        <w:fldChar w:fldCharType="separate"/>
      </w:r>
      <w:r w:rsidR="007B3054" w:rsidRPr="007B3054">
        <w:rPr>
          <w:rStyle w:val="CommissionbodytextChar"/>
        </w:rPr>
        <w:t>Table 5</w:t>
      </w:r>
      <w:r w:rsidR="0020787D" w:rsidRPr="00392788">
        <w:rPr>
          <w:rStyle w:val="CommissionbodytextChar"/>
        </w:rPr>
        <w:fldChar w:fldCharType="end"/>
      </w:r>
      <w:r w:rsidR="003249BE" w:rsidRPr="00392788">
        <w:rPr>
          <w:rStyle w:val="CommissionbodytextChar"/>
        </w:rPr>
        <w:t>)</w:t>
      </w:r>
      <w:r w:rsidRPr="00392788">
        <w:rPr>
          <w:rStyle w:val="CommissionbodytextChar"/>
        </w:rPr>
        <w:t xml:space="preserve">. </w:t>
      </w:r>
      <w:r w:rsidR="003249BE" w:rsidRPr="00392788">
        <w:rPr>
          <w:rStyle w:val="CommissionbodytextChar"/>
        </w:rPr>
        <w:t>Furthermore, o</w:t>
      </w:r>
      <w:r w:rsidRPr="00392788">
        <w:rPr>
          <w:rStyle w:val="CommissionbodytextChar"/>
        </w:rPr>
        <w:t xml:space="preserve">nly 9% of </w:t>
      </w:r>
      <w:r w:rsidR="00707A3F" w:rsidRPr="00392788">
        <w:rPr>
          <w:rStyle w:val="CommissionbodytextChar"/>
        </w:rPr>
        <w:t xml:space="preserve">the </w:t>
      </w:r>
      <w:r w:rsidRPr="00392788">
        <w:rPr>
          <w:rStyle w:val="CommissionbodytextChar"/>
        </w:rPr>
        <w:t xml:space="preserve">estimated gross benefit </w:t>
      </w:r>
      <w:r w:rsidRPr="00392788">
        <w:rPr>
          <w:rStyle w:val="CommissionbodytextChar"/>
        </w:rPr>
        <w:lastRenderedPageBreak/>
        <w:t xml:space="preserve">from these trials </w:t>
      </w:r>
      <w:r w:rsidR="00B76E4C" w:rsidRPr="00392788">
        <w:rPr>
          <w:rStyle w:val="CommissionbodytextChar"/>
        </w:rPr>
        <w:t xml:space="preserve">is </w:t>
      </w:r>
      <w:r w:rsidRPr="00392788">
        <w:rPr>
          <w:rStyle w:val="CommissionbodytextChar"/>
        </w:rPr>
        <w:t>required to cover all clinical trials-related funding awarded by the NHMRC to Australian networks over more than a decade (as reported in the Profiling Networks Report).</w:t>
      </w:r>
      <w:r w:rsidR="00B76E4C" w:rsidRPr="00392788">
        <w:rPr>
          <w:rStyle w:val="CommissionbodytextChar"/>
          <w:vertAlign w:val="superscript"/>
        </w:rPr>
        <w:footnoteReference w:id="20"/>
      </w:r>
    </w:p>
    <w:p w14:paraId="582F00BC" w14:textId="07A16536" w:rsidR="00667D77" w:rsidRPr="00060594" w:rsidRDefault="00D05771" w:rsidP="00915516">
      <w:pPr>
        <w:pStyle w:val="Caption"/>
      </w:pPr>
      <w:bookmarkStart w:id="61" w:name="_Ref475268716"/>
      <w:bookmarkStart w:id="62" w:name="_Toc479177728"/>
      <w:r>
        <w:t xml:space="preserve">Table </w:t>
      </w:r>
      <w:fldSimple w:instr=" SEQ Table \* ARABIC ">
        <w:r w:rsidR="007B3054">
          <w:rPr>
            <w:noProof/>
          </w:rPr>
          <w:t>5</w:t>
        </w:r>
      </w:fldSimple>
      <w:bookmarkEnd w:id="61"/>
      <w:r>
        <w:rPr>
          <w:noProof/>
        </w:rPr>
        <w:t xml:space="preserve">. </w:t>
      </w:r>
      <w:r w:rsidRPr="00CC007A">
        <w:rPr>
          <w:noProof/>
        </w:rPr>
        <w:t>Benefit to cost ratios</w:t>
      </w:r>
      <w:bookmarkEnd w:id="62"/>
    </w:p>
    <w:tbl>
      <w:tblPr>
        <w:tblStyle w:val="GridTable2-Accent51"/>
        <w:tblW w:w="973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420" w:firstRow="1" w:lastRow="0" w:firstColumn="0" w:lastColumn="0" w:noHBand="0" w:noVBand="1"/>
      </w:tblPr>
      <w:tblGrid>
        <w:gridCol w:w="5742"/>
        <w:gridCol w:w="1590"/>
        <w:gridCol w:w="2406"/>
      </w:tblGrid>
      <w:tr w:rsidR="00301A31" w:rsidRPr="004F1985" w14:paraId="6BCE533B" w14:textId="77777777" w:rsidTr="00392788">
        <w:trPr>
          <w:cnfStyle w:val="100000000000" w:firstRow="1" w:lastRow="0" w:firstColumn="0" w:lastColumn="0" w:oddVBand="0" w:evenVBand="0" w:oddHBand="0" w:evenHBand="0" w:firstRowFirstColumn="0" w:firstRowLastColumn="0" w:lastRowFirstColumn="0" w:lastRowLastColumn="0"/>
          <w:trHeight w:val="1"/>
          <w:tblHeader/>
        </w:trPr>
        <w:tc>
          <w:tcPr>
            <w:tcW w:w="5742" w:type="dxa"/>
            <w:tcBorders>
              <w:top w:val="none" w:sz="0" w:space="0" w:color="auto"/>
              <w:bottom w:val="none" w:sz="0" w:space="0" w:color="auto"/>
              <w:right w:val="none" w:sz="0" w:space="0" w:color="auto"/>
            </w:tcBorders>
            <w:shd w:val="clear" w:color="auto" w:fill="2F5496" w:themeFill="accent5" w:themeFillShade="BF"/>
          </w:tcPr>
          <w:p w14:paraId="08700F2A" w14:textId="762EF469" w:rsidR="00507C5F" w:rsidRPr="00392788" w:rsidRDefault="003249BE" w:rsidP="00392788">
            <w:pPr>
              <w:spacing w:after="0" w:line="276" w:lineRule="auto"/>
              <w:rPr>
                <w:bCs w:val="0"/>
                <w:color w:val="FFFFFF" w:themeColor="background1"/>
                <w:sz w:val="21"/>
                <w:szCs w:val="21"/>
              </w:rPr>
            </w:pPr>
            <w:r w:rsidRPr="00392788">
              <w:rPr>
                <w:bCs w:val="0"/>
                <w:color w:val="FFFFFF" w:themeColor="background1"/>
                <w:sz w:val="21"/>
                <w:szCs w:val="21"/>
              </w:rPr>
              <w:t xml:space="preserve">Trial </w:t>
            </w:r>
            <w:r w:rsidR="0082597D">
              <w:rPr>
                <w:bCs w:val="0"/>
                <w:color w:val="FFFFFF" w:themeColor="background1"/>
                <w:sz w:val="21"/>
                <w:szCs w:val="21"/>
              </w:rPr>
              <w:t>c</w:t>
            </w:r>
            <w:r w:rsidRPr="00392788">
              <w:rPr>
                <w:bCs w:val="0"/>
                <w:color w:val="FFFFFF" w:themeColor="background1"/>
                <w:sz w:val="21"/>
                <w:szCs w:val="21"/>
              </w:rPr>
              <w:t xml:space="preserve">osts </w:t>
            </w:r>
            <w:r w:rsidR="0082597D">
              <w:rPr>
                <w:bCs w:val="0"/>
                <w:color w:val="FFFFFF" w:themeColor="background1"/>
                <w:sz w:val="21"/>
                <w:szCs w:val="21"/>
              </w:rPr>
              <w:t>i</w:t>
            </w:r>
            <w:r w:rsidR="00444F3E" w:rsidRPr="00392788">
              <w:rPr>
                <w:bCs w:val="0"/>
                <w:color w:val="FFFFFF" w:themeColor="background1"/>
                <w:sz w:val="21"/>
                <w:szCs w:val="21"/>
              </w:rPr>
              <w:t>ncluded</w:t>
            </w:r>
          </w:p>
        </w:tc>
        <w:tc>
          <w:tcPr>
            <w:tcW w:w="1590" w:type="dxa"/>
            <w:tcBorders>
              <w:top w:val="none" w:sz="0" w:space="0" w:color="auto"/>
              <w:left w:val="none" w:sz="0" w:space="0" w:color="auto"/>
              <w:bottom w:val="none" w:sz="0" w:space="0" w:color="auto"/>
              <w:right w:val="none" w:sz="0" w:space="0" w:color="auto"/>
            </w:tcBorders>
            <w:shd w:val="clear" w:color="auto" w:fill="2F5496" w:themeFill="accent5" w:themeFillShade="BF"/>
            <w:hideMark/>
          </w:tcPr>
          <w:p w14:paraId="427CAD4E" w14:textId="66AC9DD5" w:rsidR="00507C5F" w:rsidRPr="00392788" w:rsidRDefault="00507C5F" w:rsidP="00392788">
            <w:pPr>
              <w:spacing w:after="0" w:line="276" w:lineRule="auto"/>
              <w:rPr>
                <w:rFonts w:eastAsiaTheme="minorHAnsi"/>
                <w:bCs w:val="0"/>
                <w:color w:val="FFFFFF" w:themeColor="background1"/>
                <w:sz w:val="21"/>
                <w:szCs w:val="21"/>
                <w:lang w:val="en-AU" w:eastAsia="zh-CN"/>
              </w:rPr>
            </w:pPr>
            <w:r w:rsidRPr="00392788">
              <w:rPr>
                <w:bCs w:val="0"/>
                <w:color w:val="FFFFFF" w:themeColor="background1"/>
                <w:sz w:val="21"/>
                <w:szCs w:val="21"/>
              </w:rPr>
              <w:t>Cost</w:t>
            </w:r>
            <w:r w:rsidR="00667D77" w:rsidRPr="00392788">
              <w:rPr>
                <w:bCs w:val="0"/>
                <w:color w:val="FFFFFF" w:themeColor="background1"/>
                <w:sz w:val="21"/>
                <w:szCs w:val="21"/>
              </w:rPr>
              <w:t xml:space="preserve"> </w:t>
            </w:r>
          </w:p>
        </w:tc>
        <w:tc>
          <w:tcPr>
            <w:tcW w:w="2406" w:type="dxa"/>
            <w:tcBorders>
              <w:top w:val="none" w:sz="0" w:space="0" w:color="auto"/>
              <w:left w:val="none" w:sz="0" w:space="0" w:color="auto"/>
              <w:bottom w:val="none" w:sz="0" w:space="0" w:color="auto"/>
            </w:tcBorders>
            <w:shd w:val="clear" w:color="auto" w:fill="2F5496" w:themeFill="accent5" w:themeFillShade="BF"/>
            <w:hideMark/>
          </w:tcPr>
          <w:p w14:paraId="44116EA4" w14:textId="38C1D019" w:rsidR="00507C5F" w:rsidRPr="00392788" w:rsidRDefault="00507C5F" w:rsidP="00392788">
            <w:pPr>
              <w:spacing w:after="0" w:line="276" w:lineRule="auto"/>
              <w:rPr>
                <w:rFonts w:eastAsiaTheme="minorHAnsi"/>
                <w:bCs w:val="0"/>
                <w:color w:val="FFFFFF" w:themeColor="background1"/>
                <w:sz w:val="21"/>
                <w:szCs w:val="21"/>
                <w:lang w:val="en-AU" w:eastAsia="zh-CN"/>
              </w:rPr>
            </w:pPr>
            <w:r w:rsidRPr="00392788">
              <w:rPr>
                <w:bCs w:val="0"/>
                <w:color w:val="FFFFFF" w:themeColor="background1"/>
                <w:sz w:val="21"/>
                <w:szCs w:val="21"/>
              </w:rPr>
              <w:t xml:space="preserve">Benefit to </w:t>
            </w:r>
            <w:r w:rsidR="0082597D">
              <w:rPr>
                <w:bCs w:val="0"/>
                <w:color w:val="FFFFFF" w:themeColor="background1"/>
                <w:sz w:val="21"/>
                <w:szCs w:val="21"/>
              </w:rPr>
              <w:t>c</w:t>
            </w:r>
            <w:r w:rsidRPr="00392788">
              <w:rPr>
                <w:bCs w:val="0"/>
                <w:color w:val="FFFFFF" w:themeColor="background1"/>
                <w:sz w:val="21"/>
                <w:szCs w:val="21"/>
              </w:rPr>
              <w:t xml:space="preserve">ost </w:t>
            </w:r>
            <w:r w:rsidR="0082597D">
              <w:rPr>
                <w:bCs w:val="0"/>
                <w:color w:val="FFFFFF" w:themeColor="background1"/>
                <w:sz w:val="21"/>
                <w:szCs w:val="21"/>
              </w:rPr>
              <w:t>r</w:t>
            </w:r>
            <w:r w:rsidRPr="00392788">
              <w:rPr>
                <w:bCs w:val="0"/>
                <w:color w:val="FFFFFF" w:themeColor="background1"/>
                <w:sz w:val="21"/>
                <w:szCs w:val="21"/>
              </w:rPr>
              <w:t>atio</w:t>
            </w:r>
          </w:p>
        </w:tc>
      </w:tr>
      <w:tr w:rsidR="00301A31" w:rsidRPr="004F1985" w14:paraId="5BAE18E4" w14:textId="77777777" w:rsidTr="00301A31">
        <w:trPr>
          <w:cnfStyle w:val="000000100000" w:firstRow="0" w:lastRow="0" w:firstColumn="0" w:lastColumn="0" w:oddVBand="0" w:evenVBand="0" w:oddHBand="1" w:evenHBand="0" w:firstRowFirstColumn="0" w:firstRowLastColumn="0" w:lastRowFirstColumn="0" w:lastRowLastColumn="0"/>
          <w:trHeight w:val="1"/>
        </w:trPr>
        <w:tc>
          <w:tcPr>
            <w:tcW w:w="5742" w:type="dxa"/>
            <w:shd w:val="clear" w:color="auto" w:fill="auto"/>
          </w:tcPr>
          <w:p w14:paraId="4E760F1B" w14:textId="537912DB" w:rsidR="00507C5F" w:rsidRPr="00F074A5" w:rsidRDefault="003249BE" w:rsidP="00392788">
            <w:pPr>
              <w:spacing w:line="276" w:lineRule="auto"/>
              <w:rPr>
                <w:bCs/>
                <w:sz w:val="21"/>
                <w:szCs w:val="21"/>
              </w:rPr>
            </w:pPr>
            <w:r w:rsidRPr="00F074A5">
              <w:rPr>
                <w:sz w:val="21"/>
                <w:szCs w:val="21"/>
              </w:rPr>
              <w:t xml:space="preserve">Total </w:t>
            </w:r>
            <w:r w:rsidR="00444F3E" w:rsidRPr="00F074A5">
              <w:rPr>
                <w:sz w:val="21"/>
                <w:szCs w:val="21"/>
              </w:rPr>
              <w:t>non-commercial funding</w:t>
            </w:r>
            <w:r w:rsidRPr="00F074A5">
              <w:rPr>
                <w:sz w:val="21"/>
                <w:szCs w:val="21"/>
              </w:rPr>
              <w:t xml:space="preserve"> </w:t>
            </w:r>
            <w:r w:rsidR="00AF77E4" w:rsidRPr="00F074A5">
              <w:rPr>
                <w:sz w:val="21"/>
                <w:szCs w:val="21"/>
              </w:rPr>
              <w:t xml:space="preserve">to 25 </w:t>
            </w:r>
            <w:r w:rsidR="009B4D99" w:rsidRPr="00F074A5">
              <w:rPr>
                <w:sz w:val="21"/>
                <w:szCs w:val="21"/>
              </w:rPr>
              <w:t>trials</w:t>
            </w:r>
            <w:r w:rsidR="00E056F8">
              <w:rPr>
                <w:sz w:val="21"/>
                <w:szCs w:val="21"/>
              </w:rPr>
              <w:t xml:space="preserve"> included </w:t>
            </w:r>
            <w:r w:rsidR="00E056F8">
              <w:rPr>
                <w:sz w:val="21"/>
                <w:szCs w:val="21"/>
              </w:rPr>
              <w:br/>
            </w:r>
            <w:r w:rsidR="008274BF">
              <w:rPr>
                <w:sz w:val="21"/>
                <w:szCs w:val="21"/>
              </w:rPr>
              <w:t>(inc</w:t>
            </w:r>
            <w:r w:rsidR="0082597D">
              <w:rPr>
                <w:sz w:val="21"/>
                <w:szCs w:val="21"/>
              </w:rPr>
              <w:t>luding</w:t>
            </w:r>
            <w:r w:rsidR="00524879">
              <w:rPr>
                <w:sz w:val="21"/>
                <w:szCs w:val="21"/>
              </w:rPr>
              <w:t xml:space="preserve"> </w:t>
            </w:r>
            <w:r w:rsidR="00E056F8">
              <w:rPr>
                <w:sz w:val="21"/>
                <w:szCs w:val="21"/>
              </w:rPr>
              <w:t xml:space="preserve">coordinating centre costs) </w:t>
            </w:r>
            <w:r w:rsidR="00E056F8">
              <w:rPr>
                <w:sz w:val="21"/>
                <w:szCs w:val="21"/>
              </w:rPr>
              <w:br/>
            </w:r>
            <w:r w:rsidR="009B4D99" w:rsidRPr="00F074A5">
              <w:rPr>
                <w:sz w:val="21"/>
                <w:szCs w:val="21"/>
              </w:rPr>
              <w:t>+</w:t>
            </w:r>
            <w:r w:rsidR="00E056F8">
              <w:rPr>
                <w:sz w:val="21"/>
                <w:szCs w:val="21"/>
              </w:rPr>
              <w:t xml:space="preserve"> funding </w:t>
            </w:r>
            <w:r w:rsidR="0016052B" w:rsidRPr="00F074A5">
              <w:rPr>
                <w:sz w:val="21"/>
                <w:szCs w:val="21"/>
              </w:rPr>
              <w:t>for all studies 2004</w:t>
            </w:r>
            <w:r w:rsidR="0082597D">
              <w:rPr>
                <w:sz w:val="21"/>
                <w:szCs w:val="21"/>
              </w:rPr>
              <w:t>–</w:t>
            </w:r>
            <w:r w:rsidR="00D44B37">
              <w:rPr>
                <w:sz w:val="21"/>
                <w:szCs w:val="21"/>
              </w:rPr>
              <w:t>201</w:t>
            </w:r>
            <w:r w:rsidR="0016052B" w:rsidRPr="00F074A5">
              <w:rPr>
                <w:sz w:val="21"/>
                <w:szCs w:val="21"/>
              </w:rPr>
              <w:t xml:space="preserve">4 </w:t>
            </w:r>
            <w:r w:rsidR="00E056F8">
              <w:rPr>
                <w:sz w:val="21"/>
                <w:szCs w:val="21"/>
              </w:rPr>
              <w:br/>
            </w:r>
            <w:r w:rsidR="0016052B" w:rsidRPr="00F074A5">
              <w:rPr>
                <w:sz w:val="21"/>
                <w:szCs w:val="21"/>
              </w:rPr>
              <w:t>+</w:t>
            </w:r>
            <w:r w:rsidR="009B4D99" w:rsidRPr="00F074A5">
              <w:rPr>
                <w:sz w:val="21"/>
                <w:szCs w:val="21"/>
              </w:rPr>
              <w:t xml:space="preserve"> </w:t>
            </w:r>
            <w:r w:rsidR="0016052B" w:rsidRPr="00F074A5">
              <w:rPr>
                <w:sz w:val="21"/>
                <w:szCs w:val="21"/>
              </w:rPr>
              <w:t xml:space="preserve">lifetime </w:t>
            </w:r>
            <w:r w:rsidR="006B685C" w:rsidRPr="00F074A5">
              <w:rPr>
                <w:sz w:val="21"/>
                <w:szCs w:val="21"/>
              </w:rPr>
              <w:t xml:space="preserve">central </w:t>
            </w:r>
            <w:r w:rsidR="0016052B" w:rsidRPr="00F074A5">
              <w:rPr>
                <w:sz w:val="21"/>
                <w:szCs w:val="21"/>
              </w:rPr>
              <w:t>network costs</w:t>
            </w:r>
            <w:r w:rsidR="00524879">
              <w:rPr>
                <w:sz w:val="21"/>
                <w:szCs w:val="21"/>
              </w:rPr>
              <w:t xml:space="preserve"> (inc</w:t>
            </w:r>
            <w:r w:rsidR="0082597D">
              <w:rPr>
                <w:sz w:val="21"/>
                <w:szCs w:val="21"/>
              </w:rPr>
              <w:t>luding</w:t>
            </w:r>
            <w:r w:rsidR="00524879">
              <w:rPr>
                <w:sz w:val="21"/>
                <w:szCs w:val="21"/>
              </w:rPr>
              <w:t xml:space="preserve"> </w:t>
            </w:r>
            <w:r w:rsidR="00E056F8">
              <w:rPr>
                <w:sz w:val="21"/>
                <w:szCs w:val="21"/>
              </w:rPr>
              <w:t>in-kind)</w:t>
            </w:r>
          </w:p>
        </w:tc>
        <w:tc>
          <w:tcPr>
            <w:tcW w:w="1590" w:type="dxa"/>
            <w:shd w:val="clear" w:color="auto" w:fill="auto"/>
          </w:tcPr>
          <w:p w14:paraId="655BED7A" w14:textId="3681669D" w:rsidR="00507C5F" w:rsidRPr="00F074A5" w:rsidRDefault="00A41A17" w:rsidP="00392788">
            <w:pPr>
              <w:spacing w:line="276" w:lineRule="auto"/>
              <w:rPr>
                <w:rFonts w:eastAsiaTheme="minorHAnsi"/>
                <w:bCs/>
                <w:sz w:val="21"/>
                <w:szCs w:val="21"/>
                <w:lang w:val="en-AU" w:eastAsia="zh-CN"/>
              </w:rPr>
            </w:pPr>
            <w:r w:rsidRPr="00F074A5">
              <w:rPr>
                <w:bCs/>
                <w:sz w:val="21"/>
                <w:szCs w:val="21"/>
                <w:lang w:val="en-AU"/>
              </w:rPr>
              <w:t>$</w:t>
            </w:r>
            <w:r w:rsidR="00667D77" w:rsidRPr="00F074A5">
              <w:rPr>
                <w:bCs/>
                <w:sz w:val="21"/>
                <w:szCs w:val="21"/>
                <w:lang w:val="en-AU"/>
              </w:rPr>
              <w:t>335</w:t>
            </w:r>
            <w:r w:rsidRPr="00F074A5">
              <w:rPr>
                <w:bCs/>
                <w:sz w:val="21"/>
                <w:szCs w:val="21"/>
                <w:lang w:val="en-AU"/>
              </w:rPr>
              <w:t xml:space="preserve"> million</w:t>
            </w:r>
          </w:p>
        </w:tc>
        <w:tc>
          <w:tcPr>
            <w:tcW w:w="2406" w:type="dxa"/>
            <w:shd w:val="clear" w:color="auto" w:fill="auto"/>
          </w:tcPr>
          <w:p w14:paraId="12B24281" w14:textId="4EDC57B2" w:rsidR="00507C5F" w:rsidRPr="00F074A5" w:rsidRDefault="00667D77" w:rsidP="00392788">
            <w:pPr>
              <w:spacing w:line="276" w:lineRule="auto"/>
              <w:rPr>
                <w:rFonts w:eastAsiaTheme="minorHAnsi"/>
                <w:bCs/>
                <w:sz w:val="21"/>
                <w:szCs w:val="21"/>
                <w:lang w:val="en-AU" w:eastAsia="zh-CN"/>
              </w:rPr>
            </w:pPr>
            <w:r w:rsidRPr="00F074A5">
              <w:rPr>
                <w:bCs/>
                <w:sz w:val="21"/>
                <w:szCs w:val="21"/>
                <w:lang w:val="en-AU"/>
              </w:rPr>
              <w:t>5.8:1</w:t>
            </w:r>
          </w:p>
        </w:tc>
      </w:tr>
      <w:tr w:rsidR="00301A31" w:rsidRPr="004F1985" w14:paraId="74D68C54" w14:textId="77777777" w:rsidTr="00301A31">
        <w:trPr>
          <w:trHeight w:val="772"/>
        </w:trPr>
        <w:tc>
          <w:tcPr>
            <w:tcW w:w="5742" w:type="dxa"/>
            <w:shd w:val="clear" w:color="auto" w:fill="auto"/>
          </w:tcPr>
          <w:p w14:paraId="697E4DC8" w14:textId="6A7D7C4C" w:rsidR="00507C5F" w:rsidRPr="00F074A5" w:rsidRDefault="00E056F8" w:rsidP="00392788">
            <w:pPr>
              <w:spacing w:line="276" w:lineRule="auto"/>
              <w:rPr>
                <w:bCs/>
                <w:sz w:val="21"/>
                <w:szCs w:val="21"/>
              </w:rPr>
            </w:pPr>
            <w:r w:rsidRPr="00F074A5">
              <w:rPr>
                <w:sz w:val="21"/>
                <w:szCs w:val="21"/>
              </w:rPr>
              <w:t xml:space="preserve">Total non-commercial funding to 25 trials included </w:t>
            </w:r>
            <w:r>
              <w:rPr>
                <w:sz w:val="21"/>
                <w:szCs w:val="21"/>
              </w:rPr>
              <w:br/>
            </w:r>
            <w:r w:rsidR="008274BF">
              <w:rPr>
                <w:sz w:val="21"/>
                <w:szCs w:val="21"/>
              </w:rPr>
              <w:t>(inc</w:t>
            </w:r>
            <w:r w:rsidR="0082597D">
              <w:rPr>
                <w:sz w:val="21"/>
                <w:szCs w:val="21"/>
              </w:rPr>
              <w:t>luding</w:t>
            </w:r>
            <w:r w:rsidR="00524879">
              <w:rPr>
                <w:sz w:val="21"/>
                <w:szCs w:val="21"/>
              </w:rPr>
              <w:t xml:space="preserve"> </w:t>
            </w:r>
            <w:r>
              <w:rPr>
                <w:sz w:val="21"/>
                <w:szCs w:val="21"/>
              </w:rPr>
              <w:t>coordinating centre costs)</w:t>
            </w:r>
            <w:r>
              <w:rPr>
                <w:sz w:val="21"/>
                <w:szCs w:val="21"/>
              </w:rPr>
              <w:br/>
            </w:r>
            <w:r w:rsidR="00524879">
              <w:rPr>
                <w:sz w:val="21"/>
                <w:szCs w:val="21"/>
              </w:rPr>
              <w:t xml:space="preserve">+ </w:t>
            </w:r>
            <w:r w:rsidRPr="00F074A5">
              <w:rPr>
                <w:sz w:val="21"/>
                <w:szCs w:val="21"/>
              </w:rPr>
              <w:t>lifetime central network costs</w:t>
            </w:r>
            <w:r>
              <w:rPr>
                <w:sz w:val="21"/>
                <w:szCs w:val="21"/>
              </w:rPr>
              <w:t xml:space="preserve"> (inc</w:t>
            </w:r>
            <w:r w:rsidR="0082597D">
              <w:rPr>
                <w:sz w:val="21"/>
                <w:szCs w:val="21"/>
              </w:rPr>
              <w:t>luding</w:t>
            </w:r>
            <w:r>
              <w:rPr>
                <w:sz w:val="21"/>
                <w:szCs w:val="21"/>
              </w:rPr>
              <w:t xml:space="preserve"> in-kind)</w:t>
            </w:r>
          </w:p>
        </w:tc>
        <w:tc>
          <w:tcPr>
            <w:tcW w:w="1590" w:type="dxa"/>
            <w:shd w:val="clear" w:color="auto" w:fill="auto"/>
          </w:tcPr>
          <w:p w14:paraId="40FDCE5A" w14:textId="62813A4F" w:rsidR="00507C5F" w:rsidRPr="00F074A5" w:rsidRDefault="00A41A17" w:rsidP="00392788">
            <w:pPr>
              <w:spacing w:line="276" w:lineRule="auto"/>
              <w:rPr>
                <w:rFonts w:eastAsiaTheme="minorHAnsi"/>
                <w:bCs/>
                <w:sz w:val="21"/>
                <w:szCs w:val="21"/>
                <w:lang w:val="en-AU" w:eastAsia="zh-CN"/>
              </w:rPr>
            </w:pPr>
            <w:r w:rsidRPr="00F074A5">
              <w:rPr>
                <w:bCs/>
                <w:sz w:val="21"/>
                <w:szCs w:val="21"/>
                <w:lang w:val="en-AU"/>
              </w:rPr>
              <w:t>$</w:t>
            </w:r>
            <w:r w:rsidR="008274BF">
              <w:rPr>
                <w:bCs/>
                <w:sz w:val="21"/>
                <w:szCs w:val="21"/>
                <w:lang w:val="en-AU"/>
              </w:rPr>
              <w:t>87</w:t>
            </w:r>
            <w:r w:rsidRPr="00F074A5">
              <w:rPr>
                <w:bCs/>
                <w:sz w:val="21"/>
                <w:szCs w:val="21"/>
                <w:lang w:val="en-AU"/>
              </w:rPr>
              <w:t xml:space="preserve"> million</w:t>
            </w:r>
          </w:p>
        </w:tc>
        <w:tc>
          <w:tcPr>
            <w:tcW w:w="2406" w:type="dxa"/>
            <w:shd w:val="clear" w:color="auto" w:fill="auto"/>
          </w:tcPr>
          <w:p w14:paraId="63E21F45" w14:textId="26D75932" w:rsidR="00507C5F" w:rsidRPr="00F074A5" w:rsidRDefault="00667D77" w:rsidP="00392788">
            <w:pPr>
              <w:spacing w:line="276" w:lineRule="auto"/>
              <w:rPr>
                <w:rFonts w:eastAsiaTheme="minorHAnsi"/>
                <w:bCs/>
                <w:sz w:val="21"/>
                <w:szCs w:val="21"/>
                <w:lang w:val="en-AU" w:eastAsia="zh-CN"/>
              </w:rPr>
            </w:pPr>
            <w:r w:rsidRPr="00F074A5">
              <w:rPr>
                <w:bCs/>
                <w:sz w:val="21"/>
                <w:szCs w:val="21"/>
                <w:lang w:val="en-AU"/>
              </w:rPr>
              <w:t>22:1</w:t>
            </w:r>
          </w:p>
        </w:tc>
      </w:tr>
      <w:tr w:rsidR="00301A31" w:rsidRPr="004F1985" w14:paraId="4450E13C" w14:textId="77777777" w:rsidTr="00301A31">
        <w:trPr>
          <w:cnfStyle w:val="000000100000" w:firstRow="0" w:lastRow="0" w:firstColumn="0" w:lastColumn="0" w:oddVBand="0" w:evenVBand="0" w:oddHBand="1" w:evenHBand="0" w:firstRowFirstColumn="0" w:firstRowLastColumn="0" w:lastRowFirstColumn="0" w:lastRowLastColumn="0"/>
          <w:trHeight w:val="1"/>
        </w:trPr>
        <w:tc>
          <w:tcPr>
            <w:tcW w:w="5742" w:type="dxa"/>
            <w:shd w:val="clear" w:color="auto" w:fill="auto"/>
          </w:tcPr>
          <w:p w14:paraId="5E24F30B" w14:textId="63B16A97" w:rsidR="00507C5F" w:rsidRPr="00F074A5" w:rsidRDefault="008274BF" w:rsidP="00392788">
            <w:pPr>
              <w:spacing w:line="276" w:lineRule="auto"/>
              <w:rPr>
                <w:sz w:val="21"/>
                <w:szCs w:val="21"/>
              </w:rPr>
            </w:pPr>
            <w:r>
              <w:rPr>
                <w:sz w:val="21"/>
                <w:szCs w:val="21"/>
              </w:rPr>
              <w:t>Total N</w:t>
            </w:r>
            <w:r w:rsidR="00301A31">
              <w:rPr>
                <w:sz w:val="21"/>
                <w:szCs w:val="21"/>
              </w:rPr>
              <w:t xml:space="preserve">HMRC funding to the 25 </w:t>
            </w:r>
            <w:r>
              <w:rPr>
                <w:sz w:val="21"/>
                <w:szCs w:val="21"/>
              </w:rPr>
              <w:t>trials</w:t>
            </w:r>
            <w:r w:rsidR="00301A31">
              <w:rPr>
                <w:sz w:val="21"/>
                <w:szCs w:val="21"/>
              </w:rPr>
              <w:t xml:space="preserve"> included</w:t>
            </w:r>
          </w:p>
        </w:tc>
        <w:tc>
          <w:tcPr>
            <w:tcW w:w="1590" w:type="dxa"/>
            <w:shd w:val="clear" w:color="auto" w:fill="auto"/>
          </w:tcPr>
          <w:p w14:paraId="65D272CA" w14:textId="344F4306" w:rsidR="00507C5F" w:rsidRPr="00F074A5" w:rsidRDefault="00845A2B" w:rsidP="00392788">
            <w:pPr>
              <w:spacing w:line="276" w:lineRule="auto"/>
              <w:rPr>
                <w:rFonts w:eastAsiaTheme="minorHAnsi"/>
                <w:sz w:val="21"/>
                <w:szCs w:val="21"/>
                <w:lang w:val="en-AU" w:eastAsia="zh-CN"/>
              </w:rPr>
            </w:pPr>
            <w:r w:rsidRPr="00F074A5">
              <w:rPr>
                <w:sz w:val="21"/>
                <w:szCs w:val="21"/>
                <w:lang w:val="en-AU"/>
              </w:rPr>
              <w:t>$</w:t>
            </w:r>
            <w:r w:rsidR="00A5657A" w:rsidRPr="00F074A5">
              <w:rPr>
                <w:sz w:val="21"/>
                <w:szCs w:val="21"/>
                <w:lang w:val="en-AU"/>
              </w:rPr>
              <w:t>3</w:t>
            </w:r>
            <w:r w:rsidR="00ED5CA4">
              <w:rPr>
                <w:sz w:val="21"/>
                <w:szCs w:val="21"/>
                <w:lang w:val="en-AU"/>
              </w:rPr>
              <w:t>8.5</w:t>
            </w:r>
            <w:r w:rsidRPr="00F074A5">
              <w:rPr>
                <w:sz w:val="21"/>
                <w:szCs w:val="21"/>
                <w:lang w:val="en-AU"/>
              </w:rPr>
              <w:t xml:space="preserve"> million</w:t>
            </w:r>
          </w:p>
        </w:tc>
        <w:tc>
          <w:tcPr>
            <w:tcW w:w="2406" w:type="dxa"/>
            <w:shd w:val="clear" w:color="auto" w:fill="auto"/>
          </w:tcPr>
          <w:p w14:paraId="558AAE63" w14:textId="3CE3897C" w:rsidR="00507C5F" w:rsidRPr="00F074A5" w:rsidRDefault="00667D77" w:rsidP="00392788">
            <w:pPr>
              <w:spacing w:line="276" w:lineRule="auto"/>
              <w:rPr>
                <w:rFonts w:eastAsiaTheme="minorHAnsi"/>
                <w:sz w:val="21"/>
                <w:szCs w:val="21"/>
                <w:lang w:val="en-AU" w:eastAsia="zh-CN"/>
              </w:rPr>
            </w:pPr>
            <w:r w:rsidRPr="00F074A5">
              <w:rPr>
                <w:sz w:val="21"/>
                <w:szCs w:val="21"/>
                <w:lang w:val="en-AU"/>
              </w:rPr>
              <w:t>51:1</w:t>
            </w:r>
          </w:p>
        </w:tc>
      </w:tr>
    </w:tbl>
    <w:p w14:paraId="5D70C8B8" w14:textId="4B40DC2E" w:rsidR="00507C5F" w:rsidRDefault="003249BE" w:rsidP="00060594">
      <w:pPr>
        <w:pStyle w:val="Heading3"/>
      </w:pPr>
      <w:r w:rsidRPr="00B17924">
        <w:t>Benefits</w:t>
      </w:r>
    </w:p>
    <w:p w14:paraId="46078FDC" w14:textId="6B165150" w:rsidR="003249BE" w:rsidRPr="003249BE" w:rsidRDefault="00487E4C" w:rsidP="00392788">
      <w:pPr>
        <w:pStyle w:val="Commissionbodytext"/>
      </w:pPr>
      <w:r>
        <w:fldChar w:fldCharType="begin"/>
      </w:r>
      <w:r>
        <w:instrText xml:space="preserve"> REF _Ref479177664 \h </w:instrText>
      </w:r>
      <w:r w:rsidR="0082597D">
        <w:instrText xml:space="preserve"> \* MERGEFORMAT </w:instrText>
      </w:r>
      <w:r>
        <w:fldChar w:fldCharType="separate"/>
      </w:r>
      <w:r w:rsidR="007B3054">
        <w:t xml:space="preserve">Table </w:t>
      </w:r>
      <w:r w:rsidR="007B3054">
        <w:rPr>
          <w:noProof/>
        </w:rPr>
        <w:t>6</w:t>
      </w:r>
      <w:r>
        <w:fldChar w:fldCharType="end"/>
      </w:r>
      <w:r w:rsidR="0096241B">
        <w:t xml:space="preserve"> </w:t>
      </w:r>
      <w:r w:rsidR="00A6432C">
        <w:t xml:space="preserve">and </w:t>
      </w:r>
      <w:r w:rsidR="00A6432C" w:rsidRPr="0054717A">
        <w:t xml:space="preserve">Sections </w:t>
      </w:r>
      <w:r w:rsidR="0054717A" w:rsidRPr="00F074A5">
        <w:t>3</w:t>
      </w:r>
      <w:r w:rsidR="0020787D" w:rsidRPr="0054717A">
        <w:t xml:space="preserve">.1.1.1 and </w:t>
      </w:r>
      <w:r w:rsidR="0054717A" w:rsidRPr="00F074A5">
        <w:t>3</w:t>
      </w:r>
      <w:r w:rsidR="0020787D" w:rsidRPr="0054717A">
        <w:t xml:space="preserve">.1.1.2 </w:t>
      </w:r>
      <w:r w:rsidR="003249BE" w:rsidRPr="0054717A">
        <w:t>provide</w:t>
      </w:r>
      <w:r w:rsidR="003249BE">
        <w:t xml:space="preserve"> more detail in relation to the benefits quantified during the evaluation. </w:t>
      </w:r>
      <w:r w:rsidR="00A85A6B">
        <w:t xml:space="preserve">Each network </w:t>
      </w:r>
      <w:r w:rsidR="00444F3E">
        <w:t xml:space="preserve">was found to </w:t>
      </w:r>
      <w:r w:rsidR="00A85A6B">
        <w:t>influence guidelines, identif</w:t>
      </w:r>
      <w:r w:rsidR="00444F3E">
        <w:t>y</w:t>
      </w:r>
      <w:r w:rsidR="00A85A6B">
        <w:t xml:space="preserve"> ways to improve </w:t>
      </w:r>
      <w:r w:rsidR="00D8122B">
        <w:t xml:space="preserve">safety and </w:t>
      </w:r>
      <w:r w:rsidR="00A85A6B">
        <w:t xml:space="preserve">quality and </w:t>
      </w:r>
      <w:r w:rsidR="00D8122B">
        <w:t>identify opportunities for more efficient resource use</w:t>
      </w:r>
      <w:r w:rsidR="00A85A6B">
        <w:t>.</w:t>
      </w:r>
    </w:p>
    <w:bookmarkEnd w:id="60"/>
    <w:p w14:paraId="0C707E00" w14:textId="2EE2566C" w:rsidR="00B17924" w:rsidRPr="00A45AF9" w:rsidRDefault="00B17924" w:rsidP="00060594">
      <w:pPr>
        <w:pStyle w:val="Heading4"/>
      </w:pPr>
      <w:r>
        <w:t>B</w:t>
      </w:r>
      <w:r w:rsidRPr="00A45AF9">
        <w:t>enefits</w:t>
      </w:r>
      <w:r>
        <w:t xml:space="preserve"> from improved </w:t>
      </w:r>
      <w:r w:rsidR="00307B63">
        <w:t xml:space="preserve">patient </w:t>
      </w:r>
      <w:r>
        <w:t>health outcomes</w:t>
      </w:r>
    </w:p>
    <w:p w14:paraId="529E7D5F" w14:textId="2790724E" w:rsidR="00B17924" w:rsidRPr="00A45AF9" w:rsidRDefault="00B17924" w:rsidP="00392788">
      <w:pPr>
        <w:pStyle w:val="Commissionbodytext"/>
        <w:rPr>
          <w:b/>
        </w:rPr>
      </w:pPr>
      <w:r w:rsidRPr="00E743AA">
        <w:t>Improvements in patient health outcomes account</w:t>
      </w:r>
      <w:r>
        <w:t>ed</w:t>
      </w:r>
      <w:r w:rsidRPr="00E743AA">
        <w:t xml:space="preserve"> for the majority of the gross benefit</w:t>
      </w:r>
      <w:r w:rsidR="001014F4">
        <w:t>s</w:t>
      </w:r>
      <w:r>
        <w:t xml:space="preserve">. </w:t>
      </w:r>
      <w:r w:rsidR="00A6432C">
        <w:t xml:space="preserve">These improvements were achieved in different ways by each </w:t>
      </w:r>
      <w:r w:rsidR="0016052B">
        <w:t>n</w:t>
      </w:r>
      <w:r w:rsidR="00A6432C">
        <w:t>etwork.</w:t>
      </w:r>
    </w:p>
    <w:p w14:paraId="1FB402A6" w14:textId="77777777" w:rsidR="0082597D" w:rsidRDefault="0082597D" w:rsidP="00392788">
      <w:pPr>
        <w:pStyle w:val="Commissionbodytext"/>
      </w:pPr>
    </w:p>
    <w:p w14:paraId="253C8845" w14:textId="07E60E01" w:rsidR="00B17924" w:rsidRPr="00A45AF9" w:rsidRDefault="00B17924" w:rsidP="00392788">
      <w:pPr>
        <w:pStyle w:val="Commissionbodytext"/>
      </w:pPr>
      <w:r>
        <w:t xml:space="preserve">Most of the ASTN </w:t>
      </w:r>
      <w:r w:rsidR="00A6432C">
        <w:t>trials</w:t>
      </w:r>
      <w:r>
        <w:t xml:space="preserve"> identified</w:t>
      </w:r>
      <w:r w:rsidRPr="00A45AF9">
        <w:t xml:space="preserve"> ways to improve patients’ functional outcomes or reduce secondary vascular incidents after</w:t>
      </w:r>
      <w:r>
        <w:t xml:space="preserve"> stroke </w:t>
      </w:r>
      <w:r w:rsidRPr="00A45AF9">
        <w:t>(including myocardial infarction and pulmonary embolism)</w:t>
      </w:r>
      <w:r>
        <w:t>.</w:t>
      </w:r>
      <w:r w:rsidRPr="00A45AF9">
        <w:t xml:space="preserve"> </w:t>
      </w:r>
      <w:r>
        <w:t>This wa</w:t>
      </w:r>
      <w:r w:rsidRPr="00A45AF9">
        <w:t>s particularly evident in EXTEND-IA, P</w:t>
      </w:r>
      <w:r>
        <w:t>ROGRESS and QASC</w:t>
      </w:r>
      <w:r w:rsidR="0024726C">
        <w:t>.</w:t>
      </w:r>
      <w:r w:rsidRPr="00A45AF9">
        <w:rPr>
          <w:vertAlign w:val="superscript"/>
        </w:rPr>
        <w:footnoteReference w:id="21"/>
      </w:r>
      <w:r w:rsidRPr="00A45AF9">
        <w:t xml:space="preserve"> </w:t>
      </w:r>
    </w:p>
    <w:p w14:paraId="15D44831" w14:textId="77777777" w:rsidR="0082597D" w:rsidRDefault="0082597D" w:rsidP="00392788">
      <w:pPr>
        <w:pStyle w:val="Commissionbodytext"/>
      </w:pPr>
    </w:p>
    <w:p w14:paraId="72A41200" w14:textId="3B124533" w:rsidR="0016052B" w:rsidRDefault="0016052B" w:rsidP="00392788">
      <w:pPr>
        <w:pStyle w:val="Commissionbodytext"/>
      </w:pPr>
      <w:r w:rsidRPr="00A45AF9">
        <w:t>In the</w:t>
      </w:r>
      <w:r w:rsidRPr="00A45AF9">
        <w:rPr>
          <w:b/>
        </w:rPr>
        <w:t xml:space="preserve"> </w:t>
      </w:r>
      <w:r>
        <w:t>IMPACT case study, there we</w:t>
      </w:r>
      <w:r w:rsidRPr="00A45AF9">
        <w:t>re as ma</w:t>
      </w:r>
      <w:r>
        <w:t>ny clinical trials that identified</w:t>
      </w:r>
      <w:r w:rsidRPr="00A45AF9">
        <w:t xml:space="preserve"> ways to improve quality of life in mothers and babies, including the ICE, ACHOIS </w:t>
      </w:r>
      <w:r>
        <w:t>and ACTOMgSO4 Trials</w:t>
      </w:r>
      <w:r w:rsidR="0024726C">
        <w:t>,</w:t>
      </w:r>
      <w:r>
        <w:t xml:space="preserve"> as there were trials identifying</w:t>
      </w:r>
      <w:r w:rsidRPr="00A45AF9">
        <w:t xml:space="preserve"> interventions that reduce</w:t>
      </w:r>
      <w:r>
        <w:t>d</w:t>
      </w:r>
      <w:r w:rsidRPr="00A45AF9">
        <w:t xml:space="preserve"> direct service costs. </w:t>
      </w:r>
      <w:r>
        <w:t>Evidence</w:t>
      </w:r>
      <w:r w:rsidRPr="00A45AF9">
        <w:t xml:space="preserve"> from</w:t>
      </w:r>
      <w:r w:rsidR="00AA535C">
        <w:t xml:space="preserve"> </w:t>
      </w:r>
      <w:r w:rsidRPr="00A45AF9">
        <w:t xml:space="preserve">trials </w:t>
      </w:r>
      <w:r w:rsidR="00AA535C">
        <w:t xml:space="preserve">in this case study impacted </w:t>
      </w:r>
      <w:r w:rsidRPr="00A45AF9">
        <w:t>infant mortality, perinatal complications</w:t>
      </w:r>
      <w:r w:rsidR="0024726C">
        <w:t xml:space="preserve">, </w:t>
      </w:r>
      <w:r w:rsidRPr="00A45AF9">
        <w:t xml:space="preserve">including nerve palsies and shoulder </w:t>
      </w:r>
      <w:r w:rsidRPr="00A45AF9">
        <w:lastRenderedPageBreak/>
        <w:t>dystocia</w:t>
      </w:r>
      <w:r w:rsidR="0024726C">
        <w:t xml:space="preserve"> </w:t>
      </w:r>
      <w:r w:rsidRPr="00A45AF9">
        <w:t>and</w:t>
      </w:r>
      <w:r>
        <w:t xml:space="preserve"> the</w:t>
      </w:r>
      <w:r w:rsidRPr="00A45AF9">
        <w:t xml:space="preserve"> incidence of cere</w:t>
      </w:r>
      <w:r>
        <w:t xml:space="preserve">bral palsy. There is also likely to be </w:t>
      </w:r>
      <w:r w:rsidRPr="00A45AF9">
        <w:t>an</w:t>
      </w:r>
      <w:r>
        <w:t xml:space="preserve"> associated</w:t>
      </w:r>
      <w:r w:rsidRPr="00A45AF9">
        <w:t xml:space="preserve"> improvement in </w:t>
      </w:r>
      <w:r>
        <w:t xml:space="preserve">the emotional and mental health of mothers. </w:t>
      </w:r>
    </w:p>
    <w:p w14:paraId="4B062FC4" w14:textId="77777777" w:rsidR="0082597D" w:rsidRDefault="0082597D" w:rsidP="00392788">
      <w:pPr>
        <w:pStyle w:val="Commissionbodytext"/>
      </w:pPr>
    </w:p>
    <w:p w14:paraId="453B3587" w14:textId="104DFA6C" w:rsidR="00B17924" w:rsidRDefault="00B17924" w:rsidP="00392788">
      <w:pPr>
        <w:pStyle w:val="Commissionbodytext"/>
      </w:pPr>
      <w:r>
        <w:t>M</w:t>
      </w:r>
      <w:r w:rsidRPr="00A45AF9">
        <w:t>any of</w:t>
      </w:r>
      <w:r>
        <w:t xml:space="preserve"> the</w:t>
      </w:r>
      <w:r w:rsidRPr="00A45AF9">
        <w:t xml:space="preserve"> </w:t>
      </w:r>
      <w:r>
        <w:t xml:space="preserve">ANZICS CTG </w:t>
      </w:r>
      <w:r w:rsidR="00A6432C">
        <w:t>trials</w:t>
      </w:r>
      <w:r>
        <w:t xml:space="preserve"> </w:t>
      </w:r>
      <w:r w:rsidRPr="00A45AF9">
        <w:t>reduce</w:t>
      </w:r>
      <w:r>
        <w:t>d</w:t>
      </w:r>
      <w:r w:rsidRPr="00A45AF9">
        <w:t xml:space="preserve"> the</w:t>
      </w:r>
      <w:r>
        <w:t xml:space="preserve"> mortality rate of patients in i</w:t>
      </w:r>
      <w:r w:rsidRPr="00A45AF9">
        <w:t xml:space="preserve">ntensive </w:t>
      </w:r>
      <w:r>
        <w:t xml:space="preserve">care. They did so by examining existing treatment options and models of care in common or increasing use, to identify which </w:t>
      </w:r>
      <w:r w:rsidR="00967079">
        <w:t xml:space="preserve">were </w:t>
      </w:r>
      <w:r>
        <w:t xml:space="preserve">more effective at improving patient outcomes. Evidence generated by these trials led to the avoidance of </w:t>
      </w:r>
      <w:r w:rsidRPr="00A45AF9">
        <w:t>potentially harmful interventions</w:t>
      </w:r>
      <w:r>
        <w:t xml:space="preserve"> such as tight glyc</w:t>
      </w:r>
      <w:r w:rsidR="00F06BBC">
        <w:t>a</w:t>
      </w:r>
      <w:r>
        <w:t>emic control in the critically unwell (NICE-SUGAR)</w:t>
      </w:r>
      <w:r w:rsidR="0095190D">
        <w:t>, fluid resuscitation with albumin in traumatic brain injury (SAFE-TBI)</w:t>
      </w:r>
      <w:r>
        <w:t xml:space="preserve"> and early </w:t>
      </w:r>
      <w:r w:rsidR="0095190D">
        <w:t xml:space="preserve">decompressive </w:t>
      </w:r>
      <w:r>
        <w:t>surgical intervention in traumatic brain injury (DECRA study).</w:t>
      </w:r>
    </w:p>
    <w:p w14:paraId="57BA179B" w14:textId="2C0BF2ED" w:rsidR="00AB3768" w:rsidRDefault="00AB3768" w:rsidP="00F074A5">
      <w:pPr>
        <w:pStyle w:val="Caption"/>
      </w:pPr>
      <w:bookmarkStart w:id="63" w:name="_Ref479177664"/>
      <w:bookmarkStart w:id="64" w:name="_Toc479177729"/>
      <w:r>
        <w:t xml:space="preserve">Table </w:t>
      </w:r>
      <w:fldSimple w:instr=" SEQ Table \* ARABIC ">
        <w:r w:rsidR="007B3054">
          <w:rPr>
            <w:noProof/>
          </w:rPr>
          <w:t>6</w:t>
        </w:r>
      </w:fldSimple>
      <w:bookmarkEnd w:id="63"/>
      <w:r>
        <w:t xml:space="preserve">. </w:t>
      </w:r>
      <w:r w:rsidRPr="00AC2555">
        <w:t>Consolidated benefits</w:t>
      </w:r>
      <w:bookmarkEnd w:id="64"/>
    </w:p>
    <w:tbl>
      <w:tblPr>
        <w:tblStyle w:val="GridTable2-Accent51"/>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20" w:firstRow="1" w:lastRow="0" w:firstColumn="0" w:lastColumn="0" w:noHBand="0" w:noVBand="1"/>
      </w:tblPr>
      <w:tblGrid>
        <w:gridCol w:w="7754"/>
        <w:gridCol w:w="2164"/>
      </w:tblGrid>
      <w:tr w:rsidR="00AB3768" w:rsidRPr="004F1985" w14:paraId="4C043ABB" w14:textId="77777777" w:rsidTr="00392788">
        <w:trPr>
          <w:cnfStyle w:val="100000000000" w:firstRow="1" w:lastRow="0" w:firstColumn="0" w:lastColumn="0" w:oddVBand="0" w:evenVBand="0" w:oddHBand="0" w:evenHBand="0" w:firstRowFirstColumn="0" w:firstRowLastColumn="0" w:lastRowFirstColumn="0" w:lastRowLastColumn="0"/>
          <w:trHeight w:hRule="exact" w:val="567"/>
        </w:trPr>
        <w:tc>
          <w:tcPr>
            <w:tcW w:w="7754" w:type="dxa"/>
            <w:tcBorders>
              <w:top w:val="none" w:sz="0" w:space="0" w:color="auto"/>
              <w:bottom w:val="none" w:sz="0" w:space="0" w:color="auto"/>
              <w:right w:val="none" w:sz="0" w:space="0" w:color="auto"/>
            </w:tcBorders>
            <w:shd w:val="clear" w:color="auto" w:fill="2F5496" w:themeFill="accent5" w:themeFillShade="BF"/>
            <w:hideMark/>
          </w:tcPr>
          <w:p w14:paraId="307EA3EB" w14:textId="73A1381E" w:rsidR="00AB3768" w:rsidRPr="00392788" w:rsidRDefault="00AB3768" w:rsidP="00392788">
            <w:pPr>
              <w:spacing w:after="0" w:line="276" w:lineRule="auto"/>
              <w:rPr>
                <w:rFonts w:eastAsiaTheme="minorHAnsi"/>
                <w:bCs w:val="0"/>
                <w:color w:val="FFFFFF" w:themeColor="background1"/>
                <w:sz w:val="21"/>
                <w:szCs w:val="21"/>
                <w:lang w:val="en-AU" w:eastAsia="zh-CN"/>
              </w:rPr>
            </w:pPr>
            <w:r w:rsidRPr="00392788">
              <w:rPr>
                <w:bCs w:val="0"/>
                <w:color w:val="FFFFFF" w:themeColor="background1"/>
                <w:sz w:val="21"/>
                <w:szCs w:val="21"/>
              </w:rPr>
              <w:t xml:space="preserve">Gross </w:t>
            </w:r>
            <w:r w:rsidR="00B60623">
              <w:rPr>
                <w:bCs w:val="0"/>
                <w:color w:val="FFFFFF" w:themeColor="background1"/>
                <w:sz w:val="21"/>
                <w:szCs w:val="21"/>
              </w:rPr>
              <w:t>b</w:t>
            </w:r>
            <w:r w:rsidRPr="00392788">
              <w:rPr>
                <w:bCs w:val="0"/>
                <w:color w:val="FFFFFF" w:themeColor="background1"/>
                <w:sz w:val="21"/>
                <w:szCs w:val="21"/>
              </w:rPr>
              <w:t>enefits</w:t>
            </w:r>
          </w:p>
        </w:tc>
        <w:tc>
          <w:tcPr>
            <w:tcW w:w="2164" w:type="dxa"/>
            <w:tcBorders>
              <w:top w:val="none" w:sz="0" w:space="0" w:color="auto"/>
              <w:left w:val="none" w:sz="0" w:space="0" w:color="auto"/>
              <w:bottom w:val="none" w:sz="0" w:space="0" w:color="auto"/>
            </w:tcBorders>
            <w:shd w:val="clear" w:color="auto" w:fill="2F5496" w:themeFill="accent5" w:themeFillShade="BF"/>
            <w:hideMark/>
          </w:tcPr>
          <w:p w14:paraId="056342BF" w14:textId="77777777" w:rsidR="00AB3768" w:rsidRPr="00392788" w:rsidRDefault="00AB3768" w:rsidP="00392788">
            <w:pPr>
              <w:spacing w:after="0" w:line="276" w:lineRule="auto"/>
              <w:rPr>
                <w:rFonts w:eastAsiaTheme="minorHAnsi"/>
                <w:bCs w:val="0"/>
                <w:color w:val="FFFFFF" w:themeColor="background1"/>
                <w:sz w:val="21"/>
                <w:szCs w:val="21"/>
                <w:lang w:val="en-AU" w:eastAsia="zh-CN"/>
              </w:rPr>
            </w:pPr>
            <w:r w:rsidRPr="00392788">
              <w:rPr>
                <w:bCs w:val="0"/>
                <w:color w:val="FFFFFF" w:themeColor="background1"/>
                <w:sz w:val="21"/>
                <w:szCs w:val="21"/>
              </w:rPr>
              <w:t>Value</w:t>
            </w:r>
          </w:p>
        </w:tc>
      </w:tr>
      <w:tr w:rsidR="00AB3768" w:rsidRPr="004F1985" w14:paraId="465292D9" w14:textId="77777777" w:rsidTr="00392788">
        <w:trPr>
          <w:cnfStyle w:val="000000100000" w:firstRow="0" w:lastRow="0" w:firstColumn="0" w:lastColumn="0" w:oddVBand="0" w:evenVBand="0" w:oddHBand="1" w:evenHBand="0" w:firstRowFirstColumn="0" w:firstRowLastColumn="0" w:lastRowFirstColumn="0" w:lastRowLastColumn="0"/>
          <w:trHeight w:hRule="exact" w:val="567"/>
        </w:trPr>
        <w:tc>
          <w:tcPr>
            <w:tcW w:w="7754" w:type="dxa"/>
            <w:shd w:val="clear" w:color="auto" w:fill="auto"/>
            <w:hideMark/>
          </w:tcPr>
          <w:p w14:paraId="594DEB41" w14:textId="77777777" w:rsidR="00AB3768" w:rsidRPr="00F074A5" w:rsidRDefault="00AB3768" w:rsidP="005D770E">
            <w:pPr>
              <w:rPr>
                <w:rFonts w:eastAsiaTheme="minorHAnsi"/>
                <w:b/>
                <w:bCs/>
                <w:sz w:val="21"/>
                <w:szCs w:val="21"/>
                <w:lang w:val="en-AU" w:eastAsia="zh-CN"/>
              </w:rPr>
            </w:pPr>
            <w:r w:rsidRPr="00F074A5">
              <w:rPr>
                <w:b/>
                <w:bCs/>
                <w:sz w:val="21"/>
                <w:szCs w:val="21"/>
              </w:rPr>
              <w:t>Patient health outcomes</w:t>
            </w:r>
          </w:p>
        </w:tc>
        <w:tc>
          <w:tcPr>
            <w:tcW w:w="2164" w:type="dxa"/>
            <w:shd w:val="clear" w:color="auto" w:fill="auto"/>
            <w:hideMark/>
          </w:tcPr>
          <w:p w14:paraId="1D46F5DB" w14:textId="66D53193" w:rsidR="00AB3768" w:rsidRPr="00F074A5" w:rsidRDefault="00AB3768" w:rsidP="00804DD4">
            <w:pPr>
              <w:rPr>
                <w:rFonts w:eastAsiaTheme="minorHAnsi"/>
                <w:b/>
                <w:bCs/>
                <w:sz w:val="21"/>
                <w:szCs w:val="21"/>
                <w:lang w:val="en-AU" w:eastAsia="zh-CN"/>
              </w:rPr>
            </w:pPr>
            <w:r w:rsidRPr="00F074A5">
              <w:rPr>
                <w:b/>
                <w:bCs/>
                <w:sz w:val="21"/>
                <w:szCs w:val="21"/>
              </w:rPr>
              <w:t>$1</w:t>
            </w:r>
            <w:r w:rsidR="000E7975">
              <w:rPr>
                <w:b/>
                <w:bCs/>
                <w:sz w:val="21"/>
                <w:szCs w:val="21"/>
              </w:rPr>
              <w:t>,</w:t>
            </w:r>
            <w:r w:rsidRPr="00F074A5">
              <w:rPr>
                <w:b/>
                <w:bCs/>
                <w:sz w:val="21"/>
                <w:szCs w:val="21"/>
              </w:rPr>
              <w:t>377 million</w:t>
            </w:r>
          </w:p>
        </w:tc>
      </w:tr>
      <w:tr w:rsidR="00AB3768" w:rsidRPr="004F1985" w14:paraId="47E57473" w14:textId="77777777" w:rsidTr="00392788">
        <w:trPr>
          <w:trHeight w:hRule="exact" w:val="567"/>
        </w:trPr>
        <w:tc>
          <w:tcPr>
            <w:tcW w:w="7754" w:type="dxa"/>
            <w:shd w:val="clear" w:color="auto" w:fill="auto"/>
            <w:hideMark/>
          </w:tcPr>
          <w:p w14:paraId="68D862D3" w14:textId="77777777" w:rsidR="00AB3768" w:rsidRPr="00F074A5" w:rsidRDefault="00AB3768" w:rsidP="005D770E">
            <w:pPr>
              <w:rPr>
                <w:rFonts w:eastAsiaTheme="minorHAnsi"/>
                <w:b/>
                <w:bCs/>
                <w:sz w:val="21"/>
                <w:szCs w:val="21"/>
                <w:lang w:val="en-AU" w:eastAsia="zh-CN"/>
              </w:rPr>
            </w:pPr>
            <w:r w:rsidRPr="00F074A5">
              <w:rPr>
                <w:b/>
                <w:bCs/>
                <w:sz w:val="21"/>
                <w:szCs w:val="21"/>
              </w:rPr>
              <w:t>Direct health service costs avoided</w:t>
            </w:r>
          </w:p>
        </w:tc>
        <w:tc>
          <w:tcPr>
            <w:tcW w:w="2164" w:type="dxa"/>
            <w:shd w:val="clear" w:color="auto" w:fill="auto"/>
            <w:hideMark/>
          </w:tcPr>
          <w:p w14:paraId="50542A3E" w14:textId="77777777" w:rsidR="00AB3768" w:rsidRPr="00F074A5" w:rsidRDefault="00AB3768" w:rsidP="005D770E">
            <w:pPr>
              <w:rPr>
                <w:rFonts w:eastAsiaTheme="minorHAnsi"/>
                <w:b/>
                <w:bCs/>
                <w:sz w:val="21"/>
                <w:szCs w:val="21"/>
                <w:lang w:val="en-AU" w:eastAsia="zh-CN"/>
              </w:rPr>
            </w:pPr>
            <w:r w:rsidRPr="00F074A5">
              <w:rPr>
                <w:b/>
                <w:bCs/>
                <w:sz w:val="21"/>
                <w:szCs w:val="21"/>
              </w:rPr>
              <w:t>$580 million</w:t>
            </w:r>
          </w:p>
        </w:tc>
      </w:tr>
      <w:tr w:rsidR="00AB3768" w:rsidRPr="004F1985" w14:paraId="1C52C98A" w14:textId="77777777" w:rsidTr="00392788">
        <w:trPr>
          <w:cnfStyle w:val="000000100000" w:firstRow="0" w:lastRow="0" w:firstColumn="0" w:lastColumn="0" w:oddVBand="0" w:evenVBand="0" w:oddHBand="1" w:evenHBand="0" w:firstRowFirstColumn="0" w:firstRowLastColumn="0" w:lastRowFirstColumn="0" w:lastRowLastColumn="0"/>
          <w:trHeight w:hRule="exact" w:val="567"/>
        </w:trPr>
        <w:tc>
          <w:tcPr>
            <w:tcW w:w="7754" w:type="dxa"/>
            <w:shd w:val="clear" w:color="auto" w:fill="auto"/>
            <w:hideMark/>
          </w:tcPr>
          <w:p w14:paraId="48B13725" w14:textId="017BCF4D" w:rsidR="00AB3768" w:rsidRPr="00F074A5" w:rsidRDefault="00AB3768" w:rsidP="00CF6A2F">
            <w:pPr>
              <w:ind w:left="709"/>
              <w:rPr>
                <w:rFonts w:eastAsiaTheme="minorHAnsi"/>
                <w:sz w:val="21"/>
                <w:szCs w:val="21"/>
                <w:lang w:val="en-AU" w:eastAsia="zh-CN"/>
              </w:rPr>
            </w:pPr>
            <w:r w:rsidRPr="00F074A5">
              <w:rPr>
                <w:sz w:val="21"/>
                <w:szCs w:val="21"/>
              </w:rPr>
              <w:t xml:space="preserve">Avoided service costs from trial interventions </w:t>
            </w:r>
          </w:p>
        </w:tc>
        <w:tc>
          <w:tcPr>
            <w:tcW w:w="2164" w:type="dxa"/>
            <w:shd w:val="clear" w:color="auto" w:fill="auto"/>
            <w:hideMark/>
          </w:tcPr>
          <w:p w14:paraId="519D5856" w14:textId="77777777" w:rsidR="00AB3768" w:rsidRPr="00F074A5" w:rsidRDefault="00AB3768" w:rsidP="005D770E">
            <w:pPr>
              <w:rPr>
                <w:rFonts w:eastAsiaTheme="minorHAnsi"/>
                <w:sz w:val="21"/>
                <w:szCs w:val="21"/>
                <w:lang w:val="en-AU" w:eastAsia="zh-CN"/>
              </w:rPr>
            </w:pPr>
            <w:r w:rsidRPr="00F074A5">
              <w:rPr>
                <w:sz w:val="21"/>
                <w:szCs w:val="21"/>
              </w:rPr>
              <w:t>($127 million)</w:t>
            </w:r>
          </w:p>
        </w:tc>
      </w:tr>
      <w:tr w:rsidR="00AB3768" w:rsidRPr="004F1985" w14:paraId="41F3B45E" w14:textId="77777777" w:rsidTr="00392788">
        <w:trPr>
          <w:trHeight w:hRule="exact" w:val="567"/>
        </w:trPr>
        <w:tc>
          <w:tcPr>
            <w:tcW w:w="7754" w:type="dxa"/>
            <w:shd w:val="clear" w:color="auto" w:fill="auto"/>
            <w:hideMark/>
          </w:tcPr>
          <w:p w14:paraId="2F0A74FF" w14:textId="0AF2C07A" w:rsidR="00AB3768" w:rsidRPr="00F074A5" w:rsidRDefault="00AB3768" w:rsidP="00CF6A2F">
            <w:pPr>
              <w:ind w:left="709"/>
              <w:rPr>
                <w:rFonts w:eastAsiaTheme="minorHAnsi"/>
                <w:sz w:val="21"/>
                <w:szCs w:val="21"/>
                <w:lang w:val="en-AU" w:eastAsia="zh-CN"/>
              </w:rPr>
            </w:pPr>
            <w:r w:rsidRPr="00F074A5">
              <w:rPr>
                <w:sz w:val="21"/>
                <w:szCs w:val="21"/>
              </w:rPr>
              <w:t xml:space="preserve">Avoided service costs from better outcomes </w:t>
            </w:r>
          </w:p>
        </w:tc>
        <w:tc>
          <w:tcPr>
            <w:tcW w:w="2164" w:type="dxa"/>
            <w:shd w:val="clear" w:color="auto" w:fill="auto"/>
            <w:hideMark/>
          </w:tcPr>
          <w:p w14:paraId="3F372783" w14:textId="77777777" w:rsidR="00AB3768" w:rsidRPr="00F074A5" w:rsidRDefault="00AB3768" w:rsidP="005D770E">
            <w:pPr>
              <w:rPr>
                <w:rFonts w:eastAsiaTheme="minorHAnsi"/>
                <w:sz w:val="21"/>
                <w:szCs w:val="21"/>
                <w:lang w:val="en-AU" w:eastAsia="zh-CN"/>
              </w:rPr>
            </w:pPr>
            <w:r w:rsidRPr="00F074A5">
              <w:rPr>
                <w:sz w:val="21"/>
                <w:szCs w:val="21"/>
              </w:rPr>
              <w:t>($453 million)</w:t>
            </w:r>
          </w:p>
        </w:tc>
      </w:tr>
      <w:tr w:rsidR="00AB3768" w:rsidRPr="004F1985" w14:paraId="3411B177" w14:textId="77777777" w:rsidTr="00392788">
        <w:trPr>
          <w:cnfStyle w:val="000000100000" w:firstRow="0" w:lastRow="0" w:firstColumn="0" w:lastColumn="0" w:oddVBand="0" w:evenVBand="0" w:oddHBand="1" w:evenHBand="0" w:firstRowFirstColumn="0" w:firstRowLastColumn="0" w:lastRowFirstColumn="0" w:lastRowLastColumn="0"/>
          <w:trHeight w:hRule="exact" w:val="567"/>
        </w:trPr>
        <w:tc>
          <w:tcPr>
            <w:tcW w:w="7754" w:type="dxa"/>
            <w:shd w:val="clear" w:color="auto" w:fill="2F5496" w:themeFill="accent5" w:themeFillShade="BF"/>
          </w:tcPr>
          <w:p w14:paraId="3D5B4394" w14:textId="1EA5972E" w:rsidR="00AB3768" w:rsidRPr="00F074A5" w:rsidRDefault="00AB3768" w:rsidP="005D770E">
            <w:pPr>
              <w:rPr>
                <w:rFonts w:eastAsiaTheme="minorHAnsi"/>
                <w:color w:val="FFFFFF" w:themeColor="background1"/>
                <w:sz w:val="21"/>
                <w:szCs w:val="21"/>
                <w:lang w:val="en-AU" w:eastAsia="zh-CN"/>
              </w:rPr>
            </w:pPr>
            <w:r w:rsidRPr="00F074A5">
              <w:rPr>
                <w:color w:val="FFFFFF" w:themeColor="background1"/>
                <w:sz w:val="21"/>
                <w:szCs w:val="21"/>
              </w:rPr>
              <w:t xml:space="preserve">Total </w:t>
            </w:r>
            <w:r w:rsidR="00B60623">
              <w:rPr>
                <w:color w:val="FFFFFF" w:themeColor="background1"/>
                <w:sz w:val="21"/>
                <w:szCs w:val="21"/>
              </w:rPr>
              <w:t>g</w:t>
            </w:r>
            <w:r w:rsidRPr="00F074A5">
              <w:rPr>
                <w:color w:val="FFFFFF" w:themeColor="background1"/>
                <w:sz w:val="21"/>
                <w:szCs w:val="21"/>
              </w:rPr>
              <w:t xml:space="preserve">ross </w:t>
            </w:r>
            <w:r w:rsidR="00B60623">
              <w:rPr>
                <w:color w:val="FFFFFF" w:themeColor="background1"/>
                <w:sz w:val="21"/>
                <w:szCs w:val="21"/>
              </w:rPr>
              <w:t>b</w:t>
            </w:r>
            <w:r w:rsidRPr="00F074A5">
              <w:rPr>
                <w:color w:val="FFFFFF" w:themeColor="background1"/>
                <w:sz w:val="21"/>
                <w:szCs w:val="21"/>
              </w:rPr>
              <w:t>enefits</w:t>
            </w:r>
          </w:p>
        </w:tc>
        <w:tc>
          <w:tcPr>
            <w:tcW w:w="2164" w:type="dxa"/>
            <w:shd w:val="clear" w:color="auto" w:fill="2F5496" w:themeFill="accent5" w:themeFillShade="BF"/>
          </w:tcPr>
          <w:p w14:paraId="713C5EE7" w14:textId="77777777" w:rsidR="00AB3768" w:rsidRPr="00F074A5" w:rsidRDefault="00AB3768" w:rsidP="005D770E">
            <w:pPr>
              <w:rPr>
                <w:rFonts w:eastAsiaTheme="minorHAnsi"/>
                <w:color w:val="FFFFFF" w:themeColor="background1"/>
                <w:sz w:val="21"/>
                <w:szCs w:val="21"/>
                <w:lang w:val="en-AU" w:eastAsia="zh-CN"/>
              </w:rPr>
            </w:pPr>
            <w:r w:rsidRPr="00F074A5">
              <w:rPr>
                <w:color w:val="FFFFFF" w:themeColor="background1"/>
                <w:sz w:val="21"/>
                <w:szCs w:val="21"/>
              </w:rPr>
              <w:t>~$2 billion</w:t>
            </w:r>
          </w:p>
        </w:tc>
      </w:tr>
    </w:tbl>
    <w:p w14:paraId="0B81507E" w14:textId="77777777" w:rsidR="00B17924" w:rsidRPr="00A20DAF" w:rsidRDefault="00B17924" w:rsidP="00060594">
      <w:pPr>
        <w:pStyle w:val="Heading4"/>
      </w:pPr>
      <w:r>
        <w:t>B</w:t>
      </w:r>
      <w:r w:rsidRPr="00A20DAF">
        <w:t xml:space="preserve">enefits from </w:t>
      </w:r>
      <w:r>
        <w:t xml:space="preserve">avoided </w:t>
      </w:r>
      <w:r w:rsidRPr="00AC457A">
        <w:t>direct health service</w:t>
      </w:r>
      <w:r w:rsidRPr="00A20DAF">
        <w:t xml:space="preserve"> costs </w:t>
      </w:r>
    </w:p>
    <w:p w14:paraId="7AF99A15" w14:textId="05CC7459" w:rsidR="00B17924" w:rsidRPr="00A20DAF" w:rsidRDefault="00B17924" w:rsidP="00392788">
      <w:pPr>
        <w:pStyle w:val="Commissionbodytext"/>
      </w:pPr>
      <w:r w:rsidRPr="00A20DAF">
        <w:t>Approximately 30% of the estimated benefit</w:t>
      </w:r>
      <w:r>
        <w:t xml:space="preserve">s </w:t>
      </w:r>
      <w:r w:rsidR="00F26FBD">
        <w:t>a</w:t>
      </w:r>
      <w:r w:rsidRPr="00A20DAF">
        <w:t>re</w:t>
      </w:r>
      <w:r>
        <w:t xml:space="preserve"> derived from </w:t>
      </w:r>
      <w:r w:rsidRPr="00A20DAF">
        <w:t xml:space="preserve">reduced </w:t>
      </w:r>
      <w:r>
        <w:t xml:space="preserve">direct </w:t>
      </w:r>
      <w:r w:rsidRPr="00A20DAF">
        <w:t xml:space="preserve">health service costs. </w:t>
      </w:r>
      <w:r w:rsidRPr="00CF6A2F">
        <w:rPr>
          <w:rStyle w:val="Strong"/>
          <w:b w:val="0"/>
        </w:rPr>
        <w:t xml:space="preserve">This saving alone would be sufficient to cover the costs of all of the studies conducted by these networks </w:t>
      </w:r>
      <w:r w:rsidR="00F41FFB" w:rsidRPr="00CF6A2F">
        <w:rPr>
          <w:rStyle w:val="Strong"/>
          <w:b w:val="0"/>
        </w:rPr>
        <w:t>between 2004 and 2014</w:t>
      </w:r>
      <w:r w:rsidRPr="00CF6A2F">
        <w:rPr>
          <w:rStyle w:val="Strong"/>
          <w:b w:val="0"/>
        </w:rPr>
        <w:t>.</w:t>
      </w:r>
      <w:r w:rsidR="00BD68CF">
        <w:t xml:space="preserve"> </w:t>
      </w:r>
      <w:r>
        <w:t xml:space="preserve">Trials that particularly contributed to this </w:t>
      </w:r>
      <w:r w:rsidR="007A2B4D">
        <w:t xml:space="preserve">type of </w:t>
      </w:r>
      <w:r>
        <w:t xml:space="preserve">benefit set out to </w:t>
      </w:r>
      <w:r w:rsidR="007A2B4D">
        <w:t xml:space="preserve">either </w:t>
      </w:r>
      <w:r>
        <w:t>examine the clinical comparative effectiveness and cost</w:t>
      </w:r>
      <w:r w:rsidR="00DF110B">
        <w:t>-</w:t>
      </w:r>
      <w:r>
        <w:t>effectiveness of two interventions already in common practice, or to compare a newly emerging intervention with existing options.</w:t>
      </w:r>
    </w:p>
    <w:p w14:paraId="11F2622F" w14:textId="77777777" w:rsidR="00B60623" w:rsidRDefault="00B60623" w:rsidP="00392788">
      <w:pPr>
        <w:pStyle w:val="Commissionbodytext"/>
      </w:pPr>
    </w:p>
    <w:p w14:paraId="54990D31" w14:textId="51A58BC3" w:rsidR="00B17924" w:rsidRDefault="00B17924" w:rsidP="00392788">
      <w:pPr>
        <w:pStyle w:val="Commissionbodytext"/>
      </w:pPr>
      <w:r>
        <w:t>Overall, i</w:t>
      </w:r>
      <w:r w:rsidRPr="00A20DAF">
        <w:t>nterventions</w:t>
      </w:r>
      <w:r>
        <w:t xml:space="preserve"> recommended by the ASTN</w:t>
      </w:r>
      <w:r w:rsidRPr="00A20DAF">
        <w:t xml:space="preserve"> </w:t>
      </w:r>
      <w:r w:rsidR="00A6432C">
        <w:t xml:space="preserve">trials </w:t>
      </w:r>
      <w:r w:rsidRPr="00A20DAF">
        <w:t xml:space="preserve">were </w:t>
      </w:r>
      <w:r>
        <w:t xml:space="preserve">more expensive than current practice. </w:t>
      </w:r>
      <w:r w:rsidRPr="00A20DAF">
        <w:t>T</w:t>
      </w:r>
      <w:r>
        <w:t>his wa</w:t>
      </w:r>
      <w:r w:rsidRPr="00A20DAF">
        <w:t xml:space="preserve">s mainly driven by the costs of endovascular clot retrieval procedures (EXTEND IA study) and increasing the number of patients receiving anti-hypertensive treatment (PROGRESS study). However, better </w:t>
      </w:r>
      <w:r>
        <w:t xml:space="preserve">health </w:t>
      </w:r>
      <w:r w:rsidRPr="00A20DAF">
        <w:t xml:space="preserve">outcomes </w:t>
      </w:r>
      <w:r w:rsidR="0016052B">
        <w:t xml:space="preserve">from these interventions </w:t>
      </w:r>
      <w:r w:rsidRPr="00A20DAF">
        <w:t>result</w:t>
      </w:r>
      <w:r w:rsidR="00A6432C">
        <w:t>ed</w:t>
      </w:r>
      <w:r w:rsidRPr="00A20DAF">
        <w:t xml:space="preserve"> in </w:t>
      </w:r>
      <w:r w:rsidR="00A6432C">
        <w:t xml:space="preserve">significant reductions in </w:t>
      </w:r>
      <w:r w:rsidR="0016052B">
        <w:t>subsequent</w:t>
      </w:r>
      <w:r w:rsidR="00A6432C">
        <w:t xml:space="preserve"> health service costs</w:t>
      </w:r>
      <w:r w:rsidRPr="00A20DAF">
        <w:t xml:space="preserve"> for stroke, myocardial infarction and inpatient neurological rehabilitation.</w:t>
      </w:r>
      <w:r w:rsidR="00BD68CF">
        <w:t xml:space="preserve"> </w:t>
      </w:r>
    </w:p>
    <w:p w14:paraId="24A57105" w14:textId="77777777" w:rsidR="00B60623" w:rsidRPr="00A20DAF" w:rsidRDefault="00B60623" w:rsidP="00392788">
      <w:pPr>
        <w:pStyle w:val="Commissionbodytext"/>
      </w:pPr>
    </w:p>
    <w:p w14:paraId="0E9BEA7E" w14:textId="6F5B1EC0" w:rsidR="00B17924" w:rsidRDefault="00EC26BA" w:rsidP="00392788">
      <w:pPr>
        <w:pStyle w:val="Commissionbodytext"/>
      </w:pPr>
      <w:r>
        <w:t>I</w:t>
      </w:r>
      <w:r w:rsidR="00B17924">
        <w:t xml:space="preserve">nterventions recommended by the IMPACT trials </w:t>
      </w:r>
      <w:r w:rsidR="00B17924" w:rsidRPr="00A20DAF">
        <w:t>were</w:t>
      </w:r>
      <w:r w:rsidR="00B17924">
        <w:t xml:space="preserve"> </w:t>
      </w:r>
      <w:r w:rsidR="00B17924" w:rsidRPr="00A20DAF">
        <w:t>le</w:t>
      </w:r>
      <w:r w:rsidR="00B17924">
        <w:t>ss expensive overall than current practice</w:t>
      </w:r>
      <w:r w:rsidR="00B17924" w:rsidRPr="00A20DAF">
        <w:t>. Th</w:t>
      </w:r>
      <w:r w:rsidR="00B17924">
        <w:t xml:space="preserve">is </w:t>
      </w:r>
      <w:r w:rsidR="00B17924" w:rsidRPr="00A20DAF">
        <w:t xml:space="preserve">was </w:t>
      </w:r>
      <w:r w:rsidR="00B17924">
        <w:t>accompanied by</w:t>
      </w:r>
      <w:r w:rsidR="00B17924" w:rsidRPr="00A20DAF">
        <w:t xml:space="preserve"> a reduction in adverse patient outcomes</w:t>
      </w:r>
      <w:r w:rsidR="00B17924">
        <w:t xml:space="preserve"> and reduced health service costs, largely by lowering the rate of c</w:t>
      </w:r>
      <w:r w:rsidR="0056161A">
        <w:t>a</w:t>
      </w:r>
      <w:r w:rsidR="00B17924">
        <w:t xml:space="preserve">esarean sections and reducing length of </w:t>
      </w:r>
      <w:r w:rsidR="00B17924" w:rsidRPr="00A20DAF">
        <w:t>stay for mothers and babies</w:t>
      </w:r>
      <w:r w:rsidR="00B17924">
        <w:t xml:space="preserve"> in hospital</w:t>
      </w:r>
      <w:r w:rsidR="00B17924" w:rsidRPr="00A20DAF">
        <w:t xml:space="preserve"> </w:t>
      </w:r>
      <w:r w:rsidR="00B17924">
        <w:t>(</w:t>
      </w:r>
      <w:r>
        <w:t>e</w:t>
      </w:r>
      <w:r w:rsidR="00DF110B">
        <w:t>.</w:t>
      </w:r>
      <w:r>
        <w:t>g</w:t>
      </w:r>
      <w:r w:rsidR="00DF110B">
        <w:t>.</w:t>
      </w:r>
      <w:r w:rsidR="00B17924">
        <w:t xml:space="preserve"> PPROMT, VIBES+ and M@NGO). </w:t>
      </w:r>
    </w:p>
    <w:p w14:paraId="4F4FF6FA" w14:textId="77777777" w:rsidR="00F06BBC" w:rsidRDefault="00F06BBC" w:rsidP="00392788">
      <w:pPr>
        <w:pStyle w:val="Commissionbodytext"/>
      </w:pPr>
    </w:p>
    <w:p w14:paraId="57EAC1E0" w14:textId="53CF35CE" w:rsidR="00870C33" w:rsidRPr="00C446FC" w:rsidRDefault="00B17924" w:rsidP="00392788">
      <w:pPr>
        <w:pStyle w:val="Commissionbodytext"/>
        <w:rPr>
          <w:rStyle w:val="Strong"/>
          <w:b w:val="0"/>
          <w:bCs w:val="0"/>
          <w:color w:val="auto"/>
        </w:rPr>
      </w:pPr>
      <w:r>
        <w:t xml:space="preserve">All of the interventions recommended by the ANZICS CTG trials were less expensive than current practice </w:t>
      </w:r>
      <w:r w:rsidRPr="00A20DAF">
        <w:t>(with particularly large differences in SAFE, RENAL</w:t>
      </w:r>
      <w:r w:rsidR="00DF110B">
        <w:t xml:space="preserve"> and</w:t>
      </w:r>
      <w:r w:rsidRPr="00A20DAF">
        <w:t xml:space="preserve"> CHEST). </w:t>
      </w:r>
      <w:r w:rsidR="00EC26BA">
        <w:t>I</w:t>
      </w:r>
      <w:r w:rsidRPr="00A20DAF">
        <w:t>nterventions such a</w:t>
      </w:r>
      <w:r>
        <w:t xml:space="preserve">s the </w:t>
      </w:r>
      <w:r>
        <w:lastRenderedPageBreak/>
        <w:t>use of saline instead of a</w:t>
      </w:r>
      <w:r w:rsidRPr="00A20DAF">
        <w:t xml:space="preserve">lbumin or </w:t>
      </w:r>
      <w:r w:rsidR="00DF110B">
        <w:t>h</w:t>
      </w:r>
      <w:r w:rsidRPr="00A20DAF">
        <w:t xml:space="preserve">ydroxyethyl </w:t>
      </w:r>
      <w:r w:rsidR="00DF110B">
        <w:t>s</w:t>
      </w:r>
      <w:r w:rsidRPr="00A20DAF">
        <w:t>tarch</w:t>
      </w:r>
      <w:r>
        <w:t xml:space="preserve"> for fluid resuscitation resulted</w:t>
      </w:r>
      <w:r w:rsidRPr="00A20DAF">
        <w:t xml:space="preserve"> in equal or better health</w:t>
      </w:r>
      <w:r>
        <w:t xml:space="preserve"> outcomes whil</w:t>
      </w:r>
      <w:r w:rsidR="0056161A">
        <w:t>e</w:t>
      </w:r>
      <w:r>
        <w:t xml:space="preserve"> costing less. Better health outcomes also led to a reduction in subsequent service costs</w:t>
      </w:r>
      <w:r w:rsidR="00545FFB">
        <w:t>,</w:t>
      </w:r>
      <w:r w:rsidR="00EC26BA">
        <w:t xml:space="preserve"> </w:t>
      </w:r>
      <w:r>
        <w:t xml:space="preserve">particularly in the SAFE-TBI study where </w:t>
      </w:r>
      <w:r w:rsidR="00EC26BA">
        <w:t xml:space="preserve">there were </w:t>
      </w:r>
      <w:r>
        <w:t>major reductions in</w:t>
      </w:r>
      <w:r w:rsidRPr="00A20DAF">
        <w:t xml:space="preserve"> </w:t>
      </w:r>
      <w:r w:rsidR="00EC26BA">
        <w:t>the costs (</w:t>
      </w:r>
      <w:r w:rsidRPr="00A20DAF">
        <w:t>hospital, rehabilitation and equipment</w:t>
      </w:r>
      <w:r w:rsidR="00EC26BA">
        <w:t>) of</w:t>
      </w:r>
      <w:r w:rsidRPr="00A20DAF">
        <w:t xml:space="preserve"> support</w:t>
      </w:r>
      <w:r w:rsidR="00EC26BA">
        <w:t>ing</w:t>
      </w:r>
      <w:r w:rsidRPr="00A20DAF">
        <w:t xml:space="preserve"> patients with traumatic brain injury</w:t>
      </w:r>
      <w:r>
        <w:t>.</w:t>
      </w:r>
    </w:p>
    <w:p w14:paraId="20A6FCB7" w14:textId="7E0B9032" w:rsidR="0018555A" w:rsidRDefault="0018555A" w:rsidP="0018555A">
      <w:pPr>
        <w:pStyle w:val="Heading3"/>
      </w:pPr>
      <w:r>
        <w:t>Costs</w:t>
      </w:r>
    </w:p>
    <w:p w14:paraId="4139C116" w14:textId="549A0C2B" w:rsidR="0018555A" w:rsidRPr="003249BE" w:rsidRDefault="003268B2" w:rsidP="00392788">
      <w:pPr>
        <w:pStyle w:val="Commissionbodytext"/>
      </w:pPr>
      <w:r>
        <w:fldChar w:fldCharType="begin"/>
      </w:r>
      <w:r>
        <w:instrText xml:space="preserve"> REF _Ref475277179 \h </w:instrText>
      </w:r>
      <w:r w:rsidR="00B60623">
        <w:instrText xml:space="preserve"> \* MERGEFORMAT </w:instrText>
      </w:r>
      <w:r>
        <w:fldChar w:fldCharType="separate"/>
      </w:r>
      <w:r w:rsidR="007B3054">
        <w:t xml:space="preserve">Table </w:t>
      </w:r>
      <w:r w:rsidR="007B3054">
        <w:rPr>
          <w:noProof/>
        </w:rPr>
        <w:t>7</w:t>
      </w:r>
      <w:r>
        <w:fldChar w:fldCharType="end"/>
      </w:r>
      <w:r>
        <w:t xml:space="preserve"> </w:t>
      </w:r>
      <w:r w:rsidR="0018555A">
        <w:t xml:space="preserve">provides more detail in relation to the costs quantified during the evaluation. </w:t>
      </w:r>
    </w:p>
    <w:p w14:paraId="5FB14334" w14:textId="62AC925D" w:rsidR="0018555A" w:rsidRPr="00A45AF9" w:rsidRDefault="0020787D" w:rsidP="00915516">
      <w:pPr>
        <w:pStyle w:val="Caption"/>
      </w:pPr>
      <w:bookmarkStart w:id="65" w:name="_Ref475268840"/>
      <w:bookmarkStart w:id="66" w:name="_Ref475277179"/>
      <w:bookmarkStart w:id="67" w:name="_Toc479177730"/>
      <w:r>
        <w:t>Table</w:t>
      </w:r>
      <w:bookmarkEnd w:id="65"/>
      <w:r>
        <w:t xml:space="preserve"> </w:t>
      </w:r>
      <w:fldSimple w:instr=" SEQ Table \* ARABIC ">
        <w:r w:rsidR="007B3054">
          <w:rPr>
            <w:noProof/>
          </w:rPr>
          <w:t>7</w:t>
        </w:r>
      </w:fldSimple>
      <w:bookmarkEnd w:id="66"/>
      <w:r>
        <w:t>. Consolidated costs</w:t>
      </w:r>
      <w:bookmarkEnd w:id="67"/>
    </w:p>
    <w:tbl>
      <w:tblPr>
        <w:tblStyle w:val="GridTable2-Accent51"/>
        <w:tblW w:w="99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20" w:firstRow="1" w:lastRow="0" w:firstColumn="0" w:lastColumn="0" w:noHBand="0" w:noVBand="1"/>
      </w:tblPr>
      <w:tblGrid>
        <w:gridCol w:w="7762"/>
        <w:gridCol w:w="2166"/>
      </w:tblGrid>
      <w:tr w:rsidR="0018555A" w:rsidRPr="004F1985" w14:paraId="61A3A91D" w14:textId="77777777" w:rsidTr="00392788">
        <w:trPr>
          <w:cnfStyle w:val="100000000000" w:firstRow="1" w:lastRow="0" w:firstColumn="0" w:lastColumn="0" w:oddVBand="0" w:evenVBand="0" w:oddHBand="0" w:evenHBand="0" w:firstRowFirstColumn="0" w:firstRowLastColumn="0" w:lastRowFirstColumn="0" w:lastRowLastColumn="0"/>
          <w:trHeight w:hRule="exact" w:val="567"/>
          <w:tblHeader/>
        </w:trPr>
        <w:tc>
          <w:tcPr>
            <w:tcW w:w="7762" w:type="dxa"/>
            <w:tcBorders>
              <w:top w:val="none" w:sz="0" w:space="0" w:color="auto"/>
              <w:bottom w:val="none" w:sz="0" w:space="0" w:color="auto"/>
              <w:right w:val="none" w:sz="0" w:space="0" w:color="auto"/>
            </w:tcBorders>
            <w:shd w:val="clear" w:color="auto" w:fill="2F5496" w:themeFill="accent5" w:themeFillShade="BF"/>
            <w:vAlign w:val="center"/>
            <w:hideMark/>
          </w:tcPr>
          <w:p w14:paraId="5D0E947C" w14:textId="1B89E92F" w:rsidR="0018555A" w:rsidRPr="00392788" w:rsidRDefault="0018555A" w:rsidP="00392788">
            <w:pPr>
              <w:spacing w:after="0" w:line="276" w:lineRule="auto"/>
              <w:rPr>
                <w:rFonts w:eastAsiaTheme="minorHAnsi"/>
                <w:bCs w:val="0"/>
                <w:color w:val="FFFFFF" w:themeColor="background1"/>
                <w:sz w:val="21"/>
                <w:szCs w:val="21"/>
                <w:lang w:val="en-AU" w:eastAsia="zh-CN"/>
              </w:rPr>
            </w:pPr>
            <w:r w:rsidRPr="00392788">
              <w:rPr>
                <w:bCs w:val="0"/>
                <w:color w:val="FFFFFF" w:themeColor="background1"/>
                <w:sz w:val="21"/>
                <w:szCs w:val="21"/>
              </w:rPr>
              <w:t>Cost</w:t>
            </w:r>
            <w:r w:rsidR="005320C6" w:rsidRPr="00392788">
              <w:rPr>
                <w:bCs w:val="0"/>
                <w:color w:val="FFFFFF" w:themeColor="background1"/>
                <w:sz w:val="21"/>
                <w:szCs w:val="21"/>
              </w:rPr>
              <w:t>s</w:t>
            </w:r>
          </w:p>
        </w:tc>
        <w:tc>
          <w:tcPr>
            <w:tcW w:w="2166" w:type="dxa"/>
            <w:tcBorders>
              <w:top w:val="none" w:sz="0" w:space="0" w:color="auto"/>
              <w:left w:val="none" w:sz="0" w:space="0" w:color="auto"/>
              <w:bottom w:val="none" w:sz="0" w:space="0" w:color="auto"/>
            </w:tcBorders>
            <w:shd w:val="clear" w:color="auto" w:fill="2F5496" w:themeFill="accent5" w:themeFillShade="BF"/>
            <w:vAlign w:val="center"/>
            <w:hideMark/>
          </w:tcPr>
          <w:p w14:paraId="1363403A" w14:textId="77777777" w:rsidR="0018555A" w:rsidRPr="00392788" w:rsidRDefault="0018555A" w:rsidP="00392788">
            <w:pPr>
              <w:spacing w:after="0" w:line="276" w:lineRule="auto"/>
              <w:rPr>
                <w:rFonts w:eastAsiaTheme="minorHAnsi"/>
                <w:bCs w:val="0"/>
                <w:color w:val="FFFFFF" w:themeColor="background1"/>
                <w:sz w:val="21"/>
                <w:szCs w:val="21"/>
                <w:lang w:val="en-AU" w:eastAsia="zh-CN"/>
              </w:rPr>
            </w:pPr>
            <w:r w:rsidRPr="00392788">
              <w:rPr>
                <w:bCs w:val="0"/>
                <w:color w:val="FFFFFF" w:themeColor="background1"/>
                <w:sz w:val="21"/>
                <w:szCs w:val="21"/>
              </w:rPr>
              <w:t>Value</w:t>
            </w:r>
          </w:p>
        </w:tc>
      </w:tr>
      <w:tr w:rsidR="0018555A" w:rsidRPr="004F1985" w14:paraId="0F7FEEB5" w14:textId="77777777" w:rsidTr="00392788">
        <w:trPr>
          <w:cnfStyle w:val="000000100000" w:firstRow="0" w:lastRow="0" w:firstColumn="0" w:lastColumn="0" w:oddVBand="0" w:evenVBand="0" w:oddHBand="1" w:evenHBand="0" w:firstRowFirstColumn="0" w:firstRowLastColumn="0" w:lastRowFirstColumn="0" w:lastRowLastColumn="0"/>
          <w:trHeight w:hRule="exact" w:val="567"/>
        </w:trPr>
        <w:tc>
          <w:tcPr>
            <w:tcW w:w="7762" w:type="dxa"/>
            <w:shd w:val="clear" w:color="auto" w:fill="auto"/>
            <w:vAlign w:val="center"/>
            <w:hideMark/>
          </w:tcPr>
          <w:p w14:paraId="5E9BB8A4" w14:textId="3EA7484A" w:rsidR="0018555A" w:rsidRPr="00F074A5" w:rsidRDefault="00B4161D" w:rsidP="005320C6">
            <w:pPr>
              <w:rPr>
                <w:rFonts w:eastAsiaTheme="minorHAnsi"/>
                <w:b/>
                <w:bCs/>
                <w:sz w:val="21"/>
                <w:szCs w:val="21"/>
                <w:lang w:val="en-AU" w:eastAsia="zh-CN"/>
              </w:rPr>
            </w:pPr>
            <w:r w:rsidRPr="00F074A5">
              <w:rPr>
                <w:b/>
                <w:bCs/>
                <w:sz w:val="21"/>
                <w:szCs w:val="21"/>
              </w:rPr>
              <w:t>N</w:t>
            </w:r>
            <w:r w:rsidR="0018555A" w:rsidRPr="00F074A5">
              <w:rPr>
                <w:b/>
                <w:bCs/>
                <w:sz w:val="21"/>
                <w:szCs w:val="21"/>
              </w:rPr>
              <w:t>etwork costs</w:t>
            </w:r>
          </w:p>
        </w:tc>
        <w:tc>
          <w:tcPr>
            <w:tcW w:w="2166" w:type="dxa"/>
            <w:shd w:val="clear" w:color="auto" w:fill="auto"/>
            <w:vAlign w:val="center"/>
          </w:tcPr>
          <w:p w14:paraId="17075621" w14:textId="68F6B586" w:rsidR="0018555A" w:rsidRPr="00F074A5" w:rsidRDefault="0018555A" w:rsidP="005320C6">
            <w:pPr>
              <w:rPr>
                <w:rFonts w:eastAsiaTheme="minorHAnsi"/>
                <w:b/>
                <w:bCs/>
                <w:sz w:val="21"/>
                <w:szCs w:val="21"/>
                <w:lang w:val="en-AU" w:eastAsia="zh-CN"/>
              </w:rPr>
            </w:pPr>
            <w:r w:rsidRPr="00F074A5">
              <w:rPr>
                <w:b/>
                <w:bCs/>
                <w:sz w:val="21"/>
                <w:szCs w:val="21"/>
                <w:lang w:val="en-AU"/>
              </w:rPr>
              <w:t>$19 million</w:t>
            </w:r>
          </w:p>
        </w:tc>
      </w:tr>
      <w:tr w:rsidR="00B4161D" w:rsidRPr="004F1985" w14:paraId="4A23165C" w14:textId="77777777" w:rsidTr="00392788">
        <w:trPr>
          <w:trHeight w:hRule="exact" w:val="567"/>
        </w:trPr>
        <w:tc>
          <w:tcPr>
            <w:tcW w:w="7762" w:type="dxa"/>
            <w:shd w:val="clear" w:color="auto" w:fill="auto"/>
            <w:vAlign w:val="center"/>
          </w:tcPr>
          <w:p w14:paraId="64AE59BE" w14:textId="2CACA171" w:rsidR="00B4161D" w:rsidRPr="00F074A5" w:rsidRDefault="0016052B" w:rsidP="005320C6">
            <w:pPr>
              <w:ind w:left="709"/>
              <w:rPr>
                <w:rFonts w:eastAsiaTheme="minorHAnsi"/>
                <w:sz w:val="21"/>
                <w:szCs w:val="21"/>
                <w:lang w:eastAsia="zh-CN"/>
              </w:rPr>
            </w:pPr>
            <w:r w:rsidRPr="00F074A5">
              <w:rPr>
                <w:sz w:val="21"/>
                <w:szCs w:val="21"/>
              </w:rPr>
              <w:t>Central n</w:t>
            </w:r>
            <w:r w:rsidR="00B4161D" w:rsidRPr="00F074A5">
              <w:rPr>
                <w:sz w:val="21"/>
                <w:szCs w:val="21"/>
              </w:rPr>
              <w:t>etwork funding</w:t>
            </w:r>
          </w:p>
        </w:tc>
        <w:tc>
          <w:tcPr>
            <w:tcW w:w="2166" w:type="dxa"/>
            <w:shd w:val="clear" w:color="auto" w:fill="auto"/>
            <w:vAlign w:val="center"/>
          </w:tcPr>
          <w:p w14:paraId="0FB5BD12" w14:textId="4F6692CE" w:rsidR="00B4161D" w:rsidRPr="00F074A5" w:rsidRDefault="006E50CA" w:rsidP="005320C6">
            <w:pPr>
              <w:rPr>
                <w:bCs/>
                <w:sz w:val="21"/>
                <w:szCs w:val="21"/>
                <w:lang w:val="en-AU"/>
              </w:rPr>
            </w:pPr>
            <w:r w:rsidRPr="00F074A5">
              <w:rPr>
                <w:bCs/>
                <w:sz w:val="21"/>
                <w:szCs w:val="21"/>
                <w:lang w:val="en-AU"/>
              </w:rPr>
              <w:t>(</w:t>
            </w:r>
            <w:r w:rsidR="00B4161D" w:rsidRPr="00F074A5">
              <w:rPr>
                <w:bCs/>
                <w:sz w:val="21"/>
                <w:szCs w:val="21"/>
                <w:lang w:val="en-AU"/>
              </w:rPr>
              <w:t>$6 million</w:t>
            </w:r>
            <w:r w:rsidRPr="00F074A5">
              <w:rPr>
                <w:bCs/>
                <w:sz w:val="21"/>
                <w:szCs w:val="21"/>
                <w:lang w:val="en-AU"/>
              </w:rPr>
              <w:t>)</w:t>
            </w:r>
          </w:p>
        </w:tc>
      </w:tr>
      <w:tr w:rsidR="00B4161D" w:rsidRPr="004F1985" w14:paraId="35035304" w14:textId="77777777" w:rsidTr="00392788">
        <w:trPr>
          <w:cnfStyle w:val="000000100000" w:firstRow="0" w:lastRow="0" w:firstColumn="0" w:lastColumn="0" w:oddVBand="0" w:evenVBand="0" w:oddHBand="1" w:evenHBand="0" w:firstRowFirstColumn="0" w:firstRowLastColumn="0" w:lastRowFirstColumn="0" w:lastRowLastColumn="0"/>
          <w:trHeight w:hRule="exact" w:val="567"/>
        </w:trPr>
        <w:tc>
          <w:tcPr>
            <w:tcW w:w="7762" w:type="dxa"/>
            <w:shd w:val="clear" w:color="auto" w:fill="auto"/>
            <w:vAlign w:val="center"/>
          </w:tcPr>
          <w:p w14:paraId="75500B83" w14:textId="1F07F30D" w:rsidR="00B4161D" w:rsidRPr="00F074A5" w:rsidRDefault="00B4161D" w:rsidP="005320C6">
            <w:pPr>
              <w:ind w:left="709"/>
              <w:rPr>
                <w:rFonts w:eastAsiaTheme="minorHAnsi"/>
                <w:sz w:val="21"/>
                <w:szCs w:val="21"/>
                <w:lang w:eastAsia="zh-CN"/>
              </w:rPr>
            </w:pPr>
            <w:r w:rsidRPr="00F074A5">
              <w:rPr>
                <w:sz w:val="21"/>
                <w:szCs w:val="21"/>
              </w:rPr>
              <w:t>In-kind contributions to networks</w:t>
            </w:r>
          </w:p>
        </w:tc>
        <w:tc>
          <w:tcPr>
            <w:tcW w:w="2166" w:type="dxa"/>
            <w:shd w:val="clear" w:color="auto" w:fill="auto"/>
            <w:vAlign w:val="center"/>
          </w:tcPr>
          <w:p w14:paraId="1AD69448" w14:textId="79A4F63F" w:rsidR="00B4161D" w:rsidRPr="00F074A5" w:rsidRDefault="006E50CA" w:rsidP="005320C6">
            <w:pPr>
              <w:rPr>
                <w:bCs/>
                <w:sz w:val="21"/>
                <w:szCs w:val="21"/>
                <w:lang w:val="en-AU"/>
              </w:rPr>
            </w:pPr>
            <w:r w:rsidRPr="00F074A5">
              <w:rPr>
                <w:bCs/>
                <w:sz w:val="21"/>
                <w:szCs w:val="21"/>
                <w:lang w:val="en-AU"/>
              </w:rPr>
              <w:t>(</w:t>
            </w:r>
            <w:r w:rsidR="00B4161D" w:rsidRPr="00F074A5">
              <w:rPr>
                <w:bCs/>
                <w:sz w:val="21"/>
                <w:szCs w:val="21"/>
                <w:lang w:val="en-AU"/>
              </w:rPr>
              <w:t>$13 million</w:t>
            </w:r>
            <w:r w:rsidRPr="00F074A5">
              <w:rPr>
                <w:bCs/>
                <w:sz w:val="21"/>
                <w:szCs w:val="21"/>
                <w:lang w:val="en-AU"/>
              </w:rPr>
              <w:t>)</w:t>
            </w:r>
          </w:p>
        </w:tc>
      </w:tr>
      <w:tr w:rsidR="0018555A" w:rsidRPr="004F1985" w14:paraId="12367B12" w14:textId="77777777" w:rsidTr="00392788">
        <w:trPr>
          <w:trHeight w:hRule="exact" w:val="567"/>
        </w:trPr>
        <w:tc>
          <w:tcPr>
            <w:tcW w:w="7762" w:type="dxa"/>
            <w:shd w:val="clear" w:color="auto" w:fill="auto"/>
            <w:vAlign w:val="center"/>
          </w:tcPr>
          <w:p w14:paraId="219108D8" w14:textId="76F6D6F7" w:rsidR="0018555A" w:rsidRPr="00F074A5" w:rsidRDefault="0018555A" w:rsidP="005320C6">
            <w:pPr>
              <w:rPr>
                <w:b/>
                <w:bCs/>
                <w:sz w:val="21"/>
                <w:szCs w:val="21"/>
              </w:rPr>
            </w:pPr>
            <w:r w:rsidRPr="00F074A5">
              <w:rPr>
                <w:b/>
                <w:bCs/>
                <w:sz w:val="21"/>
                <w:szCs w:val="21"/>
              </w:rPr>
              <w:t>Coordinating centre costs</w:t>
            </w:r>
          </w:p>
        </w:tc>
        <w:tc>
          <w:tcPr>
            <w:tcW w:w="2166" w:type="dxa"/>
            <w:shd w:val="clear" w:color="auto" w:fill="auto"/>
            <w:vAlign w:val="center"/>
          </w:tcPr>
          <w:p w14:paraId="540D02EF" w14:textId="234960F7" w:rsidR="0018555A" w:rsidRPr="00F074A5" w:rsidRDefault="0018555A" w:rsidP="005320C6">
            <w:pPr>
              <w:rPr>
                <w:b/>
                <w:bCs/>
                <w:sz w:val="21"/>
                <w:szCs w:val="21"/>
                <w:lang w:val="en-AU"/>
              </w:rPr>
            </w:pPr>
            <w:r w:rsidRPr="00F074A5">
              <w:rPr>
                <w:b/>
                <w:bCs/>
                <w:sz w:val="21"/>
                <w:szCs w:val="21"/>
                <w:lang w:val="en-AU"/>
              </w:rPr>
              <w:t>$73 million</w:t>
            </w:r>
          </w:p>
        </w:tc>
      </w:tr>
      <w:tr w:rsidR="0018555A" w:rsidRPr="004F1985" w14:paraId="0B2DA358" w14:textId="77777777" w:rsidTr="00392788">
        <w:trPr>
          <w:cnfStyle w:val="000000100000" w:firstRow="0" w:lastRow="0" w:firstColumn="0" w:lastColumn="0" w:oddVBand="0" w:evenVBand="0" w:oddHBand="1" w:evenHBand="0" w:firstRowFirstColumn="0" w:firstRowLastColumn="0" w:lastRowFirstColumn="0" w:lastRowLastColumn="0"/>
          <w:trHeight w:hRule="exact" w:val="567"/>
        </w:trPr>
        <w:tc>
          <w:tcPr>
            <w:tcW w:w="7762" w:type="dxa"/>
            <w:shd w:val="clear" w:color="auto" w:fill="auto"/>
            <w:vAlign w:val="center"/>
            <w:hideMark/>
          </w:tcPr>
          <w:p w14:paraId="39F54A81" w14:textId="165ECE71" w:rsidR="0018555A" w:rsidRPr="00F074A5" w:rsidRDefault="0018555A" w:rsidP="005320C6">
            <w:pPr>
              <w:rPr>
                <w:rFonts w:eastAsiaTheme="minorHAnsi"/>
                <w:b/>
                <w:bCs/>
                <w:sz w:val="21"/>
                <w:szCs w:val="21"/>
                <w:lang w:val="en-AU" w:eastAsia="zh-CN"/>
              </w:rPr>
            </w:pPr>
            <w:r w:rsidRPr="00F074A5">
              <w:rPr>
                <w:b/>
                <w:bCs/>
                <w:sz w:val="21"/>
                <w:szCs w:val="21"/>
              </w:rPr>
              <w:t>Trial costs</w:t>
            </w:r>
          </w:p>
        </w:tc>
        <w:tc>
          <w:tcPr>
            <w:tcW w:w="2166" w:type="dxa"/>
            <w:shd w:val="clear" w:color="auto" w:fill="auto"/>
            <w:vAlign w:val="center"/>
          </w:tcPr>
          <w:p w14:paraId="12380BE9" w14:textId="751ADF4C" w:rsidR="0018555A" w:rsidRPr="00F074A5" w:rsidRDefault="0018555A" w:rsidP="005320C6">
            <w:pPr>
              <w:rPr>
                <w:rFonts w:eastAsiaTheme="minorHAnsi"/>
                <w:b/>
                <w:bCs/>
                <w:sz w:val="21"/>
                <w:szCs w:val="21"/>
                <w:lang w:val="en-AU" w:eastAsia="zh-CN"/>
              </w:rPr>
            </w:pPr>
            <w:r w:rsidRPr="00F074A5">
              <w:rPr>
                <w:b/>
                <w:bCs/>
                <w:sz w:val="21"/>
                <w:szCs w:val="21"/>
                <w:lang w:val="en-AU"/>
              </w:rPr>
              <w:t>$243 million</w:t>
            </w:r>
          </w:p>
        </w:tc>
      </w:tr>
      <w:tr w:rsidR="0018555A" w:rsidRPr="004F1985" w14:paraId="371C8609" w14:textId="77777777" w:rsidTr="00392788">
        <w:trPr>
          <w:trHeight w:hRule="exact" w:val="567"/>
        </w:trPr>
        <w:tc>
          <w:tcPr>
            <w:tcW w:w="7762" w:type="dxa"/>
            <w:shd w:val="clear" w:color="auto" w:fill="auto"/>
            <w:vAlign w:val="center"/>
            <w:hideMark/>
          </w:tcPr>
          <w:p w14:paraId="70E01532" w14:textId="0A11D032" w:rsidR="0018555A" w:rsidRPr="00F074A5" w:rsidRDefault="0018555A" w:rsidP="005320C6">
            <w:pPr>
              <w:ind w:left="709"/>
              <w:rPr>
                <w:rFonts w:eastAsiaTheme="minorHAnsi"/>
                <w:sz w:val="21"/>
                <w:szCs w:val="21"/>
                <w:lang w:val="en-AU" w:eastAsia="zh-CN"/>
              </w:rPr>
            </w:pPr>
            <w:r w:rsidRPr="00F074A5">
              <w:rPr>
                <w:sz w:val="21"/>
                <w:szCs w:val="21"/>
              </w:rPr>
              <w:t xml:space="preserve">25 trials included in the evaluation </w:t>
            </w:r>
          </w:p>
        </w:tc>
        <w:tc>
          <w:tcPr>
            <w:tcW w:w="2166" w:type="dxa"/>
            <w:shd w:val="clear" w:color="auto" w:fill="auto"/>
            <w:vAlign w:val="center"/>
          </w:tcPr>
          <w:p w14:paraId="5F9A2223" w14:textId="1A6036DD" w:rsidR="0018555A" w:rsidRPr="00F074A5" w:rsidRDefault="006E50CA" w:rsidP="005320C6">
            <w:pPr>
              <w:rPr>
                <w:rFonts w:eastAsiaTheme="minorHAnsi"/>
                <w:sz w:val="21"/>
                <w:szCs w:val="21"/>
                <w:lang w:val="en-AU" w:eastAsia="zh-CN"/>
              </w:rPr>
            </w:pPr>
            <w:r w:rsidRPr="00F074A5">
              <w:rPr>
                <w:sz w:val="21"/>
                <w:szCs w:val="21"/>
                <w:lang w:val="en-AU"/>
              </w:rPr>
              <w:t>(</w:t>
            </w:r>
            <w:r w:rsidR="0018555A" w:rsidRPr="00F074A5">
              <w:rPr>
                <w:sz w:val="21"/>
                <w:szCs w:val="21"/>
                <w:lang w:val="en-AU"/>
              </w:rPr>
              <w:t>$52 million</w:t>
            </w:r>
            <w:r w:rsidRPr="00F074A5">
              <w:rPr>
                <w:sz w:val="21"/>
                <w:szCs w:val="21"/>
                <w:lang w:val="en-AU"/>
              </w:rPr>
              <w:t>)</w:t>
            </w:r>
          </w:p>
        </w:tc>
      </w:tr>
      <w:tr w:rsidR="0018555A" w:rsidRPr="004F1985" w14:paraId="0FC5DD19" w14:textId="77777777" w:rsidTr="00392788">
        <w:trPr>
          <w:cnfStyle w:val="000000100000" w:firstRow="0" w:lastRow="0" w:firstColumn="0" w:lastColumn="0" w:oddVBand="0" w:evenVBand="0" w:oddHBand="1" w:evenHBand="0" w:firstRowFirstColumn="0" w:firstRowLastColumn="0" w:lastRowFirstColumn="0" w:lastRowLastColumn="0"/>
          <w:trHeight w:hRule="exact" w:val="567"/>
        </w:trPr>
        <w:tc>
          <w:tcPr>
            <w:tcW w:w="7762" w:type="dxa"/>
            <w:shd w:val="clear" w:color="auto" w:fill="auto"/>
            <w:vAlign w:val="center"/>
            <w:hideMark/>
          </w:tcPr>
          <w:p w14:paraId="5C4EE1A2" w14:textId="3BAAD8C5" w:rsidR="0018555A" w:rsidRPr="00F074A5" w:rsidRDefault="0018555A" w:rsidP="005320C6">
            <w:pPr>
              <w:ind w:left="709"/>
              <w:rPr>
                <w:rFonts w:eastAsiaTheme="minorHAnsi"/>
                <w:sz w:val="21"/>
                <w:szCs w:val="21"/>
                <w:lang w:val="en-AU" w:eastAsia="zh-CN"/>
              </w:rPr>
            </w:pPr>
            <w:r w:rsidRPr="00F074A5">
              <w:rPr>
                <w:sz w:val="21"/>
                <w:szCs w:val="21"/>
              </w:rPr>
              <w:t xml:space="preserve">All other trials within the networks </w:t>
            </w:r>
          </w:p>
        </w:tc>
        <w:tc>
          <w:tcPr>
            <w:tcW w:w="2166" w:type="dxa"/>
            <w:shd w:val="clear" w:color="auto" w:fill="auto"/>
            <w:vAlign w:val="center"/>
          </w:tcPr>
          <w:p w14:paraId="5932DFF0" w14:textId="53175127" w:rsidR="0018555A" w:rsidRPr="00F074A5" w:rsidRDefault="006E50CA" w:rsidP="005320C6">
            <w:pPr>
              <w:rPr>
                <w:rFonts w:eastAsiaTheme="minorHAnsi"/>
                <w:sz w:val="21"/>
                <w:szCs w:val="21"/>
                <w:lang w:val="en-AU" w:eastAsia="zh-CN"/>
              </w:rPr>
            </w:pPr>
            <w:r w:rsidRPr="00F074A5">
              <w:rPr>
                <w:sz w:val="21"/>
                <w:szCs w:val="21"/>
                <w:lang w:val="en-AU"/>
              </w:rPr>
              <w:t>(</w:t>
            </w:r>
            <w:r w:rsidR="0018555A" w:rsidRPr="00F074A5">
              <w:rPr>
                <w:sz w:val="21"/>
                <w:szCs w:val="21"/>
                <w:lang w:val="en-AU"/>
              </w:rPr>
              <w:t>$191 million</w:t>
            </w:r>
            <w:r w:rsidRPr="00F074A5">
              <w:rPr>
                <w:sz w:val="21"/>
                <w:szCs w:val="21"/>
                <w:lang w:val="en-AU"/>
              </w:rPr>
              <w:t>)</w:t>
            </w:r>
          </w:p>
        </w:tc>
      </w:tr>
      <w:tr w:rsidR="0018555A" w:rsidRPr="004F1985" w14:paraId="5786C045" w14:textId="77777777" w:rsidTr="00392788">
        <w:trPr>
          <w:trHeight w:hRule="exact" w:val="567"/>
        </w:trPr>
        <w:tc>
          <w:tcPr>
            <w:tcW w:w="7762" w:type="dxa"/>
            <w:shd w:val="clear" w:color="auto" w:fill="2F5496" w:themeFill="accent5" w:themeFillShade="BF"/>
            <w:vAlign w:val="center"/>
          </w:tcPr>
          <w:p w14:paraId="34BFB291" w14:textId="1396BC85" w:rsidR="0018555A" w:rsidRPr="00F074A5" w:rsidRDefault="0018555A" w:rsidP="005320C6">
            <w:pPr>
              <w:rPr>
                <w:rFonts w:eastAsiaTheme="minorHAnsi"/>
                <w:color w:val="FFFFFF" w:themeColor="background1"/>
                <w:sz w:val="21"/>
                <w:szCs w:val="21"/>
                <w:lang w:val="en-AU" w:eastAsia="zh-CN"/>
              </w:rPr>
            </w:pPr>
            <w:r w:rsidRPr="00F074A5">
              <w:rPr>
                <w:color w:val="FFFFFF" w:themeColor="background1"/>
                <w:sz w:val="21"/>
                <w:szCs w:val="21"/>
              </w:rPr>
              <w:t>Total cost</w:t>
            </w:r>
            <w:r w:rsidR="005320C6" w:rsidRPr="00F074A5">
              <w:rPr>
                <w:color w:val="FFFFFF" w:themeColor="background1"/>
                <w:sz w:val="21"/>
                <w:szCs w:val="21"/>
              </w:rPr>
              <w:t>s</w:t>
            </w:r>
          </w:p>
        </w:tc>
        <w:tc>
          <w:tcPr>
            <w:tcW w:w="2166" w:type="dxa"/>
            <w:shd w:val="clear" w:color="auto" w:fill="2F5496" w:themeFill="accent5" w:themeFillShade="BF"/>
            <w:vAlign w:val="center"/>
          </w:tcPr>
          <w:p w14:paraId="39323E24" w14:textId="2EC24301" w:rsidR="0018555A" w:rsidRPr="00F074A5" w:rsidRDefault="00EE40C6" w:rsidP="005320C6">
            <w:pPr>
              <w:rPr>
                <w:rFonts w:eastAsiaTheme="minorHAnsi"/>
                <w:color w:val="FFFFFF" w:themeColor="background1"/>
                <w:sz w:val="21"/>
                <w:szCs w:val="21"/>
                <w:lang w:val="en-AU" w:eastAsia="zh-CN"/>
              </w:rPr>
            </w:pPr>
            <w:r w:rsidRPr="00F074A5">
              <w:rPr>
                <w:color w:val="FFFFFF" w:themeColor="background1"/>
                <w:sz w:val="21"/>
                <w:szCs w:val="21"/>
                <w:lang w:val="en-AU"/>
              </w:rPr>
              <w:t>$335 million</w:t>
            </w:r>
          </w:p>
        </w:tc>
      </w:tr>
    </w:tbl>
    <w:p w14:paraId="14478B39" w14:textId="77777777" w:rsidR="0018555A" w:rsidRDefault="0018555A" w:rsidP="0018555A">
      <w:pPr>
        <w:pStyle w:val="NoSpacing"/>
      </w:pPr>
    </w:p>
    <w:p w14:paraId="59B50258" w14:textId="4A9603F9" w:rsidR="00851451" w:rsidRDefault="00851451" w:rsidP="00392788">
      <w:pPr>
        <w:pStyle w:val="Commissionbodytext"/>
      </w:pPr>
      <w:r w:rsidRPr="00352327">
        <w:t xml:space="preserve">In general, there were no remarkable differences in funding patterns noted between the case study </w:t>
      </w:r>
      <w:r w:rsidR="00F7026A" w:rsidRPr="00352327">
        <w:t>n</w:t>
      </w:r>
      <w:r w:rsidRPr="00352327">
        <w:t xml:space="preserve">etworks. A common finding was that funding did not cover total costs at either a </w:t>
      </w:r>
      <w:r w:rsidR="006E50CA" w:rsidRPr="00352327">
        <w:t>n</w:t>
      </w:r>
      <w:r w:rsidRPr="00352327">
        <w:t>etwork or individual trial level.</w:t>
      </w:r>
      <w:r w:rsidR="00BD68CF" w:rsidRPr="00352327">
        <w:t xml:space="preserve"> </w:t>
      </w:r>
      <w:r w:rsidRPr="00352327">
        <w:t>In-kind support was relied upon to make up th</w:t>
      </w:r>
      <w:r w:rsidR="00501B07" w:rsidRPr="00352327">
        <w:t>e</w:t>
      </w:r>
      <w:r w:rsidRPr="00352327">
        <w:t xml:space="preserve"> shortfall. </w:t>
      </w:r>
    </w:p>
    <w:p w14:paraId="782344BD" w14:textId="77777777" w:rsidR="00B60623" w:rsidRDefault="00B60623" w:rsidP="00392788">
      <w:pPr>
        <w:pStyle w:val="Commissionbodytext"/>
      </w:pPr>
    </w:p>
    <w:p w14:paraId="20118031" w14:textId="1BDBC253" w:rsidR="00FC7C95" w:rsidRDefault="00D17A2A" w:rsidP="00392788">
      <w:pPr>
        <w:pStyle w:val="Commissionbodytext"/>
      </w:pPr>
      <w:r>
        <w:t xml:space="preserve">The </w:t>
      </w:r>
      <w:r w:rsidR="008B7731" w:rsidRPr="00E743AA">
        <w:t xml:space="preserve">majority of the </w:t>
      </w:r>
      <w:r w:rsidR="008B7731">
        <w:t>costs</w:t>
      </w:r>
      <w:r>
        <w:t xml:space="preserve"> were</w:t>
      </w:r>
      <w:r w:rsidR="00AA623A">
        <w:t xml:space="preserve"> direct</w:t>
      </w:r>
      <w:r>
        <w:t xml:space="preserve"> trial</w:t>
      </w:r>
      <w:r w:rsidR="00AA623A">
        <w:t>-related</w:t>
      </w:r>
      <w:r>
        <w:t xml:space="preserve"> costs. Of the $243 million in total trial costs calculated, only 21% ($52 million) came from the 25 case study trials, the remainder </w:t>
      </w:r>
      <w:r w:rsidR="000E7975">
        <w:t xml:space="preserve">were </w:t>
      </w:r>
      <w:r w:rsidR="00AA623A">
        <w:t xml:space="preserve">generated by </w:t>
      </w:r>
      <w:r>
        <w:t>including all studies conducted by the three networks between 2004</w:t>
      </w:r>
      <w:r w:rsidR="00DF110B">
        <w:t xml:space="preserve"> and</w:t>
      </w:r>
      <w:r w:rsidR="00B60623">
        <w:t xml:space="preserve"> </w:t>
      </w:r>
      <w:r w:rsidR="00DF110B">
        <w:t>20</w:t>
      </w:r>
      <w:r>
        <w:t>14. T</w:t>
      </w:r>
      <w:r w:rsidR="00FC7C95">
        <w:t xml:space="preserve">he NHMRC provided </w:t>
      </w:r>
      <w:r w:rsidR="00FC7C95" w:rsidRPr="00A45AF9">
        <w:t xml:space="preserve">over 70% of </w:t>
      </w:r>
      <w:r w:rsidR="00FC7C95">
        <w:t xml:space="preserve">the $52 million in non-commercial funding </w:t>
      </w:r>
      <w:r w:rsidR="00D51E6C">
        <w:t xml:space="preserve">for the </w:t>
      </w:r>
      <w:r w:rsidR="00FC7C95" w:rsidRPr="00A45AF9">
        <w:t>25</w:t>
      </w:r>
      <w:r w:rsidR="00AA623A">
        <w:t xml:space="preserve"> case study</w:t>
      </w:r>
      <w:r w:rsidR="00FC7C95" w:rsidRPr="00A45AF9">
        <w:t xml:space="preserve"> trials</w:t>
      </w:r>
      <w:r w:rsidR="00FC7C95">
        <w:t>. The remainder wa</w:t>
      </w:r>
      <w:r w:rsidR="00FC7C95" w:rsidRPr="00A45AF9">
        <w:t xml:space="preserve">s made up mainly of overseas public </w:t>
      </w:r>
      <w:r w:rsidR="00FC7C95">
        <w:t xml:space="preserve">funding </w:t>
      </w:r>
      <w:r w:rsidR="00FC7C95" w:rsidRPr="00A45AF9">
        <w:t xml:space="preserve">sources, medical </w:t>
      </w:r>
      <w:r w:rsidR="00FC7C95">
        <w:t xml:space="preserve">societies and funding from other Australian institutions. </w:t>
      </w:r>
      <w:r w:rsidR="002C00CA" w:rsidRPr="002C00CA">
        <w:t xml:space="preserve">Site level in-kind costs could not be </w:t>
      </w:r>
      <w:r w:rsidR="00E77A3A">
        <w:t xml:space="preserve">accurately </w:t>
      </w:r>
      <w:r w:rsidR="002C00CA" w:rsidRPr="002C00CA">
        <w:t>quantified during the evaluation</w:t>
      </w:r>
      <w:r w:rsidR="00753699">
        <w:t>. H</w:t>
      </w:r>
      <w:r w:rsidR="002C00CA">
        <w:t xml:space="preserve">owever, </w:t>
      </w:r>
      <w:r w:rsidR="002C00CA" w:rsidRPr="002C00CA">
        <w:t xml:space="preserve">anecdotal </w:t>
      </w:r>
      <w:r w:rsidR="002C00CA">
        <w:t>evidence from interviews</w:t>
      </w:r>
      <w:r w:rsidR="002C00CA" w:rsidRPr="002C00CA">
        <w:t xml:space="preserve"> suggest</w:t>
      </w:r>
      <w:r w:rsidR="002C00CA">
        <w:t>s</w:t>
      </w:r>
      <w:r w:rsidR="002C00CA" w:rsidRPr="002C00CA">
        <w:t xml:space="preserve"> that this support could represent an additional 2</w:t>
      </w:r>
      <w:r w:rsidR="00B60623">
        <w:t>–</w:t>
      </w:r>
      <w:r w:rsidR="002C00CA" w:rsidRPr="002C00CA">
        <w:t>50% in trial funding</w:t>
      </w:r>
      <w:r w:rsidR="002C00CA">
        <w:t>.</w:t>
      </w:r>
    </w:p>
    <w:p w14:paraId="0FB37148" w14:textId="77777777" w:rsidR="00B60623" w:rsidRPr="00A45AF9" w:rsidRDefault="00B60623" w:rsidP="00392788">
      <w:pPr>
        <w:pStyle w:val="Commissionbodytext"/>
      </w:pPr>
    </w:p>
    <w:p w14:paraId="26FFD3B6" w14:textId="0BDC8535" w:rsidR="00FC7C95" w:rsidRDefault="00D51E6C" w:rsidP="00392788">
      <w:pPr>
        <w:pStyle w:val="Commissionbodytext"/>
      </w:pPr>
      <w:r>
        <w:t xml:space="preserve">Where trial </w:t>
      </w:r>
      <w:r w:rsidR="00FC7C95" w:rsidRPr="00A45AF9">
        <w:t>coordinating cent</w:t>
      </w:r>
      <w:r w:rsidR="00501B07">
        <w:t>r</w:t>
      </w:r>
      <w:r w:rsidR="00FC7C95" w:rsidRPr="00A45AF9">
        <w:t>e</w:t>
      </w:r>
      <w:r w:rsidR="00753699">
        <w:t xml:space="preserve"> </w:t>
      </w:r>
      <w:r w:rsidR="00AA623A">
        <w:t>costs</w:t>
      </w:r>
      <w:r>
        <w:t xml:space="preserve"> were known</w:t>
      </w:r>
      <w:r w:rsidR="00AA535C">
        <w:t>,</w:t>
      </w:r>
      <w:r>
        <w:t xml:space="preserve"> they</w:t>
      </w:r>
      <w:r w:rsidR="00AA623A">
        <w:t xml:space="preserve"> </w:t>
      </w:r>
      <w:r w:rsidR="00FC7C95" w:rsidRPr="00A45AF9">
        <w:t>represent</w:t>
      </w:r>
      <w:r w:rsidR="00FC7C95">
        <w:t>ed</w:t>
      </w:r>
      <w:r w:rsidR="00FC7C95" w:rsidRPr="00A45AF9">
        <w:t xml:space="preserve"> approximately 30%</w:t>
      </w:r>
      <w:r w:rsidR="00FC7C95">
        <w:t xml:space="preserve"> on top of </w:t>
      </w:r>
      <w:r w:rsidR="00FC7C95" w:rsidRPr="00A45AF9">
        <w:t xml:space="preserve">total </w:t>
      </w:r>
      <w:r w:rsidR="00FC7C95">
        <w:t xml:space="preserve">funding received for </w:t>
      </w:r>
      <w:r w:rsidR="00FC7C95" w:rsidRPr="00A45AF9">
        <w:t>i</w:t>
      </w:r>
      <w:r w:rsidR="00FC7C95">
        <w:t>ndividual clinical trials</w:t>
      </w:r>
      <w:r w:rsidR="0056161A">
        <w:t>.</w:t>
      </w:r>
      <w:r w:rsidR="00FC7C95">
        <w:t xml:space="preserve"> Sometimes th</w:t>
      </w:r>
      <w:r w:rsidR="00AA623A">
        <w:t>ese costs</w:t>
      </w:r>
      <w:r w:rsidR="00FC7C95">
        <w:t xml:space="preserve"> </w:t>
      </w:r>
      <w:r w:rsidR="00AA623A">
        <w:t>were</w:t>
      </w:r>
      <w:r w:rsidR="00FC7C95">
        <w:t xml:space="preserve"> fully funded as part of the trial, at other times significant in-kind support </w:t>
      </w:r>
      <w:r w:rsidR="00501B07">
        <w:t>wa</w:t>
      </w:r>
      <w:r w:rsidR="00FC7C95">
        <w:t xml:space="preserve">s necessary. Funding for central </w:t>
      </w:r>
      <w:r w:rsidR="00753699">
        <w:t>n</w:t>
      </w:r>
      <w:r w:rsidR="00FC7C95">
        <w:t xml:space="preserve">etwork </w:t>
      </w:r>
      <w:r w:rsidR="00753699">
        <w:t xml:space="preserve">operation </w:t>
      </w:r>
      <w:r w:rsidR="00FC7C95">
        <w:t>wa</w:t>
      </w:r>
      <w:r w:rsidR="00FC7C95" w:rsidRPr="00A45AF9">
        <w:t>s comparatively small</w:t>
      </w:r>
      <w:r w:rsidR="00C13D76">
        <w:t xml:space="preserve"> </w:t>
      </w:r>
      <w:r w:rsidR="00FC7C95" w:rsidRPr="00A45AF9">
        <w:t>and</w:t>
      </w:r>
      <w:r w:rsidR="00FC7C95">
        <w:t xml:space="preserve"> many </w:t>
      </w:r>
      <w:r w:rsidR="00753699">
        <w:t>core</w:t>
      </w:r>
      <w:r>
        <w:t xml:space="preserve"> network</w:t>
      </w:r>
      <w:r w:rsidR="00FC7C95">
        <w:t xml:space="preserve"> functions </w:t>
      </w:r>
      <w:r w:rsidR="00753699">
        <w:t xml:space="preserve">(as described in </w:t>
      </w:r>
      <w:r w:rsidR="00753699">
        <w:fldChar w:fldCharType="begin"/>
      </w:r>
      <w:r w:rsidR="00753699">
        <w:instrText xml:space="preserve"> REF _Ref475266850 \h </w:instrText>
      </w:r>
      <w:r w:rsidR="00B60623">
        <w:instrText xml:space="preserve"> \* MERGEFORMAT </w:instrText>
      </w:r>
      <w:r w:rsidR="00753699">
        <w:fldChar w:fldCharType="separate"/>
      </w:r>
      <w:r w:rsidR="007B3054">
        <w:t xml:space="preserve">Table </w:t>
      </w:r>
      <w:r w:rsidR="007B3054">
        <w:rPr>
          <w:noProof/>
        </w:rPr>
        <w:t>1</w:t>
      </w:r>
      <w:r w:rsidR="00753699">
        <w:fldChar w:fldCharType="end"/>
      </w:r>
      <w:r w:rsidR="00753699">
        <w:t xml:space="preserve">) </w:t>
      </w:r>
      <w:r w:rsidR="00FC7C95">
        <w:t xml:space="preserve">were </w:t>
      </w:r>
      <w:r>
        <w:lastRenderedPageBreak/>
        <w:t xml:space="preserve">enabled through </w:t>
      </w:r>
      <w:r w:rsidR="00FC7C95" w:rsidRPr="00A45AF9">
        <w:t xml:space="preserve">in-kind support. </w:t>
      </w:r>
      <w:r w:rsidR="005B6722">
        <w:t>P</w:t>
      </w:r>
      <w:r w:rsidR="00FC7C95">
        <w:t>redominantly</w:t>
      </w:r>
      <w:r w:rsidR="005B6722">
        <w:t xml:space="preserve"> the support provided was</w:t>
      </w:r>
      <w:r w:rsidR="00FC7C95">
        <w:t xml:space="preserve"> time </w:t>
      </w:r>
      <w:r w:rsidR="005B6722">
        <w:t>given</w:t>
      </w:r>
      <w:r w:rsidR="005B6722" w:rsidRPr="00A45AF9">
        <w:t xml:space="preserve"> </w:t>
      </w:r>
      <w:r w:rsidR="00FC7C95" w:rsidRPr="00A45AF9">
        <w:t xml:space="preserve">for free </w:t>
      </w:r>
      <w:r w:rsidR="005B6722">
        <w:t>by</w:t>
      </w:r>
      <w:r w:rsidR="005B6722" w:rsidRPr="00A45AF9">
        <w:t xml:space="preserve"> </w:t>
      </w:r>
      <w:r w:rsidR="00FC7C95" w:rsidRPr="00A45AF9">
        <w:t xml:space="preserve">senior </w:t>
      </w:r>
      <w:r w:rsidR="00FC7C95">
        <w:t>clinicians and researchers</w:t>
      </w:r>
      <w:r w:rsidR="005B6722">
        <w:t>. Interviewees reported that this support</w:t>
      </w:r>
      <w:r w:rsidR="00FC7C95">
        <w:t xml:space="preserve"> </w:t>
      </w:r>
      <w:r w:rsidR="005B6722">
        <w:t>was</w:t>
      </w:r>
      <w:r w:rsidR="00FC7C95">
        <w:t xml:space="preserve"> heavily relied upon </w:t>
      </w:r>
      <w:r w:rsidR="00FC7C95" w:rsidRPr="00A45AF9">
        <w:t xml:space="preserve">to </w:t>
      </w:r>
      <w:r w:rsidR="00FC7C95">
        <w:t>support three key network activity areas:</w:t>
      </w:r>
    </w:p>
    <w:p w14:paraId="5720859D" w14:textId="77777777" w:rsidR="00D5553D" w:rsidRPr="00A45AF9" w:rsidRDefault="00D5553D" w:rsidP="00392788">
      <w:pPr>
        <w:pStyle w:val="Commissionbodytext"/>
      </w:pPr>
    </w:p>
    <w:p w14:paraId="3F69B905" w14:textId="6E67A1BD" w:rsidR="00FC7C95" w:rsidRPr="00A45AF9" w:rsidRDefault="00FC7C95" w:rsidP="00392788">
      <w:pPr>
        <w:pStyle w:val="Commissionbullets"/>
      </w:pPr>
      <w:r>
        <w:t>P</w:t>
      </w:r>
      <w:r w:rsidRPr="00A45AF9">
        <w:t>eer review of clinical trial submissions, pr</w:t>
      </w:r>
      <w:r>
        <w:t xml:space="preserve">otocols and manuscripts and </w:t>
      </w:r>
      <w:r w:rsidRPr="00A45AF9">
        <w:t>the endorsement and publication of clinical trials</w:t>
      </w:r>
    </w:p>
    <w:p w14:paraId="55EBCEBB" w14:textId="18B4B378" w:rsidR="00FC7C95" w:rsidRPr="00A45AF9" w:rsidRDefault="00FC7C95" w:rsidP="00392788">
      <w:pPr>
        <w:pStyle w:val="Commissionbullets"/>
      </w:pPr>
      <w:r>
        <w:t>E</w:t>
      </w:r>
      <w:r w:rsidRPr="00A45AF9">
        <w:t>ducation, training</w:t>
      </w:r>
      <w:r>
        <w:t>, mentoring and professional development for clinician researchers</w:t>
      </w:r>
    </w:p>
    <w:p w14:paraId="2DE1AD70" w14:textId="403E16E4" w:rsidR="00D5553D" w:rsidRPr="00657F18" w:rsidRDefault="00FC7C95" w:rsidP="00392788">
      <w:pPr>
        <w:pStyle w:val="Commissionbullets"/>
      </w:pPr>
      <w:r>
        <w:t>M</w:t>
      </w:r>
      <w:r w:rsidRPr="00A45AF9">
        <w:t>aintain</w:t>
      </w:r>
      <w:r>
        <w:t>ing</w:t>
      </w:r>
      <w:r w:rsidRPr="00A45AF9">
        <w:t xml:space="preserve"> central </w:t>
      </w:r>
      <w:r>
        <w:t xml:space="preserve">network processes </w:t>
      </w:r>
      <w:r w:rsidRPr="00A45AF9">
        <w:t xml:space="preserve">and infrastructure. </w:t>
      </w:r>
    </w:p>
    <w:p w14:paraId="1346F476" w14:textId="2321E325" w:rsidR="00A45AF9" w:rsidRPr="00A45AF9" w:rsidRDefault="001E5988" w:rsidP="00060594">
      <w:pPr>
        <w:pStyle w:val="Heading2"/>
      </w:pPr>
      <w:bookmarkStart w:id="68" w:name="_Toc475279451"/>
      <w:bookmarkStart w:id="69" w:name="_Toc475279510"/>
      <w:bookmarkStart w:id="70" w:name="_Toc475279568"/>
      <w:bookmarkStart w:id="71" w:name="_Toc475279881"/>
      <w:bookmarkStart w:id="72" w:name="_Toc475350961"/>
      <w:bookmarkStart w:id="73" w:name="_Toc475352587"/>
      <w:bookmarkStart w:id="74" w:name="_Toc475352684"/>
      <w:bookmarkStart w:id="75" w:name="_Toc475352773"/>
      <w:bookmarkStart w:id="76" w:name="_Toc487184529"/>
      <w:bookmarkEnd w:id="68"/>
      <w:bookmarkEnd w:id="69"/>
      <w:bookmarkEnd w:id="70"/>
      <w:bookmarkEnd w:id="71"/>
      <w:bookmarkEnd w:id="72"/>
      <w:bookmarkEnd w:id="73"/>
      <w:bookmarkEnd w:id="74"/>
      <w:bookmarkEnd w:id="75"/>
      <w:r>
        <w:t>S</w:t>
      </w:r>
      <w:r w:rsidR="00A45AF9" w:rsidRPr="00A45AF9">
        <w:t>ensitivity a</w:t>
      </w:r>
      <w:r w:rsidR="00140961">
        <w:t>nalysi</w:t>
      </w:r>
      <w:r w:rsidR="00A45AF9" w:rsidRPr="00A45AF9">
        <w:t>s</w:t>
      </w:r>
      <w:bookmarkEnd w:id="76"/>
    </w:p>
    <w:p w14:paraId="47BE4BDD" w14:textId="438DCB9A" w:rsidR="00C42FCD" w:rsidRPr="00CF6A2F" w:rsidRDefault="00354BDD" w:rsidP="00392788">
      <w:pPr>
        <w:pStyle w:val="Commissionbodytext"/>
        <w:rPr>
          <w:b/>
        </w:rPr>
      </w:pPr>
      <w:r>
        <w:t xml:space="preserve">The sensitivity analysis confirms that </w:t>
      </w:r>
      <w:r w:rsidR="00AA535C">
        <w:t xml:space="preserve">the </w:t>
      </w:r>
      <w:r>
        <w:t xml:space="preserve">results are robust </w:t>
      </w:r>
      <w:r w:rsidR="00D51E6C">
        <w:t>under a</w:t>
      </w:r>
      <w:r w:rsidR="008B25F6">
        <w:t xml:space="preserve"> range of different assumptions</w:t>
      </w:r>
      <w:r>
        <w:t>.</w:t>
      </w:r>
      <w:r w:rsidR="008B25F6">
        <w:t xml:space="preserve"> For example, t</w:t>
      </w:r>
      <w:r>
        <w:t xml:space="preserve">he integrity of the results is preserved if </w:t>
      </w:r>
      <w:r w:rsidRPr="00AF6925">
        <w:t>trial finding</w:t>
      </w:r>
      <w:r>
        <w:t xml:space="preserve">s </w:t>
      </w:r>
      <w:r w:rsidR="00DF110B">
        <w:t>were</w:t>
      </w:r>
      <w:r w:rsidR="00DF110B" w:rsidRPr="00AF6925">
        <w:t xml:space="preserve"> </w:t>
      </w:r>
      <w:r w:rsidRPr="00AF6925">
        <w:t xml:space="preserve">implemented in </w:t>
      </w:r>
      <w:r w:rsidR="00DF110B">
        <w:t xml:space="preserve">fewer </w:t>
      </w:r>
      <w:r>
        <w:t xml:space="preserve">than </w:t>
      </w:r>
      <w:r w:rsidRPr="00AF6925">
        <w:t xml:space="preserve">65% of eligible </w:t>
      </w:r>
      <w:r>
        <w:t xml:space="preserve">patients </w:t>
      </w:r>
      <w:r w:rsidR="003268B2">
        <w:t>a</w:t>
      </w:r>
      <w:r w:rsidR="00A85A6B">
        <w:t>t a minimum</w:t>
      </w:r>
      <w:r w:rsidR="00753699">
        <w:t>;</w:t>
      </w:r>
      <w:r w:rsidR="00DF110B">
        <w:t xml:space="preserve"> </w:t>
      </w:r>
      <w:r w:rsidR="000E7975">
        <w:t xml:space="preserve">and </w:t>
      </w:r>
      <w:r w:rsidR="00DF110B">
        <w:t>only</w:t>
      </w:r>
      <w:r w:rsidR="00A85A6B">
        <w:t xml:space="preserve"> 11% of patients would need to receive the more effective trial intervention for benefits to exceed costs</w:t>
      </w:r>
      <w:r w:rsidR="00001CAE">
        <w:t xml:space="preserve"> (</w:t>
      </w:r>
      <w:r w:rsidR="00001CAE">
        <w:fldChar w:fldCharType="begin"/>
      </w:r>
      <w:r w:rsidR="00001CAE">
        <w:instrText xml:space="preserve"> REF _Ref479176855 \h </w:instrText>
      </w:r>
      <w:r w:rsidR="00D5553D">
        <w:instrText xml:space="preserve"> \* MERGEFORMAT </w:instrText>
      </w:r>
      <w:r w:rsidR="00001CAE">
        <w:fldChar w:fldCharType="separate"/>
      </w:r>
      <w:r w:rsidR="007B3054">
        <w:t xml:space="preserve">Table </w:t>
      </w:r>
      <w:r w:rsidR="007B3054">
        <w:rPr>
          <w:noProof/>
        </w:rPr>
        <w:t>8</w:t>
      </w:r>
      <w:r w:rsidR="00001CAE">
        <w:fldChar w:fldCharType="end"/>
      </w:r>
      <w:r w:rsidR="00001CAE">
        <w:t xml:space="preserve">). </w:t>
      </w:r>
      <w:r w:rsidR="00F26FBD">
        <w:t>B</w:t>
      </w:r>
      <w:r w:rsidR="00511E2C">
        <w:t>enefit</w:t>
      </w:r>
      <w:r w:rsidR="007374E6">
        <w:t xml:space="preserve"> </w:t>
      </w:r>
      <w:r w:rsidR="00511E2C">
        <w:t>to</w:t>
      </w:r>
      <w:r w:rsidR="007374E6">
        <w:t xml:space="preserve"> </w:t>
      </w:r>
      <w:r w:rsidR="00511E2C">
        <w:t xml:space="preserve">cost ratios </w:t>
      </w:r>
      <w:r w:rsidR="00F26FBD">
        <w:t>for</w:t>
      </w:r>
      <w:r w:rsidR="00140961">
        <w:t xml:space="preserve"> higher </w:t>
      </w:r>
      <w:r w:rsidR="00F26FBD">
        <w:t xml:space="preserve">rates of </w:t>
      </w:r>
      <w:r w:rsidR="00140961">
        <w:t>implementation w</w:t>
      </w:r>
      <w:r w:rsidR="00511E2C">
        <w:t>ere</w:t>
      </w:r>
      <w:r w:rsidR="00140961">
        <w:t xml:space="preserve"> also </w:t>
      </w:r>
      <w:r w:rsidR="00F06BBC">
        <w:t>modelled</w:t>
      </w:r>
      <w:r w:rsidR="0020787D">
        <w:t>.</w:t>
      </w:r>
      <w:r w:rsidR="00BD68CF">
        <w:t xml:space="preserve"> </w:t>
      </w:r>
      <w:r w:rsidR="00984941" w:rsidRPr="00DF110B">
        <w:rPr>
          <w:rStyle w:val="Strong"/>
          <w:b w:val="0"/>
        </w:rPr>
        <w:t>A</w:t>
      </w:r>
      <w:r w:rsidR="00140961" w:rsidRPr="00DF110B">
        <w:rPr>
          <w:rStyle w:val="Strong"/>
          <w:b w:val="0"/>
        </w:rPr>
        <w:t xml:space="preserve"> </w:t>
      </w:r>
      <w:r w:rsidR="00A071DF" w:rsidRPr="00DF110B">
        <w:rPr>
          <w:rStyle w:val="Strong"/>
          <w:b w:val="0"/>
        </w:rPr>
        <w:t xml:space="preserve">notional </w:t>
      </w:r>
      <w:r w:rsidR="00140961" w:rsidRPr="00DF110B">
        <w:rPr>
          <w:rStyle w:val="Strong"/>
          <w:b w:val="0"/>
        </w:rPr>
        <w:t>10% increase</w:t>
      </w:r>
      <w:r w:rsidR="00753699" w:rsidRPr="00DF110B">
        <w:rPr>
          <w:rStyle w:val="Strong"/>
          <w:b w:val="0"/>
        </w:rPr>
        <w:t xml:space="preserve"> in the implementation of trial evidence</w:t>
      </w:r>
      <w:r w:rsidR="007E146D" w:rsidRPr="00DF110B">
        <w:rPr>
          <w:rStyle w:val="Strong"/>
          <w:b w:val="0"/>
        </w:rPr>
        <w:t xml:space="preserve"> among the eligible Australian patient population </w:t>
      </w:r>
      <w:r w:rsidR="00140961" w:rsidRPr="00DF110B">
        <w:rPr>
          <w:rStyle w:val="Strong"/>
          <w:b w:val="0"/>
        </w:rPr>
        <w:t>would lead to an additional $300</w:t>
      </w:r>
      <w:r w:rsidR="007374E6">
        <w:rPr>
          <w:rStyle w:val="Strong"/>
          <w:b w:val="0"/>
        </w:rPr>
        <w:t xml:space="preserve"> </w:t>
      </w:r>
      <w:r w:rsidR="00140961" w:rsidRPr="00DF110B">
        <w:rPr>
          <w:rStyle w:val="Strong"/>
          <w:b w:val="0"/>
        </w:rPr>
        <w:t>m</w:t>
      </w:r>
      <w:r w:rsidR="007374E6">
        <w:rPr>
          <w:rStyle w:val="Strong"/>
          <w:b w:val="0"/>
        </w:rPr>
        <w:t>illion</w:t>
      </w:r>
      <w:r w:rsidR="00140961" w:rsidRPr="00DF110B">
        <w:rPr>
          <w:rStyle w:val="Strong"/>
          <w:b w:val="0"/>
        </w:rPr>
        <w:t xml:space="preserve"> in </w:t>
      </w:r>
      <w:r w:rsidR="00F26FBD" w:rsidRPr="00DF110B">
        <w:rPr>
          <w:rStyle w:val="Strong"/>
          <w:b w:val="0"/>
        </w:rPr>
        <w:t>gross</w:t>
      </w:r>
      <w:r w:rsidR="00EF1CA1" w:rsidRPr="00DF110B">
        <w:rPr>
          <w:rStyle w:val="Strong"/>
          <w:b w:val="0"/>
        </w:rPr>
        <w:t xml:space="preserve"> be</w:t>
      </w:r>
      <w:r w:rsidR="00140961" w:rsidRPr="00DF110B">
        <w:rPr>
          <w:rStyle w:val="Strong"/>
          <w:b w:val="0"/>
        </w:rPr>
        <w:t>nefit.</w:t>
      </w:r>
      <w:r w:rsidR="00C42FCD" w:rsidRPr="00DF110B">
        <w:rPr>
          <w:rStyle w:val="Strong"/>
          <w:b w:val="0"/>
        </w:rPr>
        <w:t xml:space="preserve"> </w:t>
      </w:r>
    </w:p>
    <w:p w14:paraId="308C3993" w14:textId="77777777" w:rsidR="00D5553D" w:rsidRDefault="00D5553D" w:rsidP="00392788">
      <w:pPr>
        <w:pStyle w:val="Commissionbodytext"/>
      </w:pPr>
    </w:p>
    <w:p w14:paraId="66DC0E5A" w14:textId="0CECFC41" w:rsidR="00B61B0F" w:rsidRDefault="00233492" w:rsidP="00392788">
      <w:pPr>
        <w:pStyle w:val="Commissionbodytext"/>
        <w:rPr>
          <w:rFonts w:eastAsiaTheme="minorEastAsia"/>
          <w:b/>
          <w:bCs/>
          <w:color w:val="2F5496" w:themeColor="accent5" w:themeShade="BF"/>
          <w:spacing w:val="6"/>
          <w:szCs w:val="18"/>
          <w:lang w:bidi="hi-IN"/>
        </w:rPr>
      </w:pPr>
      <w:r>
        <w:t xml:space="preserve">Sensitivity analysis </w:t>
      </w:r>
      <w:r w:rsidR="00DF110B">
        <w:t>was also</w:t>
      </w:r>
      <w:r>
        <w:t xml:space="preserve"> used to investigate what would happen if the v</w:t>
      </w:r>
      <w:r w:rsidRPr="008B25F6">
        <w:t xml:space="preserve">alue of a year of life in full health </w:t>
      </w:r>
      <w:r>
        <w:t xml:space="preserve">is based on </w:t>
      </w:r>
      <w:r w:rsidR="00B4479A">
        <w:t>g</w:t>
      </w:r>
      <w:r>
        <w:t xml:space="preserve">ross </w:t>
      </w:r>
      <w:r w:rsidR="00B4479A">
        <w:t>d</w:t>
      </w:r>
      <w:r>
        <w:t xml:space="preserve">omestic </w:t>
      </w:r>
      <w:r w:rsidR="00B4479A">
        <w:t>p</w:t>
      </w:r>
      <w:r>
        <w:t>roduct per capita ($83</w:t>
      </w:r>
      <w:r w:rsidR="00D44B37">
        <w:t>,</w:t>
      </w:r>
      <w:r>
        <w:t>000)</w:t>
      </w:r>
      <w:r w:rsidR="00472BE4">
        <w:rPr>
          <w:rStyle w:val="FootnoteReference"/>
        </w:rPr>
        <w:footnoteReference w:id="22"/>
      </w:r>
      <w:r>
        <w:t xml:space="preserve"> rather than Office of Best Practice Guidance (</w:t>
      </w:r>
      <w:r w:rsidRPr="008B25F6">
        <w:t>$180</w:t>
      </w:r>
      <w:r w:rsidR="00D44B37">
        <w:t>,</w:t>
      </w:r>
      <w:r w:rsidRPr="008B25F6">
        <w:t>000</w:t>
      </w:r>
      <w:r>
        <w:t>)</w:t>
      </w:r>
      <w:r w:rsidR="005B6722">
        <w:t>.</w:t>
      </w:r>
      <w:r w:rsidR="00472BE4">
        <w:rPr>
          <w:rStyle w:val="FootnoteReference"/>
        </w:rPr>
        <w:footnoteReference w:id="23"/>
      </w:r>
      <w:r>
        <w:t xml:space="preserve"> The benefit to cost ratio using an implementation rate of 50% </w:t>
      </w:r>
      <w:r w:rsidRPr="00F074A5">
        <w:rPr>
          <w:bCs/>
        </w:rPr>
        <w:t>and the lower</w:t>
      </w:r>
      <w:r>
        <w:t xml:space="preserve"> value </w:t>
      </w:r>
      <w:r w:rsidRPr="00444F3E">
        <w:t>of a year of life in full health</w:t>
      </w:r>
      <w:r>
        <w:t xml:space="preserve"> is 3:1, or </w:t>
      </w:r>
      <w:r>
        <w:rPr>
          <w:iCs/>
        </w:rPr>
        <w:t xml:space="preserve">a return of </w:t>
      </w:r>
      <w:r w:rsidRPr="001915CB">
        <w:rPr>
          <w:iCs/>
        </w:rPr>
        <w:t>$</w:t>
      </w:r>
      <w:r>
        <w:rPr>
          <w:iCs/>
        </w:rPr>
        <w:t>3</w:t>
      </w:r>
      <w:r w:rsidRPr="001915CB">
        <w:rPr>
          <w:iCs/>
        </w:rPr>
        <w:t xml:space="preserve"> for every $1 invested</w:t>
      </w:r>
      <w:r w:rsidR="00DF110B">
        <w:rPr>
          <w:iCs/>
        </w:rPr>
        <w:t xml:space="preserve"> </w:t>
      </w:r>
      <w:r>
        <w:rPr>
          <w:iCs/>
        </w:rPr>
        <w:t>with a total gross benefit of over $900</w:t>
      </w:r>
      <w:r w:rsidR="00D705D8">
        <w:rPr>
          <w:iCs/>
        </w:rPr>
        <w:t xml:space="preserve"> </w:t>
      </w:r>
      <w:r>
        <w:rPr>
          <w:iCs/>
        </w:rPr>
        <w:t>m</w:t>
      </w:r>
      <w:r w:rsidR="00D705D8">
        <w:rPr>
          <w:iCs/>
        </w:rPr>
        <w:t>illion</w:t>
      </w:r>
      <w:r>
        <w:rPr>
          <w:iCs/>
        </w:rPr>
        <w:t>.</w:t>
      </w:r>
      <w:bookmarkStart w:id="77" w:name="_Ref475268877"/>
      <w:bookmarkStart w:id="78" w:name="_Ref475277087"/>
    </w:p>
    <w:p w14:paraId="65B447DA" w14:textId="77777777" w:rsidR="004F1985" w:rsidRDefault="004F1985">
      <w:pPr>
        <w:spacing w:before="0" w:after="200" w:line="276" w:lineRule="auto"/>
        <w:rPr>
          <w:rFonts w:eastAsiaTheme="minorEastAsia"/>
          <w:b/>
          <w:bCs/>
          <w:color w:val="2F5496" w:themeColor="accent5" w:themeShade="BF"/>
          <w:spacing w:val="6"/>
          <w:szCs w:val="18"/>
          <w:lang w:bidi="hi-IN"/>
        </w:rPr>
      </w:pPr>
      <w:r>
        <w:br w:type="page"/>
      </w:r>
    </w:p>
    <w:p w14:paraId="7E8B4781" w14:textId="2AF8DA27" w:rsidR="0087314A" w:rsidRPr="0087314A" w:rsidRDefault="00D05771" w:rsidP="00AC457A">
      <w:pPr>
        <w:pStyle w:val="Caption"/>
        <w:rPr>
          <w:rStyle w:val="Strong"/>
        </w:rPr>
      </w:pPr>
      <w:bookmarkStart w:id="79" w:name="_Ref479176855"/>
      <w:bookmarkStart w:id="80" w:name="_Ref479176851"/>
      <w:bookmarkStart w:id="81" w:name="_Toc479177731"/>
      <w:r>
        <w:lastRenderedPageBreak/>
        <w:t>Table</w:t>
      </w:r>
      <w:bookmarkEnd w:id="77"/>
      <w:r>
        <w:t xml:space="preserve"> </w:t>
      </w:r>
      <w:fldSimple w:instr=" SEQ Table \* ARABIC ">
        <w:r w:rsidR="007B3054">
          <w:rPr>
            <w:noProof/>
          </w:rPr>
          <w:t>8</w:t>
        </w:r>
      </w:fldSimple>
      <w:bookmarkEnd w:id="78"/>
      <w:bookmarkEnd w:id="79"/>
      <w:r>
        <w:t xml:space="preserve">. </w:t>
      </w:r>
      <w:r w:rsidRPr="00966185">
        <w:t xml:space="preserve">Rate of implementation sensitivity </w:t>
      </w:r>
      <w:r w:rsidR="00233492" w:rsidRPr="00966185">
        <w:t>analysis</w:t>
      </w:r>
      <w:bookmarkEnd w:id="80"/>
      <w:bookmarkEnd w:id="81"/>
    </w:p>
    <w:tbl>
      <w:tblPr>
        <w:tblStyle w:val="TableGrid"/>
        <w:tblW w:w="100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159"/>
        <w:gridCol w:w="2381"/>
        <w:gridCol w:w="5488"/>
      </w:tblGrid>
      <w:tr w:rsidR="00984941" w:rsidRPr="00392788" w14:paraId="1E0A5B54" w14:textId="77777777" w:rsidTr="00392788">
        <w:trPr>
          <w:trHeight w:hRule="exact" w:val="665"/>
          <w:tblHeader/>
        </w:trPr>
        <w:tc>
          <w:tcPr>
            <w:tcW w:w="2159" w:type="dxa"/>
            <w:shd w:val="clear" w:color="auto" w:fill="2F5496" w:themeFill="accent5" w:themeFillShade="BF"/>
            <w:vAlign w:val="bottom"/>
            <w:hideMark/>
          </w:tcPr>
          <w:p w14:paraId="2402849D" w14:textId="5EF799B1" w:rsidR="0051479A" w:rsidRPr="00392788" w:rsidRDefault="00984941" w:rsidP="00392788">
            <w:pPr>
              <w:spacing w:before="0" w:after="0" w:line="276" w:lineRule="auto"/>
              <w:rPr>
                <w:rFonts w:cs="Arial"/>
                <w:b/>
                <w:color w:val="FFFFFF" w:themeColor="background1"/>
                <w:sz w:val="21"/>
                <w:szCs w:val="21"/>
              </w:rPr>
            </w:pPr>
            <w:r w:rsidRPr="00392788">
              <w:rPr>
                <w:rFonts w:cs="Arial"/>
                <w:b/>
                <w:color w:val="FFFFFF" w:themeColor="background1"/>
                <w:sz w:val="21"/>
                <w:szCs w:val="21"/>
              </w:rPr>
              <w:t xml:space="preserve">Implementation </w:t>
            </w:r>
            <w:r w:rsidR="008302DB" w:rsidRPr="00392788">
              <w:rPr>
                <w:rFonts w:cs="Arial"/>
                <w:b/>
                <w:color w:val="FFFFFF" w:themeColor="background1"/>
                <w:sz w:val="21"/>
                <w:szCs w:val="21"/>
              </w:rPr>
              <w:t>%</w:t>
            </w:r>
          </w:p>
        </w:tc>
        <w:tc>
          <w:tcPr>
            <w:tcW w:w="2381" w:type="dxa"/>
            <w:shd w:val="clear" w:color="auto" w:fill="2F5496" w:themeFill="accent5" w:themeFillShade="BF"/>
            <w:vAlign w:val="bottom"/>
            <w:hideMark/>
          </w:tcPr>
          <w:p w14:paraId="5A2FBC22" w14:textId="77777777" w:rsidR="00A85A6B" w:rsidRPr="00392788" w:rsidRDefault="0051479A" w:rsidP="00392788">
            <w:pPr>
              <w:spacing w:before="0" w:after="0" w:line="276" w:lineRule="auto"/>
              <w:rPr>
                <w:rFonts w:cs="Arial"/>
                <w:b/>
                <w:color w:val="FFFFFF" w:themeColor="background1"/>
                <w:sz w:val="21"/>
                <w:szCs w:val="21"/>
              </w:rPr>
            </w:pPr>
            <w:r w:rsidRPr="00392788">
              <w:rPr>
                <w:rFonts w:cs="Arial"/>
                <w:b/>
                <w:color w:val="FFFFFF" w:themeColor="background1"/>
                <w:sz w:val="21"/>
                <w:szCs w:val="21"/>
              </w:rPr>
              <w:t>Consolidated</w:t>
            </w:r>
            <w:r w:rsidR="00A85A6B" w:rsidRPr="00392788">
              <w:rPr>
                <w:rFonts w:cs="Arial"/>
                <w:b/>
                <w:color w:val="FFFFFF" w:themeColor="background1"/>
                <w:sz w:val="21"/>
                <w:szCs w:val="21"/>
              </w:rPr>
              <w:t xml:space="preserve"> </w:t>
            </w:r>
          </w:p>
          <w:p w14:paraId="0FA634F5" w14:textId="58C466DF" w:rsidR="0051479A" w:rsidRPr="00392788" w:rsidRDefault="007374E6" w:rsidP="00392788">
            <w:pPr>
              <w:spacing w:before="0" w:after="0" w:line="276" w:lineRule="auto"/>
              <w:rPr>
                <w:rFonts w:cs="Arial"/>
                <w:b/>
                <w:color w:val="FFFFFF" w:themeColor="background1"/>
                <w:sz w:val="21"/>
                <w:szCs w:val="21"/>
              </w:rPr>
            </w:pPr>
            <w:r>
              <w:rPr>
                <w:rFonts w:cs="Arial"/>
                <w:b/>
                <w:color w:val="FFFFFF" w:themeColor="background1"/>
                <w:sz w:val="21"/>
                <w:szCs w:val="21"/>
              </w:rPr>
              <w:t>b</w:t>
            </w:r>
            <w:r w:rsidR="00454852" w:rsidRPr="00392788">
              <w:rPr>
                <w:rFonts w:cs="Arial"/>
                <w:b/>
                <w:color w:val="FFFFFF" w:themeColor="background1"/>
                <w:sz w:val="21"/>
                <w:szCs w:val="21"/>
              </w:rPr>
              <w:t>enefit</w:t>
            </w:r>
            <w:r w:rsidRPr="00392788">
              <w:rPr>
                <w:rFonts w:cs="Arial"/>
                <w:b/>
                <w:color w:val="FFFFFF" w:themeColor="background1"/>
                <w:sz w:val="21"/>
                <w:szCs w:val="21"/>
              </w:rPr>
              <w:t xml:space="preserve"> t</w:t>
            </w:r>
            <w:r w:rsidR="00454852" w:rsidRPr="00392788">
              <w:rPr>
                <w:rFonts w:cs="Arial"/>
                <w:b/>
                <w:color w:val="FFFFFF" w:themeColor="background1"/>
                <w:sz w:val="21"/>
                <w:szCs w:val="21"/>
              </w:rPr>
              <w:t>o</w:t>
            </w:r>
            <w:r w:rsidRPr="00392788">
              <w:rPr>
                <w:rFonts w:cs="Arial"/>
                <w:b/>
                <w:color w:val="FFFFFF" w:themeColor="background1"/>
                <w:sz w:val="21"/>
                <w:szCs w:val="21"/>
              </w:rPr>
              <w:t xml:space="preserve"> c</w:t>
            </w:r>
            <w:r w:rsidR="00454852" w:rsidRPr="00392788">
              <w:rPr>
                <w:rFonts w:cs="Arial"/>
                <w:b/>
                <w:color w:val="FFFFFF" w:themeColor="background1"/>
                <w:sz w:val="21"/>
                <w:szCs w:val="21"/>
              </w:rPr>
              <w:t xml:space="preserve">ost </w:t>
            </w:r>
            <w:r w:rsidRPr="00392788">
              <w:rPr>
                <w:rFonts w:cs="Arial"/>
                <w:b/>
                <w:color w:val="FFFFFF" w:themeColor="background1"/>
                <w:sz w:val="21"/>
                <w:szCs w:val="21"/>
              </w:rPr>
              <w:t>r</w:t>
            </w:r>
            <w:r w:rsidR="00454852" w:rsidRPr="00392788">
              <w:rPr>
                <w:rFonts w:cs="Arial"/>
                <w:b/>
                <w:color w:val="FFFFFF" w:themeColor="background1"/>
                <w:sz w:val="21"/>
                <w:szCs w:val="21"/>
              </w:rPr>
              <w:t>atio</w:t>
            </w:r>
          </w:p>
        </w:tc>
        <w:tc>
          <w:tcPr>
            <w:tcW w:w="5488" w:type="dxa"/>
            <w:shd w:val="clear" w:color="auto" w:fill="2F5496" w:themeFill="accent5" w:themeFillShade="BF"/>
            <w:vAlign w:val="bottom"/>
            <w:hideMark/>
          </w:tcPr>
          <w:p w14:paraId="764A5E23" w14:textId="3E244A86" w:rsidR="0051479A" w:rsidRPr="00392788" w:rsidRDefault="00984941" w:rsidP="00392788">
            <w:pPr>
              <w:spacing w:before="0" w:after="0" w:line="276" w:lineRule="auto"/>
              <w:rPr>
                <w:rFonts w:cs="Arial"/>
                <w:b/>
                <w:color w:val="FFFFFF" w:themeColor="background1"/>
                <w:sz w:val="21"/>
                <w:szCs w:val="21"/>
              </w:rPr>
            </w:pPr>
            <w:r w:rsidRPr="00392788">
              <w:rPr>
                <w:rFonts w:cs="Arial"/>
                <w:b/>
                <w:color w:val="FFFFFF" w:themeColor="background1"/>
                <w:sz w:val="21"/>
                <w:szCs w:val="21"/>
              </w:rPr>
              <w:t>Observation</w:t>
            </w:r>
          </w:p>
        </w:tc>
      </w:tr>
      <w:tr w:rsidR="00984941" w:rsidRPr="00392788" w14:paraId="232BE087" w14:textId="77777777" w:rsidTr="00392788">
        <w:trPr>
          <w:trHeight w:hRule="exact" w:val="567"/>
        </w:trPr>
        <w:tc>
          <w:tcPr>
            <w:tcW w:w="2159" w:type="dxa"/>
            <w:shd w:val="clear" w:color="auto" w:fill="F2F2F2" w:themeFill="background1" w:themeFillShade="F2"/>
            <w:vAlign w:val="bottom"/>
            <w:hideMark/>
          </w:tcPr>
          <w:p w14:paraId="0E5E6DAD" w14:textId="74514AED" w:rsidR="0051479A" w:rsidRPr="00657F18" w:rsidRDefault="0051479A" w:rsidP="00657F18">
            <w:pPr>
              <w:rPr>
                <w:rFonts w:cs="Arial"/>
                <w:sz w:val="21"/>
                <w:szCs w:val="21"/>
              </w:rPr>
            </w:pPr>
            <w:r w:rsidRPr="00657F18">
              <w:rPr>
                <w:rFonts w:cs="Arial"/>
                <w:bCs/>
                <w:sz w:val="21"/>
                <w:szCs w:val="21"/>
              </w:rPr>
              <w:t>0</w:t>
            </w:r>
          </w:p>
        </w:tc>
        <w:tc>
          <w:tcPr>
            <w:tcW w:w="2381" w:type="dxa"/>
            <w:shd w:val="clear" w:color="auto" w:fill="F2F2F2" w:themeFill="background1" w:themeFillShade="F2"/>
            <w:vAlign w:val="bottom"/>
            <w:hideMark/>
          </w:tcPr>
          <w:p w14:paraId="57A23640" w14:textId="77777777" w:rsidR="0051479A" w:rsidRPr="00722F9C" w:rsidRDefault="0051479A" w:rsidP="00722F9C">
            <w:pPr>
              <w:rPr>
                <w:rFonts w:cs="Arial"/>
                <w:sz w:val="21"/>
                <w:szCs w:val="21"/>
              </w:rPr>
            </w:pPr>
            <w:r w:rsidRPr="00722F9C">
              <w:rPr>
                <w:rFonts w:cs="Arial"/>
                <w:sz w:val="21"/>
                <w:szCs w:val="21"/>
              </w:rPr>
              <w:t>0.10:1</w:t>
            </w:r>
          </w:p>
        </w:tc>
        <w:tc>
          <w:tcPr>
            <w:tcW w:w="5488" w:type="dxa"/>
            <w:shd w:val="clear" w:color="auto" w:fill="F2F2F2" w:themeFill="background1" w:themeFillShade="F2"/>
            <w:vAlign w:val="bottom"/>
            <w:hideMark/>
          </w:tcPr>
          <w:p w14:paraId="05081C21" w14:textId="41C0D543" w:rsidR="0051479A" w:rsidRPr="00392788" w:rsidRDefault="0051479A" w:rsidP="00392788">
            <w:pPr>
              <w:rPr>
                <w:rFonts w:cs="Arial"/>
                <w:sz w:val="21"/>
                <w:szCs w:val="21"/>
              </w:rPr>
            </w:pPr>
          </w:p>
        </w:tc>
      </w:tr>
      <w:tr w:rsidR="00984941" w:rsidRPr="00392788" w14:paraId="68462D25" w14:textId="77777777" w:rsidTr="00392788">
        <w:trPr>
          <w:trHeight w:hRule="exact" w:val="567"/>
        </w:trPr>
        <w:tc>
          <w:tcPr>
            <w:tcW w:w="2159" w:type="dxa"/>
            <w:shd w:val="clear" w:color="auto" w:fill="F2F2F2" w:themeFill="background1" w:themeFillShade="F2"/>
            <w:vAlign w:val="bottom"/>
            <w:hideMark/>
          </w:tcPr>
          <w:p w14:paraId="08EFAC3E" w14:textId="77777777" w:rsidR="0051479A" w:rsidRPr="00657F18" w:rsidRDefault="0051479A" w:rsidP="00657F18">
            <w:pPr>
              <w:rPr>
                <w:rFonts w:cs="Arial"/>
                <w:sz w:val="21"/>
                <w:szCs w:val="21"/>
              </w:rPr>
            </w:pPr>
            <w:r w:rsidRPr="00657F18">
              <w:rPr>
                <w:rFonts w:cs="Arial"/>
                <w:bCs/>
                <w:sz w:val="21"/>
                <w:szCs w:val="21"/>
              </w:rPr>
              <w:t>10</w:t>
            </w:r>
          </w:p>
        </w:tc>
        <w:tc>
          <w:tcPr>
            <w:tcW w:w="2381" w:type="dxa"/>
            <w:shd w:val="clear" w:color="auto" w:fill="F2F2F2" w:themeFill="background1" w:themeFillShade="F2"/>
            <w:vAlign w:val="bottom"/>
            <w:hideMark/>
          </w:tcPr>
          <w:p w14:paraId="6DAF75CD" w14:textId="77777777" w:rsidR="0051479A" w:rsidRPr="00722F9C" w:rsidRDefault="0051479A" w:rsidP="00722F9C">
            <w:pPr>
              <w:rPr>
                <w:rFonts w:cs="Arial"/>
                <w:sz w:val="21"/>
                <w:szCs w:val="21"/>
              </w:rPr>
            </w:pPr>
            <w:r w:rsidRPr="00722F9C">
              <w:rPr>
                <w:rFonts w:cs="Arial"/>
                <w:sz w:val="21"/>
                <w:szCs w:val="21"/>
              </w:rPr>
              <w:t>0.97:1</w:t>
            </w:r>
          </w:p>
        </w:tc>
        <w:tc>
          <w:tcPr>
            <w:tcW w:w="5488" w:type="dxa"/>
            <w:shd w:val="clear" w:color="auto" w:fill="F2F2F2" w:themeFill="background1" w:themeFillShade="F2"/>
            <w:vAlign w:val="bottom"/>
            <w:hideMark/>
          </w:tcPr>
          <w:p w14:paraId="7F472AE9" w14:textId="47F29EBF" w:rsidR="0051479A" w:rsidRPr="00392788" w:rsidRDefault="0051479A" w:rsidP="00392788">
            <w:pPr>
              <w:rPr>
                <w:rFonts w:cs="Arial"/>
                <w:sz w:val="21"/>
                <w:szCs w:val="21"/>
              </w:rPr>
            </w:pPr>
          </w:p>
        </w:tc>
      </w:tr>
      <w:tr w:rsidR="00984941" w:rsidRPr="00392788" w14:paraId="7B19E89C" w14:textId="77777777" w:rsidTr="00392788">
        <w:trPr>
          <w:trHeight w:hRule="exact" w:val="567"/>
        </w:trPr>
        <w:tc>
          <w:tcPr>
            <w:tcW w:w="2159" w:type="dxa"/>
            <w:vAlign w:val="bottom"/>
            <w:hideMark/>
          </w:tcPr>
          <w:p w14:paraId="673ED20F" w14:textId="16E032D2" w:rsidR="0051479A" w:rsidRPr="00657F18" w:rsidRDefault="0051479A" w:rsidP="00657F18">
            <w:pPr>
              <w:rPr>
                <w:rFonts w:cs="Arial"/>
                <w:bCs/>
                <w:sz w:val="21"/>
                <w:szCs w:val="21"/>
              </w:rPr>
            </w:pPr>
            <w:r w:rsidRPr="00657F18">
              <w:rPr>
                <w:rFonts w:cs="Arial"/>
                <w:bCs/>
                <w:sz w:val="21"/>
                <w:szCs w:val="21"/>
              </w:rPr>
              <w:t>11%</w:t>
            </w:r>
          </w:p>
        </w:tc>
        <w:tc>
          <w:tcPr>
            <w:tcW w:w="2381" w:type="dxa"/>
            <w:vAlign w:val="bottom"/>
            <w:hideMark/>
          </w:tcPr>
          <w:p w14:paraId="700D7FAF" w14:textId="77777777" w:rsidR="0051479A" w:rsidRPr="00722F9C" w:rsidRDefault="0051479A" w:rsidP="00722F9C">
            <w:pPr>
              <w:rPr>
                <w:rFonts w:cs="Arial"/>
                <w:bCs/>
                <w:sz w:val="21"/>
                <w:szCs w:val="21"/>
              </w:rPr>
            </w:pPr>
            <w:r w:rsidRPr="00722F9C">
              <w:rPr>
                <w:rFonts w:cs="Arial"/>
                <w:bCs/>
                <w:sz w:val="21"/>
                <w:szCs w:val="21"/>
              </w:rPr>
              <w:t>1.05:1</w:t>
            </w:r>
          </w:p>
        </w:tc>
        <w:tc>
          <w:tcPr>
            <w:tcW w:w="5488" w:type="dxa"/>
            <w:vAlign w:val="bottom"/>
            <w:hideMark/>
          </w:tcPr>
          <w:p w14:paraId="50E84E8A" w14:textId="77777777" w:rsidR="0051479A" w:rsidRPr="00392788" w:rsidRDefault="0051479A" w:rsidP="00392788">
            <w:pPr>
              <w:rPr>
                <w:rFonts w:cs="Arial"/>
                <w:bCs/>
                <w:sz w:val="21"/>
                <w:szCs w:val="21"/>
              </w:rPr>
            </w:pPr>
            <w:r w:rsidRPr="00392788">
              <w:rPr>
                <w:rFonts w:cs="Arial"/>
                <w:bCs/>
                <w:sz w:val="21"/>
                <w:szCs w:val="21"/>
              </w:rPr>
              <w:t>Threshold for benefits to exceed costs</w:t>
            </w:r>
          </w:p>
        </w:tc>
      </w:tr>
      <w:tr w:rsidR="00984941" w:rsidRPr="00392788" w14:paraId="49992C61" w14:textId="77777777" w:rsidTr="00392788">
        <w:trPr>
          <w:trHeight w:hRule="exact" w:val="567"/>
        </w:trPr>
        <w:tc>
          <w:tcPr>
            <w:tcW w:w="2159" w:type="dxa"/>
            <w:vAlign w:val="bottom"/>
            <w:hideMark/>
          </w:tcPr>
          <w:p w14:paraId="2BFD98C4" w14:textId="7E5881BE" w:rsidR="00984941" w:rsidRPr="00657F18" w:rsidRDefault="00984941" w:rsidP="00657F18">
            <w:pPr>
              <w:rPr>
                <w:rFonts w:cs="Arial"/>
                <w:sz w:val="21"/>
                <w:szCs w:val="21"/>
              </w:rPr>
            </w:pPr>
            <w:r w:rsidRPr="00657F18">
              <w:rPr>
                <w:rFonts w:cs="Arial"/>
                <w:bCs/>
                <w:sz w:val="21"/>
                <w:szCs w:val="21"/>
              </w:rPr>
              <w:t>20</w:t>
            </w:r>
          </w:p>
        </w:tc>
        <w:tc>
          <w:tcPr>
            <w:tcW w:w="2381" w:type="dxa"/>
            <w:vAlign w:val="bottom"/>
            <w:hideMark/>
          </w:tcPr>
          <w:p w14:paraId="3ADA66DA" w14:textId="6A49E73A" w:rsidR="00984941" w:rsidRPr="00722F9C" w:rsidRDefault="00984941" w:rsidP="00722F9C">
            <w:pPr>
              <w:rPr>
                <w:rFonts w:cs="Arial"/>
                <w:sz w:val="21"/>
                <w:szCs w:val="21"/>
              </w:rPr>
            </w:pPr>
            <w:r w:rsidRPr="00722F9C">
              <w:rPr>
                <w:rFonts w:cs="Arial"/>
                <w:sz w:val="21"/>
                <w:szCs w:val="21"/>
              </w:rPr>
              <w:t>1.84:1</w:t>
            </w:r>
          </w:p>
        </w:tc>
        <w:tc>
          <w:tcPr>
            <w:tcW w:w="5488" w:type="dxa"/>
            <w:noWrap/>
            <w:vAlign w:val="bottom"/>
            <w:hideMark/>
          </w:tcPr>
          <w:p w14:paraId="67A89641" w14:textId="77777777" w:rsidR="00984941" w:rsidRPr="00392788" w:rsidRDefault="00984941" w:rsidP="00392788">
            <w:pPr>
              <w:rPr>
                <w:rFonts w:cs="Arial"/>
                <w:sz w:val="21"/>
                <w:szCs w:val="21"/>
              </w:rPr>
            </w:pPr>
          </w:p>
        </w:tc>
      </w:tr>
      <w:tr w:rsidR="00984941" w:rsidRPr="00392788" w14:paraId="088B78F6" w14:textId="77777777" w:rsidTr="00392788">
        <w:trPr>
          <w:trHeight w:hRule="exact" w:val="567"/>
        </w:trPr>
        <w:tc>
          <w:tcPr>
            <w:tcW w:w="2159" w:type="dxa"/>
            <w:vAlign w:val="bottom"/>
            <w:hideMark/>
          </w:tcPr>
          <w:p w14:paraId="7EE9FAD6" w14:textId="5B6A8D3D" w:rsidR="00984941" w:rsidRPr="00657F18" w:rsidRDefault="00984941" w:rsidP="00657F18">
            <w:pPr>
              <w:rPr>
                <w:rFonts w:cs="Arial"/>
                <w:sz w:val="21"/>
                <w:szCs w:val="21"/>
              </w:rPr>
            </w:pPr>
            <w:r w:rsidRPr="00657F18">
              <w:rPr>
                <w:rFonts w:cs="Arial"/>
                <w:bCs/>
                <w:sz w:val="21"/>
                <w:szCs w:val="21"/>
              </w:rPr>
              <w:t>30</w:t>
            </w:r>
          </w:p>
        </w:tc>
        <w:tc>
          <w:tcPr>
            <w:tcW w:w="2381" w:type="dxa"/>
            <w:vAlign w:val="bottom"/>
            <w:hideMark/>
          </w:tcPr>
          <w:p w14:paraId="7148EFB5" w14:textId="5CBE874C" w:rsidR="00984941" w:rsidRPr="00722F9C" w:rsidRDefault="00984941" w:rsidP="00722F9C">
            <w:pPr>
              <w:rPr>
                <w:rFonts w:cs="Arial"/>
                <w:sz w:val="21"/>
                <w:szCs w:val="21"/>
              </w:rPr>
            </w:pPr>
            <w:r w:rsidRPr="00722F9C">
              <w:rPr>
                <w:rFonts w:cs="Arial"/>
                <w:sz w:val="21"/>
                <w:szCs w:val="21"/>
              </w:rPr>
              <w:t>2.72:1</w:t>
            </w:r>
          </w:p>
        </w:tc>
        <w:tc>
          <w:tcPr>
            <w:tcW w:w="5488" w:type="dxa"/>
            <w:noWrap/>
            <w:vAlign w:val="bottom"/>
            <w:hideMark/>
          </w:tcPr>
          <w:p w14:paraId="1620EF5D" w14:textId="77777777" w:rsidR="00984941" w:rsidRPr="00392788" w:rsidRDefault="00984941" w:rsidP="00392788">
            <w:pPr>
              <w:rPr>
                <w:rFonts w:cs="Arial"/>
                <w:sz w:val="21"/>
                <w:szCs w:val="21"/>
              </w:rPr>
            </w:pPr>
          </w:p>
        </w:tc>
      </w:tr>
      <w:tr w:rsidR="00984941" w:rsidRPr="00392788" w14:paraId="20E3FD49" w14:textId="77777777" w:rsidTr="00392788">
        <w:trPr>
          <w:trHeight w:hRule="exact" w:val="567"/>
        </w:trPr>
        <w:tc>
          <w:tcPr>
            <w:tcW w:w="2159" w:type="dxa"/>
            <w:vAlign w:val="bottom"/>
            <w:hideMark/>
          </w:tcPr>
          <w:p w14:paraId="443D0DAA" w14:textId="02CCE730" w:rsidR="00984941" w:rsidRPr="00657F18" w:rsidRDefault="00984941" w:rsidP="00657F18">
            <w:pPr>
              <w:rPr>
                <w:rFonts w:cs="Arial"/>
                <w:sz w:val="21"/>
                <w:szCs w:val="21"/>
              </w:rPr>
            </w:pPr>
            <w:r w:rsidRPr="00657F18">
              <w:rPr>
                <w:rFonts w:cs="Arial"/>
                <w:bCs/>
                <w:sz w:val="21"/>
                <w:szCs w:val="21"/>
              </w:rPr>
              <w:t>40</w:t>
            </w:r>
          </w:p>
        </w:tc>
        <w:tc>
          <w:tcPr>
            <w:tcW w:w="2381" w:type="dxa"/>
            <w:vAlign w:val="bottom"/>
            <w:hideMark/>
          </w:tcPr>
          <w:p w14:paraId="75420A59" w14:textId="365AE4F2" w:rsidR="00984941" w:rsidRPr="00722F9C" w:rsidRDefault="00984941" w:rsidP="00722F9C">
            <w:pPr>
              <w:rPr>
                <w:rFonts w:cs="Arial"/>
                <w:sz w:val="21"/>
                <w:szCs w:val="21"/>
              </w:rPr>
            </w:pPr>
            <w:r w:rsidRPr="00722F9C">
              <w:rPr>
                <w:rFonts w:cs="Arial"/>
                <w:sz w:val="21"/>
                <w:szCs w:val="21"/>
              </w:rPr>
              <w:t>3.60:1</w:t>
            </w:r>
          </w:p>
        </w:tc>
        <w:tc>
          <w:tcPr>
            <w:tcW w:w="5488" w:type="dxa"/>
            <w:noWrap/>
            <w:vAlign w:val="bottom"/>
            <w:hideMark/>
          </w:tcPr>
          <w:p w14:paraId="0193DF23" w14:textId="77777777" w:rsidR="00984941" w:rsidRPr="00392788" w:rsidRDefault="00984941" w:rsidP="00392788">
            <w:pPr>
              <w:rPr>
                <w:rFonts w:cs="Arial"/>
                <w:sz w:val="21"/>
                <w:szCs w:val="21"/>
              </w:rPr>
            </w:pPr>
          </w:p>
        </w:tc>
      </w:tr>
      <w:tr w:rsidR="00984941" w:rsidRPr="00392788" w14:paraId="36346F5A" w14:textId="77777777" w:rsidTr="00392788">
        <w:trPr>
          <w:trHeight w:hRule="exact" w:val="567"/>
        </w:trPr>
        <w:tc>
          <w:tcPr>
            <w:tcW w:w="2159" w:type="dxa"/>
            <w:vAlign w:val="bottom"/>
            <w:hideMark/>
          </w:tcPr>
          <w:p w14:paraId="4D4D7555" w14:textId="07DDBFC6" w:rsidR="00984941" w:rsidRPr="00657F18" w:rsidRDefault="00984941" w:rsidP="00657F18">
            <w:pPr>
              <w:rPr>
                <w:rFonts w:cs="Arial"/>
                <w:sz w:val="21"/>
                <w:szCs w:val="21"/>
              </w:rPr>
            </w:pPr>
            <w:r w:rsidRPr="00657F18">
              <w:rPr>
                <w:rFonts w:cs="Arial"/>
                <w:bCs/>
                <w:sz w:val="21"/>
                <w:szCs w:val="21"/>
              </w:rPr>
              <w:t>50%</w:t>
            </w:r>
          </w:p>
        </w:tc>
        <w:tc>
          <w:tcPr>
            <w:tcW w:w="2381" w:type="dxa"/>
            <w:vAlign w:val="bottom"/>
            <w:hideMark/>
          </w:tcPr>
          <w:p w14:paraId="2F9B261B" w14:textId="2A22E5A6" w:rsidR="00984941" w:rsidRPr="00392788" w:rsidRDefault="00984941" w:rsidP="00722F9C">
            <w:pPr>
              <w:rPr>
                <w:rFonts w:cs="Arial"/>
                <w:sz w:val="21"/>
                <w:szCs w:val="21"/>
              </w:rPr>
            </w:pPr>
            <w:r w:rsidRPr="00722F9C">
              <w:rPr>
                <w:rFonts w:cs="Arial"/>
                <w:bCs/>
                <w:sz w:val="21"/>
                <w:szCs w:val="21"/>
              </w:rPr>
              <w:t>4.49:1</w:t>
            </w:r>
          </w:p>
        </w:tc>
        <w:tc>
          <w:tcPr>
            <w:tcW w:w="5488" w:type="dxa"/>
            <w:noWrap/>
            <w:vAlign w:val="bottom"/>
            <w:hideMark/>
          </w:tcPr>
          <w:p w14:paraId="6E11A6AF" w14:textId="17D0E707" w:rsidR="00984941" w:rsidRPr="00392788" w:rsidRDefault="00984941" w:rsidP="00392788">
            <w:pPr>
              <w:rPr>
                <w:rFonts w:cs="Arial"/>
                <w:sz w:val="21"/>
                <w:szCs w:val="21"/>
              </w:rPr>
            </w:pPr>
            <w:r w:rsidRPr="00392788">
              <w:rPr>
                <w:rFonts w:cs="Arial"/>
                <w:bCs/>
                <w:sz w:val="21"/>
                <w:szCs w:val="21"/>
              </w:rPr>
              <w:t>Integrity of conclusions maintained</w:t>
            </w:r>
          </w:p>
        </w:tc>
      </w:tr>
      <w:tr w:rsidR="00984941" w:rsidRPr="00392788" w14:paraId="7036F2C6" w14:textId="77777777" w:rsidTr="00392788">
        <w:trPr>
          <w:trHeight w:hRule="exact" w:val="567"/>
        </w:trPr>
        <w:tc>
          <w:tcPr>
            <w:tcW w:w="2159" w:type="dxa"/>
            <w:vAlign w:val="bottom"/>
            <w:hideMark/>
          </w:tcPr>
          <w:p w14:paraId="44604FFA" w14:textId="25C5BBAC" w:rsidR="00984941" w:rsidRPr="00657F18" w:rsidRDefault="00984941" w:rsidP="00657F18">
            <w:pPr>
              <w:rPr>
                <w:rFonts w:cs="Arial"/>
                <w:sz w:val="21"/>
                <w:szCs w:val="21"/>
              </w:rPr>
            </w:pPr>
            <w:r w:rsidRPr="00657F18">
              <w:rPr>
                <w:rFonts w:cs="Arial"/>
                <w:bCs/>
                <w:sz w:val="21"/>
                <w:szCs w:val="21"/>
              </w:rPr>
              <w:t>60</w:t>
            </w:r>
          </w:p>
        </w:tc>
        <w:tc>
          <w:tcPr>
            <w:tcW w:w="2381" w:type="dxa"/>
            <w:vAlign w:val="bottom"/>
            <w:hideMark/>
          </w:tcPr>
          <w:p w14:paraId="3DE8F520" w14:textId="5B9ABB8C" w:rsidR="00984941" w:rsidRPr="00722F9C" w:rsidRDefault="00984941" w:rsidP="00722F9C">
            <w:pPr>
              <w:rPr>
                <w:rFonts w:cs="Arial"/>
                <w:sz w:val="21"/>
                <w:szCs w:val="21"/>
              </w:rPr>
            </w:pPr>
            <w:r w:rsidRPr="00722F9C">
              <w:rPr>
                <w:rFonts w:cs="Arial"/>
                <w:sz w:val="21"/>
                <w:szCs w:val="21"/>
              </w:rPr>
              <w:t>5.38:1</w:t>
            </w:r>
          </w:p>
        </w:tc>
        <w:tc>
          <w:tcPr>
            <w:tcW w:w="5488" w:type="dxa"/>
            <w:vAlign w:val="bottom"/>
            <w:hideMark/>
          </w:tcPr>
          <w:p w14:paraId="2D109528" w14:textId="77777777" w:rsidR="00984941" w:rsidRPr="00392788" w:rsidRDefault="00984941" w:rsidP="00392788">
            <w:pPr>
              <w:rPr>
                <w:rFonts w:cs="Arial"/>
                <w:sz w:val="21"/>
                <w:szCs w:val="21"/>
              </w:rPr>
            </w:pPr>
          </w:p>
        </w:tc>
      </w:tr>
      <w:tr w:rsidR="00984941" w:rsidRPr="00392788" w14:paraId="342DE991" w14:textId="77777777" w:rsidTr="00392788">
        <w:trPr>
          <w:trHeight w:hRule="exact" w:val="567"/>
        </w:trPr>
        <w:tc>
          <w:tcPr>
            <w:tcW w:w="2159" w:type="dxa"/>
            <w:shd w:val="clear" w:color="auto" w:fill="D9E2F3" w:themeFill="accent5" w:themeFillTint="33"/>
            <w:vAlign w:val="bottom"/>
            <w:hideMark/>
          </w:tcPr>
          <w:p w14:paraId="070C8E91" w14:textId="2CC295AE" w:rsidR="00984941" w:rsidRPr="00657F18" w:rsidRDefault="00984941" w:rsidP="00657F18">
            <w:pPr>
              <w:rPr>
                <w:rFonts w:cs="Arial"/>
                <w:sz w:val="21"/>
                <w:szCs w:val="21"/>
              </w:rPr>
            </w:pPr>
            <w:r w:rsidRPr="00657F18">
              <w:rPr>
                <w:rFonts w:cs="Arial"/>
                <w:b/>
                <w:bCs/>
                <w:sz w:val="21"/>
                <w:szCs w:val="21"/>
              </w:rPr>
              <w:t>65%</w:t>
            </w:r>
          </w:p>
        </w:tc>
        <w:tc>
          <w:tcPr>
            <w:tcW w:w="2381" w:type="dxa"/>
            <w:shd w:val="clear" w:color="auto" w:fill="D9E2F3" w:themeFill="accent5" w:themeFillTint="33"/>
            <w:vAlign w:val="bottom"/>
            <w:hideMark/>
          </w:tcPr>
          <w:p w14:paraId="07C6153D" w14:textId="33BF01B6" w:rsidR="00984941" w:rsidRPr="00392788" w:rsidRDefault="00984941" w:rsidP="00722F9C">
            <w:pPr>
              <w:rPr>
                <w:rFonts w:cs="Arial"/>
                <w:sz w:val="21"/>
                <w:szCs w:val="21"/>
              </w:rPr>
            </w:pPr>
            <w:r w:rsidRPr="00722F9C">
              <w:rPr>
                <w:rFonts w:cs="Arial"/>
                <w:b/>
                <w:bCs/>
                <w:sz w:val="21"/>
                <w:szCs w:val="21"/>
              </w:rPr>
              <w:t>5.83:1</w:t>
            </w:r>
          </w:p>
        </w:tc>
        <w:tc>
          <w:tcPr>
            <w:tcW w:w="5488" w:type="dxa"/>
            <w:shd w:val="clear" w:color="auto" w:fill="D9E2F3" w:themeFill="accent5" w:themeFillTint="33"/>
            <w:vAlign w:val="bottom"/>
            <w:hideMark/>
          </w:tcPr>
          <w:p w14:paraId="5529805A" w14:textId="41B16F52" w:rsidR="00984941" w:rsidRPr="00392788" w:rsidRDefault="00984941" w:rsidP="00392788">
            <w:pPr>
              <w:rPr>
                <w:rFonts w:cs="Arial"/>
                <w:sz w:val="21"/>
                <w:szCs w:val="21"/>
              </w:rPr>
            </w:pPr>
            <w:r w:rsidRPr="00392788">
              <w:rPr>
                <w:rFonts w:cs="Arial"/>
                <w:b/>
                <w:bCs/>
                <w:sz w:val="21"/>
                <w:szCs w:val="21"/>
              </w:rPr>
              <w:t>Assumption used in this evaluation</w:t>
            </w:r>
          </w:p>
        </w:tc>
      </w:tr>
      <w:tr w:rsidR="00984941" w:rsidRPr="00392788" w14:paraId="2C474346" w14:textId="77777777" w:rsidTr="00392788">
        <w:trPr>
          <w:trHeight w:hRule="exact" w:val="567"/>
        </w:trPr>
        <w:tc>
          <w:tcPr>
            <w:tcW w:w="2159" w:type="dxa"/>
            <w:vAlign w:val="bottom"/>
            <w:hideMark/>
          </w:tcPr>
          <w:p w14:paraId="60663697" w14:textId="112C4224" w:rsidR="00984941" w:rsidRPr="00657F18" w:rsidRDefault="00984941" w:rsidP="00657F18">
            <w:pPr>
              <w:rPr>
                <w:rFonts w:cs="Arial"/>
                <w:b/>
                <w:bCs/>
                <w:sz w:val="21"/>
                <w:szCs w:val="21"/>
              </w:rPr>
            </w:pPr>
            <w:r w:rsidRPr="00657F18">
              <w:rPr>
                <w:rFonts w:cs="Arial"/>
                <w:bCs/>
                <w:sz w:val="21"/>
                <w:szCs w:val="21"/>
              </w:rPr>
              <w:t>70</w:t>
            </w:r>
          </w:p>
        </w:tc>
        <w:tc>
          <w:tcPr>
            <w:tcW w:w="2381" w:type="dxa"/>
            <w:vAlign w:val="bottom"/>
            <w:hideMark/>
          </w:tcPr>
          <w:p w14:paraId="4C4933AB" w14:textId="0648C890" w:rsidR="00984941" w:rsidRPr="00392788" w:rsidRDefault="00984941" w:rsidP="00722F9C">
            <w:pPr>
              <w:rPr>
                <w:rFonts w:cs="Arial"/>
                <w:b/>
                <w:bCs/>
                <w:sz w:val="21"/>
                <w:szCs w:val="21"/>
              </w:rPr>
            </w:pPr>
            <w:r w:rsidRPr="00722F9C">
              <w:rPr>
                <w:rFonts w:cs="Arial"/>
                <w:sz w:val="21"/>
                <w:szCs w:val="21"/>
              </w:rPr>
              <w:t>6.28:1</w:t>
            </w:r>
          </w:p>
        </w:tc>
        <w:tc>
          <w:tcPr>
            <w:tcW w:w="5488" w:type="dxa"/>
            <w:vAlign w:val="bottom"/>
            <w:hideMark/>
          </w:tcPr>
          <w:p w14:paraId="2F5007C8" w14:textId="3142FEDA" w:rsidR="00984941" w:rsidRPr="00392788" w:rsidRDefault="00984941" w:rsidP="00392788">
            <w:pPr>
              <w:rPr>
                <w:rFonts w:cs="Arial"/>
                <w:b/>
                <w:bCs/>
                <w:sz w:val="21"/>
                <w:szCs w:val="21"/>
              </w:rPr>
            </w:pPr>
          </w:p>
        </w:tc>
      </w:tr>
      <w:tr w:rsidR="00984941" w:rsidRPr="00392788" w14:paraId="44AF493C" w14:textId="77777777" w:rsidTr="00392788">
        <w:trPr>
          <w:trHeight w:hRule="exact" w:val="567"/>
        </w:trPr>
        <w:tc>
          <w:tcPr>
            <w:tcW w:w="2159" w:type="dxa"/>
            <w:vAlign w:val="bottom"/>
            <w:hideMark/>
          </w:tcPr>
          <w:p w14:paraId="44EC9013" w14:textId="5D6A187F" w:rsidR="00984941" w:rsidRPr="00657F18" w:rsidRDefault="00984941" w:rsidP="00657F18">
            <w:pPr>
              <w:rPr>
                <w:rStyle w:val="Strong"/>
                <w:rFonts w:cs="Arial"/>
                <w:sz w:val="21"/>
                <w:szCs w:val="21"/>
              </w:rPr>
            </w:pPr>
            <w:r w:rsidRPr="00657F18">
              <w:rPr>
                <w:rStyle w:val="Strong"/>
                <w:rFonts w:cs="Arial"/>
                <w:sz w:val="21"/>
                <w:szCs w:val="21"/>
              </w:rPr>
              <w:t>75%</w:t>
            </w:r>
          </w:p>
        </w:tc>
        <w:tc>
          <w:tcPr>
            <w:tcW w:w="2381" w:type="dxa"/>
            <w:vAlign w:val="bottom"/>
            <w:hideMark/>
          </w:tcPr>
          <w:p w14:paraId="425FF2DB" w14:textId="49033185" w:rsidR="00984941" w:rsidRPr="00722F9C" w:rsidRDefault="00984941" w:rsidP="00722F9C">
            <w:pPr>
              <w:rPr>
                <w:rStyle w:val="Strong"/>
                <w:rFonts w:cs="Arial"/>
                <w:sz w:val="21"/>
                <w:szCs w:val="21"/>
              </w:rPr>
            </w:pPr>
            <w:r w:rsidRPr="00722F9C">
              <w:rPr>
                <w:rStyle w:val="Strong"/>
                <w:rFonts w:cs="Arial"/>
                <w:sz w:val="21"/>
                <w:szCs w:val="21"/>
              </w:rPr>
              <w:t>6.73:1</w:t>
            </w:r>
          </w:p>
        </w:tc>
        <w:tc>
          <w:tcPr>
            <w:tcW w:w="5488" w:type="dxa"/>
            <w:vAlign w:val="bottom"/>
            <w:hideMark/>
          </w:tcPr>
          <w:p w14:paraId="75F4A01C" w14:textId="1A8FA6FE" w:rsidR="00984941" w:rsidRPr="00392788" w:rsidRDefault="00984941" w:rsidP="00392788">
            <w:pPr>
              <w:rPr>
                <w:rStyle w:val="Strong"/>
                <w:rFonts w:cs="Arial"/>
                <w:sz w:val="21"/>
                <w:szCs w:val="21"/>
              </w:rPr>
            </w:pPr>
            <w:r w:rsidRPr="00392788">
              <w:rPr>
                <w:rStyle w:val="Strong"/>
                <w:rFonts w:cs="Arial"/>
                <w:sz w:val="21"/>
                <w:szCs w:val="21"/>
              </w:rPr>
              <w:t>Additional $300 million gross benefit gained</w:t>
            </w:r>
          </w:p>
        </w:tc>
      </w:tr>
      <w:tr w:rsidR="00984941" w:rsidRPr="00392788" w14:paraId="1440DC56" w14:textId="77777777" w:rsidTr="00392788">
        <w:trPr>
          <w:trHeight w:hRule="exact" w:val="567"/>
        </w:trPr>
        <w:tc>
          <w:tcPr>
            <w:tcW w:w="2159" w:type="dxa"/>
            <w:vAlign w:val="bottom"/>
            <w:hideMark/>
          </w:tcPr>
          <w:p w14:paraId="13994E67" w14:textId="47FDA342" w:rsidR="00984941" w:rsidRPr="00657F18" w:rsidRDefault="00984941" w:rsidP="00657F18">
            <w:pPr>
              <w:rPr>
                <w:rFonts w:cs="Arial"/>
                <w:b/>
                <w:bCs/>
                <w:sz w:val="21"/>
                <w:szCs w:val="21"/>
              </w:rPr>
            </w:pPr>
            <w:r w:rsidRPr="00657F18">
              <w:rPr>
                <w:rFonts w:cs="Arial"/>
                <w:bCs/>
                <w:sz w:val="21"/>
                <w:szCs w:val="21"/>
              </w:rPr>
              <w:t>80</w:t>
            </w:r>
          </w:p>
        </w:tc>
        <w:tc>
          <w:tcPr>
            <w:tcW w:w="2381" w:type="dxa"/>
            <w:vAlign w:val="bottom"/>
            <w:hideMark/>
          </w:tcPr>
          <w:p w14:paraId="7B618375" w14:textId="3718662D" w:rsidR="00984941" w:rsidRPr="00392788" w:rsidRDefault="00984941" w:rsidP="00722F9C">
            <w:pPr>
              <w:rPr>
                <w:rFonts w:cs="Arial"/>
                <w:b/>
                <w:bCs/>
                <w:sz w:val="21"/>
                <w:szCs w:val="21"/>
              </w:rPr>
            </w:pPr>
            <w:r w:rsidRPr="00722F9C">
              <w:rPr>
                <w:rFonts w:cs="Arial"/>
                <w:sz w:val="21"/>
                <w:szCs w:val="21"/>
              </w:rPr>
              <w:t>7.18:1</w:t>
            </w:r>
          </w:p>
        </w:tc>
        <w:tc>
          <w:tcPr>
            <w:tcW w:w="5488" w:type="dxa"/>
            <w:vAlign w:val="bottom"/>
            <w:hideMark/>
          </w:tcPr>
          <w:p w14:paraId="66FD08A0" w14:textId="3E149EC5" w:rsidR="00984941" w:rsidRPr="00392788" w:rsidRDefault="00984941" w:rsidP="00392788">
            <w:pPr>
              <w:rPr>
                <w:rFonts w:cs="Arial"/>
                <w:b/>
                <w:bCs/>
                <w:sz w:val="21"/>
                <w:szCs w:val="21"/>
              </w:rPr>
            </w:pPr>
          </w:p>
        </w:tc>
      </w:tr>
      <w:tr w:rsidR="00984941" w:rsidRPr="00392788" w14:paraId="27FC2B6E" w14:textId="77777777" w:rsidTr="00392788">
        <w:trPr>
          <w:trHeight w:hRule="exact" w:val="567"/>
        </w:trPr>
        <w:tc>
          <w:tcPr>
            <w:tcW w:w="2159" w:type="dxa"/>
            <w:vAlign w:val="bottom"/>
            <w:hideMark/>
          </w:tcPr>
          <w:p w14:paraId="4CC64441" w14:textId="00C7F3B9" w:rsidR="00984941" w:rsidRPr="00657F18" w:rsidRDefault="00984941" w:rsidP="00657F18">
            <w:pPr>
              <w:rPr>
                <w:rFonts w:cs="Arial"/>
                <w:sz w:val="21"/>
                <w:szCs w:val="21"/>
              </w:rPr>
            </w:pPr>
            <w:r w:rsidRPr="00657F18">
              <w:rPr>
                <w:rFonts w:cs="Arial"/>
                <w:bCs/>
                <w:sz w:val="21"/>
                <w:szCs w:val="21"/>
              </w:rPr>
              <w:t>90</w:t>
            </w:r>
          </w:p>
        </w:tc>
        <w:tc>
          <w:tcPr>
            <w:tcW w:w="2381" w:type="dxa"/>
            <w:vAlign w:val="bottom"/>
            <w:hideMark/>
          </w:tcPr>
          <w:p w14:paraId="6D355617" w14:textId="7E495484" w:rsidR="00984941" w:rsidRPr="00722F9C" w:rsidRDefault="00984941" w:rsidP="00722F9C">
            <w:pPr>
              <w:rPr>
                <w:rFonts w:cs="Arial"/>
                <w:sz w:val="21"/>
                <w:szCs w:val="21"/>
              </w:rPr>
            </w:pPr>
            <w:r w:rsidRPr="00722F9C">
              <w:rPr>
                <w:rFonts w:cs="Arial"/>
                <w:sz w:val="21"/>
                <w:szCs w:val="21"/>
              </w:rPr>
              <w:t>8.09:1</w:t>
            </w:r>
          </w:p>
        </w:tc>
        <w:tc>
          <w:tcPr>
            <w:tcW w:w="5488" w:type="dxa"/>
            <w:noWrap/>
            <w:vAlign w:val="bottom"/>
            <w:hideMark/>
          </w:tcPr>
          <w:p w14:paraId="3234A073" w14:textId="77777777" w:rsidR="00984941" w:rsidRPr="00392788" w:rsidRDefault="00984941" w:rsidP="00392788">
            <w:pPr>
              <w:rPr>
                <w:rFonts w:cs="Arial"/>
                <w:sz w:val="21"/>
                <w:szCs w:val="21"/>
              </w:rPr>
            </w:pPr>
          </w:p>
        </w:tc>
      </w:tr>
      <w:tr w:rsidR="00984941" w:rsidRPr="00392788" w14:paraId="54B23677" w14:textId="77777777" w:rsidTr="00392788">
        <w:trPr>
          <w:trHeight w:hRule="exact" w:val="567"/>
        </w:trPr>
        <w:tc>
          <w:tcPr>
            <w:tcW w:w="2159" w:type="dxa"/>
            <w:vAlign w:val="bottom"/>
            <w:hideMark/>
          </w:tcPr>
          <w:p w14:paraId="324A1501" w14:textId="537A74F6" w:rsidR="00984941" w:rsidRPr="00657F18" w:rsidRDefault="00984941" w:rsidP="00657F18">
            <w:pPr>
              <w:rPr>
                <w:rFonts w:cs="Arial"/>
                <w:sz w:val="21"/>
                <w:szCs w:val="21"/>
              </w:rPr>
            </w:pPr>
            <w:r w:rsidRPr="00657F18">
              <w:rPr>
                <w:rFonts w:cs="Arial"/>
                <w:sz w:val="21"/>
                <w:szCs w:val="21"/>
              </w:rPr>
              <w:t>100</w:t>
            </w:r>
          </w:p>
        </w:tc>
        <w:tc>
          <w:tcPr>
            <w:tcW w:w="2381" w:type="dxa"/>
            <w:vAlign w:val="bottom"/>
            <w:hideMark/>
          </w:tcPr>
          <w:p w14:paraId="5F149B2B" w14:textId="5DBDDEEA" w:rsidR="00984941" w:rsidRPr="00722F9C" w:rsidRDefault="00984941" w:rsidP="00722F9C">
            <w:pPr>
              <w:rPr>
                <w:rFonts w:cs="Arial"/>
                <w:sz w:val="21"/>
                <w:szCs w:val="21"/>
              </w:rPr>
            </w:pPr>
            <w:r w:rsidRPr="00722F9C">
              <w:rPr>
                <w:rFonts w:cs="Arial"/>
                <w:sz w:val="21"/>
                <w:szCs w:val="21"/>
              </w:rPr>
              <w:t>9.00:1</w:t>
            </w:r>
          </w:p>
        </w:tc>
        <w:tc>
          <w:tcPr>
            <w:tcW w:w="5488" w:type="dxa"/>
            <w:vAlign w:val="bottom"/>
            <w:hideMark/>
          </w:tcPr>
          <w:p w14:paraId="3491B3F9" w14:textId="2AFE0494" w:rsidR="00984941" w:rsidRPr="00657F18" w:rsidRDefault="00984941" w:rsidP="00392788">
            <w:pPr>
              <w:rPr>
                <w:rFonts w:cs="Arial"/>
                <w:sz w:val="21"/>
                <w:szCs w:val="21"/>
              </w:rPr>
            </w:pPr>
            <w:r w:rsidRPr="00392788">
              <w:rPr>
                <w:rFonts w:cs="Arial"/>
                <w:sz w:val="21"/>
                <w:szCs w:val="21"/>
              </w:rPr>
              <w:t>Assumption used in similar evaluations</w:t>
            </w:r>
            <w:r w:rsidR="00C42FCD" w:rsidRPr="00657F18">
              <w:rPr>
                <w:rStyle w:val="FootnoteReference"/>
                <w:rFonts w:cs="Arial"/>
                <w:sz w:val="21"/>
                <w:szCs w:val="21"/>
              </w:rPr>
              <w:footnoteReference w:id="24"/>
            </w:r>
          </w:p>
        </w:tc>
      </w:tr>
    </w:tbl>
    <w:p w14:paraId="71B9B0E9" w14:textId="231F8D35" w:rsidR="0032239A" w:rsidRDefault="0032239A">
      <w:pPr>
        <w:spacing w:before="0" w:after="200" w:line="276" w:lineRule="auto"/>
        <w:rPr>
          <w:rFonts w:eastAsiaTheme="majorEastAsia" w:cstheme="majorBidi"/>
          <w:b/>
          <w:bCs/>
          <w:color w:val="8EAADB" w:themeColor="accent5" w:themeTint="99"/>
          <w:sz w:val="36"/>
          <w:szCs w:val="26"/>
        </w:rPr>
      </w:pPr>
      <w:r>
        <w:br w:type="page"/>
      </w:r>
    </w:p>
    <w:p w14:paraId="088B5951" w14:textId="6DEF09AF" w:rsidR="00760755" w:rsidRDefault="0045559E" w:rsidP="00760755">
      <w:pPr>
        <w:pStyle w:val="Heading2"/>
      </w:pPr>
      <w:bookmarkStart w:id="82" w:name="_Toc487184530"/>
      <w:r>
        <w:lastRenderedPageBreak/>
        <w:t>Case study results</w:t>
      </w:r>
      <w:bookmarkEnd w:id="82"/>
    </w:p>
    <w:p w14:paraId="1F567742" w14:textId="3108EE99" w:rsidR="00760755" w:rsidRPr="00F074A5" w:rsidRDefault="00760755" w:rsidP="00392788">
      <w:pPr>
        <w:pStyle w:val="Commissionbodytext"/>
      </w:pPr>
      <w:r w:rsidRPr="00B11B74">
        <w:t xml:space="preserve">A brief summary of the results for each case study </w:t>
      </w:r>
      <w:r w:rsidR="00487E4C">
        <w:t>n</w:t>
      </w:r>
      <w:r w:rsidRPr="00B11B74">
        <w:t xml:space="preserve">etwork is presented here. </w:t>
      </w:r>
      <w:r w:rsidR="005B6722" w:rsidRPr="00B11B74">
        <w:t>N</w:t>
      </w:r>
      <w:r w:rsidRPr="00B11B74">
        <w:t>etwork profile</w:t>
      </w:r>
      <w:r w:rsidR="005B6722" w:rsidRPr="00B11B74">
        <w:t>s</w:t>
      </w:r>
      <w:r w:rsidRPr="00B11B74">
        <w:t xml:space="preserve"> and more detail</w:t>
      </w:r>
      <w:r w:rsidR="00B11B74">
        <w:t xml:space="preserve">ed presentations </w:t>
      </w:r>
      <w:r w:rsidRPr="00F074A5">
        <w:t xml:space="preserve">of each case study analysis </w:t>
      </w:r>
      <w:r w:rsidR="005B6722" w:rsidRPr="00F074A5">
        <w:t>are</w:t>
      </w:r>
      <w:r w:rsidRPr="00F074A5">
        <w:t xml:space="preserve"> provided in </w:t>
      </w:r>
      <w:r w:rsidR="00B23421" w:rsidRPr="00F074A5">
        <w:t>Appendix A.</w:t>
      </w:r>
    </w:p>
    <w:p w14:paraId="32447EAA" w14:textId="51BAC3B1" w:rsidR="0045559E" w:rsidRPr="007137BA" w:rsidRDefault="0045559E" w:rsidP="0045559E">
      <w:pPr>
        <w:pStyle w:val="Heading3"/>
      </w:pPr>
      <w:r>
        <w:t>Case Study 1</w:t>
      </w:r>
      <w:r w:rsidR="00B23421">
        <w:t>:</w:t>
      </w:r>
      <w:r>
        <w:t xml:space="preserve"> Trials in stroke care and prevention </w:t>
      </w:r>
    </w:p>
    <w:p w14:paraId="672ABEAF" w14:textId="264D5F08" w:rsidR="00760755" w:rsidRDefault="00DD0B97" w:rsidP="00392788">
      <w:pPr>
        <w:pStyle w:val="Commissionbodytext"/>
      </w:pPr>
      <w:r>
        <w:t xml:space="preserve">Seven </w:t>
      </w:r>
      <w:r w:rsidR="007137BA">
        <w:t xml:space="preserve">late-phase investigator-initiated </w:t>
      </w:r>
      <w:r w:rsidR="005F1A34">
        <w:t>trials</w:t>
      </w:r>
      <w:r w:rsidR="007137BA">
        <w:t xml:space="preserve"> conducted by the </w:t>
      </w:r>
      <w:r>
        <w:t xml:space="preserve">ASTN </w:t>
      </w:r>
      <w:r w:rsidR="007137BA">
        <w:t>were included in the analysis.</w:t>
      </w:r>
      <w:r w:rsidR="00001CAE">
        <w:t xml:space="preserve"> </w:t>
      </w:r>
      <w:r w:rsidR="00001CAE">
        <w:fldChar w:fldCharType="begin"/>
      </w:r>
      <w:r w:rsidR="00001CAE">
        <w:instrText xml:space="preserve"> REF _Ref479176908 \h </w:instrText>
      </w:r>
      <w:r w:rsidR="007374E6">
        <w:instrText xml:space="preserve"> \* MERGEFORMAT </w:instrText>
      </w:r>
      <w:r w:rsidR="00001CAE">
        <w:fldChar w:fldCharType="separate"/>
      </w:r>
      <w:r w:rsidR="007B3054">
        <w:t xml:space="preserve">Table </w:t>
      </w:r>
      <w:r w:rsidR="007B3054">
        <w:rPr>
          <w:noProof/>
        </w:rPr>
        <w:t>9</w:t>
      </w:r>
      <w:r w:rsidR="00001CAE">
        <w:fldChar w:fldCharType="end"/>
      </w:r>
      <w:r w:rsidR="00001CAE">
        <w:t xml:space="preserve"> </w:t>
      </w:r>
      <w:r w:rsidR="007137BA">
        <w:t xml:space="preserve">provides a summary of </w:t>
      </w:r>
      <w:r w:rsidR="00F609EF">
        <w:t>the</w:t>
      </w:r>
      <w:r w:rsidR="007137BA">
        <w:t xml:space="preserve"> main findings</w:t>
      </w:r>
      <w:r w:rsidR="00F609EF">
        <w:t xml:space="preserve"> of each trial</w:t>
      </w:r>
      <w:r w:rsidR="007137BA">
        <w:t xml:space="preserve"> and the clinical context used to assess</w:t>
      </w:r>
      <w:r w:rsidR="00AC0148">
        <w:t xml:space="preserve"> benefit</w:t>
      </w:r>
      <w:r w:rsidR="00466BF7">
        <w:t>s</w:t>
      </w:r>
      <w:r w:rsidR="00AC0148">
        <w:t>.</w:t>
      </w:r>
      <w:r>
        <w:t xml:space="preserve"> </w:t>
      </w:r>
    </w:p>
    <w:p w14:paraId="76262BB4" w14:textId="77777777" w:rsidR="007374E6" w:rsidRDefault="007374E6" w:rsidP="00392788">
      <w:pPr>
        <w:pStyle w:val="Commissionbodytext"/>
      </w:pPr>
    </w:p>
    <w:p w14:paraId="3CC790F0" w14:textId="01AB51A8" w:rsidR="00D31E80" w:rsidRDefault="00F4739E" w:rsidP="00392788">
      <w:pPr>
        <w:pStyle w:val="Commissionbodytext"/>
      </w:pPr>
      <w:r>
        <w:t>A consolidated gross benefit of $1 billion was estimated, of which approximately 23% ($230</w:t>
      </w:r>
      <w:r w:rsidR="00046EB8">
        <w:t xml:space="preserve"> </w:t>
      </w:r>
      <w:r>
        <w:t>m</w:t>
      </w:r>
      <w:r w:rsidR="00046EB8">
        <w:t>illion</w:t>
      </w:r>
      <w:r>
        <w:t>) was derived from avoide</w:t>
      </w:r>
      <w:r w:rsidR="000A1344">
        <w:t>d direct service costs (</w:t>
      </w:r>
      <w:r w:rsidR="00D05771">
        <w:fldChar w:fldCharType="begin"/>
      </w:r>
      <w:r w:rsidR="00D05771">
        <w:instrText xml:space="preserve"> REF _Ref475267671 \h </w:instrText>
      </w:r>
      <w:r w:rsidR="007374E6">
        <w:instrText xml:space="preserve"> \* MERGEFORMAT </w:instrText>
      </w:r>
      <w:r w:rsidR="00D05771">
        <w:fldChar w:fldCharType="separate"/>
      </w:r>
      <w:r w:rsidR="007B3054">
        <w:t xml:space="preserve">Figure </w:t>
      </w:r>
      <w:r w:rsidR="007B3054">
        <w:rPr>
          <w:noProof/>
        </w:rPr>
        <w:t>6</w:t>
      </w:r>
      <w:r w:rsidR="00D05771">
        <w:fldChar w:fldCharType="end"/>
      </w:r>
      <w:r>
        <w:t>)</w:t>
      </w:r>
      <w:r w:rsidR="00D05771">
        <w:t xml:space="preserve">. </w:t>
      </w:r>
      <w:r>
        <w:t>Total costs amounted to $106 million, which included funding for the trials analysed ($25</w:t>
      </w:r>
      <w:r w:rsidR="00046EB8">
        <w:t xml:space="preserve"> </w:t>
      </w:r>
      <w:r>
        <w:t>m</w:t>
      </w:r>
      <w:r w:rsidR="00046EB8">
        <w:t>illion</w:t>
      </w:r>
      <w:r>
        <w:t>, of which $19</w:t>
      </w:r>
      <w:r w:rsidR="00046EB8">
        <w:t xml:space="preserve"> </w:t>
      </w:r>
      <w:r>
        <w:t>m</w:t>
      </w:r>
      <w:r w:rsidR="00046EB8">
        <w:t>illion</w:t>
      </w:r>
      <w:r>
        <w:t xml:space="preserve"> was NHMRC funding), funding for all other studies conducted by the ASTN between 2004</w:t>
      </w:r>
      <w:r w:rsidR="00DF110B">
        <w:t xml:space="preserve"> and</w:t>
      </w:r>
      <w:r w:rsidR="007374E6">
        <w:t xml:space="preserve"> </w:t>
      </w:r>
      <w:r w:rsidR="00DF110B">
        <w:t>20</w:t>
      </w:r>
      <w:r>
        <w:t>14 ($55</w:t>
      </w:r>
      <w:r w:rsidR="00046EB8">
        <w:t xml:space="preserve"> </w:t>
      </w:r>
      <w:r>
        <w:t>m</w:t>
      </w:r>
      <w:r w:rsidR="00046EB8">
        <w:t>illion</w:t>
      </w:r>
      <w:r>
        <w:t xml:space="preserve">), </w:t>
      </w:r>
      <w:r w:rsidR="00466BF7">
        <w:t>trial</w:t>
      </w:r>
      <w:r w:rsidR="00F431B9">
        <w:t xml:space="preserve"> </w:t>
      </w:r>
      <w:r w:rsidR="00466BF7">
        <w:t>coordinating centre costs ($24.1</w:t>
      </w:r>
      <w:r w:rsidR="007374E6">
        <w:t xml:space="preserve"> </w:t>
      </w:r>
      <w:r w:rsidR="00466BF7">
        <w:t>m</w:t>
      </w:r>
      <w:r w:rsidR="00046EB8">
        <w:t>illion</w:t>
      </w:r>
      <w:r w:rsidR="00466BF7">
        <w:t xml:space="preserve">), </w:t>
      </w:r>
      <w:r>
        <w:t>lifetime central network funding ($0.2</w:t>
      </w:r>
      <w:r w:rsidR="00046EB8">
        <w:t xml:space="preserve"> </w:t>
      </w:r>
      <w:r>
        <w:t>m</w:t>
      </w:r>
      <w:r w:rsidR="00046EB8">
        <w:t>illion</w:t>
      </w:r>
      <w:r>
        <w:t xml:space="preserve">) and </w:t>
      </w:r>
      <w:r w:rsidR="00F93841">
        <w:br/>
      </w:r>
      <w:r>
        <w:t>in-kind support ($1.1</w:t>
      </w:r>
      <w:r w:rsidR="00046EB8">
        <w:t xml:space="preserve"> </w:t>
      </w:r>
      <w:r>
        <w:t>m</w:t>
      </w:r>
      <w:r w:rsidR="00046EB8">
        <w:t>illion</w:t>
      </w:r>
      <w:r>
        <w:t xml:space="preserve">). </w:t>
      </w:r>
    </w:p>
    <w:p w14:paraId="4E5F04C2" w14:textId="7D6CEA24" w:rsidR="00F4739E" w:rsidRDefault="00095A7C" w:rsidP="005A6152">
      <w:pPr>
        <w:pStyle w:val="Caption"/>
      </w:pPr>
      <w:r>
        <w:br/>
      </w:r>
      <w:bookmarkStart w:id="83" w:name="_Ref475267671"/>
      <w:bookmarkStart w:id="84" w:name="_Toc482629537"/>
      <w:r w:rsidR="00D31E80">
        <w:t xml:space="preserve">Figure </w:t>
      </w:r>
      <w:fldSimple w:instr=" SEQ Figure \* ARABIC ">
        <w:r w:rsidR="007B3054">
          <w:rPr>
            <w:noProof/>
          </w:rPr>
          <w:t>6</w:t>
        </w:r>
      </w:fldSimple>
      <w:bookmarkEnd w:id="83"/>
      <w:r w:rsidR="00D31E80">
        <w:t xml:space="preserve">. </w:t>
      </w:r>
      <w:r w:rsidR="005A6152">
        <w:t>B</w:t>
      </w:r>
      <w:r w:rsidR="00F4739E">
        <w:t xml:space="preserve">enefits and costs </w:t>
      </w:r>
      <w:r w:rsidR="005A6152">
        <w:t xml:space="preserve">for trials </w:t>
      </w:r>
      <w:r w:rsidR="00F4739E">
        <w:t>conducted by the ASTN</w:t>
      </w:r>
      <w:bookmarkEnd w:id="84"/>
    </w:p>
    <w:p w14:paraId="63102B38" w14:textId="5F9C4642" w:rsidR="008721D4" w:rsidRPr="008721D4" w:rsidRDefault="00A82D64" w:rsidP="008721D4">
      <w:r>
        <w:rPr>
          <w:noProof/>
          <w:lang w:val="en-AU" w:eastAsia="en-AU"/>
        </w:rPr>
        <w:drawing>
          <wp:inline distT="0" distB="0" distL="0" distR="0" wp14:anchorId="57B46607" wp14:editId="00D70A1A">
            <wp:extent cx="5652135" cy="3415810"/>
            <wp:effectExtent l="0" t="0" r="0" b="0"/>
            <wp:docPr id="27" name="Picture 27" descr="Two adjacent pie charts. The left shows the breakdown of gross benefits derrived from ASTN trials with approx 3/4 arising through better health outcomes. The right shows the breakdown of costs incurred by the ASTN with approximately 1/4 in in-kind support, 1/4 in trial coordinating centre costs and half in direct trial costs." title="Benefits and costs for trials conducted by the AS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STN.png"/>
                    <pic:cNvPicPr/>
                  </pic:nvPicPr>
                  <pic:blipFill>
                    <a:blip r:embed="rId27">
                      <a:extLst>
                        <a:ext uri="{28A0092B-C50C-407E-A947-70E740481C1C}">
                          <a14:useLocalDpi xmlns:a14="http://schemas.microsoft.com/office/drawing/2010/main" val="0"/>
                        </a:ext>
                      </a:extLst>
                    </a:blip>
                    <a:stretch>
                      <a:fillRect/>
                    </a:stretch>
                  </pic:blipFill>
                  <pic:spPr>
                    <a:xfrm>
                      <a:off x="0" y="0"/>
                      <a:ext cx="5683605" cy="3434829"/>
                    </a:xfrm>
                    <a:prstGeom prst="rect">
                      <a:avLst/>
                    </a:prstGeom>
                  </pic:spPr>
                </pic:pic>
              </a:graphicData>
            </a:graphic>
          </wp:inline>
        </w:drawing>
      </w:r>
    </w:p>
    <w:p w14:paraId="24A263B1" w14:textId="77777777" w:rsidR="008721D4" w:rsidRPr="00392788" w:rsidRDefault="008721D4" w:rsidP="008721D4">
      <w:pPr>
        <w:pStyle w:val="IntenseQuote"/>
        <w:jc w:val="center"/>
        <w:rPr>
          <w:rFonts w:ascii="Arial" w:hAnsi="Arial" w:cs="Arial"/>
          <w:color w:val="auto"/>
        </w:rPr>
      </w:pPr>
      <w:r w:rsidRPr="00392788">
        <w:rPr>
          <w:rFonts w:ascii="Arial" w:hAnsi="Arial" w:cs="Arial"/>
        </w:rPr>
        <w:t>The benefit to cost ratio for the ASTN was 9.5:1</w:t>
      </w:r>
    </w:p>
    <w:p w14:paraId="4F3B5C9F" w14:textId="77777777" w:rsidR="006E10BB" w:rsidRDefault="006E10BB">
      <w:pPr>
        <w:spacing w:before="0" w:after="200" w:line="276" w:lineRule="auto"/>
        <w:rPr>
          <w:rFonts w:eastAsiaTheme="minorEastAsia"/>
          <w:b/>
          <w:bCs/>
          <w:color w:val="2F5496" w:themeColor="accent5" w:themeShade="BF"/>
          <w:spacing w:val="6"/>
          <w:szCs w:val="18"/>
          <w:lang w:bidi="hi-IN"/>
        </w:rPr>
      </w:pPr>
      <w:bookmarkStart w:id="85" w:name="_Ref475268909"/>
      <w:bookmarkStart w:id="86" w:name="_Ref475277060"/>
      <w:r>
        <w:br w:type="page"/>
      </w:r>
    </w:p>
    <w:p w14:paraId="52A3C37B" w14:textId="6E8BBFDF" w:rsidR="00F609EF" w:rsidRPr="00F609EF" w:rsidRDefault="00D05771" w:rsidP="00AC457A">
      <w:pPr>
        <w:pStyle w:val="Caption"/>
        <w:rPr>
          <w:rStyle w:val="Strong"/>
        </w:rPr>
      </w:pPr>
      <w:bookmarkStart w:id="87" w:name="_Ref479176908"/>
      <w:bookmarkStart w:id="88" w:name="_Toc479177732"/>
      <w:r>
        <w:lastRenderedPageBreak/>
        <w:t>Table</w:t>
      </w:r>
      <w:bookmarkEnd w:id="85"/>
      <w:r>
        <w:t xml:space="preserve"> </w:t>
      </w:r>
      <w:fldSimple w:instr=" SEQ Table \* ARABIC ">
        <w:r w:rsidR="007B3054">
          <w:rPr>
            <w:noProof/>
          </w:rPr>
          <w:t>9</w:t>
        </w:r>
      </w:fldSimple>
      <w:bookmarkEnd w:id="86"/>
      <w:bookmarkEnd w:id="87"/>
      <w:r>
        <w:t xml:space="preserve">. </w:t>
      </w:r>
      <w:r w:rsidRPr="00357D7C">
        <w:t>Summary of main findings and clinical context for ASTN trials</w:t>
      </w:r>
      <w:bookmarkEnd w:id="88"/>
    </w:p>
    <w:tbl>
      <w:tblPr>
        <w:tblW w:w="972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CellMar>
          <w:left w:w="0" w:type="dxa"/>
          <w:right w:w="0" w:type="dxa"/>
        </w:tblCellMar>
        <w:tblLook w:val="0420" w:firstRow="1" w:lastRow="0" w:firstColumn="0" w:lastColumn="0" w:noHBand="0" w:noVBand="1"/>
      </w:tblPr>
      <w:tblGrid>
        <w:gridCol w:w="2948"/>
        <w:gridCol w:w="3186"/>
        <w:gridCol w:w="3594"/>
      </w:tblGrid>
      <w:tr w:rsidR="004F1985" w:rsidRPr="00FB34EE" w14:paraId="65D38E64" w14:textId="77777777" w:rsidTr="00392788">
        <w:trPr>
          <w:trHeight w:val="456"/>
          <w:tblHeader/>
        </w:trPr>
        <w:tc>
          <w:tcPr>
            <w:tcW w:w="2948" w:type="dxa"/>
            <w:shd w:val="clear" w:color="auto" w:fill="2F5496" w:themeFill="accent5" w:themeFillShade="BF"/>
            <w:tcMar>
              <w:top w:w="28" w:type="dxa"/>
              <w:left w:w="113" w:type="dxa"/>
              <w:bottom w:w="0" w:type="dxa"/>
              <w:right w:w="113" w:type="dxa"/>
            </w:tcMar>
            <w:vAlign w:val="bottom"/>
          </w:tcPr>
          <w:p w14:paraId="4E7153CF" w14:textId="0ADE2150" w:rsidR="00AC0148" w:rsidRPr="00392788" w:rsidRDefault="00AC0148" w:rsidP="00392788">
            <w:pPr>
              <w:spacing w:after="0" w:line="276" w:lineRule="auto"/>
              <w:rPr>
                <w:rFonts w:asciiTheme="minorBidi" w:hAnsiTheme="minorBidi"/>
                <w:b/>
                <w:color w:val="FFFFFF" w:themeColor="background1"/>
                <w:sz w:val="21"/>
                <w:szCs w:val="21"/>
              </w:rPr>
            </w:pPr>
            <w:r w:rsidRPr="00392788">
              <w:rPr>
                <w:rFonts w:asciiTheme="minorBidi" w:hAnsiTheme="minorBidi"/>
                <w:b/>
                <w:color w:val="FFFFFF" w:themeColor="background1"/>
                <w:sz w:val="21"/>
                <w:szCs w:val="21"/>
              </w:rPr>
              <w:t xml:space="preserve">Trial </w:t>
            </w:r>
            <w:r w:rsidR="00F93841">
              <w:rPr>
                <w:rFonts w:asciiTheme="minorBidi" w:hAnsiTheme="minorBidi"/>
                <w:b/>
                <w:color w:val="FFFFFF" w:themeColor="background1"/>
                <w:sz w:val="21"/>
                <w:szCs w:val="21"/>
              </w:rPr>
              <w:t>d</w:t>
            </w:r>
            <w:r w:rsidRPr="00392788">
              <w:rPr>
                <w:rFonts w:asciiTheme="minorBidi" w:hAnsiTheme="minorBidi"/>
                <w:b/>
                <w:color w:val="FFFFFF" w:themeColor="background1"/>
                <w:sz w:val="21"/>
                <w:szCs w:val="21"/>
              </w:rPr>
              <w:t>escription</w:t>
            </w:r>
          </w:p>
        </w:tc>
        <w:tc>
          <w:tcPr>
            <w:tcW w:w="3186" w:type="dxa"/>
            <w:shd w:val="clear" w:color="auto" w:fill="2F5496" w:themeFill="accent5" w:themeFillShade="BF"/>
            <w:tcMar>
              <w:top w:w="28" w:type="dxa"/>
              <w:left w:w="113" w:type="dxa"/>
              <w:bottom w:w="0" w:type="dxa"/>
              <w:right w:w="113" w:type="dxa"/>
            </w:tcMar>
            <w:vAlign w:val="bottom"/>
          </w:tcPr>
          <w:p w14:paraId="6CA91D90" w14:textId="06B0C359" w:rsidR="00AC0148" w:rsidRPr="00392788" w:rsidRDefault="00AC0148" w:rsidP="00392788">
            <w:pPr>
              <w:spacing w:after="0" w:line="276" w:lineRule="auto"/>
              <w:rPr>
                <w:rFonts w:asciiTheme="minorBidi" w:hAnsiTheme="minorBidi"/>
                <w:b/>
                <w:color w:val="FFFFFF" w:themeColor="background1"/>
                <w:sz w:val="21"/>
                <w:szCs w:val="21"/>
              </w:rPr>
            </w:pPr>
            <w:r w:rsidRPr="00392788">
              <w:rPr>
                <w:rFonts w:asciiTheme="minorBidi" w:hAnsiTheme="minorBidi"/>
                <w:b/>
                <w:color w:val="FFFFFF" w:themeColor="background1"/>
                <w:sz w:val="21"/>
                <w:szCs w:val="21"/>
              </w:rPr>
              <w:t xml:space="preserve">Main </w:t>
            </w:r>
            <w:r w:rsidR="00F93841">
              <w:rPr>
                <w:rFonts w:asciiTheme="minorBidi" w:hAnsiTheme="minorBidi"/>
                <w:b/>
                <w:color w:val="FFFFFF" w:themeColor="background1"/>
                <w:sz w:val="21"/>
                <w:szCs w:val="21"/>
              </w:rPr>
              <w:t>f</w:t>
            </w:r>
            <w:r w:rsidRPr="00392788">
              <w:rPr>
                <w:rFonts w:asciiTheme="minorBidi" w:hAnsiTheme="minorBidi"/>
                <w:b/>
                <w:color w:val="FFFFFF" w:themeColor="background1"/>
                <w:sz w:val="21"/>
                <w:szCs w:val="21"/>
              </w:rPr>
              <w:t>inding</w:t>
            </w:r>
          </w:p>
        </w:tc>
        <w:tc>
          <w:tcPr>
            <w:tcW w:w="3594" w:type="dxa"/>
            <w:shd w:val="clear" w:color="auto" w:fill="2F5496" w:themeFill="accent5" w:themeFillShade="BF"/>
            <w:tcMar>
              <w:top w:w="28" w:type="dxa"/>
              <w:left w:w="113" w:type="dxa"/>
              <w:bottom w:w="0" w:type="dxa"/>
              <w:right w:w="113" w:type="dxa"/>
            </w:tcMar>
            <w:vAlign w:val="bottom"/>
          </w:tcPr>
          <w:p w14:paraId="2EE016B3" w14:textId="4642D32C" w:rsidR="00AC0148" w:rsidRPr="00392788" w:rsidRDefault="00AC0148" w:rsidP="00392788">
            <w:pPr>
              <w:spacing w:after="0" w:line="276" w:lineRule="auto"/>
              <w:rPr>
                <w:rFonts w:asciiTheme="minorBidi" w:hAnsiTheme="minorBidi"/>
                <w:b/>
                <w:color w:val="FFFFFF" w:themeColor="background1"/>
                <w:sz w:val="21"/>
                <w:szCs w:val="21"/>
              </w:rPr>
            </w:pPr>
            <w:r w:rsidRPr="00392788">
              <w:rPr>
                <w:rFonts w:asciiTheme="minorBidi" w:hAnsiTheme="minorBidi"/>
                <w:b/>
                <w:color w:val="FFFFFF" w:themeColor="background1"/>
                <w:sz w:val="21"/>
                <w:szCs w:val="21"/>
              </w:rPr>
              <w:t xml:space="preserve">Clinical </w:t>
            </w:r>
            <w:r w:rsidR="00F93841">
              <w:rPr>
                <w:rFonts w:asciiTheme="minorBidi" w:hAnsiTheme="minorBidi"/>
                <w:b/>
                <w:color w:val="FFFFFF" w:themeColor="background1"/>
                <w:sz w:val="21"/>
                <w:szCs w:val="21"/>
              </w:rPr>
              <w:t>c</w:t>
            </w:r>
            <w:r w:rsidRPr="00392788">
              <w:rPr>
                <w:rFonts w:asciiTheme="minorBidi" w:hAnsiTheme="minorBidi"/>
                <w:b/>
                <w:color w:val="FFFFFF" w:themeColor="background1"/>
                <w:sz w:val="21"/>
                <w:szCs w:val="21"/>
              </w:rPr>
              <w:t>ontext</w:t>
            </w:r>
          </w:p>
        </w:tc>
      </w:tr>
      <w:tr w:rsidR="004F1985" w:rsidRPr="00FB34EE" w14:paraId="2FE27D5C" w14:textId="77777777" w:rsidTr="00392788">
        <w:trPr>
          <w:trHeight w:val="1487"/>
        </w:trPr>
        <w:tc>
          <w:tcPr>
            <w:tcW w:w="2948" w:type="dxa"/>
            <w:shd w:val="clear" w:color="auto" w:fill="auto"/>
            <w:tcMar>
              <w:top w:w="28" w:type="dxa"/>
              <w:left w:w="113" w:type="dxa"/>
              <w:bottom w:w="0" w:type="dxa"/>
              <w:right w:w="113" w:type="dxa"/>
            </w:tcMar>
            <w:vAlign w:val="center"/>
            <w:hideMark/>
          </w:tcPr>
          <w:p w14:paraId="000A8978" w14:textId="00F53523" w:rsidR="00AC0148" w:rsidRPr="00FB34EE" w:rsidRDefault="00AC0148" w:rsidP="00657F18">
            <w:pPr>
              <w:spacing w:before="0" w:after="0" w:line="240" w:lineRule="auto"/>
              <w:rPr>
                <w:rFonts w:asciiTheme="minorBidi" w:hAnsiTheme="minorBidi"/>
                <w:sz w:val="21"/>
                <w:szCs w:val="21"/>
              </w:rPr>
            </w:pPr>
            <w:r w:rsidRPr="00FB34EE">
              <w:rPr>
                <w:rStyle w:val="Strong"/>
                <w:rFonts w:asciiTheme="minorBidi" w:hAnsiTheme="minorBidi"/>
                <w:sz w:val="21"/>
                <w:szCs w:val="21"/>
              </w:rPr>
              <w:t>ARCH:</w:t>
            </w:r>
            <w:r w:rsidRPr="00FB34EE">
              <w:rPr>
                <w:rFonts w:asciiTheme="minorBidi" w:hAnsiTheme="minorBidi"/>
                <w:sz w:val="21"/>
                <w:szCs w:val="21"/>
              </w:rPr>
              <w:t xml:space="preserve"> Clopidogrel </w:t>
            </w:r>
            <w:r w:rsidR="006F4C8A">
              <w:rPr>
                <w:rFonts w:asciiTheme="minorBidi" w:hAnsiTheme="minorBidi"/>
                <w:sz w:val="21"/>
                <w:szCs w:val="21"/>
              </w:rPr>
              <w:t>plus</w:t>
            </w:r>
            <w:r w:rsidRPr="00FB34EE">
              <w:rPr>
                <w:rFonts w:asciiTheme="minorBidi" w:hAnsiTheme="minorBidi"/>
                <w:sz w:val="21"/>
                <w:szCs w:val="21"/>
              </w:rPr>
              <w:t xml:space="preserve"> aspirin versus </w:t>
            </w:r>
            <w:r w:rsidR="00377AB3">
              <w:rPr>
                <w:rFonts w:asciiTheme="minorBidi" w:hAnsiTheme="minorBidi"/>
                <w:sz w:val="21"/>
                <w:szCs w:val="21"/>
              </w:rPr>
              <w:t>W</w:t>
            </w:r>
            <w:r w:rsidRPr="00FB34EE">
              <w:rPr>
                <w:rFonts w:asciiTheme="minorBidi" w:hAnsiTheme="minorBidi"/>
                <w:sz w:val="21"/>
                <w:szCs w:val="21"/>
              </w:rPr>
              <w:t>arfarin alone in patients with stroke and aortic arch plaques</w:t>
            </w:r>
            <w:r w:rsidR="009A7E2E">
              <w:rPr>
                <w:rFonts w:asciiTheme="minorBidi" w:hAnsiTheme="minorBidi"/>
                <w:sz w:val="21"/>
                <w:szCs w:val="21"/>
              </w:rPr>
              <w:t>.</w:t>
            </w:r>
          </w:p>
        </w:tc>
        <w:tc>
          <w:tcPr>
            <w:tcW w:w="3186" w:type="dxa"/>
            <w:shd w:val="clear" w:color="auto" w:fill="auto"/>
            <w:tcMar>
              <w:top w:w="28" w:type="dxa"/>
              <w:left w:w="113" w:type="dxa"/>
              <w:bottom w:w="0" w:type="dxa"/>
              <w:right w:w="113" w:type="dxa"/>
            </w:tcMar>
            <w:vAlign w:val="center"/>
            <w:hideMark/>
          </w:tcPr>
          <w:p w14:paraId="2F486CBA" w14:textId="33732570" w:rsidR="00AC0148" w:rsidRPr="00FB34EE" w:rsidRDefault="00AC0148" w:rsidP="00657F18">
            <w:pPr>
              <w:spacing w:before="0" w:after="0" w:line="240" w:lineRule="auto"/>
              <w:rPr>
                <w:rFonts w:asciiTheme="minorBidi" w:hAnsiTheme="minorBidi"/>
                <w:sz w:val="21"/>
                <w:szCs w:val="21"/>
              </w:rPr>
            </w:pPr>
            <w:r w:rsidRPr="00FB34EE">
              <w:rPr>
                <w:rFonts w:asciiTheme="minorBidi" w:hAnsiTheme="minorBidi"/>
                <w:sz w:val="21"/>
                <w:szCs w:val="21"/>
              </w:rPr>
              <w:t xml:space="preserve">Treatment with clopidogrel </w:t>
            </w:r>
            <w:r w:rsidR="006F4C8A">
              <w:rPr>
                <w:rFonts w:asciiTheme="minorBidi" w:hAnsiTheme="minorBidi"/>
                <w:sz w:val="21"/>
                <w:szCs w:val="21"/>
              </w:rPr>
              <w:t>plus</w:t>
            </w:r>
            <w:r w:rsidRPr="00FB34EE">
              <w:rPr>
                <w:rFonts w:asciiTheme="minorBidi" w:hAnsiTheme="minorBidi"/>
                <w:sz w:val="21"/>
                <w:szCs w:val="21"/>
              </w:rPr>
              <w:t xml:space="preserve"> aspirin was more effective in avoiding adverse events </w:t>
            </w:r>
            <w:r w:rsidR="00141777" w:rsidRPr="00FB34EE">
              <w:rPr>
                <w:rFonts w:asciiTheme="minorBidi" w:hAnsiTheme="minorBidi"/>
                <w:sz w:val="21"/>
                <w:szCs w:val="21"/>
              </w:rPr>
              <w:t>(</w:t>
            </w:r>
            <w:r w:rsidRPr="00FB34EE">
              <w:rPr>
                <w:rFonts w:asciiTheme="minorBidi" w:hAnsiTheme="minorBidi"/>
                <w:sz w:val="21"/>
                <w:szCs w:val="21"/>
              </w:rPr>
              <w:t>myocardial infarction, pulmonary embolism, DVT)</w:t>
            </w:r>
            <w:r w:rsidR="009A7E2E">
              <w:rPr>
                <w:rFonts w:asciiTheme="minorBidi" w:hAnsiTheme="minorBidi"/>
                <w:sz w:val="21"/>
                <w:szCs w:val="21"/>
              </w:rPr>
              <w:t>.</w:t>
            </w:r>
          </w:p>
        </w:tc>
        <w:tc>
          <w:tcPr>
            <w:tcW w:w="3594" w:type="dxa"/>
            <w:shd w:val="clear" w:color="auto" w:fill="auto"/>
            <w:tcMar>
              <w:top w:w="28" w:type="dxa"/>
              <w:left w:w="113" w:type="dxa"/>
              <w:bottom w:w="0" w:type="dxa"/>
              <w:right w:w="113" w:type="dxa"/>
            </w:tcMar>
            <w:vAlign w:val="center"/>
            <w:hideMark/>
          </w:tcPr>
          <w:p w14:paraId="087FF4E4" w14:textId="636FFF98" w:rsidR="00AC0148" w:rsidRPr="00FB34EE" w:rsidRDefault="00AC0148" w:rsidP="00657F18">
            <w:pPr>
              <w:spacing w:before="0" w:after="0" w:line="240" w:lineRule="auto"/>
              <w:rPr>
                <w:rFonts w:asciiTheme="minorBidi" w:hAnsiTheme="minorBidi"/>
                <w:sz w:val="21"/>
                <w:szCs w:val="21"/>
              </w:rPr>
            </w:pPr>
            <w:r w:rsidRPr="00FB34EE">
              <w:rPr>
                <w:rFonts w:asciiTheme="minorBidi" w:hAnsiTheme="minorBidi"/>
                <w:sz w:val="21"/>
                <w:szCs w:val="21"/>
              </w:rPr>
              <w:t>Existing evidence comparing the two options was inconclusive. Treatment would not have been implemented without the trial</w:t>
            </w:r>
            <w:r w:rsidR="009A7E2E">
              <w:rPr>
                <w:rFonts w:asciiTheme="minorBidi" w:hAnsiTheme="minorBidi"/>
                <w:sz w:val="21"/>
                <w:szCs w:val="21"/>
              </w:rPr>
              <w:t>.</w:t>
            </w:r>
          </w:p>
        </w:tc>
      </w:tr>
      <w:tr w:rsidR="004F1985" w:rsidRPr="00FB34EE" w14:paraId="7283836A" w14:textId="77777777" w:rsidTr="00392788">
        <w:trPr>
          <w:trHeight w:val="1235"/>
        </w:trPr>
        <w:tc>
          <w:tcPr>
            <w:tcW w:w="2948" w:type="dxa"/>
            <w:shd w:val="clear" w:color="auto" w:fill="auto"/>
            <w:tcMar>
              <w:top w:w="28" w:type="dxa"/>
              <w:left w:w="113" w:type="dxa"/>
              <w:bottom w:w="0" w:type="dxa"/>
              <w:right w:w="113" w:type="dxa"/>
            </w:tcMar>
            <w:vAlign w:val="center"/>
            <w:hideMark/>
          </w:tcPr>
          <w:p w14:paraId="532EB135" w14:textId="5A044339" w:rsidR="00FF341C" w:rsidRPr="00FB34EE" w:rsidRDefault="00FF341C" w:rsidP="00657F18">
            <w:pPr>
              <w:spacing w:before="0" w:after="0" w:line="240" w:lineRule="auto"/>
              <w:rPr>
                <w:rFonts w:asciiTheme="minorBidi" w:hAnsiTheme="minorBidi"/>
                <w:sz w:val="21"/>
                <w:szCs w:val="21"/>
              </w:rPr>
            </w:pPr>
            <w:r w:rsidRPr="00FB34EE">
              <w:rPr>
                <w:rStyle w:val="Strong"/>
                <w:rFonts w:asciiTheme="minorBidi" w:hAnsiTheme="minorBidi"/>
                <w:sz w:val="21"/>
                <w:szCs w:val="21"/>
              </w:rPr>
              <w:t>AVERT:</w:t>
            </w:r>
            <w:r w:rsidRPr="00FB34EE">
              <w:rPr>
                <w:rFonts w:asciiTheme="minorBidi" w:hAnsiTheme="minorBidi"/>
                <w:sz w:val="21"/>
                <w:szCs w:val="21"/>
              </w:rPr>
              <w:t xml:space="preserve"> Efficacy and safety of very early mobilisation within 24</w:t>
            </w:r>
            <w:r w:rsidR="00377AB3">
              <w:rPr>
                <w:rFonts w:asciiTheme="minorBidi" w:hAnsiTheme="minorBidi"/>
                <w:sz w:val="21"/>
                <w:szCs w:val="21"/>
              </w:rPr>
              <w:t xml:space="preserve"> </w:t>
            </w:r>
            <w:r w:rsidRPr="00FB34EE">
              <w:rPr>
                <w:rFonts w:asciiTheme="minorBidi" w:hAnsiTheme="minorBidi"/>
                <w:sz w:val="21"/>
                <w:szCs w:val="21"/>
              </w:rPr>
              <w:t>h</w:t>
            </w:r>
            <w:r w:rsidR="00377AB3">
              <w:rPr>
                <w:rFonts w:asciiTheme="minorBidi" w:hAnsiTheme="minorBidi"/>
                <w:sz w:val="21"/>
                <w:szCs w:val="21"/>
              </w:rPr>
              <w:t>ours</w:t>
            </w:r>
            <w:r w:rsidRPr="00FB34EE">
              <w:rPr>
                <w:rFonts w:asciiTheme="minorBidi" w:hAnsiTheme="minorBidi"/>
                <w:sz w:val="21"/>
                <w:szCs w:val="21"/>
              </w:rPr>
              <w:t xml:space="preserve"> of stroke onset versus standard care</w:t>
            </w:r>
            <w:r w:rsidR="009A7E2E">
              <w:rPr>
                <w:rFonts w:asciiTheme="minorBidi" w:hAnsiTheme="minorBidi"/>
                <w:sz w:val="21"/>
                <w:szCs w:val="21"/>
              </w:rPr>
              <w:t>.</w:t>
            </w:r>
          </w:p>
        </w:tc>
        <w:tc>
          <w:tcPr>
            <w:tcW w:w="3186" w:type="dxa"/>
            <w:shd w:val="clear" w:color="auto" w:fill="auto"/>
            <w:tcMar>
              <w:top w:w="28" w:type="dxa"/>
              <w:left w:w="113" w:type="dxa"/>
              <w:bottom w:w="0" w:type="dxa"/>
              <w:right w:w="113" w:type="dxa"/>
            </w:tcMar>
            <w:vAlign w:val="center"/>
            <w:hideMark/>
          </w:tcPr>
          <w:p w14:paraId="415130F8" w14:textId="24E9ABDE" w:rsidR="00FF341C" w:rsidRPr="00FB34EE" w:rsidRDefault="00FF341C" w:rsidP="00657F18">
            <w:pPr>
              <w:spacing w:before="0" w:after="0" w:line="240" w:lineRule="auto"/>
              <w:rPr>
                <w:rFonts w:asciiTheme="minorBidi" w:hAnsiTheme="minorBidi"/>
                <w:sz w:val="21"/>
                <w:szCs w:val="21"/>
              </w:rPr>
            </w:pPr>
            <w:r w:rsidRPr="00FB34EE">
              <w:rPr>
                <w:rFonts w:asciiTheme="minorBidi" w:hAnsiTheme="minorBidi"/>
                <w:sz w:val="21"/>
                <w:szCs w:val="21"/>
              </w:rPr>
              <w:t>Treatment with very early mobili</w:t>
            </w:r>
            <w:r w:rsidR="00141777" w:rsidRPr="00FB34EE">
              <w:rPr>
                <w:rFonts w:asciiTheme="minorBidi" w:hAnsiTheme="minorBidi"/>
                <w:sz w:val="21"/>
                <w:szCs w:val="21"/>
              </w:rPr>
              <w:t>s</w:t>
            </w:r>
            <w:r w:rsidRPr="00FB34EE">
              <w:rPr>
                <w:rFonts w:asciiTheme="minorBidi" w:hAnsiTheme="minorBidi"/>
                <w:sz w:val="21"/>
                <w:szCs w:val="21"/>
              </w:rPr>
              <w:t>ation was associated with poorer functional outcomes</w:t>
            </w:r>
            <w:r w:rsidR="009A7E2E">
              <w:rPr>
                <w:rFonts w:asciiTheme="minorBidi" w:hAnsiTheme="minorBidi"/>
                <w:sz w:val="21"/>
                <w:szCs w:val="21"/>
              </w:rPr>
              <w:t>.</w:t>
            </w:r>
          </w:p>
        </w:tc>
        <w:tc>
          <w:tcPr>
            <w:tcW w:w="3594" w:type="dxa"/>
            <w:shd w:val="clear" w:color="auto" w:fill="auto"/>
            <w:tcMar>
              <w:top w:w="28" w:type="dxa"/>
              <w:left w:w="113" w:type="dxa"/>
              <w:bottom w:w="0" w:type="dxa"/>
              <w:right w:w="113" w:type="dxa"/>
            </w:tcMar>
            <w:vAlign w:val="center"/>
            <w:hideMark/>
          </w:tcPr>
          <w:p w14:paraId="62D07774" w14:textId="5AAD561D" w:rsidR="00FF341C" w:rsidRPr="00FB34EE" w:rsidRDefault="00F72082" w:rsidP="00657F18">
            <w:pPr>
              <w:spacing w:before="0" w:after="0" w:line="240" w:lineRule="auto"/>
              <w:rPr>
                <w:rFonts w:asciiTheme="minorBidi" w:hAnsiTheme="minorBidi"/>
                <w:sz w:val="21"/>
                <w:szCs w:val="21"/>
              </w:rPr>
            </w:pPr>
            <w:r>
              <w:rPr>
                <w:rFonts w:asciiTheme="minorBidi" w:hAnsiTheme="minorBidi"/>
                <w:sz w:val="21"/>
                <w:szCs w:val="21"/>
              </w:rPr>
              <w:t>Prior to the trial, e</w:t>
            </w:r>
            <w:r w:rsidR="00FF341C" w:rsidRPr="00FB34EE">
              <w:rPr>
                <w:rFonts w:asciiTheme="minorBidi" w:hAnsiTheme="minorBidi"/>
                <w:sz w:val="21"/>
                <w:szCs w:val="21"/>
              </w:rPr>
              <w:t>arly higher dose mobilisation was becoming more common. The trial will prevent this continuing</w:t>
            </w:r>
            <w:r w:rsidR="009A7E2E">
              <w:rPr>
                <w:rFonts w:asciiTheme="minorBidi" w:hAnsiTheme="minorBidi"/>
                <w:sz w:val="21"/>
                <w:szCs w:val="21"/>
              </w:rPr>
              <w:t>.</w:t>
            </w:r>
          </w:p>
        </w:tc>
      </w:tr>
      <w:tr w:rsidR="004F1985" w:rsidRPr="00FB34EE" w14:paraId="7AE0F153" w14:textId="77777777" w:rsidTr="00392788">
        <w:trPr>
          <w:trHeight w:val="1156"/>
        </w:trPr>
        <w:tc>
          <w:tcPr>
            <w:tcW w:w="2948" w:type="dxa"/>
            <w:shd w:val="clear" w:color="auto" w:fill="auto"/>
            <w:tcMar>
              <w:top w:w="28" w:type="dxa"/>
              <w:left w:w="113" w:type="dxa"/>
              <w:bottom w:w="0" w:type="dxa"/>
              <w:right w:w="113" w:type="dxa"/>
            </w:tcMar>
            <w:vAlign w:val="center"/>
            <w:hideMark/>
          </w:tcPr>
          <w:p w14:paraId="78609195" w14:textId="7093D4CC" w:rsidR="00FF341C" w:rsidRPr="00FB34EE" w:rsidRDefault="00FF341C" w:rsidP="00657F18">
            <w:pPr>
              <w:spacing w:before="0" w:after="0" w:line="240" w:lineRule="auto"/>
              <w:rPr>
                <w:rFonts w:asciiTheme="minorBidi" w:hAnsiTheme="minorBidi"/>
                <w:sz w:val="21"/>
                <w:szCs w:val="21"/>
              </w:rPr>
            </w:pPr>
            <w:r w:rsidRPr="00FB34EE">
              <w:rPr>
                <w:rStyle w:val="Strong"/>
                <w:rFonts w:asciiTheme="minorBidi" w:hAnsiTheme="minorBidi"/>
                <w:sz w:val="21"/>
                <w:szCs w:val="21"/>
              </w:rPr>
              <w:t>ENCHANTED:</w:t>
            </w:r>
            <w:r w:rsidRPr="00FB34EE">
              <w:rPr>
                <w:rFonts w:asciiTheme="minorBidi" w:hAnsiTheme="minorBidi"/>
                <w:sz w:val="21"/>
                <w:szCs w:val="21"/>
              </w:rPr>
              <w:t xml:space="preserve"> Enhanced control of hypertension and thrombolysis (lower dose alteplase versus higher dose)</w:t>
            </w:r>
            <w:r w:rsidR="009A7E2E">
              <w:rPr>
                <w:rFonts w:asciiTheme="minorBidi" w:hAnsiTheme="minorBidi"/>
                <w:sz w:val="21"/>
                <w:szCs w:val="21"/>
              </w:rPr>
              <w:t>.</w:t>
            </w:r>
          </w:p>
        </w:tc>
        <w:tc>
          <w:tcPr>
            <w:tcW w:w="3186" w:type="dxa"/>
            <w:shd w:val="clear" w:color="auto" w:fill="auto"/>
            <w:tcMar>
              <w:top w:w="28" w:type="dxa"/>
              <w:left w:w="113" w:type="dxa"/>
              <w:bottom w:w="0" w:type="dxa"/>
              <w:right w:w="113" w:type="dxa"/>
            </w:tcMar>
            <w:vAlign w:val="center"/>
            <w:hideMark/>
          </w:tcPr>
          <w:p w14:paraId="2BBE042E" w14:textId="50616972" w:rsidR="00FF341C" w:rsidRPr="00FB34EE" w:rsidRDefault="00FF341C" w:rsidP="00657F18">
            <w:pPr>
              <w:spacing w:before="0" w:after="0" w:line="240" w:lineRule="auto"/>
              <w:rPr>
                <w:rFonts w:asciiTheme="minorBidi" w:hAnsiTheme="minorBidi"/>
                <w:sz w:val="21"/>
                <w:szCs w:val="21"/>
              </w:rPr>
            </w:pPr>
            <w:r w:rsidRPr="00FB34EE">
              <w:rPr>
                <w:rFonts w:asciiTheme="minorBidi" w:hAnsiTheme="minorBidi"/>
                <w:sz w:val="21"/>
                <w:szCs w:val="21"/>
              </w:rPr>
              <w:t>Treatment with low dose alteplase is non-inferior and resulted in fewer intracerebral haemorrhages</w:t>
            </w:r>
            <w:r w:rsidR="009A7E2E">
              <w:rPr>
                <w:rFonts w:asciiTheme="minorBidi" w:hAnsiTheme="minorBidi"/>
                <w:sz w:val="21"/>
                <w:szCs w:val="21"/>
              </w:rPr>
              <w:t>.</w:t>
            </w:r>
          </w:p>
        </w:tc>
        <w:tc>
          <w:tcPr>
            <w:tcW w:w="3594" w:type="dxa"/>
            <w:shd w:val="clear" w:color="auto" w:fill="auto"/>
            <w:tcMar>
              <w:top w:w="28" w:type="dxa"/>
              <w:left w:w="113" w:type="dxa"/>
              <w:bottom w:w="0" w:type="dxa"/>
              <w:right w:w="113" w:type="dxa"/>
            </w:tcMar>
            <w:vAlign w:val="center"/>
            <w:hideMark/>
          </w:tcPr>
          <w:p w14:paraId="33B326B6" w14:textId="46CD85F4" w:rsidR="00FF341C" w:rsidRPr="00FB34EE" w:rsidRDefault="00141777" w:rsidP="00657F18">
            <w:pPr>
              <w:spacing w:before="0" w:after="0" w:line="240" w:lineRule="auto"/>
              <w:rPr>
                <w:rFonts w:asciiTheme="minorBidi" w:hAnsiTheme="minorBidi"/>
                <w:sz w:val="21"/>
                <w:szCs w:val="21"/>
              </w:rPr>
            </w:pPr>
            <w:r w:rsidRPr="00FB34EE">
              <w:rPr>
                <w:rFonts w:asciiTheme="minorBidi" w:hAnsiTheme="minorBidi"/>
                <w:sz w:val="21"/>
                <w:szCs w:val="21"/>
              </w:rPr>
              <w:t>Variable dose regimens exist</w:t>
            </w:r>
            <w:r w:rsidR="00FF341C" w:rsidRPr="00FB34EE">
              <w:rPr>
                <w:rFonts w:asciiTheme="minorBidi" w:hAnsiTheme="minorBidi"/>
                <w:sz w:val="21"/>
                <w:szCs w:val="21"/>
              </w:rPr>
              <w:t xml:space="preserve">. The trial confirms non-inferiority of </w:t>
            </w:r>
            <w:r w:rsidR="00006DC0">
              <w:rPr>
                <w:rFonts w:asciiTheme="minorBidi" w:hAnsiTheme="minorBidi"/>
                <w:sz w:val="21"/>
                <w:szCs w:val="21"/>
              </w:rPr>
              <w:t xml:space="preserve">a </w:t>
            </w:r>
            <w:r w:rsidRPr="00FB34EE">
              <w:rPr>
                <w:rFonts w:asciiTheme="minorBidi" w:hAnsiTheme="minorBidi"/>
                <w:sz w:val="21"/>
                <w:szCs w:val="21"/>
              </w:rPr>
              <w:t>lower dose. It is a</w:t>
            </w:r>
            <w:r w:rsidR="00FF341C" w:rsidRPr="00FB34EE">
              <w:rPr>
                <w:rFonts w:asciiTheme="minorBidi" w:hAnsiTheme="minorBidi"/>
                <w:sz w:val="21"/>
                <w:szCs w:val="21"/>
              </w:rPr>
              <w:t xml:space="preserve"> more economical approach and </w:t>
            </w:r>
            <w:r w:rsidRPr="00FB34EE">
              <w:rPr>
                <w:rFonts w:asciiTheme="minorBidi" w:hAnsiTheme="minorBidi"/>
                <w:sz w:val="21"/>
                <w:szCs w:val="21"/>
              </w:rPr>
              <w:t xml:space="preserve">has potential health </w:t>
            </w:r>
            <w:r w:rsidR="00FF341C" w:rsidRPr="00FB34EE">
              <w:rPr>
                <w:rFonts w:asciiTheme="minorBidi" w:hAnsiTheme="minorBidi"/>
                <w:sz w:val="21"/>
                <w:szCs w:val="21"/>
              </w:rPr>
              <w:t>benefits</w:t>
            </w:r>
            <w:r w:rsidR="009A7E2E">
              <w:rPr>
                <w:rFonts w:asciiTheme="minorBidi" w:hAnsiTheme="minorBidi"/>
                <w:sz w:val="21"/>
                <w:szCs w:val="21"/>
              </w:rPr>
              <w:t>.</w:t>
            </w:r>
          </w:p>
        </w:tc>
      </w:tr>
      <w:tr w:rsidR="004F1985" w:rsidRPr="00FB34EE" w14:paraId="65F68C2C" w14:textId="77777777" w:rsidTr="00392788">
        <w:trPr>
          <w:trHeight w:val="1718"/>
        </w:trPr>
        <w:tc>
          <w:tcPr>
            <w:tcW w:w="2948" w:type="dxa"/>
            <w:shd w:val="clear" w:color="auto" w:fill="auto"/>
            <w:tcMar>
              <w:top w:w="28" w:type="dxa"/>
              <w:left w:w="113" w:type="dxa"/>
              <w:bottom w:w="0" w:type="dxa"/>
              <w:right w:w="113" w:type="dxa"/>
            </w:tcMar>
            <w:vAlign w:val="center"/>
            <w:hideMark/>
          </w:tcPr>
          <w:p w14:paraId="1EF0048C" w14:textId="72577B69" w:rsidR="00AC0148" w:rsidRPr="00FB34EE" w:rsidRDefault="00AC0148" w:rsidP="00657F18">
            <w:pPr>
              <w:spacing w:before="0" w:after="0" w:line="240" w:lineRule="auto"/>
              <w:rPr>
                <w:rFonts w:asciiTheme="minorBidi" w:hAnsiTheme="minorBidi"/>
                <w:sz w:val="21"/>
                <w:szCs w:val="21"/>
              </w:rPr>
            </w:pPr>
            <w:r w:rsidRPr="00FB34EE">
              <w:rPr>
                <w:rStyle w:val="Strong"/>
                <w:rFonts w:asciiTheme="minorBidi" w:hAnsiTheme="minorBidi"/>
                <w:sz w:val="21"/>
                <w:szCs w:val="21"/>
              </w:rPr>
              <w:t>EXTEND-IA:</w:t>
            </w:r>
            <w:r w:rsidRPr="00FB34EE">
              <w:rPr>
                <w:rFonts w:asciiTheme="minorBidi" w:hAnsiTheme="minorBidi"/>
                <w:sz w:val="21"/>
                <w:szCs w:val="21"/>
              </w:rPr>
              <w:t xml:space="preserve"> Endovascular clot retrieval after intravenous thrombolysis in ischemic stroke</w:t>
            </w:r>
            <w:r w:rsidR="009A7E2E">
              <w:rPr>
                <w:rFonts w:asciiTheme="minorBidi" w:hAnsiTheme="minorBidi"/>
                <w:sz w:val="21"/>
                <w:szCs w:val="21"/>
              </w:rPr>
              <w:t>.</w:t>
            </w:r>
          </w:p>
        </w:tc>
        <w:tc>
          <w:tcPr>
            <w:tcW w:w="3186" w:type="dxa"/>
            <w:shd w:val="clear" w:color="auto" w:fill="auto"/>
            <w:tcMar>
              <w:top w:w="28" w:type="dxa"/>
              <w:left w:w="113" w:type="dxa"/>
              <w:bottom w:w="0" w:type="dxa"/>
              <w:right w:w="113" w:type="dxa"/>
            </w:tcMar>
            <w:vAlign w:val="center"/>
            <w:hideMark/>
          </w:tcPr>
          <w:p w14:paraId="78EB2554" w14:textId="7DA22273" w:rsidR="00AC0148" w:rsidRPr="00FB34EE" w:rsidRDefault="00AC0148" w:rsidP="00657F18">
            <w:pPr>
              <w:spacing w:before="0" w:after="0" w:line="240" w:lineRule="auto"/>
              <w:rPr>
                <w:rFonts w:asciiTheme="minorBidi" w:hAnsiTheme="minorBidi"/>
                <w:sz w:val="21"/>
                <w:szCs w:val="21"/>
              </w:rPr>
            </w:pPr>
            <w:r w:rsidRPr="00FB34EE">
              <w:rPr>
                <w:rFonts w:asciiTheme="minorBidi" w:hAnsiTheme="minorBidi"/>
                <w:sz w:val="21"/>
                <w:szCs w:val="21"/>
              </w:rPr>
              <w:t xml:space="preserve">Treatment was associated with faster and more complete reperfusion, reduction of infarct growth and better functional and neurological outcomes at </w:t>
            </w:r>
            <w:r w:rsidR="00006DC0">
              <w:rPr>
                <w:rFonts w:asciiTheme="minorBidi" w:hAnsiTheme="minorBidi"/>
                <w:sz w:val="21"/>
                <w:szCs w:val="21"/>
              </w:rPr>
              <w:t>three</w:t>
            </w:r>
            <w:r w:rsidRPr="00FB34EE">
              <w:rPr>
                <w:rFonts w:asciiTheme="minorBidi" w:hAnsiTheme="minorBidi"/>
                <w:sz w:val="21"/>
                <w:szCs w:val="21"/>
              </w:rPr>
              <w:t xml:space="preserve"> months</w:t>
            </w:r>
            <w:r w:rsidR="009A7E2E">
              <w:rPr>
                <w:rFonts w:asciiTheme="minorBidi" w:hAnsiTheme="minorBidi"/>
                <w:sz w:val="21"/>
                <w:szCs w:val="21"/>
              </w:rPr>
              <w:t>.</w:t>
            </w:r>
          </w:p>
        </w:tc>
        <w:tc>
          <w:tcPr>
            <w:tcW w:w="3594" w:type="dxa"/>
            <w:shd w:val="clear" w:color="auto" w:fill="auto"/>
            <w:tcMar>
              <w:top w:w="28" w:type="dxa"/>
              <w:left w:w="113" w:type="dxa"/>
              <w:bottom w:w="0" w:type="dxa"/>
              <w:right w:w="113" w:type="dxa"/>
            </w:tcMar>
            <w:vAlign w:val="center"/>
            <w:hideMark/>
          </w:tcPr>
          <w:p w14:paraId="700409BD" w14:textId="5598BF4D" w:rsidR="00AC0148" w:rsidRPr="00FB34EE" w:rsidRDefault="00AC0148" w:rsidP="00657F18">
            <w:pPr>
              <w:spacing w:before="0" w:after="0" w:line="240" w:lineRule="auto"/>
              <w:rPr>
                <w:rFonts w:asciiTheme="minorBidi" w:hAnsiTheme="minorBidi"/>
                <w:sz w:val="21"/>
                <w:szCs w:val="21"/>
              </w:rPr>
            </w:pPr>
            <w:r w:rsidRPr="00FB34EE">
              <w:rPr>
                <w:rFonts w:asciiTheme="minorBidi" w:hAnsiTheme="minorBidi"/>
                <w:sz w:val="21"/>
                <w:szCs w:val="21"/>
              </w:rPr>
              <w:t>Endovascular stroke therapy was virtually disappearing from practice before the trial.</w:t>
            </w:r>
            <w:r w:rsidR="00BD68CF">
              <w:rPr>
                <w:rFonts w:asciiTheme="minorBidi" w:hAnsiTheme="minorBidi"/>
                <w:sz w:val="21"/>
                <w:szCs w:val="21"/>
              </w:rPr>
              <w:t xml:space="preserve"> </w:t>
            </w:r>
            <w:r w:rsidRPr="00FB34EE">
              <w:rPr>
                <w:rFonts w:asciiTheme="minorBidi" w:hAnsiTheme="minorBidi"/>
                <w:sz w:val="21"/>
                <w:szCs w:val="21"/>
              </w:rPr>
              <w:t>The trial led to changes in international guidelines and revisions are expected in Australia</w:t>
            </w:r>
            <w:r w:rsidR="009A7E2E">
              <w:rPr>
                <w:rFonts w:asciiTheme="minorBidi" w:hAnsiTheme="minorBidi"/>
                <w:sz w:val="21"/>
                <w:szCs w:val="21"/>
              </w:rPr>
              <w:t>.</w:t>
            </w:r>
          </w:p>
        </w:tc>
      </w:tr>
      <w:tr w:rsidR="004F1985" w:rsidRPr="00FB34EE" w14:paraId="312947C4" w14:textId="77777777" w:rsidTr="00392788">
        <w:trPr>
          <w:trHeight w:val="1780"/>
        </w:trPr>
        <w:tc>
          <w:tcPr>
            <w:tcW w:w="2948" w:type="dxa"/>
            <w:shd w:val="clear" w:color="auto" w:fill="auto"/>
            <w:tcMar>
              <w:top w:w="28" w:type="dxa"/>
              <w:left w:w="113" w:type="dxa"/>
              <w:bottom w:w="0" w:type="dxa"/>
              <w:right w:w="113" w:type="dxa"/>
            </w:tcMar>
            <w:vAlign w:val="center"/>
            <w:hideMark/>
          </w:tcPr>
          <w:p w14:paraId="3E6C5F35" w14:textId="21265B2A" w:rsidR="00AC0148" w:rsidRPr="00FB34EE" w:rsidRDefault="00AC0148" w:rsidP="00657F18">
            <w:pPr>
              <w:spacing w:before="0" w:after="0" w:line="240" w:lineRule="auto"/>
              <w:rPr>
                <w:rFonts w:asciiTheme="minorBidi" w:hAnsiTheme="minorBidi"/>
                <w:sz w:val="21"/>
                <w:szCs w:val="21"/>
              </w:rPr>
            </w:pPr>
            <w:r w:rsidRPr="00FB34EE">
              <w:rPr>
                <w:rStyle w:val="Strong"/>
                <w:rFonts w:asciiTheme="minorBidi" w:hAnsiTheme="minorBidi"/>
                <w:sz w:val="21"/>
                <w:szCs w:val="21"/>
              </w:rPr>
              <w:t>INTERACT 2:</w:t>
            </w:r>
            <w:r w:rsidRPr="00FB34EE">
              <w:rPr>
                <w:rFonts w:asciiTheme="minorBidi" w:hAnsiTheme="minorBidi"/>
                <w:b/>
                <w:bCs/>
                <w:sz w:val="21"/>
                <w:szCs w:val="21"/>
              </w:rPr>
              <w:t xml:space="preserve"> </w:t>
            </w:r>
            <w:r w:rsidRPr="00FB34EE">
              <w:rPr>
                <w:rFonts w:asciiTheme="minorBidi" w:hAnsiTheme="minorBidi"/>
                <w:sz w:val="21"/>
                <w:szCs w:val="21"/>
              </w:rPr>
              <w:t>Intensive (versus standard) blood</w:t>
            </w:r>
            <w:r w:rsidRPr="00657F18">
              <w:rPr>
                <w:rFonts w:asciiTheme="minorBidi" w:hAnsiTheme="minorBidi"/>
                <w:sz w:val="21"/>
                <w:szCs w:val="21"/>
              </w:rPr>
              <w:t xml:space="preserve"> pressure reduction in acute intracerebral haemorrhage</w:t>
            </w:r>
            <w:r w:rsidR="009A7E2E">
              <w:rPr>
                <w:rFonts w:asciiTheme="minorBidi" w:hAnsiTheme="minorBidi"/>
                <w:sz w:val="21"/>
                <w:szCs w:val="21"/>
              </w:rPr>
              <w:t>.</w:t>
            </w:r>
          </w:p>
        </w:tc>
        <w:tc>
          <w:tcPr>
            <w:tcW w:w="3186" w:type="dxa"/>
            <w:shd w:val="clear" w:color="auto" w:fill="auto"/>
            <w:tcMar>
              <w:top w:w="28" w:type="dxa"/>
              <w:left w:w="113" w:type="dxa"/>
              <w:bottom w:w="0" w:type="dxa"/>
              <w:right w:w="113" w:type="dxa"/>
            </w:tcMar>
            <w:vAlign w:val="center"/>
            <w:hideMark/>
          </w:tcPr>
          <w:p w14:paraId="5E8D4B52" w14:textId="3F03535E" w:rsidR="00AC0148" w:rsidRPr="00FB34EE" w:rsidRDefault="00AC0148" w:rsidP="00657F18">
            <w:pPr>
              <w:spacing w:before="0" w:after="0" w:line="240" w:lineRule="auto"/>
              <w:rPr>
                <w:rFonts w:asciiTheme="minorBidi" w:hAnsiTheme="minorBidi"/>
                <w:sz w:val="21"/>
                <w:szCs w:val="21"/>
              </w:rPr>
            </w:pPr>
            <w:r w:rsidRPr="00FB34EE">
              <w:rPr>
                <w:rFonts w:asciiTheme="minorBidi" w:hAnsiTheme="minorBidi"/>
                <w:sz w:val="21"/>
                <w:szCs w:val="21"/>
              </w:rPr>
              <w:t>Treatment with intensive blood pressure reduction marginally improved functional outcomes and health</w:t>
            </w:r>
            <w:r w:rsidR="00377AB3">
              <w:rPr>
                <w:rFonts w:asciiTheme="minorBidi" w:hAnsiTheme="minorBidi"/>
                <w:sz w:val="21"/>
                <w:szCs w:val="21"/>
              </w:rPr>
              <w:t>-</w:t>
            </w:r>
            <w:r w:rsidRPr="00FB34EE">
              <w:rPr>
                <w:rFonts w:asciiTheme="minorBidi" w:hAnsiTheme="minorBidi"/>
                <w:sz w:val="21"/>
                <w:szCs w:val="21"/>
              </w:rPr>
              <w:t>related quality of life</w:t>
            </w:r>
            <w:r w:rsidR="00F72082">
              <w:rPr>
                <w:rFonts w:asciiTheme="minorBidi" w:hAnsiTheme="minorBidi"/>
                <w:sz w:val="21"/>
                <w:szCs w:val="21"/>
              </w:rPr>
              <w:t>.</w:t>
            </w:r>
            <w:r w:rsidR="00F72082" w:rsidRPr="00FB34EE">
              <w:rPr>
                <w:rFonts w:asciiTheme="minorBidi" w:hAnsiTheme="minorBidi"/>
                <w:sz w:val="21"/>
                <w:szCs w:val="21"/>
              </w:rPr>
              <w:t xml:space="preserve"> There was a non-significant difference in mortality in favour of the treatment</w:t>
            </w:r>
            <w:r w:rsidR="009A7E2E">
              <w:rPr>
                <w:rFonts w:asciiTheme="minorBidi" w:hAnsiTheme="minorBidi"/>
                <w:sz w:val="21"/>
                <w:szCs w:val="21"/>
              </w:rPr>
              <w:t>.</w:t>
            </w:r>
          </w:p>
        </w:tc>
        <w:tc>
          <w:tcPr>
            <w:tcW w:w="3594" w:type="dxa"/>
            <w:shd w:val="clear" w:color="auto" w:fill="auto"/>
            <w:tcMar>
              <w:top w:w="28" w:type="dxa"/>
              <w:left w:w="113" w:type="dxa"/>
              <w:bottom w:w="0" w:type="dxa"/>
              <w:right w:w="113" w:type="dxa"/>
            </w:tcMar>
            <w:vAlign w:val="center"/>
            <w:hideMark/>
          </w:tcPr>
          <w:p w14:paraId="6D8F652C" w14:textId="5FEFC8C2" w:rsidR="00AC0148" w:rsidRPr="00FB34EE" w:rsidRDefault="00AC0148" w:rsidP="00657F18">
            <w:pPr>
              <w:spacing w:before="0" w:after="0" w:line="240" w:lineRule="auto"/>
              <w:rPr>
                <w:rFonts w:asciiTheme="minorBidi" w:hAnsiTheme="minorBidi"/>
                <w:sz w:val="21"/>
                <w:szCs w:val="21"/>
              </w:rPr>
            </w:pPr>
            <w:r w:rsidRPr="00FB34EE">
              <w:rPr>
                <w:rFonts w:asciiTheme="minorBidi" w:hAnsiTheme="minorBidi"/>
                <w:sz w:val="21"/>
                <w:szCs w:val="21"/>
              </w:rPr>
              <w:t>The overall improvement in outcomes is thought to favour a shift to this treatment</w:t>
            </w:r>
            <w:r w:rsidR="009A7E2E">
              <w:rPr>
                <w:rFonts w:asciiTheme="minorBidi" w:hAnsiTheme="minorBidi"/>
                <w:sz w:val="21"/>
                <w:szCs w:val="21"/>
              </w:rPr>
              <w:t>.</w:t>
            </w:r>
          </w:p>
        </w:tc>
      </w:tr>
      <w:tr w:rsidR="004F1985" w:rsidRPr="00FB34EE" w14:paraId="1F8B62E0" w14:textId="77777777" w:rsidTr="00392788">
        <w:trPr>
          <w:trHeight w:val="1239"/>
        </w:trPr>
        <w:tc>
          <w:tcPr>
            <w:tcW w:w="2948" w:type="dxa"/>
            <w:shd w:val="clear" w:color="auto" w:fill="auto"/>
            <w:tcMar>
              <w:top w:w="28" w:type="dxa"/>
              <w:left w:w="113" w:type="dxa"/>
              <w:bottom w:w="0" w:type="dxa"/>
              <w:right w:w="113" w:type="dxa"/>
            </w:tcMar>
            <w:vAlign w:val="center"/>
            <w:hideMark/>
          </w:tcPr>
          <w:p w14:paraId="17B2EA92" w14:textId="2EE6DE9F" w:rsidR="00AC0148" w:rsidRPr="00FB34EE" w:rsidRDefault="00AC0148" w:rsidP="00657F18">
            <w:pPr>
              <w:spacing w:before="0" w:after="0" w:line="240" w:lineRule="auto"/>
              <w:rPr>
                <w:rFonts w:asciiTheme="minorBidi" w:hAnsiTheme="minorBidi"/>
                <w:sz w:val="21"/>
                <w:szCs w:val="21"/>
              </w:rPr>
            </w:pPr>
            <w:r w:rsidRPr="00FB34EE">
              <w:rPr>
                <w:rStyle w:val="Strong"/>
                <w:rFonts w:asciiTheme="minorBidi" w:hAnsiTheme="minorBidi"/>
                <w:sz w:val="21"/>
                <w:szCs w:val="21"/>
              </w:rPr>
              <w:t>PROGRESS:</w:t>
            </w:r>
            <w:r w:rsidRPr="00FB34EE">
              <w:rPr>
                <w:rFonts w:asciiTheme="minorBidi" w:hAnsiTheme="minorBidi"/>
                <w:sz w:val="21"/>
                <w:szCs w:val="21"/>
              </w:rPr>
              <w:t xml:space="preserve"> Perindopril (ACE inhibitor) protection (versus placebo) against recurrent stroke</w:t>
            </w:r>
            <w:r w:rsidR="009A7E2E">
              <w:rPr>
                <w:rFonts w:asciiTheme="minorBidi" w:hAnsiTheme="minorBidi"/>
                <w:sz w:val="21"/>
                <w:szCs w:val="21"/>
              </w:rPr>
              <w:t>.</w:t>
            </w:r>
          </w:p>
        </w:tc>
        <w:tc>
          <w:tcPr>
            <w:tcW w:w="3186" w:type="dxa"/>
            <w:shd w:val="clear" w:color="auto" w:fill="auto"/>
            <w:tcMar>
              <w:top w:w="28" w:type="dxa"/>
              <w:left w:w="113" w:type="dxa"/>
              <w:bottom w:w="0" w:type="dxa"/>
              <w:right w:w="113" w:type="dxa"/>
            </w:tcMar>
            <w:vAlign w:val="center"/>
            <w:hideMark/>
          </w:tcPr>
          <w:p w14:paraId="45DD97A4" w14:textId="69F73E05" w:rsidR="00AC0148" w:rsidRPr="00FB34EE" w:rsidRDefault="00AC0148" w:rsidP="00657F18">
            <w:pPr>
              <w:spacing w:before="0" w:after="0" w:line="240" w:lineRule="auto"/>
              <w:rPr>
                <w:rFonts w:asciiTheme="minorBidi" w:hAnsiTheme="minorBidi"/>
                <w:sz w:val="21"/>
                <w:szCs w:val="21"/>
              </w:rPr>
            </w:pPr>
            <w:r w:rsidRPr="00FB34EE">
              <w:rPr>
                <w:rFonts w:asciiTheme="minorBidi" w:hAnsiTheme="minorBidi"/>
                <w:sz w:val="21"/>
                <w:szCs w:val="21"/>
              </w:rPr>
              <w:t>Treatment with Perindopril reduced strokes and major vascular events across all subgroups (race, age and type of stroke)</w:t>
            </w:r>
            <w:r w:rsidR="009A7E2E">
              <w:rPr>
                <w:rFonts w:asciiTheme="minorBidi" w:hAnsiTheme="minorBidi"/>
                <w:sz w:val="21"/>
                <w:szCs w:val="21"/>
              </w:rPr>
              <w:t>.</w:t>
            </w:r>
          </w:p>
        </w:tc>
        <w:tc>
          <w:tcPr>
            <w:tcW w:w="3594" w:type="dxa"/>
            <w:shd w:val="clear" w:color="auto" w:fill="auto"/>
            <w:tcMar>
              <w:top w:w="28" w:type="dxa"/>
              <w:left w:w="113" w:type="dxa"/>
              <w:bottom w:w="0" w:type="dxa"/>
              <w:right w:w="113" w:type="dxa"/>
            </w:tcMar>
            <w:vAlign w:val="center"/>
            <w:hideMark/>
          </w:tcPr>
          <w:p w14:paraId="610F35AF" w14:textId="01E2D44E" w:rsidR="00AC0148" w:rsidRPr="00FB34EE" w:rsidRDefault="00AC0148" w:rsidP="00657F18">
            <w:pPr>
              <w:spacing w:before="0" w:after="0" w:line="240" w:lineRule="auto"/>
              <w:rPr>
                <w:rFonts w:asciiTheme="minorBidi" w:hAnsiTheme="minorBidi"/>
                <w:sz w:val="21"/>
                <w:szCs w:val="21"/>
              </w:rPr>
            </w:pPr>
            <w:r w:rsidRPr="00FB34EE">
              <w:rPr>
                <w:rFonts w:asciiTheme="minorBidi" w:hAnsiTheme="minorBidi"/>
                <w:sz w:val="21"/>
                <w:szCs w:val="21"/>
              </w:rPr>
              <w:t xml:space="preserve">Little prior evidence for </w:t>
            </w:r>
            <w:r w:rsidR="00141777" w:rsidRPr="00FB34EE">
              <w:rPr>
                <w:rFonts w:asciiTheme="minorBidi" w:hAnsiTheme="minorBidi"/>
                <w:sz w:val="21"/>
                <w:szCs w:val="21"/>
              </w:rPr>
              <w:t>blood pressure (BP)</w:t>
            </w:r>
            <w:r w:rsidRPr="00FB34EE">
              <w:rPr>
                <w:rFonts w:asciiTheme="minorBidi" w:hAnsiTheme="minorBidi"/>
                <w:sz w:val="21"/>
                <w:szCs w:val="21"/>
              </w:rPr>
              <w:t xml:space="preserve"> lowering in recurrent stroke.</w:t>
            </w:r>
            <w:r w:rsidR="00BD68CF">
              <w:rPr>
                <w:rFonts w:asciiTheme="minorBidi" w:hAnsiTheme="minorBidi"/>
                <w:sz w:val="21"/>
                <w:szCs w:val="21"/>
              </w:rPr>
              <w:t xml:space="preserve"> </w:t>
            </w:r>
            <w:r w:rsidR="00006DC0">
              <w:rPr>
                <w:rFonts w:asciiTheme="minorBidi" w:hAnsiTheme="minorBidi"/>
                <w:sz w:val="21"/>
                <w:szCs w:val="21"/>
              </w:rPr>
              <w:t>The t</w:t>
            </w:r>
            <w:r w:rsidRPr="00FB34EE">
              <w:rPr>
                <w:rFonts w:asciiTheme="minorBidi" w:hAnsiTheme="minorBidi"/>
                <w:sz w:val="21"/>
                <w:szCs w:val="21"/>
              </w:rPr>
              <w:t xml:space="preserve">rial provided evidence for those with known </w:t>
            </w:r>
            <w:r w:rsidR="00141777" w:rsidRPr="00FB34EE">
              <w:rPr>
                <w:rFonts w:asciiTheme="minorBidi" w:hAnsiTheme="minorBidi"/>
                <w:sz w:val="21"/>
                <w:szCs w:val="21"/>
              </w:rPr>
              <w:t xml:space="preserve">cardiovascular disease </w:t>
            </w:r>
            <w:r w:rsidRPr="00FB34EE">
              <w:rPr>
                <w:rFonts w:asciiTheme="minorBidi" w:hAnsiTheme="minorBidi"/>
                <w:sz w:val="21"/>
                <w:szCs w:val="21"/>
              </w:rPr>
              <w:t>irrespective of baseline BP.</w:t>
            </w:r>
          </w:p>
        </w:tc>
      </w:tr>
      <w:tr w:rsidR="004F1985" w:rsidRPr="00FB34EE" w14:paraId="60C78A11" w14:textId="77777777" w:rsidTr="00392788">
        <w:trPr>
          <w:trHeight w:val="2106"/>
        </w:trPr>
        <w:tc>
          <w:tcPr>
            <w:tcW w:w="2948" w:type="dxa"/>
            <w:shd w:val="clear" w:color="auto" w:fill="auto"/>
            <w:tcMar>
              <w:top w:w="28" w:type="dxa"/>
              <w:left w:w="113" w:type="dxa"/>
              <w:bottom w:w="0" w:type="dxa"/>
              <w:right w:w="113" w:type="dxa"/>
            </w:tcMar>
            <w:vAlign w:val="center"/>
            <w:hideMark/>
          </w:tcPr>
          <w:p w14:paraId="427B6415" w14:textId="0CAC0E69" w:rsidR="00AC0148" w:rsidRPr="00FB34EE" w:rsidRDefault="00AC0148" w:rsidP="00657F18">
            <w:pPr>
              <w:spacing w:before="0" w:after="0" w:line="240" w:lineRule="auto"/>
              <w:rPr>
                <w:rFonts w:asciiTheme="minorBidi" w:hAnsiTheme="minorBidi"/>
                <w:sz w:val="21"/>
                <w:szCs w:val="21"/>
              </w:rPr>
            </w:pPr>
            <w:r w:rsidRPr="00FB34EE">
              <w:rPr>
                <w:rStyle w:val="Strong"/>
                <w:rFonts w:asciiTheme="minorBidi" w:hAnsiTheme="minorBidi"/>
                <w:sz w:val="21"/>
                <w:szCs w:val="21"/>
              </w:rPr>
              <w:t>QASC:</w:t>
            </w:r>
            <w:r w:rsidRPr="00FB34EE">
              <w:rPr>
                <w:rFonts w:asciiTheme="minorBidi" w:hAnsiTheme="minorBidi"/>
                <w:sz w:val="21"/>
                <w:szCs w:val="21"/>
              </w:rPr>
              <w:t xml:space="preserve"> Implementation of evidence-based treatment protocols to manage fever, hyperglycaemia and swallowing (FeSS) dysfunction in acute stroke</w:t>
            </w:r>
            <w:r w:rsidR="009A7E2E">
              <w:rPr>
                <w:rFonts w:asciiTheme="minorBidi" w:hAnsiTheme="minorBidi"/>
                <w:sz w:val="21"/>
                <w:szCs w:val="21"/>
              </w:rPr>
              <w:t>.</w:t>
            </w:r>
          </w:p>
        </w:tc>
        <w:tc>
          <w:tcPr>
            <w:tcW w:w="3186" w:type="dxa"/>
            <w:shd w:val="clear" w:color="auto" w:fill="auto"/>
            <w:tcMar>
              <w:top w:w="28" w:type="dxa"/>
              <w:left w:w="113" w:type="dxa"/>
              <w:bottom w:w="0" w:type="dxa"/>
              <w:right w:w="113" w:type="dxa"/>
            </w:tcMar>
            <w:vAlign w:val="center"/>
            <w:hideMark/>
          </w:tcPr>
          <w:p w14:paraId="12BB4469" w14:textId="44992CFB" w:rsidR="00AC0148" w:rsidRPr="00FB34EE" w:rsidRDefault="00AC0148" w:rsidP="00657F18">
            <w:pPr>
              <w:spacing w:before="0" w:after="0" w:line="240" w:lineRule="auto"/>
              <w:rPr>
                <w:rFonts w:asciiTheme="minorBidi" w:hAnsiTheme="minorBidi"/>
                <w:sz w:val="21"/>
                <w:szCs w:val="21"/>
              </w:rPr>
            </w:pPr>
            <w:r w:rsidRPr="00FB34EE">
              <w:rPr>
                <w:rFonts w:asciiTheme="minorBidi" w:hAnsiTheme="minorBidi"/>
                <w:sz w:val="21"/>
                <w:szCs w:val="21"/>
              </w:rPr>
              <w:t>Treatment delivered better long</w:t>
            </w:r>
            <w:r w:rsidR="00377AB3">
              <w:rPr>
                <w:rFonts w:asciiTheme="minorBidi" w:hAnsiTheme="minorBidi"/>
                <w:sz w:val="21"/>
                <w:szCs w:val="21"/>
              </w:rPr>
              <w:t>-</w:t>
            </w:r>
            <w:r w:rsidRPr="00FB34EE">
              <w:rPr>
                <w:rFonts w:asciiTheme="minorBidi" w:hAnsiTheme="minorBidi"/>
                <w:sz w:val="21"/>
                <w:szCs w:val="21"/>
              </w:rPr>
              <w:t>term outcomes following patient discharge (fewer deaths and improved dependency ratings)</w:t>
            </w:r>
            <w:r w:rsidR="009A7E2E">
              <w:rPr>
                <w:rFonts w:asciiTheme="minorBidi" w:hAnsiTheme="minorBidi"/>
                <w:sz w:val="21"/>
                <w:szCs w:val="21"/>
              </w:rPr>
              <w:t>.</w:t>
            </w:r>
          </w:p>
        </w:tc>
        <w:tc>
          <w:tcPr>
            <w:tcW w:w="3594" w:type="dxa"/>
            <w:shd w:val="clear" w:color="auto" w:fill="auto"/>
            <w:tcMar>
              <w:top w:w="28" w:type="dxa"/>
              <w:left w:w="113" w:type="dxa"/>
              <w:bottom w:w="0" w:type="dxa"/>
              <w:right w:w="113" w:type="dxa"/>
            </w:tcMar>
            <w:vAlign w:val="center"/>
            <w:hideMark/>
          </w:tcPr>
          <w:p w14:paraId="353C2E43" w14:textId="282C2B42" w:rsidR="00AC0148" w:rsidRPr="00FB34EE" w:rsidRDefault="00AC0148" w:rsidP="00657F18">
            <w:pPr>
              <w:spacing w:before="0" w:after="0" w:line="240" w:lineRule="auto"/>
              <w:rPr>
                <w:rFonts w:asciiTheme="minorBidi" w:hAnsiTheme="minorBidi"/>
                <w:sz w:val="21"/>
                <w:szCs w:val="21"/>
              </w:rPr>
            </w:pPr>
            <w:r w:rsidRPr="00FB34EE">
              <w:rPr>
                <w:rFonts w:asciiTheme="minorBidi" w:hAnsiTheme="minorBidi"/>
                <w:sz w:val="21"/>
                <w:szCs w:val="21"/>
              </w:rPr>
              <w:t xml:space="preserve">Previous guidelines were poorly followed or excluded patients from recommended treatment. The trial led to guideline changes and implementation of FeSS </w:t>
            </w:r>
            <w:r w:rsidR="00F93841">
              <w:rPr>
                <w:rFonts w:asciiTheme="minorBidi" w:hAnsiTheme="minorBidi"/>
                <w:sz w:val="21"/>
                <w:szCs w:val="21"/>
              </w:rPr>
              <w:br/>
            </w:r>
            <w:r w:rsidRPr="00FB34EE">
              <w:rPr>
                <w:rFonts w:asciiTheme="minorBidi" w:hAnsiTheme="minorBidi"/>
                <w:sz w:val="21"/>
                <w:szCs w:val="21"/>
              </w:rPr>
              <w:t>guideline</w:t>
            </w:r>
            <w:r w:rsidR="00377AB3">
              <w:rPr>
                <w:rFonts w:asciiTheme="minorBidi" w:hAnsiTheme="minorBidi"/>
                <w:sz w:val="21"/>
                <w:szCs w:val="21"/>
              </w:rPr>
              <w:t>-</w:t>
            </w:r>
            <w:r w:rsidRPr="00FB34EE">
              <w:rPr>
                <w:rFonts w:asciiTheme="minorBidi" w:hAnsiTheme="minorBidi"/>
                <w:sz w:val="21"/>
                <w:szCs w:val="21"/>
              </w:rPr>
              <w:t>based interventions</w:t>
            </w:r>
            <w:r w:rsidR="00006DC0">
              <w:rPr>
                <w:rFonts w:asciiTheme="minorBidi" w:hAnsiTheme="minorBidi"/>
                <w:sz w:val="21"/>
                <w:szCs w:val="21"/>
              </w:rPr>
              <w:t>.</w:t>
            </w:r>
            <w:r w:rsidRPr="00FB34EE">
              <w:rPr>
                <w:rFonts w:asciiTheme="minorBidi" w:hAnsiTheme="minorBidi"/>
                <w:sz w:val="21"/>
                <w:szCs w:val="21"/>
              </w:rPr>
              <w:t xml:space="preserve"> </w:t>
            </w:r>
          </w:p>
        </w:tc>
      </w:tr>
    </w:tbl>
    <w:p w14:paraId="77E91BA9" w14:textId="77777777" w:rsidR="006E10BB" w:rsidRDefault="006E10BB">
      <w:pPr>
        <w:spacing w:before="0" w:after="200" w:line="276" w:lineRule="auto"/>
        <w:rPr>
          <w:rFonts w:ascii="Franklin Gothic Medium" w:eastAsiaTheme="majorEastAsia" w:hAnsi="Franklin Gothic Medium" w:cstheme="majorBidi"/>
          <w:b/>
          <w:bCs/>
          <w:color w:val="2F5496" w:themeColor="accent5" w:themeShade="BF"/>
          <w:spacing w:val="14"/>
          <w:sz w:val="28"/>
        </w:rPr>
      </w:pPr>
      <w:r>
        <w:br w:type="page"/>
      </w:r>
    </w:p>
    <w:p w14:paraId="36476049" w14:textId="79817EC4" w:rsidR="00C46400" w:rsidRDefault="0045559E" w:rsidP="00AC457A">
      <w:pPr>
        <w:pStyle w:val="Heading3"/>
        <w:rPr>
          <w:rStyle w:val="Strong"/>
          <w:rFonts w:eastAsiaTheme="minorHAnsi" w:cstheme="minorBidi"/>
          <w:b/>
          <w:bCs/>
          <w:spacing w:val="0"/>
        </w:rPr>
      </w:pPr>
      <w:r>
        <w:lastRenderedPageBreak/>
        <w:t>Case Study 2</w:t>
      </w:r>
      <w:r w:rsidR="000E0DB8">
        <w:t>:</w:t>
      </w:r>
      <w:r>
        <w:t xml:space="preserve"> </w:t>
      </w:r>
      <w:r w:rsidR="00A573E8">
        <w:t>T</w:t>
      </w:r>
      <w:r w:rsidR="00F609EF">
        <w:t>rials in maternal and perinatal health</w:t>
      </w:r>
      <w:r>
        <w:t xml:space="preserve"> </w:t>
      </w:r>
    </w:p>
    <w:p w14:paraId="75D17169" w14:textId="1D4A6A6C" w:rsidR="00EB159B" w:rsidRDefault="00EB159B" w:rsidP="00392788">
      <w:pPr>
        <w:pStyle w:val="Commissionbodytext"/>
      </w:pPr>
      <w:bookmarkStart w:id="89" w:name="OLE_LINK3"/>
      <w:r>
        <w:t>Ten late-phase investigator-</w:t>
      </w:r>
      <w:r w:rsidR="005F1A34">
        <w:t xml:space="preserve">initiated trials </w:t>
      </w:r>
      <w:r>
        <w:t>conducted by the IMPACT network were included in the analysis.</w:t>
      </w:r>
      <w:r w:rsidR="00AC457A">
        <w:t xml:space="preserve"> </w:t>
      </w:r>
      <w:r w:rsidR="00AC457A">
        <w:fldChar w:fldCharType="begin"/>
      </w:r>
      <w:r w:rsidR="00AC457A">
        <w:instrText xml:space="preserve"> REF _Ref475276991 \h </w:instrText>
      </w:r>
      <w:r w:rsidR="00F93841">
        <w:instrText xml:space="preserve"> \* MERGEFORMAT </w:instrText>
      </w:r>
      <w:r w:rsidR="00AC457A">
        <w:fldChar w:fldCharType="separate"/>
      </w:r>
      <w:r w:rsidR="007B3054">
        <w:t xml:space="preserve">Table </w:t>
      </w:r>
      <w:r w:rsidR="007B3054">
        <w:rPr>
          <w:noProof/>
        </w:rPr>
        <w:t>10</w:t>
      </w:r>
      <w:r w:rsidR="00AC457A">
        <w:fldChar w:fldCharType="end"/>
      </w:r>
      <w:r w:rsidR="00DF60E2">
        <w:t xml:space="preserve"> provides a summary of </w:t>
      </w:r>
      <w:r>
        <w:t>the main findings of each trial and the clinical context used to assess benefit</w:t>
      </w:r>
      <w:r w:rsidR="00466BF7">
        <w:t>s</w:t>
      </w:r>
      <w:r>
        <w:t xml:space="preserve">. </w:t>
      </w:r>
    </w:p>
    <w:p w14:paraId="154398D9" w14:textId="77777777" w:rsidR="00F93841" w:rsidRDefault="00F93841" w:rsidP="00392788">
      <w:pPr>
        <w:pStyle w:val="Commissionbodytext"/>
      </w:pPr>
    </w:p>
    <w:p w14:paraId="3DF9F589" w14:textId="3FB19A4D" w:rsidR="00D31E80" w:rsidRDefault="0024005C" w:rsidP="00392788">
      <w:pPr>
        <w:pStyle w:val="Commissionbodytext"/>
      </w:pPr>
      <w:r>
        <w:t xml:space="preserve">A consolidated gross benefit of $682 million was estimated, of which approximately </w:t>
      </w:r>
      <w:r w:rsidR="00F93841">
        <w:br/>
      </w:r>
      <w:r>
        <w:t>38% ($259</w:t>
      </w:r>
      <w:r w:rsidR="00046EB8">
        <w:t xml:space="preserve"> </w:t>
      </w:r>
      <w:r>
        <w:t>m</w:t>
      </w:r>
      <w:r w:rsidR="00046EB8">
        <w:t>illion</w:t>
      </w:r>
      <w:r>
        <w:t>) was derived from direct</w:t>
      </w:r>
      <w:r w:rsidR="000A1344">
        <w:t xml:space="preserve"> service costs avoided (</w:t>
      </w:r>
      <w:r w:rsidR="00B11B74">
        <w:t xml:space="preserve">see </w:t>
      </w:r>
      <w:r w:rsidR="00D05771">
        <w:fldChar w:fldCharType="begin"/>
      </w:r>
      <w:r w:rsidR="00D05771">
        <w:instrText xml:space="preserve"> REF _Ref475267692 \h </w:instrText>
      </w:r>
      <w:r w:rsidR="00F93841">
        <w:instrText xml:space="preserve"> \* MERGEFORMAT </w:instrText>
      </w:r>
      <w:r w:rsidR="00D05771">
        <w:fldChar w:fldCharType="separate"/>
      </w:r>
      <w:r w:rsidR="007B3054">
        <w:t xml:space="preserve">Figure </w:t>
      </w:r>
      <w:r w:rsidR="007B3054">
        <w:rPr>
          <w:noProof/>
        </w:rPr>
        <w:t>7</w:t>
      </w:r>
      <w:r w:rsidR="00D05771">
        <w:fldChar w:fldCharType="end"/>
      </w:r>
      <w:r>
        <w:t>)</w:t>
      </w:r>
      <w:r w:rsidR="00D05771">
        <w:t>.</w:t>
      </w:r>
      <w:r>
        <w:t xml:space="preserve"> Total costs amounted to $173 million, which included funding for the trials analysed ($9</w:t>
      </w:r>
      <w:r w:rsidR="00046EB8">
        <w:t xml:space="preserve"> </w:t>
      </w:r>
      <w:r>
        <w:t>m</w:t>
      </w:r>
      <w:r w:rsidR="00046EB8">
        <w:t>illion</w:t>
      </w:r>
      <w:r>
        <w:t xml:space="preserve">, of which </w:t>
      </w:r>
      <w:r w:rsidR="00F93841">
        <w:br/>
      </w:r>
      <w:r>
        <w:t>$8</w:t>
      </w:r>
      <w:r w:rsidR="00046EB8">
        <w:t xml:space="preserve"> </w:t>
      </w:r>
      <w:r>
        <w:t>m</w:t>
      </w:r>
      <w:r w:rsidR="00046EB8">
        <w:t>illion</w:t>
      </w:r>
      <w:r>
        <w:t xml:space="preserve"> was NHMRC funding), funding for all other studies conducted by the IMPACT network between 2004</w:t>
      </w:r>
      <w:r w:rsidR="006E2AB2">
        <w:t xml:space="preserve"> and</w:t>
      </w:r>
      <w:r w:rsidR="00F93841">
        <w:t xml:space="preserve"> </w:t>
      </w:r>
      <w:r w:rsidR="006E2AB2">
        <w:t>20</w:t>
      </w:r>
      <w:r>
        <w:t>14 ($123</w:t>
      </w:r>
      <w:r w:rsidR="00046EB8">
        <w:t xml:space="preserve"> </w:t>
      </w:r>
      <w:r>
        <w:t>m</w:t>
      </w:r>
      <w:r w:rsidR="00046EB8">
        <w:t>illion</w:t>
      </w:r>
      <w:r>
        <w:t xml:space="preserve">), </w:t>
      </w:r>
      <w:r w:rsidR="00466BF7">
        <w:t>trial</w:t>
      </w:r>
      <w:r w:rsidR="00F93841">
        <w:t xml:space="preserve"> </w:t>
      </w:r>
      <w:r w:rsidR="00466BF7">
        <w:t>coordinating centre costs ($39</w:t>
      </w:r>
      <w:r w:rsidR="00046EB8">
        <w:t xml:space="preserve"> </w:t>
      </w:r>
      <w:r w:rsidR="00466BF7">
        <w:t>m</w:t>
      </w:r>
      <w:r w:rsidR="00046EB8">
        <w:t>illion</w:t>
      </w:r>
      <w:r w:rsidR="00466BF7">
        <w:t xml:space="preserve">), </w:t>
      </w:r>
      <w:r>
        <w:t>lifetime central network funding ($0.4</w:t>
      </w:r>
      <w:r w:rsidR="00046EB8">
        <w:t xml:space="preserve"> </w:t>
      </w:r>
      <w:r>
        <w:t>m</w:t>
      </w:r>
      <w:r w:rsidR="00046EB8">
        <w:t>illion</w:t>
      </w:r>
      <w:r>
        <w:t>) and in-kind support ($2.2</w:t>
      </w:r>
      <w:r w:rsidR="00046EB8">
        <w:t xml:space="preserve"> </w:t>
      </w:r>
      <w:r>
        <w:t>m</w:t>
      </w:r>
      <w:r w:rsidR="00046EB8">
        <w:t>illion</w:t>
      </w:r>
      <w:r>
        <w:t>).</w:t>
      </w:r>
      <w:r w:rsidR="00D31E80">
        <w:t xml:space="preserve"> </w:t>
      </w:r>
    </w:p>
    <w:p w14:paraId="131E97F4" w14:textId="4E23513C" w:rsidR="00F4739E" w:rsidRDefault="00095A7C" w:rsidP="005A6152">
      <w:pPr>
        <w:pStyle w:val="Caption"/>
      </w:pPr>
      <w:r>
        <w:br/>
      </w:r>
      <w:bookmarkStart w:id="90" w:name="_Ref475267692"/>
      <w:bookmarkStart w:id="91" w:name="_Toc482629538"/>
      <w:r w:rsidR="00D31E80">
        <w:t xml:space="preserve">Figure </w:t>
      </w:r>
      <w:fldSimple w:instr=" SEQ Figure \* ARABIC ">
        <w:r w:rsidR="007B3054">
          <w:rPr>
            <w:noProof/>
          </w:rPr>
          <w:t>7</w:t>
        </w:r>
      </w:fldSimple>
      <w:bookmarkEnd w:id="90"/>
      <w:r w:rsidR="00D31E80">
        <w:t xml:space="preserve">. </w:t>
      </w:r>
      <w:r w:rsidR="005A6152">
        <w:t xml:space="preserve">Benefits and costs for trials </w:t>
      </w:r>
      <w:r w:rsidR="009027C4">
        <w:t>conducted by the IMPACT n</w:t>
      </w:r>
      <w:r w:rsidR="0024005C">
        <w:t>etwork</w:t>
      </w:r>
      <w:bookmarkEnd w:id="89"/>
      <w:bookmarkEnd w:id="91"/>
    </w:p>
    <w:p w14:paraId="7D31598A" w14:textId="004BDF76" w:rsidR="00FB34EE" w:rsidRPr="00FB34EE" w:rsidRDefault="00BD6933" w:rsidP="00FB34EE">
      <w:pPr>
        <w:rPr>
          <w:rStyle w:val="Strong"/>
          <w:b w:val="0"/>
          <w:bCs w:val="0"/>
          <w:color w:val="auto"/>
        </w:rPr>
      </w:pPr>
      <w:r>
        <w:rPr>
          <w:noProof/>
          <w:lang w:val="en-AU" w:eastAsia="en-AU"/>
        </w:rPr>
        <w:drawing>
          <wp:inline distT="0" distB="0" distL="0" distR="0" wp14:anchorId="0FA96375" wp14:editId="62008479">
            <wp:extent cx="6116320" cy="3662045"/>
            <wp:effectExtent l="0" t="0" r="0" b="0"/>
            <wp:docPr id="24" name="Picture 24" descr="Two adjacent pie charts. The left shows the breakdown of gross benefits derived from IMPACT trials with approx 2/3 arising through better health outcomes. The right shows the breakdown of total costs incurred by IMPACT with the largest proprtion of approximately 2/3 attributed to direct trial costs." title="Benefits and costs of trials conducted by the IMPACT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PACT.png"/>
                    <pic:cNvPicPr/>
                  </pic:nvPicPr>
                  <pic:blipFill>
                    <a:blip r:embed="rId28">
                      <a:extLst>
                        <a:ext uri="{28A0092B-C50C-407E-A947-70E740481C1C}">
                          <a14:useLocalDpi xmlns:a14="http://schemas.microsoft.com/office/drawing/2010/main" val="0"/>
                        </a:ext>
                      </a:extLst>
                    </a:blip>
                    <a:stretch>
                      <a:fillRect/>
                    </a:stretch>
                  </pic:blipFill>
                  <pic:spPr>
                    <a:xfrm>
                      <a:off x="0" y="0"/>
                      <a:ext cx="6116320" cy="3662045"/>
                    </a:xfrm>
                    <a:prstGeom prst="rect">
                      <a:avLst/>
                    </a:prstGeom>
                  </pic:spPr>
                </pic:pic>
              </a:graphicData>
            </a:graphic>
          </wp:inline>
        </w:drawing>
      </w:r>
    </w:p>
    <w:p w14:paraId="3456A570" w14:textId="77777777" w:rsidR="008721D4" w:rsidRPr="00392788" w:rsidRDefault="008721D4" w:rsidP="008721D4">
      <w:pPr>
        <w:pStyle w:val="IntenseQuote"/>
        <w:jc w:val="center"/>
        <w:rPr>
          <w:rStyle w:val="Strong"/>
          <w:rFonts w:ascii="Arial" w:hAnsi="Arial" w:cs="Arial"/>
          <w:b w:val="0"/>
          <w:bCs/>
          <w:color w:val="auto"/>
        </w:rPr>
      </w:pPr>
      <w:r w:rsidRPr="00392788">
        <w:rPr>
          <w:rFonts w:ascii="Arial" w:hAnsi="Arial" w:cs="Arial"/>
        </w:rPr>
        <w:t>The benefit to cost ratio for the IMPACT network was 3.9:1</w:t>
      </w:r>
    </w:p>
    <w:p w14:paraId="1651CAE4" w14:textId="77777777" w:rsidR="00FB34EE" w:rsidRDefault="00FB34EE">
      <w:pPr>
        <w:spacing w:before="0" w:after="200" w:line="276" w:lineRule="auto"/>
        <w:rPr>
          <w:rStyle w:val="Strong"/>
        </w:rPr>
      </w:pPr>
      <w:r>
        <w:rPr>
          <w:rStyle w:val="Strong"/>
        </w:rPr>
        <w:br w:type="page"/>
      </w:r>
    </w:p>
    <w:p w14:paraId="4EF4872A" w14:textId="11A80CA8" w:rsidR="005B3F18" w:rsidRPr="005B3F18" w:rsidRDefault="00D05771" w:rsidP="00AC457A">
      <w:pPr>
        <w:pStyle w:val="Caption"/>
      </w:pPr>
      <w:bookmarkStart w:id="92" w:name="_Ref475268943"/>
      <w:bookmarkStart w:id="93" w:name="_Ref475276991"/>
      <w:bookmarkStart w:id="94" w:name="_Toc479177733"/>
      <w:r>
        <w:lastRenderedPageBreak/>
        <w:t>Table</w:t>
      </w:r>
      <w:bookmarkEnd w:id="92"/>
      <w:r>
        <w:t xml:space="preserve"> </w:t>
      </w:r>
      <w:fldSimple w:instr=" SEQ Table \* ARABIC ">
        <w:r w:rsidR="007B3054">
          <w:rPr>
            <w:noProof/>
          </w:rPr>
          <w:t>10</w:t>
        </w:r>
      </w:fldSimple>
      <w:bookmarkEnd w:id="93"/>
      <w:r>
        <w:t xml:space="preserve">. </w:t>
      </w:r>
      <w:r w:rsidRPr="00810F56">
        <w:t>Summary of main findings and clinical context for IMPACT Network trials</w:t>
      </w:r>
      <w:bookmarkEnd w:id="94"/>
    </w:p>
    <w:tbl>
      <w:tblPr>
        <w:tblW w:w="10034"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20" w:firstRow="1" w:lastRow="0" w:firstColumn="0" w:lastColumn="0" w:noHBand="0" w:noVBand="1"/>
      </w:tblPr>
      <w:tblGrid>
        <w:gridCol w:w="3494"/>
        <w:gridCol w:w="3031"/>
        <w:gridCol w:w="3509"/>
      </w:tblGrid>
      <w:tr w:rsidR="00B61B0F" w:rsidRPr="005D770E" w14:paraId="5A3F7365" w14:textId="77777777" w:rsidTr="00392788">
        <w:trPr>
          <w:cantSplit/>
          <w:trHeight w:val="267"/>
          <w:tblHeader/>
        </w:trPr>
        <w:tc>
          <w:tcPr>
            <w:tcW w:w="3494" w:type="dxa"/>
            <w:shd w:val="clear" w:color="auto" w:fill="2F5496" w:themeFill="accent5" w:themeFillShade="BF"/>
            <w:tcMar>
              <w:top w:w="85" w:type="dxa"/>
              <w:left w:w="85" w:type="dxa"/>
              <w:bottom w:w="85" w:type="dxa"/>
              <w:right w:w="85" w:type="dxa"/>
            </w:tcMar>
            <w:vAlign w:val="bottom"/>
          </w:tcPr>
          <w:p w14:paraId="033F6982" w14:textId="4D00CDFB" w:rsidR="00B12FC4" w:rsidRPr="00392788" w:rsidRDefault="00B12FC4" w:rsidP="00392788">
            <w:pPr>
              <w:spacing w:after="0" w:line="276" w:lineRule="auto"/>
              <w:rPr>
                <w:rFonts w:cs="Arial"/>
                <w:b/>
                <w:sz w:val="21"/>
                <w:szCs w:val="21"/>
                <w:lang w:val="en-AU"/>
              </w:rPr>
            </w:pPr>
            <w:bookmarkStart w:id="95" w:name="OLE_LINK1"/>
            <w:r w:rsidRPr="00392788">
              <w:rPr>
                <w:rFonts w:cs="Arial"/>
                <w:b/>
                <w:color w:val="FFFFFF" w:themeColor="background1"/>
                <w:sz w:val="21"/>
                <w:szCs w:val="21"/>
              </w:rPr>
              <w:t xml:space="preserve">Trial </w:t>
            </w:r>
            <w:r w:rsidR="00F93841">
              <w:rPr>
                <w:rFonts w:cs="Arial"/>
                <w:b/>
                <w:color w:val="FFFFFF" w:themeColor="background1"/>
                <w:sz w:val="21"/>
                <w:szCs w:val="21"/>
              </w:rPr>
              <w:t>d</w:t>
            </w:r>
            <w:r w:rsidRPr="00392788">
              <w:rPr>
                <w:rFonts w:cs="Arial"/>
                <w:b/>
                <w:color w:val="FFFFFF" w:themeColor="background1"/>
                <w:sz w:val="21"/>
                <w:szCs w:val="21"/>
              </w:rPr>
              <w:t>escription</w:t>
            </w:r>
          </w:p>
        </w:tc>
        <w:tc>
          <w:tcPr>
            <w:tcW w:w="3031" w:type="dxa"/>
            <w:shd w:val="clear" w:color="auto" w:fill="2F5496" w:themeFill="accent5" w:themeFillShade="BF"/>
            <w:tcMar>
              <w:top w:w="85" w:type="dxa"/>
              <w:left w:w="85" w:type="dxa"/>
              <w:bottom w:w="85" w:type="dxa"/>
              <w:right w:w="85" w:type="dxa"/>
            </w:tcMar>
            <w:vAlign w:val="bottom"/>
          </w:tcPr>
          <w:p w14:paraId="32BF5700" w14:textId="32EAF39F" w:rsidR="00B12FC4" w:rsidRPr="00392788" w:rsidRDefault="00B12FC4" w:rsidP="00392788">
            <w:pPr>
              <w:spacing w:after="0" w:line="276" w:lineRule="auto"/>
              <w:rPr>
                <w:rFonts w:cs="Arial"/>
                <w:b/>
                <w:sz w:val="21"/>
                <w:szCs w:val="21"/>
                <w:lang w:val="en-AU"/>
              </w:rPr>
            </w:pPr>
            <w:r w:rsidRPr="00392788">
              <w:rPr>
                <w:rFonts w:cs="Arial"/>
                <w:b/>
                <w:color w:val="FFFFFF" w:themeColor="background1"/>
                <w:sz w:val="21"/>
                <w:szCs w:val="21"/>
              </w:rPr>
              <w:t xml:space="preserve">Main </w:t>
            </w:r>
            <w:r w:rsidR="00F93841">
              <w:rPr>
                <w:rFonts w:cs="Arial"/>
                <w:b/>
                <w:color w:val="FFFFFF" w:themeColor="background1"/>
                <w:sz w:val="21"/>
                <w:szCs w:val="21"/>
              </w:rPr>
              <w:t>f</w:t>
            </w:r>
            <w:r w:rsidRPr="00392788">
              <w:rPr>
                <w:rFonts w:cs="Arial"/>
                <w:b/>
                <w:color w:val="FFFFFF" w:themeColor="background1"/>
                <w:sz w:val="21"/>
                <w:szCs w:val="21"/>
              </w:rPr>
              <w:t>inding</w:t>
            </w:r>
          </w:p>
        </w:tc>
        <w:tc>
          <w:tcPr>
            <w:tcW w:w="3509" w:type="dxa"/>
            <w:shd w:val="clear" w:color="auto" w:fill="2F5496" w:themeFill="accent5" w:themeFillShade="BF"/>
            <w:tcMar>
              <w:top w:w="85" w:type="dxa"/>
              <w:left w:w="85" w:type="dxa"/>
              <w:bottom w:w="85" w:type="dxa"/>
              <w:right w:w="85" w:type="dxa"/>
            </w:tcMar>
            <w:vAlign w:val="bottom"/>
          </w:tcPr>
          <w:p w14:paraId="71796C5F" w14:textId="7A90E1A4" w:rsidR="00B12FC4" w:rsidRPr="00392788" w:rsidRDefault="00B12FC4" w:rsidP="00392788">
            <w:pPr>
              <w:spacing w:after="0" w:line="276" w:lineRule="auto"/>
              <w:rPr>
                <w:rFonts w:cs="Arial"/>
                <w:b/>
                <w:sz w:val="21"/>
                <w:szCs w:val="21"/>
                <w:lang w:val="en-AU"/>
              </w:rPr>
            </w:pPr>
            <w:r w:rsidRPr="00392788">
              <w:rPr>
                <w:rFonts w:cs="Arial"/>
                <w:b/>
                <w:color w:val="FFFFFF" w:themeColor="background1"/>
                <w:sz w:val="21"/>
                <w:szCs w:val="21"/>
              </w:rPr>
              <w:t xml:space="preserve">Clinical </w:t>
            </w:r>
            <w:r w:rsidR="00F93841">
              <w:rPr>
                <w:rFonts w:cs="Arial"/>
                <w:b/>
                <w:color w:val="FFFFFF" w:themeColor="background1"/>
                <w:sz w:val="21"/>
                <w:szCs w:val="21"/>
              </w:rPr>
              <w:t>c</w:t>
            </w:r>
            <w:r w:rsidRPr="00392788">
              <w:rPr>
                <w:rFonts w:cs="Arial"/>
                <w:b/>
                <w:color w:val="FFFFFF" w:themeColor="background1"/>
                <w:sz w:val="21"/>
                <w:szCs w:val="21"/>
              </w:rPr>
              <w:t>ontext</w:t>
            </w:r>
          </w:p>
        </w:tc>
      </w:tr>
      <w:tr w:rsidR="005D770E" w:rsidRPr="005D770E" w14:paraId="17914F26" w14:textId="77777777" w:rsidTr="00392788">
        <w:trPr>
          <w:cantSplit/>
          <w:trHeight w:val="1056"/>
        </w:trPr>
        <w:tc>
          <w:tcPr>
            <w:tcW w:w="3494" w:type="dxa"/>
            <w:shd w:val="clear" w:color="auto" w:fill="auto"/>
            <w:tcMar>
              <w:top w:w="85" w:type="dxa"/>
              <w:left w:w="85" w:type="dxa"/>
              <w:bottom w:w="85" w:type="dxa"/>
              <w:right w:w="85" w:type="dxa"/>
            </w:tcMar>
            <w:vAlign w:val="center"/>
            <w:hideMark/>
          </w:tcPr>
          <w:p w14:paraId="211B33FD" w14:textId="15C6D595" w:rsidR="00B12FC4" w:rsidRPr="00392788" w:rsidRDefault="00B12FC4" w:rsidP="00657F18">
            <w:pPr>
              <w:spacing w:before="0" w:after="0" w:line="240" w:lineRule="auto"/>
              <w:rPr>
                <w:rFonts w:cs="Arial"/>
                <w:sz w:val="21"/>
                <w:szCs w:val="21"/>
                <w:lang w:val="en-AU"/>
              </w:rPr>
            </w:pPr>
            <w:r w:rsidRPr="00392788">
              <w:rPr>
                <w:rStyle w:val="Strong"/>
                <w:rFonts w:cs="Arial"/>
                <w:sz w:val="21"/>
                <w:szCs w:val="21"/>
                <w:lang w:val="en-AU"/>
              </w:rPr>
              <w:t>ACHOIS:</w:t>
            </w:r>
            <w:r w:rsidRPr="00392788">
              <w:rPr>
                <w:rFonts w:cs="Arial"/>
                <w:sz w:val="21"/>
                <w:szCs w:val="21"/>
                <w:lang w:val="en-AU"/>
              </w:rPr>
              <w:t xml:space="preserve"> Effect of treatment of gestational diabetes mellitus on pregnancy outcomes</w:t>
            </w:r>
            <w:r w:rsidR="00F025B4" w:rsidRPr="00392788">
              <w:rPr>
                <w:rFonts w:cs="Arial"/>
                <w:sz w:val="21"/>
                <w:szCs w:val="21"/>
                <w:lang w:val="en-AU"/>
              </w:rPr>
              <w:t>.</w:t>
            </w:r>
          </w:p>
        </w:tc>
        <w:tc>
          <w:tcPr>
            <w:tcW w:w="3031" w:type="dxa"/>
            <w:shd w:val="clear" w:color="auto" w:fill="auto"/>
            <w:tcMar>
              <w:top w:w="85" w:type="dxa"/>
              <w:left w:w="85" w:type="dxa"/>
              <w:bottom w:w="85" w:type="dxa"/>
              <w:right w:w="85" w:type="dxa"/>
            </w:tcMar>
            <w:vAlign w:val="center"/>
            <w:hideMark/>
          </w:tcPr>
          <w:p w14:paraId="2BA63685" w14:textId="582D2319" w:rsidR="00B12FC4" w:rsidRPr="00392788" w:rsidRDefault="00832AEA" w:rsidP="00657F18">
            <w:pPr>
              <w:spacing w:before="0" w:after="0" w:line="240" w:lineRule="auto"/>
              <w:rPr>
                <w:rFonts w:cs="Arial"/>
                <w:sz w:val="21"/>
                <w:szCs w:val="21"/>
                <w:lang w:val="en-AU"/>
              </w:rPr>
            </w:pPr>
            <w:r w:rsidRPr="00392788">
              <w:rPr>
                <w:rFonts w:cs="Arial"/>
                <w:sz w:val="21"/>
                <w:szCs w:val="21"/>
                <w:lang w:val="en-AU"/>
              </w:rPr>
              <w:t xml:space="preserve">Treatment </w:t>
            </w:r>
            <w:r w:rsidR="00B12FC4" w:rsidRPr="00392788">
              <w:rPr>
                <w:rFonts w:cs="Arial"/>
                <w:sz w:val="21"/>
                <w:szCs w:val="21"/>
                <w:lang w:val="en-AU"/>
              </w:rPr>
              <w:t xml:space="preserve">reduced serious perinatal morbidity and also improved maternal health-related </w:t>
            </w:r>
            <w:r w:rsidR="006F4C8A" w:rsidRPr="00392788">
              <w:rPr>
                <w:rFonts w:cs="Arial"/>
                <w:sz w:val="21"/>
                <w:szCs w:val="21"/>
                <w:lang w:val="en-AU"/>
              </w:rPr>
              <w:t>quality of life</w:t>
            </w:r>
            <w:r w:rsidR="00F025B4" w:rsidRPr="00392788">
              <w:rPr>
                <w:rFonts w:cs="Arial"/>
                <w:sz w:val="21"/>
                <w:szCs w:val="21"/>
                <w:lang w:val="en-AU"/>
              </w:rPr>
              <w:t>.</w:t>
            </w:r>
          </w:p>
        </w:tc>
        <w:tc>
          <w:tcPr>
            <w:tcW w:w="3509" w:type="dxa"/>
            <w:shd w:val="clear" w:color="auto" w:fill="auto"/>
            <w:tcMar>
              <w:top w:w="85" w:type="dxa"/>
              <w:left w:w="85" w:type="dxa"/>
              <w:bottom w:w="85" w:type="dxa"/>
              <w:right w:w="85" w:type="dxa"/>
            </w:tcMar>
            <w:vAlign w:val="center"/>
            <w:hideMark/>
          </w:tcPr>
          <w:p w14:paraId="22865C58" w14:textId="5DAA2B43" w:rsidR="00B12FC4" w:rsidRPr="00392788" w:rsidRDefault="00B12FC4" w:rsidP="00657F18">
            <w:pPr>
              <w:spacing w:before="0" w:after="0" w:line="240" w:lineRule="auto"/>
              <w:rPr>
                <w:rFonts w:cs="Arial"/>
                <w:sz w:val="21"/>
                <w:szCs w:val="21"/>
                <w:lang w:val="en-AU"/>
              </w:rPr>
            </w:pPr>
            <w:r w:rsidRPr="00392788">
              <w:rPr>
                <w:rFonts w:cs="Arial"/>
                <w:sz w:val="21"/>
                <w:szCs w:val="21"/>
                <w:lang w:val="en-AU"/>
              </w:rPr>
              <w:t>Routine screening and treatment of gestational diabete</w:t>
            </w:r>
            <w:r w:rsidR="00F4739E" w:rsidRPr="00392788">
              <w:rPr>
                <w:rFonts w:cs="Arial"/>
                <w:sz w:val="21"/>
                <w:szCs w:val="21"/>
                <w:lang w:val="en-AU"/>
              </w:rPr>
              <w:t xml:space="preserve">s had not been common practice </w:t>
            </w:r>
            <w:r w:rsidRPr="00392788">
              <w:rPr>
                <w:rFonts w:cs="Arial"/>
                <w:sz w:val="21"/>
                <w:szCs w:val="21"/>
                <w:lang w:val="en-AU"/>
              </w:rPr>
              <w:t xml:space="preserve">and would not </w:t>
            </w:r>
            <w:r w:rsidR="00F4739E" w:rsidRPr="00392788">
              <w:rPr>
                <w:rFonts w:cs="Arial"/>
                <w:sz w:val="21"/>
                <w:szCs w:val="21"/>
                <w:lang w:val="en-AU"/>
              </w:rPr>
              <w:t xml:space="preserve">have been introduced without </w:t>
            </w:r>
            <w:r w:rsidR="00006DC0" w:rsidRPr="00392788">
              <w:rPr>
                <w:rFonts w:cs="Arial"/>
                <w:sz w:val="21"/>
                <w:szCs w:val="21"/>
                <w:lang w:val="en-AU"/>
              </w:rPr>
              <w:t xml:space="preserve">the </w:t>
            </w:r>
            <w:r w:rsidRPr="00392788">
              <w:rPr>
                <w:rFonts w:cs="Arial"/>
                <w:sz w:val="21"/>
                <w:szCs w:val="21"/>
                <w:lang w:val="en-AU"/>
              </w:rPr>
              <w:t>trial</w:t>
            </w:r>
            <w:r w:rsidR="00D87B93" w:rsidRPr="00392788">
              <w:rPr>
                <w:rFonts w:cs="Arial"/>
                <w:sz w:val="21"/>
                <w:szCs w:val="21"/>
                <w:lang w:val="en-AU"/>
              </w:rPr>
              <w:t>.</w:t>
            </w:r>
          </w:p>
        </w:tc>
      </w:tr>
      <w:tr w:rsidR="005D770E" w:rsidRPr="005D770E" w14:paraId="11A9AB4C" w14:textId="77777777" w:rsidTr="00392788">
        <w:trPr>
          <w:cantSplit/>
          <w:trHeight w:val="805"/>
        </w:trPr>
        <w:tc>
          <w:tcPr>
            <w:tcW w:w="3494" w:type="dxa"/>
            <w:shd w:val="clear" w:color="auto" w:fill="auto"/>
            <w:tcMar>
              <w:top w:w="85" w:type="dxa"/>
              <w:left w:w="85" w:type="dxa"/>
              <w:bottom w:w="85" w:type="dxa"/>
              <w:right w:w="85" w:type="dxa"/>
            </w:tcMar>
            <w:vAlign w:val="center"/>
            <w:hideMark/>
          </w:tcPr>
          <w:p w14:paraId="3C961A9B" w14:textId="190FB72F" w:rsidR="00B12FC4" w:rsidRPr="00657F18" w:rsidRDefault="00B12FC4" w:rsidP="00657F18">
            <w:pPr>
              <w:spacing w:before="0" w:after="0" w:line="240" w:lineRule="auto"/>
              <w:rPr>
                <w:rFonts w:asciiTheme="minorBidi" w:hAnsiTheme="minorBidi"/>
                <w:sz w:val="21"/>
                <w:szCs w:val="21"/>
                <w:lang w:val="en-AU"/>
              </w:rPr>
            </w:pPr>
            <w:r w:rsidRPr="00657F18">
              <w:rPr>
                <w:rStyle w:val="Strong"/>
                <w:rFonts w:asciiTheme="minorBidi" w:hAnsiTheme="minorBidi"/>
                <w:sz w:val="21"/>
                <w:szCs w:val="21"/>
                <w:lang w:val="en-AU"/>
              </w:rPr>
              <w:t>ACTOMgSO4:</w:t>
            </w:r>
            <w:r w:rsidRPr="00657F18">
              <w:rPr>
                <w:rFonts w:asciiTheme="minorBidi" w:hAnsiTheme="minorBidi"/>
                <w:b/>
                <w:bCs/>
                <w:sz w:val="21"/>
                <w:szCs w:val="21"/>
                <w:lang w:val="en-AU"/>
              </w:rPr>
              <w:t xml:space="preserve"> </w:t>
            </w:r>
            <w:r w:rsidRPr="00657F18">
              <w:rPr>
                <w:rFonts w:asciiTheme="minorBidi" w:hAnsiTheme="minorBidi"/>
                <w:sz w:val="21"/>
                <w:szCs w:val="21"/>
                <w:lang w:val="en-AU"/>
              </w:rPr>
              <w:t>Effect of magnesium sulphate given for neuroprotection before preterm birth</w:t>
            </w:r>
            <w:r w:rsidR="00F025B4" w:rsidRPr="00657F18">
              <w:rPr>
                <w:rFonts w:asciiTheme="minorBidi" w:hAnsiTheme="minorBidi"/>
                <w:sz w:val="21"/>
                <w:szCs w:val="21"/>
                <w:lang w:val="en-AU"/>
              </w:rPr>
              <w:t>.</w:t>
            </w:r>
          </w:p>
        </w:tc>
        <w:tc>
          <w:tcPr>
            <w:tcW w:w="3031" w:type="dxa"/>
            <w:shd w:val="clear" w:color="auto" w:fill="auto"/>
            <w:tcMar>
              <w:top w:w="85" w:type="dxa"/>
              <w:left w:w="85" w:type="dxa"/>
              <w:bottom w:w="85" w:type="dxa"/>
              <w:right w:w="85" w:type="dxa"/>
            </w:tcMar>
            <w:vAlign w:val="center"/>
            <w:hideMark/>
          </w:tcPr>
          <w:p w14:paraId="65876FD1" w14:textId="21D32221" w:rsidR="00B12FC4" w:rsidRPr="00657F18" w:rsidRDefault="00B12FC4" w:rsidP="00657F18">
            <w:pPr>
              <w:spacing w:before="0" w:after="0" w:line="240" w:lineRule="auto"/>
              <w:rPr>
                <w:rFonts w:asciiTheme="minorBidi" w:hAnsiTheme="minorBidi"/>
                <w:sz w:val="21"/>
                <w:szCs w:val="21"/>
                <w:lang w:val="en-AU"/>
              </w:rPr>
            </w:pPr>
            <w:r w:rsidRPr="00657F18">
              <w:rPr>
                <w:rFonts w:asciiTheme="minorBidi" w:hAnsiTheme="minorBidi"/>
                <w:sz w:val="21"/>
                <w:szCs w:val="21"/>
                <w:lang w:val="en-AU"/>
              </w:rPr>
              <w:t xml:space="preserve">Treatment had no adverse effect </w:t>
            </w:r>
            <w:r w:rsidR="00006DC0" w:rsidRPr="00657F18">
              <w:rPr>
                <w:rFonts w:asciiTheme="minorBidi" w:hAnsiTheme="minorBidi"/>
                <w:sz w:val="21"/>
                <w:szCs w:val="21"/>
                <w:lang w:val="en-AU"/>
              </w:rPr>
              <w:t>and</w:t>
            </w:r>
            <w:r w:rsidRPr="00657F18">
              <w:rPr>
                <w:rFonts w:asciiTheme="minorBidi" w:hAnsiTheme="minorBidi"/>
                <w:sz w:val="21"/>
                <w:szCs w:val="21"/>
                <w:lang w:val="en-AU"/>
              </w:rPr>
              <w:t xml:space="preserve"> reduced motor dysfunction</w:t>
            </w:r>
            <w:r w:rsidR="00F025B4" w:rsidRPr="00657F18">
              <w:rPr>
                <w:rFonts w:asciiTheme="minorBidi" w:hAnsiTheme="minorBidi"/>
                <w:sz w:val="21"/>
                <w:szCs w:val="21"/>
                <w:lang w:val="en-AU"/>
              </w:rPr>
              <w:t>.</w:t>
            </w:r>
          </w:p>
        </w:tc>
        <w:tc>
          <w:tcPr>
            <w:tcW w:w="3509" w:type="dxa"/>
            <w:shd w:val="clear" w:color="auto" w:fill="auto"/>
            <w:tcMar>
              <w:top w:w="85" w:type="dxa"/>
              <w:left w:w="85" w:type="dxa"/>
              <w:bottom w:w="85" w:type="dxa"/>
              <w:right w:w="85" w:type="dxa"/>
            </w:tcMar>
            <w:vAlign w:val="center"/>
            <w:hideMark/>
          </w:tcPr>
          <w:p w14:paraId="17D99805" w14:textId="1C405576" w:rsidR="00B12FC4" w:rsidRPr="00657F18" w:rsidRDefault="00D00ADB" w:rsidP="00657F18">
            <w:pPr>
              <w:spacing w:before="0" w:after="0" w:line="240" w:lineRule="auto"/>
              <w:rPr>
                <w:rFonts w:asciiTheme="minorBidi" w:hAnsiTheme="minorBidi"/>
                <w:sz w:val="21"/>
                <w:szCs w:val="21"/>
                <w:lang w:val="en-AU"/>
              </w:rPr>
            </w:pPr>
            <w:r w:rsidRPr="00657F18">
              <w:rPr>
                <w:rFonts w:asciiTheme="minorBidi" w:hAnsiTheme="minorBidi"/>
                <w:sz w:val="21"/>
                <w:szCs w:val="21"/>
                <w:lang w:val="en-AU"/>
              </w:rPr>
              <w:t>Treatment with magnesium sulphate should be considered as a result of this trial.</w:t>
            </w:r>
          </w:p>
        </w:tc>
      </w:tr>
      <w:tr w:rsidR="005D770E" w:rsidRPr="005D770E" w14:paraId="66A453ED" w14:textId="77777777" w:rsidTr="00392788">
        <w:trPr>
          <w:cantSplit/>
          <w:trHeight w:val="1045"/>
        </w:trPr>
        <w:tc>
          <w:tcPr>
            <w:tcW w:w="3494" w:type="dxa"/>
            <w:shd w:val="clear" w:color="auto" w:fill="auto"/>
            <w:tcMar>
              <w:top w:w="85" w:type="dxa"/>
              <w:left w:w="85" w:type="dxa"/>
              <w:bottom w:w="85" w:type="dxa"/>
              <w:right w:w="85" w:type="dxa"/>
            </w:tcMar>
            <w:vAlign w:val="center"/>
            <w:hideMark/>
          </w:tcPr>
          <w:p w14:paraId="351D2DEB" w14:textId="77D7189F" w:rsidR="00B12FC4" w:rsidRPr="00657F18" w:rsidRDefault="00B12FC4" w:rsidP="00657F18">
            <w:pPr>
              <w:spacing w:before="0" w:after="0" w:line="240" w:lineRule="auto"/>
              <w:rPr>
                <w:rFonts w:asciiTheme="minorBidi" w:hAnsiTheme="minorBidi"/>
                <w:sz w:val="21"/>
                <w:szCs w:val="21"/>
                <w:lang w:val="en-AU"/>
              </w:rPr>
            </w:pPr>
            <w:r w:rsidRPr="00657F18">
              <w:rPr>
                <w:rStyle w:val="Strong"/>
                <w:rFonts w:asciiTheme="minorBidi" w:hAnsiTheme="minorBidi"/>
                <w:sz w:val="21"/>
                <w:szCs w:val="21"/>
                <w:lang w:val="en-AU"/>
              </w:rPr>
              <w:t xml:space="preserve">ACTORDS: </w:t>
            </w:r>
            <w:r w:rsidR="00832AEA" w:rsidRPr="00657F18">
              <w:rPr>
                <w:rFonts w:asciiTheme="minorBidi" w:hAnsiTheme="minorBidi"/>
                <w:sz w:val="21"/>
                <w:szCs w:val="21"/>
              </w:rPr>
              <w:t>Preterm n</w:t>
            </w:r>
            <w:r w:rsidRPr="00657F18">
              <w:rPr>
                <w:rFonts w:asciiTheme="minorBidi" w:hAnsiTheme="minorBidi"/>
                <w:sz w:val="21"/>
                <w:szCs w:val="21"/>
                <w:lang w:val="en-AU"/>
              </w:rPr>
              <w:t>eonatal respiratory distress syndrome after repeat exposure to antenatal corticosteroids (v</w:t>
            </w:r>
            <w:r w:rsidR="006E2AB2" w:rsidRPr="00657F18">
              <w:rPr>
                <w:rFonts w:asciiTheme="minorBidi" w:hAnsiTheme="minorBidi"/>
                <w:sz w:val="21"/>
                <w:szCs w:val="21"/>
                <w:lang w:val="en-AU"/>
              </w:rPr>
              <w:t>er</w:t>
            </w:r>
            <w:r w:rsidRPr="00657F18">
              <w:rPr>
                <w:rFonts w:asciiTheme="minorBidi" w:hAnsiTheme="minorBidi"/>
                <w:sz w:val="21"/>
                <w:szCs w:val="21"/>
                <w:lang w:val="en-AU"/>
              </w:rPr>
              <w:t>s</w:t>
            </w:r>
            <w:r w:rsidR="006E2AB2" w:rsidRPr="00657F18">
              <w:rPr>
                <w:rFonts w:asciiTheme="minorBidi" w:hAnsiTheme="minorBidi"/>
                <w:sz w:val="21"/>
                <w:szCs w:val="21"/>
                <w:lang w:val="en-AU"/>
              </w:rPr>
              <w:t>us</w:t>
            </w:r>
            <w:r w:rsidRPr="00657F18">
              <w:rPr>
                <w:rFonts w:asciiTheme="minorBidi" w:hAnsiTheme="minorBidi"/>
                <w:sz w:val="21"/>
                <w:szCs w:val="21"/>
                <w:lang w:val="en-AU"/>
              </w:rPr>
              <w:t xml:space="preserve"> placebo</w:t>
            </w:r>
            <w:r w:rsidR="00832AEA" w:rsidRPr="00657F18">
              <w:rPr>
                <w:rFonts w:asciiTheme="minorBidi" w:hAnsiTheme="minorBidi"/>
                <w:sz w:val="21"/>
                <w:szCs w:val="21"/>
                <w:lang w:val="en-AU"/>
              </w:rPr>
              <w:t>)</w:t>
            </w:r>
            <w:r w:rsidR="00F025B4" w:rsidRPr="00657F18">
              <w:rPr>
                <w:rFonts w:asciiTheme="minorBidi" w:hAnsiTheme="minorBidi"/>
                <w:sz w:val="21"/>
                <w:szCs w:val="21"/>
                <w:lang w:val="en-AU"/>
              </w:rPr>
              <w:t>.</w:t>
            </w:r>
            <w:r w:rsidRPr="00657F18">
              <w:rPr>
                <w:rFonts w:asciiTheme="minorBidi" w:hAnsiTheme="minorBidi"/>
                <w:sz w:val="21"/>
                <w:szCs w:val="21"/>
                <w:lang w:val="en-AU"/>
              </w:rPr>
              <w:t xml:space="preserve"> </w:t>
            </w:r>
          </w:p>
        </w:tc>
        <w:tc>
          <w:tcPr>
            <w:tcW w:w="3031" w:type="dxa"/>
            <w:shd w:val="clear" w:color="auto" w:fill="auto"/>
            <w:tcMar>
              <w:top w:w="85" w:type="dxa"/>
              <w:left w:w="85" w:type="dxa"/>
              <w:bottom w:w="85" w:type="dxa"/>
              <w:right w:w="85" w:type="dxa"/>
            </w:tcMar>
            <w:vAlign w:val="center"/>
            <w:hideMark/>
          </w:tcPr>
          <w:p w14:paraId="3B7769C3" w14:textId="1A6E85B9" w:rsidR="00B12FC4" w:rsidRPr="00657F18" w:rsidRDefault="00B12FC4" w:rsidP="00657F18">
            <w:pPr>
              <w:spacing w:before="0" w:after="0" w:line="240" w:lineRule="auto"/>
              <w:rPr>
                <w:rFonts w:asciiTheme="minorBidi" w:hAnsiTheme="minorBidi"/>
                <w:sz w:val="21"/>
                <w:szCs w:val="21"/>
                <w:lang w:val="en-AU"/>
              </w:rPr>
            </w:pPr>
            <w:r w:rsidRPr="00657F18">
              <w:rPr>
                <w:rFonts w:asciiTheme="minorBidi" w:hAnsiTheme="minorBidi"/>
                <w:sz w:val="21"/>
                <w:szCs w:val="21"/>
                <w:lang w:val="en-AU"/>
              </w:rPr>
              <w:t>Exposure to repeat doses of antenatal corticosteroids reduced neonatal morbidity</w:t>
            </w:r>
            <w:r w:rsidR="00F025B4" w:rsidRPr="00657F18">
              <w:rPr>
                <w:rFonts w:asciiTheme="minorBidi" w:hAnsiTheme="minorBidi"/>
                <w:sz w:val="21"/>
                <w:szCs w:val="21"/>
                <w:lang w:val="en-AU"/>
              </w:rPr>
              <w:t>.</w:t>
            </w:r>
          </w:p>
        </w:tc>
        <w:tc>
          <w:tcPr>
            <w:tcW w:w="3509" w:type="dxa"/>
            <w:shd w:val="clear" w:color="auto" w:fill="auto"/>
            <w:tcMar>
              <w:top w:w="85" w:type="dxa"/>
              <w:left w:w="85" w:type="dxa"/>
              <w:bottom w:w="85" w:type="dxa"/>
              <w:right w:w="85" w:type="dxa"/>
            </w:tcMar>
            <w:vAlign w:val="center"/>
            <w:hideMark/>
          </w:tcPr>
          <w:p w14:paraId="6F212C10" w14:textId="06CB7754" w:rsidR="00B12FC4" w:rsidRPr="00657F18" w:rsidRDefault="00B12FC4" w:rsidP="00657F18">
            <w:pPr>
              <w:spacing w:before="0" w:after="0" w:line="240" w:lineRule="auto"/>
              <w:rPr>
                <w:rFonts w:asciiTheme="minorBidi" w:hAnsiTheme="minorBidi"/>
                <w:sz w:val="21"/>
                <w:szCs w:val="21"/>
                <w:lang w:val="en-AU"/>
              </w:rPr>
            </w:pPr>
            <w:r w:rsidRPr="00657F18">
              <w:rPr>
                <w:rFonts w:asciiTheme="minorBidi" w:hAnsiTheme="minorBidi"/>
                <w:sz w:val="21"/>
                <w:szCs w:val="21"/>
                <w:lang w:val="en-AU"/>
              </w:rPr>
              <w:t>Repeat doses of corticosteroid in prematurity were not endorsed before the trial but are now used in practice</w:t>
            </w:r>
            <w:r w:rsidR="00D87B93" w:rsidRPr="00657F18">
              <w:rPr>
                <w:rFonts w:asciiTheme="minorBidi" w:hAnsiTheme="minorBidi"/>
                <w:sz w:val="21"/>
                <w:szCs w:val="21"/>
                <w:lang w:val="en-AU"/>
              </w:rPr>
              <w:t>.</w:t>
            </w:r>
          </w:p>
        </w:tc>
      </w:tr>
      <w:tr w:rsidR="005D770E" w:rsidRPr="005D770E" w14:paraId="57A616CC" w14:textId="77777777" w:rsidTr="00392788">
        <w:trPr>
          <w:cantSplit/>
          <w:trHeight w:val="1045"/>
        </w:trPr>
        <w:tc>
          <w:tcPr>
            <w:tcW w:w="3494" w:type="dxa"/>
            <w:shd w:val="clear" w:color="auto" w:fill="auto"/>
            <w:tcMar>
              <w:top w:w="85" w:type="dxa"/>
              <w:left w:w="85" w:type="dxa"/>
              <w:bottom w:w="85" w:type="dxa"/>
              <w:right w:w="85" w:type="dxa"/>
            </w:tcMar>
            <w:vAlign w:val="center"/>
            <w:hideMark/>
          </w:tcPr>
          <w:p w14:paraId="49349D83" w14:textId="61DCBD62" w:rsidR="00B12FC4" w:rsidRPr="00657F18" w:rsidRDefault="00B12FC4" w:rsidP="00657F18">
            <w:pPr>
              <w:spacing w:before="0" w:after="0" w:line="240" w:lineRule="auto"/>
              <w:rPr>
                <w:rFonts w:asciiTheme="minorBidi" w:hAnsiTheme="minorBidi"/>
                <w:sz w:val="21"/>
                <w:szCs w:val="21"/>
                <w:lang w:val="en-AU"/>
              </w:rPr>
            </w:pPr>
            <w:r w:rsidRPr="00657F18">
              <w:rPr>
                <w:rStyle w:val="Strong"/>
                <w:rFonts w:asciiTheme="minorBidi" w:hAnsiTheme="minorBidi"/>
                <w:sz w:val="21"/>
                <w:szCs w:val="21"/>
                <w:lang w:val="en-AU"/>
              </w:rPr>
              <w:t>COIN:</w:t>
            </w:r>
            <w:r w:rsidRPr="00657F18">
              <w:rPr>
                <w:rFonts w:asciiTheme="minorBidi" w:hAnsiTheme="minorBidi"/>
                <w:sz w:val="21"/>
                <w:szCs w:val="21"/>
                <w:lang w:val="en-AU"/>
              </w:rPr>
              <w:t xml:space="preserve"> Nasal CPAP or intubation at birth for very preterm infants</w:t>
            </w:r>
            <w:r w:rsidR="00F025B4" w:rsidRPr="00657F18">
              <w:rPr>
                <w:rFonts w:asciiTheme="minorBidi" w:hAnsiTheme="minorBidi"/>
                <w:sz w:val="21"/>
                <w:szCs w:val="21"/>
                <w:lang w:val="en-AU"/>
              </w:rPr>
              <w:t>.</w:t>
            </w:r>
          </w:p>
        </w:tc>
        <w:tc>
          <w:tcPr>
            <w:tcW w:w="3031" w:type="dxa"/>
            <w:shd w:val="clear" w:color="auto" w:fill="auto"/>
            <w:tcMar>
              <w:top w:w="85" w:type="dxa"/>
              <w:left w:w="85" w:type="dxa"/>
              <w:bottom w:w="85" w:type="dxa"/>
              <w:right w:w="85" w:type="dxa"/>
            </w:tcMar>
            <w:vAlign w:val="center"/>
            <w:hideMark/>
          </w:tcPr>
          <w:p w14:paraId="028B9272" w14:textId="15E830D1" w:rsidR="00B12FC4" w:rsidRPr="00657F18" w:rsidRDefault="00B12FC4" w:rsidP="00657F18">
            <w:pPr>
              <w:spacing w:before="0" w:after="0" w:line="240" w:lineRule="auto"/>
              <w:rPr>
                <w:rFonts w:asciiTheme="minorBidi" w:hAnsiTheme="minorBidi"/>
                <w:sz w:val="21"/>
                <w:szCs w:val="21"/>
                <w:lang w:val="en-AU"/>
              </w:rPr>
            </w:pPr>
            <w:r w:rsidRPr="00657F18">
              <w:rPr>
                <w:rFonts w:asciiTheme="minorBidi" w:hAnsiTheme="minorBidi"/>
                <w:sz w:val="21"/>
                <w:szCs w:val="21"/>
                <w:lang w:val="en-AU"/>
              </w:rPr>
              <w:t>CPAP can be used from birth and reduced the rate of intubation and surfactant requirement</w:t>
            </w:r>
            <w:r w:rsidR="00F025B4" w:rsidRPr="00657F18">
              <w:rPr>
                <w:rFonts w:asciiTheme="minorBidi" w:hAnsiTheme="minorBidi"/>
                <w:sz w:val="21"/>
                <w:szCs w:val="21"/>
                <w:lang w:val="en-AU"/>
              </w:rPr>
              <w:t>.</w:t>
            </w:r>
          </w:p>
        </w:tc>
        <w:tc>
          <w:tcPr>
            <w:tcW w:w="3509" w:type="dxa"/>
            <w:shd w:val="clear" w:color="auto" w:fill="auto"/>
            <w:tcMar>
              <w:top w:w="85" w:type="dxa"/>
              <w:left w:w="85" w:type="dxa"/>
              <w:bottom w:w="85" w:type="dxa"/>
              <w:right w:w="85" w:type="dxa"/>
            </w:tcMar>
            <w:vAlign w:val="center"/>
            <w:hideMark/>
          </w:tcPr>
          <w:p w14:paraId="3F7DC973" w14:textId="579B37EE" w:rsidR="00B12FC4" w:rsidRPr="00657F18" w:rsidRDefault="00B12FC4" w:rsidP="00657F18">
            <w:pPr>
              <w:spacing w:before="0" w:after="0" w:line="240" w:lineRule="auto"/>
              <w:rPr>
                <w:rFonts w:asciiTheme="minorBidi" w:hAnsiTheme="minorBidi"/>
                <w:sz w:val="21"/>
                <w:szCs w:val="21"/>
                <w:lang w:val="en-AU"/>
              </w:rPr>
            </w:pPr>
            <w:r w:rsidRPr="00657F18">
              <w:rPr>
                <w:rFonts w:asciiTheme="minorBidi" w:hAnsiTheme="minorBidi"/>
                <w:sz w:val="21"/>
                <w:szCs w:val="21"/>
                <w:lang w:val="en-AU"/>
              </w:rPr>
              <w:t>Reduction in intubation and ventil</w:t>
            </w:r>
            <w:r w:rsidR="00832AEA" w:rsidRPr="00657F18">
              <w:rPr>
                <w:rFonts w:asciiTheme="minorBidi" w:hAnsiTheme="minorBidi"/>
                <w:sz w:val="21"/>
                <w:szCs w:val="21"/>
                <w:lang w:val="en-AU"/>
              </w:rPr>
              <w:t>ation immediately after birth</w:t>
            </w:r>
            <w:r w:rsidR="00006DC0" w:rsidRPr="00657F18">
              <w:rPr>
                <w:rFonts w:asciiTheme="minorBidi" w:hAnsiTheme="minorBidi"/>
                <w:sz w:val="21"/>
                <w:szCs w:val="21"/>
                <w:lang w:val="en-AU"/>
              </w:rPr>
              <w:t>.</w:t>
            </w:r>
            <w:r w:rsidR="00832AEA" w:rsidRPr="00657F18">
              <w:rPr>
                <w:rFonts w:asciiTheme="minorBidi" w:hAnsiTheme="minorBidi"/>
                <w:sz w:val="21"/>
                <w:szCs w:val="21"/>
                <w:lang w:val="en-AU"/>
              </w:rPr>
              <w:t xml:space="preserve"> G</w:t>
            </w:r>
            <w:r w:rsidRPr="00657F18">
              <w:rPr>
                <w:rFonts w:asciiTheme="minorBidi" w:hAnsiTheme="minorBidi"/>
                <w:sz w:val="21"/>
                <w:szCs w:val="21"/>
                <w:lang w:val="en-AU"/>
              </w:rPr>
              <w:t xml:space="preserve">uidelines </w:t>
            </w:r>
            <w:r w:rsidR="00832AEA" w:rsidRPr="00657F18">
              <w:rPr>
                <w:rFonts w:asciiTheme="minorBidi" w:hAnsiTheme="minorBidi"/>
                <w:sz w:val="21"/>
                <w:szCs w:val="21"/>
                <w:lang w:val="en-AU"/>
              </w:rPr>
              <w:t>would not have changed without the trial</w:t>
            </w:r>
            <w:r w:rsidR="00D87B93" w:rsidRPr="00657F18">
              <w:rPr>
                <w:rFonts w:asciiTheme="minorBidi" w:hAnsiTheme="minorBidi"/>
                <w:sz w:val="21"/>
                <w:szCs w:val="21"/>
                <w:lang w:val="en-AU"/>
              </w:rPr>
              <w:t>.</w:t>
            </w:r>
          </w:p>
        </w:tc>
      </w:tr>
      <w:tr w:rsidR="005D770E" w:rsidRPr="005D770E" w14:paraId="18DEE220" w14:textId="77777777" w:rsidTr="00392788">
        <w:trPr>
          <w:cantSplit/>
          <w:trHeight w:val="1040"/>
        </w:trPr>
        <w:tc>
          <w:tcPr>
            <w:tcW w:w="3494" w:type="dxa"/>
            <w:shd w:val="clear" w:color="auto" w:fill="auto"/>
            <w:tcMar>
              <w:top w:w="85" w:type="dxa"/>
              <w:left w:w="85" w:type="dxa"/>
              <w:bottom w:w="85" w:type="dxa"/>
              <w:right w:w="85" w:type="dxa"/>
            </w:tcMar>
            <w:vAlign w:val="center"/>
            <w:hideMark/>
          </w:tcPr>
          <w:p w14:paraId="19C56EAC" w14:textId="5769C669" w:rsidR="00B12FC4" w:rsidRPr="00657F18" w:rsidRDefault="00B12FC4" w:rsidP="00657F18">
            <w:pPr>
              <w:spacing w:before="0" w:after="0" w:line="240" w:lineRule="auto"/>
              <w:rPr>
                <w:rFonts w:asciiTheme="minorBidi" w:hAnsiTheme="minorBidi"/>
                <w:sz w:val="21"/>
                <w:szCs w:val="21"/>
                <w:lang w:val="en-AU"/>
              </w:rPr>
            </w:pPr>
            <w:r w:rsidRPr="00657F18">
              <w:rPr>
                <w:rStyle w:val="Strong"/>
                <w:rFonts w:asciiTheme="minorBidi" w:hAnsiTheme="minorBidi"/>
                <w:sz w:val="21"/>
                <w:szCs w:val="21"/>
                <w:lang w:val="en-AU"/>
              </w:rPr>
              <w:t>COSMOS:</w:t>
            </w:r>
            <w:r w:rsidRPr="00657F18">
              <w:rPr>
                <w:rFonts w:asciiTheme="minorBidi" w:hAnsiTheme="minorBidi"/>
                <w:b/>
                <w:bCs/>
                <w:sz w:val="21"/>
                <w:szCs w:val="21"/>
                <w:lang w:val="en-AU"/>
              </w:rPr>
              <w:t xml:space="preserve"> </w:t>
            </w:r>
            <w:r w:rsidRPr="00657F18">
              <w:rPr>
                <w:rFonts w:asciiTheme="minorBidi" w:hAnsiTheme="minorBidi"/>
                <w:sz w:val="21"/>
                <w:szCs w:val="21"/>
                <w:lang w:val="en-AU"/>
              </w:rPr>
              <w:t xml:space="preserve">Caseload midwifery care versus standard maternity care for women of </w:t>
            </w:r>
            <w:r w:rsidR="008D7CBE" w:rsidRPr="00657F18">
              <w:rPr>
                <w:rFonts w:asciiTheme="minorBidi" w:hAnsiTheme="minorBidi"/>
                <w:sz w:val="21"/>
                <w:szCs w:val="21"/>
                <w:lang w:val="en-AU"/>
              </w:rPr>
              <w:t xml:space="preserve">low </w:t>
            </w:r>
            <w:r w:rsidRPr="00657F18">
              <w:rPr>
                <w:rFonts w:asciiTheme="minorBidi" w:hAnsiTheme="minorBidi"/>
                <w:sz w:val="21"/>
                <w:szCs w:val="21"/>
                <w:lang w:val="en-AU"/>
              </w:rPr>
              <w:t>obstetric complication risk</w:t>
            </w:r>
            <w:r w:rsidR="00F025B4" w:rsidRPr="00657F18">
              <w:rPr>
                <w:rFonts w:asciiTheme="minorBidi" w:hAnsiTheme="minorBidi"/>
                <w:sz w:val="21"/>
                <w:szCs w:val="21"/>
                <w:lang w:val="en-AU"/>
              </w:rPr>
              <w:t>.</w:t>
            </w:r>
          </w:p>
        </w:tc>
        <w:tc>
          <w:tcPr>
            <w:tcW w:w="3031" w:type="dxa"/>
            <w:shd w:val="clear" w:color="auto" w:fill="auto"/>
            <w:tcMar>
              <w:top w:w="85" w:type="dxa"/>
              <w:left w:w="85" w:type="dxa"/>
              <w:bottom w:w="85" w:type="dxa"/>
              <w:right w:w="85" w:type="dxa"/>
            </w:tcMar>
            <w:vAlign w:val="center"/>
            <w:hideMark/>
          </w:tcPr>
          <w:p w14:paraId="463378CD" w14:textId="7FFF2341" w:rsidR="00B12FC4" w:rsidRPr="00657F18" w:rsidRDefault="00B12FC4" w:rsidP="00657F18">
            <w:pPr>
              <w:spacing w:before="0" w:after="0" w:line="240" w:lineRule="auto"/>
              <w:rPr>
                <w:rFonts w:asciiTheme="minorBidi" w:hAnsiTheme="minorBidi"/>
                <w:sz w:val="21"/>
                <w:szCs w:val="21"/>
                <w:lang w:val="en-AU"/>
              </w:rPr>
            </w:pPr>
            <w:r w:rsidRPr="00657F18">
              <w:rPr>
                <w:rFonts w:asciiTheme="minorBidi" w:hAnsiTheme="minorBidi"/>
                <w:sz w:val="21"/>
                <w:szCs w:val="21"/>
                <w:lang w:val="en-AU"/>
              </w:rPr>
              <w:t xml:space="preserve">Treatment reduced C-section, epidural pain relief, episiotomy, postpartum </w:t>
            </w:r>
            <w:r w:rsidR="00006DC0" w:rsidRPr="00657F18">
              <w:rPr>
                <w:rFonts w:asciiTheme="minorBidi" w:hAnsiTheme="minorBidi"/>
                <w:sz w:val="21"/>
                <w:szCs w:val="21"/>
                <w:lang w:val="en-AU"/>
              </w:rPr>
              <w:t>l</w:t>
            </w:r>
            <w:r w:rsidR="008D7CBE" w:rsidRPr="00657F18">
              <w:rPr>
                <w:rFonts w:asciiTheme="minorBidi" w:hAnsiTheme="minorBidi"/>
                <w:sz w:val="21"/>
                <w:szCs w:val="21"/>
                <w:lang w:val="en-AU"/>
              </w:rPr>
              <w:t>ength of stay</w:t>
            </w:r>
            <w:r w:rsidRPr="00657F18">
              <w:rPr>
                <w:rFonts w:asciiTheme="minorBidi" w:hAnsiTheme="minorBidi"/>
                <w:sz w:val="21"/>
                <w:szCs w:val="21"/>
                <w:lang w:val="en-AU"/>
              </w:rPr>
              <w:t xml:space="preserve">, </w:t>
            </w:r>
            <w:r w:rsidR="00006DC0" w:rsidRPr="00657F18">
              <w:rPr>
                <w:rFonts w:asciiTheme="minorBidi" w:hAnsiTheme="minorBidi"/>
                <w:sz w:val="21"/>
                <w:szCs w:val="21"/>
                <w:lang w:val="en-AU"/>
              </w:rPr>
              <w:t>n</w:t>
            </w:r>
            <w:r w:rsidR="008D7CBE" w:rsidRPr="00657F18">
              <w:rPr>
                <w:rFonts w:asciiTheme="minorBidi" w:hAnsiTheme="minorBidi"/>
                <w:sz w:val="21"/>
                <w:szCs w:val="21"/>
                <w:lang w:val="en-AU"/>
              </w:rPr>
              <w:t xml:space="preserve">eonatal </w:t>
            </w:r>
            <w:r w:rsidRPr="00657F18">
              <w:rPr>
                <w:rFonts w:asciiTheme="minorBidi" w:hAnsiTheme="minorBidi"/>
                <w:sz w:val="21"/>
                <w:szCs w:val="21"/>
                <w:lang w:val="en-AU"/>
              </w:rPr>
              <w:t>ICU use</w:t>
            </w:r>
            <w:r w:rsidR="00006DC0" w:rsidRPr="00657F18">
              <w:rPr>
                <w:rFonts w:asciiTheme="minorBidi" w:hAnsiTheme="minorBidi"/>
                <w:sz w:val="21"/>
                <w:szCs w:val="21"/>
                <w:lang w:val="en-AU"/>
              </w:rPr>
              <w:t xml:space="preserve"> and </w:t>
            </w:r>
            <w:r w:rsidRPr="00657F18">
              <w:rPr>
                <w:rFonts w:asciiTheme="minorBidi" w:hAnsiTheme="minorBidi"/>
                <w:sz w:val="21"/>
                <w:szCs w:val="21"/>
                <w:lang w:val="en-AU"/>
              </w:rPr>
              <w:t>low birth weight</w:t>
            </w:r>
            <w:r w:rsidR="00F025B4" w:rsidRPr="00657F18">
              <w:rPr>
                <w:rFonts w:asciiTheme="minorBidi" w:hAnsiTheme="minorBidi"/>
                <w:sz w:val="21"/>
                <w:szCs w:val="21"/>
                <w:lang w:val="en-AU"/>
              </w:rPr>
              <w:t>.</w:t>
            </w:r>
          </w:p>
        </w:tc>
        <w:tc>
          <w:tcPr>
            <w:tcW w:w="3509" w:type="dxa"/>
            <w:shd w:val="clear" w:color="auto" w:fill="auto"/>
            <w:tcMar>
              <w:top w:w="85" w:type="dxa"/>
              <w:left w:w="85" w:type="dxa"/>
              <w:bottom w:w="85" w:type="dxa"/>
              <w:right w:w="85" w:type="dxa"/>
            </w:tcMar>
            <w:vAlign w:val="center"/>
            <w:hideMark/>
          </w:tcPr>
          <w:p w14:paraId="3FAE32C7" w14:textId="231CB6A0" w:rsidR="00B12FC4" w:rsidRPr="00657F18" w:rsidRDefault="00B12FC4" w:rsidP="00657F18">
            <w:pPr>
              <w:spacing w:before="0" w:after="0" w:line="240" w:lineRule="auto"/>
              <w:rPr>
                <w:rFonts w:asciiTheme="minorBidi" w:hAnsiTheme="minorBidi"/>
                <w:sz w:val="21"/>
                <w:szCs w:val="21"/>
                <w:lang w:val="en-AU"/>
              </w:rPr>
            </w:pPr>
            <w:r w:rsidRPr="00657F18">
              <w:rPr>
                <w:rFonts w:asciiTheme="minorBidi" w:hAnsiTheme="minorBidi"/>
                <w:sz w:val="21"/>
                <w:szCs w:val="21"/>
                <w:lang w:val="en-AU"/>
              </w:rPr>
              <w:t xml:space="preserve">C-section rates </w:t>
            </w:r>
            <w:r w:rsidR="00F72082" w:rsidRPr="00657F18">
              <w:rPr>
                <w:rFonts w:asciiTheme="minorBidi" w:hAnsiTheme="minorBidi"/>
                <w:sz w:val="21"/>
                <w:szCs w:val="21"/>
                <w:lang w:val="en-AU"/>
              </w:rPr>
              <w:t xml:space="preserve">were increasing </w:t>
            </w:r>
            <w:r w:rsidRPr="00657F18">
              <w:rPr>
                <w:rFonts w:asciiTheme="minorBidi" w:hAnsiTheme="minorBidi"/>
                <w:sz w:val="21"/>
                <w:szCs w:val="21"/>
                <w:lang w:val="en-AU"/>
              </w:rPr>
              <w:t>leading up to</w:t>
            </w:r>
            <w:r w:rsidR="00006DC0" w:rsidRPr="00657F18">
              <w:rPr>
                <w:rFonts w:asciiTheme="minorBidi" w:hAnsiTheme="minorBidi"/>
                <w:sz w:val="21"/>
                <w:szCs w:val="21"/>
                <w:lang w:val="en-AU"/>
              </w:rPr>
              <w:t xml:space="preserve"> the</w:t>
            </w:r>
            <w:r w:rsidRPr="00657F18">
              <w:rPr>
                <w:rFonts w:asciiTheme="minorBidi" w:hAnsiTheme="minorBidi"/>
                <w:sz w:val="21"/>
                <w:szCs w:val="21"/>
                <w:lang w:val="en-AU"/>
              </w:rPr>
              <w:t xml:space="preserve"> </w:t>
            </w:r>
            <w:r w:rsidR="00006DC0" w:rsidRPr="00657F18">
              <w:rPr>
                <w:rFonts w:asciiTheme="minorBidi" w:hAnsiTheme="minorBidi"/>
                <w:sz w:val="21"/>
                <w:szCs w:val="21"/>
                <w:lang w:val="en-AU"/>
              </w:rPr>
              <w:t>t</w:t>
            </w:r>
            <w:r w:rsidRPr="00657F18">
              <w:rPr>
                <w:rFonts w:asciiTheme="minorBidi" w:hAnsiTheme="minorBidi"/>
                <w:sz w:val="21"/>
                <w:szCs w:val="21"/>
                <w:lang w:val="en-AU"/>
              </w:rPr>
              <w:t>rial.</w:t>
            </w:r>
            <w:r w:rsidR="00832AEA" w:rsidRPr="00657F18">
              <w:rPr>
                <w:rFonts w:asciiTheme="minorBidi" w:hAnsiTheme="minorBidi"/>
                <w:sz w:val="21"/>
                <w:szCs w:val="21"/>
                <w:lang w:val="en-AU"/>
              </w:rPr>
              <w:t xml:space="preserve"> Caseload midwifery rates have increased 31% since the trial</w:t>
            </w:r>
            <w:r w:rsidR="00F025B4" w:rsidRPr="00657F18">
              <w:rPr>
                <w:rFonts w:asciiTheme="minorBidi" w:hAnsiTheme="minorBidi"/>
                <w:sz w:val="21"/>
                <w:szCs w:val="21"/>
                <w:lang w:val="en-AU"/>
              </w:rPr>
              <w:t>.</w:t>
            </w:r>
            <w:r w:rsidR="008D7CBE" w:rsidRPr="00657F18">
              <w:rPr>
                <w:rStyle w:val="FootnoteReference"/>
                <w:rFonts w:asciiTheme="minorBidi" w:hAnsiTheme="minorBidi"/>
                <w:sz w:val="21"/>
                <w:szCs w:val="21"/>
                <w:lang w:val="en-AU"/>
              </w:rPr>
              <w:footnoteReference w:id="25"/>
            </w:r>
          </w:p>
        </w:tc>
      </w:tr>
      <w:tr w:rsidR="005D770E" w:rsidRPr="005D770E" w14:paraId="402F697F" w14:textId="77777777" w:rsidTr="00392788">
        <w:trPr>
          <w:cantSplit/>
          <w:trHeight w:val="834"/>
        </w:trPr>
        <w:tc>
          <w:tcPr>
            <w:tcW w:w="3494" w:type="dxa"/>
            <w:shd w:val="clear" w:color="auto" w:fill="auto"/>
            <w:tcMar>
              <w:top w:w="85" w:type="dxa"/>
              <w:left w:w="85" w:type="dxa"/>
              <w:bottom w:w="85" w:type="dxa"/>
              <w:right w:w="85" w:type="dxa"/>
            </w:tcMar>
            <w:vAlign w:val="center"/>
            <w:hideMark/>
          </w:tcPr>
          <w:p w14:paraId="39959355" w14:textId="76DBD7E4" w:rsidR="00B12FC4" w:rsidRPr="00657F18" w:rsidRDefault="00B12FC4" w:rsidP="00657F18">
            <w:pPr>
              <w:spacing w:before="0" w:after="0" w:line="240" w:lineRule="auto"/>
              <w:rPr>
                <w:rFonts w:asciiTheme="minorBidi" w:hAnsiTheme="minorBidi"/>
                <w:sz w:val="21"/>
                <w:szCs w:val="21"/>
                <w:lang w:val="en-AU"/>
              </w:rPr>
            </w:pPr>
            <w:r w:rsidRPr="00657F18">
              <w:rPr>
                <w:rStyle w:val="Strong"/>
                <w:rFonts w:asciiTheme="minorBidi" w:hAnsiTheme="minorBidi"/>
                <w:sz w:val="21"/>
                <w:szCs w:val="21"/>
                <w:lang w:val="en-AU"/>
              </w:rPr>
              <w:t>ICE:</w:t>
            </w:r>
            <w:r w:rsidRPr="00657F18">
              <w:rPr>
                <w:rFonts w:asciiTheme="minorBidi" w:hAnsiTheme="minorBidi"/>
                <w:sz w:val="21"/>
                <w:szCs w:val="21"/>
                <w:lang w:val="en-AU"/>
              </w:rPr>
              <w:t xml:space="preserve"> Whole body hypothermia for term </w:t>
            </w:r>
            <w:r w:rsidR="00377AB3" w:rsidRPr="00657F18">
              <w:rPr>
                <w:rFonts w:asciiTheme="minorBidi" w:hAnsiTheme="minorBidi"/>
                <w:sz w:val="21"/>
                <w:szCs w:val="21"/>
                <w:lang w:val="en-AU"/>
              </w:rPr>
              <w:t xml:space="preserve">and </w:t>
            </w:r>
            <w:r w:rsidRPr="00657F18">
              <w:rPr>
                <w:rFonts w:asciiTheme="minorBidi" w:hAnsiTheme="minorBidi"/>
                <w:sz w:val="21"/>
                <w:szCs w:val="21"/>
                <w:lang w:val="en-AU"/>
              </w:rPr>
              <w:t>near</w:t>
            </w:r>
            <w:r w:rsidR="00377AB3" w:rsidRPr="00657F18">
              <w:rPr>
                <w:rFonts w:asciiTheme="minorBidi" w:hAnsiTheme="minorBidi"/>
                <w:sz w:val="21"/>
                <w:szCs w:val="21"/>
                <w:lang w:val="en-AU"/>
              </w:rPr>
              <w:t>-</w:t>
            </w:r>
            <w:r w:rsidRPr="00657F18">
              <w:rPr>
                <w:rFonts w:asciiTheme="minorBidi" w:hAnsiTheme="minorBidi"/>
                <w:sz w:val="21"/>
                <w:szCs w:val="21"/>
                <w:lang w:val="en-AU"/>
              </w:rPr>
              <w:t>term newborns with hypoxic-ischemic encephalopathy</w:t>
            </w:r>
            <w:r w:rsidR="00F025B4" w:rsidRPr="00657F18">
              <w:rPr>
                <w:rFonts w:asciiTheme="minorBidi" w:hAnsiTheme="minorBidi"/>
                <w:sz w:val="21"/>
                <w:szCs w:val="21"/>
                <w:lang w:val="en-AU"/>
              </w:rPr>
              <w:t>.</w:t>
            </w:r>
            <w:r w:rsidRPr="00657F18">
              <w:rPr>
                <w:rFonts w:asciiTheme="minorBidi" w:hAnsiTheme="minorBidi"/>
                <w:sz w:val="21"/>
                <w:szCs w:val="21"/>
                <w:lang w:val="en-AU"/>
              </w:rPr>
              <w:t xml:space="preserve"> </w:t>
            </w:r>
          </w:p>
        </w:tc>
        <w:tc>
          <w:tcPr>
            <w:tcW w:w="3031" w:type="dxa"/>
            <w:shd w:val="clear" w:color="auto" w:fill="auto"/>
            <w:tcMar>
              <w:top w:w="85" w:type="dxa"/>
              <w:left w:w="85" w:type="dxa"/>
              <w:bottom w:w="85" w:type="dxa"/>
              <w:right w:w="85" w:type="dxa"/>
            </w:tcMar>
            <w:vAlign w:val="center"/>
            <w:hideMark/>
          </w:tcPr>
          <w:p w14:paraId="3A41F613" w14:textId="0602B9FF" w:rsidR="00B12FC4" w:rsidRPr="00657F18" w:rsidRDefault="00B12FC4" w:rsidP="00657F18">
            <w:pPr>
              <w:spacing w:before="0" w:after="0" w:line="240" w:lineRule="auto"/>
              <w:rPr>
                <w:rFonts w:asciiTheme="minorBidi" w:hAnsiTheme="minorBidi"/>
                <w:sz w:val="21"/>
                <w:szCs w:val="21"/>
                <w:lang w:val="en-AU"/>
              </w:rPr>
            </w:pPr>
            <w:r w:rsidRPr="00657F18">
              <w:rPr>
                <w:rFonts w:asciiTheme="minorBidi" w:hAnsiTheme="minorBidi"/>
                <w:sz w:val="21"/>
                <w:szCs w:val="21"/>
                <w:lang w:val="en-AU"/>
              </w:rPr>
              <w:t>Intervention reduced mortality (increased survival free of disability)</w:t>
            </w:r>
            <w:r w:rsidR="00F025B4" w:rsidRPr="00657F18">
              <w:rPr>
                <w:rFonts w:asciiTheme="minorBidi" w:hAnsiTheme="minorBidi"/>
                <w:sz w:val="21"/>
                <w:szCs w:val="21"/>
                <w:lang w:val="en-AU"/>
              </w:rPr>
              <w:t>.</w:t>
            </w:r>
            <w:r w:rsidRPr="00657F18">
              <w:rPr>
                <w:rFonts w:asciiTheme="minorBidi" w:hAnsiTheme="minorBidi"/>
                <w:sz w:val="21"/>
                <w:szCs w:val="21"/>
                <w:lang w:val="en-AU"/>
              </w:rPr>
              <w:t xml:space="preserve"> </w:t>
            </w:r>
          </w:p>
        </w:tc>
        <w:tc>
          <w:tcPr>
            <w:tcW w:w="3509" w:type="dxa"/>
            <w:shd w:val="clear" w:color="auto" w:fill="auto"/>
            <w:tcMar>
              <w:top w:w="85" w:type="dxa"/>
              <w:left w:w="85" w:type="dxa"/>
              <w:bottom w:w="85" w:type="dxa"/>
              <w:right w:w="85" w:type="dxa"/>
            </w:tcMar>
            <w:vAlign w:val="center"/>
            <w:hideMark/>
          </w:tcPr>
          <w:p w14:paraId="0F8A1AB6" w14:textId="5CABCBAA" w:rsidR="00B12FC4" w:rsidRPr="00657F18" w:rsidRDefault="00B12FC4" w:rsidP="00657F18">
            <w:pPr>
              <w:spacing w:before="0" w:after="0" w:line="240" w:lineRule="auto"/>
              <w:rPr>
                <w:rFonts w:asciiTheme="minorBidi" w:hAnsiTheme="minorBidi"/>
                <w:sz w:val="21"/>
                <w:szCs w:val="21"/>
                <w:lang w:val="en-AU"/>
              </w:rPr>
            </w:pPr>
            <w:r w:rsidRPr="00657F18">
              <w:rPr>
                <w:rFonts w:asciiTheme="minorBidi" w:hAnsiTheme="minorBidi"/>
                <w:sz w:val="21"/>
                <w:szCs w:val="21"/>
                <w:lang w:val="en-AU"/>
              </w:rPr>
              <w:t>Without the trial, whole body hypothermia would not have been implemented as practice</w:t>
            </w:r>
            <w:r w:rsidR="00D87B93" w:rsidRPr="00657F18">
              <w:rPr>
                <w:rFonts w:asciiTheme="minorBidi" w:hAnsiTheme="minorBidi"/>
                <w:sz w:val="21"/>
                <w:szCs w:val="21"/>
                <w:lang w:val="en-AU"/>
              </w:rPr>
              <w:t>.</w:t>
            </w:r>
            <w:r w:rsidRPr="00657F18">
              <w:rPr>
                <w:rFonts w:asciiTheme="minorBidi" w:hAnsiTheme="minorBidi"/>
                <w:sz w:val="21"/>
                <w:szCs w:val="21"/>
                <w:lang w:val="en-AU"/>
              </w:rPr>
              <w:t xml:space="preserve"> </w:t>
            </w:r>
          </w:p>
        </w:tc>
      </w:tr>
      <w:tr w:rsidR="005D770E" w:rsidRPr="005D770E" w14:paraId="60C09F67" w14:textId="77777777" w:rsidTr="00392788">
        <w:trPr>
          <w:cantSplit/>
          <w:trHeight w:val="15"/>
        </w:trPr>
        <w:tc>
          <w:tcPr>
            <w:tcW w:w="3494" w:type="dxa"/>
            <w:shd w:val="clear" w:color="auto" w:fill="auto"/>
            <w:tcMar>
              <w:top w:w="85" w:type="dxa"/>
              <w:left w:w="85" w:type="dxa"/>
              <w:bottom w:w="85" w:type="dxa"/>
              <w:right w:w="85" w:type="dxa"/>
            </w:tcMar>
            <w:vAlign w:val="center"/>
            <w:hideMark/>
          </w:tcPr>
          <w:p w14:paraId="75EEFB82" w14:textId="4C042FA9" w:rsidR="00B12FC4" w:rsidRPr="00657F18" w:rsidRDefault="00B12FC4" w:rsidP="00657F18">
            <w:pPr>
              <w:spacing w:before="0" w:after="0" w:line="240" w:lineRule="auto"/>
              <w:rPr>
                <w:rFonts w:cs="Arial"/>
                <w:sz w:val="21"/>
                <w:szCs w:val="21"/>
                <w:lang w:val="en-AU"/>
              </w:rPr>
            </w:pPr>
            <w:r w:rsidRPr="00657F18">
              <w:rPr>
                <w:rStyle w:val="Strong"/>
                <w:rFonts w:cs="Arial"/>
                <w:sz w:val="21"/>
                <w:szCs w:val="21"/>
                <w:lang w:val="en-AU"/>
              </w:rPr>
              <w:t>MAP:</w:t>
            </w:r>
            <w:r w:rsidRPr="00657F18">
              <w:rPr>
                <w:rFonts w:cs="Arial"/>
                <w:sz w:val="21"/>
                <w:szCs w:val="21"/>
                <w:lang w:val="en-AU"/>
              </w:rPr>
              <w:t xml:space="preserve"> Management of asthma in pregnancy guided by measurement of fraction of exhaled nitric oxide versus symptom based</w:t>
            </w:r>
            <w:r w:rsidR="00F025B4" w:rsidRPr="00657F18">
              <w:rPr>
                <w:rFonts w:cs="Arial"/>
                <w:sz w:val="21"/>
                <w:szCs w:val="21"/>
                <w:lang w:val="en-AU"/>
              </w:rPr>
              <w:t>.</w:t>
            </w:r>
          </w:p>
        </w:tc>
        <w:tc>
          <w:tcPr>
            <w:tcW w:w="3031" w:type="dxa"/>
            <w:shd w:val="clear" w:color="auto" w:fill="auto"/>
            <w:tcMar>
              <w:top w:w="85" w:type="dxa"/>
              <w:left w:w="85" w:type="dxa"/>
              <w:bottom w:w="85" w:type="dxa"/>
              <w:right w:w="85" w:type="dxa"/>
            </w:tcMar>
            <w:vAlign w:val="center"/>
            <w:hideMark/>
          </w:tcPr>
          <w:p w14:paraId="6C33AA47" w14:textId="14A90F12" w:rsidR="00B12FC4" w:rsidRPr="00657F18" w:rsidRDefault="00B12FC4" w:rsidP="00657F18">
            <w:pPr>
              <w:spacing w:before="0" w:after="0" w:line="240" w:lineRule="auto"/>
              <w:rPr>
                <w:rFonts w:cs="Arial"/>
                <w:sz w:val="21"/>
                <w:szCs w:val="21"/>
                <w:lang w:val="en-AU"/>
              </w:rPr>
            </w:pPr>
            <w:r w:rsidRPr="00657F18">
              <w:rPr>
                <w:rFonts w:cs="Arial"/>
                <w:sz w:val="21"/>
                <w:szCs w:val="21"/>
                <w:lang w:val="en-AU"/>
              </w:rPr>
              <w:t>Treatment showed fewer exacerbations requiring GP attendance</w:t>
            </w:r>
            <w:r w:rsidR="00F025B4" w:rsidRPr="00657F18">
              <w:rPr>
                <w:rFonts w:cs="Arial"/>
                <w:sz w:val="21"/>
                <w:szCs w:val="21"/>
                <w:lang w:val="en-AU"/>
              </w:rPr>
              <w:t>.</w:t>
            </w:r>
            <w:r w:rsidRPr="00657F18">
              <w:rPr>
                <w:rFonts w:cs="Arial"/>
                <w:sz w:val="21"/>
                <w:szCs w:val="21"/>
                <w:lang w:val="en-AU"/>
              </w:rPr>
              <w:t xml:space="preserve"> </w:t>
            </w:r>
          </w:p>
        </w:tc>
        <w:tc>
          <w:tcPr>
            <w:tcW w:w="3509" w:type="dxa"/>
            <w:shd w:val="clear" w:color="auto" w:fill="auto"/>
            <w:tcMar>
              <w:top w:w="85" w:type="dxa"/>
              <w:left w:w="85" w:type="dxa"/>
              <w:bottom w:w="85" w:type="dxa"/>
              <w:right w:w="85" w:type="dxa"/>
            </w:tcMar>
            <w:vAlign w:val="center"/>
            <w:hideMark/>
          </w:tcPr>
          <w:p w14:paraId="15184FF8" w14:textId="45B12B2C" w:rsidR="00B12FC4" w:rsidRPr="00657F18" w:rsidRDefault="00B12FC4" w:rsidP="00657F18">
            <w:pPr>
              <w:spacing w:before="0" w:after="0" w:line="240" w:lineRule="auto"/>
              <w:rPr>
                <w:rFonts w:cs="Arial"/>
                <w:sz w:val="21"/>
                <w:szCs w:val="21"/>
                <w:lang w:val="en-AU"/>
              </w:rPr>
            </w:pPr>
            <w:r w:rsidRPr="00657F18">
              <w:rPr>
                <w:rFonts w:cs="Arial"/>
                <w:sz w:val="21"/>
                <w:szCs w:val="21"/>
                <w:lang w:val="en-AU"/>
              </w:rPr>
              <w:t xml:space="preserve">Awareness of asthma during pregnancy </w:t>
            </w:r>
            <w:r w:rsidR="00B350A8" w:rsidRPr="00657F18">
              <w:rPr>
                <w:rFonts w:cs="Arial"/>
                <w:sz w:val="21"/>
                <w:szCs w:val="21"/>
                <w:lang w:val="en-AU"/>
              </w:rPr>
              <w:t xml:space="preserve">and </w:t>
            </w:r>
            <w:r w:rsidR="008D7CBE" w:rsidRPr="00657F18">
              <w:rPr>
                <w:rFonts w:cs="Arial"/>
                <w:sz w:val="21"/>
                <w:szCs w:val="21"/>
                <w:lang w:val="en-AU"/>
              </w:rPr>
              <w:t>management</w:t>
            </w:r>
            <w:r w:rsidRPr="00657F18">
              <w:rPr>
                <w:rFonts w:cs="Arial"/>
                <w:sz w:val="21"/>
                <w:szCs w:val="21"/>
                <w:lang w:val="en-AU"/>
              </w:rPr>
              <w:t xml:space="preserve"> has increased since the </w:t>
            </w:r>
            <w:r w:rsidR="00006DC0" w:rsidRPr="00657F18">
              <w:rPr>
                <w:rFonts w:cs="Arial"/>
                <w:sz w:val="21"/>
                <w:szCs w:val="21"/>
                <w:lang w:val="en-AU"/>
              </w:rPr>
              <w:t>t</w:t>
            </w:r>
            <w:r w:rsidRPr="00657F18">
              <w:rPr>
                <w:rFonts w:cs="Arial"/>
                <w:sz w:val="21"/>
                <w:szCs w:val="21"/>
                <w:lang w:val="en-AU"/>
              </w:rPr>
              <w:t>rial</w:t>
            </w:r>
            <w:r w:rsidR="00D87B93" w:rsidRPr="00657F18">
              <w:rPr>
                <w:rFonts w:cs="Arial"/>
                <w:sz w:val="21"/>
                <w:szCs w:val="21"/>
                <w:lang w:val="en-AU"/>
              </w:rPr>
              <w:t>.</w:t>
            </w:r>
          </w:p>
        </w:tc>
      </w:tr>
      <w:tr w:rsidR="005D770E" w:rsidRPr="005D770E" w14:paraId="435BA71B" w14:textId="77777777" w:rsidTr="00392788">
        <w:trPr>
          <w:cantSplit/>
          <w:trHeight w:val="947"/>
        </w:trPr>
        <w:tc>
          <w:tcPr>
            <w:tcW w:w="3494" w:type="dxa"/>
            <w:shd w:val="clear" w:color="auto" w:fill="auto"/>
            <w:tcMar>
              <w:top w:w="85" w:type="dxa"/>
              <w:left w:w="85" w:type="dxa"/>
              <w:bottom w:w="85" w:type="dxa"/>
              <w:right w:w="85" w:type="dxa"/>
            </w:tcMar>
            <w:vAlign w:val="center"/>
            <w:hideMark/>
          </w:tcPr>
          <w:p w14:paraId="58B0291A" w14:textId="37DE3F87" w:rsidR="00B12FC4" w:rsidRPr="00657F18" w:rsidRDefault="00B12FC4" w:rsidP="00657F18">
            <w:pPr>
              <w:spacing w:before="0" w:after="0" w:line="240" w:lineRule="auto"/>
              <w:rPr>
                <w:rFonts w:cs="Arial"/>
                <w:sz w:val="21"/>
                <w:szCs w:val="21"/>
                <w:lang w:val="en-AU"/>
              </w:rPr>
            </w:pPr>
            <w:r w:rsidRPr="00657F18">
              <w:rPr>
                <w:rStyle w:val="Strong"/>
                <w:rFonts w:cs="Arial"/>
                <w:sz w:val="21"/>
                <w:szCs w:val="21"/>
                <w:lang w:val="en-AU"/>
              </w:rPr>
              <w:t>M@NGO:</w:t>
            </w:r>
            <w:r w:rsidRPr="00657F18">
              <w:rPr>
                <w:rFonts w:cs="Arial"/>
                <w:sz w:val="21"/>
                <w:szCs w:val="21"/>
                <w:lang w:val="en-AU"/>
              </w:rPr>
              <w:t xml:space="preserve"> Caseload midwifery care versus standard maternity care for women of any risk</w:t>
            </w:r>
            <w:r w:rsidR="00F025B4" w:rsidRPr="00657F18">
              <w:rPr>
                <w:rFonts w:cs="Arial"/>
                <w:sz w:val="21"/>
                <w:szCs w:val="21"/>
                <w:lang w:val="en-AU"/>
              </w:rPr>
              <w:t>.</w:t>
            </w:r>
          </w:p>
        </w:tc>
        <w:tc>
          <w:tcPr>
            <w:tcW w:w="3031" w:type="dxa"/>
            <w:shd w:val="clear" w:color="auto" w:fill="auto"/>
            <w:tcMar>
              <w:top w:w="85" w:type="dxa"/>
              <w:left w:w="85" w:type="dxa"/>
              <w:bottom w:w="85" w:type="dxa"/>
              <w:right w:w="85" w:type="dxa"/>
            </w:tcMar>
            <w:vAlign w:val="center"/>
            <w:hideMark/>
          </w:tcPr>
          <w:p w14:paraId="7925BFDB" w14:textId="357B96E3" w:rsidR="00B12FC4" w:rsidRPr="00657F18" w:rsidRDefault="00B12FC4" w:rsidP="00657F18">
            <w:pPr>
              <w:spacing w:before="0" w:after="0" w:line="240" w:lineRule="auto"/>
              <w:rPr>
                <w:rFonts w:cs="Arial"/>
                <w:sz w:val="21"/>
                <w:szCs w:val="21"/>
                <w:lang w:val="en-AU"/>
              </w:rPr>
            </w:pPr>
            <w:r w:rsidRPr="00657F18">
              <w:rPr>
                <w:rFonts w:cs="Arial"/>
                <w:sz w:val="21"/>
                <w:szCs w:val="21"/>
                <w:lang w:val="en-AU"/>
              </w:rPr>
              <w:t xml:space="preserve">Caseload midwifery found to </w:t>
            </w:r>
            <w:r w:rsidR="00DF5B67" w:rsidRPr="00657F18">
              <w:rPr>
                <w:rFonts w:cs="Arial"/>
                <w:sz w:val="21"/>
                <w:szCs w:val="21"/>
                <w:lang w:val="en-AU"/>
              </w:rPr>
              <w:t>have a lower cost</w:t>
            </w:r>
            <w:r w:rsidRPr="00657F18">
              <w:rPr>
                <w:rFonts w:cs="Arial"/>
                <w:sz w:val="21"/>
                <w:szCs w:val="21"/>
                <w:lang w:val="en-AU"/>
              </w:rPr>
              <w:t xml:space="preserve"> than standard care, with equal outcomes</w:t>
            </w:r>
            <w:r w:rsidR="00D87B93" w:rsidRPr="00657F18">
              <w:rPr>
                <w:rFonts w:cs="Arial"/>
                <w:sz w:val="21"/>
                <w:szCs w:val="21"/>
                <w:lang w:val="en-AU"/>
              </w:rPr>
              <w:t>.</w:t>
            </w:r>
            <w:r w:rsidRPr="00657F18">
              <w:rPr>
                <w:rFonts w:cs="Arial"/>
                <w:sz w:val="21"/>
                <w:szCs w:val="21"/>
                <w:lang w:val="en-AU"/>
              </w:rPr>
              <w:t xml:space="preserve"> </w:t>
            </w:r>
          </w:p>
        </w:tc>
        <w:tc>
          <w:tcPr>
            <w:tcW w:w="3509" w:type="dxa"/>
            <w:shd w:val="clear" w:color="auto" w:fill="auto"/>
            <w:tcMar>
              <w:top w:w="85" w:type="dxa"/>
              <w:left w:w="85" w:type="dxa"/>
              <w:bottom w:w="85" w:type="dxa"/>
              <w:right w:w="85" w:type="dxa"/>
            </w:tcMar>
            <w:vAlign w:val="center"/>
            <w:hideMark/>
          </w:tcPr>
          <w:p w14:paraId="383E269A" w14:textId="18B8A1F3" w:rsidR="00B12FC4" w:rsidRPr="00657F18" w:rsidRDefault="00832AEA" w:rsidP="00657F18">
            <w:pPr>
              <w:spacing w:before="0" w:after="0" w:line="240" w:lineRule="auto"/>
              <w:rPr>
                <w:rFonts w:cs="Arial"/>
                <w:sz w:val="21"/>
                <w:szCs w:val="21"/>
                <w:lang w:val="en-AU"/>
              </w:rPr>
            </w:pPr>
            <w:r w:rsidRPr="00657F18">
              <w:rPr>
                <w:rFonts w:cs="Arial"/>
                <w:sz w:val="21"/>
                <w:szCs w:val="21"/>
                <w:lang w:val="en-AU"/>
              </w:rPr>
              <w:t>Caseload m</w:t>
            </w:r>
            <w:r w:rsidR="00B12FC4" w:rsidRPr="00657F18">
              <w:rPr>
                <w:rFonts w:cs="Arial"/>
                <w:sz w:val="21"/>
                <w:szCs w:val="21"/>
                <w:lang w:val="en-AU"/>
              </w:rPr>
              <w:t xml:space="preserve">idwifery rates </w:t>
            </w:r>
            <w:r w:rsidRPr="00657F18">
              <w:rPr>
                <w:rFonts w:cs="Arial"/>
                <w:sz w:val="21"/>
                <w:szCs w:val="21"/>
                <w:lang w:val="en-AU"/>
              </w:rPr>
              <w:t>have increased 31% since the trial</w:t>
            </w:r>
            <w:r w:rsidR="00D87B93" w:rsidRPr="00657F18">
              <w:rPr>
                <w:rFonts w:cs="Arial"/>
                <w:sz w:val="21"/>
                <w:szCs w:val="21"/>
                <w:lang w:val="en-AU"/>
              </w:rPr>
              <w:t>.</w:t>
            </w:r>
          </w:p>
        </w:tc>
      </w:tr>
      <w:tr w:rsidR="005D770E" w:rsidRPr="005D770E" w14:paraId="16FE4AF5" w14:textId="77777777" w:rsidTr="00392788">
        <w:trPr>
          <w:cantSplit/>
          <w:trHeight w:val="999"/>
        </w:trPr>
        <w:tc>
          <w:tcPr>
            <w:tcW w:w="3494" w:type="dxa"/>
            <w:shd w:val="clear" w:color="auto" w:fill="auto"/>
            <w:tcMar>
              <w:top w:w="85" w:type="dxa"/>
              <w:left w:w="85" w:type="dxa"/>
              <w:bottom w:w="85" w:type="dxa"/>
              <w:right w:w="85" w:type="dxa"/>
            </w:tcMar>
            <w:vAlign w:val="center"/>
            <w:hideMark/>
          </w:tcPr>
          <w:p w14:paraId="2E268363" w14:textId="2ED29B37" w:rsidR="00B12FC4" w:rsidRPr="00657F18" w:rsidRDefault="00B12FC4" w:rsidP="00657F18">
            <w:pPr>
              <w:spacing w:before="0" w:after="0" w:line="240" w:lineRule="auto"/>
              <w:rPr>
                <w:rFonts w:cs="Arial"/>
                <w:sz w:val="21"/>
                <w:szCs w:val="21"/>
                <w:lang w:val="en-AU"/>
              </w:rPr>
            </w:pPr>
            <w:r w:rsidRPr="00657F18">
              <w:rPr>
                <w:rStyle w:val="Strong"/>
                <w:rFonts w:cs="Arial"/>
                <w:sz w:val="21"/>
                <w:szCs w:val="21"/>
                <w:lang w:val="en-AU"/>
              </w:rPr>
              <w:t>PPROMT:</w:t>
            </w:r>
            <w:r w:rsidRPr="00657F18">
              <w:rPr>
                <w:rFonts w:cs="Arial"/>
                <w:sz w:val="21"/>
                <w:szCs w:val="21"/>
                <w:lang w:val="en-AU"/>
              </w:rPr>
              <w:t xml:space="preserve"> Immediate delivery </w:t>
            </w:r>
            <w:r w:rsidR="00832AEA" w:rsidRPr="00657F18">
              <w:rPr>
                <w:rFonts w:cs="Arial"/>
                <w:sz w:val="21"/>
                <w:szCs w:val="21"/>
                <w:lang w:val="en-AU"/>
              </w:rPr>
              <w:t xml:space="preserve">versus </w:t>
            </w:r>
            <w:r w:rsidRPr="00657F18">
              <w:rPr>
                <w:rFonts w:cs="Arial"/>
                <w:sz w:val="21"/>
                <w:szCs w:val="21"/>
                <w:lang w:val="en-AU"/>
              </w:rPr>
              <w:t>expectant management after pre-labour rupture of the membranes close to term</w:t>
            </w:r>
            <w:r w:rsidR="00F025B4" w:rsidRPr="00657F18">
              <w:rPr>
                <w:rFonts w:cs="Arial"/>
                <w:sz w:val="21"/>
                <w:szCs w:val="21"/>
                <w:lang w:val="en-AU"/>
              </w:rPr>
              <w:t>.</w:t>
            </w:r>
          </w:p>
        </w:tc>
        <w:tc>
          <w:tcPr>
            <w:tcW w:w="3031" w:type="dxa"/>
            <w:shd w:val="clear" w:color="auto" w:fill="auto"/>
            <w:tcMar>
              <w:top w:w="85" w:type="dxa"/>
              <w:left w:w="85" w:type="dxa"/>
              <w:bottom w:w="85" w:type="dxa"/>
              <w:right w:w="85" w:type="dxa"/>
            </w:tcMar>
            <w:vAlign w:val="center"/>
            <w:hideMark/>
          </w:tcPr>
          <w:p w14:paraId="168B38DF" w14:textId="317375D1" w:rsidR="00B12FC4" w:rsidRPr="00657F18" w:rsidRDefault="00B12FC4" w:rsidP="00657F18">
            <w:pPr>
              <w:spacing w:before="0" w:after="0" w:line="240" w:lineRule="auto"/>
              <w:rPr>
                <w:rFonts w:cs="Arial"/>
                <w:sz w:val="21"/>
                <w:szCs w:val="21"/>
                <w:lang w:val="en-AU"/>
              </w:rPr>
            </w:pPr>
            <w:r w:rsidRPr="00657F18">
              <w:rPr>
                <w:rFonts w:cs="Arial"/>
                <w:sz w:val="21"/>
                <w:szCs w:val="21"/>
                <w:lang w:val="en-AU"/>
              </w:rPr>
              <w:t>Expectant management had fewer adverse events</w:t>
            </w:r>
            <w:r w:rsidR="00D87B93" w:rsidRPr="00657F18">
              <w:rPr>
                <w:rFonts w:cs="Arial"/>
                <w:sz w:val="21"/>
                <w:szCs w:val="21"/>
                <w:lang w:val="en-AU"/>
              </w:rPr>
              <w:t>.</w:t>
            </w:r>
          </w:p>
        </w:tc>
        <w:tc>
          <w:tcPr>
            <w:tcW w:w="3509" w:type="dxa"/>
            <w:shd w:val="clear" w:color="auto" w:fill="auto"/>
            <w:tcMar>
              <w:top w:w="85" w:type="dxa"/>
              <w:left w:w="85" w:type="dxa"/>
              <w:bottom w:w="85" w:type="dxa"/>
              <w:right w:w="85" w:type="dxa"/>
            </w:tcMar>
            <w:vAlign w:val="center"/>
            <w:hideMark/>
          </w:tcPr>
          <w:p w14:paraId="7611768F" w14:textId="54CA9033" w:rsidR="00B12FC4" w:rsidRPr="00657F18" w:rsidRDefault="00006DC0" w:rsidP="00657F18">
            <w:pPr>
              <w:spacing w:before="0" w:after="0" w:line="240" w:lineRule="auto"/>
              <w:rPr>
                <w:rFonts w:cs="Arial"/>
                <w:sz w:val="21"/>
                <w:szCs w:val="21"/>
                <w:lang w:val="en-AU"/>
              </w:rPr>
            </w:pPr>
            <w:r w:rsidRPr="00657F18">
              <w:rPr>
                <w:rFonts w:cs="Arial"/>
                <w:sz w:val="21"/>
                <w:szCs w:val="21"/>
                <w:lang w:val="en-AU"/>
              </w:rPr>
              <w:t>Prior to the trial, i</w:t>
            </w:r>
            <w:r w:rsidR="00B12FC4" w:rsidRPr="00657F18">
              <w:rPr>
                <w:rFonts w:cs="Arial"/>
                <w:sz w:val="21"/>
                <w:szCs w:val="21"/>
                <w:lang w:val="en-AU"/>
              </w:rPr>
              <w:t xml:space="preserve">mmediate </w:t>
            </w:r>
            <w:r w:rsidR="008D7CBE" w:rsidRPr="00657F18">
              <w:rPr>
                <w:rFonts w:cs="Arial"/>
                <w:sz w:val="21"/>
                <w:szCs w:val="21"/>
                <w:lang w:val="en-AU"/>
              </w:rPr>
              <w:t xml:space="preserve">delivery </w:t>
            </w:r>
            <w:r w:rsidR="00B12FC4" w:rsidRPr="00657F18">
              <w:rPr>
                <w:rFonts w:cs="Arial"/>
                <w:sz w:val="21"/>
                <w:szCs w:val="21"/>
                <w:lang w:val="en-AU"/>
              </w:rPr>
              <w:t>was becoming common practice</w:t>
            </w:r>
            <w:r w:rsidRPr="00657F18">
              <w:rPr>
                <w:rFonts w:cs="Arial"/>
                <w:sz w:val="21"/>
                <w:szCs w:val="21"/>
                <w:lang w:val="en-AU"/>
              </w:rPr>
              <w:t xml:space="preserve">. The trial </w:t>
            </w:r>
            <w:r w:rsidR="00B12FC4" w:rsidRPr="00657F18">
              <w:rPr>
                <w:rFonts w:cs="Arial"/>
                <w:sz w:val="21"/>
                <w:szCs w:val="21"/>
                <w:lang w:val="en-AU"/>
              </w:rPr>
              <w:t xml:space="preserve">will prevent this </w:t>
            </w:r>
            <w:r w:rsidRPr="00657F18">
              <w:rPr>
                <w:rFonts w:cs="Arial"/>
                <w:sz w:val="21"/>
                <w:szCs w:val="21"/>
                <w:lang w:val="en-AU"/>
              </w:rPr>
              <w:t>from happening</w:t>
            </w:r>
            <w:r w:rsidR="00D87B93" w:rsidRPr="00657F18">
              <w:rPr>
                <w:rFonts w:cs="Arial"/>
                <w:sz w:val="21"/>
                <w:szCs w:val="21"/>
                <w:lang w:val="en-AU"/>
              </w:rPr>
              <w:t>.</w:t>
            </w:r>
          </w:p>
        </w:tc>
      </w:tr>
      <w:tr w:rsidR="005D770E" w:rsidRPr="005D770E" w14:paraId="103305D7" w14:textId="77777777" w:rsidTr="00392788">
        <w:trPr>
          <w:cantSplit/>
          <w:trHeight w:val="569"/>
        </w:trPr>
        <w:tc>
          <w:tcPr>
            <w:tcW w:w="3494" w:type="dxa"/>
            <w:shd w:val="clear" w:color="auto" w:fill="auto"/>
            <w:tcMar>
              <w:top w:w="85" w:type="dxa"/>
              <w:left w:w="85" w:type="dxa"/>
              <w:bottom w:w="85" w:type="dxa"/>
              <w:right w:w="85" w:type="dxa"/>
            </w:tcMar>
            <w:vAlign w:val="center"/>
            <w:hideMark/>
          </w:tcPr>
          <w:p w14:paraId="348E47FC" w14:textId="15E97788" w:rsidR="00B12FC4" w:rsidRPr="00657F18" w:rsidRDefault="00B12FC4" w:rsidP="00657F18">
            <w:pPr>
              <w:spacing w:before="0" w:after="0" w:line="240" w:lineRule="auto"/>
              <w:rPr>
                <w:rFonts w:cs="Arial"/>
                <w:sz w:val="21"/>
                <w:szCs w:val="21"/>
                <w:lang w:val="en-AU"/>
              </w:rPr>
            </w:pPr>
            <w:r w:rsidRPr="00657F18">
              <w:rPr>
                <w:rStyle w:val="Strong"/>
                <w:rFonts w:cs="Arial"/>
                <w:sz w:val="21"/>
                <w:szCs w:val="21"/>
                <w:lang w:val="en-AU"/>
              </w:rPr>
              <w:lastRenderedPageBreak/>
              <w:t>VIBES+:</w:t>
            </w:r>
            <w:r w:rsidRPr="00657F18">
              <w:rPr>
                <w:rFonts w:cs="Arial"/>
                <w:sz w:val="21"/>
                <w:szCs w:val="21"/>
                <w:lang w:val="en-AU"/>
              </w:rPr>
              <w:t xml:space="preserve"> At home preventative care for very pre-term infants and their caregivers</w:t>
            </w:r>
            <w:r w:rsidR="00F025B4" w:rsidRPr="00657F18">
              <w:rPr>
                <w:rFonts w:cs="Arial"/>
                <w:sz w:val="21"/>
                <w:szCs w:val="21"/>
                <w:lang w:val="en-AU"/>
              </w:rPr>
              <w:t>.</w:t>
            </w:r>
          </w:p>
        </w:tc>
        <w:tc>
          <w:tcPr>
            <w:tcW w:w="3031" w:type="dxa"/>
            <w:shd w:val="clear" w:color="auto" w:fill="auto"/>
            <w:tcMar>
              <w:top w:w="85" w:type="dxa"/>
              <w:left w:w="85" w:type="dxa"/>
              <w:bottom w:w="85" w:type="dxa"/>
              <w:right w:w="85" w:type="dxa"/>
            </w:tcMar>
            <w:vAlign w:val="center"/>
            <w:hideMark/>
          </w:tcPr>
          <w:p w14:paraId="516C641D" w14:textId="286B8896" w:rsidR="00B12FC4" w:rsidRPr="00657F18" w:rsidRDefault="00F03041" w:rsidP="00657F18">
            <w:pPr>
              <w:spacing w:before="0" w:after="0" w:line="240" w:lineRule="auto"/>
              <w:rPr>
                <w:rFonts w:cs="Arial"/>
                <w:sz w:val="21"/>
                <w:szCs w:val="21"/>
                <w:lang w:val="en-AU"/>
              </w:rPr>
            </w:pPr>
            <w:r w:rsidRPr="00657F18">
              <w:rPr>
                <w:rFonts w:cs="Arial"/>
                <w:sz w:val="21"/>
                <w:szCs w:val="21"/>
                <w:lang w:val="en-AU"/>
              </w:rPr>
              <w:t>I</w:t>
            </w:r>
            <w:r w:rsidR="00B12FC4" w:rsidRPr="00657F18">
              <w:rPr>
                <w:rFonts w:cs="Arial"/>
                <w:sz w:val="21"/>
                <w:szCs w:val="21"/>
                <w:lang w:val="en-AU"/>
              </w:rPr>
              <w:t>mproved behavioural outcomes for infants</w:t>
            </w:r>
            <w:r w:rsidR="008D7CBE" w:rsidRPr="00657F18">
              <w:rPr>
                <w:rFonts w:cs="Arial"/>
                <w:sz w:val="21"/>
                <w:szCs w:val="21"/>
                <w:lang w:val="en-AU"/>
              </w:rPr>
              <w:t xml:space="preserve"> and</w:t>
            </w:r>
            <w:r w:rsidR="00B12FC4" w:rsidRPr="00657F18">
              <w:rPr>
                <w:rFonts w:cs="Arial"/>
                <w:sz w:val="21"/>
                <w:szCs w:val="21"/>
                <w:lang w:val="en-AU"/>
              </w:rPr>
              <w:t xml:space="preserve"> reduced anxiety</w:t>
            </w:r>
            <w:r w:rsidRPr="00657F18">
              <w:rPr>
                <w:rFonts w:cs="Arial"/>
                <w:sz w:val="21"/>
                <w:szCs w:val="21"/>
                <w:lang w:val="en-AU"/>
              </w:rPr>
              <w:t xml:space="preserve"> and </w:t>
            </w:r>
            <w:r w:rsidR="00B12FC4" w:rsidRPr="00657F18">
              <w:rPr>
                <w:rFonts w:cs="Arial"/>
                <w:sz w:val="21"/>
                <w:szCs w:val="21"/>
                <w:lang w:val="en-AU"/>
              </w:rPr>
              <w:t>depression in</w:t>
            </w:r>
            <w:r w:rsidRPr="00657F18">
              <w:rPr>
                <w:rFonts w:cs="Arial"/>
                <w:sz w:val="21"/>
                <w:szCs w:val="21"/>
                <w:lang w:val="en-AU"/>
              </w:rPr>
              <w:t xml:space="preserve"> </w:t>
            </w:r>
            <w:r w:rsidR="00B12FC4" w:rsidRPr="00657F18">
              <w:rPr>
                <w:rFonts w:cs="Arial"/>
                <w:sz w:val="21"/>
                <w:szCs w:val="21"/>
                <w:lang w:val="en-AU"/>
              </w:rPr>
              <w:t>caregivers</w:t>
            </w:r>
            <w:r w:rsidR="00F025B4" w:rsidRPr="00657F18">
              <w:rPr>
                <w:rFonts w:cs="Arial"/>
                <w:sz w:val="21"/>
                <w:szCs w:val="21"/>
                <w:lang w:val="en-AU"/>
              </w:rPr>
              <w:t>.</w:t>
            </w:r>
          </w:p>
        </w:tc>
        <w:tc>
          <w:tcPr>
            <w:tcW w:w="3509" w:type="dxa"/>
            <w:shd w:val="clear" w:color="auto" w:fill="auto"/>
            <w:tcMar>
              <w:top w:w="85" w:type="dxa"/>
              <w:left w:w="85" w:type="dxa"/>
              <w:bottom w:w="85" w:type="dxa"/>
              <w:right w:w="85" w:type="dxa"/>
            </w:tcMar>
            <w:vAlign w:val="center"/>
            <w:hideMark/>
          </w:tcPr>
          <w:p w14:paraId="46499702" w14:textId="15CE0AB3" w:rsidR="00B12FC4" w:rsidRPr="00657F18" w:rsidRDefault="00006DC0" w:rsidP="00657F18">
            <w:pPr>
              <w:spacing w:before="0" w:after="0" w:line="240" w:lineRule="auto"/>
              <w:rPr>
                <w:rFonts w:cs="Arial"/>
                <w:sz w:val="21"/>
                <w:szCs w:val="21"/>
                <w:lang w:val="en-AU"/>
              </w:rPr>
            </w:pPr>
            <w:r w:rsidRPr="00657F18">
              <w:rPr>
                <w:rFonts w:cs="Arial"/>
                <w:sz w:val="21"/>
                <w:szCs w:val="21"/>
                <w:lang w:val="en-AU"/>
              </w:rPr>
              <w:t>Associated with additional intervention costs, but is l</w:t>
            </w:r>
            <w:r w:rsidR="00832AEA" w:rsidRPr="00657F18">
              <w:rPr>
                <w:rFonts w:cs="Arial"/>
                <w:sz w:val="21"/>
                <w:szCs w:val="21"/>
                <w:lang w:val="en-AU"/>
              </w:rPr>
              <w:t xml:space="preserve">ikely to </w:t>
            </w:r>
            <w:r w:rsidRPr="00657F18">
              <w:rPr>
                <w:rFonts w:cs="Arial"/>
                <w:sz w:val="21"/>
                <w:szCs w:val="21"/>
                <w:lang w:val="en-AU"/>
              </w:rPr>
              <w:t>improve patient health outcomes</w:t>
            </w:r>
            <w:r w:rsidR="00BD68CF" w:rsidRPr="00657F18">
              <w:rPr>
                <w:rFonts w:cs="Arial"/>
                <w:sz w:val="21"/>
                <w:szCs w:val="21"/>
                <w:lang w:val="en-AU"/>
              </w:rPr>
              <w:t xml:space="preserve"> </w:t>
            </w:r>
            <w:r w:rsidR="00832AEA" w:rsidRPr="00657F18">
              <w:rPr>
                <w:rFonts w:cs="Arial"/>
                <w:sz w:val="21"/>
                <w:szCs w:val="21"/>
                <w:lang w:val="en-AU"/>
              </w:rPr>
              <w:t>if implemented</w:t>
            </w:r>
            <w:r w:rsidRPr="00657F18">
              <w:rPr>
                <w:rFonts w:cs="Arial"/>
                <w:sz w:val="21"/>
                <w:szCs w:val="21"/>
                <w:lang w:val="en-AU"/>
              </w:rPr>
              <w:t>.</w:t>
            </w:r>
          </w:p>
        </w:tc>
      </w:tr>
    </w:tbl>
    <w:bookmarkEnd w:id="95"/>
    <w:p w14:paraId="3807EA01" w14:textId="7E07111E" w:rsidR="00C047A2" w:rsidRDefault="00A573E8" w:rsidP="0045559E">
      <w:pPr>
        <w:pStyle w:val="Heading3"/>
      </w:pPr>
      <w:r>
        <w:t>Case Study 3: T</w:t>
      </w:r>
      <w:r w:rsidR="00C047A2">
        <w:t>rial</w:t>
      </w:r>
      <w:r w:rsidR="000C0DD4">
        <w:t>s</w:t>
      </w:r>
      <w:r w:rsidR="00C047A2">
        <w:t xml:space="preserve"> in intensive care</w:t>
      </w:r>
    </w:p>
    <w:p w14:paraId="08654452" w14:textId="605C96D9" w:rsidR="00F4739E" w:rsidRDefault="00615308" w:rsidP="00392788">
      <w:pPr>
        <w:pStyle w:val="Commissionbodytext"/>
      </w:pPr>
      <w:r>
        <w:t xml:space="preserve">Eight late-phase investigator-initiated </w:t>
      </w:r>
      <w:r w:rsidR="005F1A34">
        <w:t>trials</w:t>
      </w:r>
      <w:r>
        <w:t xml:space="preserve"> conducted by the ANZICS CTG were included in the analysis. </w:t>
      </w:r>
      <w:r w:rsidR="00AC457A">
        <w:fldChar w:fldCharType="begin"/>
      </w:r>
      <w:r w:rsidR="00AC457A">
        <w:instrText xml:space="preserve"> REF _Ref475277021 \h </w:instrText>
      </w:r>
      <w:r w:rsidR="002D447F">
        <w:instrText xml:space="preserve"> \* MERGEFORMAT </w:instrText>
      </w:r>
      <w:r w:rsidR="00AC457A">
        <w:fldChar w:fldCharType="separate"/>
      </w:r>
      <w:r w:rsidR="007B3054">
        <w:t xml:space="preserve">Table </w:t>
      </w:r>
      <w:r w:rsidR="007B3054">
        <w:rPr>
          <w:noProof/>
        </w:rPr>
        <w:t>11</w:t>
      </w:r>
      <w:r w:rsidR="00AC457A">
        <w:fldChar w:fldCharType="end"/>
      </w:r>
      <w:r w:rsidR="00AC457A">
        <w:t xml:space="preserve"> </w:t>
      </w:r>
      <w:r w:rsidR="00DF60E2">
        <w:t xml:space="preserve">provides a summary of </w:t>
      </w:r>
      <w:r>
        <w:t>the main findings of each trial and the clinical context used to assess benefit</w:t>
      </w:r>
      <w:r w:rsidR="00466BF7">
        <w:t>s</w:t>
      </w:r>
      <w:r>
        <w:t xml:space="preserve">. </w:t>
      </w:r>
    </w:p>
    <w:p w14:paraId="52785A8E" w14:textId="77777777" w:rsidR="002D447F" w:rsidRDefault="002D447F" w:rsidP="00392788">
      <w:pPr>
        <w:pStyle w:val="Commissionbodytext"/>
      </w:pPr>
    </w:p>
    <w:p w14:paraId="51143743" w14:textId="7CDF076A" w:rsidR="00D31E80" w:rsidRDefault="00F4739E" w:rsidP="00392788">
      <w:pPr>
        <w:pStyle w:val="Commissionbodytext"/>
        <w:rPr>
          <w:color w:val="000000" w:themeColor="text1"/>
        </w:rPr>
      </w:pPr>
      <w:r>
        <w:t xml:space="preserve">A consolidated gross benefit of $271 million was estimated, of which approximately </w:t>
      </w:r>
      <w:r w:rsidR="002D447F">
        <w:br/>
      </w:r>
      <w:r>
        <w:t>35% ($95</w:t>
      </w:r>
      <w:r w:rsidR="00046EB8">
        <w:t xml:space="preserve"> </w:t>
      </w:r>
      <w:r>
        <w:t>m</w:t>
      </w:r>
      <w:r w:rsidR="00046EB8">
        <w:t>illion</w:t>
      </w:r>
      <w:r>
        <w:t>) was derived from direct</w:t>
      </w:r>
      <w:r w:rsidR="000A1344">
        <w:t xml:space="preserve"> service costs avoided </w:t>
      </w:r>
      <w:r w:rsidR="00D87B93">
        <w:t xml:space="preserve">(see </w:t>
      </w:r>
      <w:r w:rsidR="00D05771">
        <w:fldChar w:fldCharType="begin"/>
      </w:r>
      <w:r w:rsidR="00D05771">
        <w:instrText xml:space="preserve"> REF _Ref475267710 \h </w:instrText>
      </w:r>
      <w:r w:rsidR="002D447F">
        <w:instrText xml:space="preserve"> \* MERGEFORMAT </w:instrText>
      </w:r>
      <w:r w:rsidR="00D05771">
        <w:fldChar w:fldCharType="separate"/>
      </w:r>
      <w:r w:rsidR="007B3054">
        <w:t xml:space="preserve">Figure </w:t>
      </w:r>
      <w:r w:rsidR="007B3054">
        <w:rPr>
          <w:noProof/>
        </w:rPr>
        <w:t>8</w:t>
      </w:r>
      <w:r w:rsidR="00D05771">
        <w:fldChar w:fldCharType="end"/>
      </w:r>
      <w:r>
        <w:t>)</w:t>
      </w:r>
      <w:r w:rsidR="00D05771">
        <w:t>.</w:t>
      </w:r>
      <w:r>
        <w:t xml:space="preserve"> Total costs amounted to $57 million, which included funding for the trials analysed ($18</w:t>
      </w:r>
      <w:r w:rsidR="00046EB8">
        <w:t xml:space="preserve"> </w:t>
      </w:r>
      <w:r>
        <w:t>m</w:t>
      </w:r>
      <w:r w:rsidR="00046EB8">
        <w:t>illion</w:t>
      </w:r>
      <w:r>
        <w:t xml:space="preserve">, of which </w:t>
      </w:r>
      <w:r w:rsidR="002D447F">
        <w:br/>
      </w:r>
      <w:r>
        <w:t>$11</w:t>
      </w:r>
      <w:r w:rsidR="00046EB8">
        <w:t xml:space="preserve"> </w:t>
      </w:r>
      <w:r>
        <w:t>m</w:t>
      </w:r>
      <w:r w:rsidR="00046EB8">
        <w:t>illion</w:t>
      </w:r>
      <w:r>
        <w:t xml:space="preserve"> was NHMRC funding), funding for all other studies conducted by the ANZICS CTG between 2004</w:t>
      </w:r>
      <w:r w:rsidR="00B350A8">
        <w:t xml:space="preserve"> and </w:t>
      </w:r>
      <w:r>
        <w:t>2014 ($13</w:t>
      </w:r>
      <w:r w:rsidR="00046EB8">
        <w:t xml:space="preserve"> </w:t>
      </w:r>
      <w:r>
        <w:t>m</w:t>
      </w:r>
      <w:r w:rsidR="00046EB8">
        <w:t>illion</w:t>
      </w:r>
      <w:r>
        <w:t xml:space="preserve">), </w:t>
      </w:r>
      <w:r w:rsidR="00466BF7" w:rsidRPr="00D31E80">
        <w:rPr>
          <w:color w:val="000000" w:themeColor="text1"/>
        </w:rPr>
        <w:t xml:space="preserve">trial coordinating </w:t>
      </w:r>
      <w:r w:rsidR="00466BF7">
        <w:rPr>
          <w:color w:val="000000" w:themeColor="text1"/>
        </w:rPr>
        <w:t xml:space="preserve">centre </w:t>
      </w:r>
      <w:r w:rsidR="00466BF7" w:rsidRPr="00D31E80">
        <w:rPr>
          <w:color w:val="000000" w:themeColor="text1"/>
        </w:rPr>
        <w:t>costs ($10</w:t>
      </w:r>
      <w:r w:rsidR="00046EB8">
        <w:rPr>
          <w:color w:val="000000" w:themeColor="text1"/>
        </w:rPr>
        <w:t xml:space="preserve"> </w:t>
      </w:r>
      <w:r w:rsidR="00466BF7" w:rsidRPr="00D31E80">
        <w:rPr>
          <w:color w:val="000000" w:themeColor="text1"/>
        </w:rPr>
        <w:t>m</w:t>
      </w:r>
      <w:r w:rsidR="00046EB8">
        <w:rPr>
          <w:color w:val="000000" w:themeColor="text1"/>
        </w:rPr>
        <w:t>illion</w:t>
      </w:r>
      <w:r w:rsidR="00466BF7" w:rsidRPr="00D31E80">
        <w:rPr>
          <w:color w:val="000000" w:themeColor="text1"/>
        </w:rPr>
        <w:t>)</w:t>
      </w:r>
      <w:r w:rsidR="00466BF7">
        <w:rPr>
          <w:color w:val="000000" w:themeColor="text1"/>
        </w:rPr>
        <w:t xml:space="preserve">, </w:t>
      </w:r>
      <w:r>
        <w:t>lifetime central network funding ($6</w:t>
      </w:r>
      <w:r w:rsidR="00046EB8">
        <w:t xml:space="preserve"> </w:t>
      </w:r>
      <w:r>
        <w:t>m</w:t>
      </w:r>
      <w:r w:rsidR="00046EB8">
        <w:t>illion</w:t>
      </w:r>
      <w:r>
        <w:t xml:space="preserve">) </w:t>
      </w:r>
      <w:r w:rsidRPr="00D31E80">
        <w:rPr>
          <w:color w:val="000000" w:themeColor="text1"/>
        </w:rPr>
        <w:t>and in-kind support ($10</w:t>
      </w:r>
      <w:r w:rsidR="00046EB8">
        <w:rPr>
          <w:color w:val="000000" w:themeColor="text1"/>
        </w:rPr>
        <w:t xml:space="preserve"> </w:t>
      </w:r>
      <w:r w:rsidRPr="00D31E80">
        <w:rPr>
          <w:color w:val="000000" w:themeColor="text1"/>
        </w:rPr>
        <w:t>m</w:t>
      </w:r>
      <w:r w:rsidR="00046EB8">
        <w:rPr>
          <w:color w:val="000000" w:themeColor="text1"/>
        </w:rPr>
        <w:t>illion</w:t>
      </w:r>
      <w:r w:rsidRPr="00D31E80">
        <w:rPr>
          <w:color w:val="000000" w:themeColor="text1"/>
        </w:rPr>
        <w:t>)</w:t>
      </w:r>
      <w:r w:rsidR="006E50CA">
        <w:rPr>
          <w:color w:val="000000" w:themeColor="text1"/>
        </w:rPr>
        <w:t>.</w:t>
      </w:r>
      <w:r w:rsidRPr="00D31E80">
        <w:rPr>
          <w:color w:val="000000" w:themeColor="text1"/>
        </w:rPr>
        <w:t xml:space="preserve"> </w:t>
      </w:r>
    </w:p>
    <w:p w14:paraId="2FFAB024" w14:textId="18045F57" w:rsidR="00F4739E" w:rsidRDefault="00D31E80" w:rsidP="00392788">
      <w:pPr>
        <w:pStyle w:val="Caption"/>
      </w:pPr>
      <w:bookmarkStart w:id="96" w:name="_Ref475267710"/>
      <w:bookmarkStart w:id="97" w:name="_Toc482629539"/>
      <w:r>
        <w:t xml:space="preserve">Figure </w:t>
      </w:r>
      <w:fldSimple w:instr=" SEQ Figure \* ARABIC ">
        <w:r w:rsidR="007B3054">
          <w:rPr>
            <w:noProof/>
          </w:rPr>
          <w:t>8</w:t>
        </w:r>
      </w:fldSimple>
      <w:bookmarkEnd w:id="96"/>
      <w:r w:rsidR="005A6152">
        <w:t>. B</w:t>
      </w:r>
      <w:r w:rsidR="00F4739E">
        <w:t>enefits</w:t>
      </w:r>
      <w:r w:rsidR="005A6152">
        <w:t xml:space="preserve"> and costs for</w:t>
      </w:r>
      <w:r w:rsidR="00F4739E">
        <w:t xml:space="preserve"> trials conducted by the ANZICS CTG.</w:t>
      </w:r>
      <w:bookmarkEnd w:id="97"/>
      <w:r w:rsidR="005E2047" w:rsidRPr="005E2047">
        <w:rPr>
          <w:noProof/>
          <w:lang w:val="en-AU" w:eastAsia="en-AU"/>
        </w:rPr>
        <w:t xml:space="preserve"> </w:t>
      </w:r>
      <w:r w:rsidR="005E2047">
        <w:rPr>
          <w:noProof/>
          <w:lang w:val="en-AU" w:eastAsia="en-AU" w:bidi="ar-SA"/>
        </w:rPr>
        <w:drawing>
          <wp:inline distT="0" distB="0" distL="0" distR="0" wp14:anchorId="5C06C249" wp14:editId="7AE84054">
            <wp:extent cx="6201879" cy="3813717"/>
            <wp:effectExtent l="0" t="0" r="0" b="0"/>
            <wp:docPr id="9" name="Picture 9" descr="Two adjacent pie charts. The left shows the breakdown of gross benefits derived from ANZICS CTG trials with approx 2/3 arising through better health outcomes. The right shows the breakdown of total costs incurred by the ANZICS CTG with approximately 1/3 attributed to in-kind support and trial coordinating centre costs and 1/3 to direct trial costs. " title="Benefits and costs for trials conducted by the ANZICS C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NZICS.png"/>
                    <pic:cNvPicPr/>
                  </pic:nvPicPr>
                  <pic:blipFill>
                    <a:blip r:embed="rId29">
                      <a:extLst>
                        <a:ext uri="{28A0092B-C50C-407E-A947-70E740481C1C}">
                          <a14:useLocalDpi xmlns:a14="http://schemas.microsoft.com/office/drawing/2010/main" val="0"/>
                        </a:ext>
                      </a:extLst>
                    </a:blip>
                    <a:stretch>
                      <a:fillRect/>
                    </a:stretch>
                  </pic:blipFill>
                  <pic:spPr>
                    <a:xfrm>
                      <a:off x="0" y="0"/>
                      <a:ext cx="6219007" cy="3824249"/>
                    </a:xfrm>
                    <a:prstGeom prst="rect">
                      <a:avLst/>
                    </a:prstGeom>
                  </pic:spPr>
                </pic:pic>
              </a:graphicData>
            </a:graphic>
          </wp:inline>
        </w:drawing>
      </w:r>
    </w:p>
    <w:p w14:paraId="464C7202" w14:textId="54C1F947" w:rsidR="00F4739E" w:rsidRDefault="008721D4" w:rsidP="00657F18">
      <w:pPr>
        <w:pStyle w:val="IntenseQuote"/>
        <w:jc w:val="center"/>
      </w:pPr>
      <w:r w:rsidRPr="00392788">
        <w:rPr>
          <w:rFonts w:ascii="Arial" w:hAnsi="Arial" w:cs="Arial"/>
        </w:rPr>
        <w:t>The benefit to cost ratio for the ANZICS CTG was 4.8:1</w:t>
      </w:r>
      <w:r w:rsidR="00F4739E">
        <w:br w:type="page"/>
      </w:r>
    </w:p>
    <w:p w14:paraId="290E37B1" w14:textId="2032FB60" w:rsidR="00D14B05" w:rsidRDefault="00D05771" w:rsidP="00AC457A">
      <w:pPr>
        <w:pStyle w:val="Caption"/>
        <w:rPr>
          <w:b w:val="0"/>
          <w:bCs w:val="0"/>
        </w:rPr>
      </w:pPr>
      <w:bookmarkStart w:id="98" w:name="_Ref475268966"/>
      <w:bookmarkStart w:id="99" w:name="_Ref475277021"/>
      <w:bookmarkStart w:id="100" w:name="_Toc479177734"/>
      <w:r>
        <w:lastRenderedPageBreak/>
        <w:t>Table</w:t>
      </w:r>
      <w:bookmarkEnd w:id="98"/>
      <w:r>
        <w:t xml:space="preserve"> </w:t>
      </w:r>
      <w:fldSimple w:instr=" SEQ Table \* ARABIC ">
        <w:r w:rsidR="007B3054">
          <w:rPr>
            <w:noProof/>
          </w:rPr>
          <w:t>11</w:t>
        </w:r>
      </w:fldSimple>
      <w:bookmarkEnd w:id="99"/>
      <w:r>
        <w:t xml:space="preserve">. </w:t>
      </w:r>
      <w:r w:rsidRPr="00822A1A">
        <w:t>Summary of main findings and clinical context for ANZICS CTG trials</w:t>
      </w:r>
      <w:bookmarkEnd w:id="100"/>
    </w:p>
    <w:tbl>
      <w:tblPr>
        <w:tblW w:w="9617" w:type="dxa"/>
        <w:tblInd w:w="33"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CellMar>
          <w:left w:w="0" w:type="dxa"/>
          <w:right w:w="0" w:type="dxa"/>
        </w:tblCellMar>
        <w:tblLook w:val="0420" w:firstRow="1" w:lastRow="0" w:firstColumn="0" w:lastColumn="0" w:noHBand="0" w:noVBand="1"/>
      </w:tblPr>
      <w:tblGrid>
        <w:gridCol w:w="3029"/>
        <w:gridCol w:w="3260"/>
        <w:gridCol w:w="3328"/>
      </w:tblGrid>
      <w:tr w:rsidR="007C4B52" w:rsidRPr="005D770E" w14:paraId="3DCFB868" w14:textId="77777777" w:rsidTr="00392788">
        <w:trPr>
          <w:cantSplit/>
          <w:trHeight w:val="399"/>
          <w:tblHeader/>
        </w:trPr>
        <w:tc>
          <w:tcPr>
            <w:tcW w:w="3029" w:type="dxa"/>
            <w:shd w:val="clear" w:color="auto" w:fill="2F5496" w:themeFill="accent5" w:themeFillShade="BF"/>
            <w:tcMar>
              <w:top w:w="85" w:type="dxa"/>
              <w:left w:w="85" w:type="dxa"/>
              <w:bottom w:w="85" w:type="dxa"/>
              <w:right w:w="85" w:type="dxa"/>
            </w:tcMar>
            <w:vAlign w:val="bottom"/>
          </w:tcPr>
          <w:p w14:paraId="5707B84D" w14:textId="3084EC44" w:rsidR="007C4B52" w:rsidRPr="00392788" w:rsidRDefault="007C4B52" w:rsidP="00392788">
            <w:pPr>
              <w:spacing w:after="0" w:line="276" w:lineRule="auto"/>
              <w:rPr>
                <w:rFonts w:asciiTheme="minorBidi" w:hAnsiTheme="minorBidi"/>
                <w:b/>
                <w:sz w:val="21"/>
                <w:szCs w:val="21"/>
                <w:lang w:val="en-AU"/>
              </w:rPr>
            </w:pPr>
            <w:bookmarkStart w:id="101" w:name="OLE_LINK2"/>
            <w:r w:rsidRPr="00392788">
              <w:rPr>
                <w:rFonts w:asciiTheme="minorBidi" w:hAnsiTheme="minorBidi"/>
                <w:b/>
                <w:color w:val="FFFFFF" w:themeColor="background1"/>
                <w:sz w:val="21"/>
                <w:szCs w:val="21"/>
              </w:rPr>
              <w:t xml:space="preserve">Trial </w:t>
            </w:r>
            <w:r w:rsidR="00D36095">
              <w:rPr>
                <w:rFonts w:asciiTheme="minorBidi" w:hAnsiTheme="minorBidi"/>
                <w:b/>
                <w:color w:val="FFFFFF" w:themeColor="background1"/>
                <w:sz w:val="21"/>
                <w:szCs w:val="21"/>
              </w:rPr>
              <w:t>d</w:t>
            </w:r>
            <w:r w:rsidRPr="00392788">
              <w:rPr>
                <w:rFonts w:asciiTheme="minorBidi" w:hAnsiTheme="minorBidi"/>
                <w:b/>
                <w:color w:val="FFFFFF" w:themeColor="background1"/>
                <w:sz w:val="21"/>
                <w:szCs w:val="21"/>
              </w:rPr>
              <w:t>escription</w:t>
            </w:r>
          </w:p>
        </w:tc>
        <w:tc>
          <w:tcPr>
            <w:tcW w:w="3260" w:type="dxa"/>
            <w:shd w:val="clear" w:color="auto" w:fill="2F5496" w:themeFill="accent5" w:themeFillShade="BF"/>
            <w:tcMar>
              <w:top w:w="85" w:type="dxa"/>
              <w:left w:w="85" w:type="dxa"/>
              <w:bottom w:w="85" w:type="dxa"/>
              <w:right w:w="85" w:type="dxa"/>
            </w:tcMar>
            <w:vAlign w:val="bottom"/>
          </w:tcPr>
          <w:p w14:paraId="5E364075" w14:textId="7668AD83" w:rsidR="007C4B52" w:rsidRPr="00392788" w:rsidRDefault="007C4B52" w:rsidP="00392788">
            <w:pPr>
              <w:spacing w:after="0" w:line="276" w:lineRule="auto"/>
              <w:rPr>
                <w:rFonts w:asciiTheme="minorBidi" w:hAnsiTheme="minorBidi"/>
                <w:b/>
                <w:sz w:val="21"/>
                <w:szCs w:val="21"/>
                <w:lang w:val="en-AU"/>
              </w:rPr>
            </w:pPr>
            <w:r w:rsidRPr="00392788">
              <w:rPr>
                <w:rFonts w:asciiTheme="minorBidi" w:hAnsiTheme="minorBidi"/>
                <w:b/>
                <w:color w:val="FFFFFF" w:themeColor="background1"/>
                <w:sz w:val="21"/>
                <w:szCs w:val="21"/>
              </w:rPr>
              <w:t xml:space="preserve">Main </w:t>
            </w:r>
            <w:r w:rsidR="00D36095">
              <w:rPr>
                <w:rFonts w:asciiTheme="minorBidi" w:hAnsiTheme="minorBidi"/>
                <w:b/>
                <w:color w:val="FFFFFF" w:themeColor="background1"/>
                <w:sz w:val="21"/>
                <w:szCs w:val="21"/>
              </w:rPr>
              <w:t>f</w:t>
            </w:r>
            <w:r w:rsidRPr="00392788">
              <w:rPr>
                <w:rFonts w:asciiTheme="minorBidi" w:hAnsiTheme="minorBidi"/>
                <w:b/>
                <w:color w:val="FFFFFF" w:themeColor="background1"/>
                <w:sz w:val="21"/>
                <w:szCs w:val="21"/>
              </w:rPr>
              <w:t>inding</w:t>
            </w:r>
          </w:p>
        </w:tc>
        <w:tc>
          <w:tcPr>
            <w:tcW w:w="3328" w:type="dxa"/>
            <w:shd w:val="clear" w:color="auto" w:fill="2F5496" w:themeFill="accent5" w:themeFillShade="BF"/>
            <w:tcMar>
              <w:top w:w="85" w:type="dxa"/>
              <w:left w:w="85" w:type="dxa"/>
              <w:bottom w:w="85" w:type="dxa"/>
              <w:right w:w="85" w:type="dxa"/>
            </w:tcMar>
            <w:vAlign w:val="bottom"/>
          </w:tcPr>
          <w:p w14:paraId="6253A437" w14:textId="28D57F5D" w:rsidR="007C4B52" w:rsidRPr="00392788" w:rsidRDefault="007C4B52" w:rsidP="00392788">
            <w:pPr>
              <w:spacing w:after="0" w:line="276" w:lineRule="auto"/>
              <w:rPr>
                <w:rFonts w:asciiTheme="minorBidi" w:hAnsiTheme="minorBidi"/>
                <w:b/>
                <w:sz w:val="21"/>
                <w:szCs w:val="21"/>
                <w:lang w:val="en-AU"/>
              </w:rPr>
            </w:pPr>
            <w:r w:rsidRPr="00392788">
              <w:rPr>
                <w:rFonts w:asciiTheme="minorBidi" w:hAnsiTheme="minorBidi"/>
                <w:b/>
                <w:color w:val="FFFFFF" w:themeColor="background1"/>
                <w:sz w:val="21"/>
                <w:szCs w:val="21"/>
              </w:rPr>
              <w:t xml:space="preserve">Clinical </w:t>
            </w:r>
            <w:r w:rsidR="00D36095">
              <w:rPr>
                <w:rFonts w:asciiTheme="minorBidi" w:hAnsiTheme="minorBidi"/>
                <w:b/>
                <w:color w:val="FFFFFF" w:themeColor="background1"/>
                <w:sz w:val="21"/>
                <w:szCs w:val="21"/>
              </w:rPr>
              <w:t>c</w:t>
            </w:r>
            <w:r w:rsidRPr="00392788">
              <w:rPr>
                <w:rFonts w:asciiTheme="minorBidi" w:hAnsiTheme="minorBidi"/>
                <w:b/>
                <w:color w:val="FFFFFF" w:themeColor="background1"/>
                <w:sz w:val="21"/>
                <w:szCs w:val="21"/>
              </w:rPr>
              <w:t>ontext</w:t>
            </w:r>
          </w:p>
        </w:tc>
      </w:tr>
      <w:tr w:rsidR="00CD43D9" w:rsidRPr="005D770E" w14:paraId="3C67CAAC" w14:textId="77777777" w:rsidTr="00392788">
        <w:trPr>
          <w:cantSplit/>
          <w:trHeight w:val="883"/>
        </w:trPr>
        <w:tc>
          <w:tcPr>
            <w:tcW w:w="3029" w:type="dxa"/>
            <w:shd w:val="clear" w:color="auto" w:fill="auto"/>
            <w:tcMar>
              <w:top w:w="85" w:type="dxa"/>
              <w:left w:w="85" w:type="dxa"/>
              <w:bottom w:w="85" w:type="dxa"/>
              <w:right w:w="85" w:type="dxa"/>
            </w:tcMar>
            <w:vAlign w:val="center"/>
            <w:hideMark/>
          </w:tcPr>
          <w:p w14:paraId="2D9B6513" w14:textId="31C89914" w:rsidR="00CD43D9" w:rsidRPr="005D770E" w:rsidRDefault="00CD43D9" w:rsidP="00657F18">
            <w:pPr>
              <w:spacing w:before="0" w:after="0" w:line="240" w:lineRule="auto"/>
              <w:rPr>
                <w:rFonts w:asciiTheme="minorBidi" w:hAnsiTheme="minorBidi"/>
                <w:sz w:val="21"/>
                <w:szCs w:val="21"/>
                <w:lang w:val="en-AU"/>
              </w:rPr>
            </w:pPr>
            <w:r w:rsidRPr="005D770E">
              <w:rPr>
                <w:rStyle w:val="Strong"/>
                <w:rFonts w:asciiTheme="minorBidi" w:hAnsiTheme="minorBidi"/>
                <w:sz w:val="21"/>
                <w:szCs w:val="21"/>
                <w:lang w:val="en-AU"/>
              </w:rPr>
              <w:t>ARISE:</w:t>
            </w:r>
            <w:r w:rsidRPr="005D770E">
              <w:rPr>
                <w:rFonts w:asciiTheme="minorBidi" w:hAnsiTheme="minorBidi"/>
                <w:sz w:val="21"/>
                <w:szCs w:val="21"/>
                <w:lang w:val="en-AU"/>
              </w:rPr>
              <w:t xml:space="preserve"> Early goal directed resuscitation </w:t>
            </w:r>
            <w:r w:rsidR="00D00ADB" w:rsidRPr="005D770E">
              <w:rPr>
                <w:rFonts w:asciiTheme="minorBidi" w:hAnsiTheme="minorBidi"/>
                <w:sz w:val="21"/>
                <w:szCs w:val="21"/>
                <w:lang w:val="en-AU"/>
              </w:rPr>
              <w:t>versus standard care for patients with septic shock</w:t>
            </w:r>
            <w:r w:rsidR="00637138" w:rsidRPr="005D770E">
              <w:rPr>
                <w:rFonts w:asciiTheme="minorBidi" w:hAnsiTheme="minorBidi"/>
                <w:sz w:val="21"/>
                <w:szCs w:val="21"/>
                <w:lang w:val="en-AU"/>
              </w:rPr>
              <w:t xml:space="preserve"> in the emergency department</w:t>
            </w:r>
            <w:r w:rsidR="000E7975">
              <w:rPr>
                <w:rFonts w:asciiTheme="minorBidi" w:hAnsiTheme="minorBidi"/>
                <w:sz w:val="21"/>
                <w:szCs w:val="21"/>
                <w:lang w:val="en-AU"/>
              </w:rPr>
              <w:t>.</w:t>
            </w:r>
          </w:p>
        </w:tc>
        <w:tc>
          <w:tcPr>
            <w:tcW w:w="3260" w:type="dxa"/>
            <w:shd w:val="clear" w:color="auto" w:fill="auto"/>
            <w:tcMar>
              <w:top w:w="85" w:type="dxa"/>
              <w:left w:w="85" w:type="dxa"/>
              <w:bottom w:w="85" w:type="dxa"/>
              <w:right w:w="85" w:type="dxa"/>
            </w:tcMar>
            <w:vAlign w:val="center"/>
            <w:hideMark/>
          </w:tcPr>
          <w:p w14:paraId="3D81538F" w14:textId="5B12F6D6" w:rsidR="00CD43D9" w:rsidRPr="005D770E" w:rsidRDefault="00D00ADB" w:rsidP="00657F18">
            <w:pPr>
              <w:spacing w:before="0" w:after="0" w:line="240" w:lineRule="auto"/>
              <w:rPr>
                <w:rFonts w:asciiTheme="minorBidi" w:hAnsiTheme="minorBidi"/>
                <w:sz w:val="21"/>
                <w:szCs w:val="21"/>
                <w:lang w:val="en-AU"/>
              </w:rPr>
            </w:pPr>
            <w:r w:rsidRPr="005D770E">
              <w:rPr>
                <w:rFonts w:asciiTheme="minorBidi" w:hAnsiTheme="minorBidi"/>
                <w:sz w:val="21"/>
                <w:szCs w:val="21"/>
              </w:rPr>
              <w:t>The treatment provided no improvement in mortality but there was an increase in treatment costs including the use of vasopressor support.</w:t>
            </w:r>
          </w:p>
        </w:tc>
        <w:tc>
          <w:tcPr>
            <w:tcW w:w="3328" w:type="dxa"/>
            <w:shd w:val="clear" w:color="auto" w:fill="auto"/>
            <w:tcMar>
              <w:top w:w="85" w:type="dxa"/>
              <w:left w:w="85" w:type="dxa"/>
              <w:bottom w:w="85" w:type="dxa"/>
              <w:right w:w="85" w:type="dxa"/>
            </w:tcMar>
            <w:vAlign w:val="center"/>
            <w:hideMark/>
          </w:tcPr>
          <w:p w14:paraId="256F5DA2" w14:textId="01945174" w:rsidR="00CD43D9" w:rsidRPr="005D770E" w:rsidRDefault="00CD43D9" w:rsidP="00657F18">
            <w:pPr>
              <w:spacing w:before="0" w:after="0" w:line="240" w:lineRule="auto"/>
              <w:rPr>
                <w:rFonts w:asciiTheme="minorBidi" w:hAnsiTheme="minorBidi"/>
                <w:sz w:val="21"/>
                <w:szCs w:val="21"/>
                <w:lang w:val="en-AU"/>
              </w:rPr>
            </w:pPr>
            <w:r w:rsidRPr="005D770E">
              <w:rPr>
                <w:rFonts w:asciiTheme="minorBidi" w:hAnsiTheme="minorBidi"/>
                <w:sz w:val="21"/>
                <w:szCs w:val="21"/>
                <w:lang w:val="en-AU"/>
              </w:rPr>
              <w:t xml:space="preserve">Previous studies led to surviving sepsis guidelines advocating </w:t>
            </w:r>
            <w:r w:rsidR="00D00ADB" w:rsidRPr="005D770E">
              <w:rPr>
                <w:rFonts w:asciiTheme="minorBidi" w:hAnsiTheme="minorBidi"/>
                <w:sz w:val="21"/>
                <w:szCs w:val="21"/>
                <w:lang w:val="en-AU"/>
              </w:rPr>
              <w:t xml:space="preserve">the use of the early goal directed resuscitation protocol. </w:t>
            </w:r>
            <w:r w:rsidRPr="005D770E">
              <w:rPr>
                <w:rFonts w:asciiTheme="minorBidi" w:hAnsiTheme="minorBidi"/>
                <w:sz w:val="21"/>
                <w:szCs w:val="21"/>
                <w:lang w:val="en-AU"/>
              </w:rPr>
              <w:t>These were revised globally following the trial</w:t>
            </w:r>
            <w:r w:rsidR="00637138" w:rsidRPr="005D770E">
              <w:rPr>
                <w:rFonts w:asciiTheme="minorBidi" w:hAnsiTheme="minorBidi"/>
                <w:sz w:val="21"/>
                <w:szCs w:val="21"/>
                <w:lang w:val="en-AU"/>
              </w:rPr>
              <w:t>.</w:t>
            </w:r>
            <w:r w:rsidRPr="005D770E">
              <w:rPr>
                <w:rFonts w:asciiTheme="minorBidi" w:hAnsiTheme="minorBidi"/>
                <w:sz w:val="21"/>
                <w:szCs w:val="21"/>
                <w:lang w:val="en-AU"/>
              </w:rPr>
              <w:t xml:space="preserve"> </w:t>
            </w:r>
          </w:p>
        </w:tc>
      </w:tr>
      <w:tr w:rsidR="00CD43D9" w:rsidRPr="005D770E" w14:paraId="2EB6E462" w14:textId="77777777" w:rsidTr="00392788">
        <w:trPr>
          <w:cantSplit/>
          <w:trHeight w:val="883"/>
        </w:trPr>
        <w:tc>
          <w:tcPr>
            <w:tcW w:w="3029" w:type="dxa"/>
            <w:shd w:val="clear" w:color="auto" w:fill="auto"/>
            <w:tcMar>
              <w:top w:w="85" w:type="dxa"/>
              <w:left w:w="85" w:type="dxa"/>
              <w:bottom w:w="85" w:type="dxa"/>
              <w:right w:w="85" w:type="dxa"/>
            </w:tcMar>
            <w:vAlign w:val="center"/>
            <w:hideMark/>
          </w:tcPr>
          <w:p w14:paraId="74D6F283" w14:textId="32057D39" w:rsidR="00CD43D9" w:rsidRPr="005D770E" w:rsidRDefault="00CD43D9" w:rsidP="00657F18">
            <w:pPr>
              <w:spacing w:before="0" w:after="0" w:line="240" w:lineRule="auto"/>
              <w:rPr>
                <w:rFonts w:asciiTheme="minorBidi" w:hAnsiTheme="minorBidi"/>
                <w:sz w:val="21"/>
                <w:szCs w:val="21"/>
                <w:lang w:val="en-AU"/>
              </w:rPr>
            </w:pPr>
            <w:r w:rsidRPr="005D770E">
              <w:rPr>
                <w:rStyle w:val="Strong"/>
                <w:rFonts w:asciiTheme="minorBidi" w:hAnsiTheme="minorBidi"/>
                <w:sz w:val="21"/>
                <w:szCs w:val="21"/>
                <w:lang w:val="en-AU"/>
              </w:rPr>
              <w:t>CHEST:</w:t>
            </w:r>
            <w:r w:rsidRPr="005D770E">
              <w:rPr>
                <w:rFonts w:asciiTheme="minorBidi" w:hAnsiTheme="minorBidi"/>
                <w:sz w:val="21"/>
                <w:szCs w:val="21"/>
                <w:lang w:val="en-AU"/>
              </w:rPr>
              <w:t xml:space="preserve"> Hydroxyethyl starch or saline for fluid resuscitation in critically ill patients</w:t>
            </w:r>
            <w:r w:rsidR="00F025B4" w:rsidRPr="005D770E">
              <w:rPr>
                <w:rFonts w:asciiTheme="minorBidi" w:hAnsiTheme="minorBidi"/>
                <w:sz w:val="21"/>
                <w:szCs w:val="21"/>
                <w:lang w:val="en-AU"/>
              </w:rPr>
              <w:t>.</w:t>
            </w:r>
            <w:r w:rsidRPr="005D770E">
              <w:rPr>
                <w:rFonts w:asciiTheme="minorBidi" w:hAnsiTheme="minorBidi"/>
                <w:sz w:val="21"/>
                <w:szCs w:val="21"/>
                <w:lang w:val="en-AU"/>
              </w:rPr>
              <w:t xml:space="preserve"> </w:t>
            </w:r>
          </w:p>
        </w:tc>
        <w:tc>
          <w:tcPr>
            <w:tcW w:w="3260" w:type="dxa"/>
            <w:shd w:val="clear" w:color="auto" w:fill="auto"/>
            <w:tcMar>
              <w:top w:w="85" w:type="dxa"/>
              <w:left w:w="85" w:type="dxa"/>
              <w:bottom w:w="85" w:type="dxa"/>
              <w:right w:w="85" w:type="dxa"/>
            </w:tcMar>
            <w:vAlign w:val="center"/>
            <w:hideMark/>
          </w:tcPr>
          <w:p w14:paraId="7522771C" w14:textId="0CC40D40" w:rsidR="00CD43D9" w:rsidRPr="005D770E" w:rsidRDefault="00CD43D9" w:rsidP="00657F18">
            <w:pPr>
              <w:spacing w:before="0" w:after="0" w:line="240" w:lineRule="auto"/>
              <w:rPr>
                <w:rFonts w:asciiTheme="minorBidi" w:hAnsiTheme="minorBidi"/>
                <w:sz w:val="21"/>
                <w:szCs w:val="21"/>
                <w:lang w:val="en-AU"/>
              </w:rPr>
            </w:pPr>
            <w:r w:rsidRPr="005D770E">
              <w:rPr>
                <w:rFonts w:asciiTheme="minorBidi" w:hAnsiTheme="minorBidi"/>
                <w:sz w:val="21"/>
                <w:szCs w:val="21"/>
                <w:lang w:val="en-AU"/>
              </w:rPr>
              <w:t xml:space="preserve">No difference in mortality, with greater costs and requirement for renal replacement therapy in </w:t>
            </w:r>
            <w:r w:rsidR="00637138" w:rsidRPr="005D770E">
              <w:rPr>
                <w:rFonts w:asciiTheme="minorBidi" w:hAnsiTheme="minorBidi"/>
                <w:sz w:val="21"/>
                <w:szCs w:val="21"/>
                <w:lang w:val="en-AU"/>
              </w:rPr>
              <w:t>the hydroxyethyl starch</w:t>
            </w:r>
            <w:r w:rsidR="009A7E2E">
              <w:rPr>
                <w:rFonts w:asciiTheme="minorBidi" w:hAnsiTheme="minorBidi"/>
                <w:sz w:val="21"/>
                <w:szCs w:val="21"/>
                <w:lang w:val="en-AU"/>
              </w:rPr>
              <w:t xml:space="preserve"> </w:t>
            </w:r>
            <w:r w:rsidRPr="005D770E">
              <w:rPr>
                <w:rFonts w:asciiTheme="minorBidi" w:hAnsiTheme="minorBidi"/>
                <w:sz w:val="21"/>
                <w:szCs w:val="21"/>
                <w:lang w:val="en-AU"/>
              </w:rPr>
              <w:t xml:space="preserve">treatment group. </w:t>
            </w:r>
          </w:p>
        </w:tc>
        <w:tc>
          <w:tcPr>
            <w:tcW w:w="3328" w:type="dxa"/>
            <w:shd w:val="clear" w:color="auto" w:fill="auto"/>
            <w:tcMar>
              <w:top w:w="85" w:type="dxa"/>
              <w:left w:w="85" w:type="dxa"/>
              <w:bottom w:w="85" w:type="dxa"/>
              <w:right w:w="85" w:type="dxa"/>
            </w:tcMar>
            <w:vAlign w:val="center"/>
            <w:hideMark/>
          </w:tcPr>
          <w:p w14:paraId="46406030" w14:textId="583CF6D6" w:rsidR="00CD43D9" w:rsidRPr="005D770E" w:rsidRDefault="00637138" w:rsidP="00657F18">
            <w:pPr>
              <w:spacing w:before="0" w:after="0" w:line="240" w:lineRule="auto"/>
              <w:rPr>
                <w:rFonts w:asciiTheme="minorBidi" w:hAnsiTheme="minorBidi"/>
                <w:sz w:val="21"/>
                <w:szCs w:val="21"/>
                <w:lang w:val="en-AU"/>
              </w:rPr>
            </w:pPr>
            <w:r w:rsidRPr="005D770E">
              <w:rPr>
                <w:rFonts w:asciiTheme="minorBidi" w:hAnsiTheme="minorBidi"/>
                <w:sz w:val="21"/>
                <w:szCs w:val="21"/>
                <w:lang w:val="en-AU"/>
              </w:rPr>
              <w:t xml:space="preserve">Hydroxyethyl starch </w:t>
            </w:r>
            <w:r w:rsidR="00CD43D9" w:rsidRPr="005D770E">
              <w:rPr>
                <w:rFonts w:asciiTheme="minorBidi" w:hAnsiTheme="minorBidi"/>
                <w:sz w:val="21"/>
                <w:szCs w:val="21"/>
                <w:lang w:val="en-AU"/>
              </w:rPr>
              <w:t>had become the most commonly used colloid in fluid resuscitation in some places overseas and was increasingly being used in Australia before the trial. The trial reduced this trend</w:t>
            </w:r>
            <w:r w:rsidR="00D87B93" w:rsidRPr="005D770E">
              <w:rPr>
                <w:rFonts w:asciiTheme="minorBidi" w:hAnsiTheme="minorBidi"/>
                <w:sz w:val="21"/>
                <w:szCs w:val="21"/>
                <w:lang w:val="en-AU"/>
              </w:rPr>
              <w:t>.</w:t>
            </w:r>
          </w:p>
        </w:tc>
      </w:tr>
      <w:tr w:rsidR="00CD43D9" w:rsidRPr="005D770E" w14:paraId="2EE68EB7" w14:textId="77777777" w:rsidTr="00392788">
        <w:trPr>
          <w:cantSplit/>
          <w:trHeight w:val="1124"/>
        </w:trPr>
        <w:tc>
          <w:tcPr>
            <w:tcW w:w="3029" w:type="dxa"/>
            <w:shd w:val="clear" w:color="auto" w:fill="auto"/>
            <w:tcMar>
              <w:top w:w="85" w:type="dxa"/>
              <w:left w:w="85" w:type="dxa"/>
              <w:bottom w:w="85" w:type="dxa"/>
              <w:right w:w="85" w:type="dxa"/>
            </w:tcMar>
            <w:vAlign w:val="center"/>
            <w:hideMark/>
          </w:tcPr>
          <w:p w14:paraId="3964605D" w14:textId="42D0E63C" w:rsidR="00CD43D9" w:rsidRPr="005D770E" w:rsidRDefault="00CD43D9" w:rsidP="00657F18">
            <w:pPr>
              <w:spacing w:before="0" w:after="0" w:line="240" w:lineRule="auto"/>
              <w:rPr>
                <w:rFonts w:asciiTheme="minorBidi" w:hAnsiTheme="minorBidi"/>
                <w:sz w:val="21"/>
                <w:szCs w:val="21"/>
                <w:lang w:val="en-AU"/>
              </w:rPr>
            </w:pPr>
            <w:r w:rsidRPr="005D770E">
              <w:rPr>
                <w:rStyle w:val="Strong"/>
                <w:rFonts w:asciiTheme="minorBidi" w:hAnsiTheme="minorBidi"/>
                <w:sz w:val="21"/>
                <w:szCs w:val="21"/>
                <w:lang w:val="en-AU"/>
              </w:rPr>
              <w:t>DECRA:</w:t>
            </w:r>
            <w:r w:rsidRPr="005D770E">
              <w:rPr>
                <w:rFonts w:asciiTheme="minorBidi" w:hAnsiTheme="minorBidi"/>
                <w:sz w:val="21"/>
                <w:szCs w:val="21"/>
                <w:lang w:val="en-AU"/>
              </w:rPr>
              <w:t xml:space="preserve"> Decompressive craniectomy in diffuse traumatic brain injury (TBI) refractory hypertension</w:t>
            </w:r>
            <w:r w:rsidR="00F025B4" w:rsidRPr="005D770E">
              <w:rPr>
                <w:rFonts w:asciiTheme="minorBidi" w:hAnsiTheme="minorBidi"/>
                <w:sz w:val="21"/>
                <w:szCs w:val="21"/>
                <w:lang w:val="en-AU"/>
              </w:rPr>
              <w:t>.</w:t>
            </w:r>
          </w:p>
        </w:tc>
        <w:tc>
          <w:tcPr>
            <w:tcW w:w="3260" w:type="dxa"/>
            <w:shd w:val="clear" w:color="auto" w:fill="auto"/>
            <w:tcMar>
              <w:top w:w="85" w:type="dxa"/>
              <w:left w:w="85" w:type="dxa"/>
              <w:bottom w:w="85" w:type="dxa"/>
              <w:right w:w="85" w:type="dxa"/>
            </w:tcMar>
            <w:vAlign w:val="center"/>
            <w:hideMark/>
          </w:tcPr>
          <w:p w14:paraId="5AD1A4AD" w14:textId="2651B82C" w:rsidR="00CD43D9" w:rsidRPr="005D770E" w:rsidRDefault="00776199" w:rsidP="00D36095">
            <w:pPr>
              <w:spacing w:before="0" w:after="0" w:line="240" w:lineRule="auto"/>
              <w:rPr>
                <w:rFonts w:asciiTheme="minorBidi" w:hAnsiTheme="minorBidi"/>
                <w:sz w:val="21"/>
                <w:szCs w:val="21"/>
                <w:lang w:val="en-AU"/>
              </w:rPr>
            </w:pPr>
            <w:r w:rsidRPr="00657F18">
              <w:rPr>
                <w:rFonts w:asciiTheme="minorBidi" w:hAnsiTheme="minorBidi"/>
                <w:sz w:val="21"/>
                <w:szCs w:val="21"/>
                <w:lang w:val="en-AU"/>
              </w:rPr>
              <w:t xml:space="preserve">Decompressive </w:t>
            </w:r>
            <w:r w:rsidR="00D36095" w:rsidRPr="00392788">
              <w:rPr>
                <w:rFonts w:asciiTheme="minorBidi" w:hAnsiTheme="minorBidi"/>
                <w:sz w:val="21"/>
                <w:szCs w:val="21"/>
                <w:lang w:val="en-AU"/>
              </w:rPr>
              <w:t xml:space="preserve">craniectomy </w:t>
            </w:r>
            <w:r w:rsidR="00D36095" w:rsidRPr="005D770E">
              <w:rPr>
                <w:rFonts w:asciiTheme="minorBidi" w:hAnsiTheme="minorBidi"/>
                <w:sz w:val="21"/>
                <w:szCs w:val="21"/>
                <w:lang w:val="en-AU"/>
              </w:rPr>
              <w:t>reduced</w:t>
            </w:r>
            <w:r w:rsidR="00CD43D9" w:rsidRPr="005D770E">
              <w:rPr>
                <w:rFonts w:asciiTheme="minorBidi" w:hAnsiTheme="minorBidi"/>
                <w:sz w:val="21"/>
                <w:szCs w:val="21"/>
                <w:lang w:val="en-AU"/>
              </w:rPr>
              <w:t xml:space="preserve"> IC</w:t>
            </w:r>
            <w:r w:rsidRPr="005D770E">
              <w:rPr>
                <w:rFonts w:asciiTheme="minorBidi" w:hAnsiTheme="minorBidi"/>
                <w:sz w:val="21"/>
                <w:szCs w:val="21"/>
                <w:lang w:val="en-AU"/>
              </w:rPr>
              <w:t>U</w:t>
            </w:r>
            <w:r w:rsidR="00CD43D9" w:rsidRPr="005D770E">
              <w:rPr>
                <w:rFonts w:asciiTheme="minorBidi" w:hAnsiTheme="minorBidi"/>
                <w:sz w:val="21"/>
                <w:szCs w:val="21"/>
                <w:lang w:val="en-AU"/>
              </w:rPr>
              <w:t xml:space="preserve"> length of stay but was associated with poorer patient health outcomes overall</w:t>
            </w:r>
            <w:r w:rsidR="00F025B4" w:rsidRPr="005D770E">
              <w:rPr>
                <w:rFonts w:asciiTheme="minorBidi" w:hAnsiTheme="minorBidi"/>
                <w:sz w:val="21"/>
                <w:szCs w:val="21"/>
                <w:lang w:val="en-AU"/>
              </w:rPr>
              <w:t>.</w:t>
            </w:r>
            <w:r w:rsidR="00CD43D9" w:rsidRPr="005D770E">
              <w:rPr>
                <w:rFonts w:asciiTheme="minorBidi" w:hAnsiTheme="minorBidi"/>
                <w:sz w:val="21"/>
                <w:szCs w:val="21"/>
                <w:lang w:val="en-AU"/>
              </w:rPr>
              <w:t xml:space="preserve"> </w:t>
            </w:r>
          </w:p>
        </w:tc>
        <w:tc>
          <w:tcPr>
            <w:tcW w:w="3328" w:type="dxa"/>
            <w:shd w:val="clear" w:color="auto" w:fill="auto"/>
            <w:tcMar>
              <w:top w:w="85" w:type="dxa"/>
              <w:left w:w="85" w:type="dxa"/>
              <w:bottom w:w="85" w:type="dxa"/>
              <w:right w:w="85" w:type="dxa"/>
            </w:tcMar>
            <w:vAlign w:val="center"/>
            <w:hideMark/>
          </w:tcPr>
          <w:p w14:paraId="37A77955" w14:textId="5E67CF3A" w:rsidR="00CD43D9" w:rsidRPr="005D770E" w:rsidRDefault="00CD43D9" w:rsidP="00657F18">
            <w:pPr>
              <w:spacing w:before="0" w:after="0" w:line="240" w:lineRule="auto"/>
              <w:rPr>
                <w:rFonts w:asciiTheme="minorBidi" w:hAnsiTheme="minorBidi"/>
                <w:sz w:val="21"/>
                <w:szCs w:val="21"/>
                <w:lang w:val="en-AU"/>
              </w:rPr>
            </w:pPr>
            <w:r w:rsidRPr="005D770E">
              <w:rPr>
                <w:rFonts w:asciiTheme="minorBidi" w:hAnsiTheme="minorBidi"/>
                <w:sz w:val="21"/>
                <w:szCs w:val="21"/>
                <w:lang w:val="en-AU"/>
              </w:rPr>
              <w:t xml:space="preserve">In eligible patients, </w:t>
            </w:r>
            <w:r w:rsidR="00D36095">
              <w:rPr>
                <w:sz w:val="21"/>
                <w:szCs w:val="21"/>
                <w:lang w:val="en-AU"/>
              </w:rPr>
              <w:t>d</w:t>
            </w:r>
            <w:r w:rsidR="00776199" w:rsidRPr="00F074A5">
              <w:rPr>
                <w:sz w:val="21"/>
                <w:szCs w:val="21"/>
              </w:rPr>
              <w:t xml:space="preserve">ecompressive </w:t>
            </w:r>
            <w:r w:rsidR="00D36095" w:rsidRPr="00F074A5">
              <w:rPr>
                <w:sz w:val="21"/>
                <w:szCs w:val="21"/>
              </w:rPr>
              <w:t>craniectomy</w:t>
            </w:r>
            <w:r w:rsidR="00D36095">
              <w:rPr>
                <w:rFonts w:asciiTheme="minorBidi" w:hAnsiTheme="minorBidi"/>
                <w:sz w:val="21"/>
                <w:szCs w:val="21"/>
                <w:lang w:val="en-AU"/>
              </w:rPr>
              <w:t xml:space="preserve"> </w:t>
            </w:r>
            <w:r w:rsidRPr="005D770E">
              <w:rPr>
                <w:rFonts w:asciiTheme="minorBidi" w:hAnsiTheme="minorBidi"/>
                <w:sz w:val="21"/>
                <w:szCs w:val="21"/>
                <w:lang w:val="en-AU"/>
              </w:rPr>
              <w:t>was becoming more common. The trial may prevent an increase in this practice.</w:t>
            </w:r>
          </w:p>
        </w:tc>
      </w:tr>
      <w:tr w:rsidR="00CD43D9" w:rsidRPr="005D770E" w14:paraId="48E50EAD" w14:textId="77777777" w:rsidTr="00392788">
        <w:trPr>
          <w:cantSplit/>
          <w:trHeight w:val="883"/>
        </w:trPr>
        <w:tc>
          <w:tcPr>
            <w:tcW w:w="3029" w:type="dxa"/>
            <w:shd w:val="clear" w:color="auto" w:fill="auto"/>
            <w:tcMar>
              <w:top w:w="85" w:type="dxa"/>
              <w:left w:w="85" w:type="dxa"/>
              <w:bottom w:w="85" w:type="dxa"/>
              <w:right w:w="85" w:type="dxa"/>
            </w:tcMar>
            <w:vAlign w:val="center"/>
            <w:hideMark/>
          </w:tcPr>
          <w:p w14:paraId="5DFDDE57" w14:textId="491ED807" w:rsidR="00CD43D9" w:rsidRPr="005D770E" w:rsidRDefault="00CD43D9" w:rsidP="00657F18">
            <w:pPr>
              <w:spacing w:before="0" w:after="0" w:line="240" w:lineRule="auto"/>
              <w:rPr>
                <w:rFonts w:asciiTheme="minorBidi" w:hAnsiTheme="minorBidi"/>
                <w:sz w:val="21"/>
                <w:szCs w:val="21"/>
                <w:lang w:val="en-AU"/>
              </w:rPr>
            </w:pPr>
            <w:r w:rsidRPr="005D770E">
              <w:rPr>
                <w:rStyle w:val="Strong"/>
                <w:rFonts w:asciiTheme="minorBidi" w:hAnsiTheme="minorBidi"/>
                <w:sz w:val="21"/>
                <w:szCs w:val="21"/>
                <w:lang w:val="en-AU"/>
              </w:rPr>
              <w:t>EPO-TBI:</w:t>
            </w:r>
            <w:r w:rsidRPr="005D770E">
              <w:rPr>
                <w:rFonts w:asciiTheme="minorBidi" w:hAnsiTheme="minorBidi"/>
                <w:sz w:val="21"/>
                <w:szCs w:val="21"/>
                <w:lang w:val="en-AU"/>
              </w:rPr>
              <w:t xml:space="preserve"> Erythropoietin in traumatic brain injury versus placebo (test</w:t>
            </w:r>
            <w:r w:rsidR="00776199" w:rsidRPr="005D770E">
              <w:rPr>
                <w:rFonts w:asciiTheme="minorBidi" w:hAnsiTheme="minorBidi"/>
                <w:sz w:val="21"/>
                <w:szCs w:val="21"/>
                <w:lang w:val="en-AU"/>
              </w:rPr>
              <w:t>ing</w:t>
            </w:r>
            <w:r w:rsidRPr="005D770E">
              <w:rPr>
                <w:rFonts w:asciiTheme="minorBidi" w:hAnsiTheme="minorBidi"/>
                <w:sz w:val="21"/>
                <w:szCs w:val="21"/>
                <w:lang w:val="en-AU"/>
              </w:rPr>
              <w:t xml:space="preserve"> neurocytoprotective effect)</w:t>
            </w:r>
            <w:r w:rsidR="00F025B4" w:rsidRPr="005D770E">
              <w:rPr>
                <w:rFonts w:asciiTheme="minorBidi" w:hAnsiTheme="minorBidi"/>
                <w:sz w:val="21"/>
                <w:szCs w:val="21"/>
                <w:lang w:val="en-AU"/>
              </w:rPr>
              <w:t>.</w:t>
            </w:r>
          </w:p>
        </w:tc>
        <w:tc>
          <w:tcPr>
            <w:tcW w:w="3260" w:type="dxa"/>
            <w:shd w:val="clear" w:color="auto" w:fill="auto"/>
            <w:tcMar>
              <w:top w:w="85" w:type="dxa"/>
              <w:left w:w="85" w:type="dxa"/>
              <w:bottom w:w="85" w:type="dxa"/>
              <w:right w:w="85" w:type="dxa"/>
            </w:tcMar>
            <w:vAlign w:val="center"/>
            <w:hideMark/>
          </w:tcPr>
          <w:p w14:paraId="6F47A3F7" w14:textId="0EC1C1E1" w:rsidR="00CD43D9" w:rsidRPr="005D770E" w:rsidRDefault="00CD43D9" w:rsidP="00657F18">
            <w:pPr>
              <w:spacing w:before="0" w:after="0" w:line="240" w:lineRule="auto"/>
              <w:rPr>
                <w:rFonts w:asciiTheme="minorBidi" w:hAnsiTheme="minorBidi"/>
                <w:sz w:val="21"/>
                <w:szCs w:val="21"/>
                <w:lang w:val="en-AU"/>
              </w:rPr>
            </w:pPr>
            <w:r w:rsidRPr="005D770E">
              <w:rPr>
                <w:rFonts w:asciiTheme="minorBidi" w:hAnsiTheme="minorBidi"/>
                <w:sz w:val="21"/>
                <w:szCs w:val="21"/>
                <w:lang w:val="en-AU"/>
              </w:rPr>
              <w:t>No change was seen in functional outcomes or side effects such as deep vein thrombosis</w:t>
            </w:r>
            <w:r w:rsidR="00F025B4" w:rsidRPr="005D770E">
              <w:rPr>
                <w:rFonts w:asciiTheme="minorBidi" w:hAnsiTheme="minorBidi"/>
                <w:sz w:val="21"/>
                <w:szCs w:val="21"/>
                <w:lang w:val="en-AU"/>
              </w:rPr>
              <w:t>.</w:t>
            </w:r>
          </w:p>
        </w:tc>
        <w:tc>
          <w:tcPr>
            <w:tcW w:w="3328" w:type="dxa"/>
            <w:shd w:val="clear" w:color="auto" w:fill="auto"/>
            <w:tcMar>
              <w:top w:w="85" w:type="dxa"/>
              <w:left w:w="85" w:type="dxa"/>
              <w:bottom w:w="85" w:type="dxa"/>
              <w:right w:w="85" w:type="dxa"/>
            </w:tcMar>
            <w:vAlign w:val="center"/>
            <w:hideMark/>
          </w:tcPr>
          <w:p w14:paraId="2A6A3E4E" w14:textId="77A56EB3" w:rsidR="00CD43D9" w:rsidRPr="005F0DF9" w:rsidRDefault="00CD43D9" w:rsidP="00657F18">
            <w:pPr>
              <w:spacing w:before="0" w:after="0" w:line="240" w:lineRule="auto"/>
              <w:rPr>
                <w:rFonts w:asciiTheme="minorBidi" w:hAnsiTheme="minorBidi"/>
                <w:sz w:val="21"/>
                <w:szCs w:val="21"/>
                <w:lang w:val="en-GB"/>
              </w:rPr>
            </w:pPr>
            <w:r w:rsidRPr="005D770E">
              <w:rPr>
                <w:rFonts w:asciiTheme="minorBidi" w:hAnsiTheme="minorBidi"/>
                <w:sz w:val="21"/>
                <w:szCs w:val="21"/>
                <w:lang w:val="en-AU"/>
              </w:rPr>
              <w:t xml:space="preserve">Previous equivocal RCT evidence for benefits in functional outcomes. </w:t>
            </w:r>
            <w:r w:rsidR="005F0DF9" w:rsidRPr="005F0DF9">
              <w:rPr>
                <w:rFonts w:asciiTheme="minorBidi" w:hAnsiTheme="minorBidi"/>
                <w:sz w:val="21"/>
                <w:szCs w:val="21"/>
                <w:lang w:val="en-AU"/>
              </w:rPr>
              <w:t>This trial has stopped the widespread implementation</w:t>
            </w:r>
            <w:r w:rsidR="0096241B">
              <w:rPr>
                <w:rFonts w:asciiTheme="minorBidi" w:hAnsiTheme="minorBidi"/>
                <w:sz w:val="21"/>
                <w:szCs w:val="21"/>
                <w:lang w:val="en-AU"/>
              </w:rPr>
              <w:t xml:space="preserve"> </w:t>
            </w:r>
            <w:r w:rsidR="005F0DF9" w:rsidRPr="005F0DF9">
              <w:rPr>
                <w:rFonts w:asciiTheme="minorBidi" w:hAnsiTheme="minorBidi"/>
                <w:sz w:val="21"/>
                <w:szCs w:val="21"/>
                <w:lang w:val="en-AU"/>
              </w:rPr>
              <w:t>of EPO in patients with traumatic brain injury</w:t>
            </w:r>
            <w:r w:rsidR="000E7975">
              <w:rPr>
                <w:rFonts w:asciiTheme="minorBidi" w:hAnsiTheme="minorBidi"/>
                <w:sz w:val="21"/>
                <w:szCs w:val="21"/>
                <w:lang w:val="en-AU"/>
              </w:rPr>
              <w:t>.</w:t>
            </w:r>
          </w:p>
        </w:tc>
      </w:tr>
      <w:tr w:rsidR="00CD43D9" w:rsidRPr="005D770E" w14:paraId="1C67CB0F" w14:textId="77777777" w:rsidTr="00392788">
        <w:trPr>
          <w:cantSplit/>
          <w:trHeight w:val="1210"/>
        </w:trPr>
        <w:tc>
          <w:tcPr>
            <w:tcW w:w="3029" w:type="dxa"/>
            <w:shd w:val="clear" w:color="auto" w:fill="auto"/>
            <w:tcMar>
              <w:top w:w="85" w:type="dxa"/>
              <w:left w:w="85" w:type="dxa"/>
              <w:bottom w:w="85" w:type="dxa"/>
              <w:right w:w="85" w:type="dxa"/>
            </w:tcMar>
            <w:vAlign w:val="center"/>
            <w:hideMark/>
          </w:tcPr>
          <w:p w14:paraId="1670E29C" w14:textId="52DCC786" w:rsidR="00CD43D9" w:rsidRPr="005D770E" w:rsidRDefault="00CD43D9" w:rsidP="00657F18">
            <w:pPr>
              <w:spacing w:before="0" w:after="0" w:line="240" w:lineRule="auto"/>
              <w:rPr>
                <w:rFonts w:asciiTheme="minorBidi" w:hAnsiTheme="minorBidi"/>
                <w:sz w:val="21"/>
                <w:szCs w:val="21"/>
                <w:lang w:val="en-AU"/>
              </w:rPr>
            </w:pPr>
            <w:r w:rsidRPr="005D770E">
              <w:rPr>
                <w:rStyle w:val="Strong"/>
                <w:rFonts w:asciiTheme="minorBidi" w:hAnsiTheme="minorBidi"/>
                <w:sz w:val="21"/>
                <w:szCs w:val="21"/>
                <w:lang w:val="en-AU"/>
              </w:rPr>
              <w:t>NICE-SUGAR:</w:t>
            </w:r>
            <w:r w:rsidRPr="005D770E">
              <w:rPr>
                <w:rFonts w:asciiTheme="minorBidi" w:hAnsiTheme="minorBidi"/>
                <w:sz w:val="21"/>
                <w:szCs w:val="21"/>
                <w:lang w:val="en-AU"/>
              </w:rPr>
              <w:t xml:space="preserve"> Intensive versus conventional </w:t>
            </w:r>
            <w:r w:rsidRPr="005D770E">
              <w:rPr>
                <w:rFonts w:asciiTheme="minorBidi" w:hAnsiTheme="minorBidi"/>
                <w:bCs/>
                <w:sz w:val="21"/>
                <w:szCs w:val="21"/>
                <w:lang w:val="en-AU"/>
              </w:rPr>
              <w:t xml:space="preserve">glucose control </w:t>
            </w:r>
            <w:r w:rsidRPr="005D770E">
              <w:rPr>
                <w:rFonts w:asciiTheme="minorBidi" w:hAnsiTheme="minorBidi"/>
                <w:sz w:val="21"/>
                <w:szCs w:val="21"/>
                <w:lang w:val="en-AU"/>
              </w:rPr>
              <w:t xml:space="preserve">in ICU patients admitted for </w:t>
            </w:r>
            <w:r w:rsidR="00B350A8" w:rsidRPr="005D770E">
              <w:rPr>
                <w:rFonts w:asciiTheme="minorBidi" w:hAnsiTheme="minorBidi"/>
                <w:sz w:val="21"/>
                <w:szCs w:val="21"/>
                <w:lang w:val="en-AU"/>
              </w:rPr>
              <w:t xml:space="preserve">three </w:t>
            </w:r>
            <w:r w:rsidRPr="005D770E">
              <w:rPr>
                <w:rFonts w:asciiTheme="minorBidi" w:hAnsiTheme="minorBidi"/>
                <w:sz w:val="21"/>
                <w:szCs w:val="21"/>
                <w:lang w:val="en-AU"/>
              </w:rPr>
              <w:t>or more days</w:t>
            </w:r>
            <w:r w:rsidR="00F025B4" w:rsidRPr="005D770E">
              <w:rPr>
                <w:rFonts w:asciiTheme="minorBidi" w:hAnsiTheme="minorBidi"/>
                <w:sz w:val="21"/>
                <w:szCs w:val="21"/>
                <w:lang w:val="en-AU"/>
              </w:rPr>
              <w:t>.</w:t>
            </w:r>
            <w:r w:rsidRPr="005D770E">
              <w:rPr>
                <w:rFonts w:asciiTheme="minorBidi" w:hAnsiTheme="minorBidi"/>
                <w:sz w:val="21"/>
                <w:szCs w:val="21"/>
                <w:lang w:val="en-AU"/>
              </w:rPr>
              <w:t xml:space="preserve"> </w:t>
            </w:r>
          </w:p>
        </w:tc>
        <w:tc>
          <w:tcPr>
            <w:tcW w:w="3260" w:type="dxa"/>
            <w:shd w:val="clear" w:color="auto" w:fill="auto"/>
            <w:tcMar>
              <w:top w:w="85" w:type="dxa"/>
              <w:left w:w="85" w:type="dxa"/>
              <w:bottom w:w="85" w:type="dxa"/>
              <w:right w:w="85" w:type="dxa"/>
            </w:tcMar>
            <w:vAlign w:val="center"/>
            <w:hideMark/>
          </w:tcPr>
          <w:p w14:paraId="03B23366" w14:textId="40FCEC14" w:rsidR="00CD43D9" w:rsidRPr="005D770E" w:rsidRDefault="00CD43D9" w:rsidP="00657F18">
            <w:pPr>
              <w:spacing w:before="0" w:after="0" w:line="240" w:lineRule="auto"/>
              <w:rPr>
                <w:rFonts w:asciiTheme="minorBidi" w:hAnsiTheme="minorBidi"/>
                <w:sz w:val="21"/>
                <w:szCs w:val="21"/>
                <w:lang w:val="en-AU"/>
              </w:rPr>
            </w:pPr>
            <w:r w:rsidRPr="005D770E">
              <w:rPr>
                <w:rFonts w:asciiTheme="minorBidi" w:hAnsiTheme="minorBidi"/>
                <w:sz w:val="21"/>
                <w:szCs w:val="21"/>
                <w:lang w:val="en-AU"/>
              </w:rPr>
              <w:t>More deaths and adverse events in the treatment (intensive control) group</w:t>
            </w:r>
            <w:r w:rsidR="00F025B4" w:rsidRPr="005D770E">
              <w:rPr>
                <w:rFonts w:asciiTheme="minorBidi" w:hAnsiTheme="minorBidi"/>
                <w:sz w:val="21"/>
                <w:szCs w:val="21"/>
                <w:lang w:val="en-AU"/>
              </w:rPr>
              <w:t>.</w:t>
            </w:r>
            <w:r w:rsidRPr="005D770E">
              <w:rPr>
                <w:rFonts w:asciiTheme="minorBidi" w:hAnsiTheme="minorBidi"/>
                <w:sz w:val="21"/>
                <w:szCs w:val="21"/>
                <w:lang w:val="en-AU"/>
              </w:rPr>
              <w:t xml:space="preserve"> </w:t>
            </w:r>
          </w:p>
        </w:tc>
        <w:tc>
          <w:tcPr>
            <w:tcW w:w="3328" w:type="dxa"/>
            <w:shd w:val="clear" w:color="auto" w:fill="auto"/>
            <w:tcMar>
              <w:top w:w="85" w:type="dxa"/>
              <w:left w:w="85" w:type="dxa"/>
              <w:bottom w:w="85" w:type="dxa"/>
              <w:right w:w="85" w:type="dxa"/>
            </w:tcMar>
            <w:vAlign w:val="center"/>
            <w:hideMark/>
          </w:tcPr>
          <w:p w14:paraId="666A706C" w14:textId="0E5D2957" w:rsidR="00CD43D9" w:rsidRPr="005D770E" w:rsidRDefault="00CD43D9" w:rsidP="00657F18">
            <w:pPr>
              <w:spacing w:before="0" w:after="0" w:line="240" w:lineRule="auto"/>
              <w:rPr>
                <w:rFonts w:asciiTheme="minorBidi" w:hAnsiTheme="minorBidi"/>
                <w:sz w:val="21"/>
                <w:szCs w:val="21"/>
                <w:lang w:val="en-AU"/>
              </w:rPr>
            </w:pPr>
            <w:r w:rsidRPr="005D770E">
              <w:rPr>
                <w:rFonts w:asciiTheme="minorBidi" w:hAnsiTheme="minorBidi"/>
                <w:sz w:val="21"/>
                <w:szCs w:val="21"/>
                <w:lang w:val="en-AU"/>
              </w:rPr>
              <w:t>Without the trial, intensive glucose control would have been implemented. This will not happen now</w:t>
            </w:r>
            <w:r w:rsidR="00D87B93" w:rsidRPr="005D770E">
              <w:rPr>
                <w:rFonts w:asciiTheme="minorBidi" w:hAnsiTheme="minorBidi"/>
                <w:sz w:val="21"/>
                <w:szCs w:val="21"/>
                <w:lang w:val="en-AU"/>
              </w:rPr>
              <w:t>.</w:t>
            </w:r>
          </w:p>
        </w:tc>
      </w:tr>
      <w:tr w:rsidR="00CD43D9" w:rsidRPr="005D770E" w14:paraId="3722F4C5" w14:textId="77777777" w:rsidTr="00392788">
        <w:trPr>
          <w:cantSplit/>
          <w:trHeight w:val="883"/>
        </w:trPr>
        <w:tc>
          <w:tcPr>
            <w:tcW w:w="3029" w:type="dxa"/>
            <w:shd w:val="clear" w:color="auto" w:fill="auto"/>
            <w:tcMar>
              <w:top w:w="85" w:type="dxa"/>
              <w:left w:w="85" w:type="dxa"/>
              <w:bottom w:w="85" w:type="dxa"/>
              <w:right w:w="85" w:type="dxa"/>
            </w:tcMar>
            <w:vAlign w:val="center"/>
            <w:hideMark/>
          </w:tcPr>
          <w:p w14:paraId="54E5C089" w14:textId="58740AD2" w:rsidR="00CD43D9" w:rsidRPr="005D770E" w:rsidRDefault="00CD43D9" w:rsidP="00657F18">
            <w:pPr>
              <w:spacing w:before="0" w:after="0" w:line="240" w:lineRule="auto"/>
              <w:rPr>
                <w:rFonts w:asciiTheme="minorBidi" w:hAnsiTheme="minorBidi"/>
                <w:sz w:val="21"/>
                <w:szCs w:val="21"/>
                <w:lang w:val="en-AU"/>
              </w:rPr>
            </w:pPr>
            <w:r w:rsidRPr="005D770E">
              <w:rPr>
                <w:rStyle w:val="Strong"/>
                <w:rFonts w:asciiTheme="minorBidi" w:hAnsiTheme="minorBidi"/>
                <w:sz w:val="21"/>
                <w:szCs w:val="21"/>
                <w:lang w:val="en-AU"/>
              </w:rPr>
              <w:t>RENAL:</w:t>
            </w:r>
            <w:r w:rsidRPr="005D770E">
              <w:rPr>
                <w:rFonts w:asciiTheme="minorBidi" w:hAnsiTheme="minorBidi"/>
                <w:sz w:val="21"/>
                <w:szCs w:val="21"/>
                <w:lang w:val="en-AU"/>
              </w:rPr>
              <w:t xml:space="preserve"> Augmented renal replacement therapy versus standard (lower intensity) in severe acute renal failure</w:t>
            </w:r>
            <w:r w:rsidR="00F025B4" w:rsidRPr="005D770E">
              <w:rPr>
                <w:rFonts w:asciiTheme="minorBidi" w:hAnsiTheme="minorBidi"/>
                <w:sz w:val="21"/>
                <w:szCs w:val="21"/>
                <w:lang w:val="en-AU"/>
              </w:rPr>
              <w:t>.</w:t>
            </w:r>
          </w:p>
        </w:tc>
        <w:tc>
          <w:tcPr>
            <w:tcW w:w="3260" w:type="dxa"/>
            <w:shd w:val="clear" w:color="auto" w:fill="auto"/>
            <w:tcMar>
              <w:top w:w="85" w:type="dxa"/>
              <w:left w:w="85" w:type="dxa"/>
              <w:bottom w:w="85" w:type="dxa"/>
              <w:right w:w="85" w:type="dxa"/>
            </w:tcMar>
            <w:vAlign w:val="center"/>
            <w:hideMark/>
          </w:tcPr>
          <w:p w14:paraId="0D18298E" w14:textId="66AC6625" w:rsidR="00CD43D9" w:rsidRPr="005D770E" w:rsidRDefault="00CD43D9" w:rsidP="00657F18">
            <w:pPr>
              <w:spacing w:before="0" w:after="0" w:line="240" w:lineRule="auto"/>
              <w:rPr>
                <w:rFonts w:asciiTheme="minorBidi" w:hAnsiTheme="minorBidi"/>
                <w:sz w:val="21"/>
                <w:szCs w:val="21"/>
                <w:lang w:val="en-AU"/>
              </w:rPr>
            </w:pPr>
            <w:r w:rsidRPr="005D770E">
              <w:rPr>
                <w:rFonts w:asciiTheme="minorBidi" w:hAnsiTheme="minorBidi"/>
                <w:sz w:val="21"/>
                <w:szCs w:val="21"/>
                <w:lang w:val="en-AU"/>
              </w:rPr>
              <w:t>Higher intensity treatment did not decrease mortality and hypophosphatemia occurred more often</w:t>
            </w:r>
            <w:r w:rsidR="00F025B4" w:rsidRPr="005D770E">
              <w:rPr>
                <w:rFonts w:asciiTheme="minorBidi" w:hAnsiTheme="minorBidi"/>
                <w:sz w:val="21"/>
                <w:szCs w:val="21"/>
                <w:lang w:val="en-AU"/>
              </w:rPr>
              <w:t>.</w:t>
            </w:r>
            <w:r w:rsidRPr="005D770E">
              <w:rPr>
                <w:rFonts w:asciiTheme="minorBidi" w:hAnsiTheme="minorBidi"/>
                <w:sz w:val="21"/>
                <w:szCs w:val="21"/>
                <w:lang w:val="en-AU"/>
              </w:rPr>
              <w:t xml:space="preserve"> </w:t>
            </w:r>
          </w:p>
        </w:tc>
        <w:tc>
          <w:tcPr>
            <w:tcW w:w="3328" w:type="dxa"/>
            <w:shd w:val="clear" w:color="auto" w:fill="auto"/>
            <w:tcMar>
              <w:top w:w="85" w:type="dxa"/>
              <w:left w:w="85" w:type="dxa"/>
              <w:bottom w:w="85" w:type="dxa"/>
              <w:right w:w="85" w:type="dxa"/>
            </w:tcMar>
            <w:vAlign w:val="center"/>
            <w:hideMark/>
          </w:tcPr>
          <w:p w14:paraId="72FEE1A2" w14:textId="76D001C3" w:rsidR="00CD43D9" w:rsidRPr="005D770E" w:rsidRDefault="00CD43D9" w:rsidP="00657F18">
            <w:pPr>
              <w:spacing w:before="0" w:after="0" w:line="240" w:lineRule="auto"/>
              <w:rPr>
                <w:rFonts w:asciiTheme="minorBidi" w:hAnsiTheme="minorBidi"/>
                <w:sz w:val="21"/>
                <w:szCs w:val="21"/>
                <w:lang w:val="en-AU"/>
              </w:rPr>
            </w:pPr>
            <w:r w:rsidRPr="005D770E">
              <w:rPr>
                <w:rFonts w:asciiTheme="minorBidi" w:hAnsiTheme="minorBidi"/>
                <w:sz w:val="21"/>
                <w:szCs w:val="21"/>
                <w:lang w:val="en-AU"/>
              </w:rPr>
              <w:t xml:space="preserve">Intensive </w:t>
            </w:r>
            <w:r w:rsidR="00AA1470" w:rsidRPr="005D770E">
              <w:rPr>
                <w:rFonts w:asciiTheme="minorBidi" w:hAnsiTheme="minorBidi"/>
                <w:sz w:val="21"/>
                <w:szCs w:val="21"/>
                <w:lang w:val="en-AU"/>
              </w:rPr>
              <w:t>renal replacement therapy</w:t>
            </w:r>
            <w:r w:rsidRPr="005D770E">
              <w:rPr>
                <w:rFonts w:asciiTheme="minorBidi" w:hAnsiTheme="minorBidi"/>
                <w:sz w:val="21"/>
                <w:szCs w:val="21"/>
                <w:lang w:val="en-AU"/>
              </w:rPr>
              <w:t xml:space="preserve"> was becoming increasingly common on the basis of smaller studies. The trial will prevent this continuing</w:t>
            </w:r>
            <w:r w:rsidR="00D87B93" w:rsidRPr="005D770E">
              <w:rPr>
                <w:rFonts w:asciiTheme="minorBidi" w:hAnsiTheme="minorBidi"/>
                <w:sz w:val="21"/>
                <w:szCs w:val="21"/>
                <w:lang w:val="en-AU"/>
              </w:rPr>
              <w:t>.</w:t>
            </w:r>
          </w:p>
        </w:tc>
      </w:tr>
      <w:tr w:rsidR="00630CF3" w:rsidRPr="005D770E" w14:paraId="748B80CB" w14:textId="77777777" w:rsidTr="00630CF3">
        <w:trPr>
          <w:cantSplit/>
          <w:trHeight w:val="883"/>
        </w:trPr>
        <w:tc>
          <w:tcPr>
            <w:tcW w:w="3029" w:type="dxa"/>
            <w:shd w:val="clear" w:color="auto" w:fill="auto"/>
            <w:tcMar>
              <w:top w:w="85" w:type="dxa"/>
              <w:left w:w="85" w:type="dxa"/>
              <w:bottom w:w="85" w:type="dxa"/>
              <w:right w:w="85" w:type="dxa"/>
            </w:tcMar>
            <w:vAlign w:val="center"/>
          </w:tcPr>
          <w:p w14:paraId="7D822C52" w14:textId="5697DA23" w:rsidR="00630CF3" w:rsidRPr="005D770E" w:rsidRDefault="00630CF3" w:rsidP="00630CF3">
            <w:pPr>
              <w:spacing w:before="0" w:after="0" w:line="240" w:lineRule="auto"/>
              <w:rPr>
                <w:rStyle w:val="Strong"/>
                <w:rFonts w:asciiTheme="minorBidi" w:hAnsiTheme="minorBidi"/>
                <w:sz w:val="21"/>
                <w:szCs w:val="21"/>
                <w:lang w:val="en-AU"/>
              </w:rPr>
            </w:pPr>
            <w:r w:rsidRPr="005D770E">
              <w:rPr>
                <w:rStyle w:val="Strong"/>
                <w:rFonts w:asciiTheme="minorBidi" w:hAnsiTheme="minorBidi"/>
                <w:sz w:val="21"/>
                <w:szCs w:val="21"/>
                <w:lang w:val="en-AU"/>
              </w:rPr>
              <w:t>SAFE:</w:t>
            </w:r>
            <w:r w:rsidRPr="005D770E">
              <w:rPr>
                <w:rFonts w:asciiTheme="minorBidi" w:hAnsiTheme="minorBidi"/>
                <w:sz w:val="21"/>
                <w:szCs w:val="21"/>
                <w:lang w:val="en-AU"/>
              </w:rPr>
              <w:t xml:space="preserve"> Albumin versus saline for fluid resuscitation in ICU</w:t>
            </w:r>
            <w:r w:rsidR="00657F18">
              <w:rPr>
                <w:rFonts w:asciiTheme="minorBidi" w:hAnsiTheme="minorBidi"/>
                <w:sz w:val="21"/>
                <w:szCs w:val="21"/>
                <w:lang w:val="en-AU"/>
              </w:rPr>
              <w:t>.</w:t>
            </w:r>
          </w:p>
        </w:tc>
        <w:tc>
          <w:tcPr>
            <w:tcW w:w="3260" w:type="dxa"/>
            <w:shd w:val="clear" w:color="auto" w:fill="auto"/>
            <w:tcMar>
              <w:top w:w="85" w:type="dxa"/>
              <w:left w:w="85" w:type="dxa"/>
              <w:bottom w:w="85" w:type="dxa"/>
              <w:right w:w="85" w:type="dxa"/>
            </w:tcMar>
            <w:vAlign w:val="center"/>
          </w:tcPr>
          <w:p w14:paraId="05EB3F67" w14:textId="391B5EDE" w:rsidR="00630CF3" w:rsidRPr="005D770E" w:rsidRDefault="00630CF3" w:rsidP="00630CF3">
            <w:pPr>
              <w:spacing w:before="0" w:after="0" w:line="240" w:lineRule="auto"/>
              <w:rPr>
                <w:rFonts w:asciiTheme="minorBidi" w:hAnsiTheme="minorBidi"/>
                <w:sz w:val="21"/>
                <w:szCs w:val="21"/>
                <w:lang w:val="en-AU"/>
              </w:rPr>
            </w:pPr>
            <w:r w:rsidRPr="005D770E">
              <w:rPr>
                <w:rFonts w:asciiTheme="minorBidi" w:hAnsiTheme="minorBidi"/>
                <w:sz w:val="21"/>
                <w:szCs w:val="21"/>
                <w:lang w:val="en-AU"/>
              </w:rPr>
              <w:t xml:space="preserve">No difference in outcomes, but </w:t>
            </w:r>
            <w:r>
              <w:rPr>
                <w:rFonts w:asciiTheme="minorBidi" w:hAnsiTheme="minorBidi"/>
                <w:sz w:val="21"/>
                <w:szCs w:val="21"/>
                <w:lang w:val="en-AU"/>
              </w:rPr>
              <w:t xml:space="preserve"> </w:t>
            </w:r>
            <w:r w:rsidRPr="005D770E">
              <w:rPr>
                <w:rFonts w:asciiTheme="minorBidi" w:hAnsiTheme="minorBidi"/>
                <w:sz w:val="21"/>
                <w:szCs w:val="21"/>
                <w:lang w:val="en-AU"/>
              </w:rPr>
              <w:t>albumin is more expensive (and there is some indication of harm in patients with traumatic brain injury)</w:t>
            </w:r>
            <w:r w:rsidR="00657F18">
              <w:rPr>
                <w:rFonts w:asciiTheme="minorBidi" w:hAnsiTheme="minorBidi"/>
                <w:sz w:val="21"/>
                <w:szCs w:val="21"/>
                <w:lang w:val="en-AU"/>
              </w:rPr>
              <w:t>.</w:t>
            </w:r>
            <w:r w:rsidRPr="005D770E">
              <w:rPr>
                <w:rFonts w:asciiTheme="minorBidi" w:hAnsiTheme="minorBidi"/>
                <w:sz w:val="21"/>
                <w:szCs w:val="21"/>
                <w:lang w:val="en-AU"/>
              </w:rPr>
              <w:t xml:space="preserve"> </w:t>
            </w:r>
          </w:p>
        </w:tc>
        <w:tc>
          <w:tcPr>
            <w:tcW w:w="3328" w:type="dxa"/>
            <w:shd w:val="clear" w:color="auto" w:fill="auto"/>
            <w:tcMar>
              <w:top w:w="85" w:type="dxa"/>
              <w:left w:w="85" w:type="dxa"/>
              <w:bottom w:w="85" w:type="dxa"/>
              <w:right w:w="85" w:type="dxa"/>
            </w:tcMar>
            <w:vAlign w:val="center"/>
          </w:tcPr>
          <w:p w14:paraId="2CEBFE67" w14:textId="01BF98A4" w:rsidR="00630CF3" w:rsidRPr="005D770E" w:rsidRDefault="00630CF3" w:rsidP="00630CF3">
            <w:pPr>
              <w:spacing w:before="0" w:after="0" w:line="240" w:lineRule="auto"/>
              <w:rPr>
                <w:rFonts w:asciiTheme="minorBidi" w:hAnsiTheme="minorBidi"/>
                <w:sz w:val="21"/>
                <w:szCs w:val="21"/>
                <w:lang w:val="en-AU"/>
              </w:rPr>
            </w:pPr>
            <w:r w:rsidRPr="005D770E">
              <w:rPr>
                <w:rFonts w:asciiTheme="minorBidi" w:hAnsiTheme="minorBidi"/>
                <w:sz w:val="21"/>
                <w:szCs w:val="21"/>
                <w:lang w:val="en-AU"/>
              </w:rPr>
              <w:t>Albumin use was becoming common practice. The trial prevents an unnecessary increase in its use in ICU</w:t>
            </w:r>
            <w:r w:rsidR="00657F18">
              <w:rPr>
                <w:rFonts w:asciiTheme="minorBidi" w:hAnsiTheme="minorBidi"/>
                <w:sz w:val="21"/>
                <w:szCs w:val="21"/>
                <w:lang w:val="en-AU"/>
              </w:rPr>
              <w:t>.</w:t>
            </w:r>
          </w:p>
        </w:tc>
      </w:tr>
      <w:tr w:rsidR="00630CF3" w:rsidRPr="005D770E" w14:paraId="2A4656FC" w14:textId="77777777" w:rsidTr="00630CF3">
        <w:trPr>
          <w:cantSplit/>
          <w:trHeight w:val="883"/>
        </w:trPr>
        <w:tc>
          <w:tcPr>
            <w:tcW w:w="3029" w:type="dxa"/>
            <w:shd w:val="clear" w:color="auto" w:fill="auto"/>
            <w:tcMar>
              <w:top w:w="85" w:type="dxa"/>
              <w:left w:w="85" w:type="dxa"/>
              <w:bottom w:w="85" w:type="dxa"/>
              <w:right w:w="85" w:type="dxa"/>
            </w:tcMar>
            <w:vAlign w:val="center"/>
          </w:tcPr>
          <w:p w14:paraId="75A3F81A" w14:textId="6607BB4B" w:rsidR="00630CF3" w:rsidRPr="005D770E" w:rsidRDefault="00630CF3" w:rsidP="00630CF3">
            <w:pPr>
              <w:spacing w:before="0" w:after="0" w:line="240" w:lineRule="auto"/>
              <w:rPr>
                <w:rStyle w:val="Strong"/>
                <w:rFonts w:asciiTheme="minorBidi" w:hAnsiTheme="minorBidi"/>
                <w:sz w:val="21"/>
                <w:szCs w:val="21"/>
                <w:lang w:val="en-AU"/>
              </w:rPr>
            </w:pPr>
            <w:r w:rsidRPr="005D770E">
              <w:rPr>
                <w:rStyle w:val="Strong"/>
                <w:rFonts w:asciiTheme="minorBidi" w:hAnsiTheme="minorBidi"/>
                <w:sz w:val="21"/>
                <w:szCs w:val="21"/>
                <w:lang w:val="en-AU"/>
              </w:rPr>
              <w:t>SAFE-TBI:</w:t>
            </w:r>
            <w:r w:rsidRPr="005D770E">
              <w:rPr>
                <w:rFonts w:asciiTheme="minorBidi" w:hAnsiTheme="minorBidi"/>
                <w:sz w:val="21"/>
                <w:szCs w:val="21"/>
                <w:lang w:val="en-AU"/>
              </w:rPr>
              <w:t xml:space="preserve"> Albumin or saline for fluid resuscitation in traumatic brain injury patients</w:t>
            </w:r>
            <w:r w:rsidR="00657F18">
              <w:rPr>
                <w:rFonts w:asciiTheme="minorBidi" w:hAnsiTheme="minorBidi"/>
                <w:sz w:val="21"/>
                <w:szCs w:val="21"/>
                <w:lang w:val="en-AU"/>
              </w:rPr>
              <w:t>.</w:t>
            </w:r>
            <w:r w:rsidRPr="005D770E">
              <w:rPr>
                <w:rFonts w:asciiTheme="minorBidi" w:hAnsiTheme="minorBidi"/>
                <w:sz w:val="21"/>
                <w:szCs w:val="21"/>
                <w:lang w:val="en-AU"/>
              </w:rPr>
              <w:t xml:space="preserve"> </w:t>
            </w:r>
          </w:p>
        </w:tc>
        <w:tc>
          <w:tcPr>
            <w:tcW w:w="3260" w:type="dxa"/>
            <w:shd w:val="clear" w:color="auto" w:fill="auto"/>
            <w:tcMar>
              <w:top w:w="85" w:type="dxa"/>
              <w:left w:w="85" w:type="dxa"/>
              <w:bottom w:w="85" w:type="dxa"/>
              <w:right w:w="85" w:type="dxa"/>
            </w:tcMar>
            <w:vAlign w:val="center"/>
          </w:tcPr>
          <w:p w14:paraId="2E71E2E6" w14:textId="10AD01E9" w:rsidR="00630CF3" w:rsidRPr="005D770E" w:rsidRDefault="00630CF3" w:rsidP="00630CF3">
            <w:pPr>
              <w:spacing w:before="0" w:after="0" w:line="240" w:lineRule="auto"/>
              <w:rPr>
                <w:rFonts w:asciiTheme="minorBidi" w:hAnsiTheme="minorBidi"/>
                <w:sz w:val="21"/>
                <w:szCs w:val="21"/>
                <w:lang w:val="en-AU"/>
              </w:rPr>
            </w:pPr>
            <w:r w:rsidRPr="005D770E">
              <w:rPr>
                <w:rFonts w:asciiTheme="minorBidi" w:hAnsiTheme="minorBidi"/>
                <w:sz w:val="21"/>
                <w:szCs w:val="21"/>
                <w:lang w:val="en-AU"/>
              </w:rPr>
              <w:t>Fluid resuscitation with albumin was associated with higher mortality risk in this group of patients</w:t>
            </w:r>
            <w:r w:rsidR="00657F18">
              <w:rPr>
                <w:rFonts w:asciiTheme="minorBidi" w:hAnsiTheme="minorBidi"/>
                <w:sz w:val="21"/>
                <w:szCs w:val="21"/>
                <w:lang w:val="en-AU"/>
              </w:rPr>
              <w:t>.</w:t>
            </w:r>
          </w:p>
        </w:tc>
        <w:tc>
          <w:tcPr>
            <w:tcW w:w="3328" w:type="dxa"/>
            <w:shd w:val="clear" w:color="auto" w:fill="auto"/>
            <w:tcMar>
              <w:top w:w="85" w:type="dxa"/>
              <w:left w:w="85" w:type="dxa"/>
              <w:bottom w:w="85" w:type="dxa"/>
              <w:right w:w="85" w:type="dxa"/>
            </w:tcMar>
            <w:vAlign w:val="center"/>
          </w:tcPr>
          <w:p w14:paraId="621A694B" w14:textId="0F571B63" w:rsidR="00630CF3" w:rsidRPr="005D770E" w:rsidRDefault="00630CF3" w:rsidP="00630CF3">
            <w:pPr>
              <w:spacing w:before="0" w:after="0" w:line="240" w:lineRule="auto"/>
              <w:rPr>
                <w:rFonts w:asciiTheme="minorBidi" w:hAnsiTheme="minorBidi"/>
                <w:sz w:val="21"/>
                <w:szCs w:val="21"/>
                <w:lang w:val="en-AU"/>
              </w:rPr>
            </w:pPr>
            <w:r w:rsidRPr="005D770E">
              <w:rPr>
                <w:rFonts w:asciiTheme="minorBidi" w:hAnsiTheme="minorBidi"/>
                <w:sz w:val="21"/>
                <w:szCs w:val="21"/>
                <w:lang w:val="en-AU"/>
              </w:rPr>
              <w:t>Prior to the SAFE trial, albumin use was becoming common. The SAFE-TBI study will prevent use of albumin in traumatic brain injury patients</w:t>
            </w:r>
            <w:r w:rsidR="00657F18">
              <w:rPr>
                <w:rFonts w:asciiTheme="minorBidi" w:hAnsiTheme="minorBidi"/>
                <w:sz w:val="21"/>
                <w:szCs w:val="21"/>
                <w:lang w:val="en-AU"/>
              </w:rPr>
              <w:t>.</w:t>
            </w:r>
          </w:p>
        </w:tc>
      </w:tr>
    </w:tbl>
    <w:p w14:paraId="12655EA3" w14:textId="2C26F3D3" w:rsidR="006F1D4E" w:rsidRDefault="006F1D4E" w:rsidP="00915516">
      <w:pPr>
        <w:pStyle w:val="Heading1"/>
        <w:rPr>
          <w:lang w:val="en-GB"/>
        </w:rPr>
      </w:pPr>
      <w:bookmarkStart w:id="102" w:name="_Toc479170002"/>
      <w:bookmarkStart w:id="103" w:name="_Toc479170043"/>
      <w:bookmarkStart w:id="104" w:name="_Toc487184531"/>
      <w:bookmarkEnd w:id="101"/>
      <w:bookmarkEnd w:id="102"/>
      <w:bookmarkEnd w:id="103"/>
      <w:r>
        <w:rPr>
          <w:lang w:val="en-GB"/>
        </w:rPr>
        <w:lastRenderedPageBreak/>
        <w:t>Key findings and recommendations</w:t>
      </w:r>
      <w:bookmarkEnd w:id="104"/>
    </w:p>
    <w:p w14:paraId="73CB24F5" w14:textId="52DE183F" w:rsidR="006F1D4E" w:rsidRPr="00915516" w:rsidRDefault="00E377B0" w:rsidP="00915516">
      <w:pPr>
        <w:pStyle w:val="Heading2"/>
        <w:rPr>
          <w:bCs w:val="0"/>
        </w:rPr>
      </w:pPr>
      <w:bookmarkStart w:id="105" w:name="_Toc475279455"/>
      <w:bookmarkStart w:id="106" w:name="_Toc475279514"/>
      <w:bookmarkStart w:id="107" w:name="_Toc475279456"/>
      <w:bookmarkStart w:id="108" w:name="_Toc475279515"/>
      <w:bookmarkStart w:id="109" w:name="_Toc475279457"/>
      <w:bookmarkStart w:id="110" w:name="_Toc475279516"/>
      <w:bookmarkStart w:id="111" w:name="_Toc479144894"/>
      <w:bookmarkStart w:id="112" w:name="_Toc479170004"/>
      <w:bookmarkStart w:id="113" w:name="_Toc479170045"/>
      <w:bookmarkStart w:id="114" w:name="_Toc487184532"/>
      <w:bookmarkEnd w:id="105"/>
      <w:bookmarkEnd w:id="106"/>
      <w:bookmarkEnd w:id="107"/>
      <w:bookmarkEnd w:id="108"/>
      <w:bookmarkEnd w:id="109"/>
      <w:bookmarkEnd w:id="110"/>
      <w:bookmarkEnd w:id="111"/>
      <w:bookmarkEnd w:id="112"/>
      <w:bookmarkEnd w:id="113"/>
      <w:r>
        <w:t>Key findings</w:t>
      </w:r>
      <w:bookmarkEnd w:id="114"/>
    </w:p>
    <w:p w14:paraId="704FAF12" w14:textId="1CDD5F6D" w:rsidR="0080616D" w:rsidRPr="00CF6A2F" w:rsidRDefault="0080616D" w:rsidP="00392788">
      <w:pPr>
        <w:pStyle w:val="Commissionbodytext"/>
        <w:rPr>
          <w:rStyle w:val="Strong"/>
          <w:rFonts w:ascii="Franklin Gothic Medium" w:eastAsiaTheme="majorEastAsia" w:hAnsi="Franklin Gothic Medium" w:cstheme="majorBidi"/>
          <w:bCs w:val="0"/>
          <w:szCs w:val="26"/>
          <w:lang w:val="en-US"/>
        </w:rPr>
      </w:pPr>
      <w:r w:rsidRPr="00CF6A2F">
        <w:rPr>
          <w:rStyle w:val="Strong"/>
        </w:rPr>
        <w:t xml:space="preserve">Investigator-initiated clinical trials conducted by established networks identify opportunities for more </w:t>
      </w:r>
      <w:r w:rsidR="00B64221" w:rsidRPr="00C82FE4">
        <w:rPr>
          <w:rStyle w:val="Strong"/>
        </w:rPr>
        <w:t xml:space="preserve">effective and </w:t>
      </w:r>
      <w:r w:rsidRPr="00C82FE4">
        <w:rPr>
          <w:rStyle w:val="Strong"/>
        </w:rPr>
        <w:t>efficient use of resources and represent value for money for funders and the broader health system.</w:t>
      </w:r>
    </w:p>
    <w:p w14:paraId="6BFEBAED" w14:textId="77777777" w:rsidR="00630CF3" w:rsidRDefault="00630CF3" w:rsidP="00392788">
      <w:pPr>
        <w:pStyle w:val="Commissionbodytext"/>
      </w:pPr>
    </w:p>
    <w:p w14:paraId="0F5CDDEF" w14:textId="034793D3" w:rsidR="000E0DB8" w:rsidRDefault="0080616D" w:rsidP="00392788">
      <w:pPr>
        <w:pStyle w:val="Commissionbodytext"/>
      </w:pPr>
      <w:r w:rsidRPr="004572DB">
        <w:t>The evaluation show</w:t>
      </w:r>
      <w:r w:rsidR="00B64221">
        <w:t>s</w:t>
      </w:r>
      <w:r w:rsidRPr="004572DB">
        <w:t xml:space="preserve"> investigator-initiated clinical trials identify opportunities for </w:t>
      </w:r>
      <w:r w:rsidR="000E0DB8">
        <w:t xml:space="preserve">generating better health outcomes and </w:t>
      </w:r>
      <w:r w:rsidRPr="004572DB">
        <w:t>realising better value within the healthcare system. For example, investigator-initiated clinical trials may result in the r</w:t>
      </w:r>
      <w:r>
        <w:t xml:space="preserve">educed use of expensive medications or treatment regimens </w:t>
      </w:r>
      <w:r w:rsidRPr="004572DB">
        <w:t>or the avoidance of downstream health service costs</w:t>
      </w:r>
      <w:r>
        <w:t xml:space="preserve">. </w:t>
      </w:r>
      <w:r w:rsidR="00BE017A">
        <w:t>T</w:t>
      </w:r>
      <w:r w:rsidRPr="002A2CA8">
        <w:t>he evaluation</w:t>
      </w:r>
      <w:r w:rsidRPr="00727ABE">
        <w:t xml:space="preserve"> </w:t>
      </w:r>
      <w:r w:rsidR="00BE017A">
        <w:t xml:space="preserve">also </w:t>
      </w:r>
      <w:r w:rsidRPr="00727ABE">
        <w:t>demonstrates that investigator-initiated clinical trials conducted t</w:t>
      </w:r>
      <w:r>
        <w:t>h</w:t>
      </w:r>
      <w:r w:rsidRPr="00727ABE">
        <w:t xml:space="preserve">rough </w:t>
      </w:r>
      <w:r>
        <w:t>n</w:t>
      </w:r>
      <w:r w:rsidRPr="00727ABE">
        <w:t>etworks have the potential to deliver benefits well in excess of funding.</w:t>
      </w:r>
      <w:r>
        <w:t xml:space="preserve"> </w:t>
      </w:r>
    </w:p>
    <w:p w14:paraId="75E4CF65" w14:textId="77777777" w:rsidR="00630CF3" w:rsidRDefault="00630CF3" w:rsidP="00392788">
      <w:pPr>
        <w:pStyle w:val="Commissionbodytext"/>
      </w:pPr>
    </w:p>
    <w:p w14:paraId="4895F2A6" w14:textId="7A960926" w:rsidR="0080616D" w:rsidRPr="00352327" w:rsidRDefault="000E0DB8" w:rsidP="00392788">
      <w:pPr>
        <w:pStyle w:val="Commissionbodytext"/>
      </w:pPr>
      <w:r>
        <w:t>Importantly, t</w:t>
      </w:r>
      <w:r w:rsidR="0080616D">
        <w:t>h</w:t>
      </w:r>
      <w:r>
        <w:t xml:space="preserve">e results of this evaluation are </w:t>
      </w:r>
      <w:r w:rsidR="0080616D" w:rsidRPr="00727ABE">
        <w:t xml:space="preserve">consistent with </w:t>
      </w:r>
      <w:r>
        <w:t xml:space="preserve">similar </w:t>
      </w:r>
      <w:r w:rsidR="0080616D" w:rsidRPr="00727ABE">
        <w:t xml:space="preserve">international studies </w:t>
      </w:r>
      <w:r>
        <w:t>and contribute to a growing body of evidence demonstrating exceptionally high rates of return from well designed, public</w:t>
      </w:r>
      <w:r w:rsidR="00630CF3">
        <w:t>ly</w:t>
      </w:r>
      <w:r>
        <w:t xml:space="preserve"> funded, late-phase investigator-initiated trials. </w:t>
      </w:r>
      <w:r w:rsidR="0080616D" w:rsidRPr="00727ABE">
        <w:t>In the U</w:t>
      </w:r>
      <w:r w:rsidR="00630CF3">
        <w:t>nited States,</w:t>
      </w:r>
      <w:r w:rsidR="0080616D" w:rsidRPr="00727ABE">
        <w:t xml:space="preserve"> all 28 </w:t>
      </w:r>
      <w:r w:rsidR="00630CF3">
        <w:br/>
      </w:r>
      <w:r w:rsidR="00C82FE4">
        <w:t>P</w:t>
      </w:r>
      <w:r w:rsidR="0080616D" w:rsidRPr="00727ABE">
        <w:t xml:space="preserve">hase III RCTs funded by the National Institute of Neurological Disorders and Stroke prior to 2000 were associated with a benefit of US$15.2 billion over 10 years. This far exceeded costs of </w:t>
      </w:r>
      <w:r w:rsidR="00630CF3">
        <w:br/>
      </w:r>
      <w:r w:rsidR="0080616D" w:rsidRPr="00727ABE">
        <w:t>$3.6 billion for the same period, with a resultant benefit to cost ratio of 4.2:1</w:t>
      </w:r>
      <w:r w:rsidR="00F025B4">
        <w:t>.</w:t>
      </w:r>
      <w:r w:rsidR="0080616D" w:rsidRPr="00727ABE">
        <w:rPr>
          <w:vertAlign w:val="superscript"/>
        </w:rPr>
        <w:footnoteReference w:id="26"/>
      </w:r>
      <w:r w:rsidR="0080616D" w:rsidRPr="00727ABE">
        <w:t xml:space="preserve"> In the U</w:t>
      </w:r>
      <w:r w:rsidR="00630CF3">
        <w:t xml:space="preserve">nited </w:t>
      </w:r>
      <w:r w:rsidR="0080616D" w:rsidRPr="00727ABE">
        <w:t>K</w:t>
      </w:r>
      <w:r w:rsidR="00630CF3">
        <w:t>ingdom,</w:t>
      </w:r>
      <w:r w:rsidR="0080616D" w:rsidRPr="00727ABE">
        <w:t xml:space="preserve"> 10 </w:t>
      </w:r>
      <w:r w:rsidR="0080616D">
        <w:t>(</w:t>
      </w:r>
      <w:r w:rsidR="0080616D" w:rsidRPr="00727ABE">
        <w:t>predominantly multicentre</w:t>
      </w:r>
      <w:r w:rsidR="0080616D">
        <w:t>)</w:t>
      </w:r>
      <w:r w:rsidR="0080616D" w:rsidRPr="00727ABE">
        <w:t xml:space="preserve"> RCTs funded under the </w:t>
      </w:r>
      <w:r w:rsidR="00F269C3">
        <w:t xml:space="preserve">NIHR </w:t>
      </w:r>
      <w:r w:rsidR="000E7975">
        <w:t xml:space="preserve">health technology assessment </w:t>
      </w:r>
      <w:r w:rsidR="0080616D" w:rsidRPr="00727ABE">
        <w:t xml:space="preserve">program, were estimated to have a potential net benefit of </w:t>
      </w:r>
      <w:r w:rsidR="0080616D" w:rsidRPr="00727ABE">
        <w:rPr>
          <w:color w:val="222222"/>
          <w:shd w:val="clear" w:color="auto" w:fill="FFFFFF"/>
        </w:rPr>
        <w:t>£</w:t>
      </w:r>
      <w:r w:rsidR="0080616D" w:rsidRPr="00727ABE">
        <w:t>3</w:t>
      </w:r>
      <w:r w:rsidR="00046EB8">
        <w:t xml:space="preserve"> </w:t>
      </w:r>
      <w:r w:rsidR="0080616D" w:rsidRPr="00727ABE">
        <w:t>b</w:t>
      </w:r>
      <w:r w:rsidR="00046EB8">
        <w:t>illio</w:t>
      </w:r>
      <w:r w:rsidR="0080616D" w:rsidRPr="00727ABE">
        <w:t>n</w:t>
      </w:r>
      <w:r w:rsidR="0080616D">
        <w:t xml:space="preserve"> (based on 100% implementation for one year)</w:t>
      </w:r>
      <w:r w:rsidR="0080616D" w:rsidRPr="00727ABE">
        <w:t>. Just 12% of this net benefit was required to cover the costs for all research undertaken within the HTA program from 1993</w:t>
      </w:r>
      <w:r w:rsidR="00630CF3">
        <w:t>–20</w:t>
      </w:r>
      <w:r w:rsidR="0080616D" w:rsidRPr="00727ABE">
        <w:t>12</w:t>
      </w:r>
      <w:r w:rsidR="00F025B4">
        <w:t>.</w:t>
      </w:r>
      <w:r w:rsidR="0080616D" w:rsidRPr="00727ABE">
        <w:rPr>
          <w:vertAlign w:val="superscript"/>
        </w:rPr>
        <w:footnoteReference w:id="27"/>
      </w:r>
      <w:r w:rsidR="0080616D" w:rsidRPr="00727ABE">
        <w:t xml:space="preserve"> </w:t>
      </w:r>
      <w:r w:rsidR="0080616D">
        <w:br/>
      </w:r>
    </w:p>
    <w:p w14:paraId="0531CA3D" w14:textId="3746E3FD" w:rsidR="00B14474" w:rsidRPr="00915516" w:rsidRDefault="00B14474" w:rsidP="00392788">
      <w:pPr>
        <w:pStyle w:val="Commissionbodytext"/>
        <w:rPr>
          <w:rStyle w:val="Strong"/>
          <w:lang w:val="en-US"/>
        </w:rPr>
      </w:pPr>
      <w:r w:rsidRPr="00915516">
        <w:rPr>
          <w:rStyle w:val="Strong"/>
        </w:rPr>
        <w:t>Investigator-initiated clinical trials inform clinical best practice</w:t>
      </w:r>
      <w:r w:rsidR="00C13D76">
        <w:rPr>
          <w:rStyle w:val="Strong"/>
        </w:rPr>
        <w:t xml:space="preserve"> </w:t>
      </w:r>
      <w:r w:rsidRPr="00915516">
        <w:rPr>
          <w:rStyle w:val="Strong"/>
        </w:rPr>
        <w:t>and provide evidence for clinical guideline development and new models of care</w:t>
      </w:r>
      <w:r>
        <w:rPr>
          <w:rStyle w:val="Strong"/>
        </w:rPr>
        <w:t>.</w:t>
      </w:r>
    </w:p>
    <w:p w14:paraId="52B0829D" w14:textId="77777777" w:rsidR="00630CF3" w:rsidRDefault="00630CF3" w:rsidP="00392788">
      <w:pPr>
        <w:pStyle w:val="Commissionbodytext"/>
      </w:pPr>
    </w:p>
    <w:p w14:paraId="62282E05" w14:textId="47832877" w:rsidR="00B14474" w:rsidRPr="0005443F" w:rsidRDefault="00B14474" w:rsidP="00392788">
      <w:pPr>
        <w:pStyle w:val="Commissionbodytext"/>
      </w:pPr>
      <w:r>
        <w:t>Th</w:t>
      </w:r>
      <w:r w:rsidR="00B64221">
        <w:t>e evaluation illustrates</w:t>
      </w:r>
      <w:r>
        <w:t xml:space="preserve"> the variety of mechanisms through which </w:t>
      </w:r>
      <w:r w:rsidR="00F71233">
        <w:t>late-phase</w:t>
      </w:r>
      <w:r w:rsidRPr="00D85C9B">
        <w:t xml:space="preserve"> investigator-initiated clinical trials</w:t>
      </w:r>
      <w:r>
        <w:t xml:space="preserve"> deliver better health outcomes and health service value. Some of the trials investigated </w:t>
      </w:r>
      <w:r w:rsidRPr="00D85C9B">
        <w:t>the effectiveness of</w:t>
      </w:r>
      <w:r>
        <w:t xml:space="preserve"> single</w:t>
      </w:r>
      <w:r w:rsidRPr="00D85C9B">
        <w:t xml:space="preserve"> interventions</w:t>
      </w:r>
      <w:r>
        <w:t>, while others evaluated the effectiveness of</w:t>
      </w:r>
      <w:r w:rsidRPr="00D85C9B">
        <w:t xml:space="preserve"> care pathways</w:t>
      </w:r>
      <w:r>
        <w:t xml:space="preserve">. It was commonly reported during the evaluation that </w:t>
      </w:r>
      <w:r w:rsidR="00F71233">
        <w:t>late-phase</w:t>
      </w:r>
      <w:r>
        <w:t xml:space="preserve"> investigator-initiated RCTs are trusted by healthcare professionals for their methodological rigor. Consequently, these trials are particularly i</w:t>
      </w:r>
      <w:r w:rsidR="00B64221">
        <w:t>nfluential in clinical decision</w:t>
      </w:r>
      <w:r w:rsidR="002253F0">
        <w:t xml:space="preserve"> </w:t>
      </w:r>
      <w:r>
        <w:t>making and are used to inform clinical best practice, clinical guideline development and new models of care.</w:t>
      </w:r>
    </w:p>
    <w:p w14:paraId="41266F9A" w14:textId="77777777" w:rsidR="002253F0" w:rsidRDefault="002253F0" w:rsidP="00CF6A2F">
      <w:pPr>
        <w:pStyle w:val="ListBullet"/>
        <w:numPr>
          <w:ilvl w:val="0"/>
          <w:numId w:val="0"/>
        </w:numPr>
        <w:rPr>
          <w:rStyle w:val="Strong"/>
        </w:rPr>
      </w:pPr>
    </w:p>
    <w:p w14:paraId="19276715" w14:textId="5980E6E3" w:rsidR="0080616D" w:rsidRPr="00915516" w:rsidRDefault="004A04A1" w:rsidP="00392788">
      <w:pPr>
        <w:pStyle w:val="Commissionbodytext"/>
        <w:rPr>
          <w:rStyle w:val="Strong"/>
          <w:lang w:val="en-US"/>
        </w:rPr>
      </w:pPr>
      <w:r w:rsidRPr="004A04A1">
        <w:rPr>
          <w:rStyle w:val="Strong"/>
        </w:rPr>
        <w:lastRenderedPageBreak/>
        <w:t xml:space="preserve">Investigator-initiated clinical trials </w:t>
      </w:r>
      <w:r w:rsidR="00B14474">
        <w:rPr>
          <w:rStyle w:val="Strong"/>
        </w:rPr>
        <w:t xml:space="preserve">help </w:t>
      </w:r>
      <w:r w:rsidRPr="004A04A1">
        <w:rPr>
          <w:rStyle w:val="Strong"/>
        </w:rPr>
        <w:t xml:space="preserve">reduce </w:t>
      </w:r>
      <w:r w:rsidR="00D0229B">
        <w:rPr>
          <w:rStyle w:val="Strong"/>
        </w:rPr>
        <w:t xml:space="preserve">unwarranted </w:t>
      </w:r>
      <w:r w:rsidRPr="004A04A1">
        <w:rPr>
          <w:rStyle w:val="Strong"/>
        </w:rPr>
        <w:t>variation in clinical practice by evaluating the impact of variation on patient outcome</w:t>
      </w:r>
      <w:r>
        <w:rPr>
          <w:rStyle w:val="Strong"/>
        </w:rPr>
        <w:t>s.</w:t>
      </w:r>
    </w:p>
    <w:p w14:paraId="14B03A09" w14:textId="77777777" w:rsidR="002253F0" w:rsidRDefault="002253F0" w:rsidP="00392788">
      <w:pPr>
        <w:pStyle w:val="Commissionbodytext"/>
      </w:pPr>
    </w:p>
    <w:p w14:paraId="471B25CA" w14:textId="6443B629" w:rsidR="004A04A1" w:rsidRDefault="0080616D" w:rsidP="00392788">
      <w:pPr>
        <w:pStyle w:val="Commissionbodytext"/>
      </w:pPr>
      <w:r>
        <w:t>The evaluation illustrate</w:t>
      </w:r>
      <w:r w:rsidR="00B64221">
        <w:t>s</w:t>
      </w:r>
      <w:r>
        <w:t xml:space="preserve"> </w:t>
      </w:r>
      <w:r w:rsidR="004A04A1">
        <w:t>the critical role of</w:t>
      </w:r>
      <w:r>
        <w:t xml:space="preserve"> </w:t>
      </w:r>
      <w:r w:rsidRPr="00D85C9B">
        <w:t>investigator-initiated clinical trials</w:t>
      </w:r>
      <w:r>
        <w:t xml:space="preserve"> </w:t>
      </w:r>
      <w:r w:rsidR="004A04A1">
        <w:t xml:space="preserve">in reducing unwarranted variation in clinical practice. </w:t>
      </w:r>
      <w:r>
        <w:t>This</w:t>
      </w:r>
      <w:r w:rsidR="004A04A1">
        <w:t xml:space="preserve"> was seen in</w:t>
      </w:r>
      <w:r w:rsidR="00CD43D9">
        <w:t xml:space="preserve"> </w:t>
      </w:r>
      <w:r>
        <w:t>the PPROMT trial. P</w:t>
      </w:r>
      <w:r w:rsidRPr="001E1EB2" w:rsidDel="001F778A">
        <w:t xml:space="preserve">rior to the </w:t>
      </w:r>
      <w:r>
        <w:t>t</w:t>
      </w:r>
      <w:r w:rsidRPr="001E1EB2" w:rsidDel="001F778A">
        <w:t>rial</w:t>
      </w:r>
      <w:r w:rsidR="004A04A1">
        <w:t xml:space="preserve">, </w:t>
      </w:r>
      <w:r w:rsidR="00CD43D9">
        <w:t xml:space="preserve">there was disagreement among clinicians about the best way to </w:t>
      </w:r>
      <w:r w:rsidR="004A04A1">
        <w:t>manag</w:t>
      </w:r>
      <w:r w:rsidR="00CD43D9">
        <w:t xml:space="preserve">e </w:t>
      </w:r>
      <w:r w:rsidR="004A04A1">
        <w:t xml:space="preserve">pregnancy </w:t>
      </w:r>
      <w:r>
        <w:t>following pre-labour rupture of the mother’s membranes close to term.</w:t>
      </w:r>
      <w:r w:rsidRPr="00785268" w:rsidDel="001F778A">
        <w:t xml:space="preserve"> </w:t>
      </w:r>
      <w:r>
        <w:t>I</w:t>
      </w:r>
      <w:r w:rsidR="004A04A1">
        <w:t>n the absence of definitive evidence, i</w:t>
      </w:r>
      <w:r w:rsidRPr="0005443F" w:rsidDel="001F778A">
        <w:t xml:space="preserve">mmediate delivery </w:t>
      </w:r>
      <w:r w:rsidR="00CD43D9">
        <w:t xml:space="preserve">(as opposed to an expectant or waiting </w:t>
      </w:r>
      <w:r w:rsidR="00CD43D9" w:rsidRPr="0005443F" w:rsidDel="001F778A">
        <w:t>approach</w:t>
      </w:r>
      <w:r w:rsidR="00CD43D9">
        <w:t xml:space="preserve">) </w:t>
      </w:r>
      <w:r w:rsidRPr="0005443F">
        <w:t xml:space="preserve">was becoming </w:t>
      </w:r>
      <w:r w:rsidR="004A04A1">
        <w:t xml:space="preserve">more </w:t>
      </w:r>
      <w:r w:rsidRPr="0005443F">
        <w:t>common</w:t>
      </w:r>
      <w:r w:rsidR="00BE017A">
        <w:t>.</w:t>
      </w:r>
      <w:r w:rsidR="004A04A1">
        <w:t xml:space="preserve"> </w:t>
      </w:r>
      <w:r>
        <w:t>T</w:t>
      </w:r>
      <w:r w:rsidDel="001F778A">
        <w:t xml:space="preserve">he </w:t>
      </w:r>
      <w:r>
        <w:t>trial</w:t>
      </w:r>
      <w:r w:rsidDel="001F778A">
        <w:t xml:space="preserve"> prov</w:t>
      </w:r>
      <w:r>
        <w:t>id</w:t>
      </w:r>
      <w:r w:rsidDel="001F778A">
        <w:t>e</w:t>
      </w:r>
      <w:r w:rsidR="00CD43D9">
        <w:t>d</w:t>
      </w:r>
      <w:r w:rsidDel="001F778A">
        <w:t xml:space="preserve"> </w:t>
      </w:r>
      <w:r>
        <w:t xml:space="preserve">clinicians with reliable evidence </w:t>
      </w:r>
      <w:r w:rsidRPr="001E1EB2" w:rsidDel="001F778A">
        <w:t xml:space="preserve">that </w:t>
      </w:r>
      <w:r>
        <w:t>expectant management</w:t>
      </w:r>
      <w:r w:rsidRPr="001E1EB2" w:rsidDel="001F778A">
        <w:t xml:space="preserve"> </w:t>
      </w:r>
      <w:r w:rsidR="00B64221">
        <w:t>i</w:t>
      </w:r>
      <w:r w:rsidRPr="001E1EB2" w:rsidDel="001F778A">
        <w:t>s associated with b</w:t>
      </w:r>
      <w:r w:rsidDel="001F778A">
        <w:t>etter health outcomes for babies</w:t>
      </w:r>
      <w:r>
        <w:t xml:space="preserve"> and is expected to dramatically reduce </w:t>
      </w:r>
      <w:r w:rsidR="00B64221">
        <w:t>variation</w:t>
      </w:r>
      <w:r>
        <w:t xml:space="preserve"> in practice by </w:t>
      </w:r>
      <w:r w:rsidR="00B64221">
        <w:t>preventing</w:t>
      </w:r>
      <w:r w:rsidR="00CD43D9">
        <w:t xml:space="preserve"> routine</w:t>
      </w:r>
      <w:r>
        <w:t xml:space="preserve"> immediate delivery from becoming </w:t>
      </w:r>
      <w:r w:rsidR="00B14474">
        <w:t>common practice.</w:t>
      </w:r>
    </w:p>
    <w:p w14:paraId="3D5C3CD1" w14:textId="77777777" w:rsidR="002253F0" w:rsidRDefault="002253F0" w:rsidP="00392788">
      <w:pPr>
        <w:pStyle w:val="Commissionbodytext"/>
      </w:pPr>
    </w:p>
    <w:p w14:paraId="79A1D5E0" w14:textId="0DB43B6B" w:rsidR="0080616D" w:rsidRDefault="00B64221" w:rsidP="00392788">
      <w:pPr>
        <w:pStyle w:val="Commissionbodytext"/>
      </w:pPr>
      <w:r>
        <w:t xml:space="preserve">The very </w:t>
      </w:r>
      <w:r w:rsidR="00B14474">
        <w:t xml:space="preserve">process of designing trials </w:t>
      </w:r>
      <w:r w:rsidR="004A04A1">
        <w:t xml:space="preserve">that can determine the </w:t>
      </w:r>
      <w:r>
        <w:t xml:space="preserve">comparative </w:t>
      </w:r>
      <w:r w:rsidR="004A04A1">
        <w:t>effectiveness of new</w:t>
      </w:r>
      <w:r w:rsidR="002253F0">
        <w:t xml:space="preserve"> </w:t>
      </w:r>
      <w:r w:rsidR="004A04A1">
        <w:t xml:space="preserve">approaches </w:t>
      </w:r>
      <w:r w:rsidR="00B14474">
        <w:t xml:space="preserve">to </w:t>
      </w:r>
      <w:r>
        <w:t xml:space="preserve">treatment versus </w:t>
      </w:r>
      <w:r w:rsidR="00B14474">
        <w:t xml:space="preserve">standard </w:t>
      </w:r>
      <w:r>
        <w:t>clinical care</w:t>
      </w:r>
      <w:r w:rsidR="004A04A1">
        <w:t xml:space="preserve"> </w:t>
      </w:r>
      <w:r>
        <w:t xml:space="preserve">requires </w:t>
      </w:r>
      <w:r w:rsidR="004A04A1">
        <w:t xml:space="preserve">large groups of clinicians to be brought together to </w:t>
      </w:r>
      <w:r>
        <w:t>understand and define current practice.</w:t>
      </w:r>
      <w:r w:rsidR="00791C8D">
        <w:t xml:space="preserve"> This is </w:t>
      </w:r>
      <w:r w:rsidR="00D0229B">
        <w:t>another</w:t>
      </w:r>
      <w:r w:rsidR="00791C8D">
        <w:t xml:space="preserve"> </w:t>
      </w:r>
      <w:r w:rsidR="00D0229B">
        <w:t xml:space="preserve">mechanism through which networks </w:t>
      </w:r>
      <w:r w:rsidR="00BE017A">
        <w:t xml:space="preserve">can </w:t>
      </w:r>
      <w:r w:rsidR="00D0229B">
        <w:t>help to reduce unwarranted variation.</w:t>
      </w:r>
    </w:p>
    <w:p w14:paraId="66A97F18" w14:textId="77777777" w:rsidR="002253F0" w:rsidRDefault="002253F0" w:rsidP="00392788">
      <w:pPr>
        <w:pStyle w:val="Commissionbodytext"/>
        <w:rPr>
          <w:rStyle w:val="Strong"/>
        </w:rPr>
      </w:pPr>
      <w:bookmarkStart w:id="115" w:name="_Toc329424862"/>
    </w:p>
    <w:p w14:paraId="4DE23754" w14:textId="43A3315C" w:rsidR="004C06AA" w:rsidRPr="00915516" w:rsidRDefault="00727ABE" w:rsidP="00392788">
      <w:pPr>
        <w:pStyle w:val="Commissionbodytext"/>
        <w:rPr>
          <w:rStyle w:val="Strong"/>
          <w:lang w:val="en-US"/>
        </w:rPr>
      </w:pPr>
      <w:r w:rsidRPr="00915516">
        <w:rPr>
          <w:rStyle w:val="Strong"/>
        </w:rPr>
        <w:t xml:space="preserve">Translation of clinical trial results into practice needs to be both </w:t>
      </w:r>
      <w:r w:rsidR="001A063D" w:rsidRPr="00915516">
        <w:rPr>
          <w:rStyle w:val="Strong"/>
        </w:rPr>
        <w:t xml:space="preserve">better </w:t>
      </w:r>
      <w:r w:rsidRPr="00915516">
        <w:rPr>
          <w:rStyle w:val="Strong"/>
        </w:rPr>
        <w:t xml:space="preserve">understood and </w:t>
      </w:r>
      <w:r w:rsidR="00386F7E">
        <w:rPr>
          <w:rStyle w:val="Strong"/>
        </w:rPr>
        <w:t>optimi</w:t>
      </w:r>
      <w:r w:rsidR="00B14474">
        <w:rPr>
          <w:rStyle w:val="Strong"/>
        </w:rPr>
        <w:t>s</w:t>
      </w:r>
      <w:r w:rsidR="00386F7E">
        <w:rPr>
          <w:rStyle w:val="Strong"/>
        </w:rPr>
        <w:t>ed.</w:t>
      </w:r>
    </w:p>
    <w:p w14:paraId="1F5662D0" w14:textId="77777777" w:rsidR="002253F0" w:rsidRDefault="002253F0" w:rsidP="00392788">
      <w:pPr>
        <w:pStyle w:val="Commissionbodytext"/>
      </w:pPr>
    </w:p>
    <w:p w14:paraId="0D7BAA77" w14:textId="565837B5" w:rsidR="0010694C" w:rsidRPr="004C2FF8" w:rsidRDefault="00E75D4B" w:rsidP="00392788">
      <w:pPr>
        <w:pStyle w:val="Commissionbodytext"/>
      </w:pPr>
      <w:r w:rsidRPr="004C2FF8" w:rsidDel="00092169">
        <w:t>The evaluation show</w:t>
      </w:r>
      <w:r w:rsidRPr="004C2FF8">
        <w:t>ed</w:t>
      </w:r>
      <w:r w:rsidRPr="004C2FF8" w:rsidDel="00092169">
        <w:t xml:space="preserve"> that l</w:t>
      </w:r>
      <w:r w:rsidR="00B14474">
        <w:t>arge</w:t>
      </w:r>
      <w:r w:rsidRPr="004C2FF8" w:rsidDel="00092169">
        <w:t xml:space="preserve"> increases in </w:t>
      </w:r>
      <w:r w:rsidRPr="004C2FF8">
        <w:t xml:space="preserve">the </w:t>
      </w:r>
      <w:r w:rsidRPr="004C2FF8" w:rsidDel="00092169">
        <w:t>benefit to cost ratio</w:t>
      </w:r>
      <w:r w:rsidR="00BD68CF">
        <w:t xml:space="preserve"> </w:t>
      </w:r>
      <w:r w:rsidR="004C2FF8">
        <w:t>of investigator-initiated clinical trials conducted by networks</w:t>
      </w:r>
      <w:r w:rsidR="004C2FF8" w:rsidRPr="004C2FF8">
        <w:t xml:space="preserve"> </w:t>
      </w:r>
      <w:r w:rsidRPr="004C2FF8">
        <w:t>are possible</w:t>
      </w:r>
      <w:r w:rsidRPr="004C2FF8" w:rsidDel="00092169">
        <w:t xml:space="preserve"> through relatively small increases in implementation. Anecdotal evidence </w:t>
      </w:r>
      <w:r w:rsidRPr="004C2FF8">
        <w:t xml:space="preserve">from the evaluation </w:t>
      </w:r>
      <w:r w:rsidRPr="004C2FF8" w:rsidDel="00092169">
        <w:t xml:space="preserve">and </w:t>
      </w:r>
      <w:r w:rsidRPr="004C2FF8">
        <w:t xml:space="preserve">international </w:t>
      </w:r>
      <w:r w:rsidRPr="004C2FF8" w:rsidDel="00092169">
        <w:t>literature suggest</w:t>
      </w:r>
      <w:r w:rsidRPr="004C2FF8">
        <w:t>s</w:t>
      </w:r>
      <w:r w:rsidRPr="004C2FF8" w:rsidDel="00092169">
        <w:t xml:space="preserve"> that </w:t>
      </w:r>
      <w:r w:rsidR="00F7026A">
        <w:t>n</w:t>
      </w:r>
      <w:r w:rsidRPr="004C2FF8" w:rsidDel="00092169">
        <w:t>etworks are well placed to drive such increases</w:t>
      </w:r>
      <w:r w:rsidR="00791C8D">
        <w:t>.</w:t>
      </w:r>
      <w:r w:rsidR="00386F7E" w:rsidRPr="003A011A">
        <w:rPr>
          <w:rStyle w:val="FootnoteReference"/>
        </w:rPr>
        <w:footnoteReference w:id="28"/>
      </w:r>
      <w:r w:rsidR="00791C8D">
        <w:t xml:space="preserve"> The reasonable assumption being that clinicians who participate in a trial are more likely to implement the results of that trial in their own practice</w:t>
      </w:r>
      <w:r w:rsidR="00C13D76">
        <w:t xml:space="preserve"> </w:t>
      </w:r>
      <w:r w:rsidR="002F511D">
        <w:t>and help to translate new knowledge to their clinical colleagues.</w:t>
      </w:r>
      <w:r w:rsidR="00791C8D">
        <w:t xml:space="preserve"> </w:t>
      </w:r>
    </w:p>
    <w:p w14:paraId="308C8226" w14:textId="77777777" w:rsidR="002253F0" w:rsidRDefault="002253F0" w:rsidP="00392788">
      <w:pPr>
        <w:pStyle w:val="Commissionbodytext"/>
      </w:pPr>
    </w:p>
    <w:p w14:paraId="6EEBD9A0" w14:textId="4D0B513E" w:rsidR="002F511D" w:rsidRDefault="00E75D4B" w:rsidP="00392788">
      <w:pPr>
        <w:pStyle w:val="Commissionbodytext"/>
      </w:pPr>
      <w:r w:rsidRPr="004C2FF8">
        <w:t xml:space="preserve">Currently, </w:t>
      </w:r>
      <w:r w:rsidR="00F71233">
        <w:t>late-phase</w:t>
      </w:r>
      <w:r w:rsidRPr="004C2FF8">
        <w:t xml:space="preserve"> investigator-initiated clinical trials </w:t>
      </w:r>
      <w:r w:rsidR="002F511D">
        <w:t xml:space="preserve">conducted by networks </w:t>
      </w:r>
      <w:r w:rsidRPr="004C2FF8">
        <w:t xml:space="preserve">in Australia </w:t>
      </w:r>
      <w:r w:rsidR="002F511D">
        <w:t xml:space="preserve">are </w:t>
      </w:r>
      <w:r w:rsidRPr="004C2FF8">
        <w:t>rarely measure</w:t>
      </w:r>
      <w:r w:rsidR="002F511D">
        <w:t>d</w:t>
      </w:r>
      <w:r w:rsidRPr="004C2FF8">
        <w:t xml:space="preserve"> or monitor</w:t>
      </w:r>
      <w:r w:rsidR="002F511D">
        <w:t>ed</w:t>
      </w:r>
      <w:r w:rsidRPr="004C2FF8">
        <w:t xml:space="preserve"> to</w:t>
      </w:r>
      <w:r w:rsidR="002F511D">
        <w:t xml:space="preserve"> identify</w:t>
      </w:r>
      <w:r w:rsidRPr="004C2FF8">
        <w:t xml:space="preserve"> which trial findings have been implemented into practice</w:t>
      </w:r>
      <w:r w:rsidR="002C4832" w:rsidRPr="004C2FF8">
        <w:t xml:space="preserve"> or policy</w:t>
      </w:r>
      <w:r w:rsidRPr="004C2FF8">
        <w:t xml:space="preserve">. </w:t>
      </w:r>
      <w:r w:rsidR="002C4832" w:rsidRPr="004C2FF8">
        <w:t>P</w:t>
      </w:r>
      <w:r w:rsidRPr="004C2FF8">
        <w:t xml:space="preserve">ost-study evaluations </w:t>
      </w:r>
      <w:r w:rsidR="002C4832" w:rsidRPr="004C2FF8">
        <w:t>are</w:t>
      </w:r>
      <w:r w:rsidRPr="004C2FF8">
        <w:t xml:space="preserve"> not </w:t>
      </w:r>
      <w:r w:rsidR="002C4832" w:rsidRPr="004C2FF8">
        <w:t xml:space="preserve">routinely </w:t>
      </w:r>
      <w:r w:rsidRPr="004C2FF8">
        <w:t>incorporated into study design</w:t>
      </w:r>
      <w:r w:rsidR="002C4832" w:rsidRPr="004C2FF8">
        <w:t>s</w:t>
      </w:r>
      <w:r w:rsidRPr="004C2FF8">
        <w:t xml:space="preserve"> and </w:t>
      </w:r>
      <w:r w:rsidR="002C4832" w:rsidRPr="004C2FF8">
        <w:t xml:space="preserve">there is </w:t>
      </w:r>
      <w:r w:rsidRPr="004C2FF8">
        <w:t xml:space="preserve">a lack of </w:t>
      </w:r>
      <w:r w:rsidR="002C4832" w:rsidRPr="004C2FF8">
        <w:t>relevant, routinely collected</w:t>
      </w:r>
      <w:r w:rsidRPr="004C2FF8">
        <w:t xml:space="preserve"> data</w:t>
      </w:r>
      <w:r w:rsidR="002C4832" w:rsidRPr="004C2FF8">
        <w:t xml:space="preserve"> on which to base </w:t>
      </w:r>
      <w:r w:rsidR="004C2FF8" w:rsidRPr="004C2FF8">
        <w:t xml:space="preserve">these </w:t>
      </w:r>
      <w:r w:rsidR="002C4832" w:rsidRPr="004C2FF8">
        <w:t>evaluations</w:t>
      </w:r>
      <w:r w:rsidR="0072631A" w:rsidRPr="004C2FF8">
        <w:t xml:space="preserve">. </w:t>
      </w:r>
      <w:r w:rsidR="004C2FF8" w:rsidRPr="004C2FF8">
        <w:t>P</w:t>
      </w:r>
      <w:r w:rsidRPr="004C2FF8">
        <w:t xml:space="preserve">ractical </w:t>
      </w:r>
      <w:r w:rsidR="002F511D">
        <w:t xml:space="preserve">linkages </w:t>
      </w:r>
      <w:r w:rsidRPr="004C2FF8">
        <w:t>between existing resources</w:t>
      </w:r>
      <w:r w:rsidR="00261164">
        <w:t xml:space="preserve"> that</w:t>
      </w:r>
      <w:r w:rsidR="0072631A" w:rsidRPr="004C2FF8">
        <w:t xml:space="preserve"> </w:t>
      </w:r>
      <w:r w:rsidRPr="004C2FF8">
        <w:t xml:space="preserve">have </w:t>
      </w:r>
      <w:r w:rsidR="002C4832" w:rsidRPr="004C2FF8">
        <w:t xml:space="preserve">the </w:t>
      </w:r>
      <w:r w:rsidRPr="004C2FF8">
        <w:t xml:space="preserve">potential to provide </w:t>
      </w:r>
      <w:r w:rsidR="004C2FF8">
        <w:t xml:space="preserve">these </w:t>
      </w:r>
      <w:r w:rsidR="002C4832" w:rsidRPr="004C2FF8">
        <w:t xml:space="preserve">data and </w:t>
      </w:r>
      <w:r w:rsidRPr="004C2FF8">
        <w:t>insights</w:t>
      </w:r>
      <w:r w:rsidR="002C4832" w:rsidRPr="004C2FF8">
        <w:t xml:space="preserve"> </w:t>
      </w:r>
      <w:r w:rsidRPr="004C2FF8">
        <w:t>are not currently optimised</w:t>
      </w:r>
      <w:r w:rsidR="007A7796">
        <w:t>. F</w:t>
      </w:r>
      <w:r w:rsidR="0072631A" w:rsidRPr="004C2FF8">
        <w:t xml:space="preserve">or example, where a clinical </w:t>
      </w:r>
      <w:r w:rsidR="0072631A" w:rsidRPr="00F30DCE">
        <w:t xml:space="preserve">quality registry exists alongside a </w:t>
      </w:r>
      <w:r w:rsidR="002F511D">
        <w:t>n</w:t>
      </w:r>
      <w:r w:rsidR="0072631A" w:rsidRPr="00F30DCE">
        <w:t>etwork</w:t>
      </w:r>
      <w:r w:rsidR="002F511D">
        <w:t xml:space="preserve">. </w:t>
      </w:r>
    </w:p>
    <w:p w14:paraId="311EB527" w14:textId="77777777" w:rsidR="002253F0" w:rsidRDefault="002253F0" w:rsidP="00392788">
      <w:pPr>
        <w:pStyle w:val="Commissionbodytext"/>
        <w:rPr>
          <w:rStyle w:val="Strong"/>
        </w:rPr>
      </w:pPr>
    </w:p>
    <w:p w14:paraId="3BA7196D" w14:textId="463891F6" w:rsidR="0063403D" w:rsidRPr="008476A1" w:rsidRDefault="00730756" w:rsidP="00392788">
      <w:pPr>
        <w:pStyle w:val="Commissionbodytext"/>
        <w:rPr>
          <w:rStyle w:val="Strong"/>
          <w:lang w:val="en-US"/>
        </w:rPr>
      </w:pPr>
      <w:r>
        <w:rPr>
          <w:rStyle w:val="Strong"/>
        </w:rPr>
        <w:t xml:space="preserve">Quantifying the efficiencies and other benefits of conducting </w:t>
      </w:r>
      <w:r w:rsidR="00F71233">
        <w:rPr>
          <w:rStyle w:val="Strong"/>
        </w:rPr>
        <w:t>late-phase</w:t>
      </w:r>
      <w:r>
        <w:rPr>
          <w:rStyle w:val="Strong"/>
        </w:rPr>
        <w:t xml:space="preserve"> </w:t>
      </w:r>
      <w:r w:rsidRPr="008476A1">
        <w:rPr>
          <w:rStyle w:val="Strong"/>
        </w:rPr>
        <w:t xml:space="preserve">investigator-initiated trials through networks is an area of future research. </w:t>
      </w:r>
    </w:p>
    <w:p w14:paraId="6AE4B6DE" w14:textId="77777777" w:rsidR="002253F0" w:rsidRDefault="002253F0" w:rsidP="00392788">
      <w:pPr>
        <w:pStyle w:val="Commissionbodytext"/>
      </w:pPr>
    </w:p>
    <w:p w14:paraId="5538C4DA" w14:textId="43AD66EE" w:rsidR="004C06AA" w:rsidRPr="00F30DCE" w:rsidRDefault="0002337E" w:rsidP="00392788">
      <w:pPr>
        <w:pStyle w:val="Commissionbodytext"/>
      </w:pPr>
      <w:r w:rsidRPr="00352327">
        <w:t xml:space="preserve">Conducting trials within established </w:t>
      </w:r>
      <w:r w:rsidR="00730756" w:rsidRPr="00352327">
        <w:t xml:space="preserve">national </w:t>
      </w:r>
      <w:r w:rsidRPr="00352327">
        <w:t>networks is not the only way in</w:t>
      </w:r>
      <w:r w:rsidR="002F511D" w:rsidRPr="00352327">
        <w:t xml:space="preserve"> which</w:t>
      </w:r>
      <w:r w:rsidRPr="00352327">
        <w:t xml:space="preserve"> trials </w:t>
      </w:r>
      <w:r w:rsidR="00730756" w:rsidRPr="00352327">
        <w:t xml:space="preserve">can be carried out. </w:t>
      </w:r>
      <w:r w:rsidR="0056161A">
        <w:t>While</w:t>
      </w:r>
      <w:r w:rsidR="00730756" w:rsidRPr="00352327">
        <w:t xml:space="preserve"> this report suggests that there are significant efficiencies and other benefits associated with conducting trials through networks, quantifying these</w:t>
      </w:r>
      <w:r w:rsidR="002F511D" w:rsidRPr="00352327">
        <w:t xml:space="preserve"> benefits</w:t>
      </w:r>
      <w:r w:rsidR="00730756" w:rsidRPr="00352327">
        <w:t xml:space="preserve"> was beyond the scope of this report. This represents an opportunity for future research</w:t>
      </w:r>
      <w:r w:rsidR="002F511D" w:rsidRPr="00352327">
        <w:t xml:space="preserve"> to identify critical success factors</w:t>
      </w:r>
      <w:r w:rsidR="008476A1" w:rsidRPr="00352327">
        <w:t xml:space="preserve"> and best practice operating models for establishing and maintaining effective and efficient networks.</w:t>
      </w:r>
    </w:p>
    <w:p w14:paraId="4D599679" w14:textId="79B91338" w:rsidR="00727ABE" w:rsidRPr="00915516" w:rsidRDefault="001A063D" w:rsidP="00392788">
      <w:pPr>
        <w:pStyle w:val="Commissionbodytext"/>
        <w:rPr>
          <w:rStyle w:val="Strong"/>
          <w:lang w:val="en-US"/>
        </w:rPr>
      </w:pPr>
      <w:r w:rsidRPr="00915516">
        <w:rPr>
          <w:rStyle w:val="Strong"/>
        </w:rPr>
        <w:lastRenderedPageBreak/>
        <w:t>In-kind support is valued and relied upon by networks and trial sites, however</w:t>
      </w:r>
      <w:r w:rsidR="007A7796">
        <w:rPr>
          <w:rStyle w:val="Strong"/>
        </w:rPr>
        <w:t>,</w:t>
      </w:r>
      <w:r w:rsidRPr="00915516">
        <w:rPr>
          <w:rStyle w:val="Strong"/>
        </w:rPr>
        <w:t xml:space="preserve"> the true </w:t>
      </w:r>
      <w:r w:rsidR="00BB409D" w:rsidRPr="00915516">
        <w:rPr>
          <w:rStyle w:val="Strong"/>
        </w:rPr>
        <w:t xml:space="preserve">quantum of </w:t>
      </w:r>
      <w:r w:rsidRPr="00915516">
        <w:rPr>
          <w:rStyle w:val="Strong"/>
        </w:rPr>
        <w:t>this</w:t>
      </w:r>
      <w:r w:rsidR="00BB409D" w:rsidRPr="00915516">
        <w:rPr>
          <w:rStyle w:val="Strong"/>
        </w:rPr>
        <w:t xml:space="preserve"> support</w:t>
      </w:r>
      <w:r w:rsidRPr="00915516">
        <w:rPr>
          <w:rStyle w:val="Strong"/>
        </w:rPr>
        <w:t xml:space="preserve"> is unknown and needs to be quantified</w:t>
      </w:r>
      <w:r w:rsidR="00386F7E">
        <w:rPr>
          <w:rStyle w:val="Strong"/>
        </w:rPr>
        <w:t>.</w:t>
      </w:r>
    </w:p>
    <w:p w14:paraId="6E77DFC8" w14:textId="77777777" w:rsidR="007A7796" w:rsidRDefault="007A7796" w:rsidP="00392788">
      <w:pPr>
        <w:pStyle w:val="Commissionbodytext"/>
      </w:pPr>
    </w:p>
    <w:p w14:paraId="0C3ECFD3" w14:textId="2423320A" w:rsidR="001728DD" w:rsidRDefault="00B20906" w:rsidP="00392788">
      <w:pPr>
        <w:pStyle w:val="Commissionbodytext"/>
      </w:pPr>
      <w:r w:rsidRPr="001728DD">
        <w:t>During the evaluation, clinicians, n</w:t>
      </w:r>
      <w:r w:rsidR="00092169" w:rsidRPr="001728DD">
        <w:t xml:space="preserve">etworks and trialists </w:t>
      </w:r>
      <w:r w:rsidRPr="001728DD">
        <w:t>highlighted the importance of</w:t>
      </w:r>
      <w:r w:rsidR="00092169" w:rsidRPr="001728DD">
        <w:t xml:space="preserve"> in</w:t>
      </w:r>
      <w:r w:rsidRPr="001728DD">
        <w:noBreakHyphen/>
      </w:r>
      <w:r w:rsidR="00092169" w:rsidRPr="001728DD">
        <w:t>kind support</w:t>
      </w:r>
      <w:r w:rsidR="00863446" w:rsidRPr="001728DD">
        <w:t xml:space="preserve"> provided within </w:t>
      </w:r>
      <w:r w:rsidR="00F7026A">
        <w:t>n</w:t>
      </w:r>
      <w:r w:rsidR="00863446" w:rsidRPr="001728DD">
        <w:t>etworks</w:t>
      </w:r>
      <w:r w:rsidR="009E78E7">
        <w:t>, with ne</w:t>
      </w:r>
      <w:r w:rsidR="00092169" w:rsidRPr="001728DD">
        <w:t>tworks not</w:t>
      </w:r>
      <w:r w:rsidR="009E78E7">
        <w:t>ing</w:t>
      </w:r>
      <w:r w:rsidR="00092169" w:rsidRPr="001728DD">
        <w:t xml:space="preserve"> a level of reliance </w:t>
      </w:r>
      <w:r w:rsidR="009E78E7">
        <w:t>in terms of both</w:t>
      </w:r>
      <w:r w:rsidR="00092169" w:rsidRPr="001728DD">
        <w:t xml:space="preserve"> network </w:t>
      </w:r>
      <w:r w:rsidR="009E78E7">
        <w:t xml:space="preserve">sustainability </w:t>
      </w:r>
      <w:r w:rsidR="00092169" w:rsidRPr="001728DD">
        <w:t xml:space="preserve">and </w:t>
      </w:r>
      <w:r w:rsidR="009E78E7">
        <w:t xml:space="preserve">the ability </w:t>
      </w:r>
      <w:r w:rsidR="00092169" w:rsidRPr="001728DD">
        <w:t xml:space="preserve">to conduct individual trials. </w:t>
      </w:r>
      <w:r w:rsidRPr="001728DD">
        <w:t xml:space="preserve">Time donated by staff was much valued </w:t>
      </w:r>
      <w:r w:rsidR="006E50CA">
        <w:t xml:space="preserve">to </w:t>
      </w:r>
      <w:r w:rsidRPr="001728DD">
        <w:t xml:space="preserve">ensure </w:t>
      </w:r>
      <w:r w:rsidR="006E50CA">
        <w:t xml:space="preserve">essential </w:t>
      </w:r>
      <w:r w:rsidRPr="001728DD">
        <w:t>core functions are preserved</w:t>
      </w:r>
      <w:r w:rsidR="009E78E7">
        <w:t>.</w:t>
      </w:r>
      <w:r w:rsidRPr="001728DD">
        <w:t xml:space="preserve"> </w:t>
      </w:r>
      <w:r w:rsidR="009E78E7">
        <w:t>Concerningly, t</w:t>
      </w:r>
      <w:r w:rsidR="00092169" w:rsidRPr="001728DD">
        <w:t>his support was described as be</w:t>
      </w:r>
      <w:r w:rsidR="00092169" w:rsidRPr="002C00CA">
        <w:t xml:space="preserve">ing </w:t>
      </w:r>
      <w:r w:rsidRPr="002C00CA">
        <w:t xml:space="preserve">finite, </w:t>
      </w:r>
      <w:r w:rsidR="00092169" w:rsidRPr="002C00CA">
        <w:t>at capacity and in many i</w:t>
      </w:r>
      <w:r w:rsidR="002C00CA">
        <w:t>nstances</w:t>
      </w:r>
      <w:r w:rsidR="00C13D76">
        <w:t>,</w:t>
      </w:r>
      <w:r w:rsidR="002C00CA">
        <w:t xml:space="preserve"> at risk of exhaustion.</w:t>
      </w:r>
      <w:r w:rsidR="009E78E7">
        <w:t xml:space="preserve"> Furthermore, n</w:t>
      </w:r>
      <w:r w:rsidRPr="002C00CA">
        <w:t xml:space="preserve">etworks reported that reliance on in-kind support </w:t>
      </w:r>
      <w:r w:rsidR="00311A60" w:rsidRPr="002C00CA">
        <w:t>undermine</w:t>
      </w:r>
      <w:r w:rsidR="00311A60">
        <w:t>s</w:t>
      </w:r>
      <w:r w:rsidR="00311A60" w:rsidRPr="002C00CA">
        <w:t xml:space="preserve"> the timeliness, volume and international competitiveness of trial research</w:t>
      </w:r>
      <w:r w:rsidR="00C13D76">
        <w:t xml:space="preserve"> </w:t>
      </w:r>
      <w:r w:rsidR="00311A60">
        <w:t xml:space="preserve">and </w:t>
      </w:r>
      <w:r w:rsidRPr="002C00CA">
        <w:t>result</w:t>
      </w:r>
      <w:r w:rsidR="001728DD">
        <w:t>s</w:t>
      </w:r>
      <w:r w:rsidRPr="002C00CA">
        <w:t xml:space="preserve"> in </w:t>
      </w:r>
      <w:r w:rsidR="00092169" w:rsidRPr="002C00CA">
        <w:t>missed opportunities</w:t>
      </w:r>
      <w:r w:rsidR="007A7796">
        <w:t>. F</w:t>
      </w:r>
      <w:r w:rsidR="00904A85" w:rsidRPr="002C00CA">
        <w:t xml:space="preserve">or example, </w:t>
      </w:r>
      <w:r w:rsidRPr="002C00CA">
        <w:t xml:space="preserve">in relation to </w:t>
      </w:r>
      <w:r w:rsidR="00092169" w:rsidRPr="002C00CA">
        <w:t>supporting new trials activity</w:t>
      </w:r>
      <w:r w:rsidRPr="002C00CA">
        <w:t xml:space="preserve">, </w:t>
      </w:r>
      <w:r w:rsidR="00092169" w:rsidRPr="002C00CA">
        <w:t>training and develop</w:t>
      </w:r>
      <w:r w:rsidRPr="002C00CA">
        <w:t>ing</w:t>
      </w:r>
      <w:r w:rsidR="00092169" w:rsidRPr="002C00CA">
        <w:t xml:space="preserve"> the next generation of </w:t>
      </w:r>
      <w:r w:rsidR="00E77A3A">
        <w:t>researcher</w:t>
      </w:r>
      <w:r w:rsidR="00092169" w:rsidRPr="002C00CA">
        <w:t>s</w:t>
      </w:r>
      <w:r w:rsidRPr="002C00CA">
        <w:t xml:space="preserve"> and </w:t>
      </w:r>
      <w:r w:rsidR="006E50CA">
        <w:t xml:space="preserve">formalised activities to drive the </w:t>
      </w:r>
      <w:r w:rsidR="00092169" w:rsidRPr="002C00CA">
        <w:t>implement</w:t>
      </w:r>
      <w:r w:rsidR="006E50CA">
        <w:t>ation</w:t>
      </w:r>
      <w:r w:rsidR="00311A60">
        <w:t xml:space="preserve"> trial evidence</w:t>
      </w:r>
      <w:r w:rsidR="00863446" w:rsidRPr="002C00CA">
        <w:t xml:space="preserve">. </w:t>
      </w:r>
    </w:p>
    <w:p w14:paraId="54334D47" w14:textId="77777777" w:rsidR="007A7796" w:rsidRDefault="007A7796" w:rsidP="00392788">
      <w:pPr>
        <w:pStyle w:val="Commissionbodytext"/>
      </w:pPr>
    </w:p>
    <w:p w14:paraId="74655653" w14:textId="7543729C" w:rsidR="00E77A3A" w:rsidRDefault="001728DD" w:rsidP="00392788">
      <w:pPr>
        <w:pStyle w:val="Commissionbodytext"/>
      </w:pPr>
      <w:r>
        <w:t xml:space="preserve">The total quantum of in-kind support associated with </w:t>
      </w:r>
      <w:r w:rsidRPr="00727ABE">
        <w:t>investigator-initiated clinical t</w:t>
      </w:r>
      <w:r>
        <w:t>rials conducted through n</w:t>
      </w:r>
      <w:r w:rsidRPr="00727ABE">
        <w:t>etworks</w:t>
      </w:r>
      <w:r>
        <w:t xml:space="preserve"> still needs to be determined, as s</w:t>
      </w:r>
      <w:r w:rsidR="00E77A3A" w:rsidRPr="002C00CA">
        <w:t xml:space="preserve">ite level in-kind costs could not be </w:t>
      </w:r>
      <w:r w:rsidR="00E77A3A">
        <w:t xml:space="preserve">accurately </w:t>
      </w:r>
      <w:r w:rsidR="00E77A3A" w:rsidRPr="002C00CA">
        <w:t>quantified</w:t>
      </w:r>
      <w:r>
        <w:t xml:space="preserve"> d</w:t>
      </w:r>
      <w:r w:rsidRPr="002C00CA">
        <w:t>uring the evaluation</w:t>
      </w:r>
      <w:r>
        <w:t>.</w:t>
      </w:r>
      <w:r w:rsidR="00E77A3A">
        <w:t xml:space="preserve"> </w:t>
      </w:r>
      <w:r w:rsidR="00311A60">
        <w:t>A</w:t>
      </w:r>
      <w:r w:rsidR="00311A60" w:rsidRPr="002C00CA">
        <w:t>necdotal</w:t>
      </w:r>
      <w:r w:rsidR="00E77A3A" w:rsidRPr="002C00CA">
        <w:t xml:space="preserve"> </w:t>
      </w:r>
      <w:r w:rsidR="00E77A3A">
        <w:t>evidence from interviews</w:t>
      </w:r>
      <w:r w:rsidR="00E77A3A" w:rsidRPr="002C00CA">
        <w:t xml:space="preserve"> suggest</w:t>
      </w:r>
      <w:r w:rsidR="00E77A3A">
        <w:t>s</w:t>
      </w:r>
      <w:r w:rsidR="00E77A3A" w:rsidRPr="002C00CA">
        <w:t xml:space="preserve"> that this </w:t>
      </w:r>
      <w:r>
        <w:t xml:space="preserve">type of </w:t>
      </w:r>
      <w:r w:rsidR="00E77A3A" w:rsidRPr="002C00CA">
        <w:t>support could represent an additional 2</w:t>
      </w:r>
      <w:r w:rsidR="00C13D76">
        <w:t>–</w:t>
      </w:r>
      <w:r w:rsidR="00E77A3A" w:rsidRPr="002C00CA">
        <w:t>50% in trial funding</w:t>
      </w:r>
      <w:r w:rsidR="00E77A3A">
        <w:t>.</w:t>
      </w:r>
      <w:r w:rsidR="00386F7E">
        <w:rPr>
          <w:rStyle w:val="FootnoteReference"/>
        </w:rPr>
        <w:footnoteReference w:id="29"/>
      </w:r>
      <w:r w:rsidR="00E77A3A">
        <w:t xml:space="preserve"> </w:t>
      </w:r>
    </w:p>
    <w:p w14:paraId="56E45777" w14:textId="77777777" w:rsidR="00C13D76" w:rsidRDefault="00C13D76" w:rsidP="00392788">
      <w:pPr>
        <w:pStyle w:val="Commissionbodytext"/>
        <w:rPr>
          <w:rStyle w:val="Strong"/>
        </w:rPr>
      </w:pPr>
    </w:p>
    <w:p w14:paraId="3E929994" w14:textId="6E87480F" w:rsidR="008476A1" w:rsidRPr="00915516" w:rsidRDefault="008476A1" w:rsidP="00392788">
      <w:pPr>
        <w:pStyle w:val="Commissionbodytext"/>
        <w:rPr>
          <w:rStyle w:val="Strong"/>
          <w:lang w:val="en-US"/>
        </w:rPr>
      </w:pPr>
      <w:r w:rsidRPr="00915516">
        <w:rPr>
          <w:rStyle w:val="Strong"/>
        </w:rPr>
        <w:t xml:space="preserve">There is the potential for networks to </w:t>
      </w:r>
      <w:r w:rsidR="00D0229B">
        <w:rPr>
          <w:rStyle w:val="Strong"/>
        </w:rPr>
        <w:t xml:space="preserve">achieve </w:t>
      </w:r>
      <w:r w:rsidRPr="00915516">
        <w:rPr>
          <w:rStyle w:val="Strong"/>
        </w:rPr>
        <w:t xml:space="preserve">greater structural efficiency, enabling </w:t>
      </w:r>
      <w:r w:rsidR="00D0229B">
        <w:rPr>
          <w:rStyle w:val="Strong"/>
        </w:rPr>
        <w:t xml:space="preserve">long-term </w:t>
      </w:r>
      <w:r w:rsidRPr="00915516">
        <w:rPr>
          <w:rStyle w:val="Strong"/>
        </w:rPr>
        <w:t>sustainability and optimising their impact</w:t>
      </w:r>
      <w:r>
        <w:rPr>
          <w:rStyle w:val="Strong"/>
        </w:rPr>
        <w:t>.</w:t>
      </w:r>
    </w:p>
    <w:p w14:paraId="72C9B9B7" w14:textId="77777777" w:rsidR="00C13D76" w:rsidRDefault="00C13D76" w:rsidP="00392788">
      <w:pPr>
        <w:pStyle w:val="Commissionbodytext"/>
      </w:pPr>
    </w:p>
    <w:p w14:paraId="0AAD89F8" w14:textId="42ECCD63" w:rsidR="008476A1" w:rsidRDefault="008476A1" w:rsidP="00392788">
      <w:pPr>
        <w:pStyle w:val="Commissionbodytext"/>
      </w:pPr>
      <w:r w:rsidRPr="00863446">
        <w:t xml:space="preserve">The evaluation showed </w:t>
      </w:r>
      <w:r>
        <w:t>that</w:t>
      </w:r>
      <w:r w:rsidRPr="00863446">
        <w:t xml:space="preserve"> networks are diverse in structure and function</w:t>
      </w:r>
      <w:r w:rsidR="00C13D76">
        <w:t>,</w:t>
      </w:r>
      <w:r w:rsidRPr="00863446">
        <w:t xml:space="preserve"> and operate </w:t>
      </w:r>
      <w:r w:rsidRPr="001728DD">
        <w:t xml:space="preserve">across many different clinical domains. While networks have a range of funding models and operational structures, </w:t>
      </w:r>
      <w:r>
        <w:t xml:space="preserve">sustainable </w:t>
      </w:r>
      <w:r w:rsidRPr="001728DD">
        <w:t>resourcing remains a</w:t>
      </w:r>
      <w:r>
        <w:t xml:space="preserve"> clear </w:t>
      </w:r>
      <w:r w:rsidRPr="001728DD">
        <w:t xml:space="preserve">challenge. The evaluation identified </w:t>
      </w:r>
      <w:r>
        <w:t xml:space="preserve">both </w:t>
      </w:r>
      <w:r w:rsidRPr="001728DD">
        <w:t xml:space="preserve">site and network-level infrastructure support as an opportunity for </w:t>
      </w:r>
      <w:r>
        <w:t xml:space="preserve">improving capacity, </w:t>
      </w:r>
      <w:r w:rsidRPr="001728DD">
        <w:t>effectiveness</w:t>
      </w:r>
      <w:r>
        <w:t xml:space="preserve"> and impact.</w:t>
      </w:r>
    </w:p>
    <w:p w14:paraId="3F190E07" w14:textId="77777777" w:rsidR="006E10BB" w:rsidRDefault="006E10BB">
      <w:pPr>
        <w:spacing w:before="0" w:after="200" w:line="276" w:lineRule="auto"/>
        <w:rPr>
          <w:rFonts w:ascii="Franklin Gothic Medium" w:eastAsiaTheme="majorEastAsia" w:hAnsi="Franklin Gothic Medium" w:cstheme="majorBidi"/>
          <w:b/>
          <w:bCs/>
          <w:color w:val="2F5496" w:themeColor="accent5" w:themeShade="BF"/>
          <w:sz w:val="32"/>
          <w:szCs w:val="26"/>
        </w:rPr>
      </w:pPr>
      <w:r>
        <w:br w:type="page"/>
      </w:r>
    </w:p>
    <w:p w14:paraId="2D2275A1" w14:textId="62F07DDA" w:rsidR="002A28B9" w:rsidRPr="002C00CA" w:rsidRDefault="002A28B9" w:rsidP="00915516">
      <w:pPr>
        <w:pStyle w:val="Heading2"/>
        <w:rPr>
          <w:i/>
          <w:iCs/>
        </w:rPr>
      </w:pPr>
      <w:bookmarkStart w:id="116" w:name="_Toc487184533"/>
      <w:r>
        <w:lastRenderedPageBreak/>
        <w:t>Suggested next steps</w:t>
      </w:r>
      <w:bookmarkEnd w:id="116"/>
    </w:p>
    <w:p w14:paraId="206B3A06" w14:textId="3790C7BA" w:rsidR="00BB65E6" w:rsidRPr="00AF49FD" w:rsidRDefault="00AF49FD" w:rsidP="00392788">
      <w:pPr>
        <w:pStyle w:val="Commissionbodytext"/>
      </w:pPr>
      <w:r w:rsidRPr="00AF49FD">
        <w:t>The f</w:t>
      </w:r>
      <w:r w:rsidR="00BB65E6" w:rsidRPr="00AF49FD">
        <w:t xml:space="preserve">indings from this </w:t>
      </w:r>
      <w:r w:rsidRPr="00AF49FD">
        <w:t>evaluation</w:t>
      </w:r>
      <w:r w:rsidR="00BB65E6" w:rsidRPr="00AF49FD">
        <w:t xml:space="preserve"> should be combined with additional evidence to develop a comprehensive strategy to guide further development of </w:t>
      </w:r>
      <w:r w:rsidR="00C13D76">
        <w:t>networks</w:t>
      </w:r>
      <w:r w:rsidR="00BB65E6" w:rsidRPr="00AF49FD">
        <w:t xml:space="preserve"> and investigator-initiated clinical trials activity in Australia.</w:t>
      </w:r>
    </w:p>
    <w:p w14:paraId="67C5573F" w14:textId="77777777" w:rsidR="00C13D76" w:rsidRDefault="00C13D76" w:rsidP="00392788">
      <w:pPr>
        <w:pStyle w:val="Commissionbodytext"/>
      </w:pPr>
    </w:p>
    <w:p w14:paraId="6F1C670D" w14:textId="01E0B737" w:rsidR="00BB65E6" w:rsidRPr="00FE7A63" w:rsidRDefault="00930D10" w:rsidP="00392788">
      <w:pPr>
        <w:pStyle w:val="Commissionbodytext"/>
      </w:pPr>
      <w:r w:rsidRPr="00930D10">
        <w:t>In order to optimise the potential of networks and ensure their sustainability, work should be</w:t>
      </w:r>
      <w:r w:rsidR="001728DD" w:rsidRPr="00930D10">
        <w:t xml:space="preserve"> undertaken </w:t>
      </w:r>
      <w:r w:rsidR="00BB65E6" w:rsidRPr="00930D10">
        <w:t xml:space="preserve">to </w:t>
      </w:r>
      <w:r w:rsidR="00FE7A63" w:rsidRPr="00930D10">
        <w:t xml:space="preserve">determine best practice models of network operation in Australia. </w:t>
      </w:r>
      <w:r w:rsidR="00AF49FD" w:rsidRPr="00930D10">
        <w:t xml:space="preserve">As part of this process, </w:t>
      </w:r>
      <w:r w:rsidR="00BB65E6" w:rsidRPr="00930D10">
        <w:t>opportunities for continued efficiencies in infrastructure funding</w:t>
      </w:r>
      <w:r w:rsidR="005B61D0">
        <w:t xml:space="preserve"> (including infrastructure that supports central network operation and trial coordination) </w:t>
      </w:r>
      <w:r w:rsidR="00AF49FD" w:rsidRPr="00930D10">
        <w:t>should be investigated</w:t>
      </w:r>
      <w:r w:rsidR="00FE7A63" w:rsidRPr="00930D10">
        <w:t>. This sh</w:t>
      </w:r>
      <w:r w:rsidR="00FE7A63">
        <w:t xml:space="preserve">ould </w:t>
      </w:r>
      <w:r w:rsidR="00AF49FD" w:rsidRPr="00AF49FD">
        <w:t>includ</w:t>
      </w:r>
      <w:r w:rsidR="00FE7A63">
        <w:t>e</w:t>
      </w:r>
      <w:r w:rsidR="00AF49FD" w:rsidRPr="00AF49FD">
        <w:t xml:space="preserve"> evaluation of the level</w:t>
      </w:r>
      <w:r w:rsidR="00FE7A63">
        <w:t xml:space="preserve"> of</w:t>
      </w:r>
      <w:r w:rsidR="00AF49FD" w:rsidRPr="00AF49FD">
        <w:t xml:space="preserve"> in-kind support at the network</w:t>
      </w:r>
      <w:r w:rsidR="005B61D0">
        <w:t>, trial</w:t>
      </w:r>
      <w:r w:rsidR="00C13D76">
        <w:t xml:space="preserve"> </w:t>
      </w:r>
      <w:r w:rsidR="005B61D0">
        <w:t>coordinating centre</w:t>
      </w:r>
      <w:r w:rsidR="00AF49FD" w:rsidRPr="00AF49FD">
        <w:t xml:space="preserve"> and </w:t>
      </w:r>
      <w:r w:rsidR="00C13D76">
        <w:br/>
      </w:r>
      <w:r w:rsidR="00AF49FD" w:rsidRPr="00AF49FD">
        <w:t>trial</w:t>
      </w:r>
      <w:r w:rsidR="00C13D76">
        <w:t xml:space="preserve"> </w:t>
      </w:r>
      <w:r w:rsidR="00AF49FD" w:rsidRPr="00AF49FD">
        <w:t xml:space="preserve">site level. It is anticipated that </w:t>
      </w:r>
      <w:r w:rsidR="00BB65E6" w:rsidRPr="00AF49FD">
        <w:t>projected economic benefit</w:t>
      </w:r>
      <w:r w:rsidR="00FE7A63">
        <w:t>s</w:t>
      </w:r>
      <w:r w:rsidR="00BB65E6" w:rsidRPr="00AF49FD">
        <w:t xml:space="preserve"> would </w:t>
      </w:r>
      <w:r w:rsidR="00FE7A63">
        <w:t xml:space="preserve">continue to </w:t>
      </w:r>
      <w:r w:rsidR="00BB65E6" w:rsidRPr="00AF49FD">
        <w:t xml:space="preserve">far outweigh the known costs to set up and run </w:t>
      </w:r>
      <w:r w:rsidR="00AF49FD" w:rsidRPr="00AF49FD">
        <w:t>n</w:t>
      </w:r>
      <w:r w:rsidR="00BB65E6" w:rsidRPr="00AF49FD">
        <w:t>etwork</w:t>
      </w:r>
      <w:r w:rsidR="00AF49FD" w:rsidRPr="00AF49FD">
        <w:t>s</w:t>
      </w:r>
      <w:r w:rsidR="00BB65E6" w:rsidRPr="00AF49FD">
        <w:t xml:space="preserve">, even if in-kind support were fully funded. </w:t>
      </w:r>
      <w:r w:rsidR="00AF49FD" w:rsidRPr="00AF49FD">
        <w:t>I</w:t>
      </w:r>
      <w:r w:rsidR="00BB65E6" w:rsidRPr="00AF49FD">
        <w:t xml:space="preserve">nvestment to reduce </w:t>
      </w:r>
      <w:r w:rsidR="00AF49FD" w:rsidRPr="00AF49FD">
        <w:t xml:space="preserve">the observed </w:t>
      </w:r>
      <w:r w:rsidR="00BB65E6" w:rsidRPr="00FE7A63">
        <w:t xml:space="preserve">reliance on in-kind support </w:t>
      </w:r>
      <w:r>
        <w:t xml:space="preserve">should </w:t>
      </w:r>
      <w:r w:rsidR="00FE7A63">
        <w:t xml:space="preserve">also </w:t>
      </w:r>
      <w:r>
        <w:t>therefore be</w:t>
      </w:r>
      <w:r w:rsidR="00BB65E6" w:rsidRPr="00FE7A63">
        <w:t xml:space="preserve"> consider</w:t>
      </w:r>
      <w:r>
        <w:t>ed</w:t>
      </w:r>
      <w:r w:rsidR="00BB65E6" w:rsidRPr="00FE7A63">
        <w:t>.</w:t>
      </w:r>
    </w:p>
    <w:p w14:paraId="70C2F063" w14:textId="77777777" w:rsidR="00C13D76" w:rsidRDefault="00C13D76" w:rsidP="00392788">
      <w:pPr>
        <w:pStyle w:val="Commissionbodytext"/>
      </w:pPr>
    </w:p>
    <w:p w14:paraId="2F90984F" w14:textId="78ACB5B9" w:rsidR="00C1076F" w:rsidRDefault="00930D10" w:rsidP="00392788">
      <w:pPr>
        <w:pStyle w:val="Commissionbodytext"/>
      </w:pPr>
      <w:r>
        <w:t>A</w:t>
      </w:r>
      <w:r w:rsidRPr="00FE7A63">
        <w:t>nother area for further investigation</w:t>
      </w:r>
      <w:r w:rsidR="00C1076F">
        <w:t xml:space="preserve"> </w:t>
      </w:r>
      <w:r>
        <w:t>is the</w:t>
      </w:r>
      <w:r w:rsidRPr="00FE7A63">
        <w:t xml:space="preserve"> </w:t>
      </w:r>
      <w:r>
        <w:t>i</w:t>
      </w:r>
      <w:r w:rsidR="009F5671" w:rsidRPr="00FE7A63">
        <w:t>dentifi</w:t>
      </w:r>
      <w:r w:rsidR="00AF49FD" w:rsidRPr="00FE7A63">
        <w:t>cation of</w:t>
      </w:r>
      <w:r w:rsidR="009F5671" w:rsidRPr="00FE7A63">
        <w:t xml:space="preserve"> barrier</w:t>
      </w:r>
      <w:r w:rsidR="00D543C9">
        <w:t>s and enablers</w:t>
      </w:r>
      <w:r w:rsidR="00AF49FD" w:rsidRPr="00FE7A63">
        <w:t xml:space="preserve"> </w:t>
      </w:r>
      <w:r>
        <w:t>to</w:t>
      </w:r>
      <w:r w:rsidR="009F5671" w:rsidRPr="00FE7A63">
        <w:t xml:space="preserve"> </w:t>
      </w:r>
      <w:r w:rsidR="00D543C9">
        <w:t xml:space="preserve">driving the </w:t>
      </w:r>
      <w:r w:rsidR="00AF49FD" w:rsidRPr="00FE7A63">
        <w:rPr>
          <w:iCs/>
        </w:rPr>
        <w:t>implementation</w:t>
      </w:r>
      <w:r>
        <w:rPr>
          <w:iCs/>
        </w:rPr>
        <w:t xml:space="preserve"> of</w:t>
      </w:r>
      <w:r w:rsidR="00AF49FD" w:rsidRPr="00FE7A63">
        <w:rPr>
          <w:iCs/>
        </w:rPr>
        <w:t xml:space="preserve"> trial results</w:t>
      </w:r>
      <w:r w:rsidR="00D543C9">
        <w:rPr>
          <w:iCs/>
        </w:rPr>
        <w:t xml:space="preserve"> through networks</w:t>
      </w:r>
      <w:r w:rsidR="00AF49FD" w:rsidRPr="00FE7A63">
        <w:t xml:space="preserve">. </w:t>
      </w:r>
      <w:r w:rsidR="00BB65E6" w:rsidRPr="00FE7A63">
        <w:t>Continued effor</w:t>
      </w:r>
      <w:r w:rsidR="00AF49FD" w:rsidRPr="00FE7A63">
        <w:t>ts should be made to integrate c</w:t>
      </w:r>
      <w:r w:rsidR="00BB65E6" w:rsidRPr="00FE7A63">
        <w:t xml:space="preserve">linical </w:t>
      </w:r>
      <w:r w:rsidR="00AF49FD" w:rsidRPr="00FE7A63">
        <w:t>t</w:t>
      </w:r>
      <w:r w:rsidR="00BB65E6" w:rsidRPr="00FE7A63">
        <w:t>rials wit</w:t>
      </w:r>
      <w:r>
        <w:t>h frontline health</w:t>
      </w:r>
      <w:r w:rsidR="00C13D76">
        <w:t xml:space="preserve"> </w:t>
      </w:r>
      <w:r>
        <w:t>care delivery and</w:t>
      </w:r>
      <w:r w:rsidR="00AF49FD" w:rsidRPr="00FE7A63">
        <w:t xml:space="preserve"> </w:t>
      </w:r>
      <w:r>
        <w:t>t</w:t>
      </w:r>
      <w:r w:rsidR="00BB65E6" w:rsidRPr="00FE7A63">
        <w:t xml:space="preserve">ranslational research (measuring if and </w:t>
      </w:r>
      <w:r w:rsidR="00C1076F">
        <w:t>to what degree clinical trials</w:t>
      </w:r>
      <w:r w:rsidR="00BB65E6" w:rsidRPr="00FE7A63">
        <w:t xml:space="preserve"> change clinical practice) should be</w:t>
      </w:r>
      <w:r w:rsidR="00AF49FD" w:rsidRPr="00FE7A63">
        <w:t>come</w:t>
      </w:r>
      <w:r w:rsidR="00BB65E6" w:rsidRPr="00FE7A63">
        <w:t xml:space="preserve"> a standard </w:t>
      </w:r>
      <w:r w:rsidR="00D543C9">
        <w:t xml:space="preserve">component of undertaking clinical trials. </w:t>
      </w:r>
    </w:p>
    <w:p w14:paraId="07142597" w14:textId="77777777" w:rsidR="00C13D76" w:rsidRDefault="00C13D76" w:rsidP="00392788">
      <w:pPr>
        <w:pStyle w:val="Commissionbodytext"/>
      </w:pPr>
    </w:p>
    <w:p w14:paraId="18D2C19F" w14:textId="0136E96A" w:rsidR="007D4FAC" w:rsidRDefault="000E5EAA" w:rsidP="00392788">
      <w:pPr>
        <w:pStyle w:val="Commissionbodytext"/>
        <w:rPr>
          <w:rFonts w:ascii="Franklin Gothic Heavy" w:eastAsiaTheme="majorEastAsia" w:hAnsi="Franklin Gothic Heavy" w:cstheme="majorBidi"/>
          <w:bCs/>
          <w:color w:val="2F5496" w:themeColor="accent5" w:themeShade="BF"/>
          <w:spacing w:val="20"/>
          <w:sz w:val="40"/>
          <w:szCs w:val="28"/>
        </w:rPr>
      </w:pPr>
      <w:r>
        <w:t>N</w:t>
      </w:r>
      <w:r w:rsidR="00BB65E6" w:rsidRPr="00FE7A63">
        <w:t xml:space="preserve">etworks </w:t>
      </w:r>
      <w:r w:rsidR="00D543C9">
        <w:t xml:space="preserve">should explore </w:t>
      </w:r>
      <w:r w:rsidR="00C1076F">
        <w:t xml:space="preserve">opportunities for </w:t>
      </w:r>
      <w:r w:rsidR="00D543C9">
        <w:t>greater</w:t>
      </w:r>
      <w:r w:rsidR="00BB65E6" w:rsidRPr="00FE7A63">
        <w:t xml:space="preserve"> collaborat</w:t>
      </w:r>
      <w:r w:rsidR="00D543C9">
        <w:t>ion</w:t>
      </w:r>
      <w:r w:rsidR="00BB65E6" w:rsidRPr="00FE7A63">
        <w:t xml:space="preserve"> with associated </w:t>
      </w:r>
      <w:r w:rsidR="00692263" w:rsidRPr="00FE7A63">
        <w:t>c</w:t>
      </w:r>
      <w:r w:rsidR="00BB65E6" w:rsidRPr="00FE7A63">
        <w:t xml:space="preserve">linical </w:t>
      </w:r>
      <w:r w:rsidR="00692263" w:rsidRPr="00FE7A63">
        <w:t>q</w:t>
      </w:r>
      <w:r w:rsidR="00BB65E6" w:rsidRPr="00FE7A63">
        <w:t xml:space="preserve">uality </w:t>
      </w:r>
      <w:r w:rsidR="00692263" w:rsidRPr="00FE7A63">
        <w:t>r</w:t>
      </w:r>
      <w:r w:rsidR="00BB65E6" w:rsidRPr="00FE7A63">
        <w:t>egistries</w:t>
      </w:r>
      <w:r w:rsidR="00C13D76">
        <w:t>,</w:t>
      </w:r>
      <w:r>
        <w:t xml:space="preserve"> or linkage</w:t>
      </w:r>
      <w:r w:rsidR="00C82FE4">
        <w:t>s</w:t>
      </w:r>
      <w:r>
        <w:t xml:space="preserve"> to routinely collected data</w:t>
      </w:r>
      <w:r w:rsidR="00C13D76">
        <w:t>,</w:t>
      </w:r>
      <w:r w:rsidR="00BB65E6" w:rsidRPr="00FE7A63">
        <w:t xml:space="preserve"> to refine</w:t>
      </w:r>
      <w:r w:rsidR="00D543C9">
        <w:t xml:space="preserve"> translation</w:t>
      </w:r>
      <w:r w:rsidR="00BB65E6" w:rsidRPr="00FE7A63">
        <w:t xml:space="preserve"> assumptions and determine patterns </w:t>
      </w:r>
      <w:r w:rsidR="00FE7A63" w:rsidRPr="00FE7A63">
        <w:t>of</w:t>
      </w:r>
      <w:r>
        <w:t xml:space="preserve"> real-world</w:t>
      </w:r>
      <w:r w:rsidR="00FE7A63" w:rsidRPr="00FE7A63">
        <w:t xml:space="preserve"> implementation</w:t>
      </w:r>
      <w:r w:rsidR="00C13D76">
        <w:rPr>
          <w:rFonts w:ascii="Calibri" w:hAnsi="Calibri"/>
        </w:rPr>
        <w:t>.</w:t>
      </w:r>
      <w:r w:rsidR="00FE7A63" w:rsidRPr="00FE7A63">
        <w:t xml:space="preserve"> </w:t>
      </w:r>
      <w:r w:rsidR="00C13D76">
        <w:t>F</w:t>
      </w:r>
      <w:r w:rsidR="00FE7A63" w:rsidRPr="00FE7A63">
        <w:t>or example</w:t>
      </w:r>
      <w:r w:rsidR="00C13D76">
        <w:t>,</w:t>
      </w:r>
      <w:r w:rsidR="00FE7A63" w:rsidRPr="00FE7A63">
        <w:t xml:space="preserve"> the </w:t>
      </w:r>
      <w:r w:rsidR="00BB65E6" w:rsidRPr="00FE7A63">
        <w:t>delay</w:t>
      </w:r>
      <w:r w:rsidR="00FE7A63" w:rsidRPr="00FE7A63">
        <w:t xml:space="preserve"> to</w:t>
      </w:r>
      <w:r w:rsidR="00BB65E6" w:rsidRPr="00FE7A63">
        <w:t>, duration</w:t>
      </w:r>
      <w:r w:rsidR="00FE7A63" w:rsidRPr="00FE7A63">
        <w:t xml:space="preserve"> of,</w:t>
      </w:r>
      <w:r w:rsidR="00BB65E6" w:rsidRPr="00FE7A63">
        <w:t xml:space="preserve"> and degree of implementation</w:t>
      </w:r>
      <w:r>
        <w:t xml:space="preserve"> of trial findings</w:t>
      </w:r>
      <w:r w:rsidR="00BB65E6" w:rsidRPr="00FE7A63">
        <w:t>.</w:t>
      </w:r>
      <w:r w:rsidR="00FE7A63" w:rsidRPr="00FE7A63">
        <w:t xml:space="preserve"> </w:t>
      </w:r>
      <w:r w:rsidR="00727ABE" w:rsidRPr="00FE7A63">
        <w:t xml:space="preserve">Practical steps to achieve this </w:t>
      </w:r>
      <w:r w:rsidR="00D543C9">
        <w:t>would</w:t>
      </w:r>
      <w:r w:rsidR="00727ABE" w:rsidRPr="00FE7A63">
        <w:t xml:space="preserve"> include closer functional compatibility between </w:t>
      </w:r>
      <w:r w:rsidR="00FE7A63" w:rsidRPr="00FE7A63">
        <w:t>n</w:t>
      </w:r>
      <w:r w:rsidR="00727ABE" w:rsidRPr="00FE7A63">
        <w:t>etworks and clinical quality registries</w:t>
      </w:r>
      <w:r w:rsidR="00D543C9">
        <w:t xml:space="preserve"> and the inclusion of investigator-initiated clinical trials within Australia’s broader digital health strategy. </w:t>
      </w:r>
      <w:r w:rsidR="00FE7A63" w:rsidRPr="00FE7A63">
        <w:t>Optimis</w:t>
      </w:r>
      <w:r>
        <w:t>ing</w:t>
      </w:r>
      <w:r w:rsidR="00FE7A63" w:rsidRPr="00FE7A63">
        <w:t xml:space="preserve"> </w:t>
      </w:r>
      <w:r w:rsidR="00FE7A63">
        <w:t xml:space="preserve">the </w:t>
      </w:r>
      <w:r w:rsidR="00FE7A63" w:rsidRPr="00FE7A63">
        <w:t>associations between</w:t>
      </w:r>
      <w:r w:rsidR="00D543C9">
        <w:t xml:space="preserve"> networks and</w:t>
      </w:r>
      <w:r w:rsidR="00FE7A63" w:rsidRPr="00FE7A63">
        <w:t xml:space="preserve"> existing </w:t>
      </w:r>
      <w:r>
        <w:t xml:space="preserve">data </w:t>
      </w:r>
      <w:r w:rsidR="00FE7A63" w:rsidRPr="00FE7A63">
        <w:t xml:space="preserve">resources is an important </w:t>
      </w:r>
      <w:r w:rsidR="00E75D4B" w:rsidRPr="00FE7A63">
        <w:t xml:space="preserve">area for future development </w:t>
      </w:r>
      <w:r w:rsidR="00FE7A63" w:rsidRPr="00FE7A63">
        <w:t>by</w:t>
      </w:r>
      <w:r w:rsidR="00E75D4B" w:rsidRPr="00FE7A63">
        <w:t xml:space="preserve"> </w:t>
      </w:r>
      <w:r w:rsidR="00FE7A63" w:rsidRPr="00FE7A63">
        <w:t>n</w:t>
      </w:r>
      <w:r w:rsidR="00E75D4B" w:rsidRPr="00FE7A63">
        <w:t>etwork leaders, registry operators and policy</w:t>
      </w:r>
      <w:r w:rsidR="00311A60">
        <w:t xml:space="preserve"> </w:t>
      </w:r>
      <w:r w:rsidR="00E75D4B" w:rsidRPr="00FE7A63">
        <w:t>makers.</w:t>
      </w:r>
    </w:p>
    <w:p w14:paraId="416A894B" w14:textId="77777777" w:rsidR="006E10BB" w:rsidRDefault="006E10BB">
      <w:pPr>
        <w:spacing w:before="0" w:after="200" w:line="276" w:lineRule="auto"/>
        <w:rPr>
          <w:rFonts w:ascii="Franklin Gothic Heavy" w:eastAsiaTheme="majorEastAsia" w:hAnsi="Franklin Gothic Heavy" w:cstheme="majorBidi"/>
          <w:bCs/>
          <w:color w:val="2F5496" w:themeColor="accent5" w:themeShade="BF"/>
          <w:spacing w:val="20"/>
          <w:sz w:val="36"/>
          <w:szCs w:val="28"/>
        </w:rPr>
      </w:pPr>
      <w:r>
        <w:br w:type="page"/>
      </w:r>
    </w:p>
    <w:p w14:paraId="55978C4E" w14:textId="3E487698" w:rsidR="00A45AF9" w:rsidRPr="00A45AF9" w:rsidRDefault="00E743AA" w:rsidP="00E11C81">
      <w:pPr>
        <w:pStyle w:val="Heading1"/>
        <w:spacing w:before="120" w:after="240"/>
      </w:pPr>
      <w:bookmarkStart w:id="117" w:name="_Toc487184534"/>
      <w:r w:rsidRPr="00A45AF9">
        <w:lastRenderedPageBreak/>
        <w:t>Acknowledgements</w:t>
      </w:r>
      <w:bookmarkEnd w:id="115"/>
      <w:bookmarkEnd w:id="117"/>
      <w:r w:rsidR="000F4E26">
        <w:br/>
      </w:r>
      <w:r w:rsidRPr="00A45AF9">
        <w:t xml:space="preserve"> </w:t>
      </w:r>
    </w:p>
    <w:p w14:paraId="31EE7FA7" w14:textId="2C69B1DF" w:rsidR="00A45AF9" w:rsidRPr="00A45AF9" w:rsidRDefault="00B35788" w:rsidP="00B35788">
      <w:pPr>
        <w:pStyle w:val="Heading2"/>
        <w:spacing w:before="120" w:after="240"/>
      </w:pPr>
      <w:bookmarkStart w:id="118" w:name="_Toc487184535"/>
      <w:bookmarkStart w:id="119" w:name="_Toc329424863"/>
      <w:r>
        <w:t>S</w:t>
      </w:r>
      <w:r w:rsidR="00A45AF9" w:rsidRPr="00A45AF9">
        <w:t xml:space="preserve">teering </w:t>
      </w:r>
      <w:r w:rsidR="00920AAC">
        <w:t>C</w:t>
      </w:r>
      <w:r w:rsidR="00A45AF9" w:rsidRPr="00A45AF9">
        <w:t>ommittee</w:t>
      </w:r>
      <w:bookmarkEnd w:id="118"/>
      <w:r w:rsidR="00A45AF9" w:rsidRPr="00A45AF9">
        <w:t xml:space="preserve"> </w:t>
      </w:r>
      <w:bookmarkEnd w:id="119"/>
    </w:p>
    <w:p w14:paraId="25A3F20D" w14:textId="708F51C9" w:rsidR="00A45AF9" w:rsidRPr="00A45AF9" w:rsidRDefault="00F269C3" w:rsidP="00392788">
      <w:pPr>
        <w:pStyle w:val="Commissionbullets"/>
      </w:pPr>
      <w:r>
        <w:t xml:space="preserve">Professor </w:t>
      </w:r>
      <w:r w:rsidR="00A45AF9" w:rsidRPr="00A45AF9">
        <w:t>Alan Cass, Australian Clinical Trials Alliance</w:t>
      </w:r>
    </w:p>
    <w:p w14:paraId="1D89A209" w14:textId="494597CC" w:rsidR="00A45AF9" w:rsidRPr="00A45AF9" w:rsidRDefault="00F269C3" w:rsidP="00392788">
      <w:pPr>
        <w:pStyle w:val="Commissionbullets"/>
      </w:pPr>
      <w:r>
        <w:t xml:space="preserve">Dr </w:t>
      </w:r>
      <w:r w:rsidR="00A45AF9" w:rsidRPr="00A45AF9">
        <w:t>Rick Ghosh, Health Outcomes Australia</w:t>
      </w:r>
    </w:p>
    <w:p w14:paraId="4419E76B" w14:textId="19D3A6FF" w:rsidR="00A45AF9" w:rsidRPr="00A45AF9" w:rsidRDefault="00F269C3" w:rsidP="00392788">
      <w:pPr>
        <w:pStyle w:val="Commissionbullets"/>
      </w:pPr>
      <w:r>
        <w:t xml:space="preserve">Ms </w:t>
      </w:r>
      <w:r w:rsidR="00A45AF9" w:rsidRPr="00A45AF9">
        <w:t xml:space="preserve">Emma Hanmore, Australian Commission </w:t>
      </w:r>
      <w:r w:rsidR="00B350A8">
        <w:t xml:space="preserve">on </w:t>
      </w:r>
      <w:r w:rsidR="00A45AF9" w:rsidRPr="00A45AF9">
        <w:t>Safety and Quality in Health</w:t>
      </w:r>
      <w:r w:rsidR="00B350A8">
        <w:t xml:space="preserve"> C</w:t>
      </w:r>
      <w:r w:rsidR="00A45AF9" w:rsidRPr="00A45AF9">
        <w:t>are</w:t>
      </w:r>
    </w:p>
    <w:p w14:paraId="6AB3A997" w14:textId="6830BF3D" w:rsidR="00920AAC" w:rsidRPr="00A45AF9" w:rsidRDefault="00F269C3" w:rsidP="00392788">
      <w:pPr>
        <w:pStyle w:val="Commissionbullets"/>
      </w:pPr>
      <w:r>
        <w:t xml:space="preserve">Ms </w:t>
      </w:r>
      <w:r w:rsidR="00920AAC">
        <w:t xml:space="preserve">Suzanna Henderson, </w:t>
      </w:r>
      <w:r w:rsidR="00920AAC" w:rsidRPr="00A45AF9">
        <w:t xml:space="preserve">Australian Commission </w:t>
      </w:r>
      <w:r w:rsidR="00B350A8">
        <w:t xml:space="preserve">on </w:t>
      </w:r>
      <w:r w:rsidR="00920AAC" w:rsidRPr="00A45AF9">
        <w:t>Safety and Quality in Health</w:t>
      </w:r>
      <w:r w:rsidR="00B350A8">
        <w:t xml:space="preserve"> C</w:t>
      </w:r>
      <w:r w:rsidR="00920AAC" w:rsidRPr="00A45AF9">
        <w:t>are</w:t>
      </w:r>
    </w:p>
    <w:p w14:paraId="30CFDDE5" w14:textId="7918D239" w:rsidR="00A45AF9" w:rsidRPr="00A45AF9" w:rsidRDefault="00930CCA" w:rsidP="00392788">
      <w:pPr>
        <w:pStyle w:val="Commissionbullets"/>
      </w:pPr>
      <w:r>
        <w:t xml:space="preserve">Dr </w:t>
      </w:r>
      <w:r w:rsidR="00A45AF9" w:rsidRPr="00A45AF9">
        <w:t xml:space="preserve">Robert Herkes, Australian Commission </w:t>
      </w:r>
      <w:r w:rsidR="00B350A8">
        <w:t>on</w:t>
      </w:r>
      <w:r w:rsidR="00F269C3">
        <w:t xml:space="preserve"> </w:t>
      </w:r>
      <w:r w:rsidR="00A45AF9" w:rsidRPr="00A45AF9">
        <w:t>Safety and Quality in Health</w:t>
      </w:r>
      <w:r w:rsidR="00B350A8">
        <w:t xml:space="preserve"> C</w:t>
      </w:r>
      <w:r w:rsidR="00A45AF9" w:rsidRPr="00A45AF9">
        <w:t xml:space="preserve">are </w:t>
      </w:r>
    </w:p>
    <w:p w14:paraId="66B30A9A" w14:textId="5BA2BDA2" w:rsidR="00920AAC" w:rsidRDefault="00930CCA" w:rsidP="00392788">
      <w:pPr>
        <w:pStyle w:val="Commissionbullets"/>
      </w:pPr>
      <w:r>
        <w:t xml:space="preserve">Ms </w:t>
      </w:r>
      <w:r w:rsidR="00A45AF9" w:rsidRPr="00A45AF9">
        <w:t xml:space="preserve">Catherine Katz, Australian Commission </w:t>
      </w:r>
      <w:r w:rsidR="00B350A8">
        <w:t xml:space="preserve">on </w:t>
      </w:r>
      <w:r w:rsidR="00A45AF9" w:rsidRPr="00A45AF9">
        <w:t>Safety and Quality in Health</w:t>
      </w:r>
      <w:r w:rsidR="00B350A8">
        <w:t xml:space="preserve"> C</w:t>
      </w:r>
      <w:r w:rsidR="00A45AF9" w:rsidRPr="00A45AF9">
        <w:t>are</w:t>
      </w:r>
    </w:p>
    <w:p w14:paraId="280FC728" w14:textId="3BF875E3" w:rsidR="00A45AF9" w:rsidRPr="00A45AF9" w:rsidRDefault="00930CCA" w:rsidP="00392788">
      <w:pPr>
        <w:pStyle w:val="Commissionbullets"/>
      </w:pPr>
      <w:r>
        <w:t xml:space="preserve">Professor </w:t>
      </w:r>
      <w:r w:rsidR="00A45AF9" w:rsidRPr="00A45AF9">
        <w:t>Ben Mol, Australian Clinical Trials Alliance</w:t>
      </w:r>
    </w:p>
    <w:p w14:paraId="00581BF5" w14:textId="77B0FB2C" w:rsidR="00A45AF9" w:rsidRPr="00A45AF9" w:rsidRDefault="00930CCA" w:rsidP="00392788">
      <w:pPr>
        <w:pStyle w:val="Commissionbullets"/>
      </w:pPr>
      <w:r>
        <w:t xml:space="preserve">Ms </w:t>
      </w:r>
      <w:r w:rsidR="00A45AF9" w:rsidRPr="00A45AF9">
        <w:t>Charlotte Ramage, Health Outcomes Australia</w:t>
      </w:r>
    </w:p>
    <w:p w14:paraId="4F3531FC" w14:textId="599A65FF" w:rsidR="00A45AF9" w:rsidRPr="00A45AF9" w:rsidRDefault="00930CCA" w:rsidP="00392788">
      <w:pPr>
        <w:pStyle w:val="Commissionbullets"/>
      </w:pPr>
      <w:r>
        <w:t xml:space="preserve">Professor </w:t>
      </w:r>
      <w:r w:rsidR="00A45AF9" w:rsidRPr="00A45AF9">
        <w:t>John Simes, Australian Clinical Trials Alliance</w:t>
      </w:r>
    </w:p>
    <w:p w14:paraId="46CB824A" w14:textId="039F6FFD" w:rsidR="00A45AF9" w:rsidRPr="00A45AF9" w:rsidRDefault="00930CCA" w:rsidP="00392788">
      <w:pPr>
        <w:pStyle w:val="Commissionbullets"/>
      </w:pPr>
      <w:r>
        <w:t xml:space="preserve">Dr </w:t>
      </w:r>
      <w:r w:rsidR="00A45AF9" w:rsidRPr="00A45AF9">
        <w:t>Neil Soderlund, Health Outcomes Australia</w:t>
      </w:r>
    </w:p>
    <w:p w14:paraId="08522EC6" w14:textId="071C91AE" w:rsidR="00A45AF9" w:rsidRPr="00A45AF9" w:rsidRDefault="00930CCA" w:rsidP="00392788">
      <w:pPr>
        <w:pStyle w:val="Commissionbullets"/>
      </w:pPr>
      <w:r>
        <w:t xml:space="preserve">Ms </w:t>
      </w:r>
      <w:r w:rsidR="00A45AF9" w:rsidRPr="00A45AF9">
        <w:t>Rhiannon Tate, Australian Clinical Trials Alliance</w:t>
      </w:r>
    </w:p>
    <w:p w14:paraId="53D905E5" w14:textId="4ADC939B" w:rsidR="00A45AF9" w:rsidRPr="00A45AF9" w:rsidRDefault="00930CCA" w:rsidP="00392788">
      <w:pPr>
        <w:pStyle w:val="Commissionbullets"/>
      </w:pPr>
      <w:r>
        <w:t xml:space="preserve">Ms </w:t>
      </w:r>
      <w:r w:rsidR="00A45AF9" w:rsidRPr="00A45AF9">
        <w:t xml:space="preserve">Leslie Trainor, Australian Commission </w:t>
      </w:r>
      <w:r w:rsidR="00B350A8">
        <w:t>on</w:t>
      </w:r>
      <w:r w:rsidR="00B350A8" w:rsidRPr="00A45AF9">
        <w:t xml:space="preserve"> </w:t>
      </w:r>
      <w:r w:rsidR="00A45AF9" w:rsidRPr="00A45AF9">
        <w:t>Safety and Quality in Health</w:t>
      </w:r>
      <w:r w:rsidR="00B350A8">
        <w:t xml:space="preserve"> C</w:t>
      </w:r>
      <w:r w:rsidR="00A45AF9" w:rsidRPr="00A45AF9">
        <w:t>are</w:t>
      </w:r>
    </w:p>
    <w:p w14:paraId="47C40339" w14:textId="32EB1745" w:rsidR="00A45AF9" w:rsidRPr="00A45AF9" w:rsidRDefault="00930CCA" w:rsidP="00392788">
      <w:pPr>
        <w:pStyle w:val="Commissionbullets"/>
      </w:pPr>
      <w:r>
        <w:t xml:space="preserve">Professor </w:t>
      </w:r>
      <w:r w:rsidR="00A45AF9" w:rsidRPr="00A45AF9">
        <w:t xml:space="preserve">Steve Webb, Australian Clinical Trials Alliance </w:t>
      </w:r>
    </w:p>
    <w:p w14:paraId="45BC842A" w14:textId="64899E47" w:rsidR="00A45AF9" w:rsidRPr="00A45AF9" w:rsidRDefault="00930CCA" w:rsidP="00392788">
      <w:pPr>
        <w:pStyle w:val="Commissionbullets"/>
      </w:pPr>
      <w:r>
        <w:t xml:space="preserve">Professor </w:t>
      </w:r>
      <w:r w:rsidR="00A45AF9" w:rsidRPr="00A45AF9">
        <w:t>John Zalcberg</w:t>
      </w:r>
      <w:r w:rsidR="00F10E73">
        <w:t xml:space="preserve"> OAM</w:t>
      </w:r>
      <w:r w:rsidR="00A45AF9" w:rsidRPr="00A45AF9">
        <w:t>, Australian Clinical Trials Alliance</w:t>
      </w:r>
    </w:p>
    <w:p w14:paraId="3AAC7AA4" w14:textId="77777777" w:rsidR="006E10BB" w:rsidRDefault="006E10BB">
      <w:pPr>
        <w:spacing w:before="0" w:after="200" w:line="276" w:lineRule="auto"/>
        <w:rPr>
          <w:rFonts w:ascii="Franklin Gothic Medium" w:eastAsiaTheme="majorEastAsia" w:hAnsi="Franklin Gothic Medium" w:cstheme="majorBidi"/>
          <w:b/>
          <w:bCs/>
          <w:color w:val="2F5496" w:themeColor="accent5" w:themeShade="BF"/>
          <w:sz w:val="32"/>
          <w:szCs w:val="26"/>
        </w:rPr>
      </w:pPr>
      <w:bookmarkStart w:id="120" w:name="_Toc329424864"/>
      <w:r>
        <w:br w:type="page"/>
      </w:r>
    </w:p>
    <w:p w14:paraId="311D7B39" w14:textId="3476B9EB" w:rsidR="00A45AF9" w:rsidRPr="00B35788" w:rsidRDefault="00345D10" w:rsidP="00B35788">
      <w:pPr>
        <w:pStyle w:val="Heading2"/>
      </w:pPr>
      <w:bookmarkStart w:id="121" w:name="_Toc487184536"/>
      <w:r>
        <w:lastRenderedPageBreak/>
        <w:t>P</w:t>
      </w:r>
      <w:r w:rsidR="00A45AF9" w:rsidRPr="00A45AF9">
        <w:t>articipating networks and investigators</w:t>
      </w:r>
      <w:bookmarkEnd w:id="120"/>
      <w:bookmarkEnd w:id="121"/>
    </w:p>
    <w:p w14:paraId="081E3769" w14:textId="3B3A4F0E" w:rsidR="00B35788" w:rsidRPr="00EE7152" w:rsidRDefault="00A45AF9" w:rsidP="00833FB7">
      <w:pPr>
        <w:rPr>
          <w:rFonts w:eastAsia="Times New Roman" w:cs="Arial"/>
          <w:lang w:val="en-AU" w:eastAsia="en-AU"/>
        </w:rPr>
      </w:pPr>
      <w:r w:rsidRPr="00EE7152">
        <w:rPr>
          <w:rFonts w:eastAsia="Times New Roman" w:cs="Arial"/>
          <w:lang w:val="en-AU" w:eastAsia="en-AU"/>
        </w:rPr>
        <w:t xml:space="preserve">We </w:t>
      </w:r>
      <w:r w:rsidR="007D4FAC" w:rsidRPr="00EE7152">
        <w:rPr>
          <w:rFonts w:eastAsia="Times New Roman" w:cs="Arial"/>
          <w:lang w:val="en-AU" w:eastAsia="en-AU"/>
        </w:rPr>
        <w:t xml:space="preserve">sincerely </w:t>
      </w:r>
      <w:r w:rsidR="00B35788" w:rsidRPr="00EE7152">
        <w:rPr>
          <w:rFonts w:eastAsia="Times New Roman" w:cs="Arial"/>
          <w:lang w:val="en-AU" w:eastAsia="en-AU"/>
        </w:rPr>
        <w:t>thank each of the n</w:t>
      </w:r>
      <w:r w:rsidRPr="00EE7152">
        <w:rPr>
          <w:rFonts w:eastAsia="Times New Roman" w:cs="Arial"/>
          <w:lang w:val="en-AU" w:eastAsia="en-AU"/>
        </w:rPr>
        <w:t>etworks and clinical trial investigators involved for graciously providing their time, expertise and</w:t>
      </w:r>
      <w:r w:rsidR="00096657" w:rsidRPr="00EE7152">
        <w:rPr>
          <w:rFonts w:eastAsia="Times New Roman" w:cs="Arial"/>
          <w:lang w:val="en-AU" w:eastAsia="en-AU"/>
        </w:rPr>
        <w:t xml:space="preserve"> </w:t>
      </w:r>
      <w:r w:rsidRPr="00EE7152">
        <w:rPr>
          <w:rFonts w:eastAsia="Times New Roman" w:cs="Arial"/>
          <w:lang w:val="en-AU" w:eastAsia="en-AU"/>
        </w:rPr>
        <w:t>access to data</w:t>
      </w:r>
      <w:r w:rsidR="00096657" w:rsidRPr="00EE7152">
        <w:rPr>
          <w:rFonts w:eastAsia="Times New Roman" w:cs="Arial"/>
          <w:lang w:val="en-AU" w:eastAsia="en-AU"/>
        </w:rPr>
        <w:t xml:space="preserve">, along with their </w:t>
      </w:r>
      <w:r w:rsidRPr="00EE7152">
        <w:rPr>
          <w:rFonts w:eastAsia="Times New Roman" w:cs="Arial"/>
          <w:lang w:val="en-AU" w:eastAsia="en-AU"/>
        </w:rPr>
        <w:t xml:space="preserve">associated clinical </w:t>
      </w:r>
      <w:r w:rsidR="00096657" w:rsidRPr="00EE7152">
        <w:rPr>
          <w:rFonts w:eastAsia="Times New Roman" w:cs="Arial"/>
          <w:lang w:val="en-AU" w:eastAsia="en-AU"/>
        </w:rPr>
        <w:t>colleagues</w:t>
      </w:r>
      <w:r w:rsidRPr="00EE7152">
        <w:rPr>
          <w:rFonts w:eastAsia="Times New Roman" w:cs="Arial"/>
          <w:lang w:val="en-AU" w:eastAsia="en-AU"/>
        </w:rPr>
        <w:t xml:space="preserve"> for providing subject</w:t>
      </w:r>
      <w:r w:rsidR="00C82FE4" w:rsidRPr="00EE7152">
        <w:rPr>
          <w:rFonts w:eastAsia="Times New Roman" w:cs="Arial"/>
          <w:lang w:val="en-AU" w:eastAsia="en-AU"/>
        </w:rPr>
        <w:t>-</w:t>
      </w:r>
      <w:r w:rsidRPr="00EE7152">
        <w:rPr>
          <w:rFonts w:eastAsia="Times New Roman" w:cs="Arial"/>
          <w:lang w:val="en-AU" w:eastAsia="en-AU"/>
        </w:rPr>
        <w:t xml:space="preserve">specific information and </w:t>
      </w:r>
      <w:r w:rsidR="00096657" w:rsidRPr="00EE7152">
        <w:rPr>
          <w:rFonts w:eastAsia="Times New Roman" w:cs="Arial"/>
          <w:lang w:val="en-AU" w:eastAsia="en-AU"/>
        </w:rPr>
        <w:t xml:space="preserve">expert </w:t>
      </w:r>
      <w:r w:rsidRPr="00EE7152">
        <w:rPr>
          <w:rFonts w:eastAsia="Times New Roman" w:cs="Arial"/>
          <w:lang w:val="en-AU" w:eastAsia="en-AU"/>
        </w:rPr>
        <w:t>advice.</w:t>
      </w:r>
    </w:p>
    <w:tbl>
      <w:tblPr>
        <w:tblW w:w="98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5"/>
        <w:gridCol w:w="5387"/>
        <w:gridCol w:w="1559"/>
      </w:tblGrid>
      <w:tr w:rsidR="005227C2" w:rsidRPr="006E10BB" w14:paraId="523C9804" w14:textId="77777777" w:rsidTr="00392788">
        <w:trPr>
          <w:cantSplit/>
          <w:trHeight w:val="626"/>
          <w:tblHeader/>
        </w:trPr>
        <w:tc>
          <w:tcPr>
            <w:tcW w:w="2945" w:type="dxa"/>
            <w:shd w:val="clear" w:color="auto" w:fill="2F5496" w:themeFill="accent5" w:themeFillShade="BF"/>
            <w:tcMar>
              <w:top w:w="0" w:type="dxa"/>
              <w:left w:w="113" w:type="dxa"/>
              <w:bottom w:w="0" w:type="dxa"/>
              <w:right w:w="113" w:type="dxa"/>
            </w:tcMar>
            <w:vAlign w:val="bottom"/>
          </w:tcPr>
          <w:p w14:paraId="5CBAD744" w14:textId="20C4294B" w:rsidR="00B35788" w:rsidRPr="00392788" w:rsidRDefault="00B35788" w:rsidP="00657F18">
            <w:pPr>
              <w:contextualSpacing/>
              <w:rPr>
                <w:rFonts w:cs="Arial"/>
                <w:b/>
                <w:bCs/>
                <w:color w:val="FFFFFF" w:themeColor="background1"/>
                <w:sz w:val="21"/>
                <w:szCs w:val="21"/>
              </w:rPr>
            </w:pPr>
            <w:r w:rsidRPr="00392788">
              <w:rPr>
                <w:rFonts w:cs="Arial"/>
                <w:b/>
                <w:bCs/>
                <w:color w:val="FFFFFF" w:themeColor="background1"/>
                <w:sz w:val="21"/>
                <w:szCs w:val="21"/>
              </w:rPr>
              <w:t>Name</w:t>
            </w:r>
          </w:p>
        </w:tc>
        <w:tc>
          <w:tcPr>
            <w:tcW w:w="5387" w:type="dxa"/>
            <w:shd w:val="clear" w:color="auto" w:fill="2F5496" w:themeFill="accent5" w:themeFillShade="BF"/>
            <w:tcMar>
              <w:top w:w="0" w:type="dxa"/>
              <w:left w:w="113" w:type="dxa"/>
              <w:bottom w:w="0" w:type="dxa"/>
              <w:right w:w="113" w:type="dxa"/>
            </w:tcMar>
            <w:vAlign w:val="bottom"/>
          </w:tcPr>
          <w:p w14:paraId="06E12F23" w14:textId="77777777" w:rsidR="00B35788" w:rsidRPr="00392788" w:rsidRDefault="00B35788" w:rsidP="00722F9C">
            <w:pPr>
              <w:contextualSpacing/>
              <w:rPr>
                <w:rFonts w:cs="Arial"/>
                <w:b/>
                <w:bCs/>
                <w:color w:val="FFFFFF" w:themeColor="background1"/>
                <w:sz w:val="21"/>
                <w:szCs w:val="21"/>
              </w:rPr>
            </w:pPr>
            <w:r w:rsidRPr="00392788">
              <w:rPr>
                <w:rFonts w:cs="Arial"/>
                <w:b/>
                <w:bCs/>
                <w:color w:val="FFFFFF" w:themeColor="background1"/>
                <w:sz w:val="21"/>
                <w:szCs w:val="21"/>
              </w:rPr>
              <w:t>Position</w:t>
            </w:r>
          </w:p>
        </w:tc>
        <w:tc>
          <w:tcPr>
            <w:tcW w:w="1559" w:type="dxa"/>
            <w:shd w:val="clear" w:color="auto" w:fill="2F5496" w:themeFill="accent5" w:themeFillShade="BF"/>
            <w:tcMar>
              <w:top w:w="0" w:type="dxa"/>
              <w:left w:w="113" w:type="dxa"/>
              <w:bottom w:w="0" w:type="dxa"/>
              <w:right w:w="113" w:type="dxa"/>
            </w:tcMar>
            <w:vAlign w:val="bottom"/>
          </w:tcPr>
          <w:p w14:paraId="07DA069E" w14:textId="77777777" w:rsidR="00B35788" w:rsidRPr="00392788" w:rsidRDefault="00B35788" w:rsidP="00392788">
            <w:pPr>
              <w:contextualSpacing/>
              <w:rPr>
                <w:rFonts w:cs="Arial"/>
                <w:b/>
                <w:bCs/>
                <w:color w:val="FFFFFF" w:themeColor="background1"/>
                <w:sz w:val="21"/>
                <w:szCs w:val="21"/>
              </w:rPr>
            </w:pPr>
            <w:r w:rsidRPr="00392788">
              <w:rPr>
                <w:rFonts w:cs="Arial"/>
                <w:b/>
                <w:bCs/>
                <w:color w:val="FFFFFF" w:themeColor="background1"/>
                <w:sz w:val="21"/>
                <w:szCs w:val="21"/>
              </w:rPr>
              <w:t>Network</w:t>
            </w:r>
          </w:p>
        </w:tc>
      </w:tr>
      <w:tr w:rsidR="005227C2" w:rsidRPr="006E10BB" w14:paraId="639B06DB" w14:textId="77777777" w:rsidTr="00392788">
        <w:trPr>
          <w:cantSplit/>
          <w:trHeight w:val="1232"/>
        </w:trPr>
        <w:tc>
          <w:tcPr>
            <w:tcW w:w="2945" w:type="dxa"/>
            <w:tcMar>
              <w:top w:w="0" w:type="dxa"/>
              <w:left w:w="113" w:type="dxa"/>
              <w:bottom w:w="0" w:type="dxa"/>
              <w:right w:w="113" w:type="dxa"/>
            </w:tcMar>
            <w:vAlign w:val="center"/>
          </w:tcPr>
          <w:p w14:paraId="79A0A944" w14:textId="624BDF1D" w:rsidR="00B35788" w:rsidRPr="00F074A5" w:rsidRDefault="00B35788" w:rsidP="00C560D9">
            <w:pPr>
              <w:contextualSpacing/>
              <w:rPr>
                <w:rFonts w:cs="Arial"/>
                <w:b/>
                <w:sz w:val="21"/>
                <w:szCs w:val="21"/>
              </w:rPr>
            </w:pPr>
            <w:r w:rsidRPr="00F074A5">
              <w:rPr>
                <w:rFonts w:cs="Arial"/>
                <w:b/>
                <w:sz w:val="21"/>
                <w:szCs w:val="21"/>
              </w:rPr>
              <w:t>Prof</w:t>
            </w:r>
            <w:r w:rsidR="00B350A8" w:rsidRPr="00F074A5">
              <w:rPr>
                <w:rFonts w:cs="Arial"/>
                <w:b/>
                <w:sz w:val="21"/>
                <w:szCs w:val="21"/>
              </w:rPr>
              <w:t>essor</w:t>
            </w:r>
            <w:r w:rsidRPr="00F074A5">
              <w:rPr>
                <w:rFonts w:cs="Arial"/>
                <w:b/>
                <w:sz w:val="21"/>
                <w:szCs w:val="21"/>
              </w:rPr>
              <w:t xml:space="preserve"> Jamie Cooper</w:t>
            </w:r>
          </w:p>
        </w:tc>
        <w:tc>
          <w:tcPr>
            <w:tcW w:w="5387" w:type="dxa"/>
            <w:tcMar>
              <w:top w:w="0" w:type="dxa"/>
              <w:left w:w="113" w:type="dxa"/>
              <w:bottom w:w="0" w:type="dxa"/>
              <w:right w:w="113" w:type="dxa"/>
            </w:tcMar>
            <w:vAlign w:val="center"/>
          </w:tcPr>
          <w:p w14:paraId="238A9169" w14:textId="77777777" w:rsidR="00B35788" w:rsidRPr="00F074A5" w:rsidRDefault="00B35788" w:rsidP="00C560D9">
            <w:pPr>
              <w:contextualSpacing/>
              <w:rPr>
                <w:rFonts w:cs="Arial"/>
                <w:sz w:val="21"/>
                <w:szCs w:val="21"/>
                <w:lang w:val="en-AU"/>
              </w:rPr>
            </w:pPr>
            <w:r w:rsidRPr="00F074A5">
              <w:rPr>
                <w:rFonts w:cs="Arial"/>
                <w:sz w:val="21"/>
                <w:szCs w:val="21"/>
                <w:lang w:val="en-AU"/>
              </w:rPr>
              <w:t>Professor of Intensive Care Medicine, Monash University</w:t>
            </w:r>
          </w:p>
          <w:p w14:paraId="15F93ECA" w14:textId="10537A24" w:rsidR="00B35788" w:rsidRPr="00F074A5" w:rsidRDefault="00B35788" w:rsidP="00C560D9">
            <w:pPr>
              <w:contextualSpacing/>
              <w:rPr>
                <w:rFonts w:cs="Arial"/>
                <w:sz w:val="21"/>
                <w:szCs w:val="21"/>
              </w:rPr>
            </w:pPr>
            <w:r w:rsidRPr="00F074A5">
              <w:rPr>
                <w:rFonts w:cs="Arial"/>
                <w:sz w:val="21"/>
                <w:szCs w:val="21"/>
                <w:lang w:val="en-AU"/>
              </w:rPr>
              <w:t xml:space="preserve">Interim Director Intensive Care </w:t>
            </w:r>
            <w:r w:rsidR="00B350A8" w:rsidRPr="00F074A5">
              <w:rPr>
                <w:rFonts w:cs="Arial"/>
                <w:sz w:val="21"/>
                <w:szCs w:val="21"/>
                <w:lang w:val="en-AU"/>
              </w:rPr>
              <w:t>and</w:t>
            </w:r>
            <w:r w:rsidRPr="00F074A5">
              <w:rPr>
                <w:rFonts w:cs="Arial"/>
                <w:sz w:val="21"/>
                <w:szCs w:val="21"/>
                <w:lang w:val="en-AU"/>
              </w:rPr>
              <w:t xml:space="preserve"> Hyperbaric Medicine, The Alfred</w:t>
            </w:r>
            <w:r w:rsidR="00B350A8" w:rsidRPr="00F074A5">
              <w:rPr>
                <w:rFonts w:cs="Arial"/>
                <w:sz w:val="21"/>
                <w:szCs w:val="21"/>
                <w:lang w:val="en-AU"/>
              </w:rPr>
              <w:t xml:space="preserve"> Hospital</w:t>
            </w:r>
            <w:r w:rsidRPr="00F074A5">
              <w:rPr>
                <w:rFonts w:cs="Arial"/>
                <w:sz w:val="21"/>
                <w:szCs w:val="21"/>
                <w:lang w:val="en-AU"/>
              </w:rPr>
              <w:t>, Melbourne</w:t>
            </w:r>
          </w:p>
        </w:tc>
        <w:tc>
          <w:tcPr>
            <w:tcW w:w="1559" w:type="dxa"/>
            <w:tcMar>
              <w:top w:w="0" w:type="dxa"/>
              <w:left w:w="113" w:type="dxa"/>
              <w:bottom w:w="0" w:type="dxa"/>
              <w:right w:w="113" w:type="dxa"/>
            </w:tcMar>
            <w:vAlign w:val="center"/>
          </w:tcPr>
          <w:p w14:paraId="15EA9677" w14:textId="77777777" w:rsidR="00B35788" w:rsidRPr="00F074A5" w:rsidRDefault="00B35788" w:rsidP="00C560D9">
            <w:pPr>
              <w:contextualSpacing/>
              <w:rPr>
                <w:rFonts w:cs="Arial"/>
                <w:sz w:val="21"/>
                <w:szCs w:val="21"/>
              </w:rPr>
            </w:pPr>
            <w:r w:rsidRPr="00F074A5">
              <w:rPr>
                <w:rFonts w:cs="Arial"/>
                <w:sz w:val="21"/>
                <w:szCs w:val="21"/>
              </w:rPr>
              <w:t>ANZICS CTG</w:t>
            </w:r>
          </w:p>
        </w:tc>
      </w:tr>
      <w:tr w:rsidR="005227C2" w:rsidRPr="006E10BB" w14:paraId="099F201B" w14:textId="77777777" w:rsidTr="00392788">
        <w:trPr>
          <w:cantSplit/>
          <w:trHeight w:val="1335"/>
        </w:trPr>
        <w:tc>
          <w:tcPr>
            <w:tcW w:w="2945" w:type="dxa"/>
            <w:tcMar>
              <w:top w:w="0" w:type="dxa"/>
              <w:left w:w="113" w:type="dxa"/>
              <w:bottom w:w="0" w:type="dxa"/>
              <w:right w:w="113" w:type="dxa"/>
            </w:tcMar>
            <w:vAlign w:val="center"/>
          </w:tcPr>
          <w:p w14:paraId="4D62DF2B" w14:textId="22C0CCD7" w:rsidR="00B35788" w:rsidRPr="00F074A5" w:rsidRDefault="00B35788" w:rsidP="00C560D9">
            <w:pPr>
              <w:contextualSpacing/>
              <w:rPr>
                <w:rFonts w:cs="Arial"/>
                <w:b/>
                <w:sz w:val="21"/>
                <w:szCs w:val="21"/>
              </w:rPr>
            </w:pPr>
            <w:r w:rsidRPr="00F074A5">
              <w:rPr>
                <w:rFonts w:cs="Arial"/>
                <w:b/>
                <w:sz w:val="21"/>
                <w:szCs w:val="21"/>
              </w:rPr>
              <w:t>A/Prof</w:t>
            </w:r>
            <w:r w:rsidR="00B350A8" w:rsidRPr="00F074A5">
              <w:rPr>
                <w:rFonts w:cs="Arial"/>
                <w:b/>
                <w:sz w:val="21"/>
                <w:szCs w:val="21"/>
              </w:rPr>
              <w:t>essor</w:t>
            </w:r>
            <w:r w:rsidRPr="00F074A5">
              <w:rPr>
                <w:rFonts w:cs="Arial"/>
                <w:b/>
                <w:sz w:val="21"/>
                <w:szCs w:val="21"/>
              </w:rPr>
              <w:t xml:space="preserve"> Craig French</w:t>
            </w:r>
          </w:p>
        </w:tc>
        <w:tc>
          <w:tcPr>
            <w:tcW w:w="5387" w:type="dxa"/>
            <w:tcMar>
              <w:top w:w="0" w:type="dxa"/>
              <w:left w:w="113" w:type="dxa"/>
              <w:bottom w:w="0" w:type="dxa"/>
              <w:right w:w="113" w:type="dxa"/>
            </w:tcMar>
            <w:vAlign w:val="center"/>
          </w:tcPr>
          <w:p w14:paraId="651845C4" w14:textId="77777777" w:rsidR="00B35788" w:rsidRPr="00F074A5" w:rsidRDefault="00B35788" w:rsidP="00C560D9">
            <w:pPr>
              <w:contextualSpacing/>
              <w:rPr>
                <w:rFonts w:cs="Arial"/>
                <w:sz w:val="21"/>
                <w:szCs w:val="21"/>
              </w:rPr>
            </w:pPr>
            <w:r w:rsidRPr="00F074A5">
              <w:rPr>
                <w:rFonts w:cs="Arial"/>
                <w:sz w:val="21"/>
                <w:szCs w:val="21"/>
              </w:rPr>
              <w:t>Director of Intensive Care Western Health</w:t>
            </w:r>
          </w:p>
          <w:p w14:paraId="6F39658A" w14:textId="77777777" w:rsidR="00B35788" w:rsidRPr="00F074A5" w:rsidRDefault="00B35788" w:rsidP="00C560D9">
            <w:pPr>
              <w:contextualSpacing/>
              <w:rPr>
                <w:rFonts w:cs="Arial"/>
                <w:sz w:val="21"/>
                <w:szCs w:val="21"/>
              </w:rPr>
            </w:pPr>
            <w:r w:rsidRPr="00F074A5">
              <w:rPr>
                <w:rFonts w:cs="Arial"/>
                <w:sz w:val="21"/>
                <w:szCs w:val="21"/>
              </w:rPr>
              <w:t>Clinical Associate Professor, University of Melbourne</w:t>
            </w:r>
          </w:p>
          <w:p w14:paraId="07F94A36" w14:textId="77777777" w:rsidR="00B35788" w:rsidRPr="00F074A5" w:rsidRDefault="00B35788" w:rsidP="00C560D9">
            <w:pPr>
              <w:contextualSpacing/>
              <w:rPr>
                <w:rFonts w:cs="Arial"/>
                <w:sz w:val="21"/>
                <w:szCs w:val="21"/>
              </w:rPr>
            </w:pPr>
            <w:r w:rsidRPr="00F074A5">
              <w:rPr>
                <w:rFonts w:cs="Arial"/>
                <w:sz w:val="21"/>
                <w:szCs w:val="21"/>
              </w:rPr>
              <w:t>Chair, Australian and New Zealand Intensive Care Society Clinical Trials Group</w:t>
            </w:r>
          </w:p>
        </w:tc>
        <w:tc>
          <w:tcPr>
            <w:tcW w:w="1559" w:type="dxa"/>
            <w:tcMar>
              <w:top w:w="0" w:type="dxa"/>
              <w:left w:w="113" w:type="dxa"/>
              <w:bottom w:w="0" w:type="dxa"/>
              <w:right w:w="113" w:type="dxa"/>
            </w:tcMar>
            <w:vAlign w:val="center"/>
          </w:tcPr>
          <w:p w14:paraId="01A09C77" w14:textId="77777777" w:rsidR="00B35788" w:rsidRPr="00F074A5" w:rsidRDefault="00B35788" w:rsidP="00C560D9">
            <w:pPr>
              <w:contextualSpacing/>
              <w:rPr>
                <w:rFonts w:cs="Arial"/>
                <w:sz w:val="21"/>
                <w:szCs w:val="21"/>
              </w:rPr>
            </w:pPr>
            <w:r w:rsidRPr="00F074A5">
              <w:rPr>
                <w:rFonts w:cs="Arial"/>
                <w:sz w:val="21"/>
                <w:szCs w:val="21"/>
              </w:rPr>
              <w:t>ANZICS CTG</w:t>
            </w:r>
          </w:p>
        </w:tc>
      </w:tr>
      <w:tr w:rsidR="005227C2" w:rsidRPr="006E10BB" w14:paraId="35BFAF7B" w14:textId="77777777" w:rsidTr="00392788">
        <w:trPr>
          <w:cantSplit/>
          <w:trHeight w:val="911"/>
        </w:trPr>
        <w:tc>
          <w:tcPr>
            <w:tcW w:w="2945" w:type="dxa"/>
            <w:tcMar>
              <w:top w:w="0" w:type="dxa"/>
              <w:left w:w="113" w:type="dxa"/>
              <w:bottom w:w="0" w:type="dxa"/>
              <w:right w:w="113" w:type="dxa"/>
            </w:tcMar>
            <w:vAlign w:val="center"/>
          </w:tcPr>
          <w:p w14:paraId="389F58FE" w14:textId="77777777" w:rsidR="00B35788" w:rsidRPr="00F074A5" w:rsidRDefault="00B35788" w:rsidP="00C560D9">
            <w:pPr>
              <w:contextualSpacing/>
              <w:rPr>
                <w:rFonts w:cs="Arial"/>
                <w:b/>
                <w:sz w:val="21"/>
                <w:szCs w:val="21"/>
              </w:rPr>
            </w:pPr>
            <w:r w:rsidRPr="00F074A5">
              <w:rPr>
                <w:rFonts w:cs="Arial"/>
                <w:b/>
                <w:sz w:val="21"/>
                <w:szCs w:val="21"/>
              </w:rPr>
              <w:t xml:space="preserve">Dr Dashiell Gantner </w:t>
            </w:r>
          </w:p>
        </w:tc>
        <w:tc>
          <w:tcPr>
            <w:tcW w:w="5387" w:type="dxa"/>
            <w:tcMar>
              <w:top w:w="0" w:type="dxa"/>
              <w:left w:w="113" w:type="dxa"/>
              <w:bottom w:w="0" w:type="dxa"/>
              <w:right w:w="113" w:type="dxa"/>
            </w:tcMar>
            <w:vAlign w:val="center"/>
          </w:tcPr>
          <w:p w14:paraId="5425DB8E" w14:textId="77777777" w:rsidR="00B35788" w:rsidRPr="00F074A5" w:rsidRDefault="00B35788" w:rsidP="00C560D9">
            <w:pPr>
              <w:contextualSpacing/>
              <w:rPr>
                <w:rFonts w:cs="Arial"/>
                <w:sz w:val="21"/>
                <w:szCs w:val="21"/>
              </w:rPr>
            </w:pPr>
            <w:r w:rsidRPr="00F074A5">
              <w:rPr>
                <w:rFonts w:cs="Arial"/>
                <w:sz w:val="21"/>
                <w:szCs w:val="21"/>
              </w:rPr>
              <w:t>Intensivist, The Alfred Hospital</w:t>
            </w:r>
          </w:p>
          <w:p w14:paraId="4B64BF7C" w14:textId="77777777" w:rsidR="00B35788" w:rsidRPr="00F074A5" w:rsidRDefault="00B35788" w:rsidP="00C560D9">
            <w:pPr>
              <w:contextualSpacing/>
              <w:rPr>
                <w:rFonts w:cs="Arial"/>
                <w:sz w:val="21"/>
                <w:szCs w:val="21"/>
              </w:rPr>
            </w:pPr>
            <w:r w:rsidRPr="00F074A5">
              <w:rPr>
                <w:rFonts w:cs="Arial"/>
                <w:sz w:val="21"/>
                <w:szCs w:val="21"/>
              </w:rPr>
              <w:t>PhD Candidate, ANZIC-RC</w:t>
            </w:r>
          </w:p>
        </w:tc>
        <w:tc>
          <w:tcPr>
            <w:tcW w:w="1559" w:type="dxa"/>
            <w:tcMar>
              <w:top w:w="0" w:type="dxa"/>
              <w:left w:w="113" w:type="dxa"/>
              <w:bottom w:w="0" w:type="dxa"/>
              <w:right w:w="113" w:type="dxa"/>
            </w:tcMar>
            <w:vAlign w:val="center"/>
          </w:tcPr>
          <w:p w14:paraId="7312DD46" w14:textId="77777777" w:rsidR="00B35788" w:rsidRPr="00F074A5" w:rsidRDefault="00B35788" w:rsidP="00C560D9">
            <w:pPr>
              <w:contextualSpacing/>
              <w:rPr>
                <w:rFonts w:cs="Arial"/>
                <w:sz w:val="21"/>
                <w:szCs w:val="21"/>
              </w:rPr>
            </w:pPr>
            <w:r w:rsidRPr="00F074A5">
              <w:rPr>
                <w:rFonts w:cs="Arial"/>
                <w:sz w:val="21"/>
                <w:szCs w:val="21"/>
              </w:rPr>
              <w:t>ANZICS CTG</w:t>
            </w:r>
          </w:p>
        </w:tc>
      </w:tr>
      <w:tr w:rsidR="005227C2" w:rsidRPr="006E10BB" w14:paraId="43B4BDA1" w14:textId="77777777" w:rsidTr="00392788">
        <w:trPr>
          <w:cantSplit/>
          <w:trHeight w:val="924"/>
        </w:trPr>
        <w:tc>
          <w:tcPr>
            <w:tcW w:w="2945" w:type="dxa"/>
            <w:tcMar>
              <w:top w:w="0" w:type="dxa"/>
              <w:left w:w="113" w:type="dxa"/>
              <w:bottom w:w="0" w:type="dxa"/>
              <w:right w:w="113" w:type="dxa"/>
            </w:tcMar>
            <w:vAlign w:val="center"/>
          </w:tcPr>
          <w:p w14:paraId="15BBCEA3" w14:textId="77777777" w:rsidR="00B35788" w:rsidRPr="00F074A5" w:rsidRDefault="00B35788" w:rsidP="00C560D9">
            <w:pPr>
              <w:contextualSpacing/>
              <w:rPr>
                <w:rFonts w:cs="Arial"/>
                <w:b/>
                <w:sz w:val="21"/>
                <w:szCs w:val="21"/>
              </w:rPr>
            </w:pPr>
            <w:r w:rsidRPr="00F074A5">
              <w:rPr>
                <w:rFonts w:cs="Arial"/>
                <w:b/>
                <w:sz w:val="21"/>
                <w:szCs w:val="21"/>
              </w:rPr>
              <w:t xml:space="preserve">Dr Parisa Glass </w:t>
            </w:r>
          </w:p>
        </w:tc>
        <w:tc>
          <w:tcPr>
            <w:tcW w:w="5387" w:type="dxa"/>
            <w:tcMar>
              <w:top w:w="0" w:type="dxa"/>
              <w:left w:w="113" w:type="dxa"/>
              <w:bottom w:w="0" w:type="dxa"/>
              <w:right w:w="113" w:type="dxa"/>
            </w:tcMar>
            <w:vAlign w:val="center"/>
          </w:tcPr>
          <w:p w14:paraId="60F30B98" w14:textId="3CF44AA8" w:rsidR="00B35788" w:rsidRPr="00F074A5" w:rsidRDefault="00B35788" w:rsidP="00C560D9">
            <w:pPr>
              <w:contextualSpacing/>
              <w:rPr>
                <w:rFonts w:cs="Arial"/>
                <w:sz w:val="21"/>
                <w:szCs w:val="21"/>
              </w:rPr>
            </w:pPr>
            <w:r w:rsidRPr="00F074A5">
              <w:rPr>
                <w:rFonts w:cs="Arial"/>
                <w:sz w:val="21"/>
                <w:szCs w:val="21"/>
              </w:rPr>
              <w:t xml:space="preserve">Deputy Director, Critical Care </w:t>
            </w:r>
            <w:r w:rsidR="00B350A8" w:rsidRPr="00F074A5">
              <w:rPr>
                <w:rFonts w:cs="Arial"/>
                <w:sz w:val="21"/>
                <w:szCs w:val="21"/>
              </w:rPr>
              <w:t>and</w:t>
            </w:r>
            <w:r w:rsidRPr="00F074A5">
              <w:rPr>
                <w:rFonts w:cs="Arial"/>
                <w:sz w:val="21"/>
                <w:szCs w:val="21"/>
              </w:rPr>
              <w:t xml:space="preserve"> Trauma Division</w:t>
            </w:r>
          </w:p>
          <w:p w14:paraId="6710B1E3" w14:textId="77777777" w:rsidR="00B35788" w:rsidRPr="00F074A5" w:rsidRDefault="00B35788" w:rsidP="00C560D9">
            <w:pPr>
              <w:contextualSpacing/>
              <w:rPr>
                <w:rFonts w:cs="Arial"/>
                <w:sz w:val="21"/>
                <w:szCs w:val="21"/>
              </w:rPr>
            </w:pPr>
            <w:r w:rsidRPr="00F074A5">
              <w:rPr>
                <w:rFonts w:cs="Arial"/>
                <w:sz w:val="21"/>
                <w:szCs w:val="21"/>
              </w:rPr>
              <w:t>Business Manager, The George Institute Australia</w:t>
            </w:r>
          </w:p>
        </w:tc>
        <w:tc>
          <w:tcPr>
            <w:tcW w:w="1559" w:type="dxa"/>
            <w:tcMar>
              <w:top w:w="0" w:type="dxa"/>
              <w:left w:w="113" w:type="dxa"/>
              <w:bottom w:w="0" w:type="dxa"/>
              <w:right w:w="113" w:type="dxa"/>
            </w:tcMar>
            <w:vAlign w:val="center"/>
          </w:tcPr>
          <w:p w14:paraId="06855258" w14:textId="77777777" w:rsidR="00B35788" w:rsidRPr="00F074A5" w:rsidRDefault="00B35788" w:rsidP="00C560D9">
            <w:pPr>
              <w:contextualSpacing/>
              <w:rPr>
                <w:rFonts w:cs="Arial"/>
                <w:sz w:val="21"/>
                <w:szCs w:val="21"/>
              </w:rPr>
            </w:pPr>
            <w:r w:rsidRPr="00F074A5">
              <w:rPr>
                <w:rFonts w:cs="Arial"/>
                <w:sz w:val="21"/>
                <w:szCs w:val="21"/>
              </w:rPr>
              <w:t>ANZICS CTG</w:t>
            </w:r>
          </w:p>
        </w:tc>
      </w:tr>
      <w:tr w:rsidR="005227C2" w:rsidRPr="006E10BB" w14:paraId="47947E79" w14:textId="77777777" w:rsidTr="00392788">
        <w:trPr>
          <w:cantSplit/>
          <w:trHeight w:val="854"/>
        </w:trPr>
        <w:tc>
          <w:tcPr>
            <w:tcW w:w="2945" w:type="dxa"/>
            <w:tcMar>
              <w:top w:w="0" w:type="dxa"/>
              <w:left w:w="113" w:type="dxa"/>
              <w:bottom w:w="0" w:type="dxa"/>
              <w:right w:w="113" w:type="dxa"/>
            </w:tcMar>
            <w:vAlign w:val="center"/>
          </w:tcPr>
          <w:p w14:paraId="07DBA428" w14:textId="77777777" w:rsidR="00B35788" w:rsidRPr="00F074A5" w:rsidRDefault="00B35788" w:rsidP="00C560D9">
            <w:pPr>
              <w:contextualSpacing/>
              <w:rPr>
                <w:rFonts w:cs="Arial"/>
                <w:b/>
                <w:sz w:val="21"/>
                <w:szCs w:val="21"/>
              </w:rPr>
            </w:pPr>
            <w:r w:rsidRPr="00F074A5">
              <w:rPr>
                <w:rFonts w:cs="Arial"/>
                <w:b/>
                <w:sz w:val="21"/>
                <w:szCs w:val="21"/>
              </w:rPr>
              <w:t>Ms Donna Goldsmith</w:t>
            </w:r>
          </w:p>
        </w:tc>
        <w:tc>
          <w:tcPr>
            <w:tcW w:w="5387" w:type="dxa"/>
            <w:tcMar>
              <w:top w:w="0" w:type="dxa"/>
              <w:left w:w="113" w:type="dxa"/>
              <w:bottom w:w="0" w:type="dxa"/>
              <w:right w:w="113" w:type="dxa"/>
            </w:tcMar>
            <w:vAlign w:val="center"/>
          </w:tcPr>
          <w:p w14:paraId="10353DC5" w14:textId="77777777" w:rsidR="00B35788" w:rsidRPr="00F074A5" w:rsidRDefault="00B35788" w:rsidP="00C560D9">
            <w:pPr>
              <w:contextualSpacing/>
              <w:rPr>
                <w:rFonts w:cs="Arial"/>
                <w:sz w:val="21"/>
                <w:szCs w:val="21"/>
              </w:rPr>
            </w:pPr>
            <w:r w:rsidRPr="00F074A5">
              <w:rPr>
                <w:rFonts w:cs="Arial"/>
                <w:sz w:val="21"/>
                <w:szCs w:val="21"/>
              </w:rPr>
              <w:t xml:space="preserve">Executive Officer, Australian and New Zealand Intensive Care Society Clinical Trials Group </w:t>
            </w:r>
          </w:p>
        </w:tc>
        <w:tc>
          <w:tcPr>
            <w:tcW w:w="1559" w:type="dxa"/>
            <w:tcMar>
              <w:top w:w="0" w:type="dxa"/>
              <w:left w:w="113" w:type="dxa"/>
              <w:bottom w:w="0" w:type="dxa"/>
              <w:right w:w="113" w:type="dxa"/>
            </w:tcMar>
            <w:vAlign w:val="center"/>
          </w:tcPr>
          <w:p w14:paraId="658F5A9F" w14:textId="77777777" w:rsidR="00B35788" w:rsidRPr="00F074A5" w:rsidRDefault="00B35788" w:rsidP="00C560D9">
            <w:pPr>
              <w:contextualSpacing/>
              <w:rPr>
                <w:rFonts w:cs="Arial"/>
                <w:sz w:val="21"/>
                <w:szCs w:val="21"/>
              </w:rPr>
            </w:pPr>
            <w:r w:rsidRPr="00F074A5">
              <w:rPr>
                <w:rFonts w:cs="Arial"/>
                <w:sz w:val="21"/>
                <w:szCs w:val="21"/>
              </w:rPr>
              <w:t>ANZICS CTG</w:t>
            </w:r>
          </w:p>
        </w:tc>
      </w:tr>
      <w:tr w:rsidR="005227C2" w:rsidRPr="006E10BB" w14:paraId="1E07ED74" w14:textId="77777777" w:rsidTr="00392788">
        <w:trPr>
          <w:cantSplit/>
          <w:trHeight w:val="642"/>
        </w:trPr>
        <w:tc>
          <w:tcPr>
            <w:tcW w:w="2945" w:type="dxa"/>
            <w:tcMar>
              <w:top w:w="0" w:type="dxa"/>
              <w:left w:w="113" w:type="dxa"/>
              <w:bottom w:w="0" w:type="dxa"/>
              <w:right w:w="113" w:type="dxa"/>
            </w:tcMar>
            <w:vAlign w:val="center"/>
          </w:tcPr>
          <w:p w14:paraId="26C4B356" w14:textId="77777777" w:rsidR="00B35788" w:rsidRPr="00F074A5" w:rsidRDefault="00B35788" w:rsidP="00C560D9">
            <w:pPr>
              <w:contextualSpacing/>
              <w:rPr>
                <w:rFonts w:cs="Arial"/>
                <w:b/>
                <w:sz w:val="21"/>
                <w:szCs w:val="21"/>
              </w:rPr>
            </w:pPr>
            <w:r w:rsidRPr="00F074A5">
              <w:rPr>
                <w:rFonts w:cs="Arial"/>
                <w:b/>
                <w:sz w:val="21"/>
                <w:szCs w:val="21"/>
              </w:rPr>
              <w:t>Ms Lisa Higgins</w:t>
            </w:r>
          </w:p>
        </w:tc>
        <w:tc>
          <w:tcPr>
            <w:tcW w:w="5387" w:type="dxa"/>
            <w:tcMar>
              <w:top w:w="0" w:type="dxa"/>
              <w:left w:w="113" w:type="dxa"/>
              <w:bottom w:w="0" w:type="dxa"/>
              <w:right w:w="113" w:type="dxa"/>
            </w:tcMar>
            <w:vAlign w:val="center"/>
          </w:tcPr>
          <w:p w14:paraId="6320B9BD" w14:textId="77777777" w:rsidR="00B35788" w:rsidRPr="00F074A5" w:rsidRDefault="00B35788" w:rsidP="00C560D9">
            <w:pPr>
              <w:contextualSpacing/>
              <w:rPr>
                <w:rFonts w:cs="Arial"/>
                <w:sz w:val="21"/>
                <w:szCs w:val="21"/>
              </w:rPr>
            </w:pPr>
            <w:r w:rsidRPr="00F074A5">
              <w:rPr>
                <w:rFonts w:cs="Arial"/>
                <w:sz w:val="21"/>
                <w:szCs w:val="21"/>
              </w:rPr>
              <w:t>Research Fellow and PhD Scholar, ANZIC-RC</w:t>
            </w:r>
          </w:p>
        </w:tc>
        <w:tc>
          <w:tcPr>
            <w:tcW w:w="1559" w:type="dxa"/>
            <w:tcMar>
              <w:top w:w="0" w:type="dxa"/>
              <w:left w:w="113" w:type="dxa"/>
              <w:bottom w:w="0" w:type="dxa"/>
              <w:right w:w="113" w:type="dxa"/>
            </w:tcMar>
            <w:vAlign w:val="center"/>
          </w:tcPr>
          <w:p w14:paraId="79827D25" w14:textId="77777777" w:rsidR="00B35788" w:rsidRPr="00F074A5" w:rsidRDefault="00B35788" w:rsidP="00C560D9">
            <w:pPr>
              <w:contextualSpacing/>
              <w:rPr>
                <w:rFonts w:cs="Arial"/>
                <w:sz w:val="21"/>
                <w:szCs w:val="21"/>
              </w:rPr>
            </w:pPr>
            <w:r w:rsidRPr="00F074A5">
              <w:rPr>
                <w:rFonts w:cs="Arial"/>
                <w:sz w:val="21"/>
                <w:szCs w:val="21"/>
              </w:rPr>
              <w:t>ANZICS CTG</w:t>
            </w:r>
          </w:p>
        </w:tc>
      </w:tr>
      <w:tr w:rsidR="005227C2" w:rsidRPr="006E10BB" w14:paraId="3E5CF92F" w14:textId="77777777" w:rsidTr="00392788">
        <w:trPr>
          <w:cantSplit/>
          <w:trHeight w:val="631"/>
        </w:trPr>
        <w:tc>
          <w:tcPr>
            <w:tcW w:w="2945" w:type="dxa"/>
            <w:tcMar>
              <w:top w:w="0" w:type="dxa"/>
              <w:left w:w="113" w:type="dxa"/>
              <w:bottom w:w="0" w:type="dxa"/>
              <w:right w:w="113" w:type="dxa"/>
            </w:tcMar>
            <w:vAlign w:val="center"/>
          </w:tcPr>
          <w:p w14:paraId="312D3C1B" w14:textId="77777777" w:rsidR="00B35788" w:rsidRPr="00F074A5" w:rsidRDefault="00B35788" w:rsidP="00C560D9">
            <w:pPr>
              <w:contextualSpacing/>
              <w:rPr>
                <w:rFonts w:cs="Arial"/>
                <w:b/>
                <w:sz w:val="21"/>
                <w:szCs w:val="21"/>
              </w:rPr>
            </w:pPr>
            <w:r w:rsidRPr="00F074A5">
              <w:rPr>
                <w:rFonts w:cs="Arial"/>
                <w:b/>
                <w:sz w:val="21"/>
                <w:szCs w:val="21"/>
              </w:rPr>
              <w:t>Ms Lynnette Murray</w:t>
            </w:r>
          </w:p>
        </w:tc>
        <w:tc>
          <w:tcPr>
            <w:tcW w:w="5387" w:type="dxa"/>
            <w:tcMar>
              <w:top w:w="0" w:type="dxa"/>
              <w:left w:w="113" w:type="dxa"/>
              <w:bottom w:w="0" w:type="dxa"/>
              <w:right w:w="113" w:type="dxa"/>
            </w:tcMar>
            <w:vAlign w:val="center"/>
          </w:tcPr>
          <w:p w14:paraId="2F679DCB" w14:textId="77777777" w:rsidR="00B35788" w:rsidRPr="00F074A5" w:rsidRDefault="00B35788" w:rsidP="00C560D9">
            <w:pPr>
              <w:contextualSpacing/>
              <w:rPr>
                <w:rFonts w:cs="Arial"/>
                <w:sz w:val="21"/>
                <w:szCs w:val="21"/>
              </w:rPr>
            </w:pPr>
            <w:r w:rsidRPr="00F074A5">
              <w:rPr>
                <w:rFonts w:cs="Arial"/>
                <w:sz w:val="21"/>
                <w:szCs w:val="21"/>
                <w:lang w:val="en-AU"/>
              </w:rPr>
              <w:t>Senior Research Manager, ANZIC-RC</w:t>
            </w:r>
          </w:p>
        </w:tc>
        <w:tc>
          <w:tcPr>
            <w:tcW w:w="1559" w:type="dxa"/>
            <w:tcMar>
              <w:top w:w="0" w:type="dxa"/>
              <w:left w:w="113" w:type="dxa"/>
              <w:bottom w:w="0" w:type="dxa"/>
              <w:right w:w="113" w:type="dxa"/>
            </w:tcMar>
            <w:vAlign w:val="center"/>
          </w:tcPr>
          <w:p w14:paraId="351D4140" w14:textId="77777777" w:rsidR="00B35788" w:rsidRPr="00F074A5" w:rsidRDefault="00B35788" w:rsidP="00C560D9">
            <w:pPr>
              <w:contextualSpacing/>
              <w:rPr>
                <w:rFonts w:cs="Arial"/>
                <w:sz w:val="21"/>
                <w:szCs w:val="21"/>
              </w:rPr>
            </w:pPr>
            <w:r w:rsidRPr="00F074A5">
              <w:rPr>
                <w:rFonts w:cs="Arial"/>
                <w:sz w:val="21"/>
                <w:szCs w:val="21"/>
              </w:rPr>
              <w:t>ANZICS CTG</w:t>
            </w:r>
          </w:p>
        </w:tc>
      </w:tr>
      <w:tr w:rsidR="005227C2" w:rsidRPr="006E10BB" w14:paraId="1B55F8E6" w14:textId="77777777" w:rsidTr="00392788">
        <w:trPr>
          <w:cantSplit/>
          <w:trHeight w:val="2336"/>
        </w:trPr>
        <w:tc>
          <w:tcPr>
            <w:tcW w:w="2945" w:type="dxa"/>
            <w:tcMar>
              <w:top w:w="0" w:type="dxa"/>
              <w:left w:w="113" w:type="dxa"/>
              <w:bottom w:w="0" w:type="dxa"/>
              <w:right w:w="113" w:type="dxa"/>
            </w:tcMar>
            <w:vAlign w:val="center"/>
          </w:tcPr>
          <w:p w14:paraId="0FD05E1D" w14:textId="7932B0C2" w:rsidR="00B35788" w:rsidRPr="00F074A5" w:rsidRDefault="00B35788" w:rsidP="00C560D9">
            <w:pPr>
              <w:contextualSpacing/>
              <w:rPr>
                <w:rFonts w:cs="Arial"/>
                <w:b/>
                <w:sz w:val="21"/>
                <w:szCs w:val="21"/>
              </w:rPr>
            </w:pPr>
            <w:r w:rsidRPr="00F074A5">
              <w:rPr>
                <w:rFonts w:cs="Arial"/>
                <w:b/>
                <w:sz w:val="21"/>
                <w:szCs w:val="21"/>
              </w:rPr>
              <w:t>Prof</w:t>
            </w:r>
            <w:r w:rsidR="00B350A8" w:rsidRPr="00F074A5">
              <w:rPr>
                <w:rFonts w:cs="Arial"/>
                <w:b/>
                <w:sz w:val="21"/>
                <w:szCs w:val="21"/>
              </w:rPr>
              <w:t>essor</w:t>
            </w:r>
            <w:r w:rsidRPr="00F074A5">
              <w:rPr>
                <w:rFonts w:cs="Arial"/>
                <w:b/>
                <w:sz w:val="21"/>
                <w:szCs w:val="21"/>
              </w:rPr>
              <w:t xml:space="preserve"> John Myburgh</w:t>
            </w:r>
            <w:r w:rsidR="00F10E73">
              <w:rPr>
                <w:rFonts w:cs="Arial"/>
                <w:b/>
                <w:sz w:val="21"/>
                <w:szCs w:val="21"/>
              </w:rPr>
              <w:t xml:space="preserve"> AO</w:t>
            </w:r>
          </w:p>
        </w:tc>
        <w:tc>
          <w:tcPr>
            <w:tcW w:w="5387" w:type="dxa"/>
            <w:tcMar>
              <w:top w:w="0" w:type="dxa"/>
              <w:left w:w="113" w:type="dxa"/>
              <w:bottom w:w="0" w:type="dxa"/>
              <w:right w:w="113" w:type="dxa"/>
            </w:tcMar>
            <w:vAlign w:val="center"/>
          </w:tcPr>
          <w:p w14:paraId="47B73070" w14:textId="3DE98E76" w:rsidR="00B35788" w:rsidRPr="00F074A5" w:rsidRDefault="00B35788" w:rsidP="00C560D9">
            <w:pPr>
              <w:contextualSpacing/>
              <w:rPr>
                <w:rFonts w:cs="Arial"/>
                <w:sz w:val="21"/>
                <w:szCs w:val="21"/>
              </w:rPr>
            </w:pPr>
            <w:r w:rsidRPr="00F074A5">
              <w:rPr>
                <w:rFonts w:cs="Arial"/>
                <w:sz w:val="21"/>
                <w:szCs w:val="21"/>
              </w:rPr>
              <w:t>Director, Critical Care</w:t>
            </w:r>
            <w:r w:rsidR="00B350A8" w:rsidRPr="00F074A5">
              <w:rPr>
                <w:rFonts w:cs="Arial"/>
                <w:sz w:val="21"/>
                <w:szCs w:val="21"/>
              </w:rPr>
              <w:t xml:space="preserve"> and</w:t>
            </w:r>
            <w:r w:rsidRPr="00F074A5">
              <w:rPr>
                <w:rFonts w:cs="Arial"/>
                <w:sz w:val="21"/>
                <w:szCs w:val="21"/>
              </w:rPr>
              <w:t xml:space="preserve"> Trauma Division</w:t>
            </w:r>
          </w:p>
          <w:p w14:paraId="59CA117A" w14:textId="77777777" w:rsidR="00B35788" w:rsidRPr="00F074A5" w:rsidRDefault="00B35788" w:rsidP="00C560D9">
            <w:pPr>
              <w:contextualSpacing/>
              <w:rPr>
                <w:rFonts w:cs="Arial"/>
                <w:sz w:val="21"/>
                <w:szCs w:val="21"/>
              </w:rPr>
            </w:pPr>
            <w:r w:rsidRPr="00F074A5">
              <w:rPr>
                <w:rFonts w:cs="Arial"/>
                <w:sz w:val="21"/>
                <w:szCs w:val="21"/>
              </w:rPr>
              <w:t>Professor of Critical Care Medicine, University of New South Wales</w:t>
            </w:r>
          </w:p>
          <w:p w14:paraId="380D5887" w14:textId="77777777" w:rsidR="00B35788" w:rsidRPr="00F074A5" w:rsidRDefault="00B35788" w:rsidP="00C560D9">
            <w:pPr>
              <w:contextualSpacing/>
              <w:rPr>
                <w:rFonts w:cs="Arial"/>
                <w:sz w:val="21"/>
                <w:szCs w:val="21"/>
              </w:rPr>
            </w:pPr>
            <w:r w:rsidRPr="00F074A5">
              <w:rPr>
                <w:rFonts w:cs="Arial"/>
                <w:sz w:val="21"/>
                <w:szCs w:val="21"/>
              </w:rPr>
              <w:t>Senior Physician, Department of Intensive Care Medicine, St George Hospital, Sydney</w:t>
            </w:r>
          </w:p>
          <w:p w14:paraId="7309F966" w14:textId="77777777" w:rsidR="00B35788" w:rsidRPr="00F074A5" w:rsidRDefault="00B35788" w:rsidP="00C560D9">
            <w:pPr>
              <w:contextualSpacing/>
              <w:rPr>
                <w:rFonts w:cs="Arial"/>
                <w:sz w:val="21"/>
                <w:szCs w:val="21"/>
              </w:rPr>
            </w:pPr>
            <w:r w:rsidRPr="00F074A5">
              <w:rPr>
                <w:rFonts w:cs="Arial"/>
                <w:sz w:val="21"/>
                <w:szCs w:val="21"/>
              </w:rPr>
              <w:t>Honorary Professor, University of Sydney and Monash University</w:t>
            </w:r>
          </w:p>
        </w:tc>
        <w:tc>
          <w:tcPr>
            <w:tcW w:w="1559" w:type="dxa"/>
            <w:tcMar>
              <w:top w:w="0" w:type="dxa"/>
              <w:left w:w="113" w:type="dxa"/>
              <w:bottom w:w="0" w:type="dxa"/>
              <w:right w:w="113" w:type="dxa"/>
            </w:tcMar>
            <w:vAlign w:val="center"/>
          </w:tcPr>
          <w:p w14:paraId="60B1AD65" w14:textId="77777777" w:rsidR="00B35788" w:rsidRPr="00F074A5" w:rsidRDefault="00B35788" w:rsidP="00C560D9">
            <w:pPr>
              <w:contextualSpacing/>
              <w:rPr>
                <w:rFonts w:cs="Arial"/>
                <w:sz w:val="21"/>
                <w:szCs w:val="21"/>
              </w:rPr>
            </w:pPr>
            <w:r w:rsidRPr="00F074A5">
              <w:rPr>
                <w:rFonts w:cs="Arial"/>
                <w:sz w:val="21"/>
                <w:szCs w:val="21"/>
              </w:rPr>
              <w:t>ANZICS CTG</w:t>
            </w:r>
          </w:p>
        </w:tc>
      </w:tr>
      <w:tr w:rsidR="005227C2" w:rsidRPr="006E10BB" w14:paraId="05C67D45" w14:textId="77777777" w:rsidTr="00392788">
        <w:trPr>
          <w:cantSplit/>
          <w:trHeight w:val="2057"/>
        </w:trPr>
        <w:tc>
          <w:tcPr>
            <w:tcW w:w="2945" w:type="dxa"/>
            <w:tcMar>
              <w:top w:w="0" w:type="dxa"/>
              <w:left w:w="113" w:type="dxa"/>
              <w:bottom w:w="0" w:type="dxa"/>
              <w:right w:w="113" w:type="dxa"/>
            </w:tcMar>
            <w:vAlign w:val="center"/>
          </w:tcPr>
          <w:p w14:paraId="4C3A5709" w14:textId="3022DDCD" w:rsidR="00B35788" w:rsidRPr="00F074A5" w:rsidRDefault="00B35788" w:rsidP="00C560D9">
            <w:pPr>
              <w:contextualSpacing/>
              <w:rPr>
                <w:rFonts w:cs="Arial"/>
                <w:b/>
                <w:sz w:val="21"/>
                <w:szCs w:val="21"/>
              </w:rPr>
            </w:pPr>
            <w:r w:rsidRPr="00F074A5">
              <w:rPr>
                <w:rFonts w:cs="Arial"/>
                <w:b/>
                <w:sz w:val="21"/>
                <w:szCs w:val="21"/>
              </w:rPr>
              <w:t>Prof</w:t>
            </w:r>
            <w:r w:rsidR="00B350A8" w:rsidRPr="00F074A5">
              <w:rPr>
                <w:rFonts w:cs="Arial"/>
                <w:b/>
                <w:sz w:val="21"/>
                <w:szCs w:val="21"/>
              </w:rPr>
              <w:t>essor</w:t>
            </w:r>
            <w:r w:rsidRPr="00F074A5">
              <w:rPr>
                <w:rFonts w:cs="Arial"/>
                <w:b/>
                <w:sz w:val="21"/>
                <w:szCs w:val="21"/>
              </w:rPr>
              <w:t xml:space="preserve"> Craig Anderson</w:t>
            </w:r>
          </w:p>
        </w:tc>
        <w:tc>
          <w:tcPr>
            <w:tcW w:w="5387" w:type="dxa"/>
            <w:tcMar>
              <w:top w:w="0" w:type="dxa"/>
              <w:left w:w="113" w:type="dxa"/>
              <w:bottom w:w="0" w:type="dxa"/>
              <w:right w:w="113" w:type="dxa"/>
            </w:tcMar>
            <w:vAlign w:val="center"/>
          </w:tcPr>
          <w:p w14:paraId="7529D90C" w14:textId="77777777" w:rsidR="00B35788" w:rsidRPr="00F074A5" w:rsidRDefault="00B35788" w:rsidP="00C560D9">
            <w:pPr>
              <w:contextualSpacing/>
              <w:rPr>
                <w:rFonts w:cs="Arial"/>
                <w:sz w:val="21"/>
                <w:szCs w:val="21"/>
              </w:rPr>
            </w:pPr>
            <w:r w:rsidRPr="00F074A5">
              <w:rPr>
                <w:rFonts w:cs="Arial"/>
                <w:sz w:val="21"/>
                <w:szCs w:val="21"/>
              </w:rPr>
              <w:t>Deputy Executive Director, The George Institute for Global Health, China</w:t>
            </w:r>
          </w:p>
          <w:p w14:paraId="617886F6" w14:textId="77777777" w:rsidR="00B35788" w:rsidRPr="00F074A5" w:rsidRDefault="00B35788" w:rsidP="00C560D9">
            <w:pPr>
              <w:contextualSpacing/>
              <w:rPr>
                <w:rFonts w:cs="Arial"/>
                <w:sz w:val="21"/>
                <w:szCs w:val="21"/>
              </w:rPr>
            </w:pPr>
            <w:r w:rsidRPr="00F074A5">
              <w:rPr>
                <w:rFonts w:cs="Arial"/>
                <w:sz w:val="21"/>
                <w:szCs w:val="21"/>
              </w:rPr>
              <w:t>Professor of Stroke Medicine and Clinical Neuroscience, The University of Sydney</w:t>
            </w:r>
          </w:p>
          <w:p w14:paraId="67DE70E5" w14:textId="77777777" w:rsidR="00B35788" w:rsidRPr="00F074A5" w:rsidRDefault="00B35788" w:rsidP="00C560D9">
            <w:pPr>
              <w:contextualSpacing/>
              <w:rPr>
                <w:rFonts w:cs="Arial"/>
                <w:sz w:val="21"/>
                <w:szCs w:val="21"/>
              </w:rPr>
            </w:pPr>
            <w:r w:rsidRPr="00F074A5">
              <w:rPr>
                <w:rFonts w:cs="Arial"/>
                <w:sz w:val="21"/>
                <w:szCs w:val="21"/>
              </w:rPr>
              <w:t>Head, Stroke Services, Royal Prince Alfred Hospital</w:t>
            </w:r>
          </w:p>
          <w:p w14:paraId="5B9DDFC0" w14:textId="77777777" w:rsidR="00B35788" w:rsidRPr="00F074A5" w:rsidRDefault="00B35788" w:rsidP="00C560D9">
            <w:pPr>
              <w:contextualSpacing/>
              <w:rPr>
                <w:rFonts w:cs="Arial"/>
                <w:sz w:val="21"/>
                <w:szCs w:val="21"/>
              </w:rPr>
            </w:pPr>
            <w:r w:rsidRPr="00F074A5">
              <w:rPr>
                <w:rFonts w:cs="Arial"/>
                <w:sz w:val="21"/>
                <w:szCs w:val="21"/>
              </w:rPr>
              <w:t>NHMRC Senior Principal Research Fellow</w:t>
            </w:r>
          </w:p>
        </w:tc>
        <w:tc>
          <w:tcPr>
            <w:tcW w:w="1559" w:type="dxa"/>
            <w:tcMar>
              <w:top w:w="0" w:type="dxa"/>
              <w:left w:w="113" w:type="dxa"/>
              <w:bottom w:w="0" w:type="dxa"/>
              <w:right w:w="113" w:type="dxa"/>
            </w:tcMar>
            <w:vAlign w:val="center"/>
          </w:tcPr>
          <w:p w14:paraId="529DAB6E" w14:textId="77777777" w:rsidR="00B35788" w:rsidRPr="00F074A5" w:rsidRDefault="00B35788" w:rsidP="00C560D9">
            <w:pPr>
              <w:contextualSpacing/>
              <w:rPr>
                <w:rFonts w:cs="Arial"/>
                <w:sz w:val="21"/>
                <w:szCs w:val="21"/>
              </w:rPr>
            </w:pPr>
            <w:r w:rsidRPr="00F074A5">
              <w:rPr>
                <w:rFonts w:cs="Arial"/>
                <w:sz w:val="21"/>
                <w:szCs w:val="21"/>
              </w:rPr>
              <w:t>ASTN</w:t>
            </w:r>
          </w:p>
        </w:tc>
      </w:tr>
      <w:tr w:rsidR="005227C2" w:rsidRPr="006E10BB" w14:paraId="59562B37" w14:textId="77777777" w:rsidTr="00392788">
        <w:trPr>
          <w:cantSplit/>
          <w:trHeight w:val="1106"/>
        </w:trPr>
        <w:tc>
          <w:tcPr>
            <w:tcW w:w="2945" w:type="dxa"/>
            <w:tcMar>
              <w:top w:w="0" w:type="dxa"/>
              <w:left w:w="113" w:type="dxa"/>
              <w:bottom w:w="0" w:type="dxa"/>
              <w:right w:w="113" w:type="dxa"/>
            </w:tcMar>
            <w:vAlign w:val="center"/>
          </w:tcPr>
          <w:p w14:paraId="2AC07F88" w14:textId="30004A14" w:rsidR="00B35788" w:rsidRPr="00F074A5" w:rsidRDefault="00B35788" w:rsidP="00C560D9">
            <w:pPr>
              <w:contextualSpacing/>
              <w:rPr>
                <w:rFonts w:cs="Arial"/>
                <w:b/>
                <w:sz w:val="21"/>
                <w:szCs w:val="21"/>
              </w:rPr>
            </w:pPr>
            <w:r w:rsidRPr="00F074A5">
              <w:rPr>
                <w:rFonts w:cs="Arial"/>
                <w:b/>
                <w:sz w:val="21"/>
                <w:szCs w:val="21"/>
              </w:rPr>
              <w:lastRenderedPageBreak/>
              <w:t>Prof</w:t>
            </w:r>
            <w:r w:rsidR="00B350A8" w:rsidRPr="00F074A5">
              <w:rPr>
                <w:rFonts w:cs="Arial"/>
                <w:b/>
                <w:sz w:val="21"/>
                <w:szCs w:val="21"/>
              </w:rPr>
              <w:t>essor</w:t>
            </w:r>
            <w:r w:rsidRPr="00F074A5">
              <w:rPr>
                <w:rFonts w:cs="Arial"/>
                <w:b/>
                <w:sz w:val="21"/>
                <w:szCs w:val="21"/>
              </w:rPr>
              <w:t xml:space="preserve"> Julie Bernhardt</w:t>
            </w:r>
          </w:p>
        </w:tc>
        <w:tc>
          <w:tcPr>
            <w:tcW w:w="5387" w:type="dxa"/>
            <w:tcMar>
              <w:top w:w="0" w:type="dxa"/>
              <w:left w:w="113" w:type="dxa"/>
              <w:bottom w:w="0" w:type="dxa"/>
              <w:right w:w="113" w:type="dxa"/>
            </w:tcMar>
            <w:vAlign w:val="center"/>
          </w:tcPr>
          <w:p w14:paraId="35E9587A" w14:textId="77777777" w:rsidR="00B35788" w:rsidRPr="00F074A5" w:rsidRDefault="00B35788" w:rsidP="00C560D9">
            <w:pPr>
              <w:contextualSpacing/>
              <w:rPr>
                <w:rFonts w:cs="Arial"/>
                <w:sz w:val="21"/>
                <w:szCs w:val="21"/>
              </w:rPr>
            </w:pPr>
            <w:r w:rsidRPr="00F074A5">
              <w:rPr>
                <w:rFonts w:cs="Arial"/>
                <w:sz w:val="21"/>
                <w:szCs w:val="21"/>
              </w:rPr>
              <w:t>Head of the Stroke Division at The Florey Institute of Neuroscience and Mental Health</w:t>
            </w:r>
          </w:p>
          <w:p w14:paraId="53F41284" w14:textId="77777777" w:rsidR="00B35788" w:rsidRPr="00F074A5" w:rsidRDefault="00B35788" w:rsidP="00C560D9">
            <w:pPr>
              <w:contextualSpacing/>
              <w:rPr>
                <w:rFonts w:cs="Arial"/>
                <w:sz w:val="21"/>
                <w:szCs w:val="21"/>
              </w:rPr>
            </w:pPr>
            <w:r w:rsidRPr="00F074A5">
              <w:rPr>
                <w:rFonts w:cs="Arial"/>
                <w:sz w:val="21"/>
                <w:szCs w:val="21"/>
              </w:rPr>
              <w:t>Co-chair, Australian Stroke Trials Network</w:t>
            </w:r>
          </w:p>
        </w:tc>
        <w:tc>
          <w:tcPr>
            <w:tcW w:w="1559" w:type="dxa"/>
            <w:tcMar>
              <w:top w:w="0" w:type="dxa"/>
              <w:left w:w="113" w:type="dxa"/>
              <w:bottom w:w="0" w:type="dxa"/>
              <w:right w:w="113" w:type="dxa"/>
            </w:tcMar>
            <w:vAlign w:val="center"/>
          </w:tcPr>
          <w:p w14:paraId="557735C2" w14:textId="77777777" w:rsidR="00B35788" w:rsidRPr="00F074A5" w:rsidRDefault="00B35788" w:rsidP="00C560D9">
            <w:pPr>
              <w:contextualSpacing/>
              <w:rPr>
                <w:rFonts w:cs="Arial"/>
                <w:sz w:val="21"/>
                <w:szCs w:val="21"/>
              </w:rPr>
            </w:pPr>
            <w:r w:rsidRPr="00F074A5">
              <w:rPr>
                <w:rFonts w:cs="Arial"/>
                <w:sz w:val="21"/>
                <w:szCs w:val="21"/>
              </w:rPr>
              <w:t>ASTN</w:t>
            </w:r>
          </w:p>
        </w:tc>
      </w:tr>
      <w:tr w:rsidR="005227C2" w:rsidRPr="006E10BB" w14:paraId="4E4A139D" w14:textId="77777777" w:rsidTr="00392788">
        <w:trPr>
          <w:cantSplit/>
          <w:trHeight w:val="1317"/>
        </w:trPr>
        <w:tc>
          <w:tcPr>
            <w:tcW w:w="2945" w:type="dxa"/>
            <w:tcMar>
              <w:top w:w="0" w:type="dxa"/>
              <w:left w:w="113" w:type="dxa"/>
              <w:bottom w:w="0" w:type="dxa"/>
              <w:right w:w="113" w:type="dxa"/>
            </w:tcMar>
            <w:vAlign w:val="center"/>
          </w:tcPr>
          <w:p w14:paraId="59C4D1B8" w14:textId="51CD66E1" w:rsidR="00B35788" w:rsidRPr="00F074A5" w:rsidRDefault="00B35788" w:rsidP="00C560D9">
            <w:pPr>
              <w:contextualSpacing/>
              <w:rPr>
                <w:rFonts w:cs="Arial"/>
                <w:b/>
                <w:sz w:val="21"/>
                <w:szCs w:val="21"/>
              </w:rPr>
            </w:pPr>
            <w:r w:rsidRPr="00F074A5">
              <w:rPr>
                <w:rFonts w:cs="Arial"/>
                <w:b/>
                <w:sz w:val="21"/>
                <w:szCs w:val="21"/>
              </w:rPr>
              <w:t>A/Prof</w:t>
            </w:r>
            <w:r w:rsidR="00B350A8" w:rsidRPr="00F074A5">
              <w:rPr>
                <w:rFonts w:cs="Arial"/>
                <w:b/>
                <w:sz w:val="21"/>
                <w:szCs w:val="21"/>
              </w:rPr>
              <w:t>essor</w:t>
            </w:r>
            <w:r w:rsidRPr="00F074A5">
              <w:rPr>
                <w:rFonts w:cs="Arial"/>
                <w:b/>
                <w:sz w:val="21"/>
                <w:szCs w:val="21"/>
              </w:rPr>
              <w:t xml:space="preserve"> Bruce Campbell</w:t>
            </w:r>
          </w:p>
        </w:tc>
        <w:tc>
          <w:tcPr>
            <w:tcW w:w="5387" w:type="dxa"/>
            <w:tcMar>
              <w:top w:w="0" w:type="dxa"/>
              <w:left w:w="113" w:type="dxa"/>
              <w:bottom w:w="0" w:type="dxa"/>
              <w:right w:w="113" w:type="dxa"/>
            </w:tcMar>
            <w:vAlign w:val="center"/>
          </w:tcPr>
          <w:p w14:paraId="31ADA082" w14:textId="50B1B77F" w:rsidR="00B35788" w:rsidRPr="00F074A5" w:rsidRDefault="00B35788" w:rsidP="00C560D9">
            <w:pPr>
              <w:contextualSpacing/>
              <w:rPr>
                <w:rFonts w:cs="Arial"/>
                <w:sz w:val="21"/>
                <w:szCs w:val="21"/>
              </w:rPr>
            </w:pPr>
            <w:r w:rsidRPr="00F074A5">
              <w:rPr>
                <w:rFonts w:cs="Arial"/>
                <w:sz w:val="21"/>
                <w:szCs w:val="21"/>
              </w:rPr>
              <w:t>Consultant Neurologist, Head of Hyperacute Stroke, Royal Melbourne Hospital</w:t>
            </w:r>
            <w:r w:rsidR="0096241B">
              <w:rPr>
                <w:rFonts w:cs="Arial"/>
                <w:sz w:val="21"/>
                <w:szCs w:val="21"/>
              </w:rPr>
              <w:t xml:space="preserve">  </w:t>
            </w:r>
            <w:r w:rsidRPr="00F074A5">
              <w:rPr>
                <w:rFonts w:cs="Arial"/>
                <w:sz w:val="21"/>
                <w:szCs w:val="21"/>
              </w:rPr>
              <w:t>Principal Research Fellow, Melbourne Brain Centre</w:t>
            </w:r>
          </w:p>
        </w:tc>
        <w:tc>
          <w:tcPr>
            <w:tcW w:w="1559" w:type="dxa"/>
            <w:tcMar>
              <w:top w:w="0" w:type="dxa"/>
              <w:left w:w="113" w:type="dxa"/>
              <w:bottom w:w="0" w:type="dxa"/>
              <w:right w:w="113" w:type="dxa"/>
            </w:tcMar>
            <w:vAlign w:val="center"/>
          </w:tcPr>
          <w:p w14:paraId="6CF3567E" w14:textId="77777777" w:rsidR="00B35788" w:rsidRPr="00F074A5" w:rsidRDefault="00B35788" w:rsidP="00C560D9">
            <w:pPr>
              <w:contextualSpacing/>
              <w:rPr>
                <w:rFonts w:cs="Arial"/>
                <w:sz w:val="21"/>
                <w:szCs w:val="21"/>
              </w:rPr>
            </w:pPr>
            <w:r w:rsidRPr="00F074A5">
              <w:rPr>
                <w:rFonts w:cs="Arial"/>
                <w:sz w:val="21"/>
                <w:szCs w:val="21"/>
              </w:rPr>
              <w:t>ASTN</w:t>
            </w:r>
          </w:p>
        </w:tc>
      </w:tr>
      <w:tr w:rsidR="005227C2" w:rsidRPr="006E10BB" w14:paraId="0AE3D053" w14:textId="77777777" w:rsidTr="00392788">
        <w:trPr>
          <w:cantSplit/>
          <w:trHeight w:val="869"/>
        </w:trPr>
        <w:tc>
          <w:tcPr>
            <w:tcW w:w="2945" w:type="dxa"/>
            <w:tcMar>
              <w:top w:w="0" w:type="dxa"/>
              <w:left w:w="113" w:type="dxa"/>
              <w:bottom w:w="0" w:type="dxa"/>
              <w:right w:w="113" w:type="dxa"/>
            </w:tcMar>
            <w:vAlign w:val="center"/>
          </w:tcPr>
          <w:p w14:paraId="0ADF40FC" w14:textId="77777777" w:rsidR="00B35788" w:rsidRPr="00F074A5" w:rsidRDefault="00B35788" w:rsidP="00C560D9">
            <w:pPr>
              <w:contextualSpacing/>
              <w:rPr>
                <w:rFonts w:cs="Arial"/>
                <w:b/>
                <w:sz w:val="21"/>
                <w:szCs w:val="21"/>
              </w:rPr>
            </w:pPr>
            <w:r w:rsidRPr="00F074A5">
              <w:rPr>
                <w:rFonts w:cs="Arial"/>
                <w:b/>
                <w:sz w:val="21"/>
                <w:szCs w:val="21"/>
              </w:rPr>
              <w:t>Ms Xiaoying Chen</w:t>
            </w:r>
          </w:p>
        </w:tc>
        <w:tc>
          <w:tcPr>
            <w:tcW w:w="5387" w:type="dxa"/>
            <w:tcMar>
              <w:top w:w="0" w:type="dxa"/>
              <w:left w:w="113" w:type="dxa"/>
              <w:bottom w:w="0" w:type="dxa"/>
              <w:right w:w="113" w:type="dxa"/>
            </w:tcMar>
            <w:vAlign w:val="center"/>
          </w:tcPr>
          <w:p w14:paraId="31CCB9F2" w14:textId="78D8EC62" w:rsidR="00B35788" w:rsidRPr="00F074A5" w:rsidRDefault="00B35788" w:rsidP="00B350A8">
            <w:pPr>
              <w:contextualSpacing/>
              <w:rPr>
                <w:rFonts w:cs="Arial"/>
                <w:sz w:val="21"/>
                <w:szCs w:val="21"/>
              </w:rPr>
            </w:pPr>
            <w:r w:rsidRPr="00F074A5">
              <w:rPr>
                <w:rFonts w:cs="Arial"/>
                <w:sz w:val="21"/>
                <w:szCs w:val="21"/>
              </w:rPr>
              <w:t xml:space="preserve">Global Project Manager, ENCHANTED, Neurological </w:t>
            </w:r>
            <w:r w:rsidR="00B350A8" w:rsidRPr="00F074A5">
              <w:rPr>
                <w:rFonts w:cs="Arial"/>
                <w:sz w:val="21"/>
                <w:szCs w:val="21"/>
              </w:rPr>
              <w:t xml:space="preserve">and </w:t>
            </w:r>
            <w:r w:rsidRPr="00F074A5">
              <w:rPr>
                <w:rFonts w:cs="Arial"/>
                <w:sz w:val="21"/>
                <w:szCs w:val="21"/>
              </w:rPr>
              <w:t>Mental Health Division</w:t>
            </w:r>
          </w:p>
        </w:tc>
        <w:tc>
          <w:tcPr>
            <w:tcW w:w="1559" w:type="dxa"/>
            <w:tcMar>
              <w:top w:w="0" w:type="dxa"/>
              <w:left w:w="113" w:type="dxa"/>
              <w:bottom w:w="0" w:type="dxa"/>
              <w:right w:w="113" w:type="dxa"/>
            </w:tcMar>
            <w:vAlign w:val="center"/>
          </w:tcPr>
          <w:p w14:paraId="16064DD0" w14:textId="77777777" w:rsidR="00B35788" w:rsidRPr="00F074A5" w:rsidRDefault="00B35788" w:rsidP="00C560D9">
            <w:pPr>
              <w:contextualSpacing/>
              <w:rPr>
                <w:rFonts w:cs="Arial"/>
                <w:sz w:val="21"/>
                <w:szCs w:val="21"/>
              </w:rPr>
            </w:pPr>
            <w:r w:rsidRPr="00F074A5">
              <w:rPr>
                <w:rFonts w:cs="Arial"/>
                <w:sz w:val="21"/>
                <w:szCs w:val="21"/>
              </w:rPr>
              <w:t>ASTN</w:t>
            </w:r>
          </w:p>
        </w:tc>
      </w:tr>
      <w:tr w:rsidR="005227C2" w:rsidRPr="006E10BB" w14:paraId="7BCD0DDA" w14:textId="77777777" w:rsidTr="00392788">
        <w:trPr>
          <w:cantSplit/>
          <w:trHeight w:val="910"/>
        </w:trPr>
        <w:tc>
          <w:tcPr>
            <w:tcW w:w="2945" w:type="dxa"/>
            <w:tcMar>
              <w:top w:w="0" w:type="dxa"/>
              <w:left w:w="113" w:type="dxa"/>
              <w:bottom w:w="0" w:type="dxa"/>
              <w:right w:w="113" w:type="dxa"/>
            </w:tcMar>
            <w:vAlign w:val="center"/>
          </w:tcPr>
          <w:p w14:paraId="60BBB6A0" w14:textId="77777777" w:rsidR="00B35788" w:rsidRPr="00F074A5" w:rsidRDefault="00B35788" w:rsidP="00C560D9">
            <w:pPr>
              <w:contextualSpacing/>
              <w:rPr>
                <w:rFonts w:cs="Arial"/>
                <w:b/>
                <w:sz w:val="21"/>
                <w:szCs w:val="21"/>
              </w:rPr>
            </w:pPr>
            <w:r w:rsidRPr="00F074A5">
              <w:rPr>
                <w:rFonts w:cs="Arial"/>
                <w:b/>
                <w:sz w:val="21"/>
                <w:szCs w:val="21"/>
              </w:rPr>
              <w:t>Ms Janice Collier</w:t>
            </w:r>
          </w:p>
        </w:tc>
        <w:tc>
          <w:tcPr>
            <w:tcW w:w="5387" w:type="dxa"/>
            <w:tcMar>
              <w:top w:w="0" w:type="dxa"/>
              <w:left w:w="113" w:type="dxa"/>
              <w:bottom w:w="0" w:type="dxa"/>
              <w:right w:w="113" w:type="dxa"/>
            </w:tcMar>
            <w:vAlign w:val="center"/>
          </w:tcPr>
          <w:p w14:paraId="1C59F3FD" w14:textId="77777777" w:rsidR="00B35788" w:rsidRPr="00F074A5" w:rsidRDefault="00B35788" w:rsidP="00C560D9">
            <w:pPr>
              <w:contextualSpacing/>
              <w:rPr>
                <w:rFonts w:cs="Arial"/>
                <w:sz w:val="21"/>
                <w:szCs w:val="21"/>
              </w:rPr>
            </w:pPr>
            <w:r w:rsidRPr="00F074A5">
              <w:rPr>
                <w:rFonts w:cs="Arial"/>
                <w:sz w:val="21"/>
                <w:szCs w:val="21"/>
              </w:rPr>
              <w:t>Data Manager, AVERT Early Intervention Research Program, The Florey Institute</w:t>
            </w:r>
          </w:p>
        </w:tc>
        <w:tc>
          <w:tcPr>
            <w:tcW w:w="1559" w:type="dxa"/>
            <w:tcMar>
              <w:top w:w="0" w:type="dxa"/>
              <w:left w:w="113" w:type="dxa"/>
              <w:bottom w:w="0" w:type="dxa"/>
              <w:right w:w="113" w:type="dxa"/>
            </w:tcMar>
            <w:vAlign w:val="center"/>
          </w:tcPr>
          <w:p w14:paraId="41F1FEE9" w14:textId="77777777" w:rsidR="00B35788" w:rsidRPr="00F074A5" w:rsidRDefault="00B35788" w:rsidP="00C560D9">
            <w:pPr>
              <w:contextualSpacing/>
              <w:rPr>
                <w:rFonts w:cs="Arial"/>
                <w:sz w:val="21"/>
                <w:szCs w:val="21"/>
              </w:rPr>
            </w:pPr>
            <w:r w:rsidRPr="00F074A5">
              <w:rPr>
                <w:rFonts w:cs="Arial"/>
                <w:sz w:val="21"/>
                <w:szCs w:val="21"/>
              </w:rPr>
              <w:t>ASTN</w:t>
            </w:r>
          </w:p>
        </w:tc>
      </w:tr>
      <w:tr w:rsidR="005227C2" w:rsidRPr="006E10BB" w14:paraId="77FE076D" w14:textId="77777777" w:rsidTr="00392788">
        <w:trPr>
          <w:cantSplit/>
          <w:trHeight w:val="1106"/>
        </w:trPr>
        <w:tc>
          <w:tcPr>
            <w:tcW w:w="2945" w:type="dxa"/>
            <w:tcMar>
              <w:top w:w="0" w:type="dxa"/>
              <w:left w:w="113" w:type="dxa"/>
              <w:bottom w:w="0" w:type="dxa"/>
              <w:right w:w="113" w:type="dxa"/>
            </w:tcMar>
            <w:vAlign w:val="center"/>
          </w:tcPr>
          <w:p w14:paraId="049962E7" w14:textId="77777777" w:rsidR="00B35788" w:rsidRPr="00F074A5" w:rsidRDefault="00B35788" w:rsidP="00C560D9">
            <w:pPr>
              <w:contextualSpacing/>
              <w:rPr>
                <w:rFonts w:cs="Arial"/>
                <w:b/>
                <w:sz w:val="21"/>
                <w:szCs w:val="21"/>
              </w:rPr>
            </w:pPr>
            <w:r w:rsidRPr="00F074A5">
              <w:rPr>
                <w:rFonts w:cs="Arial"/>
                <w:b/>
                <w:sz w:val="21"/>
                <w:szCs w:val="21"/>
              </w:rPr>
              <w:t>Ms Simeon Dale</w:t>
            </w:r>
          </w:p>
        </w:tc>
        <w:tc>
          <w:tcPr>
            <w:tcW w:w="5387" w:type="dxa"/>
            <w:tcMar>
              <w:top w:w="0" w:type="dxa"/>
              <w:left w:w="113" w:type="dxa"/>
              <w:bottom w:w="0" w:type="dxa"/>
              <w:right w:w="113" w:type="dxa"/>
            </w:tcMar>
            <w:vAlign w:val="center"/>
          </w:tcPr>
          <w:p w14:paraId="0B73F164" w14:textId="77777777" w:rsidR="00B35788" w:rsidRPr="00F074A5" w:rsidRDefault="00B35788" w:rsidP="00C560D9">
            <w:pPr>
              <w:contextualSpacing/>
              <w:rPr>
                <w:rFonts w:cs="Arial"/>
                <w:sz w:val="21"/>
                <w:szCs w:val="21"/>
              </w:rPr>
            </w:pPr>
            <w:r w:rsidRPr="00F074A5">
              <w:rPr>
                <w:rFonts w:cs="Arial"/>
                <w:sz w:val="21"/>
                <w:szCs w:val="21"/>
              </w:rPr>
              <w:t>Clinical Research Fellow, T</w:t>
            </w:r>
            <w:r w:rsidRPr="00F074A5">
              <w:rPr>
                <w:rFonts w:cs="Arial"/>
                <w:sz w:val="21"/>
                <w:szCs w:val="21"/>
                <w:vertAlign w:val="superscript"/>
              </w:rPr>
              <w:t>3</w:t>
            </w:r>
            <w:r w:rsidRPr="00F074A5">
              <w:rPr>
                <w:rFonts w:cs="Arial"/>
                <w:sz w:val="21"/>
                <w:szCs w:val="21"/>
              </w:rPr>
              <w:t> Trial Project Manager, Nursing Research Institute, St Vincent’s Health Australia (Sydney) and Australian Catholic University</w:t>
            </w:r>
          </w:p>
        </w:tc>
        <w:tc>
          <w:tcPr>
            <w:tcW w:w="1559" w:type="dxa"/>
            <w:tcMar>
              <w:top w:w="0" w:type="dxa"/>
              <w:left w:w="113" w:type="dxa"/>
              <w:bottom w:w="0" w:type="dxa"/>
              <w:right w:w="113" w:type="dxa"/>
            </w:tcMar>
            <w:vAlign w:val="center"/>
          </w:tcPr>
          <w:p w14:paraId="7A004904" w14:textId="77777777" w:rsidR="00B35788" w:rsidRPr="00F074A5" w:rsidRDefault="00B35788" w:rsidP="00C560D9">
            <w:pPr>
              <w:contextualSpacing/>
              <w:rPr>
                <w:rFonts w:cs="Arial"/>
                <w:sz w:val="21"/>
                <w:szCs w:val="21"/>
              </w:rPr>
            </w:pPr>
            <w:r w:rsidRPr="00F074A5">
              <w:rPr>
                <w:rFonts w:cs="Arial"/>
                <w:sz w:val="21"/>
                <w:szCs w:val="21"/>
              </w:rPr>
              <w:t>ASTN</w:t>
            </w:r>
          </w:p>
        </w:tc>
      </w:tr>
      <w:tr w:rsidR="005227C2" w:rsidRPr="006E10BB" w14:paraId="6DBAF10B" w14:textId="77777777" w:rsidTr="00392788">
        <w:trPr>
          <w:cantSplit/>
          <w:trHeight w:val="1511"/>
        </w:trPr>
        <w:tc>
          <w:tcPr>
            <w:tcW w:w="2945" w:type="dxa"/>
            <w:tcMar>
              <w:top w:w="0" w:type="dxa"/>
              <w:left w:w="113" w:type="dxa"/>
              <w:bottom w:w="0" w:type="dxa"/>
              <w:right w:w="113" w:type="dxa"/>
            </w:tcMar>
            <w:vAlign w:val="center"/>
          </w:tcPr>
          <w:p w14:paraId="676FCCDE" w14:textId="1284C1FD" w:rsidR="00B35788" w:rsidRPr="00F074A5" w:rsidRDefault="00B35788" w:rsidP="00C560D9">
            <w:pPr>
              <w:contextualSpacing/>
              <w:rPr>
                <w:rFonts w:cs="Arial"/>
                <w:b/>
                <w:sz w:val="21"/>
                <w:szCs w:val="21"/>
              </w:rPr>
            </w:pPr>
            <w:r w:rsidRPr="00F074A5">
              <w:rPr>
                <w:rFonts w:cs="Arial"/>
                <w:b/>
                <w:sz w:val="21"/>
                <w:szCs w:val="21"/>
              </w:rPr>
              <w:t>Prof</w:t>
            </w:r>
            <w:r w:rsidR="00B350A8" w:rsidRPr="00F074A5">
              <w:rPr>
                <w:rFonts w:cs="Arial"/>
                <w:b/>
                <w:sz w:val="21"/>
                <w:szCs w:val="21"/>
              </w:rPr>
              <w:t>essor</w:t>
            </w:r>
            <w:r w:rsidRPr="00F074A5">
              <w:rPr>
                <w:rFonts w:cs="Arial"/>
                <w:b/>
                <w:sz w:val="21"/>
                <w:szCs w:val="21"/>
              </w:rPr>
              <w:t xml:space="preserve"> Geoffrey Donnan</w:t>
            </w:r>
            <w:r w:rsidR="00F10E73">
              <w:rPr>
                <w:rFonts w:cs="Arial"/>
                <w:b/>
                <w:sz w:val="21"/>
                <w:szCs w:val="21"/>
              </w:rPr>
              <w:t xml:space="preserve"> AO</w:t>
            </w:r>
          </w:p>
        </w:tc>
        <w:tc>
          <w:tcPr>
            <w:tcW w:w="5387" w:type="dxa"/>
            <w:tcMar>
              <w:top w:w="0" w:type="dxa"/>
              <w:left w:w="113" w:type="dxa"/>
              <w:bottom w:w="0" w:type="dxa"/>
              <w:right w:w="113" w:type="dxa"/>
            </w:tcMar>
            <w:vAlign w:val="center"/>
          </w:tcPr>
          <w:p w14:paraId="47134C9F" w14:textId="4966981F" w:rsidR="00B35788" w:rsidRPr="00F074A5" w:rsidRDefault="00B35788" w:rsidP="00C560D9">
            <w:pPr>
              <w:contextualSpacing/>
              <w:rPr>
                <w:rFonts w:cs="Arial"/>
                <w:sz w:val="21"/>
                <w:szCs w:val="21"/>
              </w:rPr>
            </w:pPr>
            <w:r w:rsidRPr="00F074A5">
              <w:rPr>
                <w:rFonts w:cs="Arial"/>
                <w:sz w:val="21"/>
                <w:szCs w:val="21"/>
              </w:rPr>
              <w:t xml:space="preserve">Director, Florey Institute of Neuroscience </w:t>
            </w:r>
            <w:r w:rsidR="00B350A8" w:rsidRPr="00F074A5">
              <w:rPr>
                <w:rFonts w:cs="Arial"/>
                <w:sz w:val="21"/>
                <w:szCs w:val="21"/>
              </w:rPr>
              <w:t xml:space="preserve">and </w:t>
            </w:r>
            <w:r w:rsidRPr="00F074A5">
              <w:rPr>
                <w:rFonts w:cs="Arial"/>
                <w:sz w:val="21"/>
                <w:szCs w:val="21"/>
              </w:rPr>
              <w:t>Mental Health</w:t>
            </w:r>
          </w:p>
          <w:p w14:paraId="4A6F3FC9" w14:textId="77777777" w:rsidR="00B35788" w:rsidRPr="00F074A5" w:rsidRDefault="00B35788" w:rsidP="00C560D9">
            <w:pPr>
              <w:contextualSpacing/>
              <w:rPr>
                <w:rFonts w:cs="Arial"/>
                <w:sz w:val="21"/>
                <w:szCs w:val="21"/>
              </w:rPr>
            </w:pPr>
            <w:r w:rsidRPr="00F074A5">
              <w:rPr>
                <w:rFonts w:cs="Arial"/>
                <w:sz w:val="21"/>
                <w:szCs w:val="21"/>
              </w:rPr>
              <w:t>Professor of Neurology, University of Melbourne, Austin Hospital in Australia</w:t>
            </w:r>
          </w:p>
          <w:p w14:paraId="28EEDB90" w14:textId="77777777" w:rsidR="00B35788" w:rsidRPr="00F074A5" w:rsidRDefault="00B35788" w:rsidP="00C560D9">
            <w:pPr>
              <w:contextualSpacing/>
              <w:rPr>
                <w:rFonts w:cs="Arial"/>
                <w:sz w:val="21"/>
                <w:szCs w:val="21"/>
              </w:rPr>
            </w:pPr>
            <w:r w:rsidRPr="00F074A5">
              <w:rPr>
                <w:rFonts w:cs="Arial"/>
                <w:sz w:val="21"/>
                <w:szCs w:val="21"/>
              </w:rPr>
              <w:t xml:space="preserve">Co-founder of the Australian Stroke Trials Network </w:t>
            </w:r>
          </w:p>
        </w:tc>
        <w:tc>
          <w:tcPr>
            <w:tcW w:w="1559" w:type="dxa"/>
            <w:tcMar>
              <w:top w:w="0" w:type="dxa"/>
              <w:left w:w="113" w:type="dxa"/>
              <w:bottom w:w="0" w:type="dxa"/>
              <w:right w:w="113" w:type="dxa"/>
            </w:tcMar>
            <w:vAlign w:val="center"/>
          </w:tcPr>
          <w:p w14:paraId="6E69D91C" w14:textId="77777777" w:rsidR="00B35788" w:rsidRPr="00F074A5" w:rsidRDefault="00B35788" w:rsidP="00C560D9">
            <w:pPr>
              <w:contextualSpacing/>
              <w:rPr>
                <w:rFonts w:cs="Arial"/>
                <w:sz w:val="21"/>
                <w:szCs w:val="21"/>
              </w:rPr>
            </w:pPr>
            <w:r w:rsidRPr="00F074A5">
              <w:rPr>
                <w:rFonts w:cs="Arial"/>
                <w:sz w:val="21"/>
                <w:szCs w:val="21"/>
              </w:rPr>
              <w:t>ASTN</w:t>
            </w:r>
          </w:p>
        </w:tc>
      </w:tr>
      <w:tr w:rsidR="005227C2" w:rsidRPr="006E10BB" w14:paraId="4C54FA35" w14:textId="77777777" w:rsidTr="00392788">
        <w:trPr>
          <w:cantSplit/>
          <w:trHeight w:val="659"/>
        </w:trPr>
        <w:tc>
          <w:tcPr>
            <w:tcW w:w="2945" w:type="dxa"/>
            <w:tcMar>
              <w:top w:w="0" w:type="dxa"/>
              <w:left w:w="113" w:type="dxa"/>
              <w:bottom w:w="0" w:type="dxa"/>
              <w:right w:w="113" w:type="dxa"/>
            </w:tcMar>
            <w:vAlign w:val="center"/>
          </w:tcPr>
          <w:p w14:paraId="37BE2629" w14:textId="77777777" w:rsidR="00B35788" w:rsidRPr="00F074A5" w:rsidRDefault="00B35788" w:rsidP="00C560D9">
            <w:pPr>
              <w:contextualSpacing/>
              <w:rPr>
                <w:rFonts w:cs="Arial"/>
                <w:b/>
                <w:sz w:val="21"/>
                <w:szCs w:val="21"/>
              </w:rPr>
            </w:pPr>
            <w:r w:rsidRPr="00F074A5">
              <w:rPr>
                <w:rFonts w:cs="Arial"/>
                <w:b/>
                <w:sz w:val="21"/>
                <w:szCs w:val="21"/>
              </w:rPr>
              <w:t>Ms Fiona Ellery</w:t>
            </w:r>
          </w:p>
        </w:tc>
        <w:tc>
          <w:tcPr>
            <w:tcW w:w="5387" w:type="dxa"/>
            <w:tcMar>
              <w:top w:w="0" w:type="dxa"/>
              <w:left w:w="113" w:type="dxa"/>
              <w:bottom w:w="0" w:type="dxa"/>
              <w:right w:w="113" w:type="dxa"/>
            </w:tcMar>
            <w:vAlign w:val="center"/>
          </w:tcPr>
          <w:p w14:paraId="14CAD3C8" w14:textId="77777777" w:rsidR="00B35788" w:rsidRPr="00F074A5" w:rsidRDefault="00B35788" w:rsidP="00C560D9">
            <w:pPr>
              <w:contextualSpacing/>
              <w:rPr>
                <w:rFonts w:cs="Arial"/>
                <w:sz w:val="21"/>
                <w:szCs w:val="21"/>
              </w:rPr>
            </w:pPr>
            <w:r w:rsidRPr="00F074A5">
              <w:rPr>
                <w:rFonts w:cs="Arial"/>
                <w:sz w:val="21"/>
                <w:szCs w:val="21"/>
              </w:rPr>
              <w:t>Australian Stroke Trials Network Secretary</w:t>
            </w:r>
          </w:p>
        </w:tc>
        <w:tc>
          <w:tcPr>
            <w:tcW w:w="1559" w:type="dxa"/>
            <w:tcMar>
              <w:top w:w="0" w:type="dxa"/>
              <w:left w:w="113" w:type="dxa"/>
              <w:bottom w:w="0" w:type="dxa"/>
              <w:right w:w="113" w:type="dxa"/>
            </w:tcMar>
            <w:vAlign w:val="center"/>
          </w:tcPr>
          <w:p w14:paraId="442B4DD0" w14:textId="77777777" w:rsidR="00B35788" w:rsidRPr="00F074A5" w:rsidRDefault="00B35788" w:rsidP="00C560D9">
            <w:pPr>
              <w:contextualSpacing/>
              <w:rPr>
                <w:rFonts w:cs="Arial"/>
                <w:sz w:val="21"/>
                <w:szCs w:val="21"/>
              </w:rPr>
            </w:pPr>
            <w:r w:rsidRPr="00F074A5">
              <w:rPr>
                <w:rFonts w:cs="Arial"/>
                <w:sz w:val="21"/>
                <w:szCs w:val="21"/>
              </w:rPr>
              <w:t>ASTN</w:t>
            </w:r>
          </w:p>
        </w:tc>
      </w:tr>
      <w:tr w:rsidR="005227C2" w:rsidRPr="006E10BB" w14:paraId="594734FE" w14:textId="77777777" w:rsidTr="00392788">
        <w:trPr>
          <w:cantSplit/>
          <w:trHeight w:val="1008"/>
        </w:trPr>
        <w:tc>
          <w:tcPr>
            <w:tcW w:w="2945" w:type="dxa"/>
            <w:tcMar>
              <w:top w:w="0" w:type="dxa"/>
              <w:left w:w="113" w:type="dxa"/>
              <w:bottom w:w="0" w:type="dxa"/>
              <w:right w:w="113" w:type="dxa"/>
            </w:tcMar>
            <w:vAlign w:val="center"/>
          </w:tcPr>
          <w:p w14:paraId="730F8E54" w14:textId="470CA562" w:rsidR="00B35788" w:rsidRPr="00F074A5" w:rsidRDefault="00B35788" w:rsidP="00C560D9">
            <w:pPr>
              <w:contextualSpacing/>
              <w:rPr>
                <w:rFonts w:cs="Arial"/>
                <w:b/>
                <w:sz w:val="21"/>
                <w:szCs w:val="21"/>
              </w:rPr>
            </w:pPr>
            <w:r w:rsidRPr="00F074A5">
              <w:rPr>
                <w:rFonts w:cs="Arial"/>
                <w:b/>
                <w:sz w:val="21"/>
                <w:szCs w:val="21"/>
              </w:rPr>
              <w:t>A/Prof</w:t>
            </w:r>
            <w:r w:rsidR="00B350A8" w:rsidRPr="00F074A5">
              <w:rPr>
                <w:rFonts w:cs="Arial"/>
                <w:b/>
                <w:sz w:val="21"/>
                <w:szCs w:val="21"/>
              </w:rPr>
              <w:t>essor</w:t>
            </w:r>
            <w:r w:rsidRPr="00F074A5">
              <w:rPr>
                <w:rFonts w:cs="Arial"/>
                <w:b/>
                <w:sz w:val="21"/>
                <w:szCs w:val="21"/>
              </w:rPr>
              <w:t xml:space="preserve"> Andrew Lee</w:t>
            </w:r>
          </w:p>
        </w:tc>
        <w:tc>
          <w:tcPr>
            <w:tcW w:w="5387" w:type="dxa"/>
            <w:tcMar>
              <w:top w:w="0" w:type="dxa"/>
              <w:left w:w="113" w:type="dxa"/>
              <w:bottom w:w="0" w:type="dxa"/>
              <w:right w:w="113" w:type="dxa"/>
            </w:tcMar>
            <w:vAlign w:val="center"/>
          </w:tcPr>
          <w:p w14:paraId="36D42CDE" w14:textId="77777777" w:rsidR="00B35788" w:rsidRPr="00F074A5" w:rsidRDefault="00B35788" w:rsidP="00C560D9">
            <w:pPr>
              <w:contextualSpacing/>
              <w:rPr>
                <w:rFonts w:cs="Arial"/>
                <w:sz w:val="21"/>
                <w:szCs w:val="21"/>
                <w:lang w:val="en-AU"/>
              </w:rPr>
            </w:pPr>
            <w:r w:rsidRPr="00F074A5">
              <w:rPr>
                <w:rFonts w:cs="Arial"/>
                <w:sz w:val="21"/>
                <w:szCs w:val="21"/>
                <w:lang w:val="en-AU"/>
              </w:rPr>
              <w:t>Associate Professor of Neurology, Flinders University School of Medicine</w:t>
            </w:r>
          </w:p>
        </w:tc>
        <w:tc>
          <w:tcPr>
            <w:tcW w:w="1559" w:type="dxa"/>
            <w:tcMar>
              <w:top w:w="0" w:type="dxa"/>
              <w:left w:w="113" w:type="dxa"/>
              <w:bottom w:w="0" w:type="dxa"/>
              <w:right w:w="113" w:type="dxa"/>
            </w:tcMar>
            <w:vAlign w:val="center"/>
          </w:tcPr>
          <w:p w14:paraId="04CA2056" w14:textId="77777777" w:rsidR="00B35788" w:rsidRPr="00F074A5" w:rsidRDefault="00B35788" w:rsidP="00C560D9">
            <w:pPr>
              <w:contextualSpacing/>
              <w:rPr>
                <w:rFonts w:cs="Arial"/>
                <w:sz w:val="21"/>
                <w:szCs w:val="21"/>
              </w:rPr>
            </w:pPr>
            <w:r w:rsidRPr="00F074A5">
              <w:rPr>
                <w:rFonts w:cs="Arial"/>
                <w:sz w:val="21"/>
                <w:szCs w:val="21"/>
              </w:rPr>
              <w:t>ASTN</w:t>
            </w:r>
          </w:p>
        </w:tc>
      </w:tr>
      <w:tr w:rsidR="005227C2" w:rsidRPr="006E10BB" w14:paraId="0508A96F" w14:textId="77777777" w:rsidTr="00392788">
        <w:trPr>
          <w:cantSplit/>
          <w:trHeight w:val="1009"/>
        </w:trPr>
        <w:tc>
          <w:tcPr>
            <w:tcW w:w="2945" w:type="dxa"/>
            <w:tcMar>
              <w:top w:w="0" w:type="dxa"/>
              <w:left w:w="113" w:type="dxa"/>
              <w:bottom w:w="0" w:type="dxa"/>
              <w:right w:w="113" w:type="dxa"/>
            </w:tcMar>
            <w:vAlign w:val="center"/>
          </w:tcPr>
          <w:p w14:paraId="1BC8E57E" w14:textId="21E1A841" w:rsidR="00B35788" w:rsidRPr="00F074A5" w:rsidRDefault="00B35788" w:rsidP="00C560D9">
            <w:pPr>
              <w:contextualSpacing/>
              <w:rPr>
                <w:rFonts w:cs="Arial"/>
                <w:b/>
                <w:sz w:val="21"/>
                <w:szCs w:val="21"/>
              </w:rPr>
            </w:pPr>
            <w:r w:rsidRPr="00F074A5">
              <w:rPr>
                <w:rFonts w:cs="Arial"/>
                <w:b/>
                <w:sz w:val="21"/>
                <w:szCs w:val="21"/>
              </w:rPr>
              <w:t>Prof</w:t>
            </w:r>
            <w:r w:rsidR="00B350A8" w:rsidRPr="00F074A5">
              <w:rPr>
                <w:rFonts w:cs="Arial"/>
                <w:b/>
                <w:sz w:val="21"/>
                <w:szCs w:val="21"/>
              </w:rPr>
              <w:t>essor</w:t>
            </w:r>
            <w:r w:rsidRPr="00F074A5">
              <w:rPr>
                <w:rFonts w:cs="Arial"/>
                <w:b/>
                <w:sz w:val="21"/>
                <w:szCs w:val="21"/>
              </w:rPr>
              <w:t xml:space="preserve"> Sandy Middleton</w:t>
            </w:r>
          </w:p>
        </w:tc>
        <w:tc>
          <w:tcPr>
            <w:tcW w:w="5387" w:type="dxa"/>
            <w:tcMar>
              <w:top w:w="0" w:type="dxa"/>
              <w:left w:w="113" w:type="dxa"/>
              <w:bottom w:w="0" w:type="dxa"/>
              <w:right w:w="113" w:type="dxa"/>
            </w:tcMar>
            <w:vAlign w:val="center"/>
          </w:tcPr>
          <w:p w14:paraId="0518D7DC" w14:textId="790FF93A" w:rsidR="00B35788" w:rsidRPr="00F074A5" w:rsidRDefault="00B35788" w:rsidP="00B350A8">
            <w:pPr>
              <w:contextualSpacing/>
              <w:rPr>
                <w:rFonts w:cs="Arial"/>
                <w:sz w:val="21"/>
                <w:szCs w:val="21"/>
              </w:rPr>
            </w:pPr>
            <w:r w:rsidRPr="00F074A5">
              <w:rPr>
                <w:rFonts w:cs="Arial"/>
                <w:sz w:val="21"/>
                <w:szCs w:val="21"/>
              </w:rPr>
              <w:t xml:space="preserve">Director, Nursing Research Institute, St Vincent’s Health Australia (Sydney) </w:t>
            </w:r>
            <w:r w:rsidR="00B350A8" w:rsidRPr="00F074A5">
              <w:rPr>
                <w:rFonts w:cs="Arial"/>
                <w:sz w:val="21"/>
                <w:szCs w:val="21"/>
              </w:rPr>
              <w:t xml:space="preserve">and </w:t>
            </w:r>
            <w:r w:rsidRPr="00F074A5">
              <w:rPr>
                <w:rFonts w:cs="Arial"/>
                <w:sz w:val="21"/>
                <w:szCs w:val="21"/>
              </w:rPr>
              <w:t>Australian Catholic University</w:t>
            </w:r>
          </w:p>
        </w:tc>
        <w:tc>
          <w:tcPr>
            <w:tcW w:w="1559" w:type="dxa"/>
            <w:tcMar>
              <w:top w:w="0" w:type="dxa"/>
              <w:left w:w="113" w:type="dxa"/>
              <w:bottom w:w="0" w:type="dxa"/>
              <w:right w:w="113" w:type="dxa"/>
            </w:tcMar>
            <w:vAlign w:val="center"/>
          </w:tcPr>
          <w:p w14:paraId="251DD888" w14:textId="77777777" w:rsidR="00B35788" w:rsidRPr="00F074A5" w:rsidRDefault="00B35788" w:rsidP="00C560D9">
            <w:pPr>
              <w:contextualSpacing/>
              <w:rPr>
                <w:rFonts w:cs="Arial"/>
                <w:sz w:val="21"/>
                <w:szCs w:val="21"/>
              </w:rPr>
            </w:pPr>
            <w:r w:rsidRPr="00F074A5">
              <w:rPr>
                <w:rFonts w:cs="Arial"/>
                <w:sz w:val="21"/>
                <w:szCs w:val="21"/>
              </w:rPr>
              <w:t>ASTN</w:t>
            </w:r>
          </w:p>
        </w:tc>
      </w:tr>
      <w:tr w:rsidR="005227C2" w:rsidRPr="006E10BB" w14:paraId="3189ED96" w14:textId="77777777" w:rsidTr="00392788">
        <w:trPr>
          <w:cantSplit/>
          <w:trHeight w:val="1526"/>
        </w:trPr>
        <w:tc>
          <w:tcPr>
            <w:tcW w:w="2945" w:type="dxa"/>
            <w:tcMar>
              <w:top w:w="0" w:type="dxa"/>
              <w:left w:w="113" w:type="dxa"/>
              <w:bottom w:w="0" w:type="dxa"/>
              <w:right w:w="113" w:type="dxa"/>
            </w:tcMar>
            <w:vAlign w:val="center"/>
          </w:tcPr>
          <w:p w14:paraId="3858BA80" w14:textId="77777777" w:rsidR="00B35788" w:rsidRPr="00F074A5" w:rsidRDefault="00B35788" w:rsidP="00C560D9">
            <w:pPr>
              <w:contextualSpacing/>
              <w:rPr>
                <w:rFonts w:cs="Arial"/>
                <w:b/>
                <w:sz w:val="21"/>
                <w:szCs w:val="21"/>
              </w:rPr>
            </w:pPr>
            <w:r w:rsidRPr="00F074A5">
              <w:rPr>
                <w:rFonts w:cs="Arial"/>
                <w:b/>
                <w:sz w:val="21"/>
                <w:szCs w:val="21"/>
              </w:rPr>
              <w:t>Dr Peter Anderson</w:t>
            </w:r>
          </w:p>
        </w:tc>
        <w:tc>
          <w:tcPr>
            <w:tcW w:w="5387" w:type="dxa"/>
            <w:tcMar>
              <w:top w:w="0" w:type="dxa"/>
              <w:left w:w="113" w:type="dxa"/>
              <w:bottom w:w="0" w:type="dxa"/>
              <w:right w:w="113" w:type="dxa"/>
            </w:tcMar>
            <w:vAlign w:val="center"/>
          </w:tcPr>
          <w:p w14:paraId="3EF79CAA" w14:textId="77777777" w:rsidR="00B35788" w:rsidRPr="00F074A5" w:rsidRDefault="00B35788" w:rsidP="00C560D9">
            <w:pPr>
              <w:contextualSpacing/>
              <w:rPr>
                <w:rFonts w:cs="Arial"/>
                <w:sz w:val="21"/>
                <w:szCs w:val="21"/>
              </w:rPr>
            </w:pPr>
            <w:r w:rsidRPr="00F074A5">
              <w:rPr>
                <w:rFonts w:cs="Arial"/>
                <w:sz w:val="21"/>
                <w:szCs w:val="21"/>
              </w:rPr>
              <w:t>Principal Research Fellow, Victorian Infant Brain Study, Clinical Sciences, Murdoch Children’s Research Institute</w:t>
            </w:r>
          </w:p>
          <w:p w14:paraId="3C41E945" w14:textId="77777777" w:rsidR="00B35788" w:rsidRPr="00F074A5" w:rsidRDefault="00B35788" w:rsidP="00C560D9">
            <w:pPr>
              <w:contextualSpacing/>
              <w:rPr>
                <w:rFonts w:cs="Arial"/>
                <w:sz w:val="21"/>
                <w:szCs w:val="21"/>
              </w:rPr>
            </w:pPr>
            <w:r w:rsidRPr="00F074A5">
              <w:rPr>
                <w:rFonts w:cs="Arial"/>
                <w:sz w:val="21"/>
                <w:szCs w:val="21"/>
              </w:rPr>
              <w:t>Professorial Fellow, Department of Paediatrics, The University of Melbourne</w:t>
            </w:r>
          </w:p>
        </w:tc>
        <w:tc>
          <w:tcPr>
            <w:tcW w:w="1559" w:type="dxa"/>
            <w:tcMar>
              <w:top w:w="0" w:type="dxa"/>
              <w:left w:w="113" w:type="dxa"/>
              <w:bottom w:w="0" w:type="dxa"/>
              <w:right w:w="113" w:type="dxa"/>
            </w:tcMar>
            <w:vAlign w:val="center"/>
          </w:tcPr>
          <w:p w14:paraId="479EC8CB" w14:textId="77777777" w:rsidR="00B35788" w:rsidRPr="00F074A5" w:rsidRDefault="00B35788" w:rsidP="00C560D9">
            <w:pPr>
              <w:contextualSpacing/>
              <w:rPr>
                <w:rFonts w:cs="Arial"/>
                <w:sz w:val="21"/>
                <w:szCs w:val="21"/>
              </w:rPr>
            </w:pPr>
            <w:r w:rsidRPr="00F074A5">
              <w:rPr>
                <w:rFonts w:cs="Arial"/>
                <w:sz w:val="21"/>
                <w:szCs w:val="21"/>
              </w:rPr>
              <w:t>IMPACT</w:t>
            </w:r>
          </w:p>
        </w:tc>
      </w:tr>
      <w:tr w:rsidR="005227C2" w:rsidRPr="006E10BB" w14:paraId="1E46A029" w14:textId="77777777" w:rsidTr="00392788">
        <w:trPr>
          <w:cantSplit/>
          <w:trHeight w:val="1385"/>
        </w:trPr>
        <w:tc>
          <w:tcPr>
            <w:tcW w:w="2945" w:type="dxa"/>
            <w:tcMar>
              <w:top w:w="0" w:type="dxa"/>
              <w:left w:w="113" w:type="dxa"/>
              <w:bottom w:w="0" w:type="dxa"/>
              <w:right w:w="113" w:type="dxa"/>
            </w:tcMar>
            <w:vAlign w:val="center"/>
          </w:tcPr>
          <w:p w14:paraId="136C652B" w14:textId="55C6AC50" w:rsidR="00B35788" w:rsidRPr="00F074A5" w:rsidRDefault="00B35788" w:rsidP="00C560D9">
            <w:pPr>
              <w:contextualSpacing/>
              <w:rPr>
                <w:rFonts w:cs="Arial"/>
                <w:b/>
                <w:sz w:val="21"/>
                <w:szCs w:val="21"/>
              </w:rPr>
            </w:pPr>
            <w:r w:rsidRPr="00F074A5">
              <w:rPr>
                <w:rFonts w:cs="Arial"/>
                <w:b/>
                <w:sz w:val="21"/>
                <w:szCs w:val="21"/>
              </w:rPr>
              <w:t>Prof</w:t>
            </w:r>
            <w:r w:rsidR="00B350A8" w:rsidRPr="00F074A5">
              <w:rPr>
                <w:rFonts w:cs="Arial"/>
                <w:b/>
                <w:sz w:val="21"/>
                <w:szCs w:val="21"/>
              </w:rPr>
              <w:t>essor</w:t>
            </w:r>
            <w:r w:rsidRPr="00F074A5">
              <w:rPr>
                <w:rFonts w:cs="Arial"/>
                <w:b/>
                <w:sz w:val="21"/>
                <w:szCs w:val="21"/>
              </w:rPr>
              <w:t xml:space="preserve"> Caroline Crowther</w:t>
            </w:r>
          </w:p>
        </w:tc>
        <w:tc>
          <w:tcPr>
            <w:tcW w:w="5387" w:type="dxa"/>
            <w:tcMar>
              <w:top w:w="0" w:type="dxa"/>
              <w:left w:w="113" w:type="dxa"/>
              <w:bottom w:w="0" w:type="dxa"/>
              <w:right w:w="113" w:type="dxa"/>
            </w:tcMar>
            <w:vAlign w:val="center"/>
          </w:tcPr>
          <w:p w14:paraId="4071D5A6" w14:textId="76EE0CD5" w:rsidR="00B35788" w:rsidRPr="00F074A5" w:rsidRDefault="00B35788" w:rsidP="00B350A8">
            <w:pPr>
              <w:contextualSpacing/>
              <w:rPr>
                <w:rFonts w:cs="Arial"/>
                <w:sz w:val="21"/>
                <w:szCs w:val="21"/>
              </w:rPr>
            </w:pPr>
            <w:r w:rsidRPr="00F074A5">
              <w:rPr>
                <w:rFonts w:cs="Arial"/>
                <w:sz w:val="21"/>
                <w:szCs w:val="21"/>
              </w:rPr>
              <w:t xml:space="preserve">Maternal Fetal Medicine Subspecialist, Professor of Maternal </w:t>
            </w:r>
            <w:r w:rsidR="00B350A8" w:rsidRPr="00F074A5">
              <w:rPr>
                <w:rFonts w:cs="Arial"/>
                <w:sz w:val="21"/>
                <w:szCs w:val="21"/>
              </w:rPr>
              <w:t xml:space="preserve">and </w:t>
            </w:r>
            <w:r w:rsidRPr="00F074A5">
              <w:rPr>
                <w:rFonts w:cs="Arial"/>
                <w:sz w:val="21"/>
                <w:szCs w:val="21"/>
              </w:rPr>
              <w:t xml:space="preserve">Perinatal Health, The Liggins Institute, University of Auckland </w:t>
            </w:r>
            <w:r w:rsidR="00B350A8" w:rsidRPr="00F074A5">
              <w:rPr>
                <w:rFonts w:cs="Arial"/>
                <w:sz w:val="21"/>
                <w:szCs w:val="21"/>
              </w:rPr>
              <w:t xml:space="preserve">and the </w:t>
            </w:r>
            <w:r w:rsidRPr="00F074A5">
              <w:rPr>
                <w:rFonts w:cs="Arial"/>
                <w:sz w:val="21"/>
                <w:szCs w:val="21"/>
              </w:rPr>
              <w:t>University of Adelaide</w:t>
            </w:r>
          </w:p>
        </w:tc>
        <w:tc>
          <w:tcPr>
            <w:tcW w:w="1559" w:type="dxa"/>
            <w:tcMar>
              <w:top w:w="0" w:type="dxa"/>
              <w:left w:w="113" w:type="dxa"/>
              <w:bottom w:w="0" w:type="dxa"/>
              <w:right w:w="113" w:type="dxa"/>
            </w:tcMar>
            <w:vAlign w:val="center"/>
          </w:tcPr>
          <w:p w14:paraId="6A1E0F87" w14:textId="77777777" w:rsidR="00B35788" w:rsidRPr="00F074A5" w:rsidRDefault="00B35788" w:rsidP="00C560D9">
            <w:pPr>
              <w:contextualSpacing/>
              <w:rPr>
                <w:rFonts w:cs="Arial"/>
                <w:sz w:val="21"/>
                <w:szCs w:val="21"/>
              </w:rPr>
            </w:pPr>
            <w:r w:rsidRPr="00F074A5">
              <w:rPr>
                <w:rFonts w:cs="Arial"/>
                <w:sz w:val="21"/>
                <w:szCs w:val="21"/>
              </w:rPr>
              <w:t>IMPACT</w:t>
            </w:r>
          </w:p>
        </w:tc>
      </w:tr>
      <w:tr w:rsidR="005227C2" w:rsidRPr="006E10BB" w14:paraId="3965BFC3" w14:textId="77777777" w:rsidTr="00392788">
        <w:trPr>
          <w:cantSplit/>
          <w:trHeight w:val="869"/>
        </w:trPr>
        <w:tc>
          <w:tcPr>
            <w:tcW w:w="2945" w:type="dxa"/>
            <w:tcMar>
              <w:top w:w="0" w:type="dxa"/>
              <w:left w:w="113" w:type="dxa"/>
              <w:bottom w:w="0" w:type="dxa"/>
              <w:right w:w="113" w:type="dxa"/>
            </w:tcMar>
            <w:vAlign w:val="center"/>
          </w:tcPr>
          <w:p w14:paraId="167B10E0" w14:textId="5C3975F5" w:rsidR="00B35788" w:rsidRPr="00F074A5" w:rsidRDefault="00B35788" w:rsidP="00C560D9">
            <w:pPr>
              <w:contextualSpacing/>
              <w:rPr>
                <w:rFonts w:cs="Arial"/>
                <w:b/>
                <w:sz w:val="21"/>
                <w:szCs w:val="21"/>
              </w:rPr>
            </w:pPr>
            <w:r w:rsidRPr="00F074A5">
              <w:rPr>
                <w:rFonts w:cs="Arial"/>
                <w:b/>
                <w:sz w:val="21"/>
                <w:szCs w:val="21"/>
              </w:rPr>
              <w:lastRenderedPageBreak/>
              <w:t>Prof</w:t>
            </w:r>
            <w:r w:rsidR="00B350A8" w:rsidRPr="00F074A5">
              <w:rPr>
                <w:rFonts w:cs="Arial"/>
                <w:b/>
                <w:sz w:val="21"/>
                <w:szCs w:val="21"/>
              </w:rPr>
              <w:t>essor</w:t>
            </w:r>
            <w:r w:rsidRPr="00F074A5">
              <w:rPr>
                <w:rFonts w:cs="Arial"/>
                <w:b/>
                <w:sz w:val="21"/>
                <w:szCs w:val="21"/>
              </w:rPr>
              <w:t xml:space="preserve"> Lex Doyle</w:t>
            </w:r>
          </w:p>
        </w:tc>
        <w:tc>
          <w:tcPr>
            <w:tcW w:w="5387" w:type="dxa"/>
            <w:tcMar>
              <w:top w:w="0" w:type="dxa"/>
              <w:left w:w="113" w:type="dxa"/>
              <w:bottom w:w="0" w:type="dxa"/>
              <w:right w:w="113" w:type="dxa"/>
            </w:tcMar>
            <w:vAlign w:val="center"/>
          </w:tcPr>
          <w:p w14:paraId="0A431BE6" w14:textId="404F1FDC" w:rsidR="00B35788" w:rsidRPr="00F074A5" w:rsidRDefault="00B35788" w:rsidP="00B350A8">
            <w:pPr>
              <w:contextualSpacing/>
              <w:rPr>
                <w:rFonts w:cs="Arial"/>
                <w:sz w:val="21"/>
                <w:szCs w:val="21"/>
              </w:rPr>
            </w:pPr>
            <w:r w:rsidRPr="00F074A5">
              <w:rPr>
                <w:rFonts w:cs="Arial"/>
                <w:sz w:val="21"/>
                <w:szCs w:val="21"/>
              </w:rPr>
              <w:t xml:space="preserve">Professor of Neonatal Paediatrics, Department of Obstetrics </w:t>
            </w:r>
            <w:r w:rsidR="00B350A8" w:rsidRPr="00F074A5">
              <w:rPr>
                <w:rFonts w:cs="Arial"/>
                <w:sz w:val="21"/>
                <w:szCs w:val="21"/>
              </w:rPr>
              <w:t xml:space="preserve">and </w:t>
            </w:r>
            <w:r w:rsidRPr="00F074A5">
              <w:rPr>
                <w:rFonts w:cs="Arial"/>
                <w:sz w:val="21"/>
                <w:szCs w:val="21"/>
              </w:rPr>
              <w:t>Gynaecology, The Royal Women’s Hospital</w:t>
            </w:r>
          </w:p>
        </w:tc>
        <w:tc>
          <w:tcPr>
            <w:tcW w:w="1559" w:type="dxa"/>
            <w:tcMar>
              <w:top w:w="0" w:type="dxa"/>
              <w:left w:w="113" w:type="dxa"/>
              <w:bottom w:w="0" w:type="dxa"/>
              <w:right w:w="113" w:type="dxa"/>
            </w:tcMar>
            <w:vAlign w:val="center"/>
          </w:tcPr>
          <w:p w14:paraId="4B91F4B6" w14:textId="77777777" w:rsidR="00B35788" w:rsidRPr="00F074A5" w:rsidRDefault="00B35788" w:rsidP="00C560D9">
            <w:pPr>
              <w:contextualSpacing/>
              <w:rPr>
                <w:rFonts w:cs="Arial"/>
                <w:sz w:val="21"/>
                <w:szCs w:val="21"/>
              </w:rPr>
            </w:pPr>
            <w:r w:rsidRPr="00F074A5">
              <w:rPr>
                <w:rFonts w:cs="Arial"/>
                <w:sz w:val="21"/>
                <w:szCs w:val="21"/>
              </w:rPr>
              <w:t>IMPACT</w:t>
            </w:r>
          </w:p>
        </w:tc>
      </w:tr>
      <w:tr w:rsidR="005227C2" w:rsidRPr="006E10BB" w14:paraId="4BA1A80F" w14:textId="77777777" w:rsidTr="00392788">
        <w:trPr>
          <w:cantSplit/>
          <w:trHeight w:val="1555"/>
        </w:trPr>
        <w:tc>
          <w:tcPr>
            <w:tcW w:w="2945" w:type="dxa"/>
            <w:tcMar>
              <w:top w:w="0" w:type="dxa"/>
              <w:left w:w="113" w:type="dxa"/>
              <w:bottom w:w="0" w:type="dxa"/>
              <w:right w:w="113" w:type="dxa"/>
            </w:tcMar>
            <w:vAlign w:val="center"/>
          </w:tcPr>
          <w:p w14:paraId="0F7A66EC" w14:textId="5BCF7022" w:rsidR="00B35788" w:rsidRPr="00F074A5" w:rsidRDefault="00B35788" w:rsidP="00C560D9">
            <w:pPr>
              <w:contextualSpacing/>
              <w:rPr>
                <w:rFonts w:cs="Arial"/>
                <w:b/>
                <w:sz w:val="21"/>
                <w:szCs w:val="21"/>
              </w:rPr>
            </w:pPr>
            <w:r w:rsidRPr="00F074A5">
              <w:rPr>
                <w:rFonts w:cs="Arial"/>
                <w:b/>
                <w:sz w:val="21"/>
                <w:szCs w:val="21"/>
              </w:rPr>
              <w:t>Prof</w:t>
            </w:r>
            <w:r w:rsidR="00B350A8" w:rsidRPr="00F074A5">
              <w:rPr>
                <w:rFonts w:cs="Arial"/>
                <w:b/>
                <w:sz w:val="21"/>
                <w:szCs w:val="21"/>
              </w:rPr>
              <w:t>essor</w:t>
            </w:r>
            <w:r w:rsidRPr="00F074A5">
              <w:rPr>
                <w:rFonts w:cs="Arial"/>
                <w:b/>
                <w:sz w:val="21"/>
                <w:szCs w:val="21"/>
              </w:rPr>
              <w:t xml:space="preserve"> Vicki Flenady</w:t>
            </w:r>
          </w:p>
        </w:tc>
        <w:tc>
          <w:tcPr>
            <w:tcW w:w="5387" w:type="dxa"/>
            <w:tcMar>
              <w:top w:w="0" w:type="dxa"/>
              <w:left w:w="113" w:type="dxa"/>
              <w:bottom w:w="0" w:type="dxa"/>
              <w:right w:w="113" w:type="dxa"/>
            </w:tcMar>
            <w:vAlign w:val="center"/>
          </w:tcPr>
          <w:p w14:paraId="65CB1F5C" w14:textId="776B4DC5" w:rsidR="00B35788" w:rsidRPr="00F074A5" w:rsidRDefault="005227C2" w:rsidP="00C560D9">
            <w:pPr>
              <w:contextualSpacing/>
              <w:rPr>
                <w:rFonts w:cs="Arial"/>
                <w:sz w:val="21"/>
                <w:szCs w:val="21"/>
              </w:rPr>
            </w:pPr>
            <w:r>
              <w:rPr>
                <w:rFonts w:cs="Arial"/>
                <w:bCs/>
                <w:sz w:val="21"/>
                <w:szCs w:val="21"/>
              </w:rPr>
              <w:t xml:space="preserve">Mater Research Institute, </w:t>
            </w:r>
            <w:r w:rsidR="00B35788" w:rsidRPr="00F074A5">
              <w:rPr>
                <w:rFonts w:cs="Arial"/>
                <w:bCs/>
                <w:sz w:val="21"/>
                <w:szCs w:val="21"/>
              </w:rPr>
              <w:t>University of Queensland</w:t>
            </w:r>
          </w:p>
          <w:p w14:paraId="3C7EEC08" w14:textId="77777777" w:rsidR="00B35788" w:rsidRPr="00F074A5" w:rsidRDefault="00B35788" w:rsidP="00C560D9">
            <w:pPr>
              <w:contextualSpacing/>
              <w:rPr>
                <w:rFonts w:cs="Arial"/>
                <w:sz w:val="21"/>
                <w:szCs w:val="21"/>
              </w:rPr>
            </w:pPr>
            <w:r w:rsidRPr="00F074A5">
              <w:rPr>
                <w:rFonts w:cs="Arial"/>
                <w:bCs/>
                <w:sz w:val="21"/>
                <w:szCs w:val="21"/>
              </w:rPr>
              <w:t xml:space="preserve">Chair, Interdisciplinary Maternal Perinatal Australasian Collaborative Trials (IMPACT) Network, Perinatal Society of Australia and New Zealand </w:t>
            </w:r>
          </w:p>
        </w:tc>
        <w:tc>
          <w:tcPr>
            <w:tcW w:w="1559" w:type="dxa"/>
            <w:tcMar>
              <w:top w:w="0" w:type="dxa"/>
              <w:left w:w="113" w:type="dxa"/>
              <w:bottom w:w="0" w:type="dxa"/>
              <w:right w:w="113" w:type="dxa"/>
            </w:tcMar>
            <w:vAlign w:val="center"/>
          </w:tcPr>
          <w:p w14:paraId="6C31C00D" w14:textId="77777777" w:rsidR="00B35788" w:rsidRPr="00F074A5" w:rsidRDefault="00B35788" w:rsidP="00C560D9">
            <w:pPr>
              <w:contextualSpacing/>
              <w:rPr>
                <w:rFonts w:cs="Arial"/>
                <w:sz w:val="21"/>
                <w:szCs w:val="21"/>
              </w:rPr>
            </w:pPr>
            <w:r w:rsidRPr="00F074A5">
              <w:rPr>
                <w:rFonts w:cs="Arial"/>
                <w:sz w:val="21"/>
                <w:szCs w:val="21"/>
              </w:rPr>
              <w:t>IMPACT</w:t>
            </w:r>
          </w:p>
        </w:tc>
      </w:tr>
      <w:tr w:rsidR="005227C2" w:rsidRPr="006E10BB" w14:paraId="3FF36116" w14:textId="77777777" w:rsidTr="00392788">
        <w:trPr>
          <w:cantSplit/>
          <w:trHeight w:val="1092"/>
        </w:trPr>
        <w:tc>
          <w:tcPr>
            <w:tcW w:w="2945" w:type="dxa"/>
            <w:tcMar>
              <w:top w:w="0" w:type="dxa"/>
              <w:left w:w="113" w:type="dxa"/>
              <w:bottom w:w="0" w:type="dxa"/>
              <w:right w:w="113" w:type="dxa"/>
            </w:tcMar>
            <w:vAlign w:val="center"/>
          </w:tcPr>
          <w:p w14:paraId="13B932AD" w14:textId="7729FA09" w:rsidR="00B35788" w:rsidRPr="00F074A5" w:rsidRDefault="00B35788" w:rsidP="00C560D9">
            <w:pPr>
              <w:contextualSpacing/>
              <w:rPr>
                <w:rFonts w:cs="Arial"/>
                <w:b/>
                <w:sz w:val="21"/>
                <w:szCs w:val="21"/>
              </w:rPr>
            </w:pPr>
            <w:r w:rsidRPr="00F074A5">
              <w:rPr>
                <w:rFonts w:cs="Arial"/>
                <w:b/>
                <w:sz w:val="21"/>
                <w:szCs w:val="21"/>
              </w:rPr>
              <w:t>Prof</w:t>
            </w:r>
            <w:r w:rsidR="004A5B34" w:rsidRPr="00F074A5">
              <w:rPr>
                <w:rFonts w:cs="Arial"/>
                <w:b/>
                <w:sz w:val="21"/>
                <w:szCs w:val="21"/>
              </w:rPr>
              <w:t>essor</w:t>
            </w:r>
            <w:r w:rsidRPr="00F074A5">
              <w:rPr>
                <w:rFonts w:cs="Arial"/>
                <w:b/>
                <w:sz w:val="21"/>
                <w:szCs w:val="21"/>
              </w:rPr>
              <w:t xml:space="preserve"> Peter Gibson</w:t>
            </w:r>
          </w:p>
        </w:tc>
        <w:tc>
          <w:tcPr>
            <w:tcW w:w="5387" w:type="dxa"/>
            <w:tcMar>
              <w:top w:w="0" w:type="dxa"/>
              <w:left w:w="113" w:type="dxa"/>
              <w:bottom w:w="0" w:type="dxa"/>
              <w:right w:w="113" w:type="dxa"/>
            </w:tcMar>
            <w:vAlign w:val="center"/>
          </w:tcPr>
          <w:p w14:paraId="42D9C78D" w14:textId="77777777" w:rsidR="00B35788" w:rsidRPr="00F074A5" w:rsidRDefault="00B35788" w:rsidP="00C560D9">
            <w:pPr>
              <w:contextualSpacing/>
              <w:rPr>
                <w:rFonts w:cs="Arial"/>
                <w:bCs/>
                <w:sz w:val="21"/>
                <w:szCs w:val="21"/>
              </w:rPr>
            </w:pPr>
            <w:r w:rsidRPr="00F074A5">
              <w:rPr>
                <w:rFonts w:cs="Arial"/>
                <w:bCs/>
                <w:sz w:val="21"/>
                <w:szCs w:val="21"/>
              </w:rPr>
              <w:t>Conjoint Professor, Centre for Asthma and Respiratory Diseases, University of Newcastle</w:t>
            </w:r>
          </w:p>
        </w:tc>
        <w:tc>
          <w:tcPr>
            <w:tcW w:w="1559" w:type="dxa"/>
            <w:tcMar>
              <w:top w:w="0" w:type="dxa"/>
              <w:left w:w="113" w:type="dxa"/>
              <w:bottom w:w="0" w:type="dxa"/>
              <w:right w:w="113" w:type="dxa"/>
            </w:tcMar>
            <w:vAlign w:val="center"/>
          </w:tcPr>
          <w:p w14:paraId="37C9489C" w14:textId="77777777" w:rsidR="00B35788" w:rsidRPr="00F074A5" w:rsidRDefault="00B35788" w:rsidP="00C560D9">
            <w:pPr>
              <w:contextualSpacing/>
              <w:rPr>
                <w:rFonts w:cs="Arial"/>
                <w:sz w:val="21"/>
                <w:szCs w:val="21"/>
              </w:rPr>
            </w:pPr>
            <w:r w:rsidRPr="00F074A5">
              <w:rPr>
                <w:rFonts w:cs="Arial"/>
                <w:sz w:val="21"/>
                <w:szCs w:val="21"/>
              </w:rPr>
              <w:t>IMPACT</w:t>
            </w:r>
          </w:p>
        </w:tc>
      </w:tr>
      <w:tr w:rsidR="005227C2" w:rsidRPr="006E10BB" w14:paraId="1EA03461" w14:textId="77777777" w:rsidTr="00392788">
        <w:trPr>
          <w:cantSplit/>
          <w:trHeight w:val="1022"/>
        </w:trPr>
        <w:tc>
          <w:tcPr>
            <w:tcW w:w="2945" w:type="dxa"/>
            <w:tcMar>
              <w:top w:w="0" w:type="dxa"/>
              <w:left w:w="113" w:type="dxa"/>
              <w:bottom w:w="0" w:type="dxa"/>
              <w:right w:w="113" w:type="dxa"/>
            </w:tcMar>
            <w:vAlign w:val="center"/>
          </w:tcPr>
          <w:p w14:paraId="76E06FB7" w14:textId="77777777" w:rsidR="00B35788" w:rsidRPr="00F074A5" w:rsidRDefault="00B35788" w:rsidP="00C560D9">
            <w:pPr>
              <w:contextualSpacing/>
              <w:rPr>
                <w:rFonts w:cs="Arial"/>
                <w:b/>
                <w:sz w:val="21"/>
                <w:szCs w:val="21"/>
              </w:rPr>
            </w:pPr>
            <w:r w:rsidRPr="00F074A5">
              <w:rPr>
                <w:rFonts w:cs="Arial"/>
                <w:b/>
                <w:sz w:val="21"/>
                <w:szCs w:val="21"/>
              </w:rPr>
              <w:t>Dr Katie Groom</w:t>
            </w:r>
          </w:p>
        </w:tc>
        <w:tc>
          <w:tcPr>
            <w:tcW w:w="5387" w:type="dxa"/>
            <w:tcMar>
              <w:top w:w="0" w:type="dxa"/>
              <w:left w:w="113" w:type="dxa"/>
              <w:bottom w:w="0" w:type="dxa"/>
              <w:right w:w="113" w:type="dxa"/>
            </w:tcMar>
            <w:vAlign w:val="center"/>
          </w:tcPr>
          <w:p w14:paraId="1B2AC0CF" w14:textId="77777777" w:rsidR="00B35788" w:rsidRPr="00F074A5" w:rsidRDefault="00B35788" w:rsidP="00C560D9">
            <w:pPr>
              <w:contextualSpacing/>
              <w:rPr>
                <w:rFonts w:cs="Arial"/>
                <w:bCs/>
                <w:sz w:val="21"/>
                <w:szCs w:val="21"/>
              </w:rPr>
            </w:pPr>
            <w:r w:rsidRPr="00F074A5">
              <w:rPr>
                <w:rFonts w:cs="Arial"/>
                <w:bCs/>
                <w:sz w:val="21"/>
                <w:szCs w:val="21"/>
              </w:rPr>
              <w:t>Senior Lecturer, Department of Obstetrics and Gynaecology, University of Auckland</w:t>
            </w:r>
          </w:p>
        </w:tc>
        <w:tc>
          <w:tcPr>
            <w:tcW w:w="1559" w:type="dxa"/>
            <w:tcMar>
              <w:top w:w="0" w:type="dxa"/>
              <w:left w:w="113" w:type="dxa"/>
              <w:bottom w:w="0" w:type="dxa"/>
              <w:right w:w="113" w:type="dxa"/>
            </w:tcMar>
            <w:vAlign w:val="center"/>
          </w:tcPr>
          <w:p w14:paraId="52338C75" w14:textId="77777777" w:rsidR="00B35788" w:rsidRPr="00F074A5" w:rsidRDefault="00B35788" w:rsidP="00C560D9">
            <w:pPr>
              <w:contextualSpacing/>
              <w:rPr>
                <w:rFonts w:cs="Arial"/>
                <w:sz w:val="21"/>
                <w:szCs w:val="21"/>
              </w:rPr>
            </w:pPr>
            <w:r w:rsidRPr="00F074A5">
              <w:rPr>
                <w:rFonts w:cs="Arial"/>
                <w:sz w:val="21"/>
                <w:szCs w:val="21"/>
              </w:rPr>
              <w:t>IMPACT</w:t>
            </w:r>
          </w:p>
        </w:tc>
      </w:tr>
      <w:tr w:rsidR="005227C2" w:rsidRPr="006E10BB" w14:paraId="5FACCF77" w14:textId="77777777" w:rsidTr="00392788">
        <w:trPr>
          <w:cantSplit/>
          <w:trHeight w:val="1260"/>
        </w:trPr>
        <w:tc>
          <w:tcPr>
            <w:tcW w:w="2945" w:type="dxa"/>
            <w:tcMar>
              <w:top w:w="0" w:type="dxa"/>
              <w:left w:w="113" w:type="dxa"/>
              <w:bottom w:w="0" w:type="dxa"/>
              <w:right w:w="113" w:type="dxa"/>
            </w:tcMar>
            <w:vAlign w:val="center"/>
          </w:tcPr>
          <w:p w14:paraId="030638D8" w14:textId="7D30D7E5" w:rsidR="00B35788" w:rsidRPr="00F074A5" w:rsidRDefault="00B35788" w:rsidP="00C560D9">
            <w:pPr>
              <w:contextualSpacing/>
              <w:rPr>
                <w:rFonts w:cs="Arial"/>
                <w:b/>
                <w:sz w:val="21"/>
                <w:szCs w:val="21"/>
              </w:rPr>
            </w:pPr>
            <w:r w:rsidRPr="00F074A5">
              <w:rPr>
                <w:rFonts w:cs="Arial"/>
                <w:b/>
                <w:sz w:val="21"/>
                <w:szCs w:val="21"/>
              </w:rPr>
              <w:t>Prof</w:t>
            </w:r>
            <w:r w:rsidR="004A5B34" w:rsidRPr="00F074A5">
              <w:rPr>
                <w:rFonts w:cs="Arial"/>
                <w:b/>
                <w:sz w:val="21"/>
                <w:szCs w:val="21"/>
              </w:rPr>
              <w:t>essor</w:t>
            </w:r>
            <w:r w:rsidRPr="00F074A5">
              <w:rPr>
                <w:rFonts w:cs="Arial"/>
                <w:b/>
                <w:sz w:val="21"/>
                <w:szCs w:val="21"/>
              </w:rPr>
              <w:t xml:space="preserve"> Helen McLachlan</w:t>
            </w:r>
          </w:p>
        </w:tc>
        <w:tc>
          <w:tcPr>
            <w:tcW w:w="5387" w:type="dxa"/>
            <w:tcMar>
              <w:top w:w="0" w:type="dxa"/>
              <w:left w:w="113" w:type="dxa"/>
              <w:bottom w:w="0" w:type="dxa"/>
              <w:right w:w="113" w:type="dxa"/>
            </w:tcMar>
            <w:vAlign w:val="center"/>
          </w:tcPr>
          <w:p w14:paraId="20BF7483" w14:textId="77777777" w:rsidR="00B35788" w:rsidRPr="00F074A5" w:rsidRDefault="00B35788" w:rsidP="00C560D9">
            <w:pPr>
              <w:contextualSpacing/>
              <w:rPr>
                <w:rFonts w:cs="Arial"/>
                <w:bCs/>
                <w:sz w:val="21"/>
                <w:szCs w:val="21"/>
              </w:rPr>
            </w:pPr>
            <w:r w:rsidRPr="00F074A5">
              <w:rPr>
                <w:rFonts w:cs="Arial"/>
                <w:bCs/>
                <w:sz w:val="21"/>
                <w:szCs w:val="21"/>
              </w:rPr>
              <w:t>Professor of Midwifery, College of Science, Health and Engineering, School of Nursing and Midwifery, Judith Lumley Centre, LaTrobe University</w:t>
            </w:r>
          </w:p>
        </w:tc>
        <w:tc>
          <w:tcPr>
            <w:tcW w:w="1559" w:type="dxa"/>
            <w:tcMar>
              <w:top w:w="0" w:type="dxa"/>
              <w:left w:w="113" w:type="dxa"/>
              <w:bottom w:w="0" w:type="dxa"/>
              <w:right w:w="113" w:type="dxa"/>
            </w:tcMar>
            <w:vAlign w:val="center"/>
          </w:tcPr>
          <w:p w14:paraId="6BE5885A" w14:textId="77777777" w:rsidR="00B35788" w:rsidRPr="00F074A5" w:rsidRDefault="00B35788" w:rsidP="00C560D9">
            <w:pPr>
              <w:contextualSpacing/>
              <w:rPr>
                <w:rFonts w:cs="Arial"/>
                <w:sz w:val="21"/>
                <w:szCs w:val="21"/>
              </w:rPr>
            </w:pPr>
            <w:r w:rsidRPr="00F074A5">
              <w:rPr>
                <w:rFonts w:cs="Arial"/>
                <w:sz w:val="21"/>
                <w:szCs w:val="21"/>
              </w:rPr>
              <w:t>IMPACT</w:t>
            </w:r>
          </w:p>
        </w:tc>
      </w:tr>
      <w:tr w:rsidR="005227C2" w:rsidRPr="006E10BB" w14:paraId="07EF6D25" w14:textId="77777777" w:rsidTr="00392788">
        <w:trPr>
          <w:cantSplit/>
          <w:trHeight w:val="980"/>
        </w:trPr>
        <w:tc>
          <w:tcPr>
            <w:tcW w:w="2945" w:type="dxa"/>
            <w:tcMar>
              <w:top w:w="0" w:type="dxa"/>
              <w:left w:w="113" w:type="dxa"/>
              <w:bottom w:w="0" w:type="dxa"/>
              <w:right w:w="113" w:type="dxa"/>
            </w:tcMar>
            <w:vAlign w:val="center"/>
          </w:tcPr>
          <w:p w14:paraId="03A0024B" w14:textId="6888679C" w:rsidR="00B35788" w:rsidRPr="00F074A5" w:rsidRDefault="00B35788" w:rsidP="00C560D9">
            <w:pPr>
              <w:contextualSpacing/>
              <w:rPr>
                <w:rFonts w:cs="Arial"/>
                <w:b/>
                <w:sz w:val="21"/>
                <w:szCs w:val="21"/>
              </w:rPr>
            </w:pPr>
            <w:r w:rsidRPr="00F074A5">
              <w:rPr>
                <w:rFonts w:cs="Arial"/>
                <w:b/>
                <w:sz w:val="21"/>
                <w:szCs w:val="21"/>
              </w:rPr>
              <w:t>Prof</w:t>
            </w:r>
            <w:r w:rsidR="004A5B34" w:rsidRPr="00F074A5">
              <w:rPr>
                <w:rFonts w:cs="Arial"/>
                <w:b/>
                <w:sz w:val="21"/>
                <w:szCs w:val="21"/>
              </w:rPr>
              <w:t>essor</w:t>
            </w:r>
            <w:r w:rsidRPr="00F074A5">
              <w:rPr>
                <w:rFonts w:cs="Arial"/>
                <w:b/>
                <w:sz w:val="21"/>
                <w:szCs w:val="21"/>
              </w:rPr>
              <w:t xml:space="preserve"> Colin Morley</w:t>
            </w:r>
          </w:p>
        </w:tc>
        <w:tc>
          <w:tcPr>
            <w:tcW w:w="5387" w:type="dxa"/>
            <w:tcMar>
              <w:top w:w="0" w:type="dxa"/>
              <w:left w:w="113" w:type="dxa"/>
              <w:bottom w:w="0" w:type="dxa"/>
              <w:right w:w="113" w:type="dxa"/>
            </w:tcMar>
            <w:vAlign w:val="center"/>
          </w:tcPr>
          <w:p w14:paraId="2C84A69A" w14:textId="77777777" w:rsidR="00B35788" w:rsidRPr="00F074A5" w:rsidRDefault="00B35788" w:rsidP="00C560D9">
            <w:pPr>
              <w:contextualSpacing/>
              <w:rPr>
                <w:rFonts w:cs="Arial"/>
                <w:bCs/>
                <w:sz w:val="21"/>
                <w:szCs w:val="21"/>
              </w:rPr>
            </w:pPr>
            <w:r w:rsidRPr="00F074A5">
              <w:rPr>
                <w:rFonts w:cs="Arial"/>
                <w:bCs/>
                <w:sz w:val="21"/>
                <w:szCs w:val="21"/>
              </w:rPr>
              <w:t>Honorary, Obstetrics and Gynaecology Royal Women's Hospital and Mercy Hospital</w:t>
            </w:r>
          </w:p>
        </w:tc>
        <w:tc>
          <w:tcPr>
            <w:tcW w:w="1559" w:type="dxa"/>
            <w:tcMar>
              <w:top w:w="0" w:type="dxa"/>
              <w:left w:w="113" w:type="dxa"/>
              <w:bottom w:w="0" w:type="dxa"/>
              <w:right w:w="113" w:type="dxa"/>
            </w:tcMar>
            <w:vAlign w:val="center"/>
          </w:tcPr>
          <w:p w14:paraId="77F833FD" w14:textId="77777777" w:rsidR="00B35788" w:rsidRPr="00F074A5" w:rsidRDefault="00B35788" w:rsidP="00C560D9">
            <w:pPr>
              <w:contextualSpacing/>
              <w:rPr>
                <w:rFonts w:cs="Arial"/>
                <w:sz w:val="21"/>
                <w:szCs w:val="21"/>
              </w:rPr>
            </w:pPr>
            <w:r w:rsidRPr="00F074A5">
              <w:rPr>
                <w:rFonts w:cs="Arial"/>
                <w:sz w:val="21"/>
                <w:szCs w:val="21"/>
              </w:rPr>
              <w:t>IMPACT</w:t>
            </w:r>
          </w:p>
        </w:tc>
      </w:tr>
      <w:tr w:rsidR="005227C2" w:rsidRPr="006E10BB" w14:paraId="5BE7AD6B" w14:textId="77777777" w:rsidTr="00392788">
        <w:trPr>
          <w:cantSplit/>
          <w:trHeight w:val="1567"/>
        </w:trPr>
        <w:tc>
          <w:tcPr>
            <w:tcW w:w="2945" w:type="dxa"/>
            <w:tcMar>
              <w:top w:w="0" w:type="dxa"/>
              <w:left w:w="113" w:type="dxa"/>
              <w:bottom w:w="0" w:type="dxa"/>
              <w:right w:w="113" w:type="dxa"/>
            </w:tcMar>
            <w:vAlign w:val="center"/>
          </w:tcPr>
          <w:p w14:paraId="073ADE37" w14:textId="4AA79694" w:rsidR="00B35788" w:rsidRPr="00F074A5" w:rsidRDefault="00B35788" w:rsidP="00C560D9">
            <w:pPr>
              <w:contextualSpacing/>
              <w:rPr>
                <w:rFonts w:cs="Arial"/>
                <w:b/>
                <w:sz w:val="21"/>
                <w:szCs w:val="21"/>
              </w:rPr>
            </w:pPr>
            <w:r w:rsidRPr="00F074A5">
              <w:rPr>
                <w:rFonts w:cs="Arial"/>
                <w:b/>
                <w:sz w:val="21"/>
                <w:szCs w:val="21"/>
              </w:rPr>
              <w:t>Prof</w:t>
            </w:r>
            <w:r w:rsidR="004A5B34" w:rsidRPr="00F074A5">
              <w:rPr>
                <w:rFonts w:cs="Arial"/>
                <w:b/>
                <w:sz w:val="21"/>
                <w:szCs w:val="21"/>
              </w:rPr>
              <w:t>essor</w:t>
            </w:r>
            <w:r w:rsidRPr="00F074A5">
              <w:rPr>
                <w:rFonts w:cs="Arial"/>
                <w:b/>
                <w:sz w:val="21"/>
                <w:szCs w:val="21"/>
              </w:rPr>
              <w:t xml:space="preserve"> Jonathan Morris</w:t>
            </w:r>
          </w:p>
        </w:tc>
        <w:tc>
          <w:tcPr>
            <w:tcW w:w="5387" w:type="dxa"/>
            <w:tcMar>
              <w:top w:w="0" w:type="dxa"/>
              <w:left w:w="113" w:type="dxa"/>
              <w:bottom w:w="0" w:type="dxa"/>
              <w:right w:w="113" w:type="dxa"/>
            </w:tcMar>
            <w:vAlign w:val="center"/>
          </w:tcPr>
          <w:p w14:paraId="3F1C47A5" w14:textId="77777777" w:rsidR="004C21AC" w:rsidRPr="00F074A5" w:rsidRDefault="00B35788" w:rsidP="00C560D9">
            <w:pPr>
              <w:contextualSpacing/>
              <w:rPr>
                <w:rFonts w:cs="Arial"/>
                <w:bCs/>
                <w:sz w:val="21"/>
                <w:szCs w:val="21"/>
              </w:rPr>
            </w:pPr>
            <w:r w:rsidRPr="00F074A5">
              <w:rPr>
                <w:rFonts w:cs="Arial"/>
                <w:bCs/>
                <w:sz w:val="21"/>
                <w:szCs w:val="21"/>
              </w:rPr>
              <w:t>Professor of Obstetrics and Gynaecology</w:t>
            </w:r>
            <w:r w:rsidRPr="00F074A5">
              <w:rPr>
                <w:rFonts w:cs="Arial"/>
                <w:bCs/>
                <w:sz w:val="21"/>
                <w:szCs w:val="21"/>
              </w:rPr>
              <w:br/>
              <w:t>Director, The Kolling Institute of Medical Research</w:t>
            </w:r>
          </w:p>
          <w:p w14:paraId="52E05233" w14:textId="3AF55B8F" w:rsidR="00B35788" w:rsidRPr="00F074A5" w:rsidRDefault="00B35788" w:rsidP="00C560D9">
            <w:pPr>
              <w:contextualSpacing/>
              <w:rPr>
                <w:rFonts w:cs="Arial"/>
                <w:bCs/>
                <w:sz w:val="21"/>
                <w:szCs w:val="21"/>
              </w:rPr>
            </w:pPr>
            <w:r w:rsidRPr="00F074A5">
              <w:rPr>
                <w:rFonts w:cs="Arial"/>
                <w:bCs/>
                <w:sz w:val="21"/>
                <w:szCs w:val="21"/>
              </w:rPr>
              <w:t>Director, Biomedical and Health Informatics, Sydney Medical School</w:t>
            </w:r>
          </w:p>
        </w:tc>
        <w:tc>
          <w:tcPr>
            <w:tcW w:w="1559" w:type="dxa"/>
            <w:tcMar>
              <w:top w:w="0" w:type="dxa"/>
              <w:left w:w="113" w:type="dxa"/>
              <w:bottom w:w="0" w:type="dxa"/>
              <w:right w:w="113" w:type="dxa"/>
            </w:tcMar>
            <w:vAlign w:val="center"/>
          </w:tcPr>
          <w:p w14:paraId="02BE5C4D" w14:textId="77777777" w:rsidR="00B35788" w:rsidRPr="00F074A5" w:rsidRDefault="00B35788" w:rsidP="00C560D9">
            <w:pPr>
              <w:contextualSpacing/>
              <w:rPr>
                <w:rFonts w:cs="Arial"/>
                <w:sz w:val="21"/>
                <w:szCs w:val="21"/>
              </w:rPr>
            </w:pPr>
            <w:r w:rsidRPr="00F074A5">
              <w:rPr>
                <w:rFonts w:cs="Arial"/>
                <w:sz w:val="21"/>
                <w:szCs w:val="21"/>
              </w:rPr>
              <w:t>IMPACT</w:t>
            </w:r>
          </w:p>
        </w:tc>
      </w:tr>
      <w:tr w:rsidR="005227C2" w:rsidRPr="006E10BB" w14:paraId="2B407D94" w14:textId="77777777" w:rsidTr="00392788">
        <w:trPr>
          <w:cantSplit/>
          <w:trHeight w:val="1218"/>
        </w:trPr>
        <w:tc>
          <w:tcPr>
            <w:tcW w:w="2945" w:type="dxa"/>
            <w:tcMar>
              <w:top w:w="0" w:type="dxa"/>
              <w:left w:w="113" w:type="dxa"/>
              <w:bottom w:w="0" w:type="dxa"/>
              <w:right w:w="113" w:type="dxa"/>
            </w:tcMar>
            <w:vAlign w:val="center"/>
          </w:tcPr>
          <w:p w14:paraId="61F4CB98" w14:textId="77777777" w:rsidR="00B35788" w:rsidRPr="00F074A5" w:rsidRDefault="00B35788" w:rsidP="00C560D9">
            <w:pPr>
              <w:contextualSpacing/>
              <w:rPr>
                <w:rFonts w:cs="Arial"/>
                <w:b/>
                <w:sz w:val="21"/>
                <w:szCs w:val="21"/>
              </w:rPr>
            </w:pPr>
            <w:r w:rsidRPr="00F074A5">
              <w:rPr>
                <w:rFonts w:cs="Arial"/>
                <w:b/>
                <w:sz w:val="21"/>
                <w:szCs w:val="21"/>
              </w:rPr>
              <w:t>Dr Vanessa Murphy</w:t>
            </w:r>
          </w:p>
        </w:tc>
        <w:tc>
          <w:tcPr>
            <w:tcW w:w="5387" w:type="dxa"/>
            <w:tcMar>
              <w:top w:w="0" w:type="dxa"/>
              <w:left w:w="113" w:type="dxa"/>
              <w:bottom w:w="0" w:type="dxa"/>
              <w:right w:w="113" w:type="dxa"/>
            </w:tcMar>
            <w:vAlign w:val="center"/>
          </w:tcPr>
          <w:p w14:paraId="07338261" w14:textId="77777777" w:rsidR="00B35788" w:rsidRPr="00F074A5" w:rsidRDefault="00B35788" w:rsidP="00C560D9">
            <w:pPr>
              <w:contextualSpacing/>
              <w:rPr>
                <w:rFonts w:cs="Arial"/>
                <w:bCs/>
                <w:sz w:val="21"/>
                <w:szCs w:val="21"/>
              </w:rPr>
            </w:pPr>
            <w:r w:rsidRPr="00F074A5">
              <w:rPr>
                <w:rFonts w:cs="Arial"/>
                <w:bCs/>
                <w:sz w:val="21"/>
                <w:szCs w:val="21"/>
              </w:rPr>
              <w:t>NHMRC Career Development Fellow, School of Medicine and Public Health, Faculty of Health and Medicine, University of Newcastle</w:t>
            </w:r>
          </w:p>
        </w:tc>
        <w:tc>
          <w:tcPr>
            <w:tcW w:w="1559" w:type="dxa"/>
            <w:tcMar>
              <w:top w:w="0" w:type="dxa"/>
              <w:left w:w="113" w:type="dxa"/>
              <w:bottom w:w="0" w:type="dxa"/>
              <w:right w:w="113" w:type="dxa"/>
            </w:tcMar>
            <w:vAlign w:val="center"/>
          </w:tcPr>
          <w:p w14:paraId="5E1D75E3" w14:textId="77777777" w:rsidR="00B35788" w:rsidRPr="00F074A5" w:rsidRDefault="00B35788" w:rsidP="00C560D9">
            <w:pPr>
              <w:contextualSpacing/>
              <w:rPr>
                <w:rFonts w:cs="Arial"/>
                <w:sz w:val="21"/>
                <w:szCs w:val="21"/>
              </w:rPr>
            </w:pPr>
            <w:r w:rsidRPr="00F074A5">
              <w:rPr>
                <w:rFonts w:cs="Arial"/>
                <w:sz w:val="21"/>
                <w:szCs w:val="21"/>
              </w:rPr>
              <w:t>IMPACT</w:t>
            </w:r>
          </w:p>
        </w:tc>
      </w:tr>
      <w:tr w:rsidR="005227C2" w:rsidRPr="006E10BB" w14:paraId="2CCE6074" w14:textId="77777777" w:rsidTr="00392788">
        <w:trPr>
          <w:cantSplit/>
          <w:trHeight w:val="756"/>
        </w:trPr>
        <w:tc>
          <w:tcPr>
            <w:tcW w:w="2945" w:type="dxa"/>
            <w:tcMar>
              <w:top w:w="0" w:type="dxa"/>
              <w:left w:w="113" w:type="dxa"/>
              <w:bottom w:w="0" w:type="dxa"/>
              <w:right w:w="113" w:type="dxa"/>
            </w:tcMar>
            <w:vAlign w:val="center"/>
          </w:tcPr>
          <w:p w14:paraId="641E50C2" w14:textId="77777777" w:rsidR="00B35788" w:rsidRPr="00F074A5" w:rsidRDefault="00B35788" w:rsidP="00C560D9">
            <w:pPr>
              <w:contextualSpacing/>
              <w:rPr>
                <w:rFonts w:cs="Arial"/>
                <w:b/>
                <w:sz w:val="21"/>
                <w:szCs w:val="21"/>
              </w:rPr>
            </w:pPr>
            <w:r w:rsidRPr="00F074A5">
              <w:rPr>
                <w:rFonts w:cs="Arial"/>
                <w:b/>
                <w:sz w:val="21"/>
                <w:szCs w:val="21"/>
              </w:rPr>
              <w:t>Ms Heather Powell</w:t>
            </w:r>
          </w:p>
        </w:tc>
        <w:tc>
          <w:tcPr>
            <w:tcW w:w="5387" w:type="dxa"/>
            <w:tcMar>
              <w:top w:w="0" w:type="dxa"/>
              <w:left w:w="113" w:type="dxa"/>
              <w:bottom w:w="0" w:type="dxa"/>
              <w:right w:w="113" w:type="dxa"/>
            </w:tcMar>
            <w:vAlign w:val="center"/>
          </w:tcPr>
          <w:p w14:paraId="7A0D12F1" w14:textId="77777777" w:rsidR="00B35788" w:rsidRPr="00F074A5" w:rsidRDefault="00B35788" w:rsidP="00C560D9">
            <w:pPr>
              <w:contextualSpacing/>
              <w:rPr>
                <w:rFonts w:cs="Arial"/>
                <w:sz w:val="21"/>
                <w:szCs w:val="21"/>
              </w:rPr>
            </w:pPr>
            <w:r w:rsidRPr="00F074A5">
              <w:rPr>
                <w:rFonts w:cs="Arial"/>
                <w:sz w:val="21"/>
                <w:szCs w:val="21"/>
              </w:rPr>
              <w:t>Data Manager, Hunter Medical Research Institute</w:t>
            </w:r>
          </w:p>
        </w:tc>
        <w:tc>
          <w:tcPr>
            <w:tcW w:w="1559" w:type="dxa"/>
            <w:tcMar>
              <w:top w:w="0" w:type="dxa"/>
              <w:left w:w="113" w:type="dxa"/>
              <w:bottom w:w="0" w:type="dxa"/>
              <w:right w:w="113" w:type="dxa"/>
            </w:tcMar>
            <w:vAlign w:val="center"/>
          </w:tcPr>
          <w:p w14:paraId="629C9A0A" w14:textId="77777777" w:rsidR="00B35788" w:rsidRPr="00F074A5" w:rsidRDefault="00B35788" w:rsidP="00C560D9">
            <w:pPr>
              <w:contextualSpacing/>
              <w:rPr>
                <w:rFonts w:cs="Arial"/>
                <w:sz w:val="21"/>
                <w:szCs w:val="21"/>
              </w:rPr>
            </w:pPr>
            <w:r w:rsidRPr="00F074A5">
              <w:rPr>
                <w:rFonts w:cs="Arial"/>
                <w:sz w:val="21"/>
                <w:szCs w:val="21"/>
              </w:rPr>
              <w:t>IMPACT</w:t>
            </w:r>
          </w:p>
        </w:tc>
      </w:tr>
    </w:tbl>
    <w:p w14:paraId="3F43A7CA" w14:textId="77777777" w:rsidR="00A45AF9" w:rsidRDefault="00A45AF9" w:rsidP="00E11C81"/>
    <w:p w14:paraId="668D8FAD" w14:textId="77777777" w:rsidR="00096657" w:rsidRDefault="00096657">
      <w:pPr>
        <w:spacing w:before="0" w:after="200" w:line="276" w:lineRule="auto"/>
        <w:rPr>
          <w:rFonts w:ascii="Franklin Gothic Heavy" w:eastAsiaTheme="majorEastAsia" w:hAnsi="Franklin Gothic Heavy" w:cstheme="majorBidi"/>
          <w:bCs/>
          <w:color w:val="2F5496" w:themeColor="accent5" w:themeShade="BF"/>
          <w:spacing w:val="20"/>
          <w:sz w:val="48"/>
          <w:szCs w:val="28"/>
        </w:rPr>
      </w:pPr>
      <w:bookmarkStart w:id="122" w:name="_Toc329374797"/>
      <w:bookmarkStart w:id="123" w:name="_Toc329374864"/>
      <w:bookmarkStart w:id="124" w:name="_Toc329377210"/>
      <w:bookmarkStart w:id="125" w:name="_Toc329386648"/>
      <w:bookmarkStart w:id="126" w:name="_Toc329421650"/>
      <w:bookmarkStart w:id="127" w:name="_Toc329424866"/>
      <w:r>
        <w:br w:type="page"/>
      </w:r>
    </w:p>
    <w:p w14:paraId="3AAF6121" w14:textId="77777777" w:rsidR="00A21192" w:rsidRPr="00915516" w:rsidRDefault="00A21192" w:rsidP="00F074A5">
      <w:pPr>
        <w:pStyle w:val="Heading1"/>
      </w:pPr>
      <w:bookmarkStart w:id="128" w:name="_Toc487184537"/>
      <w:r w:rsidRPr="00915516">
        <w:lastRenderedPageBreak/>
        <w:t>Glossary of key health economic terms</w:t>
      </w:r>
      <w:bookmarkEnd w:id="128"/>
    </w:p>
    <w:tbl>
      <w:tblPr>
        <w:tblW w:w="91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76"/>
        <w:gridCol w:w="6878"/>
      </w:tblGrid>
      <w:tr w:rsidR="00A21192" w:rsidRPr="006E10BB" w14:paraId="0E2673E8" w14:textId="77777777" w:rsidTr="00392788">
        <w:trPr>
          <w:cantSplit/>
          <w:trHeight w:val="573"/>
          <w:tblHeader/>
        </w:trPr>
        <w:tc>
          <w:tcPr>
            <w:tcW w:w="2276" w:type="dxa"/>
            <w:shd w:val="clear" w:color="auto" w:fill="2F5496" w:themeFill="accent5" w:themeFillShade="BF"/>
            <w:tcMar>
              <w:top w:w="113" w:type="dxa"/>
            </w:tcMar>
            <w:vAlign w:val="bottom"/>
          </w:tcPr>
          <w:p w14:paraId="752DF558" w14:textId="77777777" w:rsidR="00A21192" w:rsidRPr="00392788" w:rsidRDefault="00A21192" w:rsidP="00392788">
            <w:pPr>
              <w:spacing w:line="276" w:lineRule="auto"/>
              <w:contextualSpacing/>
              <w:rPr>
                <w:rFonts w:cs="Arial"/>
                <w:b/>
                <w:bCs/>
                <w:color w:val="FFFFFF" w:themeColor="background1"/>
                <w:sz w:val="21"/>
                <w:szCs w:val="21"/>
              </w:rPr>
            </w:pPr>
            <w:r w:rsidRPr="00392788">
              <w:rPr>
                <w:rFonts w:cs="Arial"/>
                <w:b/>
                <w:bCs/>
                <w:color w:val="FFFFFF" w:themeColor="background1"/>
                <w:sz w:val="21"/>
                <w:szCs w:val="21"/>
              </w:rPr>
              <w:t>Term</w:t>
            </w:r>
          </w:p>
        </w:tc>
        <w:tc>
          <w:tcPr>
            <w:tcW w:w="6878" w:type="dxa"/>
            <w:shd w:val="clear" w:color="auto" w:fill="2F5496" w:themeFill="accent5" w:themeFillShade="BF"/>
            <w:tcMar>
              <w:top w:w="113" w:type="dxa"/>
            </w:tcMar>
            <w:vAlign w:val="bottom"/>
          </w:tcPr>
          <w:p w14:paraId="7F2A204F" w14:textId="77777777" w:rsidR="00A21192" w:rsidRPr="00392788" w:rsidRDefault="00A21192" w:rsidP="00392788">
            <w:pPr>
              <w:spacing w:line="276" w:lineRule="auto"/>
              <w:contextualSpacing/>
              <w:rPr>
                <w:rFonts w:cs="Arial"/>
                <w:b/>
                <w:bCs/>
                <w:color w:val="FFFFFF" w:themeColor="background1"/>
                <w:sz w:val="21"/>
                <w:szCs w:val="21"/>
              </w:rPr>
            </w:pPr>
            <w:r w:rsidRPr="00392788">
              <w:rPr>
                <w:rFonts w:cs="Arial"/>
                <w:b/>
                <w:bCs/>
                <w:color w:val="FFFFFF" w:themeColor="background1"/>
                <w:sz w:val="21"/>
                <w:szCs w:val="21"/>
              </w:rPr>
              <w:t>Description</w:t>
            </w:r>
          </w:p>
        </w:tc>
      </w:tr>
      <w:tr w:rsidR="00A21192" w:rsidRPr="006E10BB" w14:paraId="6890E80A" w14:textId="77777777" w:rsidTr="00392788">
        <w:trPr>
          <w:cantSplit/>
          <w:trHeight w:val="1124"/>
        </w:trPr>
        <w:tc>
          <w:tcPr>
            <w:tcW w:w="2276" w:type="dxa"/>
            <w:tcMar>
              <w:top w:w="113" w:type="dxa"/>
            </w:tcMar>
          </w:tcPr>
          <w:p w14:paraId="743952D6" w14:textId="7CCCAAEF" w:rsidR="00A21192" w:rsidRPr="00F074A5" w:rsidRDefault="00A21192" w:rsidP="00392788">
            <w:pPr>
              <w:spacing w:line="276" w:lineRule="auto"/>
              <w:rPr>
                <w:rStyle w:val="Strong"/>
                <w:sz w:val="21"/>
                <w:szCs w:val="21"/>
              </w:rPr>
            </w:pPr>
            <w:r w:rsidRPr="00F074A5">
              <w:rPr>
                <w:rStyle w:val="Strong"/>
                <w:sz w:val="21"/>
                <w:szCs w:val="21"/>
              </w:rPr>
              <w:t xml:space="preserve">Benefit to </w:t>
            </w:r>
            <w:r w:rsidR="00F10E73">
              <w:rPr>
                <w:rStyle w:val="Strong"/>
                <w:sz w:val="21"/>
                <w:szCs w:val="21"/>
              </w:rPr>
              <w:t>c</w:t>
            </w:r>
            <w:r w:rsidRPr="00F074A5">
              <w:rPr>
                <w:rStyle w:val="Strong"/>
                <w:sz w:val="21"/>
                <w:szCs w:val="21"/>
              </w:rPr>
              <w:t xml:space="preserve">ost </w:t>
            </w:r>
            <w:r w:rsidR="00F10E73">
              <w:rPr>
                <w:rStyle w:val="Strong"/>
                <w:sz w:val="21"/>
                <w:szCs w:val="21"/>
              </w:rPr>
              <w:t>r</w:t>
            </w:r>
            <w:r w:rsidRPr="00F074A5">
              <w:rPr>
                <w:rStyle w:val="Strong"/>
                <w:sz w:val="21"/>
                <w:szCs w:val="21"/>
              </w:rPr>
              <w:t xml:space="preserve">atio </w:t>
            </w:r>
          </w:p>
        </w:tc>
        <w:tc>
          <w:tcPr>
            <w:tcW w:w="6878" w:type="dxa"/>
            <w:tcMar>
              <w:top w:w="113" w:type="dxa"/>
            </w:tcMar>
          </w:tcPr>
          <w:p w14:paraId="562BC77D" w14:textId="43E82C24" w:rsidR="00A21192" w:rsidRPr="00F074A5" w:rsidRDefault="00A21192" w:rsidP="00392788">
            <w:pPr>
              <w:spacing w:line="276" w:lineRule="auto"/>
              <w:rPr>
                <w:sz w:val="21"/>
                <w:szCs w:val="21"/>
              </w:rPr>
            </w:pPr>
            <w:r w:rsidRPr="00F074A5">
              <w:rPr>
                <w:sz w:val="21"/>
                <w:szCs w:val="21"/>
              </w:rPr>
              <w:t>The ratio of the calculated economic benefits, relative to trial funding and network costs. Expressed in</w:t>
            </w:r>
            <w:r w:rsidR="005A1C12">
              <w:rPr>
                <w:sz w:val="21"/>
                <w:szCs w:val="21"/>
              </w:rPr>
              <w:t xml:space="preserve"> this report in</w:t>
            </w:r>
            <w:r w:rsidRPr="00F074A5">
              <w:rPr>
                <w:sz w:val="21"/>
                <w:szCs w:val="21"/>
              </w:rPr>
              <w:t xml:space="preserve"> 2014 dollars.</w:t>
            </w:r>
          </w:p>
        </w:tc>
      </w:tr>
      <w:tr w:rsidR="00A21192" w:rsidRPr="006E10BB" w14:paraId="3BF431F0" w14:textId="77777777" w:rsidTr="00392788">
        <w:trPr>
          <w:cantSplit/>
          <w:trHeight w:val="435"/>
        </w:trPr>
        <w:tc>
          <w:tcPr>
            <w:tcW w:w="2276" w:type="dxa"/>
            <w:tcMar>
              <w:top w:w="113" w:type="dxa"/>
            </w:tcMar>
          </w:tcPr>
          <w:p w14:paraId="1A22BB79" w14:textId="28425703" w:rsidR="00A21192" w:rsidRPr="00F074A5" w:rsidRDefault="00A21192" w:rsidP="00392788">
            <w:pPr>
              <w:spacing w:line="276" w:lineRule="auto"/>
              <w:rPr>
                <w:rStyle w:val="Strong"/>
                <w:sz w:val="21"/>
                <w:szCs w:val="21"/>
              </w:rPr>
            </w:pPr>
            <w:r w:rsidRPr="00F074A5">
              <w:rPr>
                <w:rStyle w:val="Strong"/>
                <w:sz w:val="21"/>
                <w:szCs w:val="21"/>
              </w:rPr>
              <w:t xml:space="preserve">Future </w:t>
            </w:r>
            <w:r w:rsidR="00B4479A">
              <w:rPr>
                <w:rStyle w:val="Strong"/>
                <w:sz w:val="21"/>
                <w:szCs w:val="21"/>
              </w:rPr>
              <w:t>t</w:t>
            </w:r>
            <w:r w:rsidRPr="00F074A5">
              <w:rPr>
                <w:rStyle w:val="Strong"/>
                <w:sz w:val="21"/>
                <w:szCs w:val="21"/>
              </w:rPr>
              <w:t xml:space="preserve">ime </w:t>
            </w:r>
            <w:r w:rsidR="00B4479A">
              <w:rPr>
                <w:rStyle w:val="Strong"/>
                <w:sz w:val="21"/>
                <w:szCs w:val="21"/>
              </w:rPr>
              <w:t>p</w:t>
            </w:r>
            <w:r w:rsidRPr="00F074A5">
              <w:rPr>
                <w:rStyle w:val="Strong"/>
                <w:sz w:val="21"/>
                <w:szCs w:val="21"/>
              </w:rPr>
              <w:t>reference</w:t>
            </w:r>
          </w:p>
        </w:tc>
        <w:tc>
          <w:tcPr>
            <w:tcW w:w="6878" w:type="dxa"/>
            <w:tcMar>
              <w:top w:w="113" w:type="dxa"/>
            </w:tcMar>
          </w:tcPr>
          <w:p w14:paraId="417EE3C1" w14:textId="77777777" w:rsidR="00A21192" w:rsidRPr="00F074A5" w:rsidRDefault="00A21192" w:rsidP="00392788">
            <w:pPr>
              <w:spacing w:line="276" w:lineRule="auto"/>
              <w:rPr>
                <w:sz w:val="21"/>
                <w:szCs w:val="21"/>
              </w:rPr>
            </w:pPr>
            <w:r w:rsidRPr="00F074A5">
              <w:rPr>
                <w:sz w:val="21"/>
                <w:szCs w:val="21"/>
              </w:rPr>
              <w:t>The relative valuation placed on a good at an earlier date compared with its valuation at a later date.</w:t>
            </w:r>
          </w:p>
        </w:tc>
      </w:tr>
      <w:tr w:rsidR="00A21192" w:rsidRPr="006E10BB" w14:paraId="19DAFE90" w14:textId="77777777" w:rsidTr="00392788">
        <w:trPr>
          <w:cantSplit/>
          <w:trHeight w:val="925"/>
        </w:trPr>
        <w:tc>
          <w:tcPr>
            <w:tcW w:w="2276" w:type="dxa"/>
            <w:tcMar>
              <w:top w:w="113" w:type="dxa"/>
            </w:tcMar>
          </w:tcPr>
          <w:p w14:paraId="222CA153" w14:textId="64542D06" w:rsidR="00A21192" w:rsidRPr="00F074A5" w:rsidRDefault="00A21192" w:rsidP="00392788">
            <w:pPr>
              <w:spacing w:line="276" w:lineRule="auto"/>
              <w:rPr>
                <w:rStyle w:val="Strong"/>
                <w:sz w:val="21"/>
                <w:szCs w:val="21"/>
              </w:rPr>
            </w:pPr>
            <w:r w:rsidRPr="00F074A5">
              <w:rPr>
                <w:rStyle w:val="Strong"/>
                <w:sz w:val="21"/>
                <w:szCs w:val="21"/>
              </w:rPr>
              <w:t xml:space="preserve">Gross </w:t>
            </w:r>
            <w:r w:rsidR="00B4479A">
              <w:rPr>
                <w:rStyle w:val="Strong"/>
                <w:sz w:val="21"/>
                <w:szCs w:val="21"/>
              </w:rPr>
              <w:t>d</w:t>
            </w:r>
            <w:r w:rsidRPr="00F074A5">
              <w:rPr>
                <w:rStyle w:val="Strong"/>
                <w:sz w:val="21"/>
                <w:szCs w:val="21"/>
              </w:rPr>
              <w:t xml:space="preserve">omestic </w:t>
            </w:r>
            <w:r w:rsidR="00B4479A">
              <w:rPr>
                <w:rStyle w:val="Strong"/>
                <w:sz w:val="21"/>
                <w:szCs w:val="21"/>
              </w:rPr>
              <w:t>p</w:t>
            </w:r>
            <w:r w:rsidRPr="00F074A5">
              <w:rPr>
                <w:rStyle w:val="Strong"/>
                <w:sz w:val="21"/>
                <w:szCs w:val="21"/>
              </w:rPr>
              <w:t xml:space="preserve">roduct (GDP) </w:t>
            </w:r>
          </w:p>
        </w:tc>
        <w:tc>
          <w:tcPr>
            <w:tcW w:w="6878" w:type="dxa"/>
            <w:tcMar>
              <w:top w:w="113" w:type="dxa"/>
            </w:tcMar>
          </w:tcPr>
          <w:p w14:paraId="2535BE87" w14:textId="550D4421" w:rsidR="00A21192" w:rsidRPr="00F074A5" w:rsidRDefault="00A21192" w:rsidP="00392788">
            <w:pPr>
              <w:spacing w:line="276" w:lineRule="auto"/>
              <w:rPr>
                <w:sz w:val="21"/>
                <w:szCs w:val="21"/>
              </w:rPr>
            </w:pPr>
            <w:r w:rsidRPr="00F074A5">
              <w:rPr>
                <w:sz w:val="21"/>
                <w:szCs w:val="21"/>
              </w:rPr>
              <w:t>The annual economic value of all finished goods and services produced within a country. The per</w:t>
            </w:r>
            <w:r w:rsidR="005A1C12">
              <w:rPr>
                <w:sz w:val="21"/>
                <w:szCs w:val="21"/>
              </w:rPr>
              <w:t>-</w:t>
            </w:r>
            <w:r w:rsidRPr="00F074A5">
              <w:rPr>
                <w:sz w:val="21"/>
                <w:szCs w:val="21"/>
              </w:rPr>
              <w:t>person GDP (GDP per capita) is this number divided by the mid</w:t>
            </w:r>
            <w:r w:rsidR="00B4479A">
              <w:rPr>
                <w:sz w:val="21"/>
                <w:szCs w:val="21"/>
              </w:rPr>
              <w:t>-</w:t>
            </w:r>
            <w:r w:rsidRPr="00F074A5">
              <w:rPr>
                <w:sz w:val="21"/>
                <w:szCs w:val="21"/>
              </w:rPr>
              <w:t xml:space="preserve">year population to show estimated economic contribution at an individual level. </w:t>
            </w:r>
          </w:p>
        </w:tc>
      </w:tr>
      <w:tr w:rsidR="00A21192" w:rsidRPr="006E10BB" w14:paraId="660CE55E" w14:textId="77777777" w:rsidTr="00392788">
        <w:trPr>
          <w:cantSplit/>
          <w:trHeight w:val="855"/>
        </w:trPr>
        <w:tc>
          <w:tcPr>
            <w:tcW w:w="2276" w:type="dxa"/>
            <w:tcMar>
              <w:top w:w="113" w:type="dxa"/>
            </w:tcMar>
          </w:tcPr>
          <w:p w14:paraId="016492AA" w14:textId="7A85E7D6" w:rsidR="00A21192" w:rsidRPr="00F074A5" w:rsidRDefault="00A21192" w:rsidP="00392788">
            <w:pPr>
              <w:spacing w:line="276" w:lineRule="auto"/>
              <w:rPr>
                <w:rStyle w:val="Strong"/>
                <w:sz w:val="21"/>
                <w:szCs w:val="21"/>
              </w:rPr>
            </w:pPr>
            <w:r w:rsidRPr="00F074A5">
              <w:rPr>
                <w:rStyle w:val="Strong"/>
                <w:sz w:val="21"/>
                <w:szCs w:val="21"/>
              </w:rPr>
              <w:t xml:space="preserve">Net </w:t>
            </w:r>
            <w:r w:rsidR="00B4479A">
              <w:rPr>
                <w:rStyle w:val="Strong"/>
                <w:sz w:val="21"/>
                <w:szCs w:val="21"/>
              </w:rPr>
              <w:t>p</w:t>
            </w:r>
            <w:r w:rsidRPr="00F074A5">
              <w:rPr>
                <w:rStyle w:val="Strong"/>
                <w:sz w:val="21"/>
                <w:szCs w:val="21"/>
              </w:rPr>
              <w:t xml:space="preserve">resent </w:t>
            </w:r>
            <w:r w:rsidR="00B4479A">
              <w:rPr>
                <w:rStyle w:val="Strong"/>
                <w:sz w:val="21"/>
                <w:szCs w:val="21"/>
              </w:rPr>
              <w:t>v</w:t>
            </w:r>
            <w:r w:rsidRPr="00F074A5">
              <w:rPr>
                <w:rStyle w:val="Strong"/>
                <w:sz w:val="21"/>
                <w:szCs w:val="21"/>
              </w:rPr>
              <w:t xml:space="preserve">alue (NPV) </w:t>
            </w:r>
          </w:p>
        </w:tc>
        <w:tc>
          <w:tcPr>
            <w:tcW w:w="6878" w:type="dxa"/>
            <w:tcMar>
              <w:top w:w="113" w:type="dxa"/>
            </w:tcMar>
          </w:tcPr>
          <w:p w14:paraId="0A5B27A7" w14:textId="77777777" w:rsidR="00A21192" w:rsidRPr="00F074A5" w:rsidRDefault="00A21192" w:rsidP="00392788">
            <w:pPr>
              <w:spacing w:line="276" w:lineRule="auto"/>
              <w:rPr>
                <w:sz w:val="21"/>
                <w:szCs w:val="21"/>
              </w:rPr>
            </w:pPr>
            <w:r w:rsidRPr="00F074A5">
              <w:rPr>
                <w:sz w:val="21"/>
                <w:szCs w:val="21"/>
              </w:rPr>
              <w:t xml:space="preserve">The value of a sum of money in the present, in contrast to its future value should it be invested or otherwise maintained. </w:t>
            </w:r>
          </w:p>
        </w:tc>
      </w:tr>
      <w:tr w:rsidR="00A21192" w:rsidRPr="006E10BB" w14:paraId="2A107C16" w14:textId="77777777" w:rsidTr="00392788">
        <w:trPr>
          <w:cantSplit/>
          <w:trHeight w:val="687"/>
        </w:trPr>
        <w:tc>
          <w:tcPr>
            <w:tcW w:w="2276" w:type="dxa"/>
            <w:tcMar>
              <w:top w:w="113" w:type="dxa"/>
            </w:tcMar>
          </w:tcPr>
          <w:p w14:paraId="17C8393B" w14:textId="25D6E10D" w:rsidR="00A21192" w:rsidRPr="00F074A5" w:rsidRDefault="00A21192" w:rsidP="00392788">
            <w:pPr>
              <w:spacing w:line="276" w:lineRule="auto"/>
              <w:rPr>
                <w:rStyle w:val="Strong"/>
                <w:sz w:val="21"/>
                <w:szCs w:val="21"/>
              </w:rPr>
            </w:pPr>
            <w:r w:rsidRPr="00F074A5">
              <w:rPr>
                <w:rStyle w:val="Strong"/>
                <w:sz w:val="21"/>
                <w:szCs w:val="21"/>
              </w:rPr>
              <w:t xml:space="preserve">Quality </w:t>
            </w:r>
            <w:r w:rsidR="00B4479A">
              <w:rPr>
                <w:rStyle w:val="Strong"/>
                <w:sz w:val="21"/>
                <w:szCs w:val="21"/>
              </w:rPr>
              <w:t>a</w:t>
            </w:r>
            <w:r w:rsidRPr="00F074A5">
              <w:rPr>
                <w:rStyle w:val="Strong"/>
                <w:sz w:val="21"/>
                <w:szCs w:val="21"/>
              </w:rPr>
              <w:t xml:space="preserve">djusted </w:t>
            </w:r>
            <w:r w:rsidR="00B4479A">
              <w:rPr>
                <w:rStyle w:val="Strong"/>
                <w:sz w:val="21"/>
                <w:szCs w:val="21"/>
              </w:rPr>
              <w:t>l</w:t>
            </w:r>
            <w:r w:rsidRPr="00F074A5">
              <w:rPr>
                <w:rStyle w:val="Strong"/>
                <w:sz w:val="21"/>
                <w:szCs w:val="21"/>
              </w:rPr>
              <w:t xml:space="preserve">ife </w:t>
            </w:r>
            <w:r w:rsidR="00B4479A">
              <w:rPr>
                <w:rStyle w:val="Strong"/>
                <w:sz w:val="21"/>
                <w:szCs w:val="21"/>
              </w:rPr>
              <w:t>y</w:t>
            </w:r>
            <w:r w:rsidRPr="00F074A5">
              <w:rPr>
                <w:rStyle w:val="Strong"/>
                <w:sz w:val="21"/>
                <w:szCs w:val="21"/>
              </w:rPr>
              <w:t xml:space="preserve">ear (QALY) </w:t>
            </w:r>
          </w:p>
        </w:tc>
        <w:tc>
          <w:tcPr>
            <w:tcW w:w="6878" w:type="dxa"/>
            <w:tcMar>
              <w:top w:w="113" w:type="dxa"/>
            </w:tcMar>
          </w:tcPr>
          <w:p w14:paraId="774841C8" w14:textId="77777777" w:rsidR="00A21192" w:rsidRPr="00F074A5" w:rsidRDefault="00A21192" w:rsidP="00392788">
            <w:pPr>
              <w:spacing w:line="276" w:lineRule="auto"/>
              <w:rPr>
                <w:sz w:val="21"/>
                <w:szCs w:val="21"/>
              </w:rPr>
            </w:pPr>
            <w:r w:rsidRPr="00F074A5">
              <w:rPr>
                <w:sz w:val="21"/>
                <w:szCs w:val="21"/>
              </w:rPr>
              <w:t xml:space="preserve">A measure of disease burden that takes in to account the quality of life and quantity of life lived. Normally QALYs are formed using disease utility values to reduce the value of a year of life in perfect health, based on how unwell a patient is. </w:t>
            </w:r>
          </w:p>
        </w:tc>
      </w:tr>
      <w:tr w:rsidR="00A21192" w:rsidRPr="006E10BB" w14:paraId="71A2AD09" w14:textId="77777777" w:rsidTr="00392788">
        <w:trPr>
          <w:cantSplit/>
          <w:trHeight w:val="394"/>
        </w:trPr>
        <w:tc>
          <w:tcPr>
            <w:tcW w:w="2276" w:type="dxa"/>
            <w:tcMar>
              <w:top w:w="113" w:type="dxa"/>
            </w:tcMar>
          </w:tcPr>
          <w:p w14:paraId="55751728" w14:textId="3F846F1D" w:rsidR="00A21192" w:rsidRPr="00F074A5" w:rsidRDefault="00A21192" w:rsidP="00392788">
            <w:pPr>
              <w:spacing w:line="276" w:lineRule="auto"/>
              <w:rPr>
                <w:rStyle w:val="Strong"/>
                <w:sz w:val="21"/>
                <w:szCs w:val="21"/>
              </w:rPr>
            </w:pPr>
            <w:r w:rsidRPr="00F074A5">
              <w:rPr>
                <w:rStyle w:val="Strong"/>
                <w:sz w:val="21"/>
                <w:szCs w:val="21"/>
              </w:rPr>
              <w:t xml:space="preserve">Sensitivity </w:t>
            </w:r>
            <w:r w:rsidR="00B4479A">
              <w:rPr>
                <w:rStyle w:val="Strong"/>
                <w:sz w:val="21"/>
                <w:szCs w:val="21"/>
              </w:rPr>
              <w:t>a</w:t>
            </w:r>
            <w:r w:rsidRPr="00F074A5">
              <w:rPr>
                <w:rStyle w:val="Strong"/>
                <w:sz w:val="21"/>
                <w:szCs w:val="21"/>
              </w:rPr>
              <w:t>nalysis</w:t>
            </w:r>
          </w:p>
        </w:tc>
        <w:tc>
          <w:tcPr>
            <w:tcW w:w="6878" w:type="dxa"/>
            <w:tcMar>
              <w:top w:w="113" w:type="dxa"/>
            </w:tcMar>
          </w:tcPr>
          <w:p w14:paraId="08063818" w14:textId="77777777" w:rsidR="00A21192" w:rsidRPr="00F074A5" w:rsidRDefault="00A21192" w:rsidP="00392788">
            <w:pPr>
              <w:spacing w:line="276" w:lineRule="auto"/>
              <w:rPr>
                <w:sz w:val="21"/>
                <w:szCs w:val="21"/>
              </w:rPr>
            </w:pPr>
            <w:r w:rsidRPr="00F074A5">
              <w:rPr>
                <w:sz w:val="21"/>
                <w:szCs w:val="21"/>
              </w:rPr>
              <w:t>A technique used to investigate what would happen to the results if different assumptions were made about the value of a unit or variable.</w:t>
            </w:r>
          </w:p>
        </w:tc>
      </w:tr>
      <w:tr w:rsidR="00A21192" w:rsidRPr="006E10BB" w14:paraId="338FBF36" w14:textId="77777777" w:rsidTr="00392788">
        <w:trPr>
          <w:cantSplit/>
          <w:trHeight w:val="1260"/>
        </w:trPr>
        <w:tc>
          <w:tcPr>
            <w:tcW w:w="2276" w:type="dxa"/>
            <w:tcMar>
              <w:top w:w="113" w:type="dxa"/>
            </w:tcMar>
          </w:tcPr>
          <w:p w14:paraId="7183313A" w14:textId="25189415" w:rsidR="00A21192" w:rsidRPr="00F074A5" w:rsidRDefault="00A21192" w:rsidP="00392788">
            <w:pPr>
              <w:spacing w:line="276" w:lineRule="auto"/>
              <w:rPr>
                <w:rStyle w:val="Strong"/>
                <w:sz w:val="21"/>
                <w:szCs w:val="21"/>
              </w:rPr>
            </w:pPr>
            <w:r w:rsidRPr="00F074A5">
              <w:rPr>
                <w:rStyle w:val="Strong"/>
                <w:sz w:val="21"/>
                <w:szCs w:val="21"/>
              </w:rPr>
              <w:t xml:space="preserve">Value of a </w:t>
            </w:r>
            <w:r w:rsidR="00B4479A">
              <w:rPr>
                <w:rStyle w:val="Strong"/>
                <w:sz w:val="21"/>
                <w:szCs w:val="21"/>
              </w:rPr>
              <w:t>s</w:t>
            </w:r>
            <w:r w:rsidRPr="00F074A5">
              <w:rPr>
                <w:rStyle w:val="Strong"/>
                <w:sz w:val="21"/>
                <w:szCs w:val="21"/>
              </w:rPr>
              <w:t xml:space="preserve">tatistical </w:t>
            </w:r>
            <w:r w:rsidR="00B4479A">
              <w:rPr>
                <w:rStyle w:val="Strong"/>
                <w:sz w:val="21"/>
                <w:szCs w:val="21"/>
              </w:rPr>
              <w:t>l</w:t>
            </w:r>
            <w:r w:rsidRPr="00F074A5">
              <w:rPr>
                <w:rStyle w:val="Strong"/>
                <w:sz w:val="21"/>
                <w:szCs w:val="21"/>
              </w:rPr>
              <w:t xml:space="preserve">ife </w:t>
            </w:r>
            <w:r w:rsidR="00B4479A">
              <w:rPr>
                <w:rStyle w:val="Strong"/>
                <w:sz w:val="21"/>
                <w:szCs w:val="21"/>
              </w:rPr>
              <w:t>y</w:t>
            </w:r>
            <w:r w:rsidRPr="00F074A5">
              <w:rPr>
                <w:rStyle w:val="Strong"/>
                <w:sz w:val="21"/>
                <w:szCs w:val="21"/>
              </w:rPr>
              <w:t xml:space="preserve">ear (VSLY) </w:t>
            </w:r>
          </w:p>
        </w:tc>
        <w:tc>
          <w:tcPr>
            <w:tcW w:w="6878" w:type="dxa"/>
            <w:tcMar>
              <w:top w:w="113" w:type="dxa"/>
            </w:tcMar>
          </w:tcPr>
          <w:p w14:paraId="51047881" w14:textId="77777777" w:rsidR="00A21192" w:rsidRPr="00F074A5" w:rsidRDefault="00A21192" w:rsidP="00392788">
            <w:pPr>
              <w:spacing w:line="276" w:lineRule="auto"/>
              <w:rPr>
                <w:sz w:val="21"/>
                <w:szCs w:val="21"/>
              </w:rPr>
            </w:pPr>
            <w:r w:rsidRPr="00F074A5">
              <w:rPr>
                <w:sz w:val="21"/>
                <w:szCs w:val="21"/>
              </w:rPr>
              <w:t>A standard value for the economic value of a year of life lived in full health.</w:t>
            </w:r>
          </w:p>
        </w:tc>
      </w:tr>
    </w:tbl>
    <w:p w14:paraId="2CA745FF" w14:textId="77777777" w:rsidR="00A21192" w:rsidRDefault="00A21192" w:rsidP="00A21192">
      <w:pPr>
        <w:rPr>
          <w:b/>
          <w:bCs/>
          <w:color w:val="2F5496" w:themeColor="accent5" w:themeShade="BF"/>
          <w:sz w:val="32"/>
          <w:szCs w:val="32"/>
        </w:rPr>
      </w:pPr>
    </w:p>
    <w:p w14:paraId="07A0A85A" w14:textId="77777777" w:rsidR="006E10BB" w:rsidRDefault="006E10BB">
      <w:pPr>
        <w:spacing w:before="0" w:after="200" w:line="276" w:lineRule="auto"/>
        <w:rPr>
          <w:rFonts w:ascii="Franklin Gothic Heavy" w:eastAsiaTheme="majorEastAsia" w:hAnsi="Franklin Gothic Heavy" w:cstheme="majorBidi"/>
          <w:bCs/>
          <w:color w:val="2F5496" w:themeColor="accent5" w:themeShade="BF"/>
          <w:spacing w:val="20"/>
          <w:sz w:val="36"/>
          <w:szCs w:val="28"/>
        </w:rPr>
      </w:pPr>
      <w:r>
        <w:br w:type="page"/>
      </w:r>
    </w:p>
    <w:p w14:paraId="0723D486" w14:textId="1C3DBDA2" w:rsidR="00A22FA1" w:rsidRDefault="00A22FA1" w:rsidP="00A22FA1">
      <w:pPr>
        <w:pStyle w:val="Heading1"/>
      </w:pPr>
      <w:bookmarkStart w:id="129" w:name="_Toc487184538"/>
      <w:r>
        <w:lastRenderedPageBreak/>
        <w:t xml:space="preserve">List of </w:t>
      </w:r>
      <w:r w:rsidR="008039DD">
        <w:t>t</w:t>
      </w:r>
      <w:r>
        <w:t xml:space="preserve">ables and </w:t>
      </w:r>
      <w:r w:rsidR="008039DD">
        <w:t>f</w:t>
      </w:r>
      <w:r>
        <w:t>igures</w:t>
      </w:r>
      <w:bookmarkEnd w:id="129"/>
    </w:p>
    <w:p w14:paraId="0BE12845" w14:textId="77777777" w:rsidR="00A22FA1" w:rsidRDefault="00A22FA1">
      <w:pPr>
        <w:pStyle w:val="TableofFigures"/>
        <w:tabs>
          <w:tab w:val="right" w:leader="dot" w:pos="9010"/>
        </w:tabs>
      </w:pPr>
    </w:p>
    <w:p w14:paraId="26E7880E" w14:textId="77777777" w:rsidR="00273FE5" w:rsidRDefault="00A22FA1" w:rsidP="00657F18">
      <w:pPr>
        <w:pStyle w:val="TableofFigures"/>
        <w:tabs>
          <w:tab w:val="right" w:leader="dot" w:pos="9730"/>
        </w:tabs>
        <w:rPr>
          <w:rFonts w:asciiTheme="minorHAnsi" w:hAnsiTheme="minorHAnsi"/>
          <w:noProof/>
          <w:sz w:val="24"/>
          <w:szCs w:val="24"/>
          <w:lang w:val="en-GB" w:eastAsia="zh-CN"/>
        </w:rPr>
      </w:pPr>
      <w:r w:rsidRPr="00A22FA1">
        <w:rPr>
          <w:rFonts w:ascii="Arial" w:hAnsi="Arial" w:cs="Arial"/>
          <w:szCs w:val="24"/>
        </w:rPr>
        <w:fldChar w:fldCharType="begin"/>
      </w:r>
      <w:r w:rsidRPr="00A22FA1">
        <w:rPr>
          <w:rFonts w:ascii="Arial" w:hAnsi="Arial" w:cs="Arial"/>
          <w:szCs w:val="24"/>
        </w:rPr>
        <w:instrText xml:space="preserve"> TOC \c "Table" </w:instrText>
      </w:r>
      <w:r w:rsidRPr="00A22FA1">
        <w:rPr>
          <w:rFonts w:ascii="Arial" w:hAnsi="Arial" w:cs="Arial"/>
          <w:szCs w:val="24"/>
        </w:rPr>
        <w:fldChar w:fldCharType="separate"/>
      </w:r>
      <w:r w:rsidR="00273FE5">
        <w:rPr>
          <w:noProof/>
          <w:lang w:bidi="hi-IN"/>
        </w:rPr>
        <w:t>Table 1. Core functions of clinical trials networks</w:t>
      </w:r>
      <w:r w:rsidR="00273FE5">
        <w:rPr>
          <w:noProof/>
        </w:rPr>
        <w:tab/>
      </w:r>
      <w:r w:rsidR="00273FE5">
        <w:rPr>
          <w:noProof/>
        </w:rPr>
        <w:fldChar w:fldCharType="begin"/>
      </w:r>
      <w:r w:rsidR="00273FE5">
        <w:rPr>
          <w:noProof/>
        </w:rPr>
        <w:instrText xml:space="preserve"> PAGEREF _Toc479177724 \h </w:instrText>
      </w:r>
      <w:r w:rsidR="00273FE5">
        <w:rPr>
          <w:noProof/>
        </w:rPr>
      </w:r>
      <w:r w:rsidR="00273FE5">
        <w:rPr>
          <w:noProof/>
        </w:rPr>
        <w:fldChar w:fldCharType="separate"/>
      </w:r>
      <w:r w:rsidR="007B3054">
        <w:rPr>
          <w:noProof/>
        </w:rPr>
        <w:t>13</w:t>
      </w:r>
      <w:r w:rsidR="00273FE5">
        <w:rPr>
          <w:noProof/>
        </w:rPr>
        <w:fldChar w:fldCharType="end"/>
      </w:r>
    </w:p>
    <w:p w14:paraId="1B5B3D8E" w14:textId="77777777" w:rsidR="00273FE5" w:rsidRDefault="00273FE5" w:rsidP="00722F9C">
      <w:pPr>
        <w:pStyle w:val="TableofFigures"/>
        <w:tabs>
          <w:tab w:val="right" w:leader="dot" w:pos="9730"/>
        </w:tabs>
        <w:rPr>
          <w:rFonts w:asciiTheme="minorHAnsi" w:hAnsiTheme="minorHAnsi"/>
          <w:noProof/>
          <w:sz w:val="24"/>
          <w:szCs w:val="24"/>
          <w:lang w:val="en-GB" w:eastAsia="zh-CN"/>
        </w:rPr>
      </w:pPr>
      <w:r>
        <w:rPr>
          <w:noProof/>
          <w:lang w:bidi="hi-IN"/>
        </w:rPr>
        <w:t>Table 2. Network characteristics that add value to clinical trials</w:t>
      </w:r>
      <w:r>
        <w:rPr>
          <w:noProof/>
        </w:rPr>
        <w:tab/>
      </w:r>
      <w:r>
        <w:rPr>
          <w:noProof/>
        </w:rPr>
        <w:fldChar w:fldCharType="begin"/>
      </w:r>
      <w:r>
        <w:rPr>
          <w:noProof/>
        </w:rPr>
        <w:instrText xml:space="preserve"> PAGEREF _Toc479177725 \h </w:instrText>
      </w:r>
      <w:r>
        <w:rPr>
          <w:noProof/>
        </w:rPr>
      </w:r>
      <w:r>
        <w:rPr>
          <w:noProof/>
        </w:rPr>
        <w:fldChar w:fldCharType="separate"/>
      </w:r>
      <w:r w:rsidR="007B3054">
        <w:rPr>
          <w:noProof/>
        </w:rPr>
        <w:t>14</w:t>
      </w:r>
      <w:r>
        <w:rPr>
          <w:noProof/>
        </w:rPr>
        <w:fldChar w:fldCharType="end"/>
      </w:r>
    </w:p>
    <w:p w14:paraId="16553A78" w14:textId="77777777" w:rsidR="00273FE5" w:rsidRDefault="00273FE5" w:rsidP="00392788">
      <w:pPr>
        <w:pStyle w:val="TableofFigures"/>
        <w:tabs>
          <w:tab w:val="right" w:leader="dot" w:pos="9730"/>
        </w:tabs>
        <w:rPr>
          <w:rFonts w:asciiTheme="minorHAnsi" w:hAnsiTheme="minorHAnsi"/>
          <w:noProof/>
          <w:sz w:val="24"/>
          <w:szCs w:val="24"/>
          <w:lang w:val="en-GB" w:eastAsia="zh-CN"/>
        </w:rPr>
      </w:pPr>
      <w:r>
        <w:rPr>
          <w:noProof/>
          <w:lang w:bidi="hi-IN"/>
        </w:rPr>
        <w:t>Table 3. Networks included in the analysis</w:t>
      </w:r>
      <w:r>
        <w:rPr>
          <w:noProof/>
        </w:rPr>
        <w:tab/>
      </w:r>
      <w:r>
        <w:rPr>
          <w:noProof/>
        </w:rPr>
        <w:fldChar w:fldCharType="begin"/>
      </w:r>
      <w:r>
        <w:rPr>
          <w:noProof/>
        </w:rPr>
        <w:instrText xml:space="preserve"> PAGEREF _Toc479177726 \h </w:instrText>
      </w:r>
      <w:r>
        <w:rPr>
          <w:noProof/>
        </w:rPr>
      </w:r>
      <w:r>
        <w:rPr>
          <w:noProof/>
        </w:rPr>
        <w:fldChar w:fldCharType="separate"/>
      </w:r>
      <w:r w:rsidR="007B3054">
        <w:rPr>
          <w:noProof/>
        </w:rPr>
        <w:t>17</w:t>
      </w:r>
      <w:r>
        <w:rPr>
          <w:noProof/>
        </w:rPr>
        <w:fldChar w:fldCharType="end"/>
      </w:r>
    </w:p>
    <w:p w14:paraId="5EB0C4D0" w14:textId="77777777" w:rsidR="00273FE5" w:rsidRDefault="00273FE5" w:rsidP="00392788">
      <w:pPr>
        <w:pStyle w:val="TableofFigures"/>
        <w:tabs>
          <w:tab w:val="right" w:leader="dot" w:pos="9730"/>
        </w:tabs>
        <w:rPr>
          <w:rFonts w:asciiTheme="minorHAnsi" w:hAnsiTheme="minorHAnsi"/>
          <w:noProof/>
          <w:sz w:val="24"/>
          <w:szCs w:val="24"/>
          <w:lang w:val="en-GB" w:eastAsia="zh-CN"/>
        </w:rPr>
      </w:pPr>
      <w:r>
        <w:rPr>
          <w:noProof/>
          <w:lang w:bidi="hi-IN"/>
        </w:rPr>
        <w:t>Table 4. Individual trials selected for analysis</w:t>
      </w:r>
      <w:r>
        <w:rPr>
          <w:noProof/>
        </w:rPr>
        <w:tab/>
      </w:r>
      <w:r>
        <w:rPr>
          <w:noProof/>
        </w:rPr>
        <w:fldChar w:fldCharType="begin"/>
      </w:r>
      <w:r>
        <w:rPr>
          <w:noProof/>
        </w:rPr>
        <w:instrText xml:space="preserve"> PAGEREF _Toc479177727 \h </w:instrText>
      </w:r>
      <w:r>
        <w:rPr>
          <w:noProof/>
        </w:rPr>
      </w:r>
      <w:r>
        <w:rPr>
          <w:noProof/>
        </w:rPr>
        <w:fldChar w:fldCharType="separate"/>
      </w:r>
      <w:r w:rsidR="007B3054">
        <w:rPr>
          <w:noProof/>
        </w:rPr>
        <w:t>19</w:t>
      </w:r>
      <w:r>
        <w:rPr>
          <w:noProof/>
        </w:rPr>
        <w:fldChar w:fldCharType="end"/>
      </w:r>
    </w:p>
    <w:p w14:paraId="3E7B5ABF" w14:textId="77777777" w:rsidR="00273FE5" w:rsidRDefault="00273FE5" w:rsidP="00392788">
      <w:pPr>
        <w:pStyle w:val="TableofFigures"/>
        <w:tabs>
          <w:tab w:val="right" w:leader="dot" w:pos="9730"/>
        </w:tabs>
        <w:rPr>
          <w:rFonts w:asciiTheme="minorHAnsi" w:hAnsiTheme="minorHAnsi"/>
          <w:noProof/>
          <w:sz w:val="24"/>
          <w:szCs w:val="24"/>
          <w:lang w:val="en-GB" w:eastAsia="zh-CN"/>
        </w:rPr>
      </w:pPr>
      <w:r>
        <w:rPr>
          <w:noProof/>
          <w:lang w:bidi="hi-IN"/>
        </w:rPr>
        <w:t>Table 5. Benefit to cost ratios</w:t>
      </w:r>
      <w:r>
        <w:rPr>
          <w:noProof/>
        </w:rPr>
        <w:tab/>
      </w:r>
      <w:r>
        <w:rPr>
          <w:noProof/>
        </w:rPr>
        <w:fldChar w:fldCharType="begin"/>
      </w:r>
      <w:r>
        <w:rPr>
          <w:noProof/>
        </w:rPr>
        <w:instrText xml:space="preserve"> PAGEREF _Toc479177728 \h </w:instrText>
      </w:r>
      <w:r>
        <w:rPr>
          <w:noProof/>
        </w:rPr>
      </w:r>
      <w:r>
        <w:rPr>
          <w:noProof/>
        </w:rPr>
        <w:fldChar w:fldCharType="separate"/>
      </w:r>
      <w:r w:rsidR="007B3054">
        <w:rPr>
          <w:noProof/>
        </w:rPr>
        <w:t>30</w:t>
      </w:r>
      <w:r>
        <w:rPr>
          <w:noProof/>
        </w:rPr>
        <w:fldChar w:fldCharType="end"/>
      </w:r>
    </w:p>
    <w:p w14:paraId="1D551C8B" w14:textId="77777777" w:rsidR="00273FE5" w:rsidRDefault="00273FE5" w:rsidP="00392788">
      <w:pPr>
        <w:pStyle w:val="TableofFigures"/>
        <w:tabs>
          <w:tab w:val="right" w:leader="dot" w:pos="9730"/>
        </w:tabs>
        <w:rPr>
          <w:rFonts w:asciiTheme="minorHAnsi" w:hAnsiTheme="minorHAnsi"/>
          <w:noProof/>
          <w:sz w:val="24"/>
          <w:szCs w:val="24"/>
          <w:lang w:val="en-GB" w:eastAsia="zh-CN"/>
        </w:rPr>
      </w:pPr>
      <w:r>
        <w:rPr>
          <w:noProof/>
          <w:lang w:bidi="hi-IN"/>
        </w:rPr>
        <w:t>Table 6. Consolidated benefits</w:t>
      </w:r>
      <w:r>
        <w:rPr>
          <w:noProof/>
        </w:rPr>
        <w:tab/>
      </w:r>
      <w:r>
        <w:rPr>
          <w:noProof/>
        </w:rPr>
        <w:fldChar w:fldCharType="begin"/>
      </w:r>
      <w:r>
        <w:rPr>
          <w:noProof/>
        </w:rPr>
        <w:instrText xml:space="preserve"> PAGEREF _Toc479177729 \h </w:instrText>
      </w:r>
      <w:r>
        <w:rPr>
          <w:noProof/>
        </w:rPr>
      </w:r>
      <w:r>
        <w:rPr>
          <w:noProof/>
        </w:rPr>
        <w:fldChar w:fldCharType="separate"/>
      </w:r>
      <w:r w:rsidR="007B3054">
        <w:rPr>
          <w:noProof/>
        </w:rPr>
        <w:t>31</w:t>
      </w:r>
      <w:r>
        <w:rPr>
          <w:noProof/>
        </w:rPr>
        <w:fldChar w:fldCharType="end"/>
      </w:r>
    </w:p>
    <w:p w14:paraId="6534BB17" w14:textId="77777777" w:rsidR="00273FE5" w:rsidRDefault="00273FE5" w:rsidP="00392788">
      <w:pPr>
        <w:pStyle w:val="TableofFigures"/>
        <w:tabs>
          <w:tab w:val="right" w:leader="dot" w:pos="9730"/>
        </w:tabs>
        <w:rPr>
          <w:rFonts w:asciiTheme="minorHAnsi" w:hAnsiTheme="minorHAnsi"/>
          <w:noProof/>
          <w:sz w:val="24"/>
          <w:szCs w:val="24"/>
          <w:lang w:val="en-GB" w:eastAsia="zh-CN"/>
        </w:rPr>
      </w:pPr>
      <w:r>
        <w:rPr>
          <w:noProof/>
          <w:lang w:bidi="hi-IN"/>
        </w:rPr>
        <w:t>Table 7. Consolidated costs</w:t>
      </w:r>
      <w:r>
        <w:rPr>
          <w:noProof/>
        </w:rPr>
        <w:tab/>
      </w:r>
      <w:r>
        <w:rPr>
          <w:noProof/>
        </w:rPr>
        <w:fldChar w:fldCharType="begin"/>
      </w:r>
      <w:r>
        <w:rPr>
          <w:noProof/>
        </w:rPr>
        <w:instrText xml:space="preserve"> PAGEREF _Toc479177730 \h </w:instrText>
      </w:r>
      <w:r>
        <w:rPr>
          <w:noProof/>
        </w:rPr>
      </w:r>
      <w:r>
        <w:rPr>
          <w:noProof/>
        </w:rPr>
        <w:fldChar w:fldCharType="separate"/>
      </w:r>
      <w:r w:rsidR="007B3054">
        <w:rPr>
          <w:noProof/>
        </w:rPr>
        <w:t>32</w:t>
      </w:r>
      <w:r>
        <w:rPr>
          <w:noProof/>
        </w:rPr>
        <w:fldChar w:fldCharType="end"/>
      </w:r>
    </w:p>
    <w:p w14:paraId="32FA3CD8" w14:textId="77777777" w:rsidR="00273FE5" w:rsidRDefault="00273FE5" w:rsidP="00392788">
      <w:pPr>
        <w:pStyle w:val="TableofFigures"/>
        <w:tabs>
          <w:tab w:val="right" w:leader="dot" w:pos="9730"/>
        </w:tabs>
        <w:rPr>
          <w:rFonts w:asciiTheme="minorHAnsi" w:hAnsiTheme="minorHAnsi"/>
          <w:noProof/>
          <w:sz w:val="24"/>
          <w:szCs w:val="24"/>
          <w:lang w:val="en-GB" w:eastAsia="zh-CN"/>
        </w:rPr>
      </w:pPr>
      <w:r>
        <w:rPr>
          <w:noProof/>
          <w:lang w:bidi="hi-IN"/>
        </w:rPr>
        <w:t>Table 8. Rate of implementation sensitivity analysis</w:t>
      </w:r>
      <w:r>
        <w:rPr>
          <w:noProof/>
        </w:rPr>
        <w:tab/>
      </w:r>
      <w:r>
        <w:rPr>
          <w:noProof/>
        </w:rPr>
        <w:fldChar w:fldCharType="begin"/>
      </w:r>
      <w:r>
        <w:rPr>
          <w:noProof/>
        </w:rPr>
        <w:instrText xml:space="preserve"> PAGEREF _Toc479177731 \h </w:instrText>
      </w:r>
      <w:r>
        <w:rPr>
          <w:noProof/>
        </w:rPr>
      </w:r>
      <w:r>
        <w:rPr>
          <w:noProof/>
        </w:rPr>
        <w:fldChar w:fldCharType="separate"/>
      </w:r>
      <w:r w:rsidR="007B3054">
        <w:rPr>
          <w:noProof/>
        </w:rPr>
        <w:t>34</w:t>
      </w:r>
      <w:r>
        <w:rPr>
          <w:noProof/>
        </w:rPr>
        <w:fldChar w:fldCharType="end"/>
      </w:r>
    </w:p>
    <w:p w14:paraId="44FCFBFE" w14:textId="77777777" w:rsidR="00273FE5" w:rsidRDefault="00273FE5" w:rsidP="00392788">
      <w:pPr>
        <w:pStyle w:val="TableofFigures"/>
        <w:tabs>
          <w:tab w:val="right" w:leader="dot" w:pos="9730"/>
        </w:tabs>
        <w:rPr>
          <w:rFonts w:asciiTheme="minorHAnsi" w:hAnsiTheme="minorHAnsi"/>
          <w:noProof/>
          <w:sz w:val="24"/>
          <w:szCs w:val="24"/>
          <w:lang w:val="en-GB" w:eastAsia="zh-CN"/>
        </w:rPr>
      </w:pPr>
      <w:r>
        <w:rPr>
          <w:noProof/>
          <w:lang w:bidi="hi-IN"/>
        </w:rPr>
        <w:t>Table 9. Summary of main findings and clinical context for ASTN trials</w:t>
      </w:r>
      <w:r>
        <w:rPr>
          <w:noProof/>
        </w:rPr>
        <w:tab/>
      </w:r>
      <w:r>
        <w:rPr>
          <w:noProof/>
        </w:rPr>
        <w:fldChar w:fldCharType="begin"/>
      </w:r>
      <w:r>
        <w:rPr>
          <w:noProof/>
        </w:rPr>
        <w:instrText xml:space="preserve"> PAGEREF _Toc479177732 \h </w:instrText>
      </w:r>
      <w:r>
        <w:rPr>
          <w:noProof/>
        </w:rPr>
      </w:r>
      <w:r>
        <w:rPr>
          <w:noProof/>
        </w:rPr>
        <w:fldChar w:fldCharType="separate"/>
      </w:r>
      <w:r w:rsidR="007B3054">
        <w:rPr>
          <w:noProof/>
        </w:rPr>
        <w:t>36</w:t>
      </w:r>
      <w:r>
        <w:rPr>
          <w:noProof/>
        </w:rPr>
        <w:fldChar w:fldCharType="end"/>
      </w:r>
    </w:p>
    <w:p w14:paraId="385C0ABA" w14:textId="77777777" w:rsidR="00273FE5" w:rsidRDefault="00273FE5" w:rsidP="00392788">
      <w:pPr>
        <w:pStyle w:val="TableofFigures"/>
        <w:tabs>
          <w:tab w:val="right" w:leader="dot" w:pos="9730"/>
        </w:tabs>
        <w:rPr>
          <w:rFonts w:asciiTheme="minorHAnsi" w:hAnsiTheme="minorHAnsi"/>
          <w:noProof/>
          <w:sz w:val="24"/>
          <w:szCs w:val="24"/>
          <w:lang w:val="en-GB" w:eastAsia="zh-CN"/>
        </w:rPr>
      </w:pPr>
      <w:r>
        <w:rPr>
          <w:noProof/>
          <w:lang w:bidi="hi-IN"/>
        </w:rPr>
        <w:t>Table 10. Summary of main findings and clinical context for IMPACT Network trials</w:t>
      </w:r>
      <w:r>
        <w:rPr>
          <w:noProof/>
        </w:rPr>
        <w:tab/>
      </w:r>
      <w:r>
        <w:rPr>
          <w:noProof/>
        </w:rPr>
        <w:fldChar w:fldCharType="begin"/>
      </w:r>
      <w:r>
        <w:rPr>
          <w:noProof/>
        </w:rPr>
        <w:instrText xml:space="preserve"> PAGEREF _Toc479177733 \h </w:instrText>
      </w:r>
      <w:r>
        <w:rPr>
          <w:noProof/>
        </w:rPr>
      </w:r>
      <w:r>
        <w:rPr>
          <w:noProof/>
        </w:rPr>
        <w:fldChar w:fldCharType="separate"/>
      </w:r>
      <w:r w:rsidR="007B3054">
        <w:rPr>
          <w:noProof/>
        </w:rPr>
        <w:t>38</w:t>
      </w:r>
      <w:r>
        <w:rPr>
          <w:noProof/>
        </w:rPr>
        <w:fldChar w:fldCharType="end"/>
      </w:r>
    </w:p>
    <w:p w14:paraId="3E14580A" w14:textId="77777777" w:rsidR="00273FE5" w:rsidRDefault="00273FE5" w:rsidP="00392788">
      <w:pPr>
        <w:pStyle w:val="TableofFigures"/>
        <w:tabs>
          <w:tab w:val="right" w:leader="dot" w:pos="9730"/>
        </w:tabs>
        <w:rPr>
          <w:rFonts w:asciiTheme="minorHAnsi" w:hAnsiTheme="minorHAnsi"/>
          <w:noProof/>
          <w:sz w:val="24"/>
          <w:szCs w:val="24"/>
          <w:lang w:val="en-GB" w:eastAsia="zh-CN"/>
        </w:rPr>
      </w:pPr>
      <w:r>
        <w:rPr>
          <w:noProof/>
          <w:lang w:bidi="hi-IN"/>
        </w:rPr>
        <w:t>Table 11. Summary of main findings and clinical context for ANZICS CTG trials</w:t>
      </w:r>
      <w:r>
        <w:rPr>
          <w:noProof/>
        </w:rPr>
        <w:tab/>
      </w:r>
      <w:r>
        <w:rPr>
          <w:noProof/>
        </w:rPr>
        <w:fldChar w:fldCharType="begin"/>
      </w:r>
      <w:r>
        <w:rPr>
          <w:noProof/>
        </w:rPr>
        <w:instrText xml:space="preserve"> PAGEREF _Toc479177734 \h </w:instrText>
      </w:r>
      <w:r>
        <w:rPr>
          <w:noProof/>
        </w:rPr>
      </w:r>
      <w:r>
        <w:rPr>
          <w:noProof/>
        </w:rPr>
        <w:fldChar w:fldCharType="separate"/>
      </w:r>
      <w:r w:rsidR="007B3054">
        <w:rPr>
          <w:noProof/>
        </w:rPr>
        <w:t>40</w:t>
      </w:r>
      <w:r>
        <w:rPr>
          <w:noProof/>
        </w:rPr>
        <w:fldChar w:fldCharType="end"/>
      </w:r>
    </w:p>
    <w:p w14:paraId="4BDD98A3" w14:textId="77777777" w:rsidR="00A34277" w:rsidRDefault="00A22FA1" w:rsidP="00392788">
      <w:pPr>
        <w:pStyle w:val="TableofFigures"/>
        <w:tabs>
          <w:tab w:val="right" w:leader="dot" w:pos="9730"/>
        </w:tabs>
        <w:rPr>
          <w:noProof/>
        </w:rPr>
      </w:pPr>
      <w:r w:rsidRPr="00A22FA1">
        <w:rPr>
          <w:rFonts w:cs="Arial"/>
        </w:rPr>
        <w:fldChar w:fldCharType="end"/>
      </w:r>
      <w:r w:rsidRPr="00A22FA1">
        <w:fldChar w:fldCharType="begin"/>
      </w:r>
      <w:r w:rsidRPr="00A22FA1">
        <w:instrText xml:space="preserve"> TOC \c "Figure" </w:instrText>
      </w:r>
      <w:r w:rsidRPr="00A22FA1">
        <w:fldChar w:fldCharType="separate"/>
      </w:r>
    </w:p>
    <w:p w14:paraId="0F35832E" w14:textId="77777777" w:rsidR="00A34277" w:rsidRDefault="00A34277" w:rsidP="00392788">
      <w:pPr>
        <w:pStyle w:val="TableofFigures"/>
        <w:tabs>
          <w:tab w:val="right" w:leader="dot" w:pos="9730"/>
        </w:tabs>
        <w:rPr>
          <w:rFonts w:asciiTheme="minorHAnsi" w:hAnsiTheme="minorHAnsi"/>
          <w:noProof/>
          <w:sz w:val="24"/>
          <w:szCs w:val="24"/>
          <w:lang w:val="en-GB" w:eastAsia="zh-CN"/>
        </w:rPr>
      </w:pPr>
      <w:r>
        <w:rPr>
          <w:noProof/>
          <w:lang w:bidi="hi-IN"/>
        </w:rPr>
        <w:t>Figure 1</w:t>
      </w:r>
      <w:r w:rsidRPr="007C641E">
        <w:rPr>
          <w:noProof/>
          <w:color w:val="000000" w:themeColor="text1"/>
          <w:lang w:bidi="hi-IN"/>
        </w:rPr>
        <w:t xml:space="preserve">. </w:t>
      </w:r>
      <w:r>
        <w:rPr>
          <w:noProof/>
          <w:lang w:bidi="hi-IN"/>
        </w:rPr>
        <w:t>A self-improving healthcare system</w:t>
      </w:r>
      <w:r>
        <w:rPr>
          <w:noProof/>
        </w:rPr>
        <w:tab/>
      </w:r>
      <w:r>
        <w:rPr>
          <w:noProof/>
        </w:rPr>
        <w:fldChar w:fldCharType="begin"/>
      </w:r>
      <w:r>
        <w:rPr>
          <w:noProof/>
        </w:rPr>
        <w:instrText xml:space="preserve"> PAGEREF _Toc482629532 \h </w:instrText>
      </w:r>
      <w:r>
        <w:rPr>
          <w:noProof/>
        </w:rPr>
      </w:r>
      <w:r>
        <w:rPr>
          <w:noProof/>
        </w:rPr>
        <w:fldChar w:fldCharType="separate"/>
      </w:r>
      <w:r w:rsidR="007B3054">
        <w:rPr>
          <w:noProof/>
        </w:rPr>
        <w:t>10</w:t>
      </w:r>
      <w:r>
        <w:rPr>
          <w:noProof/>
        </w:rPr>
        <w:fldChar w:fldCharType="end"/>
      </w:r>
    </w:p>
    <w:p w14:paraId="12F626A6" w14:textId="77777777" w:rsidR="00A34277" w:rsidRDefault="00A34277" w:rsidP="00392788">
      <w:pPr>
        <w:pStyle w:val="TableofFigures"/>
        <w:tabs>
          <w:tab w:val="right" w:leader="dot" w:pos="9730"/>
        </w:tabs>
        <w:rPr>
          <w:rFonts w:asciiTheme="minorHAnsi" w:hAnsiTheme="minorHAnsi"/>
          <w:noProof/>
          <w:sz w:val="24"/>
          <w:szCs w:val="24"/>
          <w:lang w:val="en-GB" w:eastAsia="zh-CN"/>
        </w:rPr>
      </w:pPr>
      <w:r>
        <w:rPr>
          <w:noProof/>
          <w:lang w:bidi="hi-IN"/>
        </w:rPr>
        <w:t>Figure 2. Defining characteristics of clinical trials</w:t>
      </w:r>
      <w:r>
        <w:rPr>
          <w:noProof/>
        </w:rPr>
        <w:tab/>
      </w:r>
      <w:r>
        <w:rPr>
          <w:noProof/>
        </w:rPr>
        <w:fldChar w:fldCharType="begin"/>
      </w:r>
      <w:r>
        <w:rPr>
          <w:noProof/>
        </w:rPr>
        <w:instrText xml:space="preserve"> PAGEREF _Toc482629533 \h </w:instrText>
      </w:r>
      <w:r>
        <w:rPr>
          <w:noProof/>
        </w:rPr>
      </w:r>
      <w:r>
        <w:rPr>
          <w:noProof/>
        </w:rPr>
        <w:fldChar w:fldCharType="separate"/>
      </w:r>
      <w:r w:rsidR="007B3054">
        <w:rPr>
          <w:noProof/>
        </w:rPr>
        <w:t>11</w:t>
      </w:r>
      <w:r>
        <w:rPr>
          <w:noProof/>
        </w:rPr>
        <w:fldChar w:fldCharType="end"/>
      </w:r>
    </w:p>
    <w:p w14:paraId="083564DB" w14:textId="77777777" w:rsidR="00A34277" w:rsidRDefault="00A34277" w:rsidP="00392788">
      <w:pPr>
        <w:pStyle w:val="TableofFigures"/>
        <w:tabs>
          <w:tab w:val="right" w:leader="dot" w:pos="9730"/>
        </w:tabs>
        <w:rPr>
          <w:rFonts w:asciiTheme="minorHAnsi" w:hAnsiTheme="minorHAnsi"/>
          <w:noProof/>
          <w:sz w:val="24"/>
          <w:szCs w:val="24"/>
          <w:lang w:val="en-GB" w:eastAsia="zh-CN"/>
        </w:rPr>
      </w:pPr>
      <w:r>
        <w:rPr>
          <w:noProof/>
          <w:lang w:bidi="hi-IN"/>
        </w:rPr>
        <w:t>Figure 3. Types of trials included in the analysis</w:t>
      </w:r>
      <w:r>
        <w:rPr>
          <w:noProof/>
        </w:rPr>
        <w:tab/>
      </w:r>
      <w:r>
        <w:rPr>
          <w:noProof/>
        </w:rPr>
        <w:fldChar w:fldCharType="begin"/>
      </w:r>
      <w:r>
        <w:rPr>
          <w:noProof/>
        </w:rPr>
        <w:instrText xml:space="preserve"> PAGEREF _Toc482629534 \h </w:instrText>
      </w:r>
      <w:r>
        <w:rPr>
          <w:noProof/>
        </w:rPr>
      </w:r>
      <w:r>
        <w:rPr>
          <w:noProof/>
        </w:rPr>
        <w:fldChar w:fldCharType="separate"/>
      </w:r>
      <w:r w:rsidR="007B3054">
        <w:rPr>
          <w:noProof/>
        </w:rPr>
        <w:t>18</w:t>
      </w:r>
      <w:r>
        <w:rPr>
          <w:noProof/>
        </w:rPr>
        <w:fldChar w:fldCharType="end"/>
      </w:r>
    </w:p>
    <w:p w14:paraId="036AE208" w14:textId="77777777" w:rsidR="00A34277" w:rsidRDefault="00A34277" w:rsidP="00392788">
      <w:pPr>
        <w:pStyle w:val="TableofFigures"/>
        <w:tabs>
          <w:tab w:val="right" w:leader="dot" w:pos="9730"/>
        </w:tabs>
        <w:rPr>
          <w:rFonts w:asciiTheme="minorHAnsi" w:hAnsiTheme="minorHAnsi"/>
          <w:noProof/>
          <w:sz w:val="24"/>
          <w:szCs w:val="24"/>
          <w:lang w:val="en-GB" w:eastAsia="zh-CN"/>
        </w:rPr>
      </w:pPr>
      <w:r>
        <w:rPr>
          <w:noProof/>
          <w:lang w:bidi="hi-IN"/>
        </w:rPr>
        <w:t>Figure 4. Generic activity and funding structure of networks</w:t>
      </w:r>
      <w:r>
        <w:rPr>
          <w:noProof/>
        </w:rPr>
        <w:tab/>
      </w:r>
      <w:r>
        <w:rPr>
          <w:noProof/>
        </w:rPr>
        <w:fldChar w:fldCharType="begin"/>
      </w:r>
      <w:r>
        <w:rPr>
          <w:noProof/>
        </w:rPr>
        <w:instrText xml:space="preserve"> PAGEREF _Toc482629535 \h </w:instrText>
      </w:r>
      <w:r>
        <w:rPr>
          <w:noProof/>
        </w:rPr>
      </w:r>
      <w:r>
        <w:rPr>
          <w:noProof/>
        </w:rPr>
        <w:fldChar w:fldCharType="separate"/>
      </w:r>
      <w:r w:rsidR="007B3054">
        <w:rPr>
          <w:noProof/>
        </w:rPr>
        <w:t>25</w:t>
      </w:r>
      <w:r>
        <w:rPr>
          <w:noProof/>
        </w:rPr>
        <w:fldChar w:fldCharType="end"/>
      </w:r>
    </w:p>
    <w:p w14:paraId="366DF06C" w14:textId="77777777" w:rsidR="00A34277" w:rsidRDefault="00A34277" w:rsidP="00392788">
      <w:pPr>
        <w:pStyle w:val="TableofFigures"/>
        <w:tabs>
          <w:tab w:val="right" w:leader="dot" w:pos="9730"/>
        </w:tabs>
        <w:rPr>
          <w:rFonts w:asciiTheme="minorHAnsi" w:hAnsiTheme="minorHAnsi"/>
          <w:noProof/>
          <w:sz w:val="24"/>
          <w:szCs w:val="24"/>
          <w:lang w:val="en-GB" w:eastAsia="zh-CN"/>
        </w:rPr>
      </w:pPr>
      <w:r>
        <w:rPr>
          <w:noProof/>
          <w:lang w:bidi="hi-IN"/>
        </w:rPr>
        <w:t>Figure 5. Consolidated health and economic impact</w:t>
      </w:r>
      <w:r>
        <w:rPr>
          <w:noProof/>
        </w:rPr>
        <w:tab/>
      </w:r>
      <w:r>
        <w:rPr>
          <w:noProof/>
        </w:rPr>
        <w:fldChar w:fldCharType="begin"/>
      </w:r>
      <w:r>
        <w:rPr>
          <w:noProof/>
        </w:rPr>
        <w:instrText xml:space="preserve"> PAGEREF _Toc482629536 \h </w:instrText>
      </w:r>
      <w:r>
        <w:rPr>
          <w:noProof/>
        </w:rPr>
      </w:r>
      <w:r>
        <w:rPr>
          <w:noProof/>
        </w:rPr>
        <w:fldChar w:fldCharType="separate"/>
      </w:r>
      <w:r w:rsidR="007B3054">
        <w:rPr>
          <w:noProof/>
        </w:rPr>
        <w:t>29</w:t>
      </w:r>
      <w:r>
        <w:rPr>
          <w:noProof/>
        </w:rPr>
        <w:fldChar w:fldCharType="end"/>
      </w:r>
    </w:p>
    <w:p w14:paraId="32AD3CD2" w14:textId="77777777" w:rsidR="00A34277" w:rsidRDefault="00A34277" w:rsidP="00392788">
      <w:pPr>
        <w:pStyle w:val="TableofFigures"/>
        <w:tabs>
          <w:tab w:val="right" w:leader="dot" w:pos="9730"/>
        </w:tabs>
        <w:rPr>
          <w:rFonts w:asciiTheme="minorHAnsi" w:hAnsiTheme="minorHAnsi"/>
          <w:noProof/>
          <w:sz w:val="24"/>
          <w:szCs w:val="24"/>
          <w:lang w:val="en-GB" w:eastAsia="zh-CN"/>
        </w:rPr>
      </w:pPr>
      <w:r>
        <w:rPr>
          <w:noProof/>
          <w:lang w:bidi="hi-IN"/>
        </w:rPr>
        <w:t>Figure 6. Benefits and costs for trials conducted by the ASTN</w:t>
      </w:r>
      <w:r>
        <w:rPr>
          <w:noProof/>
        </w:rPr>
        <w:tab/>
      </w:r>
      <w:r>
        <w:rPr>
          <w:noProof/>
        </w:rPr>
        <w:fldChar w:fldCharType="begin"/>
      </w:r>
      <w:r>
        <w:rPr>
          <w:noProof/>
        </w:rPr>
        <w:instrText xml:space="preserve"> PAGEREF _Toc482629537 \h </w:instrText>
      </w:r>
      <w:r>
        <w:rPr>
          <w:noProof/>
        </w:rPr>
      </w:r>
      <w:r>
        <w:rPr>
          <w:noProof/>
        </w:rPr>
        <w:fldChar w:fldCharType="separate"/>
      </w:r>
      <w:r w:rsidR="007B3054">
        <w:rPr>
          <w:noProof/>
        </w:rPr>
        <w:t>35</w:t>
      </w:r>
      <w:r>
        <w:rPr>
          <w:noProof/>
        </w:rPr>
        <w:fldChar w:fldCharType="end"/>
      </w:r>
    </w:p>
    <w:p w14:paraId="3B03191C" w14:textId="77777777" w:rsidR="00A34277" w:rsidRDefault="00A34277" w:rsidP="00392788">
      <w:pPr>
        <w:pStyle w:val="TableofFigures"/>
        <w:tabs>
          <w:tab w:val="right" w:leader="dot" w:pos="9730"/>
        </w:tabs>
        <w:rPr>
          <w:rFonts w:asciiTheme="minorHAnsi" w:hAnsiTheme="minorHAnsi"/>
          <w:noProof/>
          <w:sz w:val="24"/>
          <w:szCs w:val="24"/>
          <w:lang w:val="en-GB" w:eastAsia="zh-CN"/>
        </w:rPr>
      </w:pPr>
      <w:r>
        <w:rPr>
          <w:noProof/>
          <w:lang w:bidi="hi-IN"/>
        </w:rPr>
        <w:t>Figure 7. Benefits and costs for trials conducted by the IMPACT network</w:t>
      </w:r>
      <w:r>
        <w:rPr>
          <w:noProof/>
        </w:rPr>
        <w:tab/>
      </w:r>
      <w:r>
        <w:rPr>
          <w:noProof/>
        </w:rPr>
        <w:fldChar w:fldCharType="begin"/>
      </w:r>
      <w:r>
        <w:rPr>
          <w:noProof/>
        </w:rPr>
        <w:instrText xml:space="preserve"> PAGEREF _Toc482629538 \h </w:instrText>
      </w:r>
      <w:r>
        <w:rPr>
          <w:noProof/>
        </w:rPr>
      </w:r>
      <w:r>
        <w:rPr>
          <w:noProof/>
        </w:rPr>
        <w:fldChar w:fldCharType="separate"/>
      </w:r>
      <w:r w:rsidR="007B3054">
        <w:rPr>
          <w:noProof/>
        </w:rPr>
        <w:t>37</w:t>
      </w:r>
      <w:r>
        <w:rPr>
          <w:noProof/>
        </w:rPr>
        <w:fldChar w:fldCharType="end"/>
      </w:r>
    </w:p>
    <w:p w14:paraId="00E71254" w14:textId="77777777" w:rsidR="00A34277" w:rsidRDefault="00A34277" w:rsidP="00392788">
      <w:pPr>
        <w:pStyle w:val="TableofFigures"/>
        <w:tabs>
          <w:tab w:val="right" w:leader="dot" w:pos="9730"/>
        </w:tabs>
        <w:rPr>
          <w:rFonts w:asciiTheme="minorHAnsi" w:hAnsiTheme="minorHAnsi"/>
          <w:noProof/>
          <w:sz w:val="24"/>
          <w:szCs w:val="24"/>
          <w:lang w:val="en-GB" w:eastAsia="zh-CN"/>
        </w:rPr>
      </w:pPr>
      <w:r>
        <w:rPr>
          <w:noProof/>
          <w:lang w:bidi="hi-IN"/>
        </w:rPr>
        <w:t>Figure 8. Benefits and costs for trials conducted by the ANZICS CTG.</w:t>
      </w:r>
      <w:r>
        <w:rPr>
          <w:noProof/>
        </w:rPr>
        <w:tab/>
      </w:r>
      <w:r>
        <w:rPr>
          <w:noProof/>
        </w:rPr>
        <w:fldChar w:fldCharType="begin"/>
      </w:r>
      <w:r>
        <w:rPr>
          <w:noProof/>
        </w:rPr>
        <w:instrText xml:space="preserve"> PAGEREF _Toc482629539 \h </w:instrText>
      </w:r>
      <w:r>
        <w:rPr>
          <w:noProof/>
        </w:rPr>
      </w:r>
      <w:r>
        <w:rPr>
          <w:noProof/>
        </w:rPr>
        <w:fldChar w:fldCharType="separate"/>
      </w:r>
      <w:r w:rsidR="007B3054">
        <w:rPr>
          <w:noProof/>
        </w:rPr>
        <w:t>39</w:t>
      </w:r>
      <w:r>
        <w:rPr>
          <w:noProof/>
        </w:rPr>
        <w:fldChar w:fldCharType="end"/>
      </w:r>
    </w:p>
    <w:p w14:paraId="73C3A40E" w14:textId="6F24E4AE" w:rsidR="00A22FA1" w:rsidRDefault="00A22FA1" w:rsidP="00392788">
      <w:pPr>
        <w:spacing w:line="276" w:lineRule="auto"/>
      </w:pPr>
      <w:r w:rsidRPr="00A22FA1">
        <w:rPr>
          <w:rFonts w:asciiTheme="minorBidi" w:hAnsiTheme="minorBidi"/>
          <w:szCs w:val="24"/>
        </w:rPr>
        <w:fldChar w:fldCharType="end"/>
      </w:r>
      <w:r>
        <w:br w:type="page"/>
      </w:r>
    </w:p>
    <w:p w14:paraId="316920BE" w14:textId="77777777" w:rsidR="00710ECB" w:rsidRDefault="00710ECB" w:rsidP="00710ECB">
      <w:pPr>
        <w:pStyle w:val="Heading1"/>
        <w:spacing w:before="120" w:after="240"/>
      </w:pPr>
      <w:bookmarkStart w:id="130" w:name="_Toc487184539"/>
      <w:r>
        <w:lastRenderedPageBreak/>
        <w:t xml:space="preserve">Technical </w:t>
      </w:r>
      <w:r w:rsidRPr="00BC0A8C">
        <w:t>Appendices</w:t>
      </w:r>
      <w:bookmarkEnd w:id="130"/>
      <w:r>
        <w:br/>
      </w:r>
    </w:p>
    <w:p w14:paraId="77B08324" w14:textId="73E0291C" w:rsidR="00710ECB" w:rsidRDefault="00710ECB" w:rsidP="00915516">
      <w:pPr>
        <w:pStyle w:val="Heading2"/>
      </w:pPr>
      <w:bookmarkStart w:id="131" w:name="_Toc475352784"/>
      <w:bookmarkStart w:id="132" w:name="_Toc475352786"/>
      <w:bookmarkStart w:id="133" w:name="_Toc487184540"/>
      <w:bookmarkEnd w:id="122"/>
      <w:bookmarkEnd w:id="123"/>
      <w:bookmarkEnd w:id="124"/>
      <w:bookmarkEnd w:id="125"/>
      <w:bookmarkEnd w:id="126"/>
      <w:bookmarkEnd w:id="127"/>
      <w:bookmarkEnd w:id="131"/>
      <w:bookmarkEnd w:id="132"/>
      <w:r>
        <w:t>Appendix A: Network level results</w:t>
      </w:r>
      <w:bookmarkEnd w:id="133"/>
    </w:p>
    <w:p w14:paraId="57677EE0" w14:textId="39C9CC70" w:rsidR="00AB7B28" w:rsidRDefault="00AB7B28" w:rsidP="00392788">
      <w:pPr>
        <w:pStyle w:val="Commissionbodytext"/>
        <w:rPr>
          <w:i/>
        </w:rPr>
      </w:pPr>
      <w:r w:rsidRPr="00F074A5">
        <w:t>This appendix presents the results of the health and economic evaluation at case study network level. Results for the individual trials analysed within each network are provided. Findings are derived from a combination of the quantitative analysis described in the methodology section, and through literature review and qualitative interviews with network stakeholders and trialists</w:t>
      </w:r>
      <w:r w:rsidRPr="001471FE">
        <w:rPr>
          <w:i/>
        </w:rPr>
        <w:t>.</w:t>
      </w:r>
      <w:r w:rsidR="002D3BB9">
        <w:rPr>
          <w:i/>
        </w:rPr>
        <w:t xml:space="preserve"> </w:t>
      </w:r>
    </w:p>
    <w:p w14:paraId="0DB4B2C4" w14:textId="77777777" w:rsidR="00B4479A" w:rsidRDefault="00B4479A" w:rsidP="00392788">
      <w:pPr>
        <w:pStyle w:val="Commissionbodytext"/>
        <w:rPr>
          <w:i/>
        </w:rPr>
      </w:pPr>
    </w:p>
    <w:p w14:paraId="370FEBEE" w14:textId="77777777" w:rsidR="0026326D" w:rsidRDefault="00E25849">
      <w:pPr>
        <w:pStyle w:val="TableofFigures"/>
        <w:tabs>
          <w:tab w:val="right" w:leader="dot" w:pos="9730"/>
        </w:tabs>
        <w:rPr>
          <w:rFonts w:asciiTheme="minorHAnsi" w:hAnsiTheme="minorHAnsi"/>
          <w:noProof/>
          <w:sz w:val="24"/>
          <w:szCs w:val="24"/>
          <w:lang w:val="en-GB" w:eastAsia="zh-CN"/>
        </w:rPr>
      </w:pPr>
      <w:r>
        <w:rPr>
          <w:i/>
        </w:rPr>
        <w:fldChar w:fldCharType="begin"/>
      </w:r>
      <w:r>
        <w:rPr>
          <w:i/>
        </w:rPr>
        <w:instrText xml:space="preserve"> TOC \c "Appendix A Table" </w:instrText>
      </w:r>
      <w:r>
        <w:rPr>
          <w:i/>
        </w:rPr>
        <w:fldChar w:fldCharType="separate"/>
      </w:r>
      <w:r w:rsidR="0026326D">
        <w:rPr>
          <w:noProof/>
          <w:lang w:bidi="hi-IN"/>
        </w:rPr>
        <w:t>Appendix A Table 1. ASTN historical activity profile</w:t>
      </w:r>
      <w:r w:rsidR="0026326D">
        <w:rPr>
          <w:noProof/>
        </w:rPr>
        <w:tab/>
      </w:r>
      <w:r w:rsidR="0026326D">
        <w:rPr>
          <w:noProof/>
        </w:rPr>
        <w:fldChar w:fldCharType="begin"/>
      </w:r>
      <w:r w:rsidR="0026326D">
        <w:rPr>
          <w:noProof/>
        </w:rPr>
        <w:instrText xml:space="preserve"> PAGEREF _Toc479177411 \h </w:instrText>
      </w:r>
      <w:r w:rsidR="0026326D">
        <w:rPr>
          <w:noProof/>
        </w:rPr>
      </w:r>
      <w:r w:rsidR="0026326D">
        <w:rPr>
          <w:noProof/>
        </w:rPr>
        <w:fldChar w:fldCharType="separate"/>
      </w:r>
      <w:r w:rsidR="007B3054">
        <w:rPr>
          <w:noProof/>
        </w:rPr>
        <w:t>52</w:t>
      </w:r>
      <w:r w:rsidR="0026326D">
        <w:rPr>
          <w:noProof/>
        </w:rPr>
        <w:fldChar w:fldCharType="end"/>
      </w:r>
    </w:p>
    <w:p w14:paraId="78DAD74F" w14:textId="77777777" w:rsidR="0026326D" w:rsidRDefault="0026326D">
      <w:pPr>
        <w:pStyle w:val="TableofFigures"/>
        <w:tabs>
          <w:tab w:val="right" w:leader="dot" w:pos="9730"/>
        </w:tabs>
        <w:rPr>
          <w:rFonts w:asciiTheme="minorHAnsi" w:hAnsiTheme="minorHAnsi"/>
          <w:noProof/>
          <w:sz w:val="24"/>
          <w:szCs w:val="24"/>
          <w:lang w:val="en-GB" w:eastAsia="zh-CN"/>
        </w:rPr>
      </w:pPr>
      <w:r>
        <w:rPr>
          <w:noProof/>
          <w:lang w:bidi="hi-IN"/>
        </w:rPr>
        <w:t>Appendix A Table 2. ASTN network costs</w:t>
      </w:r>
      <w:r>
        <w:rPr>
          <w:noProof/>
        </w:rPr>
        <w:tab/>
      </w:r>
      <w:r>
        <w:rPr>
          <w:noProof/>
        </w:rPr>
        <w:fldChar w:fldCharType="begin"/>
      </w:r>
      <w:r>
        <w:rPr>
          <w:noProof/>
        </w:rPr>
        <w:instrText xml:space="preserve"> PAGEREF _Toc479177412 \h </w:instrText>
      </w:r>
      <w:r>
        <w:rPr>
          <w:noProof/>
        </w:rPr>
      </w:r>
      <w:r>
        <w:rPr>
          <w:noProof/>
        </w:rPr>
        <w:fldChar w:fldCharType="separate"/>
      </w:r>
      <w:r w:rsidR="007B3054">
        <w:rPr>
          <w:noProof/>
        </w:rPr>
        <w:t>54</w:t>
      </w:r>
      <w:r>
        <w:rPr>
          <w:noProof/>
        </w:rPr>
        <w:fldChar w:fldCharType="end"/>
      </w:r>
    </w:p>
    <w:p w14:paraId="7E82E755" w14:textId="77777777" w:rsidR="0026326D" w:rsidRDefault="0026326D">
      <w:pPr>
        <w:pStyle w:val="TableofFigures"/>
        <w:tabs>
          <w:tab w:val="right" w:leader="dot" w:pos="9730"/>
        </w:tabs>
        <w:rPr>
          <w:rFonts w:asciiTheme="minorHAnsi" w:hAnsiTheme="minorHAnsi"/>
          <w:noProof/>
          <w:sz w:val="24"/>
          <w:szCs w:val="24"/>
          <w:lang w:val="en-GB" w:eastAsia="zh-CN"/>
        </w:rPr>
      </w:pPr>
      <w:r>
        <w:rPr>
          <w:noProof/>
          <w:lang w:bidi="hi-IN"/>
        </w:rPr>
        <w:t>Appendix A Table 3. ASTN trial costs</w:t>
      </w:r>
      <w:r>
        <w:rPr>
          <w:noProof/>
        </w:rPr>
        <w:tab/>
      </w:r>
      <w:r>
        <w:rPr>
          <w:noProof/>
        </w:rPr>
        <w:fldChar w:fldCharType="begin"/>
      </w:r>
      <w:r>
        <w:rPr>
          <w:noProof/>
        </w:rPr>
        <w:instrText xml:space="preserve"> PAGEREF _Toc479177413 \h </w:instrText>
      </w:r>
      <w:r>
        <w:rPr>
          <w:noProof/>
        </w:rPr>
      </w:r>
      <w:r>
        <w:rPr>
          <w:noProof/>
        </w:rPr>
        <w:fldChar w:fldCharType="separate"/>
      </w:r>
      <w:r w:rsidR="007B3054">
        <w:rPr>
          <w:noProof/>
        </w:rPr>
        <w:t>55</w:t>
      </w:r>
      <w:r>
        <w:rPr>
          <w:noProof/>
        </w:rPr>
        <w:fldChar w:fldCharType="end"/>
      </w:r>
    </w:p>
    <w:p w14:paraId="7EF1AEF9" w14:textId="77777777" w:rsidR="0026326D" w:rsidRDefault="0026326D">
      <w:pPr>
        <w:pStyle w:val="TableofFigures"/>
        <w:tabs>
          <w:tab w:val="right" w:leader="dot" w:pos="9730"/>
        </w:tabs>
        <w:rPr>
          <w:rFonts w:asciiTheme="minorHAnsi" w:hAnsiTheme="minorHAnsi"/>
          <w:noProof/>
          <w:sz w:val="24"/>
          <w:szCs w:val="24"/>
          <w:lang w:val="en-GB" w:eastAsia="zh-CN"/>
        </w:rPr>
      </w:pPr>
      <w:r>
        <w:rPr>
          <w:noProof/>
          <w:lang w:bidi="hi-IN"/>
        </w:rPr>
        <w:t>Appendix A Table 4. ASTN trial benefits</w:t>
      </w:r>
      <w:r>
        <w:rPr>
          <w:noProof/>
        </w:rPr>
        <w:tab/>
      </w:r>
      <w:r>
        <w:rPr>
          <w:noProof/>
        </w:rPr>
        <w:fldChar w:fldCharType="begin"/>
      </w:r>
      <w:r>
        <w:rPr>
          <w:noProof/>
        </w:rPr>
        <w:instrText xml:space="preserve"> PAGEREF _Toc479177414 \h </w:instrText>
      </w:r>
      <w:r>
        <w:rPr>
          <w:noProof/>
        </w:rPr>
      </w:r>
      <w:r>
        <w:rPr>
          <w:noProof/>
        </w:rPr>
        <w:fldChar w:fldCharType="separate"/>
      </w:r>
      <w:r w:rsidR="007B3054">
        <w:rPr>
          <w:noProof/>
        </w:rPr>
        <w:t>56</w:t>
      </w:r>
      <w:r>
        <w:rPr>
          <w:noProof/>
        </w:rPr>
        <w:fldChar w:fldCharType="end"/>
      </w:r>
    </w:p>
    <w:p w14:paraId="18D2737B" w14:textId="77777777" w:rsidR="0026326D" w:rsidRDefault="0026326D">
      <w:pPr>
        <w:pStyle w:val="TableofFigures"/>
        <w:tabs>
          <w:tab w:val="right" w:leader="dot" w:pos="9730"/>
        </w:tabs>
        <w:rPr>
          <w:rFonts w:asciiTheme="minorHAnsi" w:hAnsiTheme="minorHAnsi"/>
          <w:noProof/>
          <w:sz w:val="24"/>
          <w:szCs w:val="24"/>
          <w:lang w:val="en-GB" w:eastAsia="zh-CN"/>
        </w:rPr>
      </w:pPr>
      <w:r>
        <w:rPr>
          <w:noProof/>
          <w:lang w:bidi="hi-IN"/>
        </w:rPr>
        <w:t>Appendix A Table 5. IMPACT historical activity profile</w:t>
      </w:r>
      <w:r>
        <w:rPr>
          <w:noProof/>
        </w:rPr>
        <w:tab/>
      </w:r>
      <w:r>
        <w:rPr>
          <w:noProof/>
        </w:rPr>
        <w:fldChar w:fldCharType="begin"/>
      </w:r>
      <w:r>
        <w:rPr>
          <w:noProof/>
        </w:rPr>
        <w:instrText xml:space="preserve"> PAGEREF _Toc479177415 \h </w:instrText>
      </w:r>
      <w:r>
        <w:rPr>
          <w:noProof/>
        </w:rPr>
      </w:r>
      <w:r>
        <w:rPr>
          <w:noProof/>
        </w:rPr>
        <w:fldChar w:fldCharType="separate"/>
      </w:r>
      <w:r w:rsidR="007B3054">
        <w:rPr>
          <w:noProof/>
        </w:rPr>
        <w:t>58</w:t>
      </w:r>
      <w:r>
        <w:rPr>
          <w:noProof/>
        </w:rPr>
        <w:fldChar w:fldCharType="end"/>
      </w:r>
    </w:p>
    <w:p w14:paraId="5CA4F43F" w14:textId="77777777" w:rsidR="0026326D" w:rsidRDefault="0026326D">
      <w:pPr>
        <w:pStyle w:val="TableofFigures"/>
        <w:tabs>
          <w:tab w:val="right" w:leader="dot" w:pos="9730"/>
        </w:tabs>
        <w:rPr>
          <w:rFonts w:asciiTheme="minorHAnsi" w:hAnsiTheme="minorHAnsi"/>
          <w:noProof/>
          <w:sz w:val="24"/>
          <w:szCs w:val="24"/>
          <w:lang w:val="en-GB" w:eastAsia="zh-CN"/>
        </w:rPr>
      </w:pPr>
      <w:r>
        <w:rPr>
          <w:noProof/>
          <w:lang w:bidi="hi-IN"/>
        </w:rPr>
        <w:t>Appendix A Table 6. IMPACT network costs</w:t>
      </w:r>
      <w:r>
        <w:rPr>
          <w:noProof/>
        </w:rPr>
        <w:tab/>
      </w:r>
      <w:r>
        <w:rPr>
          <w:noProof/>
        </w:rPr>
        <w:fldChar w:fldCharType="begin"/>
      </w:r>
      <w:r>
        <w:rPr>
          <w:noProof/>
        </w:rPr>
        <w:instrText xml:space="preserve"> PAGEREF _Toc479177416 \h </w:instrText>
      </w:r>
      <w:r>
        <w:rPr>
          <w:noProof/>
        </w:rPr>
      </w:r>
      <w:r>
        <w:rPr>
          <w:noProof/>
        </w:rPr>
        <w:fldChar w:fldCharType="separate"/>
      </w:r>
      <w:r w:rsidR="007B3054">
        <w:rPr>
          <w:noProof/>
        </w:rPr>
        <w:t>60</w:t>
      </w:r>
      <w:r>
        <w:rPr>
          <w:noProof/>
        </w:rPr>
        <w:fldChar w:fldCharType="end"/>
      </w:r>
    </w:p>
    <w:p w14:paraId="3F3B086D" w14:textId="77777777" w:rsidR="0026326D" w:rsidRDefault="0026326D">
      <w:pPr>
        <w:pStyle w:val="TableofFigures"/>
        <w:tabs>
          <w:tab w:val="right" w:leader="dot" w:pos="9730"/>
        </w:tabs>
        <w:rPr>
          <w:rFonts w:asciiTheme="minorHAnsi" w:hAnsiTheme="minorHAnsi"/>
          <w:noProof/>
          <w:sz w:val="24"/>
          <w:szCs w:val="24"/>
          <w:lang w:val="en-GB" w:eastAsia="zh-CN"/>
        </w:rPr>
      </w:pPr>
      <w:r>
        <w:rPr>
          <w:noProof/>
          <w:lang w:bidi="hi-IN"/>
        </w:rPr>
        <w:t>Appendix A Table 7. IMPACT trial costs</w:t>
      </w:r>
      <w:r>
        <w:rPr>
          <w:noProof/>
        </w:rPr>
        <w:tab/>
      </w:r>
      <w:r>
        <w:rPr>
          <w:noProof/>
        </w:rPr>
        <w:fldChar w:fldCharType="begin"/>
      </w:r>
      <w:r>
        <w:rPr>
          <w:noProof/>
        </w:rPr>
        <w:instrText xml:space="preserve"> PAGEREF _Toc479177417 \h </w:instrText>
      </w:r>
      <w:r>
        <w:rPr>
          <w:noProof/>
        </w:rPr>
      </w:r>
      <w:r>
        <w:rPr>
          <w:noProof/>
        </w:rPr>
        <w:fldChar w:fldCharType="separate"/>
      </w:r>
      <w:r w:rsidR="007B3054">
        <w:rPr>
          <w:noProof/>
        </w:rPr>
        <w:t>61</w:t>
      </w:r>
      <w:r>
        <w:rPr>
          <w:noProof/>
        </w:rPr>
        <w:fldChar w:fldCharType="end"/>
      </w:r>
    </w:p>
    <w:p w14:paraId="56BF1AE2" w14:textId="77777777" w:rsidR="0026326D" w:rsidRDefault="0026326D">
      <w:pPr>
        <w:pStyle w:val="TableofFigures"/>
        <w:tabs>
          <w:tab w:val="right" w:leader="dot" w:pos="9730"/>
        </w:tabs>
        <w:rPr>
          <w:rFonts w:asciiTheme="minorHAnsi" w:hAnsiTheme="minorHAnsi"/>
          <w:noProof/>
          <w:sz w:val="24"/>
          <w:szCs w:val="24"/>
          <w:lang w:val="en-GB" w:eastAsia="zh-CN"/>
        </w:rPr>
      </w:pPr>
      <w:r>
        <w:rPr>
          <w:noProof/>
          <w:lang w:bidi="hi-IN"/>
        </w:rPr>
        <w:t>Appendix A Table 8. IMPACT trial benefits</w:t>
      </w:r>
      <w:r>
        <w:rPr>
          <w:noProof/>
        </w:rPr>
        <w:tab/>
      </w:r>
      <w:r>
        <w:rPr>
          <w:noProof/>
        </w:rPr>
        <w:fldChar w:fldCharType="begin"/>
      </w:r>
      <w:r>
        <w:rPr>
          <w:noProof/>
        </w:rPr>
        <w:instrText xml:space="preserve"> PAGEREF _Toc479177418 \h </w:instrText>
      </w:r>
      <w:r>
        <w:rPr>
          <w:noProof/>
        </w:rPr>
      </w:r>
      <w:r>
        <w:rPr>
          <w:noProof/>
        </w:rPr>
        <w:fldChar w:fldCharType="separate"/>
      </w:r>
      <w:r w:rsidR="007B3054">
        <w:rPr>
          <w:noProof/>
        </w:rPr>
        <w:t>62</w:t>
      </w:r>
      <w:r>
        <w:rPr>
          <w:noProof/>
        </w:rPr>
        <w:fldChar w:fldCharType="end"/>
      </w:r>
    </w:p>
    <w:p w14:paraId="7C772F68" w14:textId="77777777" w:rsidR="0026326D" w:rsidRDefault="0026326D">
      <w:pPr>
        <w:pStyle w:val="TableofFigures"/>
        <w:tabs>
          <w:tab w:val="right" w:leader="dot" w:pos="9730"/>
        </w:tabs>
        <w:rPr>
          <w:rFonts w:asciiTheme="minorHAnsi" w:hAnsiTheme="minorHAnsi"/>
          <w:noProof/>
          <w:sz w:val="24"/>
          <w:szCs w:val="24"/>
          <w:lang w:val="en-GB" w:eastAsia="zh-CN"/>
        </w:rPr>
      </w:pPr>
      <w:r>
        <w:rPr>
          <w:noProof/>
          <w:lang w:bidi="hi-IN"/>
        </w:rPr>
        <w:t>Appendix A Table 9. ANZICS CTG historical activity profile</w:t>
      </w:r>
      <w:r>
        <w:rPr>
          <w:noProof/>
        </w:rPr>
        <w:tab/>
      </w:r>
      <w:r>
        <w:rPr>
          <w:noProof/>
        </w:rPr>
        <w:fldChar w:fldCharType="begin"/>
      </w:r>
      <w:r>
        <w:rPr>
          <w:noProof/>
        </w:rPr>
        <w:instrText xml:space="preserve"> PAGEREF _Toc479177419 \h </w:instrText>
      </w:r>
      <w:r>
        <w:rPr>
          <w:noProof/>
        </w:rPr>
      </w:r>
      <w:r>
        <w:rPr>
          <w:noProof/>
        </w:rPr>
        <w:fldChar w:fldCharType="separate"/>
      </w:r>
      <w:r w:rsidR="007B3054">
        <w:rPr>
          <w:noProof/>
        </w:rPr>
        <w:t>65</w:t>
      </w:r>
      <w:r>
        <w:rPr>
          <w:noProof/>
        </w:rPr>
        <w:fldChar w:fldCharType="end"/>
      </w:r>
    </w:p>
    <w:p w14:paraId="0362AAC9" w14:textId="77777777" w:rsidR="0026326D" w:rsidRDefault="0026326D">
      <w:pPr>
        <w:pStyle w:val="TableofFigures"/>
        <w:tabs>
          <w:tab w:val="right" w:leader="dot" w:pos="9730"/>
        </w:tabs>
        <w:rPr>
          <w:rFonts w:asciiTheme="minorHAnsi" w:hAnsiTheme="minorHAnsi"/>
          <w:noProof/>
          <w:sz w:val="24"/>
          <w:szCs w:val="24"/>
          <w:lang w:val="en-GB" w:eastAsia="zh-CN"/>
        </w:rPr>
      </w:pPr>
      <w:r>
        <w:rPr>
          <w:noProof/>
          <w:lang w:bidi="hi-IN"/>
        </w:rPr>
        <w:t>Appendix A Table 10. ANZICS CTG network costs</w:t>
      </w:r>
      <w:r>
        <w:rPr>
          <w:noProof/>
        </w:rPr>
        <w:tab/>
      </w:r>
      <w:r>
        <w:rPr>
          <w:noProof/>
        </w:rPr>
        <w:fldChar w:fldCharType="begin"/>
      </w:r>
      <w:r>
        <w:rPr>
          <w:noProof/>
        </w:rPr>
        <w:instrText xml:space="preserve"> PAGEREF _Toc479177420 \h </w:instrText>
      </w:r>
      <w:r>
        <w:rPr>
          <w:noProof/>
        </w:rPr>
      </w:r>
      <w:r>
        <w:rPr>
          <w:noProof/>
        </w:rPr>
        <w:fldChar w:fldCharType="separate"/>
      </w:r>
      <w:r w:rsidR="007B3054">
        <w:rPr>
          <w:noProof/>
        </w:rPr>
        <w:t>68</w:t>
      </w:r>
      <w:r>
        <w:rPr>
          <w:noProof/>
        </w:rPr>
        <w:fldChar w:fldCharType="end"/>
      </w:r>
    </w:p>
    <w:p w14:paraId="7B3E9A30" w14:textId="77777777" w:rsidR="0026326D" w:rsidRDefault="0026326D">
      <w:pPr>
        <w:pStyle w:val="TableofFigures"/>
        <w:tabs>
          <w:tab w:val="right" w:leader="dot" w:pos="9730"/>
        </w:tabs>
        <w:rPr>
          <w:rFonts w:asciiTheme="minorHAnsi" w:hAnsiTheme="minorHAnsi"/>
          <w:noProof/>
          <w:sz w:val="24"/>
          <w:szCs w:val="24"/>
          <w:lang w:val="en-GB" w:eastAsia="zh-CN"/>
        </w:rPr>
      </w:pPr>
      <w:r>
        <w:rPr>
          <w:noProof/>
          <w:lang w:bidi="hi-IN"/>
        </w:rPr>
        <w:t xml:space="preserve">Appendix A Table 11. ANZICS CTG trial costs </w:t>
      </w:r>
      <w:r>
        <w:rPr>
          <w:noProof/>
        </w:rPr>
        <w:tab/>
      </w:r>
      <w:r>
        <w:rPr>
          <w:noProof/>
        </w:rPr>
        <w:fldChar w:fldCharType="begin"/>
      </w:r>
      <w:r>
        <w:rPr>
          <w:noProof/>
        </w:rPr>
        <w:instrText xml:space="preserve"> PAGEREF _Toc479177421 \h </w:instrText>
      </w:r>
      <w:r>
        <w:rPr>
          <w:noProof/>
        </w:rPr>
      </w:r>
      <w:r>
        <w:rPr>
          <w:noProof/>
        </w:rPr>
        <w:fldChar w:fldCharType="separate"/>
      </w:r>
      <w:r w:rsidR="007B3054">
        <w:rPr>
          <w:noProof/>
        </w:rPr>
        <w:t>68</w:t>
      </w:r>
      <w:r>
        <w:rPr>
          <w:noProof/>
        </w:rPr>
        <w:fldChar w:fldCharType="end"/>
      </w:r>
    </w:p>
    <w:p w14:paraId="2BAE13FB" w14:textId="77777777" w:rsidR="0026326D" w:rsidRDefault="0026326D">
      <w:pPr>
        <w:pStyle w:val="TableofFigures"/>
        <w:tabs>
          <w:tab w:val="right" w:leader="dot" w:pos="9730"/>
        </w:tabs>
        <w:rPr>
          <w:rFonts w:asciiTheme="minorHAnsi" w:hAnsiTheme="minorHAnsi"/>
          <w:noProof/>
          <w:sz w:val="24"/>
          <w:szCs w:val="24"/>
          <w:lang w:val="en-GB" w:eastAsia="zh-CN"/>
        </w:rPr>
      </w:pPr>
      <w:r>
        <w:rPr>
          <w:noProof/>
          <w:lang w:bidi="hi-IN"/>
        </w:rPr>
        <w:t>Appendix A Table 12. ANZICS CTG trial benefits</w:t>
      </w:r>
      <w:r>
        <w:rPr>
          <w:noProof/>
        </w:rPr>
        <w:tab/>
      </w:r>
      <w:r>
        <w:rPr>
          <w:noProof/>
        </w:rPr>
        <w:fldChar w:fldCharType="begin"/>
      </w:r>
      <w:r>
        <w:rPr>
          <w:noProof/>
        </w:rPr>
        <w:instrText xml:space="preserve"> PAGEREF _Toc479177422 \h </w:instrText>
      </w:r>
      <w:r>
        <w:rPr>
          <w:noProof/>
        </w:rPr>
      </w:r>
      <w:r>
        <w:rPr>
          <w:noProof/>
        </w:rPr>
        <w:fldChar w:fldCharType="separate"/>
      </w:r>
      <w:r w:rsidR="007B3054">
        <w:rPr>
          <w:noProof/>
        </w:rPr>
        <w:t>70</w:t>
      </w:r>
      <w:r>
        <w:rPr>
          <w:noProof/>
        </w:rPr>
        <w:fldChar w:fldCharType="end"/>
      </w:r>
    </w:p>
    <w:p w14:paraId="406B725D" w14:textId="768262DF" w:rsidR="00E25849" w:rsidRDefault="00E25849" w:rsidP="00E25849">
      <w:pPr>
        <w:rPr>
          <w:i/>
        </w:rPr>
      </w:pPr>
      <w:r>
        <w:rPr>
          <w:i/>
        </w:rPr>
        <w:fldChar w:fldCharType="end"/>
      </w:r>
    </w:p>
    <w:p w14:paraId="47E1FEF4" w14:textId="37A884F6" w:rsidR="00A31DD8" w:rsidRPr="00915516" w:rsidRDefault="00D64194" w:rsidP="00915516">
      <w:pPr>
        <w:pStyle w:val="Heading2"/>
      </w:pPr>
      <w:bookmarkStart w:id="134" w:name="_Toc475352600"/>
      <w:bookmarkStart w:id="135" w:name="_Toc475352697"/>
      <w:bookmarkStart w:id="136" w:name="_Toc475352788"/>
      <w:bookmarkStart w:id="137" w:name="_Toc479170055"/>
      <w:bookmarkStart w:id="138" w:name="_Toc482004544"/>
      <w:bookmarkStart w:id="139" w:name="_Toc482005816"/>
      <w:bookmarkStart w:id="140" w:name="_Toc487184541"/>
      <w:bookmarkEnd w:id="134"/>
      <w:bookmarkEnd w:id="135"/>
      <w:bookmarkEnd w:id="136"/>
      <w:r>
        <w:t xml:space="preserve">Supplementary </w:t>
      </w:r>
      <w:r w:rsidR="00BC0A8C" w:rsidRPr="00915516">
        <w:t>Appendix</w:t>
      </w:r>
      <w:r w:rsidR="0090602D" w:rsidRPr="00915516">
        <w:t xml:space="preserve"> </w:t>
      </w:r>
      <w:r w:rsidR="008D00B8" w:rsidRPr="00915516">
        <w:t>B</w:t>
      </w:r>
      <w:r w:rsidR="007F56FC" w:rsidRPr="00915516">
        <w:t>: Individual trial level results</w:t>
      </w:r>
      <w:bookmarkEnd w:id="137"/>
      <w:bookmarkEnd w:id="138"/>
      <w:bookmarkEnd w:id="139"/>
      <w:bookmarkEnd w:id="140"/>
      <w:r w:rsidR="007F56FC" w:rsidRPr="00915516">
        <w:t xml:space="preserve"> </w:t>
      </w:r>
    </w:p>
    <w:p w14:paraId="7A813DC1" w14:textId="364C0EBD" w:rsidR="00DD1A12" w:rsidRDefault="00AB7B28" w:rsidP="00DD1A12">
      <w:r w:rsidRPr="00F074A5">
        <w:t>Th</w:t>
      </w:r>
      <w:r w:rsidR="009A7E2E">
        <w:t>e</w:t>
      </w:r>
      <w:r w:rsidRPr="00F074A5">
        <w:t xml:space="preserve"> s</w:t>
      </w:r>
      <w:r w:rsidR="00901EEB" w:rsidRPr="00F074A5">
        <w:t>upplementary online appendix c</w:t>
      </w:r>
      <w:r w:rsidR="00BC0A8C" w:rsidRPr="00F074A5">
        <w:t>ontains</w:t>
      </w:r>
      <w:r w:rsidR="00EE0A91" w:rsidRPr="00F074A5">
        <w:t xml:space="preserve"> detailed results for </w:t>
      </w:r>
      <w:r w:rsidR="00BC0A8C" w:rsidRPr="00F074A5">
        <w:t>i</w:t>
      </w:r>
      <w:r w:rsidR="00A45AF9" w:rsidRPr="00F074A5">
        <w:t>ndi</w:t>
      </w:r>
      <w:r w:rsidR="00BC0A8C" w:rsidRPr="00F074A5">
        <w:t>vidual clinical tria</w:t>
      </w:r>
      <w:r w:rsidR="00EE0A91" w:rsidRPr="00F074A5">
        <w:t>l analyses</w:t>
      </w:r>
      <w:r w:rsidR="00BC0A8C" w:rsidRPr="00F074A5">
        <w:t>. A</w:t>
      </w:r>
      <w:r w:rsidR="00A45AF9" w:rsidRPr="00F074A5">
        <w:t>vailable</w:t>
      </w:r>
      <w:r w:rsidR="00901EEB" w:rsidRPr="00F074A5">
        <w:t xml:space="preserve"> </w:t>
      </w:r>
      <w:r w:rsidR="00A45AF9" w:rsidRPr="00F074A5">
        <w:t xml:space="preserve">at </w:t>
      </w:r>
      <w:hyperlink r:id="rId30" w:history="1">
        <w:r w:rsidR="00E43350" w:rsidRPr="003B5F5E">
          <w:rPr>
            <w:rStyle w:val="Hyperlink"/>
          </w:rPr>
          <w:t>https://www.safetyandquality.gov.au/our-work/clinical-trials/</w:t>
        </w:r>
      </w:hyperlink>
      <w:r w:rsidR="00E43350">
        <w:t xml:space="preserve"> </w:t>
      </w:r>
      <w:bookmarkStart w:id="141" w:name="_GoBack"/>
      <w:bookmarkEnd w:id="141"/>
    </w:p>
    <w:p w14:paraId="325ED653" w14:textId="77777777" w:rsidR="00B50F0A" w:rsidRDefault="00B50F0A" w:rsidP="00DD1A12"/>
    <w:p w14:paraId="652E369D" w14:textId="77777777" w:rsidR="00B50F0A" w:rsidRDefault="00B50F0A" w:rsidP="00DD1A12">
      <w:pPr>
        <w:sectPr w:rsidR="00B50F0A" w:rsidSect="00F074A5">
          <w:pgSz w:w="11900" w:h="16840"/>
          <w:pgMar w:top="1440" w:right="1080" w:bottom="1440" w:left="1080" w:header="709" w:footer="709" w:gutter="0"/>
          <w:cols w:space="708"/>
          <w:docGrid w:linePitch="360"/>
        </w:sectPr>
      </w:pPr>
    </w:p>
    <w:p w14:paraId="7B51073D" w14:textId="1968D132" w:rsidR="00B50F0A" w:rsidRDefault="00B50F0A" w:rsidP="00DD1A12">
      <w:pPr>
        <w:sectPr w:rsidR="00B50F0A" w:rsidSect="00B50F0A">
          <w:type w:val="continuous"/>
          <w:pgSz w:w="11900" w:h="16840"/>
          <w:pgMar w:top="1440" w:right="1080" w:bottom="1440" w:left="1080" w:header="709" w:footer="709" w:gutter="0"/>
          <w:cols w:space="708"/>
          <w:docGrid w:linePitch="360"/>
        </w:sectPr>
      </w:pPr>
    </w:p>
    <w:p w14:paraId="341AFB0A" w14:textId="14515736" w:rsidR="00AB7B28" w:rsidRPr="00915516" w:rsidRDefault="00AB7B28" w:rsidP="003A12A2">
      <w:pPr>
        <w:rPr>
          <w:b/>
          <w:color w:val="00B0F0"/>
          <w:sz w:val="36"/>
          <w:szCs w:val="32"/>
        </w:rPr>
      </w:pPr>
      <w:bookmarkStart w:id="142" w:name="_Toc349192146"/>
      <w:r w:rsidRPr="00915516">
        <w:rPr>
          <w:b/>
          <w:bCs/>
          <w:color w:val="00B0F0"/>
          <w:sz w:val="36"/>
          <w:szCs w:val="32"/>
        </w:rPr>
        <w:lastRenderedPageBreak/>
        <w:t>Appendix A: Network level results</w:t>
      </w:r>
    </w:p>
    <w:p w14:paraId="2F094972" w14:textId="6F43C9E3" w:rsidR="00AB7B28" w:rsidRDefault="00E25849" w:rsidP="00915516">
      <w:pPr>
        <w:pStyle w:val="Heading1"/>
        <w:keepNext/>
        <w:numPr>
          <w:ilvl w:val="0"/>
          <w:numId w:val="0"/>
        </w:numPr>
        <w:spacing w:before="960"/>
      </w:pPr>
      <w:bookmarkStart w:id="143" w:name="_Toc475352602"/>
      <w:bookmarkStart w:id="144" w:name="_Toc475352790"/>
      <w:bookmarkStart w:id="145" w:name="_Toc350381612"/>
      <w:bookmarkStart w:id="146" w:name="_Toc476562871"/>
      <w:bookmarkStart w:id="147" w:name="_Toc479144905"/>
      <w:bookmarkStart w:id="148" w:name="_Toc479170056"/>
      <w:bookmarkStart w:id="149" w:name="_Toc482004545"/>
      <w:bookmarkStart w:id="150" w:name="_Toc482005817"/>
      <w:bookmarkStart w:id="151" w:name="_Toc487184542"/>
      <w:r>
        <w:t xml:space="preserve">The </w:t>
      </w:r>
      <w:r w:rsidR="00AB7B28" w:rsidRPr="000C2DDD">
        <w:t>Australasian Stroke Trials Network (ASTN)</w:t>
      </w:r>
      <w:bookmarkEnd w:id="142"/>
      <w:bookmarkEnd w:id="143"/>
      <w:bookmarkEnd w:id="144"/>
      <w:bookmarkEnd w:id="145"/>
      <w:bookmarkEnd w:id="146"/>
      <w:bookmarkEnd w:id="147"/>
      <w:bookmarkEnd w:id="148"/>
      <w:bookmarkEnd w:id="149"/>
      <w:bookmarkEnd w:id="150"/>
      <w:bookmarkEnd w:id="151"/>
    </w:p>
    <w:p w14:paraId="655F47B7" w14:textId="52549EA1" w:rsidR="00E25849" w:rsidRPr="00E25849" w:rsidRDefault="00E25849" w:rsidP="00E25849">
      <w:pPr>
        <w:pStyle w:val="Heading2"/>
        <w:numPr>
          <w:ilvl w:val="0"/>
          <w:numId w:val="0"/>
        </w:numPr>
      </w:pPr>
      <w:bookmarkStart w:id="152" w:name="_Toc475352603"/>
      <w:bookmarkStart w:id="153" w:name="_Toc475352791"/>
      <w:bookmarkStart w:id="154" w:name="_Toc350381613"/>
      <w:bookmarkStart w:id="155" w:name="_Toc476562872"/>
      <w:bookmarkStart w:id="156" w:name="_Toc479144906"/>
      <w:bookmarkStart w:id="157" w:name="_Toc479170057"/>
      <w:bookmarkStart w:id="158" w:name="_Toc482004546"/>
      <w:bookmarkStart w:id="159" w:name="_Toc482005818"/>
      <w:bookmarkStart w:id="160" w:name="_Toc487184543"/>
      <w:r>
        <w:t>History</w:t>
      </w:r>
      <w:bookmarkEnd w:id="152"/>
      <w:bookmarkEnd w:id="153"/>
      <w:bookmarkEnd w:id="154"/>
      <w:bookmarkEnd w:id="155"/>
      <w:bookmarkEnd w:id="156"/>
      <w:bookmarkEnd w:id="157"/>
      <w:bookmarkEnd w:id="158"/>
      <w:bookmarkEnd w:id="159"/>
      <w:bookmarkEnd w:id="160"/>
    </w:p>
    <w:p w14:paraId="0C09C457" w14:textId="66A91F29" w:rsidR="00AF6EB9" w:rsidRDefault="00AF6EB9" w:rsidP="00392788">
      <w:pPr>
        <w:pStyle w:val="Commissionbodytext"/>
      </w:pPr>
      <w:r w:rsidRPr="00A45AF9">
        <w:t>The Australasian Stroke Trials Network (ASTN) was established in 1996 as the key body in promoting, facilitating and coordinating both commercially-sponsored and investigator-initiated str</w:t>
      </w:r>
      <w:r>
        <w:t>oke trials in Australasia. The n</w:t>
      </w:r>
      <w:r w:rsidRPr="00A45AF9">
        <w:t>etwork developed from the investigator community that assembled for the Australian Streptokinase (ASK) Trial. The ASTN has over 200 members, and 35 centres located in Australia, New Zealand, Singapore</w:t>
      </w:r>
      <w:r w:rsidR="005A1C12">
        <w:t>,</w:t>
      </w:r>
      <w:r w:rsidRPr="00A45AF9">
        <w:t xml:space="preserve"> and Hong Kong</w:t>
      </w:r>
      <w:r w:rsidR="005A1C12">
        <w:t>.</w:t>
      </w:r>
      <w:r w:rsidRPr="00A45AF9">
        <w:t xml:space="preserve"> </w:t>
      </w:r>
      <w:r w:rsidR="005A1C12">
        <w:t>It</w:t>
      </w:r>
      <w:r w:rsidR="005A1C12" w:rsidRPr="00A45AF9">
        <w:t xml:space="preserve"> </w:t>
      </w:r>
      <w:r w:rsidRPr="00A45AF9">
        <w:t xml:space="preserve">facilitates the involvement of the Australasian-Pacific region in International Stroke Trials. </w:t>
      </w:r>
    </w:p>
    <w:p w14:paraId="7E0EB2F9" w14:textId="77777777" w:rsidR="00AF6EB9" w:rsidRDefault="00AF6EB9" w:rsidP="00AF6EB9"/>
    <w:p w14:paraId="28E1F81F" w14:textId="186D8C91" w:rsidR="00F64140" w:rsidRPr="00352327" w:rsidRDefault="00F64140" w:rsidP="00352327">
      <w:pPr>
        <w:pStyle w:val="Caption"/>
      </w:pPr>
      <w:bookmarkStart w:id="161" w:name="_Toc479177411"/>
      <w:r>
        <w:t xml:space="preserve">Appendix A Table </w:t>
      </w:r>
      <w:fldSimple w:instr=" SEQ Appendix_A_Table \* ARABIC ">
        <w:r w:rsidR="007B3054">
          <w:rPr>
            <w:noProof/>
          </w:rPr>
          <w:t>1</w:t>
        </w:r>
      </w:fldSimple>
      <w:r>
        <w:t xml:space="preserve">. </w:t>
      </w:r>
      <w:r w:rsidR="00E25849">
        <w:t>ASTN historical</w:t>
      </w:r>
      <w:r>
        <w:t xml:space="preserve"> activity profile</w:t>
      </w:r>
      <w:bookmarkEnd w:id="161"/>
    </w:p>
    <w:tbl>
      <w:tblPr>
        <w:tblW w:w="1427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4A0" w:firstRow="1" w:lastRow="0" w:firstColumn="1" w:lastColumn="0" w:noHBand="0" w:noVBand="1"/>
      </w:tblPr>
      <w:tblGrid>
        <w:gridCol w:w="2854"/>
        <w:gridCol w:w="2854"/>
        <w:gridCol w:w="2854"/>
        <w:gridCol w:w="2854"/>
        <w:gridCol w:w="2855"/>
      </w:tblGrid>
      <w:tr w:rsidR="00E62C71" w:rsidRPr="00C758E7" w14:paraId="2EEEBC5C" w14:textId="77777777" w:rsidTr="00392788">
        <w:trPr>
          <w:trHeight w:val="368"/>
        </w:trPr>
        <w:tc>
          <w:tcPr>
            <w:tcW w:w="2854" w:type="dxa"/>
            <w:shd w:val="clear" w:color="auto" w:fill="2F5496"/>
            <w:tcMar>
              <w:top w:w="57" w:type="dxa"/>
              <w:left w:w="57" w:type="dxa"/>
              <w:bottom w:w="57" w:type="dxa"/>
              <w:right w:w="57" w:type="dxa"/>
            </w:tcMar>
          </w:tcPr>
          <w:p w14:paraId="674A084D" w14:textId="77777777" w:rsidR="00E62C71" w:rsidRPr="00392788" w:rsidRDefault="00E62C71" w:rsidP="00392788">
            <w:pPr>
              <w:spacing w:after="0" w:line="276" w:lineRule="auto"/>
              <w:rPr>
                <w:b/>
                <w:bCs/>
                <w:color w:val="FFFFFF" w:themeColor="background1"/>
                <w:sz w:val="21"/>
                <w:szCs w:val="21"/>
              </w:rPr>
            </w:pPr>
            <w:r w:rsidRPr="00392788">
              <w:rPr>
                <w:b/>
                <w:bCs/>
                <w:color w:val="FFFFFF" w:themeColor="background1"/>
                <w:sz w:val="21"/>
                <w:szCs w:val="21"/>
              </w:rPr>
              <w:t>Year first established</w:t>
            </w:r>
          </w:p>
        </w:tc>
        <w:tc>
          <w:tcPr>
            <w:tcW w:w="2854" w:type="dxa"/>
            <w:shd w:val="clear" w:color="auto" w:fill="2F5496"/>
            <w:tcMar>
              <w:top w:w="57" w:type="dxa"/>
              <w:left w:w="57" w:type="dxa"/>
              <w:bottom w:w="57" w:type="dxa"/>
              <w:right w:w="57" w:type="dxa"/>
            </w:tcMar>
          </w:tcPr>
          <w:p w14:paraId="1E2D6836" w14:textId="77777777" w:rsidR="00E62C71" w:rsidRPr="00392788" w:rsidRDefault="00E62C71" w:rsidP="00392788">
            <w:pPr>
              <w:spacing w:after="0" w:line="276" w:lineRule="auto"/>
              <w:rPr>
                <w:b/>
                <w:bCs/>
                <w:color w:val="FFFFFF" w:themeColor="background1"/>
                <w:sz w:val="21"/>
                <w:szCs w:val="21"/>
              </w:rPr>
            </w:pPr>
            <w:r w:rsidRPr="00392788">
              <w:rPr>
                <w:b/>
                <w:bCs/>
                <w:color w:val="FFFFFF" w:themeColor="background1"/>
                <w:sz w:val="21"/>
                <w:szCs w:val="21"/>
              </w:rPr>
              <w:t>Members</w:t>
            </w:r>
          </w:p>
        </w:tc>
        <w:tc>
          <w:tcPr>
            <w:tcW w:w="2854" w:type="dxa"/>
            <w:shd w:val="clear" w:color="auto" w:fill="2F5496"/>
            <w:tcMar>
              <w:top w:w="57" w:type="dxa"/>
              <w:left w:w="57" w:type="dxa"/>
              <w:bottom w:w="57" w:type="dxa"/>
              <w:right w:w="57" w:type="dxa"/>
            </w:tcMar>
          </w:tcPr>
          <w:p w14:paraId="4F03AB38" w14:textId="53495B63" w:rsidR="00E62C71" w:rsidRPr="00392788" w:rsidRDefault="00E62C71" w:rsidP="00392788">
            <w:pPr>
              <w:spacing w:after="0" w:line="276" w:lineRule="auto"/>
              <w:rPr>
                <w:b/>
                <w:bCs/>
                <w:color w:val="FFFFFF" w:themeColor="background1"/>
                <w:sz w:val="21"/>
                <w:szCs w:val="21"/>
              </w:rPr>
            </w:pPr>
            <w:r w:rsidRPr="00392788">
              <w:rPr>
                <w:b/>
                <w:bCs/>
                <w:color w:val="FFFFFF" w:themeColor="background1"/>
                <w:sz w:val="21"/>
                <w:szCs w:val="21"/>
              </w:rPr>
              <w:t>Studies</w:t>
            </w:r>
          </w:p>
        </w:tc>
        <w:tc>
          <w:tcPr>
            <w:tcW w:w="2854" w:type="dxa"/>
            <w:shd w:val="clear" w:color="auto" w:fill="2F5496"/>
            <w:tcMar>
              <w:top w:w="57" w:type="dxa"/>
              <w:left w:w="57" w:type="dxa"/>
              <w:bottom w:w="57" w:type="dxa"/>
              <w:right w:w="57" w:type="dxa"/>
            </w:tcMar>
          </w:tcPr>
          <w:p w14:paraId="5ACC67BF" w14:textId="2D01F0BC" w:rsidR="00E62C71" w:rsidRPr="00392788" w:rsidRDefault="00E62C71" w:rsidP="00392788">
            <w:pPr>
              <w:spacing w:after="0" w:line="276" w:lineRule="auto"/>
              <w:rPr>
                <w:b/>
                <w:bCs/>
                <w:color w:val="FFFFFF" w:themeColor="background1"/>
                <w:sz w:val="21"/>
                <w:szCs w:val="21"/>
              </w:rPr>
            </w:pPr>
            <w:r w:rsidRPr="00392788">
              <w:rPr>
                <w:b/>
                <w:bCs/>
                <w:color w:val="FFFFFF" w:themeColor="background1"/>
                <w:sz w:val="21"/>
                <w:szCs w:val="21"/>
              </w:rPr>
              <w:t>Funding</w:t>
            </w:r>
          </w:p>
        </w:tc>
        <w:tc>
          <w:tcPr>
            <w:tcW w:w="2855" w:type="dxa"/>
            <w:shd w:val="clear" w:color="auto" w:fill="2F5496"/>
            <w:tcMar>
              <w:top w:w="57" w:type="dxa"/>
              <w:left w:w="57" w:type="dxa"/>
              <w:bottom w:w="57" w:type="dxa"/>
              <w:right w:w="57" w:type="dxa"/>
            </w:tcMar>
          </w:tcPr>
          <w:p w14:paraId="6EB4F382" w14:textId="13547329" w:rsidR="00E62C71" w:rsidRPr="00392788" w:rsidRDefault="00E62C71" w:rsidP="00392788">
            <w:pPr>
              <w:spacing w:before="120" w:after="120" w:line="240" w:lineRule="auto"/>
              <w:rPr>
                <w:b/>
                <w:bCs/>
                <w:color w:val="FFFFFF" w:themeColor="background1"/>
                <w:sz w:val="21"/>
                <w:szCs w:val="21"/>
              </w:rPr>
            </w:pPr>
            <w:r w:rsidRPr="00392788">
              <w:rPr>
                <w:b/>
                <w:bCs/>
                <w:color w:val="FFFFFF" w:themeColor="background1"/>
                <w:sz w:val="21"/>
                <w:szCs w:val="21"/>
              </w:rPr>
              <w:t>Publications</w:t>
            </w:r>
          </w:p>
        </w:tc>
      </w:tr>
      <w:tr w:rsidR="00E62C71" w:rsidRPr="00C758E7" w14:paraId="5410DBCC" w14:textId="77777777" w:rsidTr="00392788">
        <w:trPr>
          <w:trHeight w:val="676"/>
        </w:trPr>
        <w:tc>
          <w:tcPr>
            <w:tcW w:w="2854" w:type="dxa"/>
            <w:shd w:val="clear" w:color="auto" w:fill="auto"/>
            <w:tcMar>
              <w:top w:w="57" w:type="dxa"/>
              <w:left w:w="57" w:type="dxa"/>
              <w:bottom w:w="57" w:type="dxa"/>
              <w:right w:w="57" w:type="dxa"/>
            </w:tcMar>
          </w:tcPr>
          <w:p w14:paraId="17BCF243" w14:textId="77777777" w:rsidR="00E62C71" w:rsidRPr="00C758E7" w:rsidRDefault="00E62C71" w:rsidP="00392788">
            <w:pPr>
              <w:spacing w:before="120" w:after="120" w:line="240" w:lineRule="auto"/>
              <w:rPr>
                <w:sz w:val="21"/>
                <w:szCs w:val="21"/>
              </w:rPr>
            </w:pPr>
            <w:r w:rsidRPr="00C758E7">
              <w:rPr>
                <w:sz w:val="21"/>
                <w:szCs w:val="21"/>
              </w:rPr>
              <w:t>1996</w:t>
            </w:r>
          </w:p>
        </w:tc>
        <w:tc>
          <w:tcPr>
            <w:tcW w:w="2854" w:type="dxa"/>
            <w:shd w:val="clear" w:color="auto" w:fill="auto"/>
            <w:tcMar>
              <w:top w:w="57" w:type="dxa"/>
              <w:left w:w="57" w:type="dxa"/>
              <w:bottom w:w="57" w:type="dxa"/>
              <w:right w:w="57" w:type="dxa"/>
            </w:tcMar>
          </w:tcPr>
          <w:p w14:paraId="46A6A9D7" w14:textId="17C42EB9" w:rsidR="00E62C71" w:rsidRPr="00C758E7" w:rsidRDefault="00E62C71" w:rsidP="00392788">
            <w:pPr>
              <w:spacing w:before="120" w:after="120" w:line="240" w:lineRule="auto"/>
              <w:rPr>
                <w:sz w:val="21"/>
                <w:szCs w:val="21"/>
              </w:rPr>
            </w:pPr>
            <w:r w:rsidRPr="00C758E7">
              <w:rPr>
                <w:sz w:val="21"/>
                <w:szCs w:val="21"/>
              </w:rPr>
              <w:t>Australia</w:t>
            </w:r>
            <w:r w:rsidR="00046EB8" w:rsidRPr="00C758E7">
              <w:rPr>
                <w:sz w:val="21"/>
                <w:szCs w:val="21"/>
              </w:rPr>
              <w:t>-</w:t>
            </w:r>
            <w:r w:rsidRPr="00C758E7">
              <w:rPr>
                <w:sz w:val="21"/>
                <w:szCs w:val="21"/>
              </w:rPr>
              <w:t>wide</w:t>
            </w:r>
          </w:p>
          <w:p w14:paraId="02CE6B1C" w14:textId="77777777" w:rsidR="00E62C71" w:rsidRPr="00C758E7" w:rsidRDefault="00E62C71" w:rsidP="00392788">
            <w:pPr>
              <w:spacing w:before="120" w:after="120" w:line="240" w:lineRule="auto"/>
              <w:rPr>
                <w:sz w:val="21"/>
                <w:szCs w:val="21"/>
              </w:rPr>
            </w:pPr>
            <w:r w:rsidRPr="00C758E7">
              <w:rPr>
                <w:sz w:val="21"/>
                <w:szCs w:val="21"/>
              </w:rPr>
              <w:t>New Zealand</w:t>
            </w:r>
          </w:p>
          <w:p w14:paraId="43EFC805" w14:textId="77777777" w:rsidR="00E62C71" w:rsidRPr="00C758E7" w:rsidRDefault="00E62C71" w:rsidP="00392788">
            <w:pPr>
              <w:spacing w:before="120" w:after="120" w:line="240" w:lineRule="auto"/>
              <w:rPr>
                <w:sz w:val="21"/>
                <w:szCs w:val="21"/>
              </w:rPr>
            </w:pPr>
            <w:r w:rsidRPr="00C758E7">
              <w:rPr>
                <w:sz w:val="21"/>
                <w:szCs w:val="21"/>
              </w:rPr>
              <w:t>International</w:t>
            </w:r>
          </w:p>
        </w:tc>
        <w:tc>
          <w:tcPr>
            <w:tcW w:w="2854" w:type="dxa"/>
            <w:shd w:val="clear" w:color="auto" w:fill="auto"/>
            <w:tcMar>
              <w:top w:w="57" w:type="dxa"/>
              <w:left w:w="57" w:type="dxa"/>
              <w:bottom w:w="57" w:type="dxa"/>
              <w:right w:w="57" w:type="dxa"/>
            </w:tcMar>
          </w:tcPr>
          <w:p w14:paraId="60D94028" w14:textId="77777777" w:rsidR="00E62C71" w:rsidRPr="00C758E7" w:rsidRDefault="00E62C71" w:rsidP="00392788">
            <w:pPr>
              <w:spacing w:before="120" w:after="120" w:line="240" w:lineRule="auto"/>
              <w:rPr>
                <w:sz w:val="21"/>
                <w:szCs w:val="21"/>
              </w:rPr>
            </w:pPr>
            <w:r w:rsidRPr="00C758E7">
              <w:rPr>
                <w:sz w:val="21"/>
                <w:szCs w:val="21"/>
              </w:rPr>
              <w:t>40 published</w:t>
            </w:r>
          </w:p>
          <w:p w14:paraId="097F354C" w14:textId="77777777" w:rsidR="00E62C71" w:rsidRPr="00C758E7" w:rsidRDefault="00E62C71" w:rsidP="00392788">
            <w:pPr>
              <w:spacing w:before="120" w:after="120" w:line="240" w:lineRule="auto"/>
              <w:rPr>
                <w:sz w:val="21"/>
                <w:szCs w:val="21"/>
              </w:rPr>
            </w:pPr>
            <w:r w:rsidRPr="00C758E7">
              <w:rPr>
                <w:sz w:val="21"/>
                <w:szCs w:val="21"/>
              </w:rPr>
              <w:t>35 current</w:t>
            </w:r>
          </w:p>
        </w:tc>
        <w:tc>
          <w:tcPr>
            <w:tcW w:w="2854" w:type="dxa"/>
            <w:shd w:val="clear" w:color="auto" w:fill="auto"/>
            <w:tcMar>
              <w:top w:w="57" w:type="dxa"/>
              <w:left w:w="57" w:type="dxa"/>
              <w:bottom w:w="57" w:type="dxa"/>
              <w:right w:w="57" w:type="dxa"/>
            </w:tcMar>
          </w:tcPr>
          <w:p w14:paraId="702C5443" w14:textId="34B03374" w:rsidR="00E62C71" w:rsidRPr="00C758E7" w:rsidRDefault="00E62C71" w:rsidP="00392788">
            <w:pPr>
              <w:spacing w:before="120" w:after="120" w:line="240" w:lineRule="auto"/>
              <w:rPr>
                <w:sz w:val="21"/>
                <w:szCs w:val="21"/>
              </w:rPr>
            </w:pPr>
            <w:r w:rsidRPr="00C758E7">
              <w:rPr>
                <w:sz w:val="21"/>
                <w:szCs w:val="21"/>
              </w:rPr>
              <w:t>&gt;$50</w:t>
            </w:r>
            <w:r w:rsidR="00046EB8" w:rsidRPr="00C758E7">
              <w:rPr>
                <w:sz w:val="21"/>
                <w:szCs w:val="21"/>
              </w:rPr>
              <w:t xml:space="preserve"> </w:t>
            </w:r>
            <w:r w:rsidRPr="00C758E7">
              <w:rPr>
                <w:sz w:val="21"/>
                <w:szCs w:val="21"/>
              </w:rPr>
              <w:t>m</w:t>
            </w:r>
            <w:r w:rsidR="00046EB8" w:rsidRPr="00C758E7">
              <w:rPr>
                <w:sz w:val="21"/>
                <w:szCs w:val="21"/>
              </w:rPr>
              <w:t>illion</w:t>
            </w:r>
          </w:p>
        </w:tc>
        <w:tc>
          <w:tcPr>
            <w:tcW w:w="2855" w:type="dxa"/>
            <w:shd w:val="clear" w:color="auto" w:fill="auto"/>
            <w:tcMar>
              <w:top w:w="57" w:type="dxa"/>
              <w:left w:w="57" w:type="dxa"/>
              <w:bottom w:w="57" w:type="dxa"/>
              <w:right w:w="57" w:type="dxa"/>
            </w:tcMar>
          </w:tcPr>
          <w:p w14:paraId="6FA97C42" w14:textId="77777777" w:rsidR="00E62C71" w:rsidRPr="00C758E7" w:rsidRDefault="00E62C71" w:rsidP="00392788">
            <w:pPr>
              <w:spacing w:before="120" w:after="120" w:line="240" w:lineRule="auto"/>
              <w:rPr>
                <w:sz w:val="21"/>
                <w:szCs w:val="21"/>
              </w:rPr>
            </w:pPr>
            <w:r w:rsidRPr="00C758E7">
              <w:rPr>
                <w:sz w:val="21"/>
                <w:szCs w:val="21"/>
              </w:rPr>
              <w:t>180+</w:t>
            </w:r>
          </w:p>
        </w:tc>
      </w:tr>
    </w:tbl>
    <w:p w14:paraId="25CD09A3" w14:textId="662B1B56" w:rsidR="00E62C71" w:rsidRPr="00F074A5" w:rsidRDefault="00AF6EB9" w:rsidP="00F074A5">
      <w:pPr>
        <w:pStyle w:val="ListBullet3"/>
        <w:numPr>
          <w:ilvl w:val="0"/>
          <w:numId w:val="0"/>
        </w:numPr>
        <w:rPr>
          <w:sz w:val="18"/>
          <w:szCs w:val="18"/>
          <w:lang w:val="en-AU"/>
        </w:rPr>
      </w:pPr>
      <w:r>
        <w:rPr>
          <w:sz w:val="18"/>
          <w:szCs w:val="18"/>
          <w:lang w:val="en-AU"/>
        </w:rPr>
        <w:t>Data related to studies, publications and known high impact trials sourced from the Profiling Networks Project were current at end 2014.</w:t>
      </w:r>
    </w:p>
    <w:p w14:paraId="68B3371D" w14:textId="3D5C9E32" w:rsidR="00AB7B28" w:rsidRPr="001471FE" w:rsidRDefault="00AB7B28" w:rsidP="00915516">
      <w:pPr>
        <w:pStyle w:val="Heading2"/>
        <w:numPr>
          <w:ilvl w:val="0"/>
          <w:numId w:val="0"/>
        </w:numPr>
      </w:pPr>
      <w:bookmarkStart w:id="162" w:name="_Toc349192148"/>
      <w:bookmarkStart w:id="163" w:name="_Toc475352604"/>
      <w:bookmarkStart w:id="164" w:name="_Toc475352792"/>
      <w:bookmarkStart w:id="165" w:name="_Toc350381614"/>
      <w:bookmarkStart w:id="166" w:name="_Toc476562873"/>
      <w:bookmarkStart w:id="167" w:name="_Toc479144907"/>
      <w:bookmarkStart w:id="168" w:name="_Toc479170058"/>
      <w:bookmarkStart w:id="169" w:name="_Toc482004547"/>
      <w:bookmarkStart w:id="170" w:name="_Toc482005819"/>
      <w:bookmarkStart w:id="171" w:name="_Toc487184544"/>
      <w:r>
        <w:lastRenderedPageBreak/>
        <w:t>Core f</w:t>
      </w:r>
      <w:r w:rsidRPr="00A45AF9">
        <w:t>unctions</w:t>
      </w:r>
      <w:bookmarkEnd w:id="162"/>
      <w:bookmarkEnd w:id="163"/>
      <w:bookmarkEnd w:id="164"/>
      <w:bookmarkEnd w:id="165"/>
      <w:bookmarkEnd w:id="166"/>
      <w:bookmarkEnd w:id="167"/>
      <w:bookmarkEnd w:id="168"/>
      <w:bookmarkEnd w:id="169"/>
      <w:bookmarkEnd w:id="170"/>
      <w:bookmarkEnd w:id="171"/>
    </w:p>
    <w:p w14:paraId="3E564910" w14:textId="11E46BE2" w:rsidR="00AB7B28" w:rsidRDefault="00AB7B28" w:rsidP="00392788">
      <w:pPr>
        <w:pStyle w:val="Commissionbodytext"/>
      </w:pPr>
      <w:r w:rsidRPr="00A45AF9">
        <w:t>The ASTN is a special interest group of Stroke Society Australasia.</w:t>
      </w:r>
      <w:r w:rsidR="002D3BB9">
        <w:t xml:space="preserve"> </w:t>
      </w:r>
      <w:r w:rsidRPr="00A45AF9">
        <w:t xml:space="preserve">It is composed of </w:t>
      </w:r>
      <w:r w:rsidRPr="00BB0CC2">
        <w:t>an annually elected 12-member executive committee of coordinators, neurologists and trial investigators with over 20 years of trials experience.</w:t>
      </w:r>
      <w:r w:rsidR="002D3BB9">
        <w:t xml:space="preserve"> </w:t>
      </w:r>
      <w:r w:rsidRPr="00BB0CC2">
        <w:t>Its functions fall in to three broad categories</w:t>
      </w:r>
      <w:r w:rsidR="005A1C12">
        <w:t>.</w:t>
      </w:r>
    </w:p>
    <w:p w14:paraId="030B6CAF" w14:textId="77777777" w:rsidR="00B4479A" w:rsidRPr="00BB0CC2" w:rsidRDefault="00B4479A" w:rsidP="00392788">
      <w:pPr>
        <w:pStyle w:val="Commissionbodytext"/>
      </w:pPr>
    </w:p>
    <w:p w14:paraId="0F3DADCD" w14:textId="05403621" w:rsidR="00AB7B28" w:rsidRPr="00BB0CC2" w:rsidRDefault="00AB7B28" w:rsidP="00615DF0">
      <w:pPr>
        <w:pStyle w:val="Heading3"/>
        <w:keepNext/>
        <w:numPr>
          <w:ilvl w:val="0"/>
          <w:numId w:val="9"/>
        </w:numPr>
        <w:spacing w:before="0"/>
      </w:pPr>
      <w:r w:rsidRPr="00BB0CC2">
        <w:t xml:space="preserve">Communication and </w:t>
      </w:r>
      <w:r w:rsidR="00B4479A">
        <w:t>l</w:t>
      </w:r>
      <w:r w:rsidRPr="00BB0CC2">
        <w:t>iaison</w:t>
      </w:r>
    </w:p>
    <w:p w14:paraId="4C4153C9" w14:textId="5FE1CB50" w:rsidR="00AB7B28" w:rsidRDefault="00AB7B28" w:rsidP="00392788">
      <w:pPr>
        <w:pStyle w:val="Commissionbodytext"/>
      </w:pPr>
      <w:r w:rsidRPr="00BB0CC2">
        <w:t xml:space="preserve">The </w:t>
      </w:r>
      <w:r w:rsidR="002F280C">
        <w:t>n</w:t>
      </w:r>
      <w:r w:rsidRPr="00BB0CC2">
        <w:t>etwork plays an important role in providing a communication channel between local clinicians, research centres, trial sites and pharmaceutical companies seeking opportunities to initiate new clinical trials in Australasia.</w:t>
      </w:r>
      <w:r w:rsidR="002D3BB9">
        <w:t xml:space="preserve"> </w:t>
      </w:r>
      <w:r w:rsidRPr="00BB0CC2">
        <w:t xml:space="preserve">The </w:t>
      </w:r>
      <w:r w:rsidR="002F280C">
        <w:t>n</w:t>
      </w:r>
      <w:r w:rsidRPr="00BB0CC2">
        <w:t>etwork is a focal contact point for international and national researchers seeking to conduct trials in Australia.</w:t>
      </w:r>
      <w:r w:rsidR="002D3BB9">
        <w:t xml:space="preserve"> </w:t>
      </w:r>
      <w:r w:rsidRPr="00BB0CC2">
        <w:t xml:space="preserve">The </w:t>
      </w:r>
      <w:r w:rsidR="002F280C">
        <w:t>n</w:t>
      </w:r>
      <w:r w:rsidRPr="00BB0CC2">
        <w:t>etwork facilitates collaborative study development by acting as a conduit of information between members and study sponsors.</w:t>
      </w:r>
      <w:r w:rsidR="002D3BB9">
        <w:t xml:space="preserve"> </w:t>
      </w:r>
    </w:p>
    <w:p w14:paraId="33D8378F" w14:textId="77777777" w:rsidR="00B4479A" w:rsidRPr="00BB0CC2" w:rsidRDefault="00B4479A" w:rsidP="00392788">
      <w:pPr>
        <w:pStyle w:val="Commissionbodytext"/>
      </w:pPr>
    </w:p>
    <w:p w14:paraId="01381659" w14:textId="7441ABDA" w:rsidR="00AB7B28" w:rsidRDefault="00AB7B28" w:rsidP="00615DF0">
      <w:pPr>
        <w:pStyle w:val="Heading3"/>
        <w:keepNext/>
        <w:numPr>
          <w:ilvl w:val="0"/>
          <w:numId w:val="9"/>
        </w:numPr>
        <w:spacing w:before="0"/>
      </w:pPr>
      <w:r>
        <w:t xml:space="preserve">Protocol </w:t>
      </w:r>
      <w:r w:rsidR="00B4479A">
        <w:t>r</w:t>
      </w:r>
      <w:r>
        <w:t>eview</w:t>
      </w:r>
    </w:p>
    <w:p w14:paraId="5FBDFD04" w14:textId="166ACAB3" w:rsidR="00AB7B28" w:rsidRDefault="00AB7B28" w:rsidP="00392788">
      <w:pPr>
        <w:pStyle w:val="Commissionbodytext"/>
      </w:pPr>
      <w:r w:rsidRPr="00BB0CC2">
        <w:t xml:space="preserve">This involves assistance to study sponsors in assessment of feasibility of conducting new studies in the Australasian region through appropriate recruitment forecasts, review of study protocols, negotiating budgets and providing support with logistics in the context of competing studies. The </w:t>
      </w:r>
      <w:r w:rsidR="002F280C">
        <w:t>n</w:t>
      </w:r>
      <w:r w:rsidRPr="00BB0CC2">
        <w:t xml:space="preserve">etwork facilitates early identification and resolution of potential challenges, </w:t>
      </w:r>
      <w:r w:rsidR="005A1C12">
        <w:t>including</w:t>
      </w:r>
      <w:r w:rsidR="005A1C12" w:rsidRPr="00BB0CC2">
        <w:t xml:space="preserve"> </w:t>
      </w:r>
      <w:r w:rsidRPr="00BB0CC2">
        <w:t>issues such as ethical review, enabling timely progress.</w:t>
      </w:r>
      <w:r w:rsidR="002D3BB9">
        <w:t xml:space="preserve"> </w:t>
      </w:r>
    </w:p>
    <w:p w14:paraId="406E2CEB" w14:textId="77777777" w:rsidR="00B4479A" w:rsidRPr="00BB0CC2" w:rsidRDefault="00B4479A" w:rsidP="00392788">
      <w:pPr>
        <w:pStyle w:val="Commissionbodytext"/>
      </w:pPr>
    </w:p>
    <w:p w14:paraId="16A0747F" w14:textId="1351054E" w:rsidR="00AB7B28" w:rsidRDefault="00AB7B28" w:rsidP="00615DF0">
      <w:pPr>
        <w:pStyle w:val="Heading3"/>
        <w:keepNext/>
        <w:numPr>
          <w:ilvl w:val="0"/>
          <w:numId w:val="9"/>
        </w:numPr>
        <w:spacing w:before="0"/>
      </w:pPr>
      <w:r w:rsidRPr="00BB0CC2">
        <w:t>Dissemination of best practices</w:t>
      </w:r>
    </w:p>
    <w:p w14:paraId="24A1FC9D" w14:textId="5788BC40" w:rsidR="00AB7B28" w:rsidRDefault="00AB7B28" w:rsidP="00392788">
      <w:pPr>
        <w:pStyle w:val="Commissionbodytext"/>
      </w:pPr>
      <w:r w:rsidRPr="00BB0CC2">
        <w:t>The executive committee meets every two months to, among other things, identify best practice evidence relevant to areas of clinical uncertainty.</w:t>
      </w:r>
      <w:r w:rsidR="002D3BB9">
        <w:t xml:space="preserve"> </w:t>
      </w:r>
      <w:r w:rsidRPr="00BB0CC2">
        <w:t>Trial findings are showcased at the annual ASTN meeting, an educational and networking opportunity for members. Findings and relevant news are disseminated to members through quarterly newsletters. Workshops showcase high profile trials and provide educational opportuni</w:t>
      </w:r>
      <w:r>
        <w:t>ties for trial investigators.</w:t>
      </w:r>
    </w:p>
    <w:p w14:paraId="38054E73" w14:textId="77777777" w:rsidR="00744B29" w:rsidRDefault="00744B29">
      <w:pPr>
        <w:spacing w:before="0" w:after="200" w:line="276" w:lineRule="auto"/>
        <w:rPr>
          <w:rStyle w:val="Heading2Char"/>
        </w:rPr>
      </w:pPr>
      <w:bookmarkStart w:id="172" w:name="_Toc475352605"/>
      <w:bookmarkStart w:id="173" w:name="_Toc475352793"/>
      <w:bookmarkStart w:id="174" w:name="_Toc476562874"/>
      <w:r>
        <w:rPr>
          <w:rStyle w:val="Heading2Char"/>
        </w:rPr>
        <w:br w:type="page"/>
      </w:r>
    </w:p>
    <w:p w14:paraId="7564C9A8" w14:textId="72E64E43" w:rsidR="00AB7B28" w:rsidRDefault="00AB7B28" w:rsidP="00AB7B28">
      <w:pPr>
        <w:rPr>
          <w:rStyle w:val="Heading2Char"/>
        </w:rPr>
      </w:pPr>
      <w:bookmarkStart w:id="175" w:name="_Toc479144908"/>
      <w:bookmarkStart w:id="176" w:name="_Toc479170059"/>
      <w:bookmarkStart w:id="177" w:name="_Toc482004548"/>
      <w:bookmarkStart w:id="178" w:name="_Toc482005820"/>
      <w:bookmarkStart w:id="179" w:name="_Toc487184545"/>
      <w:r w:rsidRPr="001471FE">
        <w:rPr>
          <w:rStyle w:val="Heading2Char"/>
        </w:rPr>
        <w:lastRenderedPageBreak/>
        <w:t>Structure and funding</w:t>
      </w:r>
      <w:bookmarkEnd w:id="172"/>
      <w:bookmarkEnd w:id="173"/>
      <w:bookmarkEnd w:id="174"/>
      <w:bookmarkEnd w:id="175"/>
      <w:bookmarkEnd w:id="176"/>
      <w:bookmarkEnd w:id="177"/>
      <w:bookmarkEnd w:id="178"/>
      <w:bookmarkEnd w:id="179"/>
    </w:p>
    <w:p w14:paraId="36991BD5" w14:textId="4E7A4820" w:rsidR="00AB7B28" w:rsidRPr="00C95A01" w:rsidRDefault="00AB7B28" w:rsidP="00392788">
      <w:pPr>
        <w:pStyle w:val="Commissionbodytext"/>
      </w:pPr>
      <w:r w:rsidRPr="00BB0CC2">
        <w:t xml:space="preserve">Much of the work conducted by ASTN is facilitated by contribution of time at no cost by senior clinicians and researchers. The </w:t>
      </w:r>
      <w:r w:rsidR="00744B29">
        <w:t>n</w:t>
      </w:r>
      <w:r w:rsidRPr="00BB0CC2">
        <w:t>etwork receives revenue for its role in trial protocol reviews from commercial trial sponsors, which partly subsidises the</w:t>
      </w:r>
      <w:r>
        <w:t xml:space="preserve"> </w:t>
      </w:r>
      <w:r w:rsidRPr="00A45AF9">
        <w:t>similar service offered to investigator-led trials for no charge or vastly reduced charges at less than service cost (in the case of NHMRC funded trials).</w:t>
      </w:r>
      <w:r w:rsidRPr="00A45AF9">
        <w:rPr>
          <w:vertAlign w:val="superscript"/>
        </w:rPr>
        <w:footnoteReference w:id="30"/>
      </w:r>
      <w:r w:rsidRPr="00A45AF9">
        <w:t xml:space="preserve"> </w:t>
      </w:r>
    </w:p>
    <w:p w14:paraId="2C1D7CD6" w14:textId="77777777" w:rsidR="002F280C" w:rsidRDefault="002F280C" w:rsidP="00392788">
      <w:pPr>
        <w:pStyle w:val="Commissionbodytext"/>
      </w:pPr>
    </w:p>
    <w:p w14:paraId="2ACD8024" w14:textId="7F4F9BEB" w:rsidR="00AB7B28" w:rsidRDefault="00AB7B28" w:rsidP="00392788">
      <w:pPr>
        <w:pStyle w:val="Commissionbodytext"/>
      </w:pPr>
      <w:r w:rsidRPr="00A45AF9">
        <w:t xml:space="preserve">The </w:t>
      </w:r>
      <w:r w:rsidR="00744B29">
        <w:t>ASTN</w:t>
      </w:r>
      <w:r w:rsidRPr="00A45AF9">
        <w:t xml:space="preserve"> has no formal relationships with methods or coordinating centres.</w:t>
      </w:r>
      <w:r w:rsidR="002D3BB9">
        <w:t xml:space="preserve"> </w:t>
      </w:r>
      <w:r w:rsidRPr="00A45AF9">
        <w:t>Individual trials leverage methods, management and biostatistics resources of institutions associated with the researchers involved. These include centres such as the Florey Institute and Hunter Medical Research Institute. T</w:t>
      </w:r>
      <w:r w:rsidR="00744B29">
        <w:t>rial coordination activities conducted through method centres</w:t>
      </w:r>
      <w:r w:rsidRPr="00A45AF9">
        <w:t xml:space="preserve"> are sometimes funded</w:t>
      </w:r>
      <w:r w:rsidR="00744B29">
        <w:t xml:space="preserve"> solely</w:t>
      </w:r>
      <w:r w:rsidRPr="00A45AF9">
        <w:t xml:space="preserve"> through trial funding, but more typically require separate funding in addition to considerable in-kind support</w:t>
      </w:r>
      <w:r w:rsidR="00744B29">
        <w:t xml:space="preserve"> provided</w:t>
      </w:r>
      <w:r w:rsidRPr="00A45AF9">
        <w:t xml:space="preserve"> in the form of analytical </w:t>
      </w:r>
      <w:r>
        <w:t>expertise and infrastructure</w:t>
      </w:r>
      <w:r w:rsidR="00744B29">
        <w:t>.</w:t>
      </w:r>
    </w:p>
    <w:p w14:paraId="28B99CAD" w14:textId="3D8ECF06" w:rsidR="00AB7B28" w:rsidRDefault="00F64140" w:rsidP="00352327">
      <w:pPr>
        <w:pStyle w:val="Caption"/>
      </w:pPr>
      <w:bookmarkStart w:id="180" w:name="_Toc479177412"/>
      <w:r>
        <w:t xml:space="preserve">Appendix A Table </w:t>
      </w:r>
      <w:fldSimple w:instr=" SEQ Appendix_A_Table \* ARABIC ">
        <w:r w:rsidR="007B3054">
          <w:rPr>
            <w:noProof/>
          </w:rPr>
          <w:t>2</w:t>
        </w:r>
      </w:fldSimple>
      <w:r>
        <w:t>. ASTN network costs</w:t>
      </w:r>
      <w:bookmarkEnd w:id="180"/>
    </w:p>
    <w:tbl>
      <w:tblPr>
        <w:tblW w:w="14680" w:type="dxa"/>
        <w:tblInd w:w="14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left w:w="0" w:type="dxa"/>
          <w:right w:w="0" w:type="dxa"/>
        </w:tblCellMar>
        <w:tblLook w:val="0420" w:firstRow="1" w:lastRow="0" w:firstColumn="0" w:lastColumn="0" w:noHBand="0" w:noVBand="1"/>
      </w:tblPr>
      <w:tblGrid>
        <w:gridCol w:w="3402"/>
        <w:gridCol w:w="3969"/>
        <w:gridCol w:w="3969"/>
        <w:gridCol w:w="3340"/>
      </w:tblGrid>
      <w:tr w:rsidR="00AB7B28" w:rsidRPr="00C758E7" w14:paraId="29B2D852" w14:textId="77777777" w:rsidTr="00392788">
        <w:trPr>
          <w:trHeight w:val="865"/>
        </w:trPr>
        <w:tc>
          <w:tcPr>
            <w:tcW w:w="3402" w:type="dxa"/>
            <w:shd w:val="clear" w:color="auto" w:fill="2F5496" w:themeFill="accent5" w:themeFillShade="BF"/>
            <w:tcMar>
              <w:top w:w="57" w:type="dxa"/>
              <w:left w:w="57" w:type="dxa"/>
              <w:bottom w:w="57" w:type="dxa"/>
              <w:right w:w="57" w:type="dxa"/>
            </w:tcMar>
            <w:vAlign w:val="bottom"/>
            <w:hideMark/>
          </w:tcPr>
          <w:p w14:paraId="73BC6A24" w14:textId="13C5B2B6"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 xml:space="preserve">Central </w:t>
            </w:r>
            <w:r w:rsidR="002F280C">
              <w:rPr>
                <w:b/>
                <w:bCs/>
                <w:color w:val="FFFFFF" w:themeColor="background1"/>
                <w:sz w:val="21"/>
                <w:szCs w:val="21"/>
              </w:rPr>
              <w:t>n</w:t>
            </w:r>
            <w:r w:rsidRPr="00392788">
              <w:rPr>
                <w:b/>
                <w:bCs/>
                <w:color w:val="FFFFFF" w:themeColor="background1"/>
                <w:sz w:val="21"/>
                <w:szCs w:val="21"/>
              </w:rPr>
              <w:t xml:space="preserve">etwork </w:t>
            </w:r>
            <w:r w:rsidR="002F280C">
              <w:rPr>
                <w:b/>
                <w:bCs/>
                <w:color w:val="FFFFFF" w:themeColor="background1"/>
                <w:sz w:val="21"/>
                <w:szCs w:val="21"/>
              </w:rPr>
              <w:t>f</w:t>
            </w:r>
            <w:r w:rsidRPr="00392788">
              <w:rPr>
                <w:b/>
                <w:bCs/>
                <w:color w:val="FFFFFF" w:themeColor="background1"/>
                <w:sz w:val="21"/>
                <w:szCs w:val="21"/>
              </w:rPr>
              <w:t>unding</w:t>
            </w:r>
          </w:p>
        </w:tc>
        <w:tc>
          <w:tcPr>
            <w:tcW w:w="3969" w:type="dxa"/>
            <w:shd w:val="clear" w:color="auto" w:fill="2F5496" w:themeFill="accent5" w:themeFillShade="BF"/>
            <w:tcMar>
              <w:top w:w="57" w:type="dxa"/>
              <w:left w:w="57" w:type="dxa"/>
              <w:bottom w:w="57" w:type="dxa"/>
              <w:right w:w="57" w:type="dxa"/>
            </w:tcMar>
            <w:vAlign w:val="bottom"/>
            <w:hideMark/>
          </w:tcPr>
          <w:p w14:paraId="1E40EA5B" w14:textId="00C90644"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 xml:space="preserve">Network </w:t>
            </w:r>
            <w:r w:rsidR="002F280C">
              <w:rPr>
                <w:b/>
                <w:bCs/>
                <w:color w:val="FFFFFF" w:themeColor="background1"/>
                <w:sz w:val="21"/>
                <w:szCs w:val="21"/>
              </w:rPr>
              <w:t>i</w:t>
            </w:r>
            <w:r w:rsidRPr="00392788">
              <w:rPr>
                <w:b/>
                <w:bCs/>
                <w:color w:val="FFFFFF" w:themeColor="background1"/>
                <w:sz w:val="21"/>
                <w:szCs w:val="21"/>
              </w:rPr>
              <w:t>n-</w:t>
            </w:r>
            <w:r w:rsidR="002F280C">
              <w:rPr>
                <w:b/>
                <w:bCs/>
                <w:color w:val="FFFFFF" w:themeColor="background1"/>
                <w:sz w:val="21"/>
                <w:szCs w:val="21"/>
              </w:rPr>
              <w:t>k</w:t>
            </w:r>
            <w:r w:rsidRPr="00392788">
              <w:rPr>
                <w:b/>
                <w:bCs/>
                <w:color w:val="FFFFFF" w:themeColor="background1"/>
                <w:sz w:val="21"/>
                <w:szCs w:val="21"/>
              </w:rPr>
              <w:t xml:space="preserve">ind </w:t>
            </w:r>
            <w:r w:rsidR="002F280C">
              <w:rPr>
                <w:b/>
                <w:bCs/>
                <w:color w:val="FFFFFF" w:themeColor="background1"/>
                <w:sz w:val="21"/>
                <w:szCs w:val="21"/>
              </w:rPr>
              <w:t>c</w:t>
            </w:r>
            <w:r w:rsidRPr="00392788">
              <w:rPr>
                <w:b/>
                <w:bCs/>
                <w:color w:val="FFFFFF" w:themeColor="background1"/>
                <w:sz w:val="21"/>
                <w:szCs w:val="21"/>
              </w:rPr>
              <w:t>ontributions</w:t>
            </w:r>
          </w:p>
        </w:tc>
        <w:tc>
          <w:tcPr>
            <w:tcW w:w="3969" w:type="dxa"/>
            <w:shd w:val="clear" w:color="auto" w:fill="2F5496" w:themeFill="accent5" w:themeFillShade="BF"/>
            <w:tcMar>
              <w:top w:w="57" w:type="dxa"/>
              <w:left w:w="57" w:type="dxa"/>
              <w:bottom w:w="57" w:type="dxa"/>
              <w:right w:w="57" w:type="dxa"/>
            </w:tcMar>
            <w:vAlign w:val="bottom"/>
          </w:tcPr>
          <w:p w14:paraId="3B6B6187" w14:textId="3DC10282"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Trial</w:t>
            </w:r>
            <w:r w:rsidR="002F280C">
              <w:rPr>
                <w:b/>
                <w:bCs/>
                <w:color w:val="FFFFFF" w:themeColor="background1"/>
                <w:sz w:val="21"/>
                <w:szCs w:val="21"/>
              </w:rPr>
              <w:t xml:space="preserve"> c</w:t>
            </w:r>
            <w:r w:rsidRPr="00392788">
              <w:rPr>
                <w:b/>
                <w:bCs/>
                <w:color w:val="FFFFFF" w:themeColor="background1"/>
                <w:sz w:val="21"/>
                <w:szCs w:val="21"/>
              </w:rPr>
              <w:t xml:space="preserve">oordinating </w:t>
            </w:r>
            <w:r w:rsidR="002F280C">
              <w:rPr>
                <w:b/>
                <w:bCs/>
                <w:color w:val="FFFFFF" w:themeColor="background1"/>
                <w:sz w:val="21"/>
                <w:szCs w:val="21"/>
              </w:rPr>
              <w:t>c</w:t>
            </w:r>
            <w:r w:rsidRPr="00392788">
              <w:rPr>
                <w:b/>
                <w:bCs/>
                <w:color w:val="FFFFFF" w:themeColor="background1"/>
                <w:sz w:val="21"/>
                <w:szCs w:val="21"/>
              </w:rPr>
              <w:t xml:space="preserve">entre </w:t>
            </w:r>
            <w:r w:rsidR="002F280C">
              <w:rPr>
                <w:b/>
                <w:bCs/>
                <w:color w:val="FFFFFF" w:themeColor="background1"/>
                <w:sz w:val="21"/>
                <w:szCs w:val="21"/>
              </w:rPr>
              <w:t>c</w:t>
            </w:r>
            <w:r w:rsidRPr="00392788">
              <w:rPr>
                <w:b/>
                <w:bCs/>
                <w:color w:val="FFFFFF" w:themeColor="background1"/>
                <w:sz w:val="21"/>
                <w:szCs w:val="21"/>
              </w:rPr>
              <w:t>osts</w:t>
            </w:r>
          </w:p>
        </w:tc>
        <w:tc>
          <w:tcPr>
            <w:tcW w:w="3340" w:type="dxa"/>
            <w:shd w:val="clear" w:color="auto" w:fill="2F5496"/>
            <w:tcMar>
              <w:top w:w="57" w:type="dxa"/>
              <w:left w:w="57" w:type="dxa"/>
              <w:bottom w:w="57" w:type="dxa"/>
              <w:right w:w="57" w:type="dxa"/>
            </w:tcMar>
            <w:vAlign w:val="bottom"/>
            <w:hideMark/>
          </w:tcPr>
          <w:p w14:paraId="218941ED" w14:textId="3D1A3DB5"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 xml:space="preserve">Total </w:t>
            </w:r>
            <w:r w:rsidR="002F280C">
              <w:rPr>
                <w:b/>
                <w:bCs/>
                <w:color w:val="FFFFFF" w:themeColor="background1"/>
                <w:sz w:val="21"/>
                <w:szCs w:val="21"/>
              </w:rPr>
              <w:t>n</w:t>
            </w:r>
            <w:r w:rsidRPr="00392788">
              <w:rPr>
                <w:b/>
                <w:bCs/>
                <w:color w:val="FFFFFF" w:themeColor="background1"/>
                <w:sz w:val="21"/>
                <w:szCs w:val="21"/>
              </w:rPr>
              <w:t xml:space="preserve">etwork </w:t>
            </w:r>
            <w:r w:rsidR="002F280C">
              <w:rPr>
                <w:b/>
                <w:bCs/>
                <w:color w:val="FFFFFF" w:themeColor="background1"/>
                <w:sz w:val="21"/>
                <w:szCs w:val="21"/>
              </w:rPr>
              <w:t>c</w:t>
            </w:r>
            <w:r w:rsidRPr="00392788">
              <w:rPr>
                <w:b/>
                <w:bCs/>
                <w:color w:val="FFFFFF" w:themeColor="background1"/>
                <w:sz w:val="21"/>
                <w:szCs w:val="21"/>
              </w:rPr>
              <w:t xml:space="preserve">osts </w:t>
            </w:r>
            <w:r w:rsidRPr="00392788">
              <w:rPr>
                <w:b/>
                <w:bCs/>
                <w:color w:val="FFFFFF" w:themeColor="background1"/>
                <w:sz w:val="21"/>
                <w:szCs w:val="21"/>
              </w:rPr>
              <w:br/>
              <w:t>(since inception)</w:t>
            </w:r>
          </w:p>
        </w:tc>
      </w:tr>
      <w:tr w:rsidR="00AB7B28" w:rsidRPr="00C758E7" w14:paraId="3EE9C66B" w14:textId="77777777" w:rsidTr="00392788">
        <w:trPr>
          <w:trHeight w:val="444"/>
        </w:trPr>
        <w:tc>
          <w:tcPr>
            <w:tcW w:w="3402" w:type="dxa"/>
            <w:shd w:val="clear" w:color="auto" w:fill="auto"/>
            <w:tcMar>
              <w:top w:w="57" w:type="dxa"/>
              <w:left w:w="57" w:type="dxa"/>
              <w:bottom w:w="57" w:type="dxa"/>
              <w:right w:w="57" w:type="dxa"/>
            </w:tcMar>
            <w:hideMark/>
          </w:tcPr>
          <w:p w14:paraId="4D21969B" w14:textId="57A69B0B" w:rsidR="00AB7B28" w:rsidRPr="00C758E7" w:rsidRDefault="00AB7B28" w:rsidP="00392788">
            <w:pPr>
              <w:spacing w:before="120" w:after="120" w:line="240" w:lineRule="auto"/>
              <w:rPr>
                <w:bCs/>
                <w:sz w:val="21"/>
                <w:szCs w:val="21"/>
              </w:rPr>
            </w:pPr>
            <w:r w:rsidRPr="00C758E7">
              <w:rPr>
                <w:bCs/>
                <w:sz w:val="21"/>
                <w:szCs w:val="21"/>
              </w:rPr>
              <w:t>$0.2</w:t>
            </w:r>
            <w:r w:rsidR="00B17172" w:rsidRPr="00C758E7">
              <w:rPr>
                <w:bCs/>
                <w:sz w:val="21"/>
                <w:szCs w:val="21"/>
              </w:rPr>
              <w:t xml:space="preserve"> </w:t>
            </w:r>
            <w:r w:rsidRPr="00C758E7">
              <w:rPr>
                <w:bCs/>
                <w:sz w:val="21"/>
                <w:szCs w:val="21"/>
              </w:rPr>
              <w:t>m</w:t>
            </w:r>
            <w:r w:rsidR="00B17172" w:rsidRPr="00C758E7">
              <w:rPr>
                <w:bCs/>
                <w:sz w:val="21"/>
                <w:szCs w:val="21"/>
              </w:rPr>
              <w:t>illion</w:t>
            </w:r>
            <w:r w:rsidRPr="00C758E7">
              <w:rPr>
                <w:bCs/>
                <w:sz w:val="21"/>
                <w:szCs w:val="21"/>
              </w:rPr>
              <w:t xml:space="preserve"> over 20 years</w:t>
            </w:r>
          </w:p>
        </w:tc>
        <w:tc>
          <w:tcPr>
            <w:tcW w:w="3969" w:type="dxa"/>
            <w:shd w:val="clear" w:color="auto" w:fill="auto"/>
            <w:tcMar>
              <w:top w:w="57" w:type="dxa"/>
              <w:left w:w="57" w:type="dxa"/>
              <w:bottom w:w="57" w:type="dxa"/>
              <w:right w:w="57" w:type="dxa"/>
            </w:tcMar>
            <w:hideMark/>
          </w:tcPr>
          <w:p w14:paraId="1C9BA9D4" w14:textId="465EC93E" w:rsidR="00AB7B28" w:rsidRPr="00C758E7" w:rsidRDefault="00AB7B28" w:rsidP="00392788">
            <w:pPr>
              <w:spacing w:before="120" w:after="120" w:line="240" w:lineRule="auto"/>
              <w:rPr>
                <w:bCs/>
                <w:sz w:val="21"/>
                <w:szCs w:val="21"/>
              </w:rPr>
            </w:pPr>
            <w:r w:rsidRPr="00C758E7">
              <w:rPr>
                <w:bCs/>
                <w:sz w:val="21"/>
                <w:szCs w:val="21"/>
              </w:rPr>
              <w:t>$1.1</w:t>
            </w:r>
            <w:r w:rsidR="00B17172" w:rsidRPr="00C758E7">
              <w:rPr>
                <w:bCs/>
                <w:sz w:val="21"/>
                <w:szCs w:val="21"/>
              </w:rPr>
              <w:t xml:space="preserve"> </w:t>
            </w:r>
            <w:r w:rsidRPr="00C758E7">
              <w:rPr>
                <w:bCs/>
                <w:sz w:val="21"/>
                <w:szCs w:val="21"/>
              </w:rPr>
              <w:t>m</w:t>
            </w:r>
            <w:r w:rsidR="00B17172" w:rsidRPr="00C758E7">
              <w:rPr>
                <w:bCs/>
                <w:sz w:val="21"/>
                <w:szCs w:val="21"/>
              </w:rPr>
              <w:t>illion</w:t>
            </w:r>
          </w:p>
        </w:tc>
        <w:tc>
          <w:tcPr>
            <w:tcW w:w="3969" w:type="dxa"/>
            <w:shd w:val="clear" w:color="auto" w:fill="auto"/>
            <w:tcMar>
              <w:top w:w="57" w:type="dxa"/>
              <w:left w:w="57" w:type="dxa"/>
              <w:bottom w:w="57" w:type="dxa"/>
              <w:right w:w="57" w:type="dxa"/>
            </w:tcMar>
          </w:tcPr>
          <w:p w14:paraId="1ACEE49D" w14:textId="3C2BD4B3" w:rsidR="00AB7B28" w:rsidRPr="00C758E7" w:rsidRDefault="00AB7B28" w:rsidP="00392788">
            <w:pPr>
              <w:spacing w:before="120" w:after="120" w:line="240" w:lineRule="auto"/>
              <w:rPr>
                <w:bCs/>
                <w:sz w:val="21"/>
                <w:szCs w:val="21"/>
              </w:rPr>
            </w:pPr>
            <w:r w:rsidRPr="00C758E7">
              <w:rPr>
                <w:bCs/>
                <w:sz w:val="21"/>
                <w:szCs w:val="21"/>
              </w:rPr>
              <w:t>$24.1</w:t>
            </w:r>
            <w:r w:rsidR="00B17172" w:rsidRPr="00C758E7">
              <w:rPr>
                <w:bCs/>
                <w:sz w:val="21"/>
                <w:szCs w:val="21"/>
              </w:rPr>
              <w:t xml:space="preserve"> </w:t>
            </w:r>
            <w:r w:rsidRPr="00C758E7">
              <w:rPr>
                <w:bCs/>
                <w:sz w:val="21"/>
                <w:szCs w:val="21"/>
              </w:rPr>
              <w:t>m</w:t>
            </w:r>
            <w:r w:rsidR="00B17172" w:rsidRPr="00C758E7">
              <w:rPr>
                <w:bCs/>
                <w:sz w:val="21"/>
                <w:szCs w:val="21"/>
              </w:rPr>
              <w:t>illion</w:t>
            </w:r>
          </w:p>
        </w:tc>
        <w:tc>
          <w:tcPr>
            <w:tcW w:w="3340" w:type="dxa"/>
            <w:shd w:val="clear" w:color="auto" w:fill="auto"/>
            <w:tcMar>
              <w:top w:w="57" w:type="dxa"/>
              <w:left w:w="57" w:type="dxa"/>
              <w:bottom w:w="57" w:type="dxa"/>
              <w:right w:w="57" w:type="dxa"/>
            </w:tcMar>
            <w:hideMark/>
          </w:tcPr>
          <w:p w14:paraId="0E25102A" w14:textId="6EDE2FD2" w:rsidR="00AB7B28" w:rsidRPr="00C758E7" w:rsidRDefault="00AB7B28" w:rsidP="00392788">
            <w:pPr>
              <w:spacing w:before="120" w:after="120" w:line="240" w:lineRule="auto"/>
              <w:rPr>
                <w:bCs/>
                <w:sz w:val="21"/>
                <w:szCs w:val="21"/>
              </w:rPr>
            </w:pPr>
            <w:r w:rsidRPr="00C758E7">
              <w:rPr>
                <w:bCs/>
                <w:sz w:val="21"/>
                <w:szCs w:val="21"/>
              </w:rPr>
              <w:t>$24</w:t>
            </w:r>
            <w:r w:rsidR="00B17172" w:rsidRPr="00C758E7">
              <w:rPr>
                <w:bCs/>
                <w:sz w:val="21"/>
                <w:szCs w:val="21"/>
              </w:rPr>
              <w:t xml:space="preserve"> </w:t>
            </w:r>
            <w:r w:rsidRPr="00C758E7">
              <w:rPr>
                <w:bCs/>
                <w:sz w:val="21"/>
                <w:szCs w:val="21"/>
              </w:rPr>
              <w:t>m</w:t>
            </w:r>
            <w:r w:rsidR="00B17172" w:rsidRPr="00C758E7">
              <w:rPr>
                <w:bCs/>
                <w:sz w:val="21"/>
                <w:szCs w:val="21"/>
              </w:rPr>
              <w:t>illion</w:t>
            </w:r>
          </w:p>
        </w:tc>
      </w:tr>
    </w:tbl>
    <w:p w14:paraId="0B715E0C" w14:textId="77777777" w:rsidR="00F64140" w:rsidRDefault="00F64140" w:rsidP="00F64140">
      <w:pPr>
        <w:pStyle w:val="Caption"/>
      </w:pPr>
      <w:bookmarkStart w:id="181" w:name="_Toc349192150"/>
      <w:bookmarkStart w:id="182" w:name="_Toc475352607"/>
      <w:bookmarkStart w:id="183" w:name="_Toc475352795"/>
      <w:bookmarkStart w:id="184" w:name="_Toc350381616"/>
    </w:p>
    <w:p w14:paraId="109F7B51" w14:textId="77777777" w:rsidR="00A41A17" w:rsidRDefault="00A41A17">
      <w:pPr>
        <w:spacing w:before="0" w:after="200" w:line="276" w:lineRule="auto"/>
        <w:rPr>
          <w:rFonts w:eastAsiaTheme="minorEastAsia"/>
          <w:b/>
          <w:bCs/>
          <w:color w:val="2F5496" w:themeColor="accent5" w:themeShade="BF"/>
          <w:spacing w:val="6"/>
          <w:szCs w:val="18"/>
          <w:lang w:bidi="hi-IN"/>
        </w:rPr>
      </w:pPr>
      <w:r>
        <w:br w:type="page"/>
      </w:r>
    </w:p>
    <w:p w14:paraId="011E5EC5" w14:textId="00BF1032" w:rsidR="00AB7B28" w:rsidRDefault="00F64140" w:rsidP="00F64140">
      <w:pPr>
        <w:pStyle w:val="Caption"/>
      </w:pPr>
      <w:bookmarkStart w:id="185" w:name="_Toc479177413"/>
      <w:r>
        <w:lastRenderedPageBreak/>
        <w:t xml:space="preserve">Appendix A Table </w:t>
      </w:r>
      <w:fldSimple w:instr=" SEQ Appendix_A_Table \* ARABIC ">
        <w:r w:rsidR="007B3054">
          <w:rPr>
            <w:noProof/>
          </w:rPr>
          <w:t>3</w:t>
        </w:r>
      </w:fldSimple>
      <w:r>
        <w:t xml:space="preserve">. ASTN </w:t>
      </w:r>
      <w:r w:rsidR="00E25849">
        <w:t>t</w:t>
      </w:r>
      <w:r>
        <w:t>rial costs</w:t>
      </w:r>
      <w:r w:rsidR="00AB7B28">
        <w:rPr>
          <w:rStyle w:val="FootnoteReference"/>
        </w:rPr>
        <w:footnoteReference w:id="31"/>
      </w:r>
      <w:bookmarkEnd w:id="181"/>
      <w:bookmarkEnd w:id="182"/>
      <w:bookmarkEnd w:id="183"/>
      <w:bookmarkEnd w:id="184"/>
      <w:bookmarkEnd w:id="185"/>
    </w:p>
    <w:tbl>
      <w:tblPr>
        <w:tblW w:w="14666" w:type="dxa"/>
        <w:tblInd w:w="14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left w:w="0" w:type="dxa"/>
          <w:right w:w="0" w:type="dxa"/>
        </w:tblCellMar>
        <w:tblLook w:val="0420" w:firstRow="1" w:lastRow="0" w:firstColumn="0" w:lastColumn="0" w:noHBand="0" w:noVBand="1"/>
      </w:tblPr>
      <w:tblGrid>
        <w:gridCol w:w="2912"/>
        <w:gridCol w:w="5168"/>
        <w:gridCol w:w="3454"/>
        <w:gridCol w:w="3132"/>
      </w:tblGrid>
      <w:tr w:rsidR="00D62BA8" w:rsidRPr="00C758E7" w14:paraId="778D2A17" w14:textId="77777777" w:rsidTr="00392788">
        <w:trPr>
          <w:cantSplit/>
          <w:trHeight w:val="118"/>
          <w:tblHeader/>
        </w:trPr>
        <w:tc>
          <w:tcPr>
            <w:tcW w:w="2912" w:type="dxa"/>
            <w:shd w:val="clear" w:color="auto" w:fill="2F5496"/>
            <w:tcMar>
              <w:top w:w="57" w:type="dxa"/>
              <w:left w:w="57" w:type="dxa"/>
              <w:bottom w:w="57" w:type="dxa"/>
              <w:right w:w="57" w:type="dxa"/>
            </w:tcMar>
            <w:hideMark/>
          </w:tcPr>
          <w:p w14:paraId="0526584D" w14:textId="216C3008"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 xml:space="preserve">Trial </w:t>
            </w:r>
            <w:r w:rsidR="002F280C">
              <w:rPr>
                <w:b/>
                <w:bCs/>
                <w:color w:val="FFFFFF" w:themeColor="background1"/>
                <w:sz w:val="21"/>
                <w:szCs w:val="21"/>
              </w:rPr>
              <w:t>a</w:t>
            </w:r>
            <w:r w:rsidRPr="00392788">
              <w:rPr>
                <w:b/>
                <w:bCs/>
                <w:color w:val="FFFFFF" w:themeColor="background1"/>
                <w:sz w:val="21"/>
                <w:szCs w:val="21"/>
              </w:rPr>
              <w:t>cronym</w:t>
            </w:r>
          </w:p>
        </w:tc>
        <w:tc>
          <w:tcPr>
            <w:tcW w:w="5168" w:type="dxa"/>
            <w:shd w:val="clear" w:color="auto" w:fill="2F5496"/>
            <w:tcMar>
              <w:top w:w="57" w:type="dxa"/>
              <w:left w:w="57" w:type="dxa"/>
              <w:bottom w:w="57" w:type="dxa"/>
              <w:right w:w="57" w:type="dxa"/>
            </w:tcMar>
            <w:hideMark/>
          </w:tcPr>
          <w:p w14:paraId="2B16464F" w14:textId="77777777"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Main non-NHMRC funding</w:t>
            </w:r>
          </w:p>
        </w:tc>
        <w:tc>
          <w:tcPr>
            <w:tcW w:w="3454" w:type="dxa"/>
            <w:shd w:val="clear" w:color="auto" w:fill="2F5496"/>
            <w:tcMar>
              <w:top w:w="57" w:type="dxa"/>
              <w:left w:w="57" w:type="dxa"/>
              <w:bottom w:w="57" w:type="dxa"/>
              <w:right w:w="57" w:type="dxa"/>
            </w:tcMar>
            <w:hideMark/>
          </w:tcPr>
          <w:p w14:paraId="10941CDA" w14:textId="77777777"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NHMRC funding</w:t>
            </w:r>
          </w:p>
        </w:tc>
        <w:tc>
          <w:tcPr>
            <w:tcW w:w="3132" w:type="dxa"/>
            <w:shd w:val="clear" w:color="auto" w:fill="2F5496"/>
            <w:tcMar>
              <w:top w:w="57" w:type="dxa"/>
              <w:left w:w="57" w:type="dxa"/>
              <w:bottom w:w="57" w:type="dxa"/>
              <w:right w:w="57" w:type="dxa"/>
            </w:tcMar>
            <w:hideMark/>
          </w:tcPr>
          <w:p w14:paraId="1D238AB6" w14:textId="4E7B6511"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 xml:space="preserve">Total non-commercial </w:t>
            </w:r>
            <w:r w:rsidR="002F280C">
              <w:rPr>
                <w:b/>
                <w:bCs/>
                <w:color w:val="FFFFFF" w:themeColor="background1"/>
                <w:sz w:val="21"/>
                <w:szCs w:val="21"/>
              </w:rPr>
              <w:t>f</w:t>
            </w:r>
            <w:r w:rsidRPr="00392788">
              <w:rPr>
                <w:b/>
                <w:bCs/>
                <w:color w:val="FFFFFF" w:themeColor="background1"/>
                <w:sz w:val="21"/>
                <w:szCs w:val="21"/>
              </w:rPr>
              <w:t>unding</w:t>
            </w:r>
          </w:p>
        </w:tc>
      </w:tr>
      <w:tr w:rsidR="00D62BA8" w:rsidRPr="00C758E7" w14:paraId="2E9FC5CB" w14:textId="77777777" w:rsidTr="00392788">
        <w:trPr>
          <w:cantSplit/>
          <w:trHeight w:val="560"/>
        </w:trPr>
        <w:tc>
          <w:tcPr>
            <w:tcW w:w="2912" w:type="dxa"/>
            <w:shd w:val="clear" w:color="auto" w:fill="auto"/>
            <w:tcMar>
              <w:top w:w="57" w:type="dxa"/>
              <w:left w:w="57" w:type="dxa"/>
              <w:bottom w:w="57" w:type="dxa"/>
              <w:right w:w="57" w:type="dxa"/>
            </w:tcMar>
            <w:hideMark/>
          </w:tcPr>
          <w:p w14:paraId="4E084C15" w14:textId="77777777" w:rsidR="001E4736" w:rsidRPr="00C758E7" w:rsidRDefault="001E4736" w:rsidP="00392788">
            <w:pPr>
              <w:spacing w:before="120" w:after="120" w:line="240" w:lineRule="auto"/>
              <w:rPr>
                <w:bCs/>
                <w:sz w:val="21"/>
                <w:szCs w:val="21"/>
              </w:rPr>
            </w:pPr>
            <w:r w:rsidRPr="00C758E7">
              <w:rPr>
                <w:bCs/>
                <w:sz w:val="21"/>
                <w:szCs w:val="21"/>
              </w:rPr>
              <w:t>ARCH</w:t>
            </w:r>
          </w:p>
        </w:tc>
        <w:tc>
          <w:tcPr>
            <w:tcW w:w="5168" w:type="dxa"/>
            <w:shd w:val="clear" w:color="auto" w:fill="auto"/>
            <w:tcMar>
              <w:top w:w="57" w:type="dxa"/>
              <w:left w:w="57" w:type="dxa"/>
              <w:bottom w:w="57" w:type="dxa"/>
              <w:right w:w="57" w:type="dxa"/>
            </w:tcMar>
            <w:hideMark/>
          </w:tcPr>
          <w:p w14:paraId="2F5BA79C" w14:textId="6EE125EC" w:rsidR="001E4736" w:rsidRPr="00C758E7" w:rsidRDefault="002F280C" w:rsidP="00392788">
            <w:pPr>
              <w:spacing w:before="120" w:after="120" w:line="240" w:lineRule="auto"/>
              <w:rPr>
                <w:bCs/>
                <w:sz w:val="21"/>
                <w:szCs w:val="21"/>
              </w:rPr>
            </w:pPr>
            <w:r>
              <w:rPr>
                <w:bCs/>
                <w:sz w:val="21"/>
                <w:szCs w:val="21"/>
              </w:rPr>
              <w:t>–</w:t>
            </w:r>
          </w:p>
        </w:tc>
        <w:tc>
          <w:tcPr>
            <w:tcW w:w="3454" w:type="dxa"/>
            <w:shd w:val="clear" w:color="auto" w:fill="auto"/>
            <w:tcMar>
              <w:top w:w="57" w:type="dxa"/>
              <w:left w:w="57" w:type="dxa"/>
              <w:bottom w:w="57" w:type="dxa"/>
              <w:right w:w="57" w:type="dxa"/>
            </w:tcMar>
            <w:hideMark/>
          </w:tcPr>
          <w:p w14:paraId="6A39C750" w14:textId="24768F19" w:rsidR="001E4736" w:rsidRPr="00C758E7" w:rsidRDefault="001E4736" w:rsidP="00392788">
            <w:pPr>
              <w:spacing w:before="120" w:after="120" w:line="240" w:lineRule="auto"/>
              <w:rPr>
                <w:bCs/>
                <w:sz w:val="21"/>
                <w:szCs w:val="21"/>
              </w:rPr>
            </w:pPr>
            <w:r w:rsidRPr="00C758E7">
              <w:rPr>
                <w:bCs/>
                <w:sz w:val="21"/>
                <w:szCs w:val="21"/>
              </w:rPr>
              <w:t xml:space="preserve"> $0.8</w:t>
            </w:r>
            <w:r w:rsidR="00B17172" w:rsidRPr="00C758E7">
              <w:rPr>
                <w:bCs/>
                <w:sz w:val="21"/>
                <w:szCs w:val="21"/>
              </w:rPr>
              <w:t xml:space="preserve"> </w:t>
            </w:r>
            <w:r w:rsidRPr="00C758E7">
              <w:rPr>
                <w:bCs/>
                <w:sz w:val="21"/>
                <w:szCs w:val="21"/>
              </w:rPr>
              <w:t>m</w:t>
            </w:r>
            <w:r w:rsidR="00B17172" w:rsidRPr="00C758E7">
              <w:rPr>
                <w:bCs/>
                <w:sz w:val="21"/>
                <w:szCs w:val="21"/>
              </w:rPr>
              <w:t>illion</w:t>
            </w:r>
          </w:p>
        </w:tc>
        <w:tc>
          <w:tcPr>
            <w:tcW w:w="3132" w:type="dxa"/>
            <w:shd w:val="clear" w:color="auto" w:fill="auto"/>
            <w:tcMar>
              <w:top w:w="57" w:type="dxa"/>
              <w:left w:w="57" w:type="dxa"/>
              <w:bottom w:w="57" w:type="dxa"/>
              <w:right w:w="57" w:type="dxa"/>
            </w:tcMar>
            <w:hideMark/>
          </w:tcPr>
          <w:p w14:paraId="45A03861" w14:textId="77B71210" w:rsidR="001E4736" w:rsidRPr="00C758E7" w:rsidRDefault="001E4736" w:rsidP="00392788">
            <w:pPr>
              <w:spacing w:before="120" w:after="120" w:line="240" w:lineRule="auto"/>
              <w:rPr>
                <w:bCs/>
                <w:sz w:val="21"/>
                <w:szCs w:val="21"/>
              </w:rPr>
            </w:pPr>
            <w:r w:rsidRPr="00C758E7">
              <w:rPr>
                <w:bCs/>
                <w:sz w:val="21"/>
                <w:szCs w:val="21"/>
              </w:rPr>
              <w:t>$0.8</w:t>
            </w:r>
            <w:r w:rsidR="00B17172" w:rsidRPr="00C758E7">
              <w:rPr>
                <w:bCs/>
                <w:sz w:val="21"/>
                <w:szCs w:val="21"/>
              </w:rPr>
              <w:t xml:space="preserve"> million</w:t>
            </w:r>
          </w:p>
        </w:tc>
      </w:tr>
      <w:tr w:rsidR="00D62BA8" w:rsidRPr="00C758E7" w14:paraId="01591605" w14:textId="77777777" w:rsidTr="00392788">
        <w:trPr>
          <w:cantSplit/>
          <w:trHeight w:val="392"/>
        </w:trPr>
        <w:tc>
          <w:tcPr>
            <w:tcW w:w="2912" w:type="dxa"/>
            <w:shd w:val="clear" w:color="auto" w:fill="auto"/>
            <w:tcMar>
              <w:top w:w="57" w:type="dxa"/>
              <w:left w:w="57" w:type="dxa"/>
              <w:bottom w:w="57" w:type="dxa"/>
              <w:right w:w="57" w:type="dxa"/>
            </w:tcMar>
            <w:hideMark/>
          </w:tcPr>
          <w:p w14:paraId="4273CD72" w14:textId="77777777" w:rsidR="001E4736" w:rsidRPr="00C758E7" w:rsidRDefault="001E4736" w:rsidP="00392788">
            <w:pPr>
              <w:spacing w:before="120" w:after="120" w:line="240" w:lineRule="auto"/>
              <w:rPr>
                <w:bCs/>
                <w:sz w:val="21"/>
                <w:szCs w:val="21"/>
              </w:rPr>
            </w:pPr>
            <w:r w:rsidRPr="00C758E7">
              <w:rPr>
                <w:bCs/>
                <w:sz w:val="21"/>
                <w:szCs w:val="21"/>
              </w:rPr>
              <w:t>AVERT</w:t>
            </w:r>
          </w:p>
        </w:tc>
        <w:tc>
          <w:tcPr>
            <w:tcW w:w="5168" w:type="dxa"/>
            <w:shd w:val="clear" w:color="auto" w:fill="auto"/>
            <w:tcMar>
              <w:top w:w="57" w:type="dxa"/>
              <w:left w:w="57" w:type="dxa"/>
              <w:bottom w:w="57" w:type="dxa"/>
              <w:right w:w="57" w:type="dxa"/>
            </w:tcMar>
            <w:hideMark/>
          </w:tcPr>
          <w:p w14:paraId="6F9D59F0" w14:textId="77777777" w:rsidR="001E4736" w:rsidRPr="00C758E7" w:rsidRDefault="001E4736" w:rsidP="00392788">
            <w:pPr>
              <w:spacing w:before="120" w:after="120" w:line="240" w:lineRule="auto"/>
              <w:rPr>
                <w:bCs/>
                <w:sz w:val="21"/>
                <w:szCs w:val="21"/>
              </w:rPr>
            </w:pPr>
            <w:r w:rsidRPr="00C758E7">
              <w:rPr>
                <w:bCs/>
                <w:sz w:val="21"/>
                <w:szCs w:val="21"/>
              </w:rPr>
              <w:t>Chest Heart and Stroke Scotland</w:t>
            </w:r>
          </w:p>
        </w:tc>
        <w:tc>
          <w:tcPr>
            <w:tcW w:w="3454" w:type="dxa"/>
            <w:shd w:val="clear" w:color="auto" w:fill="auto"/>
            <w:tcMar>
              <w:top w:w="57" w:type="dxa"/>
              <w:left w:w="57" w:type="dxa"/>
              <w:bottom w:w="57" w:type="dxa"/>
              <w:right w:w="57" w:type="dxa"/>
            </w:tcMar>
            <w:hideMark/>
          </w:tcPr>
          <w:p w14:paraId="02904FFE" w14:textId="453CEDFE" w:rsidR="001E4736" w:rsidRPr="00C758E7" w:rsidRDefault="001E4736" w:rsidP="00392788">
            <w:pPr>
              <w:spacing w:before="120" w:after="120" w:line="240" w:lineRule="auto"/>
              <w:rPr>
                <w:bCs/>
                <w:sz w:val="21"/>
                <w:szCs w:val="21"/>
              </w:rPr>
            </w:pPr>
            <w:r w:rsidRPr="00C758E7">
              <w:rPr>
                <w:bCs/>
                <w:sz w:val="21"/>
                <w:szCs w:val="21"/>
              </w:rPr>
              <w:t xml:space="preserve"> $4.9</w:t>
            </w:r>
            <w:r w:rsidR="00B17172" w:rsidRPr="00C758E7">
              <w:rPr>
                <w:bCs/>
                <w:sz w:val="21"/>
                <w:szCs w:val="21"/>
              </w:rPr>
              <w:t xml:space="preserve"> million</w:t>
            </w:r>
          </w:p>
        </w:tc>
        <w:tc>
          <w:tcPr>
            <w:tcW w:w="3132" w:type="dxa"/>
            <w:shd w:val="clear" w:color="auto" w:fill="auto"/>
            <w:tcMar>
              <w:top w:w="57" w:type="dxa"/>
              <w:left w:w="57" w:type="dxa"/>
              <w:bottom w:w="57" w:type="dxa"/>
              <w:right w:w="57" w:type="dxa"/>
            </w:tcMar>
            <w:hideMark/>
          </w:tcPr>
          <w:p w14:paraId="755963DD" w14:textId="4D82FE9E" w:rsidR="001E4736" w:rsidRPr="00C758E7" w:rsidRDefault="001E4736" w:rsidP="00392788">
            <w:pPr>
              <w:spacing w:before="120" w:after="120" w:line="240" w:lineRule="auto"/>
              <w:rPr>
                <w:bCs/>
                <w:sz w:val="21"/>
                <w:szCs w:val="21"/>
              </w:rPr>
            </w:pPr>
            <w:r w:rsidRPr="00C758E7">
              <w:rPr>
                <w:bCs/>
                <w:sz w:val="21"/>
                <w:szCs w:val="21"/>
              </w:rPr>
              <w:t>$6.6</w:t>
            </w:r>
            <w:r w:rsidR="00B17172" w:rsidRPr="00C758E7">
              <w:rPr>
                <w:bCs/>
                <w:sz w:val="21"/>
                <w:szCs w:val="21"/>
              </w:rPr>
              <w:t xml:space="preserve"> million</w:t>
            </w:r>
          </w:p>
        </w:tc>
      </w:tr>
      <w:tr w:rsidR="00D62BA8" w:rsidRPr="00C758E7" w14:paraId="3CF6E0FF" w14:textId="77777777" w:rsidTr="00392788">
        <w:trPr>
          <w:cantSplit/>
          <w:trHeight w:val="269"/>
        </w:trPr>
        <w:tc>
          <w:tcPr>
            <w:tcW w:w="2912" w:type="dxa"/>
            <w:shd w:val="clear" w:color="auto" w:fill="auto"/>
            <w:tcMar>
              <w:top w:w="57" w:type="dxa"/>
              <w:left w:w="57" w:type="dxa"/>
              <w:bottom w:w="57" w:type="dxa"/>
              <w:right w:w="57" w:type="dxa"/>
            </w:tcMar>
            <w:hideMark/>
          </w:tcPr>
          <w:p w14:paraId="51AE6441" w14:textId="77777777" w:rsidR="001E4736" w:rsidRPr="00C758E7" w:rsidRDefault="001E4736" w:rsidP="00392788">
            <w:pPr>
              <w:spacing w:before="120" w:after="120" w:line="240" w:lineRule="auto"/>
              <w:rPr>
                <w:bCs/>
                <w:sz w:val="21"/>
                <w:szCs w:val="21"/>
              </w:rPr>
            </w:pPr>
            <w:r w:rsidRPr="00C758E7">
              <w:rPr>
                <w:bCs/>
                <w:sz w:val="21"/>
                <w:szCs w:val="21"/>
              </w:rPr>
              <w:t>ENCHANTED</w:t>
            </w:r>
          </w:p>
        </w:tc>
        <w:tc>
          <w:tcPr>
            <w:tcW w:w="5168" w:type="dxa"/>
            <w:shd w:val="clear" w:color="auto" w:fill="auto"/>
            <w:tcMar>
              <w:top w:w="57" w:type="dxa"/>
              <w:left w:w="57" w:type="dxa"/>
              <w:bottom w:w="57" w:type="dxa"/>
              <w:right w:w="57" w:type="dxa"/>
            </w:tcMar>
            <w:hideMark/>
          </w:tcPr>
          <w:p w14:paraId="2A48F26C" w14:textId="77777777" w:rsidR="001E4736" w:rsidRPr="00C758E7" w:rsidRDefault="001E4736" w:rsidP="00392788">
            <w:pPr>
              <w:spacing w:before="120" w:after="120" w:line="240" w:lineRule="auto"/>
              <w:rPr>
                <w:bCs/>
                <w:sz w:val="21"/>
                <w:szCs w:val="21"/>
              </w:rPr>
            </w:pPr>
            <w:r w:rsidRPr="00C758E7">
              <w:rPr>
                <w:bCs/>
                <w:sz w:val="21"/>
                <w:szCs w:val="21"/>
              </w:rPr>
              <w:t>Stroke Association UK</w:t>
            </w:r>
          </w:p>
        </w:tc>
        <w:tc>
          <w:tcPr>
            <w:tcW w:w="3454" w:type="dxa"/>
            <w:shd w:val="clear" w:color="auto" w:fill="auto"/>
            <w:tcMar>
              <w:top w:w="57" w:type="dxa"/>
              <w:left w:w="57" w:type="dxa"/>
              <w:bottom w:w="57" w:type="dxa"/>
              <w:right w:w="57" w:type="dxa"/>
            </w:tcMar>
            <w:hideMark/>
          </w:tcPr>
          <w:p w14:paraId="4B88F240" w14:textId="356EC8F8" w:rsidR="001E4736" w:rsidRPr="00C758E7" w:rsidRDefault="001E4736" w:rsidP="00392788">
            <w:pPr>
              <w:spacing w:before="120" w:after="120" w:line="240" w:lineRule="auto"/>
              <w:rPr>
                <w:bCs/>
                <w:sz w:val="21"/>
                <w:szCs w:val="21"/>
              </w:rPr>
            </w:pPr>
            <w:r w:rsidRPr="00C758E7">
              <w:rPr>
                <w:bCs/>
                <w:sz w:val="21"/>
                <w:szCs w:val="21"/>
              </w:rPr>
              <w:t>$6.6</w:t>
            </w:r>
            <w:r w:rsidR="00B17172" w:rsidRPr="00C758E7">
              <w:rPr>
                <w:bCs/>
                <w:sz w:val="21"/>
                <w:szCs w:val="21"/>
              </w:rPr>
              <w:t xml:space="preserve"> million</w:t>
            </w:r>
          </w:p>
        </w:tc>
        <w:tc>
          <w:tcPr>
            <w:tcW w:w="3132" w:type="dxa"/>
            <w:shd w:val="clear" w:color="auto" w:fill="auto"/>
            <w:tcMar>
              <w:top w:w="57" w:type="dxa"/>
              <w:left w:w="57" w:type="dxa"/>
              <w:bottom w:w="57" w:type="dxa"/>
              <w:right w:w="57" w:type="dxa"/>
            </w:tcMar>
            <w:hideMark/>
          </w:tcPr>
          <w:p w14:paraId="5FC252FF" w14:textId="76209633" w:rsidR="001E4736" w:rsidRPr="00C758E7" w:rsidRDefault="001E4736" w:rsidP="00392788">
            <w:pPr>
              <w:spacing w:before="120" w:after="120" w:line="240" w:lineRule="auto"/>
              <w:rPr>
                <w:bCs/>
                <w:sz w:val="21"/>
                <w:szCs w:val="21"/>
              </w:rPr>
            </w:pPr>
            <w:r w:rsidRPr="00C758E7">
              <w:rPr>
                <w:bCs/>
                <w:sz w:val="21"/>
                <w:szCs w:val="21"/>
              </w:rPr>
              <w:t>$9.7</w:t>
            </w:r>
            <w:r w:rsidR="00B17172" w:rsidRPr="00C758E7">
              <w:rPr>
                <w:bCs/>
                <w:sz w:val="21"/>
                <w:szCs w:val="21"/>
              </w:rPr>
              <w:t xml:space="preserve"> million</w:t>
            </w:r>
          </w:p>
        </w:tc>
      </w:tr>
      <w:tr w:rsidR="00D62BA8" w:rsidRPr="00C758E7" w14:paraId="2A028CD0" w14:textId="77777777" w:rsidTr="00392788">
        <w:trPr>
          <w:cantSplit/>
          <w:trHeight w:val="231"/>
        </w:trPr>
        <w:tc>
          <w:tcPr>
            <w:tcW w:w="2912" w:type="dxa"/>
            <w:shd w:val="clear" w:color="auto" w:fill="auto"/>
            <w:tcMar>
              <w:top w:w="57" w:type="dxa"/>
              <w:left w:w="57" w:type="dxa"/>
              <w:bottom w:w="57" w:type="dxa"/>
              <w:right w:w="57" w:type="dxa"/>
            </w:tcMar>
            <w:hideMark/>
          </w:tcPr>
          <w:p w14:paraId="662260BD" w14:textId="77777777" w:rsidR="001E4736" w:rsidRPr="00C758E7" w:rsidRDefault="001E4736" w:rsidP="00392788">
            <w:pPr>
              <w:spacing w:before="120" w:after="120" w:line="240" w:lineRule="auto"/>
              <w:rPr>
                <w:bCs/>
                <w:sz w:val="21"/>
                <w:szCs w:val="21"/>
              </w:rPr>
            </w:pPr>
            <w:r w:rsidRPr="00C758E7">
              <w:rPr>
                <w:bCs/>
                <w:sz w:val="21"/>
                <w:szCs w:val="21"/>
              </w:rPr>
              <w:t>EXTEND-IA</w:t>
            </w:r>
          </w:p>
        </w:tc>
        <w:tc>
          <w:tcPr>
            <w:tcW w:w="5168" w:type="dxa"/>
            <w:shd w:val="clear" w:color="auto" w:fill="auto"/>
            <w:tcMar>
              <w:top w:w="57" w:type="dxa"/>
              <w:left w:w="57" w:type="dxa"/>
              <w:bottom w:w="57" w:type="dxa"/>
              <w:right w:w="57" w:type="dxa"/>
            </w:tcMar>
            <w:hideMark/>
          </w:tcPr>
          <w:p w14:paraId="4FE62526" w14:textId="77777777" w:rsidR="001E4736" w:rsidRPr="00C758E7" w:rsidRDefault="001E4736" w:rsidP="00392788">
            <w:pPr>
              <w:spacing w:before="120" w:after="120" w:line="240" w:lineRule="auto"/>
              <w:rPr>
                <w:bCs/>
                <w:sz w:val="21"/>
                <w:szCs w:val="21"/>
              </w:rPr>
            </w:pPr>
            <w:r w:rsidRPr="00C758E7">
              <w:rPr>
                <w:bCs/>
                <w:sz w:val="21"/>
                <w:szCs w:val="21"/>
              </w:rPr>
              <w:t>Royal Australasian College of Physicians</w:t>
            </w:r>
          </w:p>
        </w:tc>
        <w:tc>
          <w:tcPr>
            <w:tcW w:w="3454" w:type="dxa"/>
            <w:shd w:val="clear" w:color="auto" w:fill="auto"/>
            <w:tcMar>
              <w:top w:w="57" w:type="dxa"/>
              <w:left w:w="57" w:type="dxa"/>
              <w:bottom w:w="57" w:type="dxa"/>
              <w:right w:w="57" w:type="dxa"/>
            </w:tcMar>
            <w:hideMark/>
          </w:tcPr>
          <w:p w14:paraId="4B2C11A0" w14:textId="5B2F2700" w:rsidR="001E4736" w:rsidRPr="00C758E7" w:rsidRDefault="001E4736" w:rsidP="00392788">
            <w:pPr>
              <w:spacing w:before="120" w:after="120" w:line="240" w:lineRule="auto"/>
              <w:rPr>
                <w:bCs/>
                <w:sz w:val="21"/>
                <w:szCs w:val="21"/>
              </w:rPr>
            </w:pPr>
            <w:r w:rsidRPr="00C758E7">
              <w:rPr>
                <w:bCs/>
                <w:sz w:val="21"/>
                <w:szCs w:val="21"/>
              </w:rPr>
              <w:t xml:space="preserve"> $0.7</w:t>
            </w:r>
            <w:r w:rsidR="00B17172" w:rsidRPr="00C758E7">
              <w:rPr>
                <w:bCs/>
                <w:sz w:val="21"/>
                <w:szCs w:val="21"/>
              </w:rPr>
              <w:t xml:space="preserve"> million</w:t>
            </w:r>
          </w:p>
        </w:tc>
        <w:tc>
          <w:tcPr>
            <w:tcW w:w="3132" w:type="dxa"/>
            <w:shd w:val="clear" w:color="auto" w:fill="auto"/>
            <w:tcMar>
              <w:top w:w="57" w:type="dxa"/>
              <w:left w:w="57" w:type="dxa"/>
              <w:bottom w:w="57" w:type="dxa"/>
              <w:right w:w="57" w:type="dxa"/>
            </w:tcMar>
            <w:hideMark/>
          </w:tcPr>
          <w:p w14:paraId="74ACF366" w14:textId="3AF80A3C" w:rsidR="001E4736" w:rsidRPr="00C758E7" w:rsidRDefault="001E4736" w:rsidP="00392788">
            <w:pPr>
              <w:spacing w:before="120" w:after="120" w:line="240" w:lineRule="auto"/>
              <w:rPr>
                <w:bCs/>
                <w:sz w:val="21"/>
                <w:szCs w:val="21"/>
              </w:rPr>
            </w:pPr>
            <w:r w:rsidRPr="00C758E7">
              <w:rPr>
                <w:bCs/>
                <w:sz w:val="21"/>
                <w:szCs w:val="21"/>
              </w:rPr>
              <w:t>$1.1</w:t>
            </w:r>
            <w:r w:rsidR="00B17172" w:rsidRPr="00C758E7">
              <w:rPr>
                <w:bCs/>
                <w:sz w:val="21"/>
                <w:szCs w:val="21"/>
              </w:rPr>
              <w:t xml:space="preserve"> million</w:t>
            </w:r>
          </w:p>
        </w:tc>
      </w:tr>
      <w:tr w:rsidR="00D62BA8" w:rsidRPr="00C758E7" w14:paraId="76C8CBED" w14:textId="77777777" w:rsidTr="00392788">
        <w:trPr>
          <w:cantSplit/>
          <w:trHeight w:val="318"/>
        </w:trPr>
        <w:tc>
          <w:tcPr>
            <w:tcW w:w="2912" w:type="dxa"/>
            <w:shd w:val="clear" w:color="auto" w:fill="auto"/>
            <w:tcMar>
              <w:top w:w="57" w:type="dxa"/>
              <w:left w:w="57" w:type="dxa"/>
              <w:bottom w:w="57" w:type="dxa"/>
              <w:right w:w="57" w:type="dxa"/>
            </w:tcMar>
            <w:hideMark/>
          </w:tcPr>
          <w:p w14:paraId="3EE0CBAC" w14:textId="77777777" w:rsidR="001E4736" w:rsidRPr="00C758E7" w:rsidRDefault="001E4736" w:rsidP="00392788">
            <w:pPr>
              <w:spacing w:before="120" w:after="120" w:line="240" w:lineRule="auto"/>
              <w:rPr>
                <w:bCs/>
                <w:sz w:val="21"/>
                <w:szCs w:val="21"/>
              </w:rPr>
            </w:pPr>
            <w:r w:rsidRPr="00C758E7">
              <w:rPr>
                <w:bCs/>
                <w:sz w:val="21"/>
                <w:szCs w:val="21"/>
              </w:rPr>
              <w:t>INTERACT2</w:t>
            </w:r>
          </w:p>
        </w:tc>
        <w:tc>
          <w:tcPr>
            <w:tcW w:w="5168" w:type="dxa"/>
            <w:shd w:val="clear" w:color="auto" w:fill="auto"/>
            <w:tcMar>
              <w:top w:w="57" w:type="dxa"/>
              <w:left w:w="57" w:type="dxa"/>
              <w:bottom w:w="57" w:type="dxa"/>
              <w:right w:w="57" w:type="dxa"/>
            </w:tcMar>
            <w:hideMark/>
          </w:tcPr>
          <w:p w14:paraId="50F26398" w14:textId="4E78CC63" w:rsidR="001E4736" w:rsidRPr="00C758E7" w:rsidRDefault="002F280C" w:rsidP="00392788">
            <w:pPr>
              <w:spacing w:before="120" w:after="120" w:line="240" w:lineRule="auto"/>
              <w:rPr>
                <w:bCs/>
                <w:sz w:val="21"/>
                <w:szCs w:val="21"/>
              </w:rPr>
            </w:pPr>
            <w:r>
              <w:rPr>
                <w:bCs/>
                <w:sz w:val="21"/>
                <w:szCs w:val="21"/>
              </w:rPr>
              <w:t>–</w:t>
            </w:r>
          </w:p>
        </w:tc>
        <w:tc>
          <w:tcPr>
            <w:tcW w:w="3454" w:type="dxa"/>
            <w:shd w:val="clear" w:color="auto" w:fill="auto"/>
            <w:tcMar>
              <w:top w:w="57" w:type="dxa"/>
              <w:left w:w="57" w:type="dxa"/>
              <w:bottom w:w="57" w:type="dxa"/>
              <w:right w:w="57" w:type="dxa"/>
            </w:tcMar>
            <w:hideMark/>
          </w:tcPr>
          <w:p w14:paraId="7DE39D73" w14:textId="58AD7477" w:rsidR="001E4736" w:rsidRPr="00C758E7" w:rsidRDefault="001E4736" w:rsidP="00392788">
            <w:pPr>
              <w:spacing w:before="120" w:after="120" w:line="240" w:lineRule="auto"/>
              <w:rPr>
                <w:bCs/>
                <w:sz w:val="21"/>
                <w:szCs w:val="21"/>
              </w:rPr>
            </w:pPr>
            <w:r w:rsidRPr="00C758E7">
              <w:rPr>
                <w:bCs/>
                <w:sz w:val="21"/>
                <w:szCs w:val="21"/>
              </w:rPr>
              <w:t xml:space="preserve"> $4.6</w:t>
            </w:r>
            <w:r w:rsidR="00B17172" w:rsidRPr="00C758E7">
              <w:rPr>
                <w:bCs/>
                <w:sz w:val="21"/>
                <w:szCs w:val="21"/>
              </w:rPr>
              <w:t xml:space="preserve"> million</w:t>
            </w:r>
          </w:p>
        </w:tc>
        <w:tc>
          <w:tcPr>
            <w:tcW w:w="3132" w:type="dxa"/>
            <w:shd w:val="clear" w:color="auto" w:fill="auto"/>
            <w:tcMar>
              <w:top w:w="57" w:type="dxa"/>
              <w:left w:w="57" w:type="dxa"/>
              <w:bottom w:w="57" w:type="dxa"/>
              <w:right w:w="57" w:type="dxa"/>
            </w:tcMar>
            <w:hideMark/>
          </w:tcPr>
          <w:p w14:paraId="201C3FD0" w14:textId="1159DCD0" w:rsidR="001E4736" w:rsidRPr="00C758E7" w:rsidRDefault="001E4736" w:rsidP="00392788">
            <w:pPr>
              <w:spacing w:before="120" w:after="120" w:line="240" w:lineRule="auto"/>
              <w:rPr>
                <w:bCs/>
                <w:sz w:val="21"/>
                <w:szCs w:val="21"/>
              </w:rPr>
            </w:pPr>
            <w:r w:rsidRPr="00C758E7">
              <w:rPr>
                <w:bCs/>
                <w:sz w:val="21"/>
                <w:szCs w:val="21"/>
              </w:rPr>
              <w:t>$5.8</w:t>
            </w:r>
            <w:r w:rsidR="00B17172" w:rsidRPr="00C758E7">
              <w:rPr>
                <w:bCs/>
                <w:sz w:val="21"/>
                <w:szCs w:val="21"/>
              </w:rPr>
              <w:t xml:space="preserve"> million</w:t>
            </w:r>
          </w:p>
        </w:tc>
      </w:tr>
      <w:tr w:rsidR="00D62BA8" w:rsidRPr="00C758E7" w14:paraId="0BD61052" w14:textId="77777777" w:rsidTr="00392788">
        <w:trPr>
          <w:cantSplit/>
          <w:trHeight w:val="101"/>
        </w:trPr>
        <w:tc>
          <w:tcPr>
            <w:tcW w:w="2912" w:type="dxa"/>
            <w:shd w:val="clear" w:color="auto" w:fill="auto"/>
            <w:tcMar>
              <w:top w:w="57" w:type="dxa"/>
              <w:left w:w="57" w:type="dxa"/>
              <w:bottom w:w="57" w:type="dxa"/>
              <w:right w:w="57" w:type="dxa"/>
            </w:tcMar>
            <w:hideMark/>
          </w:tcPr>
          <w:p w14:paraId="10443A3D" w14:textId="77777777" w:rsidR="001E4736" w:rsidRPr="00C758E7" w:rsidRDefault="001E4736" w:rsidP="00392788">
            <w:pPr>
              <w:spacing w:before="120" w:after="120" w:line="240" w:lineRule="auto"/>
              <w:rPr>
                <w:bCs/>
                <w:sz w:val="21"/>
                <w:szCs w:val="21"/>
              </w:rPr>
            </w:pPr>
            <w:r w:rsidRPr="00C758E7">
              <w:rPr>
                <w:bCs/>
                <w:sz w:val="21"/>
                <w:szCs w:val="21"/>
              </w:rPr>
              <w:t>PROGRESS**</w:t>
            </w:r>
          </w:p>
        </w:tc>
        <w:tc>
          <w:tcPr>
            <w:tcW w:w="5168" w:type="dxa"/>
            <w:shd w:val="clear" w:color="auto" w:fill="auto"/>
            <w:tcMar>
              <w:top w:w="57" w:type="dxa"/>
              <w:left w:w="57" w:type="dxa"/>
              <w:bottom w:w="57" w:type="dxa"/>
              <w:right w:w="57" w:type="dxa"/>
            </w:tcMar>
            <w:hideMark/>
          </w:tcPr>
          <w:p w14:paraId="247AE272" w14:textId="77777777" w:rsidR="001E4736" w:rsidRPr="00C758E7" w:rsidRDefault="001E4736" w:rsidP="00392788">
            <w:pPr>
              <w:spacing w:before="120" w:after="120" w:line="240" w:lineRule="auto"/>
              <w:rPr>
                <w:bCs/>
                <w:sz w:val="21"/>
                <w:szCs w:val="21"/>
              </w:rPr>
            </w:pPr>
            <w:r w:rsidRPr="00C758E7">
              <w:rPr>
                <w:bCs/>
                <w:sz w:val="21"/>
                <w:szCs w:val="21"/>
              </w:rPr>
              <w:t>Servier (Unrestricted commercial funding)</w:t>
            </w:r>
          </w:p>
        </w:tc>
        <w:tc>
          <w:tcPr>
            <w:tcW w:w="3454" w:type="dxa"/>
            <w:shd w:val="clear" w:color="auto" w:fill="auto"/>
            <w:tcMar>
              <w:top w:w="57" w:type="dxa"/>
              <w:left w:w="57" w:type="dxa"/>
              <w:bottom w:w="57" w:type="dxa"/>
              <w:right w:w="57" w:type="dxa"/>
            </w:tcMar>
            <w:hideMark/>
          </w:tcPr>
          <w:p w14:paraId="194DF04E" w14:textId="3F78DA66" w:rsidR="001E4736" w:rsidRPr="00C758E7" w:rsidRDefault="001E4736" w:rsidP="00392788">
            <w:pPr>
              <w:spacing w:before="120" w:after="120" w:line="240" w:lineRule="auto"/>
              <w:rPr>
                <w:bCs/>
                <w:sz w:val="21"/>
                <w:szCs w:val="21"/>
              </w:rPr>
            </w:pPr>
            <w:r w:rsidRPr="00C758E7">
              <w:rPr>
                <w:bCs/>
                <w:sz w:val="21"/>
                <w:szCs w:val="21"/>
              </w:rPr>
              <w:t xml:space="preserve"> $0.8</w:t>
            </w:r>
            <w:r w:rsidR="00B17172" w:rsidRPr="00C758E7">
              <w:rPr>
                <w:bCs/>
                <w:sz w:val="21"/>
                <w:szCs w:val="21"/>
              </w:rPr>
              <w:t xml:space="preserve"> million</w:t>
            </w:r>
          </w:p>
        </w:tc>
        <w:tc>
          <w:tcPr>
            <w:tcW w:w="3132" w:type="dxa"/>
            <w:shd w:val="clear" w:color="auto" w:fill="auto"/>
            <w:tcMar>
              <w:top w:w="57" w:type="dxa"/>
              <w:left w:w="57" w:type="dxa"/>
              <w:bottom w:w="57" w:type="dxa"/>
              <w:right w:w="57" w:type="dxa"/>
            </w:tcMar>
            <w:hideMark/>
          </w:tcPr>
          <w:p w14:paraId="5E089F59" w14:textId="1A5F55CC" w:rsidR="001E4736" w:rsidRPr="00C758E7" w:rsidRDefault="001E4736" w:rsidP="00392788">
            <w:pPr>
              <w:spacing w:before="120" w:after="120" w:line="240" w:lineRule="auto"/>
              <w:rPr>
                <w:bCs/>
                <w:sz w:val="21"/>
                <w:szCs w:val="21"/>
              </w:rPr>
            </w:pPr>
            <w:r w:rsidRPr="00C758E7">
              <w:rPr>
                <w:bCs/>
                <w:sz w:val="21"/>
                <w:szCs w:val="21"/>
              </w:rPr>
              <w:t>$0.8</w:t>
            </w:r>
            <w:r w:rsidR="00B17172" w:rsidRPr="00C758E7">
              <w:rPr>
                <w:bCs/>
                <w:sz w:val="21"/>
                <w:szCs w:val="21"/>
              </w:rPr>
              <w:t xml:space="preserve"> million</w:t>
            </w:r>
          </w:p>
        </w:tc>
      </w:tr>
      <w:tr w:rsidR="00D62BA8" w:rsidRPr="00C758E7" w14:paraId="6850EF37" w14:textId="77777777" w:rsidTr="00392788">
        <w:trPr>
          <w:cantSplit/>
          <w:trHeight w:val="189"/>
        </w:trPr>
        <w:tc>
          <w:tcPr>
            <w:tcW w:w="2912" w:type="dxa"/>
            <w:shd w:val="clear" w:color="auto" w:fill="auto"/>
            <w:tcMar>
              <w:top w:w="57" w:type="dxa"/>
              <w:left w:w="57" w:type="dxa"/>
              <w:bottom w:w="57" w:type="dxa"/>
              <w:right w:w="57" w:type="dxa"/>
            </w:tcMar>
            <w:hideMark/>
          </w:tcPr>
          <w:p w14:paraId="2E3CDE5A" w14:textId="77777777" w:rsidR="001E4736" w:rsidRPr="00C758E7" w:rsidRDefault="001E4736" w:rsidP="00392788">
            <w:pPr>
              <w:spacing w:before="120" w:after="120" w:line="240" w:lineRule="auto"/>
              <w:rPr>
                <w:bCs/>
                <w:sz w:val="21"/>
                <w:szCs w:val="21"/>
              </w:rPr>
            </w:pPr>
            <w:r w:rsidRPr="00C758E7">
              <w:rPr>
                <w:bCs/>
                <w:sz w:val="21"/>
                <w:szCs w:val="21"/>
              </w:rPr>
              <w:t>QASC</w:t>
            </w:r>
          </w:p>
        </w:tc>
        <w:tc>
          <w:tcPr>
            <w:tcW w:w="5168" w:type="dxa"/>
            <w:shd w:val="clear" w:color="auto" w:fill="auto"/>
            <w:tcMar>
              <w:top w:w="57" w:type="dxa"/>
              <w:left w:w="57" w:type="dxa"/>
              <w:bottom w:w="57" w:type="dxa"/>
              <w:right w:w="57" w:type="dxa"/>
            </w:tcMar>
            <w:hideMark/>
          </w:tcPr>
          <w:p w14:paraId="702ADDE3" w14:textId="77777777" w:rsidR="001E4736" w:rsidRPr="00C758E7" w:rsidRDefault="001E4736" w:rsidP="00392788">
            <w:pPr>
              <w:spacing w:before="120" w:after="120" w:line="240" w:lineRule="auto"/>
              <w:rPr>
                <w:bCs/>
                <w:sz w:val="21"/>
                <w:szCs w:val="21"/>
              </w:rPr>
            </w:pPr>
            <w:r w:rsidRPr="00C758E7">
              <w:rPr>
                <w:bCs/>
                <w:sz w:val="21"/>
                <w:szCs w:val="21"/>
              </w:rPr>
              <w:t>St Vincent’s Clinic Foundation</w:t>
            </w:r>
          </w:p>
        </w:tc>
        <w:tc>
          <w:tcPr>
            <w:tcW w:w="3454" w:type="dxa"/>
            <w:shd w:val="clear" w:color="auto" w:fill="auto"/>
            <w:tcMar>
              <w:top w:w="57" w:type="dxa"/>
              <w:left w:w="57" w:type="dxa"/>
              <w:bottom w:w="57" w:type="dxa"/>
              <w:right w:w="57" w:type="dxa"/>
            </w:tcMar>
            <w:hideMark/>
          </w:tcPr>
          <w:p w14:paraId="378F3A56" w14:textId="566B254F" w:rsidR="001E4736" w:rsidRPr="00C758E7" w:rsidRDefault="001E4736" w:rsidP="00392788">
            <w:pPr>
              <w:spacing w:before="120" w:after="120" w:line="240" w:lineRule="auto"/>
              <w:rPr>
                <w:bCs/>
                <w:sz w:val="21"/>
                <w:szCs w:val="21"/>
              </w:rPr>
            </w:pPr>
            <w:r w:rsidRPr="00C758E7">
              <w:rPr>
                <w:bCs/>
                <w:sz w:val="21"/>
                <w:szCs w:val="21"/>
              </w:rPr>
              <w:t xml:space="preserve"> $0.4</w:t>
            </w:r>
            <w:r w:rsidR="00B17172" w:rsidRPr="00C758E7">
              <w:rPr>
                <w:bCs/>
                <w:sz w:val="21"/>
                <w:szCs w:val="21"/>
              </w:rPr>
              <w:t xml:space="preserve"> million</w:t>
            </w:r>
          </w:p>
        </w:tc>
        <w:tc>
          <w:tcPr>
            <w:tcW w:w="3132" w:type="dxa"/>
            <w:shd w:val="clear" w:color="auto" w:fill="auto"/>
            <w:tcMar>
              <w:top w:w="57" w:type="dxa"/>
              <w:left w:w="57" w:type="dxa"/>
              <w:bottom w:w="57" w:type="dxa"/>
              <w:right w:w="57" w:type="dxa"/>
            </w:tcMar>
            <w:hideMark/>
          </w:tcPr>
          <w:p w14:paraId="0CBDCC3D" w14:textId="67833C5C" w:rsidR="001E4736" w:rsidRPr="00C758E7" w:rsidRDefault="001E4736" w:rsidP="00392788">
            <w:pPr>
              <w:spacing w:before="120" w:after="120" w:line="240" w:lineRule="auto"/>
              <w:rPr>
                <w:bCs/>
                <w:sz w:val="21"/>
                <w:szCs w:val="21"/>
              </w:rPr>
            </w:pPr>
            <w:r w:rsidRPr="00C758E7">
              <w:rPr>
                <w:bCs/>
                <w:sz w:val="21"/>
                <w:szCs w:val="21"/>
              </w:rPr>
              <w:t>$0.5</w:t>
            </w:r>
            <w:r w:rsidR="00B17172" w:rsidRPr="00C758E7">
              <w:rPr>
                <w:bCs/>
                <w:sz w:val="21"/>
                <w:szCs w:val="21"/>
              </w:rPr>
              <w:t xml:space="preserve"> million</w:t>
            </w:r>
          </w:p>
        </w:tc>
      </w:tr>
      <w:tr w:rsidR="00D62BA8" w:rsidRPr="00C758E7" w14:paraId="4E94DC50" w14:textId="77777777" w:rsidTr="00392788">
        <w:trPr>
          <w:cantSplit/>
          <w:trHeight w:val="581"/>
        </w:trPr>
        <w:tc>
          <w:tcPr>
            <w:tcW w:w="11534" w:type="dxa"/>
            <w:gridSpan w:val="3"/>
            <w:shd w:val="clear" w:color="auto" w:fill="2F5496"/>
            <w:tcMar>
              <w:top w:w="57" w:type="dxa"/>
              <w:left w:w="57" w:type="dxa"/>
              <w:bottom w:w="57" w:type="dxa"/>
              <w:right w:w="57" w:type="dxa"/>
            </w:tcMar>
          </w:tcPr>
          <w:p w14:paraId="472B446B" w14:textId="0B45E356" w:rsidR="00AB7B28" w:rsidRPr="00C758E7" w:rsidRDefault="00AB7B28" w:rsidP="00392788">
            <w:pPr>
              <w:spacing w:before="120" w:after="120" w:line="240" w:lineRule="auto"/>
              <w:rPr>
                <w:bCs/>
                <w:color w:val="FFFFFF" w:themeColor="background1"/>
                <w:sz w:val="21"/>
                <w:szCs w:val="21"/>
              </w:rPr>
            </w:pPr>
            <w:r w:rsidRPr="00C758E7">
              <w:rPr>
                <w:bCs/>
                <w:color w:val="FFFFFF" w:themeColor="background1"/>
                <w:sz w:val="21"/>
                <w:szCs w:val="21"/>
              </w:rPr>
              <w:t xml:space="preserve">Total estimated </w:t>
            </w:r>
            <w:r w:rsidR="00AF6EB9" w:rsidRPr="00C758E7">
              <w:rPr>
                <w:bCs/>
                <w:color w:val="FFFFFF" w:themeColor="background1"/>
                <w:sz w:val="21"/>
                <w:szCs w:val="21"/>
              </w:rPr>
              <w:t xml:space="preserve">funding for </w:t>
            </w:r>
            <w:r w:rsidRPr="00C758E7">
              <w:rPr>
                <w:bCs/>
                <w:color w:val="FFFFFF" w:themeColor="background1"/>
                <w:sz w:val="21"/>
                <w:szCs w:val="21"/>
              </w:rPr>
              <w:t>all studies 2004</w:t>
            </w:r>
            <w:r w:rsidR="002F280C">
              <w:rPr>
                <w:bCs/>
                <w:color w:val="FFFFFF" w:themeColor="background1"/>
                <w:sz w:val="21"/>
                <w:szCs w:val="21"/>
              </w:rPr>
              <w:t>–</w:t>
            </w:r>
            <w:r w:rsidRPr="00C758E7">
              <w:rPr>
                <w:bCs/>
                <w:color w:val="FFFFFF" w:themeColor="background1"/>
                <w:sz w:val="21"/>
                <w:szCs w:val="21"/>
              </w:rPr>
              <w:t>14</w:t>
            </w:r>
            <w:r w:rsidRPr="00C758E7">
              <w:rPr>
                <w:rStyle w:val="FootnoteReference"/>
                <w:bCs/>
                <w:color w:val="FFFFFF" w:themeColor="background1"/>
                <w:sz w:val="21"/>
                <w:szCs w:val="21"/>
              </w:rPr>
              <w:footnoteReference w:id="32"/>
            </w:r>
          </w:p>
        </w:tc>
        <w:tc>
          <w:tcPr>
            <w:tcW w:w="3132" w:type="dxa"/>
            <w:shd w:val="clear" w:color="auto" w:fill="2F5496"/>
            <w:tcMar>
              <w:top w:w="57" w:type="dxa"/>
              <w:left w:w="57" w:type="dxa"/>
              <w:bottom w:w="57" w:type="dxa"/>
              <w:right w:w="57" w:type="dxa"/>
            </w:tcMar>
          </w:tcPr>
          <w:p w14:paraId="61ECA578" w14:textId="77777777" w:rsidR="00AB7B28" w:rsidRPr="00C758E7" w:rsidRDefault="00AB7B28" w:rsidP="00392788">
            <w:pPr>
              <w:spacing w:before="120" w:after="120" w:line="240" w:lineRule="auto"/>
              <w:rPr>
                <w:bCs/>
                <w:color w:val="FFFFFF" w:themeColor="background1"/>
                <w:sz w:val="21"/>
                <w:szCs w:val="21"/>
              </w:rPr>
            </w:pPr>
            <w:r w:rsidRPr="00C758E7">
              <w:rPr>
                <w:bCs/>
                <w:color w:val="FFFFFF" w:themeColor="background1"/>
                <w:sz w:val="21"/>
                <w:szCs w:val="21"/>
              </w:rPr>
              <w:t>$80 million</w:t>
            </w:r>
          </w:p>
        </w:tc>
      </w:tr>
    </w:tbl>
    <w:p w14:paraId="5382BA85" w14:textId="132F06E7" w:rsidR="00F64140" w:rsidRPr="00F074A5" w:rsidRDefault="0099580F" w:rsidP="00F074A5">
      <w:pPr>
        <w:rPr>
          <w:sz w:val="21"/>
          <w:szCs w:val="16"/>
        </w:rPr>
      </w:pPr>
      <w:r>
        <w:rPr>
          <w:sz w:val="18"/>
          <w:szCs w:val="16"/>
        </w:rPr>
        <w:t>–</w:t>
      </w:r>
      <w:r w:rsidRPr="00F074A5">
        <w:rPr>
          <w:sz w:val="18"/>
          <w:szCs w:val="16"/>
        </w:rPr>
        <w:t xml:space="preserve"> </w:t>
      </w:r>
      <w:r w:rsidR="00744B29" w:rsidRPr="00F074A5">
        <w:rPr>
          <w:sz w:val="18"/>
          <w:szCs w:val="16"/>
        </w:rPr>
        <w:t>means non-existent or not stated in the Profiling Networks Project or trial manuscript</w:t>
      </w:r>
    </w:p>
    <w:p w14:paraId="1BB74037" w14:textId="77777777" w:rsidR="00657F18" w:rsidRDefault="00657F18" w:rsidP="00F64140">
      <w:pPr>
        <w:pStyle w:val="Caption"/>
      </w:pPr>
      <w:bookmarkStart w:id="186" w:name="_Toc479177414"/>
    </w:p>
    <w:p w14:paraId="5F461519" w14:textId="281A8043" w:rsidR="00AB7B28" w:rsidRDefault="00F64140" w:rsidP="00F64140">
      <w:pPr>
        <w:pStyle w:val="Caption"/>
      </w:pPr>
      <w:r>
        <w:t xml:space="preserve">Appendix A Table </w:t>
      </w:r>
      <w:fldSimple w:instr=" SEQ Appendix_A_Table \* ARABIC ">
        <w:r w:rsidR="007B3054">
          <w:rPr>
            <w:noProof/>
          </w:rPr>
          <w:t>4</w:t>
        </w:r>
      </w:fldSimple>
      <w:r>
        <w:t>. ASTN trial benefits</w:t>
      </w:r>
      <w:bookmarkEnd w:id="186"/>
    </w:p>
    <w:tbl>
      <w:tblPr>
        <w:tblW w:w="14417" w:type="dxa"/>
        <w:tblInd w:w="14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left w:w="0" w:type="dxa"/>
          <w:right w:w="0" w:type="dxa"/>
        </w:tblCellMar>
        <w:tblLook w:val="0420" w:firstRow="1" w:lastRow="0" w:firstColumn="0" w:lastColumn="0" w:noHBand="0" w:noVBand="1"/>
      </w:tblPr>
      <w:tblGrid>
        <w:gridCol w:w="1421"/>
        <w:gridCol w:w="2915"/>
        <w:gridCol w:w="3513"/>
        <w:gridCol w:w="3596"/>
        <w:gridCol w:w="1311"/>
        <w:gridCol w:w="1661"/>
      </w:tblGrid>
      <w:tr w:rsidR="00004DA9" w:rsidRPr="00C758E7" w14:paraId="5A9986DE" w14:textId="77777777" w:rsidTr="00392788">
        <w:trPr>
          <w:cantSplit/>
          <w:trHeight w:val="504"/>
          <w:tblHeader/>
        </w:trPr>
        <w:tc>
          <w:tcPr>
            <w:tcW w:w="0" w:type="auto"/>
            <w:shd w:val="clear" w:color="auto" w:fill="2F5496" w:themeFill="accent5" w:themeFillShade="BF"/>
            <w:tcMar>
              <w:top w:w="57" w:type="dxa"/>
              <w:left w:w="57" w:type="dxa"/>
              <w:bottom w:w="57" w:type="dxa"/>
              <w:right w:w="57" w:type="dxa"/>
            </w:tcMar>
            <w:vAlign w:val="bottom"/>
          </w:tcPr>
          <w:p w14:paraId="05D943FC" w14:textId="4ED7D960" w:rsidR="004F7646" w:rsidRPr="00392788" w:rsidRDefault="004F7646" w:rsidP="00392788">
            <w:pPr>
              <w:spacing w:before="120" w:after="120" w:line="240" w:lineRule="auto"/>
              <w:rPr>
                <w:b/>
                <w:bCs/>
                <w:color w:val="FFFFFF" w:themeColor="background1"/>
                <w:sz w:val="21"/>
                <w:szCs w:val="21"/>
              </w:rPr>
            </w:pPr>
            <w:r w:rsidRPr="00392788">
              <w:rPr>
                <w:b/>
                <w:bCs/>
                <w:color w:val="FFFFFF" w:themeColor="background1"/>
                <w:sz w:val="21"/>
                <w:szCs w:val="21"/>
              </w:rPr>
              <w:t>Study</w:t>
            </w:r>
          </w:p>
        </w:tc>
        <w:tc>
          <w:tcPr>
            <w:tcW w:w="0" w:type="auto"/>
            <w:shd w:val="clear" w:color="auto" w:fill="2F5496" w:themeFill="accent5" w:themeFillShade="BF"/>
            <w:tcMar>
              <w:top w:w="57" w:type="dxa"/>
              <w:left w:w="57" w:type="dxa"/>
              <w:bottom w:w="57" w:type="dxa"/>
              <w:right w:w="57" w:type="dxa"/>
            </w:tcMar>
            <w:vAlign w:val="bottom"/>
          </w:tcPr>
          <w:p w14:paraId="7B11CE8B" w14:textId="49BB12D6" w:rsidR="004F7646" w:rsidRPr="00392788" w:rsidRDefault="004F7646" w:rsidP="00392788">
            <w:pPr>
              <w:spacing w:before="120" w:after="120" w:line="240" w:lineRule="auto"/>
              <w:rPr>
                <w:b/>
                <w:bCs/>
                <w:color w:val="FFFFFF" w:themeColor="background1"/>
                <w:sz w:val="21"/>
                <w:szCs w:val="21"/>
              </w:rPr>
            </w:pPr>
            <w:r w:rsidRPr="00392788">
              <w:rPr>
                <w:b/>
                <w:bCs/>
                <w:color w:val="FFFFFF" w:themeColor="background1"/>
                <w:sz w:val="21"/>
                <w:szCs w:val="21"/>
              </w:rPr>
              <w:t>Description</w:t>
            </w:r>
          </w:p>
        </w:tc>
        <w:tc>
          <w:tcPr>
            <w:tcW w:w="0" w:type="auto"/>
            <w:shd w:val="clear" w:color="auto" w:fill="2F5496" w:themeFill="accent5" w:themeFillShade="BF"/>
            <w:tcMar>
              <w:top w:w="57" w:type="dxa"/>
              <w:left w:w="57" w:type="dxa"/>
              <w:bottom w:w="57" w:type="dxa"/>
              <w:right w:w="57" w:type="dxa"/>
            </w:tcMar>
            <w:vAlign w:val="bottom"/>
          </w:tcPr>
          <w:p w14:paraId="752DACF1" w14:textId="28CE8937" w:rsidR="004F7646" w:rsidRPr="00392788" w:rsidRDefault="004F7646" w:rsidP="00392788">
            <w:pPr>
              <w:spacing w:before="120" w:after="120" w:line="240" w:lineRule="auto"/>
              <w:rPr>
                <w:b/>
                <w:bCs/>
                <w:color w:val="FFFFFF" w:themeColor="background1"/>
                <w:sz w:val="21"/>
                <w:szCs w:val="21"/>
              </w:rPr>
            </w:pPr>
            <w:r w:rsidRPr="00392788">
              <w:rPr>
                <w:b/>
                <w:bCs/>
                <w:color w:val="FFFFFF" w:themeColor="background1"/>
                <w:sz w:val="21"/>
                <w:szCs w:val="21"/>
              </w:rPr>
              <w:t>Results</w:t>
            </w:r>
          </w:p>
        </w:tc>
        <w:tc>
          <w:tcPr>
            <w:tcW w:w="3596" w:type="dxa"/>
            <w:shd w:val="clear" w:color="auto" w:fill="2F5496" w:themeFill="accent5" w:themeFillShade="BF"/>
            <w:tcMar>
              <w:top w:w="57" w:type="dxa"/>
              <w:left w:w="57" w:type="dxa"/>
              <w:bottom w:w="57" w:type="dxa"/>
              <w:right w:w="57" w:type="dxa"/>
            </w:tcMar>
            <w:vAlign w:val="bottom"/>
          </w:tcPr>
          <w:p w14:paraId="7450A2E4" w14:textId="209B4AF6" w:rsidR="004F7646" w:rsidRPr="00392788" w:rsidRDefault="004F7646" w:rsidP="00392788">
            <w:pPr>
              <w:spacing w:before="120" w:after="120" w:line="240" w:lineRule="auto"/>
              <w:rPr>
                <w:b/>
                <w:bCs/>
                <w:color w:val="FFFFFF" w:themeColor="background1"/>
                <w:sz w:val="21"/>
                <w:szCs w:val="21"/>
              </w:rPr>
            </w:pPr>
            <w:r w:rsidRPr="00392788">
              <w:rPr>
                <w:b/>
                <w:bCs/>
                <w:color w:val="FFFFFF" w:themeColor="background1"/>
                <w:sz w:val="21"/>
                <w:szCs w:val="21"/>
              </w:rPr>
              <w:t xml:space="preserve">Clinical </w:t>
            </w:r>
            <w:r w:rsidR="00657F18">
              <w:rPr>
                <w:b/>
                <w:bCs/>
                <w:color w:val="FFFFFF" w:themeColor="background1"/>
                <w:sz w:val="21"/>
                <w:szCs w:val="21"/>
              </w:rPr>
              <w:t>c</w:t>
            </w:r>
            <w:r w:rsidRPr="00392788">
              <w:rPr>
                <w:b/>
                <w:bCs/>
                <w:color w:val="FFFFFF" w:themeColor="background1"/>
                <w:sz w:val="21"/>
                <w:szCs w:val="21"/>
              </w:rPr>
              <w:t>ontext</w:t>
            </w:r>
          </w:p>
        </w:tc>
        <w:tc>
          <w:tcPr>
            <w:tcW w:w="1311" w:type="dxa"/>
            <w:shd w:val="clear" w:color="auto" w:fill="2F5496" w:themeFill="accent5" w:themeFillShade="BF"/>
            <w:tcMar>
              <w:top w:w="57" w:type="dxa"/>
              <w:left w:w="57" w:type="dxa"/>
              <w:bottom w:w="57" w:type="dxa"/>
              <w:right w:w="57" w:type="dxa"/>
            </w:tcMar>
            <w:vAlign w:val="bottom"/>
          </w:tcPr>
          <w:p w14:paraId="54860315" w14:textId="7E8A0764" w:rsidR="004F7646" w:rsidRPr="00392788" w:rsidRDefault="004F7646" w:rsidP="00392788">
            <w:pPr>
              <w:spacing w:before="120" w:after="120" w:line="240" w:lineRule="auto"/>
              <w:rPr>
                <w:b/>
                <w:bCs/>
                <w:color w:val="FFFFFF" w:themeColor="background1"/>
                <w:sz w:val="21"/>
                <w:szCs w:val="21"/>
              </w:rPr>
            </w:pPr>
            <w:r w:rsidRPr="00392788">
              <w:rPr>
                <w:b/>
                <w:bCs/>
                <w:color w:val="FFFFFF" w:themeColor="background1"/>
                <w:sz w:val="21"/>
                <w:szCs w:val="21"/>
              </w:rPr>
              <w:t xml:space="preserve">Gross </w:t>
            </w:r>
            <w:r w:rsidR="00004DA9" w:rsidRPr="00392788">
              <w:rPr>
                <w:b/>
                <w:bCs/>
                <w:color w:val="FFFFFF" w:themeColor="background1"/>
                <w:sz w:val="21"/>
                <w:szCs w:val="21"/>
              </w:rPr>
              <w:t xml:space="preserve">economic </w:t>
            </w:r>
            <w:r w:rsidRPr="00392788">
              <w:rPr>
                <w:b/>
                <w:bCs/>
                <w:color w:val="FFFFFF" w:themeColor="background1"/>
                <w:sz w:val="21"/>
                <w:szCs w:val="21"/>
              </w:rPr>
              <w:t>benefit</w:t>
            </w:r>
          </w:p>
        </w:tc>
        <w:tc>
          <w:tcPr>
            <w:tcW w:w="1661" w:type="dxa"/>
            <w:shd w:val="clear" w:color="auto" w:fill="2F5496" w:themeFill="accent5" w:themeFillShade="BF"/>
            <w:tcMar>
              <w:top w:w="57" w:type="dxa"/>
              <w:left w:w="57" w:type="dxa"/>
              <w:bottom w:w="57" w:type="dxa"/>
              <w:right w:w="57" w:type="dxa"/>
            </w:tcMar>
            <w:vAlign w:val="bottom"/>
          </w:tcPr>
          <w:p w14:paraId="34311904" w14:textId="2A3076ED" w:rsidR="004F7646" w:rsidRPr="00392788" w:rsidRDefault="00004DA9" w:rsidP="00392788">
            <w:pPr>
              <w:spacing w:before="120" w:after="120" w:line="240" w:lineRule="auto"/>
              <w:rPr>
                <w:b/>
                <w:bCs/>
                <w:color w:val="FFFFFF" w:themeColor="background1"/>
                <w:sz w:val="21"/>
                <w:szCs w:val="21"/>
              </w:rPr>
            </w:pPr>
            <w:r w:rsidRPr="00392788">
              <w:rPr>
                <w:b/>
                <w:bCs/>
                <w:color w:val="FFFFFF" w:themeColor="background1"/>
                <w:sz w:val="21"/>
                <w:szCs w:val="21"/>
              </w:rPr>
              <w:t>% of benefit</w:t>
            </w:r>
            <w:r w:rsidR="0096241B" w:rsidRPr="00392788">
              <w:rPr>
                <w:b/>
                <w:bCs/>
                <w:color w:val="FFFFFF" w:themeColor="background1"/>
                <w:sz w:val="21"/>
                <w:szCs w:val="21"/>
              </w:rPr>
              <w:t xml:space="preserve"> </w:t>
            </w:r>
            <w:r w:rsidRPr="00392788">
              <w:rPr>
                <w:b/>
                <w:bCs/>
                <w:color w:val="FFFFFF" w:themeColor="background1"/>
                <w:sz w:val="21"/>
                <w:szCs w:val="21"/>
              </w:rPr>
              <w:t>in service costs</w:t>
            </w:r>
          </w:p>
        </w:tc>
      </w:tr>
      <w:tr w:rsidR="00004DA9" w:rsidRPr="00C758E7" w14:paraId="6418BE06" w14:textId="77777777" w:rsidTr="00392788">
        <w:trPr>
          <w:cantSplit/>
          <w:trHeight w:val="504"/>
        </w:trPr>
        <w:tc>
          <w:tcPr>
            <w:tcW w:w="0" w:type="auto"/>
            <w:shd w:val="clear" w:color="auto" w:fill="auto"/>
            <w:tcMar>
              <w:top w:w="57" w:type="dxa"/>
              <w:left w:w="57" w:type="dxa"/>
              <w:bottom w:w="57" w:type="dxa"/>
              <w:right w:w="57" w:type="dxa"/>
            </w:tcMar>
            <w:hideMark/>
          </w:tcPr>
          <w:p w14:paraId="22E2AB1B" w14:textId="77777777" w:rsidR="00004DA9" w:rsidRPr="00C758E7" w:rsidRDefault="00004DA9" w:rsidP="00392788">
            <w:pPr>
              <w:spacing w:before="120" w:after="120" w:line="240" w:lineRule="auto"/>
              <w:rPr>
                <w:rFonts w:cs="Arial"/>
                <w:sz w:val="21"/>
                <w:szCs w:val="21"/>
              </w:rPr>
            </w:pPr>
            <w:r w:rsidRPr="00C758E7">
              <w:rPr>
                <w:rFonts w:cs="Arial"/>
                <w:sz w:val="21"/>
                <w:szCs w:val="21"/>
              </w:rPr>
              <w:t xml:space="preserve"> ARCH</w:t>
            </w:r>
          </w:p>
        </w:tc>
        <w:tc>
          <w:tcPr>
            <w:tcW w:w="0" w:type="auto"/>
            <w:shd w:val="clear" w:color="auto" w:fill="auto"/>
            <w:tcMar>
              <w:top w:w="57" w:type="dxa"/>
              <w:left w:w="57" w:type="dxa"/>
              <w:bottom w:w="57" w:type="dxa"/>
              <w:right w:w="57" w:type="dxa"/>
            </w:tcMar>
            <w:hideMark/>
          </w:tcPr>
          <w:p w14:paraId="6CCAFE20" w14:textId="30FA1E4B" w:rsidR="00004DA9" w:rsidRPr="00C758E7" w:rsidRDefault="00004DA9" w:rsidP="00392788">
            <w:pPr>
              <w:spacing w:before="120" w:after="120" w:line="240" w:lineRule="auto"/>
              <w:rPr>
                <w:rFonts w:cs="Arial"/>
                <w:sz w:val="21"/>
                <w:szCs w:val="21"/>
              </w:rPr>
            </w:pPr>
            <w:r w:rsidRPr="00C758E7">
              <w:rPr>
                <w:rFonts w:cs="Arial"/>
                <w:sz w:val="21"/>
                <w:szCs w:val="21"/>
              </w:rPr>
              <w:t>Clopidogrel plus aspirin versus warfarin alone in patients with stroke and aortic arch plaques</w:t>
            </w:r>
            <w:r w:rsidR="0096636D" w:rsidRPr="00C758E7">
              <w:rPr>
                <w:rFonts w:cs="Arial"/>
                <w:sz w:val="21"/>
                <w:szCs w:val="21"/>
              </w:rPr>
              <w:t>.</w:t>
            </w:r>
          </w:p>
        </w:tc>
        <w:tc>
          <w:tcPr>
            <w:tcW w:w="0" w:type="auto"/>
            <w:shd w:val="clear" w:color="auto" w:fill="auto"/>
            <w:tcMar>
              <w:top w:w="57" w:type="dxa"/>
              <w:left w:w="57" w:type="dxa"/>
              <w:bottom w:w="57" w:type="dxa"/>
              <w:right w:w="57" w:type="dxa"/>
            </w:tcMar>
            <w:hideMark/>
          </w:tcPr>
          <w:p w14:paraId="4284113A" w14:textId="7AC67C22" w:rsidR="00004DA9" w:rsidRPr="00C758E7" w:rsidRDefault="005D12C5" w:rsidP="00392788">
            <w:pPr>
              <w:spacing w:before="120" w:after="120" w:line="240" w:lineRule="auto"/>
              <w:rPr>
                <w:rFonts w:cs="Arial"/>
                <w:sz w:val="21"/>
                <w:szCs w:val="21"/>
              </w:rPr>
            </w:pPr>
            <w:r w:rsidRPr="00C758E7">
              <w:rPr>
                <w:rFonts w:cs="Arial"/>
                <w:sz w:val="21"/>
                <w:szCs w:val="21"/>
              </w:rPr>
              <w:t>Treatment with clopidogrel plus aspirin was more effective in avoiding adverse events (myocardial infarction, pulmonary embolism, DVT)</w:t>
            </w:r>
            <w:r w:rsidR="00DC2004" w:rsidRPr="00C758E7">
              <w:rPr>
                <w:rFonts w:cs="Arial"/>
                <w:sz w:val="21"/>
                <w:szCs w:val="21"/>
              </w:rPr>
              <w:t>.</w:t>
            </w:r>
          </w:p>
        </w:tc>
        <w:tc>
          <w:tcPr>
            <w:tcW w:w="3596" w:type="dxa"/>
            <w:shd w:val="clear" w:color="auto" w:fill="auto"/>
            <w:tcMar>
              <w:top w:w="57" w:type="dxa"/>
              <w:left w:w="57" w:type="dxa"/>
              <w:bottom w:w="57" w:type="dxa"/>
              <w:right w:w="57" w:type="dxa"/>
            </w:tcMar>
            <w:hideMark/>
          </w:tcPr>
          <w:p w14:paraId="5F95C4CC" w14:textId="521388BE" w:rsidR="00004DA9" w:rsidRPr="00C758E7" w:rsidRDefault="005D12C5" w:rsidP="00392788">
            <w:pPr>
              <w:spacing w:before="120" w:after="120" w:line="240" w:lineRule="auto"/>
              <w:rPr>
                <w:rFonts w:cs="Arial"/>
                <w:sz w:val="21"/>
                <w:szCs w:val="21"/>
              </w:rPr>
            </w:pPr>
            <w:r w:rsidRPr="00C758E7">
              <w:rPr>
                <w:rFonts w:cs="Arial"/>
                <w:sz w:val="21"/>
                <w:szCs w:val="21"/>
              </w:rPr>
              <w:t>Existing evidence comparing the two options was inconclusive. Treatment would not have been implemented without the trial.</w:t>
            </w:r>
          </w:p>
        </w:tc>
        <w:tc>
          <w:tcPr>
            <w:tcW w:w="1311" w:type="dxa"/>
            <w:shd w:val="clear" w:color="auto" w:fill="auto"/>
            <w:tcMar>
              <w:top w:w="57" w:type="dxa"/>
              <w:left w:w="57" w:type="dxa"/>
              <w:bottom w:w="57" w:type="dxa"/>
              <w:right w:w="57" w:type="dxa"/>
            </w:tcMar>
            <w:hideMark/>
          </w:tcPr>
          <w:p w14:paraId="0FABA113" w14:textId="1C562890" w:rsidR="00004DA9" w:rsidRPr="00C758E7" w:rsidRDefault="00004DA9" w:rsidP="00392788">
            <w:pPr>
              <w:spacing w:before="120" w:after="120" w:line="240" w:lineRule="auto"/>
              <w:rPr>
                <w:rFonts w:cs="Arial"/>
                <w:sz w:val="21"/>
                <w:szCs w:val="21"/>
              </w:rPr>
            </w:pPr>
            <w:r w:rsidRPr="00C758E7">
              <w:rPr>
                <w:rFonts w:cs="Arial"/>
                <w:sz w:val="21"/>
                <w:szCs w:val="21"/>
              </w:rPr>
              <w:t>$32</w:t>
            </w:r>
            <w:r w:rsidR="00B17172" w:rsidRPr="00C758E7">
              <w:rPr>
                <w:rFonts w:cs="Arial"/>
                <w:bCs/>
                <w:sz w:val="21"/>
                <w:szCs w:val="21"/>
              </w:rPr>
              <w:t xml:space="preserve"> million</w:t>
            </w:r>
          </w:p>
        </w:tc>
        <w:tc>
          <w:tcPr>
            <w:tcW w:w="1661" w:type="dxa"/>
            <w:shd w:val="clear" w:color="auto" w:fill="auto"/>
            <w:tcMar>
              <w:top w:w="57" w:type="dxa"/>
              <w:left w:w="57" w:type="dxa"/>
              <w:bottom w:w="57" w:type="dxa"/>
              <w:right w:w="57" w:type="dxa"/>
            </w:tcMar>
            <w:hideMark/>
          </w:tcPr>
          <w:p w14:paraId="464F1D02" w14:textId="77777777" w:rsidR="00004DA9" w:rsidRPr="00C758E7" w:rsidRDefault="00004DA9" w:rsidP="00392788">
            <w:pPr>
              <w:spacing w:before="120" w:after="120" w:line="240" w:lineRule="auto"/>
              <w:rPr>
                <w:rFonts w:cs="Arial"/>
                <w:sz w:val="21"/>
                <w:szCs w:val="21"/>
              </w:rPr>
            </w:pPr>
            <w:r w:rsidRPr="00C758E7">
              <w:rPr>
                <w:rFonts w:cs="Arial"/>
                <w:sz w:val="21"/>
                <w:szCs w:val="21"/>
              </w:rPr>
              <w:t>19%</w:t>
            </w:r>
          </w:p>
        </w:tc>
      </w:tr>
      <w:tr w:rsidR="00004DA9" w:rsidRPr="00C758E7" w14:paraId="4675B176" w14:textId="77777777" w:rsidTr="00392788">
        <w:trPr>
          <w:cantSplit/>
          <w:trHeight w:val="726"/>
        </w:trPr>
        <w:tc>
          <w:tcPr>
            <w:tcW w:w="0" w:type="auto"/>
            <w:shd w:val="clear" w:color="auto" w:fill="auto"/>
            <w:tcMar>
              <w:top w:w="57" w:type="dxa"/>
              <w:left w:w="57" w:type="dxa"/>
              <w:bottom w:w="57" w:type="dxa"/>
              <w:right w:w="57" w:type="dxa"/>
            </w:tcMar>
            <w:hideMark/>
          </w:tcPr>
          <w:p w14:paraId="243EE664" w14:textId="77777777" w:rsidR="00004DA9" w:rsidRPr="00C758E7" w:rsidRDefault="00004DA9" w:rsidP="00392788">
            <w:pPr>
              <w:spacing w:before="120" w:after="120" w:line="240" w:lineRule="auto"/>
              <w:rPr>
                <w:rFonts w:cs="Arial"/>
                <w:sz w:val="21"/>
                <w:szCs w:val="21"/>
              </w:rPr>
            </w:pPr>
            <w:r w:rsidRPr="00C758E7">
              <w:rPr>
                <w:rFonts w:cs="Arial"/>
                <w:sz w:val="21"/>
                <w:szCs w:val="21"/>
              </w:rPr>
              <w:t>AVERT</w:t>
            </w:r>
          </w:p>
        </w:tc>
        <w:tc>
          <w:tcPr>
            <w:tcW w:w="0" w:type="auto"/>
            <w:shd w:val="clear" w:color="auto" w:fill="auto"/>
            <w:tcMar>
              <w:top w:w="57" w:type="dxa"/>
              <w:left w:w="57" w:type="dxa"/>
              <w:bottom w:w="57" w:type="dxa"/>
              <w:right w:w="57" w:type="dxa"/>
            </w:tcMar>
            <w:hideMark/>
          </w:tcPr>
          <w:p w14:paraId="1C19479F" w14:textId="700C229A" w:rsidR="00004DA9" w:rsidRPr="00C758E7" w:rsidRDefault="00004DA9" w:rsidP="00392788">
            <w:pPr>
              <w:spacing w:before="120" w:after="120" w:line="240" w:lineRule="auto"/>
              <w:rPr>
                <w:rFonts w:cs="Arial"/>
                <w:sz w:val="21"/>
                <w:szCs w:val="21"/>
              </w:rPr>
            </w:pPr>
            <w:r w:rsidRPr="00C758E7">
              <w:rPr>
                <w:rFonts w:cs="Arial"/>
                <w:sz w:val="21"/>
                <w:szCs w:val="21"/>
              </w:rPr>
              <w:t>Efficacy and safety of very early mobilisation within 24h of stroke onset versus standard care</w:t>
            </w:r>
            <w:r w:rsidR="005D12C5" w:rsidRPr="00C758E7">
              <w:rPr>
                <w:rFonts w:cs="Arial"/>
                <w:sz w:val="21"/>
                <w:szCs w:val="21"/>
              </w:rPr>
              <w:t>.</w:t>
            </w:r>
          </w:p>
        </w:tc>
        <w:tc>
          <w:tcPr>
            <w:tcW w:w="0" w:type="auto"/>
            <w:shd w:val="clear" w:color="auto" w:fill="auto"/>
            <w:tcMar>
              <w:top w:w="57" w:type="dxa"/>
              <w:left w:w="57" w:type="dxa"/>
              <w:bottom w:w="57" w:type="dxa"/>
              <w:right w:w="57" w:type="dxa"/>
            </w:tcMar>
            <w:hideMark/>
          </w:tcPr>
          <w:p w14:paraId="10DD6892" w14:textId="12589348" w:rsidR="00004DA9" w:rsidRPr="00C758E7" w:rsidRDefault="005D12C5" w:rsidP="00392788">
            <w:pPr>
              <w:spacing w:before="120" w:after="120" w:line="240" w:lineRule="auto"/>
              <w:rPr>
                <w:rFonts w:cs="Arial"/>
                <w:sz w:val="21"/>
                <w:szCs w:val="21"/>
              </w:rPr>
            </w:pPr>
            <w:r w:rsidRPr="00C758E7">
              <w:rPr>
                <w:rFonts w:cs="Arial"/>
                <w:sz w:val="21"/>
                <w:szCs w:val="21"/>
              </w:rPr>
              <w:t>Treatment with very early mobilisation was associated with poorer functional outcomes.</w:t>
            </w:r>
          </w:p>
        </w:tc>
        <w:tc>
          <w:tcPr>
            <w:tcW w:w="3596" w:type="dxa"/>
            <w:shd w:val="clear" w:color="auto" w:fill="auto"/>
            <w:tcMar>
              <w:top w:w="57" w:type="dxa"/>
              <w:left w:w="57" w:type="dxa"/>
              <w:bottom w:w="57" w:type="dxa"/>
              <w:right w:w="57" w:type="dxa"/>
            </w:tcMar>
            <w:hideMark/>
          </w:tcPr>
          <w:p w14:paraId="1901594C" w14:textId="258DCC36" w:rsidR="00004DA9" w:rsidRPr="00C758E7" w:rsidRDefault="005D12C5" w:rsidP="00392788">
            <w:pPr>
              <w:spacing w:before="120" w:after="120" w:line="240" w:lineRule="auto"/>
              <w:rPr>
                <w:rFonts w:cs="Arial"/>
                <w:sz w:val="21"/>
                <w:szCs w:val="21"/>
              </w:rPr>
            </w:pPr>
            <w:r w:rsidRPr="00C758E7">
              <w:rPr>
                <w:rFonts w:cs="Arial"/>
                <w:sz w:val="21"/>
                <w:szCs w:val="21"/>
              </w:rPr>
              <w:t>Prior to the trial, early higher dose mobilisation was becoming more common. The trial will prevent this continuing.</w:t>
            </w:r>
          </w:p>
        </w:tc>
        <w:tc>
          <w:tcPr>
            <w:tcW w:w="1311" w:type="dxa"/>
            <w:shd w:val="clear" w:color="auto" w:fill="auto"/>
            <w:tcMar>
              <w:top w:w="57" w:type="dxa"/>
              <w:left w:w="57" w:type="dxa"/>
              <w:bottom w:w="57" w:type="dxa"/>
              <w:right w:w="57" w:type="dxa"/>
            </w:tcMar>
            <w:hideMark/>
          </w:tcPr>
          <w:p w14:paraId="63CB6B2F" w14:textId="305EEBE3" w:rsidR="00004DA9" w:rsidRPr="00C758E7" w:rsidRDefault="00004DA9" w:rsidP="00392788">
            <w:pPr>
              <w:spacing w:before="120" w:after="120" w:line="240" w:lineRule="auto"/>
              <w:rPr>
                <w:rFonts w:cs="Arial"/>
                <w:sz w:val="21"/>
                <w:szCs w:val="21"/>
              </w:rPr>
            </w:pPr>
            <w:r w:rsidRPr="00C758E7">
              <w:rPr>
                <w:rFonts w:cs="Arial"/>
                <w:sz w:val="21"/>
                <w:szCs w:val="21"/>
              </w:rPr>
              <w:t>$58</w:t>
            </w:r>
            <w:r w:rsidR="00B17172" w:rsidRPr="00392788">
              <w:rPr>
                <w:rFonts w:cs="Arial"/>
                <w:sz w:val="21"/>
                <w:szCs w:val="21"/>
              </w:rPr>
              <w:t xml:space="preserve"> million</w:t>
            </w:r>
          </w:p>
        </w:tc>
        <w:tc>
          <w:tcPr>
            <w:tcW w:w="1661" w:type="dxa"/>
            <w:shd w:val="clear" w:color="auto" w:fill="auto"/>
            <w:tcMar>
              <w:top w:w="57" w:type="dxa"/>
              <w:left w:w="57" w:type="dxa"/>
              <w:bottom w:w="57" w:type="dxa"/>
              <w:right w:w="57" w:type="dxa"/>
            </w:tcMar>
            <w:hideMark/>
          </w:tcPr>
          <w:p w14:paraId="0DDBDB38" w14:textId="77777777" w:rsidR="00004DA9" w:rsidRPr="00C758E7" w:rsidRDefault="00004DA9" w:rsidP="00392788">
            <w:pPr>
              <w:spacing w:before="120" w:after="120" w:line="240" w:lineRule="auto"/>
              <w:rPr>
                <w:rFonts w:cs="Arial"/>
                <w:sz w:val="21"/>
                <w:szCs w:val="21"/>
              </w:rPr>
            </w:pPr>
            <w:r w:rsidRPr="00C758E7">
              <w:rPr>
                <w:rFonts w:cs="Arial"/>
                <w:sz w:val="21"/>
                <w:szCs w:val="21"/>
              </w:rPr>
              <w:t>5%</w:t>
            </w:r>
          </w:p>
        </w:tc>
      </w:tr>
      <w:tr w:rsidR="00004DA9" w:rsidRPr="00C758E7" w14:paraId="1DC395B7" w14:textId="77777777" w:rsidTr="00392788">
        <w:trPr>
          <w:cantSplit/>
          <w:trHeight w:val="1363"/>
        </w:trPr>
        <w:tc>
          <w:tcPr>
            <w:tcW w:w="0" w:type="auto"/>
            <w:shd w:val="clear" w:color="auto" w:fill="auto"/>
            <w:tcMar>
              <w:top w:w="57" w:type="dxa"/>
              <w:left w:w="57" w:type="dxa"/>
              <w:bottom w:w="57" w:type="dxa"/>
              <w:right w:w="57" w:type="dxa"/>
            </w:tcMar>
            <w:hideMark/>
          </w:tcPr>
          <w:p w14:paraId="2C25C599" w14:textId="77777777" w:rsidR="00004DA9" w:rsidRPr="00C758E7" w:rsidRDefault="00004DA9" w:rsidP="00392788">
            <w:pPr>
              <w:spacing w:before="120" w:after="120" w:line="240" w:lineRule="auto"/>
              <w:rPr>
                <w:rFonts w:cs="Arial"/>
                <w:sz w:val="21"/>
                <w:szCs w:val="21"/>
              </w:rPr>
            </w:pPr>
            <w:r w:rsidRPr="00C758E7">
              <w:rPr>
                <w:rFonts w:cs="Arial"/>
                <w:sz w:val="21"/>
                <w:szCs w:val="21"/>
              </w:rPr>
              <w:t>ENCHANTED</w:t>
            </w:r>
          </w:p>
        </w:tc>
        <w:tc>
          <w:tcPr>
            <w:tcW w:w="0" w:type="auto"/>
            <w:shd w:val="clear" w:color="auto" w:fill="auto"/>
            <w:tcMar>
              <w:top w:w="57" w:type="dxa"/>
              <w:left w:w="57" w:type="dxa"/>
              <w:bottom w:w="57" w:type="dxa"/>
              <w:right w:w="57" w:type="dxa"/>
            </w:tcMar>
            <w:hideMark/>
          </w:tcPr>
          <w:p w14:paraId="401A4E3B" w14:textId="6362900A" w:rsidR="00004DA9" w:rsidRPr="00C758E7" w:rsidRDefault="00004DA9" w:rsidP="00392788">
            <w:pPr>
              <w:spacing w:before="120" w:after="120" w:line="240" w:lineRule="auto"/>
              <w:rPr>
                <w:rFonts w:cs="Arial"/>
                <w:sz w:val="21"/>
                <w:szCs w:val="21"/>
              </w:rPr>
            </w:pPr>
            <w:r w:rsidRPr="00C758E7">
              <w:rPr>
                <w:rFonts w:cs="Arial"/>
                <w:sz w:val="21"/>
                <w:szCs w:val="21"/>
              </w:rPr>
              <w:t>Enhanced control of hypertension and thrombolysis (lower dose alteplase versus higher)</w:t>
            </w:r>
            <w:r w:rsidR="0096636D" w:rsidRPr="00C758E7">
              <w:rPr>
                <w:rFonts w:cs="Arial"/>
                <w:sz w:val="21"/>
                <w:szCs w:val="21"/>
              </w:rPr>
              <w:t>.</w:t>
            </w:r>
            <w:r w:rsidRPr="00C758E7">
              <w:rPr>
                <w:rFonts w:cs="Arial"/>
                <w:sz w:val="21"/>
                <w:szCs w:val="21"/>
              </w:rPr>
              <w:t xml:space="preserve"> </w:t>
            </w:r>
          </w:p>
        </w:tc>
        <w:tc>
          <w:tcPr>
            <w:tcW w:w="0" w:type="auto"/>
            <w:shd w:val="clear" w:color="auto" w:fill="auto"/>
            <w:tcMar>
              <w:top w:w="57" w:type="dxa"/>
              <w:left w:w="57" w:type="dxa"/>
              <w:bottom w:w="57" w:type="dxa"/>
              <w:right w:w="57" w:type="dxa"/>
            </w:tcMar>
            <w:hideMark/>
          </w:tcPr>
          <w:p w14:paraId="4C380A7E" w14:textId="68E9F834" w:rsidR="00004DA9" w:rsidRPr="00C758E7" w:rsidRDefault="00004DA9" w:rsidP="00392788">
            <w:pPr>
              <w:spacing w:before="120" w:after="120" w:line="240" w:lineRule="auto"/>
              <w:rPr>
                <w:rFonts w:cs="Arial"/>
                <w:sz w:val="21"/>
                <w:szCs w:val="21"/>
              </w:rPr>
            </w:pPr>
            <w:r w:rsidRPr="00C758E7">
              <w:rPr>
                <w:rFonts w:cs="Arial"/>
                <w:sz w:val="21"/>
                <w:szCs w:val="21"/>
              </w:rPr>
              <w:t xml:space="preserve">Treatment with low dose alteplase is non-inferior </w:t>
            </w:r>
            <w:r w:rsidR="000E7975">
              <w:rPr>
                <w:rFonts w:cs="Arial"/>
                <w:sz w:val="21"/>
                <w:szCs w:val="21"/>
              </w:rPr>
              <w:t>and</w:t>
            </w:r>
            <w:r w:rsidRPr="00C758E7">
              <w:rPr>
                <w:rFonts w:cs="Arial"/>
                <w:sz w:val="21"/>
                <w:szCs w:val="21"/>
              </w:rPr>
              <w:t xml:space="preserve"> results in fewer intracerebral haemorrhages</w:t>
            </w:r>
            <w:r w:rsidR="0096636D" w:rsidRPr="00C758E7">
              <w:rPr>
                <w:rFonts w:cs="Arial"/>
                <w:sz w:val="21"/>
                <w:szCs w:val="21"/>
              </w:rPr>
              <w:t>.</w:t>
            </w:r>
          </w:p>
        </w:tc>
        <w:tc>
          <w:tcPr>
            <w:tcW w:w="3596" w:type="dxa"/>
            <w:shd w:val="clear" w:color="auto" w:fill="auto"/>
            <w:tcMar>
              <w:top w:w="57" w:type="dxa"/>
              <w:left w:w="57" w:type="dxa"/>
              <w:bottom w:w="57" w:type="dxa"/>
              <w:right w:w="57" w:type="dxa"/>
            </w:tcMar>
            <w:hideMark/>
          </w:tcPr>
          <w:p w14:paraId="1CF7748B" w14:textId="10CF77D3" w:rsidR="00004DA9" w:rsidRPr="00C758E7" w:rsidRDefault="005D12C5" w:rsidP="00392788">
            <w:pPr>
              <w:spacing w:before="120" w:after="120" w:line="240" w:lineRule="auto"/>
              <w:rPr>
                <w:rFonts w:cs="Arial"/>
                <w:sz w:val="21"/>
                <w:szCs w:val="21"/>
              </w:rPr>
            </w:pPr>
            <w:r w:rsidRPr="00C758E7">
              <w:rPr>
                <w:rFonts w:cs="Arial"/>
                <w:sz w:val="21"/>
                <w:szCs w:val="21"/>
              </w:rPr>
              <w:t>Variable dose regimens exist. The trial confirms non-inferiority of a lower dose. It is a more economical approach and has potential health benefits.</w:t>
            </w:r>
          </w:p>
        </w:tc>
        <w:tc>
          <w:tcPr>
            <w:tcW w:w="1311" w:type="dxa"/>
            <w:shd w:val="clear" w:color="auto" w:fill="auto"/>
            <w:tcMar>
              <w:top w:w="57" w:type="dxa"/>
              <w:left w:w="57" w:type="dxa"/>
              <w:bottom w:w="57" w:type="dxa"/>
              <w:right w:w="57" w:type="dxa"/>
            </w:tcMar>
            <w:hideMark/>
          </w:tcPr>
          <w:p w14:paraId="5C3EBA22" w14:textId="448C398F" w:rsidR="00004DA9" w:rsidRPr="00C758E7" w:rsidRDefault="00004DA9" w:rsidP="00392788">
            <w:pPr>
              <w:spacing w:before="120" w:after="120" w:line="240" w:lineRule="auto"/>
              <w:rPr>
                <w:rFonts w:cs="Arial"/>
                <w:sz w:val="21"/>
                <w:szCs w:val="21"/>
              </w:rPr>
            </w:pPr>
            <w:r w:rsidRPr="00C758E7">
              <w:rPr>
                <w:rFonts w:cs="Arial"/>
                <w:sz w:val="21"/>
                <w:szCs w:val="21"/>
              </w:rPr>
              <w:t>$50</w:t>
            </w:r>
            <w:r w:rsidR="00B17172" w:rsidRPr="00392788">
              <w:rPr>
                <w:rFonts w:cs="Arial"/>
                <w:sz w:val="21"/>
                <w:szCs w:val="21"/>
              </w:rPr>
              <w:t xml:space="preserve"> million</w:t>
            </w:r>
          </w:p>
        </w:tc>
        <w:tc>
          <w:tcPr>
            <w:tcW w:w="1661" w:type="dxa"/>
            <w:shd w:val="clear" w:color="auto" w:fill="auto"/>
            <w:tcMar>
              <w:top w:w="57" w:type="dxa"/>
              <w:left w:w="57" w:type="dxa"/>
              <w:bottom w:w="57" w:type="dxa"/>
              <w:right w:w="57" w:type="dxa"/>
            </w:tcMar>
            <w:hideMark/>
          </w:tcPr>
          <w:p w14:paraId="6D7788AF" w14:textId="77777777" w:rsidR="00004DA9" w:rsidRPr="00C758E7" w:rsidRDefault="00004DA9" w:rsidP="00392788">
            <w:pPr>
              <w:spacing w:before="120" w:after="120" w:line="240" w:lineRule="auto"/>
              <w:rPr>
                <w:rFonts w:cs="Arial"/>
                <w:sz w:val="21"/>
                <w:szCs w:val="21"/>
              </w:rPr>
            </w:pPr>
            <w:r w:rsidRPr="00C758E7">
              <w:rPr>
                <w:rFonts w:cs="Arial"/>
                <w:sz w:val="21"/>
                <w:szCs w:val="21"/>
              </w:rPr>
              <w:t>45%</w:t>
            </w:r>
          </w:p>
        </w:tc>
      </w:tr>
      <w:tr w:rsidR="00004DA9" w:rsidRPr="00C758E7" w14:paraId="3AF84A28" w14:textId="77777777" w:rsidTr="00392788">
        <w:trPr>
          <w:cantSplit/>
          <w:trHeight w:val="647"/>
        </w:trPr>
        <w:tc>
          <w:tcPr>
            <w:tcW w:w="0" w:type="auto"/>
            <w:shd w:val="clear" w:color="auto" w:fill="auto"/>
            <w:tcMar>
              <w:top w:w="57" w:type="dxa"/>
              <w:left w:w="57" w:type="dxa"/>
              <w:bottom w:w="57" w:type="dxa"/>
              <w:right w:w="57" w:type="dxa"/>
            </w:tcMar>
            <w:hideMark/>
          </w:tcPr>
          <w:p w14:paraId="735355EF" w14:textId="77777777" w:rsidR="00004DA9" w:rsidRPr="00C758E7" w:rsidRDefault="00004DA9" w:rsidP="00392788">
            <w:pPr>
              <w:spacing w:before="120" w:after="120" w:line="240" w:lineRule="auto"/>
              <w:rPr>
                <w:rFonts w:cs="Arial"/>
                <w:sz w:val="21"/>
                <w:szCs w:val="21"/>
              </w:rPr>
            </w:pPr>
            <w:r w:rsidRPr="00C758E7">
              <w:rPr>
                <w:rFonts w:cs="Arial"/>
                <w:sz w:val="21"/>
                <w:szCs w:val="21"/>
              </w:rPr>
              <w:t>EXTEND-IA</w:t>
            </w:r>
          </w:p>
        </w:tc>
        <w:tc>
          <w:tcPr>
            <w:tcW w:w="0" w:type="auto"/>
            <w:shd w:val="clear" w:color="auto" w:fill="auto"/>
            <w:tcMar>
              <w:top w:w="57" w:type="dxa"/>
              <w:left w:w="57" w:type="dxa"/>
              <w:bottom w:w="57" w:type="dxa"/>
              <w:right w:w="57" w:type="dxa"/>
            </w:tcMar>
            <w:hideMark/>
          </w:tcPr>
          <w:p w14:paraId="5F14A477" w14:textId="77777777" w:rsidR="00004DA9" w:rsidRPr="00C758E7" w:rsidRDefault="00004DA9" w:rsidP="00392788">
            <w:pPr>
              <w:spacing w:before="120" w:after="120" w:line="240" w:lineRule="auto"/>
              <w:rPr>
                <w:rFonts w:cs="Arial"/>
                <w:sz w:val="21"/>
                <w:szCs w:val="21"/>
              </w:rPr>
            </w:pPr>
            <w:r w:rsidRPr="00C758E7">
              <w:rPr>
                <w:rFonts w:cs="Arial"/>
                <w:sz w:val="21"/>
                <w:szCs w:val="21"/>
              </w:rPr>
              <w:t xml:space="preserve">Endovascular clot retrieval after intravenous thrombolysis in ischemic stroke. </w:t>
            </w:r>
          </w:p>
        </w:tc>
        <w:tc>
          <w:tcPr>
            <w:tcW w:w="0" w:type="auto"/>
            <w:shd w:val="clear" w:color="auto" w:fill="auto"/>
            <w:tcMar>
              <w:top w:w="57" w:type="dxa"/>
              <w:left w:w="57" w:type="dxa"/>
              <w:bottom w:w="57" w:type="dxa"/>
              <w:right w:w="57" w:type="dxa"/>
            </w:tcMar>
            <w:hideMark/>
          </w:tcPr>
          <w:p w14:paraId="35F63FC6" w14:textId="72E3D767" w:rsidR="00004DA9" w:rsidRPr="00C758E7" w:rsidRDefault="00004DA9" w:rsidP="00392788">
            <w:pPr>
              <w:spacing w:before="120" w:after="120" w:line="240" w:lineRule="auto"/>
              <w:rPr>
                <w:rFonts w:cs="Arial"/>
                <w:sz w:val="21"/>
                <w:szCs w:val="21"/>
              </w:rPr>
            </w:pPr>
            <w:r w:rsidRPr="00C758E7">
              <w:rPr>
                <w:rFonts w:cs="Arial"/>
                <w:sz w:val="21"/>
                <w:szCs w:val="21"/>
              </w:rPr>
              <w:t xml:space="preserve">Treatment was associated with faster and more complete reperfusion </w:t>
            </w:r>
            <w:r w:rsidR="000E7975">
              <w:rPr>
                <w:rFonts w:cs="Arial"/>
                <w:sz w:val="21"/>
                <w:szCs w:val="21"/>
              </w:rPr>
              <w:t>and</w:t>
            </w:r>
            <w:r w:rsidRPr="00C758E7">
              <w:rPr>
                <w:rFonts w:cs="Arial"/>
                <w:sz w:val="21"/>
                <w:szCs w:val="21"/>
              </w:rPr>
              <w:t xml:space="preserve"> reduction of infarct growth </w:t>
            </w:r>
            <w:r w:rsidR="00A149A2" w:rsidRPr="00C758E7">
              <w:rPr>
                <w:rFonts w:cs="Arial"/>
                <w:sz w:val="21"/>
                <w:szCs w:val="21"/>
              </w:rPr>
              <w:t xml:space="preserve">and </w:t>
            </w:r>
            <w:r w:rsidRPr="00C758E7">
              <w:rPr>
                <w:rFonts w:cs="Arial"/>
                <w:sz w:val="21"/>
                <w:szCs w:val="21"/>
              </w:rPr>
              <w:t>better functional and neurological outcomes at 3 months</w:t>
            </w:r>
            <w:r w:rsidR="0096636D" w:rsidRPr="00C758E7">
              <w:rPr>
                <w:rFonts w:cs="Arial"/>
                <w:sz w:val="21"/>
                <w:szCs w:val="21"/>
              </w:rPr>
              <w:t>.</w:t>
            </w:r>
          </w:p>
        </w:tc>
        <w:tc>
          <w:tcPr>
            <w:tcW w:w="3596" w:type="dxa"/>
            <w:shd w:val="clear" w:color="auto" w:fill="auto"/>
            <w:tcMar>
              <w:top w:w="57" w:type="dxa"/>
              <w:left w:w="57" w:type="dxa"/>
              <w:bottom w:w="57" w:type="dxa"/>
              <w:right w:w="57" w:type="dxa"/>
            </w:tcMar>
            <w:hideMark/>
          </w:tcPr>
          <w:p w14:paraId="42F960E7" w14:textId="45EED136" w:rsidR="00004DA9" w:rsidRPr="00C758E7" w:rsidRDefault="005D12C5" w:rsidP="00392788">
            <w:pPr>
              <w:spacing w:before="120" w:after="120" w:line="240" w:lineRule="auto"/>
              <w:rPr>
                <w:rFonts w:cs="Arial"/>
                <w:sz w:val="21"/>
                <w:szCs w:val="21"/>
              </w:rPr>
            </w:pPr>
            <w:r w:rsidRPr="00C758E7">
              <w:rPr>
                <w:rFonts w:cs="Arial"/>
                <w:sz w:val="21"/>
                <w:szCs w:val="21"/>
              </w:rPr>
              <w:t>Endovascular stroke therapy was virtually disappearing from practice before the trial. The trial led to changes in international guidelines and revisions are expected in Australia.</w:t>
            </w:r>
          </w:p>
        </w:tc>
        <w:tc>
          <w:tcPr>
            <w:tcW w:w="1311" w:type="dxa"/>
            <w:shd w:val="clear" w:color="auto" w:fill="auto"/>
            <w:tcMar>
              <w:top w:w="57" w:type="dxa"/>
              <w:left w:w="57" w:type="dxa"/>
              <w:bottom w:w="57" w:type="dxa"/>
              <w:right w:w="57" w:type="dxa"/>
            </w:tcMar>
            <w:hideMark/>
          </w:tcPr>
          <w:p w14:paraId="74074CD1" w14:textId="6AA49695" w:rsidR="00004DA9" w:rsidRPr="00C758E7" w:rsidRDefault="00004DA9" w:rsidP="00392788">
            <w:pPr>
              <w:spacing w:before="120" w:after="120" w:line="240" w:lineRule="auto"/>
              <w:rPr>
                <w:rFonts w:cs="Arial"/>
                <w:sz w:val="21"/>
                <w:szCs w:val="21"/>
              </w:rPr>
            </w:pPr>
            <w:r w:rsidRPr="00C758E7">
              <w:rPr>
                <w:rFonts w:cs="Arial"/>
                <w:sz w:val="21"/>
                <w:szCs w:val="21"/>
              </w:rPr>
              <w:t>$187</w:t>
            </w:r>
            <w:r w:rsidR="00B17172" w:rsidRPr="00392788">
              <w:rPr>
                <w:rFonts w:cs="Arial"/>
                <w:sz w:val="21"/>
                <w:szCs w:val="21"/>
              </w:rPr>
              <w:t xml:space="preserve"> million</w:t>
            </w:r>
          </w:p>
        </w:tc>
        <w:tc>
          <w:tcPr>
            <w:tcW w:w="1661" w:type="dxa"/>
            <w:shd w:val="clear" w:color="auto" w:fill="auto"/>
            <w:tcMar>
              <w:top w:w="57" w:type="dxa"/>
              <w:left w:w="57" w:type="dxa"/>
              <w:bottom w:w="57" w:type="dxa"/>
              <w:right w:w="57" w:type="dxa"/>
            </w:tcMar>
            <w:hideMark/>
          </w:tcPr>
          <w:p w14:paraId="571AD207" w14:textId="77777777" w:rsidR="00004DA9" w:rsidRPr="00C758E7" w:rsidRDefault="00004DA9" w:rsidP="00392788">
            <w:pPr>
              <w:spacing w:before="120" w:after="120" w:line="240" w:lineRule="auto"/>
              <w:rPr>
                <w:rFonts w:cs="Arial"/>
                <w:sz w:val="21"/>
                <w:szCs w:val="21"/>
              </w:rPr>
            </w:pPr>
            <w:r w:rsidRPr="00C758E7">
              <w:rPr>
                <w:rFonts w:cs="Arial"/>
                <w:sz w:val="21"/>
                <w:szCs w:val="21"/>
              </w:rPr>
              <w:t>21%</w:t>
            </w:r>
          </w:p>
        </w:tc>
      </w:tr>
      <w:tr w:rsidR="00004DA9" w:rsidRPr="00C758E7" w14:paraId="075080BD" w14:textId="77777777" w:rsidTr="00392788">
        <w:trPr>
          <w:cantSplit/>
          <w:trHeight w:val="320"/>
        </w:trPr>
        <w:tc>
          <w:tcPr>
            <w:tcW w:w="0" w:type="auto"/>
            <w:shd w:val="clear" w:color="auto" w:fill="auto"/>
            <w:tcMar>
              <w:top w:w="57" w:type="dxa"/>
              <w:left w:w="57" w:type="dxa"/>
              <w:bottom w:w="57" w:type="dxa"/>
              <w:right w:w="57" w:type="dxa"/>
            </w:tcMar>
            <w:hideMark/>
          </w:tcPr>
          <w:p w14:paraId="6241C4C9" w14:textId="77777777" w:rsidR="00004DA9" w:rsidRPr="00C758E7" w:rsidRDefault="00004DA9" w:rsidP="00392788">
            <w:pPr>
              <w:spacing w:before="120" w:after="120" w:line="240" w:lineRule="auto"/>
              <w:rPr>
                <w:rFonts w:cs="Arial"/>
                <w:sz w:val="21"/>
                <w:szCs w:val="21"/>
              </w:rPr>
            </w:pPr>
            <w:r w:rsidRPr="00C758E7">
              <w:rPr>
                <w:rFonts w:cs="Arial"/>
                <w:sz w:val="21"/>
                <w:szCs w:val="21"/>
              </w:rPr>
              <w:lastRenderedPageBreak/>
              <w:t>INTERACT 2</w:t>
            </w:r>
          </w:p>
        </w:tc>
        <w:tc>
          <w:tcPr>
            <w:tcW w:w="0" w:type="auto"/>
            <w:shd w:val="clear" w:color="auto" w:fill="auto"/>
            <w:tcMar>
              <w:top w:w="57" w:type="dxa"/>
              <w:left w:w="57" w:type="dxa"/>
              <w:bottom w:w="57" w:type="dxa"/>
              <w:right w:w="57" w:type="dxa"/>
            </w:tcMar>
            <w:hideMark/>
          </w:tcPr>
          <w:p w14:paraId="10272E36" w14:textId="6814B258" w:rsidR="00004DA9" w:rsidRPr="00C758E7" w:rsidRDefault="00004DA9" w:rsidP="00392788">
            <w:pPr>
              <w:spacing w:before="120" w:after="120" w:line="240" w:lineRule="auto"/>
              <w:rPr>
                <w:rFonts w:cs="Arial"/>
                <w:sz w:val="21"/>
                <w:szCs w:val="21"/>
              </w:rPr>
            </w:pPr>
            <w:r w:rsidRPr="00C758E7">
              <w:rPr>
                <w:rFonts w:cs="Arial"/>
                <w:sz w:val="21"/>
                <w:szCs w:val="21"/>
              </w:rPr>
              <w:t xml:space="preserve">Intensive (versus standard) </w:t>
            </w:r>
            <w:r w:rsidR="005D12C5" w:rsidRPr="00C758E7">
              <w:rPr>
                <w:rFonts w:cs="Arial"/>
                <w:sz w:val="21"/>
                <w:szCs w:val="21"/>
              </w:rPr>
              <w:t>b</w:t>
            </w:r>
            <w:r w:rsidRPr="00C758E7">
              <w:rPr>
                <w:rFonts w:cs="Arial"/>
                <w:sz w:val="21"/>
                <w:szCs w:val="21"/>
              </w:rPr>
              <w:t xml:space="preserve">lood </w:t>
            </w:r>
            <w:r w:rsidR="005D12C5" w:rsidRPr="00C758E7">
              <w:rPr>
                <w:rFonts w:cs="Arial"/>
                <w:sz w:val="21"/>
                <w:szCs w:val="21"/>
              </w:rPr>
              <w:t>p</w:t>
            </w:r>
            <w:r w:rsidRPr="00C758E7">
              <w:rPr>
                <w:rFonts w:cs="Arial"/>
                <w:sz w:val="21"/>
                <w:szCs w:val="21"/>
              </w:rPr>
              <w:t xml:space="preserve">ressure </w:t>
            </w:r>
            <w:r w:rsidR="005D12C5" w:rsidRPr="00C758E7">
              <w:rPr>
                <w:rFonts w:cs="Arial"/>
                <w:sz w:val="21"/>
                <w:szCs w:val="21"/>
              </w:rPr>
              <w:t>r</w:t>
            </w:r>
            <w:r w:rsidRPr="00C758E7">
              <w:rPr>
                <w:rFonts w:cs="Arial"/>
                <w:sz w:val="21"/>
                <w:szCs w:val="21"/>
              </w:rPr>
              <w:t xml:space="preserve">eduction in </w:t>
            </w:r>
            <w:r w:rsidR="005D12C5" w:rsidRPr="00C758E7">
              <w:rPr>
                <w:rFonts w:cs="Arial"/>
                <w:sz w:val="21"/>
                <w:szCs w:val="21"/>
              </w:rPr>
              <w:t>a</w:t>
            </w:r>
            <w:r w:rsidRPr="00C758E7">
              <w:rPr>
                <w:rFonts w:cs="Arial"/>
                <w:sz w:val="21"/>
                <w:szCs w:val="21"/>
              </w:rPr>
              <w:t xml:space="preserve">cute </w:t>
            </w:r>
            <w:r w:rsidR="005D12C5" w:rsidRPr="00C758E7">
              <w:rPr>
                <w:rFonts w:cs="Arial"/>
                <w:sz w:val="21"/>
                <w:szCs w:val="21"/>
              </w:rPr>
              <w:t>i</w:t>
            </w:r>
            <w:r w:rsidRPr="00C758E7">
              <w:rPr>
                <w:rFonts w:cs="Arial"/>
                <w:sz w:val="21"/>
                <w:szCs w:val="21"/>
              </w:rPr>
              <w:t xml:space="preserve">ntracerebral </w:t>
            </w:r>
            <w:r w:rsidR="005D12C5" w:rsidRPr="00C758E7">
              <w:rPr>
                <w:rFonts w:cs="Arial"/>
                <w:sz w:val="21"/>
                <w:szCs w:val="21"/>
              </w:rPr>
              <w:t>h</w:t>
            </w:r>
            <w:r w:rsidRPr="00C758E7">
              <w:rPr>
                <w:rFonts w:cs="Arial"/>
                <w:sz w:val="21"/>
                <w:szCs w:val="21"/>
              </w:rPr>
              <w:t>aemorrhage</w:t>
            </w:r>
            <w:r w:rsidR="0096636D" w:rsidRPr="00C758E7">
              <w:rPr>
                <w:rFonts w:cs="Arial"/>
                <w:sz w:val="21"/>
                <w:szCs w:val="21"/>
              </w:rPr>
              <w:t>.</w:t>
            </w:r>
          </w:p>
        </w:tc>
        <w:tc>
          <w:tcPr>
            <w:tcW w:w="0" w:type="auto"/>
            <w:shd w:val="clear" w:color="auto" w:fill="auto"/>
            <w:tcMar>
              <w:top w:w="57" w:type="dxa"/>
              <w:left w:w="57" w:type="dxa"/>
              <w:bottom w:w="57" w:type="dxa"/>
              <w:right w:w="57" w:type="dxa"/>
            </w:tcMar>
            <w:hideMark/>
          </w:tcPr>
          <w:p w14:paraId="4A248344" w14:textId="44D9B752" w:rsidR="00004DA9" w:rsidRPr="00C758E7" w:rsidRDefault="005D12C5" w:rsidP="00392788">
            <w:pPr>
              <w:spacing w:before="120" w:after="120" w:line="240" w:lineRule="auto"/>
              <w:rPr>
                <w:rFonts w:cs="Arial"/>
                <w:sz w:val="21"/>
                <w:szCs w:val="21"/>
              </w:rPr>
            </w:pPr>
            <w:r w:rsidRPr="00C758E7">
              <w:rPr>
                <w:rFonts w:cs="Arial"/>
                <w:sz w:val="21"/>
                <w:szCs w:val="21"/>
              </w:rPr>
              <w:t>Treatment with intensive blood pressure reduction marginally improved functional outcomes and health-related quality of life. There was a non-significant difference in mortality in favour of the treatment.</w:t>
            </w:r>
          </w:p>
        </w:tc>
        <w:tc>
          <w:tcPr>
            <w:tcW w:w="3596" w:type="dxa"/>
            <w:shd w:val="clear" w:color="auto" w:fill="auto"/>
            <w:tcMar>
              <w:top w:w="57" w:type="dxa"/>
              <w:left w:w="57" w:type="dxa"/>
              <w:bottom w:w="57" w:type="dxa"/>
              <w:right w:w="57" w:type="dxa"/>
            </w:tcMar>
            <w:hideMark/>
          </w:tcPr>
          <w:p w14:paraId="75CCA3A3" w14:textId="0EBCB1B8" w:rsidR="00004DA9" w:rsidRPr="00C758E7" w:rsidRDefault="00457962" w:rsidP="00392788">
            <w:pPr>
              <w:spacing w:before="120" w:after="120" w:line="240" w:lineRule="auto"/>
              <w:rPr>
                <w:rFonts w:cs="Arial"/>
                <w:sz w:val="21"/>
                <w:szCs w:val="21"/>
              </w:rPr>
            </w:pPr>
            <w:r w:rsidRPr="00C758E7">
              <w:rPr>
                <w:rFonts w:cs="Arial"/>
                <w:sz w:val="21"/>
                <w:szCs w:val="21"/>
              </w:rPr>
              <w:t>The overall improvement in outcomes is thought to favour a shift to this treatment.</w:t>
            </w:r>
          </w:p>
        </w:tc>
        <w:tc>
          <w:tcPr>
            <w:tcW w:w="1311" w:type="dxa"/>
            <w:shd w:val="clear" w:color="auto" w:fill="auto"/>
            <w:tcMar>
              <w:top w:w="57" w:type="dxa"/>
              <w:left w:w="57" w:type="dxa"/>
              <w:bottom w:w="57" w:type="dxa"/>
              <w:right w:w="57" w:type="dxa"/>
            </w:tcMar>
            <w:hideMark/>
          </w:tcPr>
          <w:p w14:paraId="46AE9F8C" w14:textId="58D2ACED" w:rsidR="00004DA9" w:rsidRPr="00C758E7" w:rsidRDefault="00004DA9" w:rsidP="00392788">
            <w:pPr>
              <w:spacing w:before="120" w:after="120" w:line="240" w:lineRule="auto"/>
              <w:rPr>
                <w:rFonts w:cs="Arial"/>
                <w:sz w:val="21"/>
                <w:szCs w:val="21"/>
              </w:rPr>
            </w:pPr>
            <w:r w:rsidRPr="00C758E7">
              <w:rPr>
                <w:rFonts w:cs="Arial"/>
                <w:sz w:val="21"/>
                <w:szCs w:val="21"/>
              </w:rPr>
              <w:t>$49</w:t>
            </w:r>
            <w:r w:rsidR="00B17172" w:rsidRPr="00C758E7">
              <w:rPr>
                <w:rFonts w:cs="Arial"/>
                <w:sz w:val="21"/>
                <w:szCs w:val="21"/>
              </w:rPr>
              <w:t xml:space="preserve"> million</w:t>
            </w:r>
          </w:p>
        </w:tc>
        <w:tc>
          <w:tcPr>
            <w:tcW w:w="1661" w:type="dxa"/>
            <w:shd w:val="clear" w:color="auto" w:fill="auto"/>
            <w:tcMar>
              <w:top w:w="57" w:type="dxa"/>
              <w:left w:w="57" w:type="dxa"/>
              <w:bottom w:w="57" w:type="dxa"/>
              <w:right w:w="57" w:type="dxa"/>
            </w:tcMar>
            <w:hideMark/>
          </w:tcPr>
          <w:p w14:paraId="342B971A" w14:textId="77777777" w:rsidR="00004DA9" w:rsidRPr="00C758E7" w:rsidRDefault="00004DA9" w:rsidP="00392788">
            <w:pPr>
              <w:spacing w:before="120" w:after="120" w:line="240" w:lineRule="auto"/>
              <w:rPr>
                <w:rFonts w:cs="Arial"/>
                <w:sz w:val="21"/>
                <w:szCs w:val="21"/>
              </w:rPr>
            </w:pPr>
            <w:r w:rsidRPr="00C758E7">
              <w:rPr>
                <w:rFonts w:cs="Arial"/>
                <w:sz w:val="21"/>
                <w:szCs w:val="21"/>
              </w:rPr>
              <w:t>4%</w:t>
            </w:r>
          </w:p>
        </w:tc>
      </w:tr>
      <w:tr w:rsidR="00004DA9" w:rsidRPr="00C758E7" w14:paraId="2CCAE57D" w14:textId="77777777" w:rsidTr="00392788">
        <w:trPr>
          <w:cantSplit/>
          <w:trHeight w:val="1167"/>
        </w:trPr>
        <w:tc>
          <w:tcPr>
            <w:tcW w:w="0" w:type="auto"/>
            <w:shd w:val="clear" w:color="auto" w:fill="auto"/>
            <w:tcMar>
              <w:top w:w="57" w:type="dxa"/>
              <w:left w:w="57" w:type="dxa"/>
              <w:bottom w:w="57" w:type="dxa"/>
              <w:right w:w="57" w:type="dxa"/>
            </w:tcMar>
            <w:hideMark/>
          </w:tcPr>
          <w:p w14:paraId="3667804B" w14:textId="77777777" w:rsidR="00004DA9" w:rsidRPr="00C758E7" w:rsidRDefault="00004DA9" w:rsidP="00392788">
            <w:pPr>
              <w:spacing w:before="120" w:after="120" w:line="240" w:lineRule="auto"/>
              <w:rPr>
                <w:rFonts w:cs="Arial"/>
                <w:sz w:val="21"/>
                <w:szCs w:val="21"/>
              </w:rPr>
            </w:pPr>
            <w:r w:rsidRPr="00C758E7">
              <w:rPr>
                <w:rFonts w:cs="Arial"/>
                <w:sz w:val="21"/>
                <w:szCs w:val="21"/>
              </w:rPr>
              <w:t>PROGRESS</w:t>
            </w:r>
          </w:p>
        </w:tc>
        <w:tc>
          <w:tcPr>
            <w:tcW w:w="0" w:type="auto"/>
            <w:shd w:val="clear" w:color="auto" w:fill="auto"/>
            <w:tcMar>
              <w:top w:w="57" w:type="dxa"/>
              <w:left w:w="57" w:type="dxa"/>
              <w:bottom w:w="57" w:type="dxa"/>
              <w:right w:w="57" w:type="dxa"/>
            </w:tcMar>
            <w:hideMark/>
          </w:tcPr>
          <w:p w14:paraId="3BB1887A" w14:textId="653FDEF3" w:rsidR="00004DA9" w:rsidRPr="00C758E7" w:rsidRDefault="00457962" w:rsidP="00392788">
            <w:pPr>
              <w:spacing w:before="120" w:after="120" w:line="240" w:lineRule="auto"/>
              <w:rPr>
                <w:rFonts w:cs="Arial"/>
                <w:sz w:val="21"/>
                <w:szCs w:val="21"/>
              </w:rPr>
            </w:pPr>
            <w:r w:rsidRPr="00C758E7">
              <w:rPr>
                <w:rFonts w:cs="Arial"/>
                <w:sz w:val="21"/>
                <w:szCs w:val="21"/>
              </w:rPr>
              <w:t>Perindopril (ACE inhibitor) protection (versus placebo) against recurrent stroke.</w:t>
            </w:r>
          </w:p>
        </w:tc>
        <w:tc>
          <w:tcPr>
            <w:tcW w:w="0" w:type="auto"/>
            <w:shd w:val="clear" w:color="auto" w:fill="auto"/>
            <w:tcMar>
              <w:top w:w="57" w:type="dxa"/>
              <w:left w:w="57" w:type="dxa"/>
              <w:bottom w:w="57" w:type="dxa"/>
              <w:right w:w="57" w:type="dxa"/>
            </w:tcMar>
            <w:hideMark/>
          </w:tcPr>
          <w:p w14:paraId="24CD71E2" w14:textId="009790AB" w:rsidR="00004DA9" w:rsidRPr="00C758E7" w:rsidRDefault="00457962" w:rsidP="00392788">
            <w:pPr>
              <w:spacing w:before="120" w:after="120" w:line="240" w:lineRule="auto"/>
              <w:rPr>
                <w:rFonts w:cs="Arial"/>
                <w:sz w:val="21"/>
                <w:szCs w:val="21"/>
              </w:rPr>
            </w:pPr>
            <w:r w:rsidRPr="00C758E7">
              <w:rPr>
                <w:rFonts w:cs="Arial"/>
                <w:sz w:val="21"/>
                <w:szCs w:val="21"/>
              </w:rPr>
              <w:t xml:space="preserve">Treatment with </w:t>
            </w:r>
            <w:r w:rsidR="00657F18">
              <w:rPr>
                <w:rFonts w:cs="Arial"/>
                <w:sz w:val="21"/>
                <w:szCs w:val="21"/>
              </w:rPr>
              <w:t>pe</w:t>
            </w:r>
            <w:r w:rsidRPr="00C758E7">
              <w:rPr>
                <w:rFonts w:cs="Arial"/>
                <w:sz w:val="21"/>
                <w:szCs w:val="21"/>
              </w:rPr>
              <w:t>rindopril reduced strokes and major vascular events across all subgroups (race, age and type of stroke)</w:t>
            </w:r>
            <w:r w:rsidR="00DC2004" w:rsidRPr="00C758E7">
              <w:rPr>
                <w:rFonts w:cs="Arial"/>
                <w:sz w:val="21"/>
                <w:szCs w:val="21"/>
              </w:rPr>
              <w:t>.</w:t>
            </w:r>
          </w:p>
        </w:tc>
        <w:tc>
          <w:tcPr>
            <w:tcW w:w="3596" w:type="dxa"/>
            <w:shd w:val="clear" w:color="auto" w:fill="auto"/>
            <w:tcMar>
              <w:top w:w="57" w:type="dxa"/>
              <w:left w:w="57" w:type="dxa"/>
              <w:bottom w:w="57" w:type="dxa"/>
              <w:right w:w="57" w:type="dxa"/>
            </w:tcMar>
            <w:hideMark/>
          </w:tcPr>
          <w:p w14:paraId="7896C277" w14:textId="70CA7F40" w:rsidR="00004DA9" w:rsidRPr="00C758E7" w:rsidRDefault="00457962" w:rsidP="00392788">
            <w:pPr>
              <w:spacing w:before="120" w:after="120" w:line="240" w:lineRule="auto"/>
              <w:rPr>
                <w:rFonts w:cs="Arial"/>
                <w:sz w:val="21"/>
                <w:szCs w:val="21"/>
              </w:rPr>
            </w:pPr>
            <w:r w:rsidRPr="00C758E7">
              <w:rPr>
                <w:rFonts w:cs="Arial"/>
                <w:sz w:val="21"/>
                <w:szCs w:val="21"/>
              </w:rPr>
              <w:t>Little prior evidence for blood pressure (BP) lowering in recurrent stroke. The trial provided evidence for those with known cardiovascular disease irrespective of baseline BP.</w:t>
            </w:r>
          </w:p>
        </w:tc>
        <w:tc>
          <w:tcPr>
            <w:tcW w:w="1311" w:type="dxa"/>
            <w:shd w:val="clear" w:color="auto" w:fill="auto"/>
            <w:tcMar>
              <w:top w:w="57" w:type="dxa"/>
              <w:left w:w="57" w:type="dxa"/>
              <w:bottom w:w="57" w:type="dxa"/>
              <w:right w:w="57" w:type="dxa"/>
            </w:tcMar>
            <w:hideMark/>
          </w:tcPr>
          <w:p w14:paraId="4AAF477D" w14:textId="46CCDD24" w:rsidR="00004DA9" w:rsidRPr="00C758E7" w:rsidRDefault="00004DA9" w:rsidP="00392788">
            <w:pPr>
              <w:spacing w:before="120" w:after="120" w:line="240" w:lineRule="auto"/>
              <w:rPr>
                <w:rFonts w:cs="Arial"/>
                <w:sz w:val="21"/>
                <w:szCs w:val="21"/>
              </w:rPr>
            </w:pPr>
            <w:r w:rsidRPr="00C758E7">
              <w:rPr>
                <w:rFonts w:cs="Arial"/>
                <w:sz w:val="21"/>
                <w:szCs w:val="21"/>
              </w:rPr>
              <w:t>$347</w:t>
            </w:r>
            <w:r w:rsidR="00B17172" w:rsidRPr="00C758E7">
              <w:rPr>
                <w:rFonts w:cs="Arial"/>
                <w:sz w:val="21"/>
                <w:szCs w:val="21"/>
              </w:rPr>
              <w:t xml:space="preserve"> million</w:t>
            </w:r>
          </w:p>
        </w:tc>
        <w:tc>
          <w:tcPr>
            <w:tcW w:w="1661" w:type="dxa"/>
            <w:shd w:val="clear" w:color="auto" w:fill="auto"/>
            <w:tcMar>
              <w:top w:w="57" w:type="dxa"/>
              <w:left w:w="57" w:type="dxa"/>
              <w:bottom w:w="57" w:type="dxa"/>
              <w:right w:w="57" w:type="dxa"/>
            </w:tcMar>
            <w:hideMark/>
          </w:tcPr>
          <w:p w14:paraId="415674C8" w14:textId="77777777" w:rsidR="00004DA9" w:rsidRPr="00C758E7" w:rsidRDefault="00004DA9" w:rsidP="00392788">
            <w:pPr>
              <w:spacing w:before="120" w:after="120" w:line="240" w:lineRule="auto"/>
              <w:rPr>
                <w:rFonts w:cs="Arial"/>
                <w:sz w:val="21"/>
                <w:szCs w:val="21"/>
              </w:rPr>
            </w:pPr>
            <w:r w:rsidRPr="00C758E7">
              <w:rPr>
                <w:rFonts w:cs="Arial"/>
                <w:sz w:val="21"/>
                <w:szCs w:val="21"/>
              </w:rPr>
              <w:t>40%</w:t>
            </w:r>
          </w:p>
        </w:tc>
      </w:tr>
      <w:tr w:rsidR="00004DA9" w:rsidRPr="00C758E7" w14:paraId="2F1889FC" w14:textId="77777777" w:rsidTr="00392788">
        <w:trPr>
          <w:cantSplit/>
          <w:trHeight w:val="2003"/>
        </w:trPr>
        <w:tc>
          <w:tcPr>
            <w:tcW w:w="0" w:type="auto"/>
            <w:shd w:val="clear" w:color="auto" w:fill="auto"/>
            <w:tcMar>
              <w:top w:w="57" w:type="dxa"/>
              <w:left w:w="57" w:type="dxa"/>
              <w:bottom w:w="57" w:type="dxa"/>
              <w:right w:w="57" w:type="dxa"/>
            </w:tcMar>
            <w:hideMark/>
          </w:tcPr>
          <w:p w14:paraId="7ED2B529" w14:textId="77777777" w:rsidR="00004DA9" w:rsidRPr="00C758E7" w:rsidRDefault="00004DA9" w:rsidP="00392788">
            <w:pPr>
              <w:spacing w:before="120" w:after="120" w:line="240" w:lineRule="auto"/>
              <w:rPr>
                <w:rFonts w:cs="Arial"/>
                <w:sz w:val="21"/>
                <w:szCs w:val="21"/>
              </w:rPr>
            </w:pPr>
            <w:r w:rsidRPr="00C758E7">
              <w:rPr>
                <w:rFonts w:cs="Arial"/>
                <w:sz w:val="21"/>
                <w:szCs w:val="21"/>
              </w:rPr>
              <w:t>QASC</w:t>
            </w:r>
          </w:p>
        </w:tc>
        <w:tc>
          <w:tcPr>
            <w:tcW w:w="0" w:type="auto"/>
            <w:shd w:val="clear" w:color="auto" w:fill="auto"/>
            <w:tcMar>
              <w:top w:w="57" w:type="dxa"/>
              <w:left w:w="57" w:type="dxa"/>
              <w:bottom w:w="57" w:type="dxa"/>
              <w:right w:w="57" w:type="dxa"/>
            </w:tcMar>
            <w:hideMark/>
          </w:tcPr>
          <w:p w14:paraId="747CF468" w14:textId="5195A6AB" w:rsidR="00004DA9" w:rsidRPr="00C758E7" w:rsidRDefault="00457962" w:rsidP="00392788">
            <w:pPr>
              <w:spacing w:before="120" w:after="120" w:line="240" w:lineRule="auto"/>
              <w:rPr>
                <w:rFonts w:cs="Arial"/>
                <w:sz w:val="21"/>
                <w:szCs w:val="21"/>
              </w:rPr>
            </w:pPr>
            <w:r w:rsidRPr="00C758E7">
              <w:rPr>
                <w:rFonts w:cs="Arial"/>
                <w:sz w:val="21"/>
                <w:szCs w:val="21"/>
              </w:rPr>
              <w:t>Implementation of evidence-based treatment protocols to manage fever, hyperglycaemia and swallowing (FeSS) dysfunction in acute stroke</w:t>
            </w:r>
            <w:r w:rsidR="00DC2004" w:rsidRPr="00C758E7">
              <w:rPr>
                <w:rFonts w:cs="Arial"/>
                <w:sz w:val="21"/>
                <w:szCs w:val="21"/>
              </w:rPr>
              <w:t>.</w:t>
            </w:r>
          </w:p>
        </w:tc>
        <w:tc>
          <w:tcPr>
            <w:tcW w:w="0" w:type="auto"/>
            <w:shd w:val="clear" w:color="auto" w:fill="auto"/>
            <w:tcMar>
              <w:top w:w="57" w:type="dxa"/>
              <w:left w:w="57" w:type="dxa"/>
              <w:bottom w:w="57" w:type="dxa"/>
              <w:right w:w="57" w:type="dxa"/>
            </w:tcMar>
            <w:hideMark/>
          </w:tcPr>
          <w:p w14:paraId="78B92633" w14:textId="361E3074" w:rsidR="00004DA9" w:rsidRPr="00C758E7" w:rsidRDefault="00457962" w:rsidP="00392788">
            <w:pPr>
              <w:spacing w:before="120" w:after="120" w:line="240" w:lineRule="auto"/>
              <w:rPr>
                <w:rFonts w:cs="Arial"/>
                <w:sz w:val="21"/>
                <w:szCs w:val="21"/>
              </w:rPr>
            </w:pPr>
            <w:r w:rsidRPr="00C758E7">
              <w:rPr>
                <w:rFonts w:cs="Arial"/>
                <w:sz w:val="21"/>
                <w:szCs w:val="21"/>
              </w:rPr>
              <w:t>Treatment delivered better long-term outcomes following patient discharge (fewer deaths and improved dependency ratings)</w:t>
            </w:r>
            <w:r w:rsidR="00DC2004" w:rsidRPr="00C758E7">
              <w:rPr>
                <w:rFonts w:cs="Arial"/>
                <w:sz w:val="21"/>
                <w:szCs w:val="21"/>
              </w:rPr>
              <w:t>.</w:t>
            </w:r>
          </w:p>
        </w:tc>
        <w:tc>
          <w:tcPr>
            <w:tcW w:w="3596" w:type="dxa"/>
            <w:shd w:val="clear" w:color="auto" w:fill="auto"/>
            <w:tcMar>
              <w:top w:w="57" w:type="dxa"/>
              <w:left w:w="57" w:type="dxa"/>
              <w:bottom w:w="57" w:type="dxa"/>
              <w:right w:w="57" w:type="dxa"/>
            </w:tcMar>
            <w:hideMark/>
          </w:tcPr>
          <w:p w14:paraId="71FB6C6F" w14:textId="5E49CEAD" w:rsidR="00004DA9" w:rsidRPr="00C758E7" w:rsidRDefault="00457962" w:rsidP="00392788">
            <w:pPr>
              <w:spacing w:before="120" w:after="120" w:line="240" w:lineRule="auto"/>
              <w:rPr>
                <w:rFonts w:cs="Arial"/>
                <w:sz w:val="21"/>
                <w:szCs w:val="21"/>
              </w:rPr>
            </w:pPr>
            <w:r w:rsidRPr="00C758E7">
              <w:rPr>
                <w:rFonts w:cs="Arial"/>
                <w:sz w:val="21"/>
                <w:szCs w:val="21"/>
              </w:rPr>
              <w:t>Previous guidelines were poorly followed or excluded patients from recommended treatment. The trial led to guideline changes and implementation of FeSS guideline-based interventions.</w:t>
            </w:r>
          </w:p>
        </w:tc>
        <w:tc>
          <w:tcPr>
            <w:tcW w:w="1311" w:type="dxa"/>
            <w:shd w:val="clear" w:color="auto" w:fill="auto"/>
            <w:tcMar>
              <w:top w:w="57" w:type="dxa"/>
              <w:left w:w="57" w:type="dxa"/>
              <w:bottom w:w="57" w:type="dxa"/>
              <w:right w:w="57" w:type="dxa"/>
            </w:tcMar>
            <w:hideMark/>
          </w:tcPr>
          <w:p w14:paraId="557BCC8B" w14:textId="5DF04096" w:rsidR="00004DA9" w:rsidRPr="00C758E7" w:rsidRDefault="00004DA9" w:rsidP="00392788">
            <w:pPr>
              <w:spacing w:before="120" w:after="120" w:line="240" w:lineRule="auto"/>
              <w:rPr>
                <w:rFonts w:cs="Arial"/>
                <w:sz w:val="21"/>
                <w:szCs w:val="21"/>
              </w:rPr>
            </w:pPr>
            <w:r w:rsidRPr="00C758E7">
              <w:rPr>
                <w:rFonts w:cs="Arial"/>
                <w:sz w:val="21"/>
                <w:szCs w:val="21"/>
              </w:rPr>
              <w:t>$281</w:t>
            </w:r>
            <w:r w:rsidR="00B17172" w:rsidRPr="00C758E7">
              <w:rPr>
                <w:rFonts w:cs="Arial"/>
                <w:sz w:val="21"/>
                <w:szCs w:val="21"/>
              </w:rPr>
              <w:t xml:space="preserve"> million</w:t>
            </w:r>
          </w:p>
        </w:tc>
        <w:tc>
          <w:tcPr>
            <w:tcW w:w="1661" w:type="dxa"/>
            <w:shd w:val="clear" w:color="auto" w:fill="auto"/>
            <w:tcMar>
              <w:top w:w="57" w:type="dxa"/>
              <w:left w:w="57" w:type="dxa"/>
              <w:bottom w:w="57" w:type="dxa"/>
              <w:right w:w="57" w:type="dxa"/>
            </w:tcMar>
            <w:hideMark/>
          </w:tcPr>
          <w:p w14:paraId="0962D1D5" w14:textId="77777777" w:rsidR="00004DA9" w:rsidRPr="00C758E7" w:rsidRDefault="00004DA9" w:rsidP="00392788">
            <w:pPr>
              <w:spacing w:before="120" w:after="120" w:line="240" w:lineRule="auto"/>
              <w:rPr>
                <w:rFonts w:cs="Arial"/>
                <w:sz w:val="21"/>
                <w:szCs w:val="21"/>
              </w:rPr>
            </w:pPr>
            <w:r w:rsidRPr="00C758E7">
              <w:rPr>
                <w:rFonts w:cs="Arial"/>
                <w:sz w:val="21"/>
                <w:szCs w:val="21"/>
              </w:rPr>
              <w:t>6%</w:t>
            </w:r>
          </w:p>
        </w:tc>
      </w:tr>
      <w:tr w:rsidR="001E4736" w:rsidRPr="00C758E7" w14:paraId="6ED9CF8F" w14:textId="77777777" w:rsidTr="00392788">
        <w:trPr>
          <w:cantSplit/>
          <w:trHeight w:val="254"/>
        </w:trPr>
        <w:tc>
          <w:tcPr>
            <w:tcW w:w="11445" w:type="dxa"/>
            <w:gridSpan w:val="4"/>
            <w:shd w:val="clear" w:color="auto" w:fill="2F5496"/>
            <w:tcMar>
              <w:top w:w="57" w:type="dxa"/>
              <w:left w:w="57" w:type="dxa"/>
              <w:bottom w:w="57" w:type="dxa"/>
              <w:right w:w="57" w:type="dxa"/>
            </w:tcMar>
            <w:hideMark/>
          </w:tcPr>
          <w:p w14:paraId="2AEFE00D" w14:textId="77777777" w:rsidR="00AB7B28" w:rsidRPr="00C758E7" w:rsidRDefault="00AB7B28" w:rsidP="00352327">
            <w:pPr>
              <w:spacing w:before="60" w:after="60" w:line="20" w:lineRule="atLeast"/>
              <w:rPr>
                <w:rFonts w:cs="Arial"/>
                <w:color w:val="FFFFFF" w:themeColor="background1"/>
                <w:sz w:val="21"/>
                <w:szCs w:val="21"/>
              </w:rPr>
            </w:pPr>
            <w:r w:rsidRPr="00C758E7">
              <w:rPr>
                <w:rFonts w:cs="Arial"/>
                <w:color w:val="FFFFFF" w:themeColor="background1"/>
                <w:sz w:val="21"/>
                <w:szCs w:val="21"/>
              </w:rPr>
              <w:t>Totals</w:t>
            </w:r>
          </w:p>
        </w:tc>
        <w:tc>
          <w:tcPr>
            <w:tcW w:w="1311" w:type="dxa"/>
            <w:shd w:val="clear" w:color="auto" w:fill="2F5496"/>
            <w:tcMar>
              <w:top w:w="57" w:type="dxa"/>
              <w:left w:w="57" w:type="dxa"/>
              <w:bottom w:w="57" w:type="dxa"/>
              <w:right w:w="57" w:type="dxa"/>
            </w:tcMar>
            <w:hideMark/>
          </w:tcPr>
          <w:p w14:paraId="4F730EAA" w14:textId="307843CF" w:rsidR="00AB7B28" w:rsidRPr="00C758E7" w:rsidRDefault="00D62BA8" w:rsidP="00352327">
            <w:pPr>
              <w:spacing w:before="60" w:after="60" w:line="20" w:lineRule="atLeast"/>
              <w:rPr>
                <w:rFonts w:cs="Arial"/>
                <w:color w:val="FFFFFF" w:themeColor="background1"/>
                <w:sz w:val="21"/>
                <w:szCs w:val="21"/>
              </w:rPr>
            </w:pPr>
            <w:r w:rsidRPr="00C758E7">
              <w:rPr>
                <w:rFonts w:cs="Arial"/>
                <w:color w:val="FFFFFF" w:themeColor="background1"/>
                <w:sz w:val="21"/>
                <w:szCs w:val="21"/>
              </w:rPr>
              <w:t>~</w:t>
            </w:r>
            <w:r w:rsidR="00AB7B28" w:rsidRPr="00C758E7">
              <w:rPr>
                <w:rFonts w:cs="Arial"/>
                <w:color w:val="FFFFFF" w:themeColor="background1"/>
                <w:sz w:val="21"/>
                <w:szCs w:val="21"/>
              </w:rPr>
              <w:t>$1</w:t>
            </w:r>
            <w:r w:rsidR="00B17172" w:rsidRPr="00C758E7">
              <w:rPr>
                <w:rFonts w:cs="Arial"/>
                <w:color w:val="FFFFFF" w:themeColor="background1"/>
                <w:sz w:val="21"/>
                <w:szCs w:val="21"/>
              </w:rPr>
              <w:t xml:space="preserve"> </w:t>
            </w:r>
            <w:r w:rsidR="00AB7B28" w:rsidRPr="00C758E7">
              <w:rPr>
                <w:rFonts w:cs="Arial"/>
                <w:color w:val="FFFFFF" w:themeColor="background1"/>
                <w:sz w:val="21"/>
                <w:szCs w:val="21"/>
              </w:rPr>
              <w:t>b</w:t>
            </w:r>
            <w:r w:rsidR="00B17172" w:rsidRPr="00C758E7">
              <w:rPr>
                <w:rFonts w:cs="Arial"/>
                <w:color w:val="FFFFFF" w:themeColor="background1"/>
                <w:sz w:val="21"/>
                <w:szCs w:val="21"/>
              </w:rPr>
              <w:t>illio</w:t>
            </w:r>
            <w:r w:rsidR="00AB7B28" w:rsidRPr="00C758E7">
              <w:rPr>
                <w:rFonts w:cs="Arial"/>
                <w:color w:val="FFFFFF" w:themeColor="background1"/>
                <w:sz w:val="21"/>
                <w:szCs w:val="21"/>
              </w:rPr>
              <w:t>n</w:t>
            </w:r>
          </w:p>
        </w:tc>
        <w:tc>
          <w:tcPr>
            <w:tcW w:w="1661" w:type="dxa"/>
            <w:shd w:val="clear" w:color="auto" w:fill="2F5496"/>
            <w:tcMar>
              <w:top w:w="57" w:type="dxa"/>
              <w:left w:w="57" w:type="dxa"/>
              <w:bottom w:w="57" w:type="dxa"/>
              <w:right w:w="57" w:type="dxa"/>
            </w:tcMar>
            <w:hideMark/>
          </w:tcPr>
          <w:p w14:paraId="0C067597" w14:textId="77777777" w:rsidR="00AB7B28" w:rsidRPr="00C758E7" w:rsidRDefault="00AB7B28" w:rsidP="00352327">
            <w:pPr>
              <w:spacing w:before="60" w:after="60" w:line="20" w:lineRule="atLeast"/>
              <w:rPr>
                <w:rFonts w:cs="Arial"/>
                <w:color w:val="FFFFFF" w:themeColor="background1"/>
                <w:sz w:val="21"/>
                <w:szCs w:val="21"/>
              </w:rPr>
            </w:pPr>
            <w:r w:rsidRPr="00C758E7">
              <w:rPr>
                <w:rFonts w:cs="Arial"/>
                <w:color w:val="FFFFFF" w:themeColor="background1"/>
                <w:sz w:val="21"/>
                <w:szCs w:val="21"/>
              </w:rPr>
              <w:t>23%</w:t>
            </w:r>
          </w:p>
        </w:tc>
      </w:tr>
    </w:tbl>
    <w:p w14:paraId="7EC15F6F" w14:textId="2645485F" w:rsidR="001E4736" w:rsidRPr="005A0AF2" w:rsidRDefault="001E4736" w:rsidP="001E4736">
      <w:pPr>
        <w:jc w:val="center"/>
        <w:rPr>
          <w:b/>
          <w:noProof/>
          <w:sz w:val="36"/>
          <w:lang w:eastAsia="en-US"/>
        </w:rPr>
      </w:pPr>
      <w:r w:rsidRPr="005A0AF2">
        <w:rPr>
          <w:b/>
          <w:noProof/>
          <w:sz w:val="36"/>
          <w:lang w:eastAsia="en-US"/>
        </w:rPr>
        <w:t>The benefit to cost ratio for ASTN is 9.</w:t>
      </w:r>
      <w:r w:rsidR="009A7E2E">
        <w:rPr>
          <w:b/>
          <w:noProof/>
          <w:sz w:val="36"/>
          <w:lang w:eastAsia="en-US"/>
        </w:rPr>
        <w:t>5</w:t>
      </w:r>
      <w:r w:rsidRPr="005A0AF2">
        <w:rPr>
          <w:b/>
          <w:noProof/>
          <w:sz w:val="36"/>
          <w:lang w:eastAsia="en-US"/>
        </w:rPr>
        <w:t>:1</w:t>
      </w:r>
    </w:p>
    <w:p w14:paraId="34FC9983" w14:textId="593A6265" w:rsidR="00F64140" w:rsidRDefault="00F64140">
      <w:pPr>
        <w:spacing w:before="0" w:after="200" w:line="276" w:lineRule="auto"/>
        <w:rPr>
          <w:rFonts w:asciiTheme="majorHAnsi" w:eastAsiaTheme="majorEastAsia" w:hAnsiTheme="majorHAnsi" w:cstheme="majorBidi"/>
          <w:b/>
          <w:color w:val="5B9BD5" w:themeColor="accent1"/>
          <w:spacing w:val="20"/>
          <w:sz w:val="26"/>
          <w:szCs w:val="26"/>
        </w:rPr>
      </w:pPr>
      <w:r>
        <w:rPr>
          <w:rFonts w:asciiTheme="majorHAnsi" w:hAnsiTheme="majorHAnsi"/>
          <w:b/>
          <w:bCs/>
          <w:color w:val="5B9BD5" w:themeColor="accent1"/>
          <w:sz w:val="26"/>
          <w:szCs w:val="26"/>
        </w:rPr>
        <w:br w:type="page"/>
      </w:r>
    </w:p>
    <w:p w14:paraId="02368E86" w14:textId="10E32ADC" w:rsidR="00AB7B28" w:rsidRPr="00A45AF9" w:rsidRDefault="00AB7B28" w:rsidP="00915516">
      <w:pPr>
        <w:pStyle w:val="Heading1"/>
        <w:keepNext/>
        <w:numPr>
          <w:ilvl w:val="0"/>
          <w:numId w:val="0"/>
        </w:numPr>
        <w:spacing w:before="960"/>
      </w:pPr>
      <w:bookmarkStart w:id="187" w:name="_Toc349192152"/>
      <w:bookmarkStart w:id="188" w:name="_Toc475352609"/>
      <w:bookmarkStart w:id="189" w:name="_Toc475352797"/>
      <w:bookmarkStart w:id="190" w:name="_Toc350381618"/>
      <w:bookmarkStart w:id="191" w:name="_Toc476562875"/>
      <w:bookmarkStart w:id="192" w:name="_Toc479144909"/>
      <w:bookmarkStart w:id="193" w:name="_Toc479170060"/>
      <w:bookmarkStart w:id="194" w:name="_Toc482004549"/>
      <w:bookmarkStart w:id="195" w:name="_Toc482005821"/>
      <w:bookmarkStart w:id="196" w:name="_Toc487184546"/>
      <w:r w:rsidRPr="00A45AF9">
        <w:lastRenderedPageBreak/>
        <w:t>Interdisciplinary Maternal and Perinatal Australasian Collaborative Trials (IMPACT) Network</w:t>
      </w:r>
      <w:bookmarkEnd w:id="187"/>
      <w:bookmarkEnd w:id="188"/>
      <w:bookmarkEnd w:id="189"/>
      <w:bookmarkEnd w:id="190"/>
      <w:bookmarkEnd w:id="191"/>
      <w:bookmarkEnd w:id="192"/>
      <w:bookmarkEnd w:id="193"/>
      <w:bookmarkEnd w:id="194"/>
      <w:bookmarkEnd w:id="195"/>
      <w:bookmarkEnd w:id="196"/>
    </w:p>
    <w:p w14:paraId="20B10C12" w14:textId="6183F21F" w:rsidR="00AB7B28" w:rsidRDefault="00AB7B28" w:rsidP="00915516">
      <w:pPr>
        <w:pStyle w:val="Heading2"/>
        <w:numPr>
          <w:ilvl w:val="0"/>
          <w:numId w:val="0"/>
        </w:numPr>
      </w:pPr>
      <w:bookmarkStart w:id="197" w:name="_Toc349192153"/>
      <w:bookmarkStart w:id="198" w:name="_Toc475352610"/>
      <w:bookmarkStart w:id="199" w:name="_Toc475352798"/>
      <w:bookmarkStart w:id="200" w:name="_Toc476562876"/>
      <w:bookmarkStart w:id="201" w:name="_Toc479144910"/>
      <w:bookmarkStart w:id="202" w:name="_Toc479170061"/>
      <w:bookmarkStart w:id="203" w:name="_Toc482004550"/>
      <w:bookmarkStart w:id="204" w:name="_Toc482005822"/>
      <w:bookmarkStart w:id="205" w:name="_Toc487184547"/>
      <w:r>
        <w:t>History</w:t>
      </w:r>
      <w:bookmarkEnd w:id="197"/>
      <w:bookmarkEnd w:id="198"/>
      <w:bookmarkEnd w:id="199"/>
      <w:bookmarkEnd w:id="200"/>
      <w:bookmarkEnd w:id="201"/>
      <w:bookmarkEnd w:id="202"/>
      <w:bookmarkEnd w:id="203"/>
      <w:bookmarkEnd w:id="204"/>
      <w:bookmarkEnd w:id="205"/>
    </w:p>
    <w:p w14:paraId="029F63AA" w14:textId="7527D0F3" w:rsidR="00AF6EB9" w:rsidRDefault="00AF6EB9" w:rsidP="00392788">
      <w:pPr>
        <w:pStyle w:val="Commissionbodytext"/>
      </w:pPr>
      <w:r w:rsidRPr="00A45AF9">
        <w:t>The Interdisciplinary Maternal and Perinatal Australasian Collaborative Trials (IMPACT) Network was formed in 1994 in Adelaide as part of the then Australian Perinatal Society.</w:t>
      </w:r>
      <w:r>
        <w:t xml:space="preserve"> </w:t>
      </w:r>
      <w:r w:rsidRPr="00A45AF9">
        <w:t>In 1997, it became a subcommittee of the Perinatal Society of Australia and New Zealand (PSANZ). IMPACT currently has over 200 interdisciplinary members, who are leaders in a number of fields, including obstetrics, neonatology and midwifery.</w:t>
      </w:r>
      <w:r w:rsidRPr="00A45AF9">
        <w:rPr>
          <w:vertAlign w:val="superscript"/>
        </w:rPr>
        <w:footnoteReference w:id="33"/>
      </w:r>
    </w:p>
    <w:p w14:paraId="2AB17519" w14:textId="3B1470FF" w:rsidR="00F64140" w:rsidRPr="00F64140" w:rsidRDefault="00F64140" w:rsidP="00F64140">
      <w:pPr>
        <w:pStyle w:val="Caption"/>
      </w:pPr>
      <w:bookmarkStart w:id="206" w:name="_Toc479177415"/>
      <w:r>
        <w:t xml:space="preserve">Appendix A Table </w:t>
      </w:r>
      <w:fldSimple w:instr=" SEQ Appendix_A_Table \* ARABIC ">
        <w:r w:rsidR="007B3054">
          <w:rPr>
            <w:noProof/>
          </w:rPr>
          <w:t>5</w:t>
        </w:r>
      </w:fldSimple>
      <w:r>
        <w:t>. IMPACT historical activity profile</w:t>
      </w:r>
      <w:bookmarkEnd w:id="206"/>
    </w:p>
    <w:tbl>
      <w:tblPr>
        <w:tblW w:w="14364" w:type="dxa"/>
        <w:tblInd w:w="10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4A0" w:firstRow="1" w:lastRow="0" w:firstColumn="1" w:lastColumn="0" w:noHBand="0" w:noVBand="1"/>
      </w:tblPr>
      <w:tblGrid>
        <w:gridCol w:w="3101"/>
        <w:gridCol w:w="2634"/>
        <w:gridCol w:w="2876"/>
        <w:gridCol w:w="2876"/>
        <w:gridCol w:w="2877"/>
      </w:tblGrid>
      <w:tr w:rsidR="00F64140" w:rsidRPr="000C2DDD" w14:paraId="73B18820" w14:textId="77777777" w:rsidTr="00392788">
        <w:trPr>
          <w:trHeight w:val="788"/>
        </w:trPr>
        <w:tc>
          <w:tcPr>
            <w:tcW w:w="3101" w:type="dxa"/>
            <w:shd w:val="clear" w:color="auto" w:fill="2F5496"/>
            <w:tcMar>
              <w:top w:w="57" w:type="dxa"/>
              <w:left w:w="57" w:type="dxa"/>
              <w:bottom w:w="57" w:type="dxa"/>
              <w:right w:w="57" w:type="dxa"/>
            </w:tcMar>
            <w:vAlign w:val="bottom"/>
          </w:tcPr>
          <w:p w14:paraId="21A8E2B3" w14:textId="77777777" w:rsidR="00F64140" w:rsidRPr="00392788" w:rsidRDefault="00F64140" w:rsidP="00392788">
            <w:pPr>
              <w:spacing w:after="0" w:line="276" w:lineRule="auto"/>
              <w:rPr>
                <w:b/>
                <w:bCs/>
                <w:color w:val="FFFFFF" w:themeColor="background1"/>
              </w:rPr>
            </w:pPr>
            <w:r w:rsidRPr="00392788">
              <w:rPr>
                <w:b/>
                <w:bCs/>
                <w:color w:val="FFFFFF" w:themeColor="background1"/>
              </w:rPr>
              <w:t>Year first established</w:t>
            </w:r>
          </w:p>
        </w:tc>
        <w:tc>
          <w:tcPr>
            <w:tcW w:w="2634" w:type="dxa"/>
            <w:shd w:val="clear" w:color="auto" w:fill="2F5496"/>
            <w:tcMar>
              <w:top w:w="57" w:type="dxa"/>
              <w:left w:w="57" w:type="dxa"/>
              <w:bottom w:w="57" w:type="dxa"/>
              <w:right w:w="57" w:type="dxa"/>
            </w:tcMar>
            <w:vAlign w:val="bottom"/>
          </w:tcPr>
          <w:p w14:paraId="670D9E7A" w14:textId="77777777" w:rsidR="00F64140" w:rsidRPr="00392788" w:rsidRDefault="00F64140" w:rsidP="00392788">
            <w:pPr>
              <w:spacing w:after="0" w:line="276" w:lineRule="auto"/>
              <w:rPr>
                <w:b/>
                <w:bCs/>
                <w:color w:val="FFFFFF" w:themeColor="background1"/>
              </w:rPr>
            </w:pPr>
            <w:r w:rsidRPr="00392788">
              <w:rPr>
                <w:b/>
                <w:bCs/>
                <w:color w:val="FFFFFF" w:themeColor="background1"/>
              </w:rPr>
              <w:t>Members</w:t>
            </w:r>
          </w:p>
        </w:tc>
        <w:tc>
          <w:tcPr>
            <w:tcW w:w="2876" w:type="dxa"/>
            <w:shd w:val="clear" w:color="auto" w:fill="2F5496"/>
            <w:tcMar>
              <w:top w:w="57" w:type="dxa"/>
              <w:left w:w="57" w:type="dxa"/>
              <w:bottom w:w="57" w:type="dxa"/>
              <w:right w:w="57" w:type="dxa"/>
            </w:tcMar>
            <w:vAlign w:val="bottom"/>
          </w:tcPr>
          <w:p w14:paraId="1085AA08" w14:textId="3265B0B1" w:rsidR="00F64140" w:rsidRPr="00392788" w:rsidRDefault="00F64140" w:rsidP="00392788">
            <w:pPr>
              <w:spacing w:after="0" w:line="276" w:lineRule="auto"/>
              <w:rPr>
                <w:b/>
                <w:bCs/>
                <w:color w:val="FFFFFF" w:themeColor="background1"/>
              </w:rPr>
            </w:pPr>
            <w:r w:rsidRPr="00392788">
              <w:rPr>
                <w:b/>
                <w:bCs/>
                <w:color w:val="FFFFFF" w:themeColor="background1"/>
              </w:rPr>
              <w:t>Studies</w:t>
            </w:r>
          </w:p>
        </w:tc>
        <w:tc>
          <w:tcPr>
            <w:tcW w:w="2876" w:type="dxa"/>
            <w:shd w:val="clear" w:color="auto" w:fill="2F5496"/>
            <w:tcMar>
              <w:top w:w="57" w:type="dxa"/>
              <w:left w:w="57" w:type="dxa"/>
              <w:bottom w:w="57" w:type="dxa"/>
              <w:right w:w="57" w:type="dxa"/>
            </w:tcMar>
            <w:vAlign w:val="bottom"/>
          </w:tcPr>
          <w:p w14:paraId="72D8A41C" w14:textId="0834E7A7" w:rsidR="00F64140" w:rsidRPr="00392788" w:rsidRDefault="00F64140" w:rsidP="00392788">
            <w:pPr>
              <w:spacing w:after="0" w:line="276" w:lineRule="auto"/>
              <w:rPr>
                <w:b/>
                <w:bCs/>
                <w:color w:val="FFFFFF" w:themeColor="background1"/>
              </w:rPr>
            </w:pPr>
            <w:r w:rsidRPr="00392788">
              <w:rPr>
                <w:b/>
                <w:bCs/>
                <w:color w:val="FFFFFF" w:themeColor="background1"/>
              </w:rPr>
              <w:t>Funding</w:t>
            </w:r>
          </w:p>
        </w:tc>
        <w:tc>
          <w:tcPr>
            <w:tcW w:w="2877" w:type="dxa"/>
            <w:shd w:val="clear" w:color="auto" w:fill="2F5496"/>
            <w:tcMar>
              <w:top w:w="57" w:type="dxa"/>
              <w:left w:w="57" w:type="dxa"/>
              <w:bottom w:w="57" w:type="dxa"/>
              <w:right w:w="57" w:type="dxa"/>
            </w:tcMar>
            <w:vAlign w:val="bottom"/>
          </w:tcPr>
          <w:p w14:paraId="7C1CB0A4" w14:textId="08ED0712" w:rsidR="00F64140" w:rsidRPr="00392788" w:rsidRDefault="00F64140" w:rsidP="00392788">
            <w:pPr>
              <w:spacing w:after="0" w:line="276" w:lineRule="auto"/>
              <w:rPr>
                <w:b/>
                <w:bCs/>
                <w:color w:val="FFFFFF" w:themeColor="background1"/>
              </w:rPr>
            </w:pPr>
            <w:r w:rsidRPr="00392788">
              <w:rPr>
                <w:b/>
                <w:bCs/>
                <w:color w:val="FFFFFF" w:themeColor="background1"/>
              </w:rPr>
              <w:t>Publications</w:t>
            </w:r>
          </w:p>
        </w:tc>
      </w:tr>
      <w:tr w:rsidR="00F64140" w:rsidRPr="00C758E7" w14:paraId="486676E0" w14:textId="77777777" w:rsidTr="00392788">
        <w:trPr>
          <w:trHeight w:val="565"/>
        </w:trPr>
        <w:tc>
          <w:tcPr>
            <w:tcW w:w="3101" w:type="dxa"/>
            <w:shd w:val="clear" w:color="auto" w:fill="auto"/>
            <w:tcMar>
              <w:top w:w="57" w:type="dxa"/>
              <w:left w:w="57" w:type="dxa"/>
              <w:bottom w:w="57" w:type="dxa"/>
              <w:right w:w="57" w:type="dxa"/>
            </w:tcMar>
          </w:tcPr>
          <w:p w14:paraId="7CC019E6" w14:textId="77777777" w:rsidR="00F64140" w:rsidRPr="00C758E7" w:rsidRDefault="00F64140" w:rsidP="00392788">
            <w:pPr>
              <w:spacing w:before="120" w:after="120" w:line="240" w:lineRule="auto"/>
              <w:rPr>
                <w:sz w:val="21"/>
                <w:szCs w:val="21"/>
              </w:rPr>
            </w:pPr>
            <w:r w:rsidRPr="00C758E7">
              <w:rPr>
                <w:sz w:val="21"/>
                <w:szCs w:val="21"/>
              </w:rPr>
              <w:t>1994</w:t>
            </w:r>
          </w:p>
        </w:tc>
        <w:tc>
          <w:tcPr>
            <w:tcW w:w="2634" w:type="dxa"/>
            <w:shd w:val="clear" w:color="auto" w:fill="auto"/>
            <w:tcMar>
              <w:top w:w="57" w:type="dxa"/>
              <w:left w:w="57" w:type="dxa"/>
              <w:bottom w:w="57" w:type="dxa"/>
              <w:right w:w="57" w:type="dxa"/>
            </w:tcMar>
          </w:tcPr>
          <w:p w14:paraId="2E82E3A8" w14:textId="77777777" w:rsidR="008145CB" w:rsidRDefault="00F64140" w:rsidP="00392788">
            <w:pPr>
              <w:spacing w:before="120" w:after="120" w:line="240" w:lineRule="auto"/>
              <w:rPr>
                <w:sz w:val="21"/>
                <w:szCs w:val="21"/>
              </w:rPr>
            </w:pPr>
            <w:r w:rsidRPr="00C758E7">
              <w:rPr>
                <w:sz w:val="21"/>
                <w:szCs w:val="21"/>
              </w:rPr>
              <w:t>Australia-wide</w:t>
            </w:r>
            <w:r w:rsidR="00C758E7" w:rsidRPr="00C758E7">
              <w:rPr>
                <w:sz w:val="21"/>
                <w:szCs w:val="21"/>
              </w:rPr>
              <w:t xml:space="preserve"> </w:t>
            </w:r>
          </w:p>
          <w:p w14:paraId="13D17600" w14:textId="36035DF6" w:rsidR="008145CB" w:rsidRDefault="00F64140" w:rsidP="00392788">
            <w:pPr>
              <w:spacing w:before="120" w:after="120" w:line="240" w:lineRule="auto"/>
              <w:rPr>
                <w:sz w:val="21"/>
                <w:szCs w:val="21"/>
              </w:rPr>
            </w:pPr>
            <w:r w:rsidRPr="00C758E7">
              <w:rPr>
                <w:sz w:val="21"/>
                <w:szCs w:val="21"/>
              </w:rPr>
              <w:t>New</w:t>
            </w:r>
            <w:r w:rsidR="008145CB">
              <w:rPr>
                <w:sz w:val="21"/>
                <w:szCs w:val="21"/>
              </w:rPr>
              <w:t xml:space="preserve"> </w:t>
            </w:r>
            <w:r w:rsidRPr="00C758E7">
              <w:rPr>
                <w:sz w:val="21"/>
                <w:szCs w:val="21"/>
              </w:rPr>
              <w:t>Zealand</w:t>
            </w:r>
          </w:p>
          <w:p w14:paraId="70AE8A82" w14:textId="3A3865C2" w:rsidR="00F64140" w:rsidRPr="00C758E7" w:rsidRDefault="00F64140" w:rsidP="00392788">
            <w:pPr>
              <w:spacing w:before="120" w:after="120" w:line="240" w:lineRule="auto"/>
              <w:rPr>
                <w:sz w:val="21"/>
                <w:szCs w:val="21"/>
              </w:rPr>
            </w:pPr>
            <w:r w:rsidRPr="00C758E7">
              <w:rPr>
                <w:sz w:val="21"/>
                <w:szCs w:val="21"/>
              </w:rPr>
              <w:t>International</w:t>
            </w:r>
          </w:p>
        </w:tc>
        <w:tc>
          <w:tcPr>
            <w:tcW w:w="2876" w:type="dxa"/>
            <w:shd w:val="clear" w:color="auto" w:fill="auto"/>
            <w:tcMar>
              <w:top w:w="57" w:type="dxa"/>
              <w:left w:w="57" w:type="dxa"/>
              <w:bottom w:w="57" w:type="dxa"/>
              <w:right w:w="57" w:type="dxa"/>
            </w:tcMar>
          </w:tcPr>
          <w:p w14:paraId="7304841A" w14:textId="77777777" w:rsidR="00F64140" w:rsidRPr="00C758E7" w:rsidRDefault="00F64140" w:rsidP="00392788">
            <w:pPr>
              <w:spacing w:before="120" w:after="120" w:line="240" w:lineRule="auto"/>
              <w:rPr>
                <w:sz w:val="21"/>
                <w:szCs w:val="21"/>
              </w:rPr>
            </w:pPr>
            <w:r w:rsidRPr="00C758E7">
              <w:rPr>
                <w:sz w:val="21"/>
                <w:szCs w:val="21"/>
              </w:rPr>
              <w:t>147 published</w:t>
            </w:r>
          </w:p>
          <w:p w14:paraId="0F4CC26C" w14:textId="77777777" w:rsidR="00F64140" w:rsidRPr="00C758E7" w:rsidRDefault="00F64140" w:rsidP="00392788">
            <w:pPr>
              <w:spacing w:before="120" w:after="120" w:line="240" w:lineRule="auto"/>
              <w:rPr>
                <w:sz w:val="21"/>
                <w:szCs w:val="21"/>
              </w:rPr>
            </w:pPr>
            <w:r w:rsidRPr="00C758E7">
              <w:rPr>
                <w:sz w:val="21"/>
                <w:szCs w:val="21"/>
              </w:rPr>
              <w:t>150 current</w:t>
            </w:r>
          </w:p>
        </w:tc>
        <w:tc>
          <w:tcPr>
            <w:tcW w:w="2876" w:type="dxa"/>
            <w:shd w:val="clear" w:color="auto" w:fill="auto"/>
            <w:tcMar>
              <w:top w:w="57" w:type="dxa"/>
              <w:left w:w="57" w:type="dxa"/>
              <w:bottom w:w="57" w:type="dxa"/>
              <w:right w:w="57" w:type="dxa"/>
            </w:tcMar>
          </w:tcPr>
          <w:p w14:paraId="0ECB6F25" w14:textId="20A49094" w:rsidR="00F64140" w:rsidRPr="00C758E7" w:rsidRDefault="00F64140" w:rsidP="00392788">
            <w:pPr>
              <w:spacing w:before="120" w:after="120" w:line="240" w:lineRule="auto"/>
              <w:rPr>
                <w:sz w:val="21"/>
                <w:szCs w:val="21"/>
              </w:rPr>
            </w:pPr>
            <w:r w:rsidRPr="00C758E7">
              <w:rPr>
                <w:sz w:val="21"/>
                <w:szCs w:val="21"/>
              </w:rPr>
              <w:t>$10</w:t>
            </w:r>
            <w:r w:rsidR="008145CB">
              <w:rPr>
                <w:sz w:val="21"/>
                <w:szCs w:val="21"/>
              </w:rPr>
              <w:t>–</w:t>
            </w:r>
            <w:r w:rsidRPr="00C758E7">
              <w:rPr>
                <w:sz w:val="21"/>
                <w:szCs w:val="21"/>
              </w:rPr>
              <w:t>25</w:t>
            </w:r>
            <w:r w:rsidR="00F44CC1">
              <w:rPr>
                <w:sz w:val="21"/>
                <w:szCs w:val="21"/>
              </w:rPr>
              <w:t xml:space="preserve"> </w:t>
            </w:r>
            <w:r w:rsidRPr="00C758E7">
              <w:rPr>
                <w:sz w:val="21"/>
                <w:szCs w:val="21"/>
              </w:rPr>
              <w:t>m</w:t>
            </w:r>
            <w:r w:rsidR="00F44CC1">
              <w:rPr>
                <w:sz w:val="21"/>
                <w:szCs w:val="21"/>
              </w:rPr>
              <w:t>illion</w:t>
            </w:r>
          </w:p>
        </w:tc>
        <w:tc>
          <w:tcPr>
            <w:tcW w:w="2877" w:type="dxa"/>
            <w:shd w:val="clear" w:color="auto" w:fill="auto"/>
            <w:tcMar>
              <w:top w:w="57" w:type="dxa"/>
              <w:left w:w="57" w:type="dxa"/>
              <w:bottom w:w="57" w:type="dxa"/>
              <w:right w:w="57" w:type="dxa"/>
            </w:tcMar>
          </w:tcPr>
          <w:p w14:paraId="2D73A3FA" w14:textId="77777777" w:rsidR="00F64140" w:rsidRPr="00C758E7" w:rsidRDefault="00F64140" w:rsidP="00392788">
            <w:pPr>
              <w:spacing w:before="120" w:after="120" w:line="240" w:lineRule="auto"/>
              <w:rPr>
                <w:sz w:val="21"/>
                <w:szCs w:val="21"/>
              </w:rPr>
            </w:pPr>
            <w:r w:rsidRPr="00C758E7">
              <w:rPr>
                <w:sz w:val="21"/>
                <w:szCs w:val="21"/>
              </w:rPr>
              <w:t>146</w:t>
            </w:r>
          </w:p>
        </w:tc>
      </w:tr>
    </w:tbl>
    <w:p w14:paraId="1DEB4D0A" w14:textId="42D9B9A8" w:rsidR="00F64140" w:rsidRPr="00F074A5" w:rsidRDefault="00AF6EB9" w:rsidP="00F074A5">
      <w:pPr>
        <w:pStyle w:val="ListBullet3"/>
        <w:numPr>
          <w:ilvl w:val="0"/>
          <w:numId w:val="0"/>
        </w:numPr>
        <w:rPr>
          <w:sz w:val="18"/>
          <w:szCs w:val="18"/>
          <w:lang w:val="en-AU"/>
        </w:rPr>
      </w:pPr>
      <w:r>
        <w:rPr>
          <w:sz w:val="18"/>
          <w:szCs w:val="18"/>
          <w:lang w:val="en-AU"/>
        </w:rPr>
        <w:t>Data related to studies, publications and known high impact trials sourced from the Profiling Networks Project were current at end 2014.</w:t>
      </w:r>
    </w:p>
    <w:p w14:paraId="125F2ED0" w14:textId="77777777" w:rsidR="00AB7B28" w:rsidRDefault="00AB7B28" w:rsidP="00AB7B28">
      <w:pPr>
        <w:spacing w:before="0" w:after="0" w:line="240" w:lineRule="auto"/>
        <w:rPr>
          <w:rFonts w:eastAsiaTheme="majorEastAsia" w:cstheme="majorBidi"/>
          <w:b/>
          <w:bCs/>
          <w:color w:val="00A9E5"/>
          <w:sz w:val="36"/>
          <w:szCs w:val="26"/>
        </w:rPr>
      </w:pPr>
      <w:bookmarkStart w:id="207" w:name="_Toc349192154"/>
      <w:r>
        <w:br w:type="page"/>
      </w:r>
    </w:p>
    <w:p w14:paraId="68939017" w14:textId="342F4BED" w:rsidR="00AB7B28" w:rsidRPr="00A45AF9" w:rsidRDefault="00AB7B28" w:rsidP="00915516">
      <w:pPr>
        <w:pStyle w:val="Heading2"/>
        <w:numPr>
          <w:ilvl w:val="0"/>
          <w:numId w:val="0"/>
        </w:numPr>
      </w:pPr>
      <w:bookmarkStart w:id="208" w:name="_Toc475352611"/>
      <w:bookmarkStart w:id="209" w:name="_Toc475352799"/>
      <w:bookmarkStart w:id="210" w:name="_Toc350381620"/>
      <w:bookmarkStart w:id="211" w:name="_Toc476562877"/>
      <w:bookmarkStart w:id="212" w:name="_Toc479144911"/>
      <w:bookmarkStart w:id="213" w:name="_Toc479170062"/>
      <w:bookmarkStart w:id="214" w:name="_Toc482004551"/>
      <w:bookmarkStart w:id="215" w:name="_Toc482005823"/>
      <w:bookmarkStart w:id="216" w:name="_Toc487184548"/>
      <w:r>
        <w:lastRenderedPageBreak/>
        <w:t>Core functions</w:t>
      </w:r>
      <w:bookmarkEnd w:id="207"/>
      <w:bookmarkEnd w:id="208"/>
      <w:bookmarkEnd w:id="209"/>
      <w:bookmarkEnd w:id="210"/>
      <w:bookmarkEnd w:id="211"/>
      <w:bookmarkEnd w:id="212"/>
      <w:bookmarkEnd w:id="213"/>
      <w:bookmarkEnd w:id="214"/>
      <w:bookmarkEnd w:id="215"/>
      <w:bookmarkEnd w:id="216"/>
    </w:p>
    <w:p w14:paraId="000BBAD8" w14:textId="09A22D60" w:rsidR="00AB7B28" w:rsidRPr="00A45AF9" w:rsidRDefault="00AB7B28" w:rsidP="00392788">
      <w:pPr>
        <w:pStyle w:val="Commissionbodytext"/>
      </w:pPr>
      <w:r w:rsidRPr="00A45AF9">
        <w:t xml:space="preserve">The </w:t>
      </w:r>
      <w:r w:rsidR="002D3BB9">
        <w:t>n</w:t>
      </w:r>
      <w:r w:rsidRPr="00A45AF9">
        <w:t>etwork was established to improv</w:t>
      </w:r>
      <w:r w:rsidR="0096636D">
        <w:t>e</w:t>
      </w:r>
      <w:r w:rsidRPr="00A45AF9">
        <w:t xml:space="preserve"> outcomes for mothers and babies through conduct</w:t>
      </w:r>
      <w:r w:rsidR="00DC2004">
        <w:t xml:space="preserve">ing </w:t>
      </w:r>
      <w:r w:rsidR="00DC2004" w:rsidRPr="00A45AF9">
        <w:t>randomised controlled trials</w:t>
      </w:r>
      <w:r w:rsidRPr="00A45AF9">
        <w:t xml:space="preserve"> and</w:t>
      </w:r>
      <w:r w:rsidR="00DC2004">
        <w:t xml:space="preserve"> the</w:t>
      </w:r>
      <w:r w:rsidRPr="00A45AF9">
        <w:t xml:space="preserve"> dissemination of </w:t>
      </w:r>
      <w:r w:rsidR="00DC2004">
        <w:t xml:space="preserve">their </w:t>
      </w:r>
      <w:r w:rsidRPr="00A45AF9">
        <w:t>findings</w:t>
      </w:r>
      <w:r w:rsidR="00DC2004">
        <w:t>.</w:t>
      </w:r>
      <w:r w:rsidRPr="00A45AF9">
        <w:t xml:space="preserve"> IMPACT has a steering committee composed of 18 representatives from Australia and New Zealand. The functions of the </w:t>
      </w:r>
      <w:r w:rsidR="002D3BB9">
        <w:t>n</w:t>
      </w:r>
      <w:r w:rsidRPr="00A45AF9">
        <w:t>etwork fall in to three broad categorie</w:t>
      </w:r>
      <w:r w:rsidR="00DC2004">
        <w:t>s.</w:t>
      </w:r>
    </w:p>
    <w:p w14:paraId="5D0BA6F1" w14:textId="77777777" w:rsidR="00AB7B28" w:rsidRDefault="00AB7B28" w:rsidP="00615DF0">
      <w:pPr>
        <w:pStyle w:val="Heading3"/>
        <w:keepNext/>
        <w:numPr>
          <w:ilvl w:val="0"/>
          <w:numId w:val="10"/>
        </w:numPr>
        <w:spacing w:before="200" w:line="300" w:lineRule="auto"/>
      </w:pPr>
      <w:r w:rsidRPr="000E1487">
        <w:t>Education and development</w:t>
      </w:r>
    </w:p>
    <w:p w14:paraId="2310476B" w14:textId="5AFC9C40" w:rsidR="00AB7B28" w:rsidRPr="000E1487" w:rsidRDefault="00AB7B28" w:rsidP="00392788">
      <w:pPr>
        <w:pStyle w:val="Commissionbodytext"/>
      </w:pPr>
      <w:r w:rsidRPr="000E1487">
        <w:t>IMPACT holds three member meetings per year</w:t>
      </w:r>
      <w:r w:rsidR="00250E49" w:rsidRPr="00250E49">
        <w:t xml:space="preserve"> </w:t>
      </w:r>
      <w:r w:rsidR="00250E49" w:rsidRPr="000E1487">
        <w:t>supported by</w:t>
      </w:r>
      <w:r w:rsidR="00250E49">
        <w:t xml:space="preserve"> the Perinatal </w:t>
      </w:r>
      <w:r w:rsidR="00250E49" w:rsidRPr="00A45AF9">
        <w:t>Society of Australia and New Zealand</w:t>
      </w:r>
      <w:r w:rsidRPr="000E1487">
        <w:t>. These meetings are primarily held for educational purposes</w:t>
      </w:r>
      <w:r w:rsidR="00250E49">
        <w:t xml:space="preserve"> and </w:t>
      </w:r>
      <w:r w:rsidRPr="000E1487">
        <w:t>are an opportunity for exchange of intellectual capital on best research practices.</w:t>
      </w:r>
      <w:r w:rsidR="002D3BB9">
        <w:t xml:space="preserve"> </w:t>
      </w:r>
      <w:r w:rsidRPr="000E1487">
        <w:t>Invited speakers are usually internationally regarded researchers and sessions are organised to enable interaction between experienced trial investigators and those developing their expertise.</w:t>
      </w:r>
      <w:r w:rsidR="0096241B">
        <w:t xml:space="preserve"> </w:t>
      </w:r>
    </w:p>
    <w:p w14:paraId="42908925" w14:textId="77777777" w:rsidR="00AB7B28" w:rsidRDefault="00AB7B28" w:rsidP="00615DF0">
      <w:pPr>
        <w:pStyle w:val="Heading3"/>
        <w:keepNext/>
        <w:numPr>
          <w:ilvl w:val="0"/>
          <w:numId w:val="10"/>
        </w:numPr>
        <w:spacing w:before="200" w:line="300" w:lineRule="auto"/>
      </w:pPr>
      <w:r>
        <w:t>Knowledge dissemination</w:t>
      </w:r>
    </w:p>
    <w:p w14:paraId="3DEA2FE7" w14:textId="1830E014" w:rsidR="00AB7B28" w:rsidRPr="00392788" w:rsidRDefault="002D3BB9" w:rsidP="00392788">
      <w:pPr>
        <w:pStyle w:val="Commissionbodytext"/>
      </w:pPr>
      <w:r w:rsidRPr="00392788">
        <w:t>M</w:t>
      </w:r>
      <w:r w:rsidR="00AB7B28" w:rsidRPr="00392788">
        <w:t>ember meetings provide the proximity and opportunity for clinicians to disseminate findings from their trials activity.</w:t>
      </w:r>
      <w:r w:rsidRPr="00392788">
        <w:t xml:space="preserve"> </w:t>
      </w:r>
      <w:r w:rsidR="00AB7B28" w:rsidRPr="00392788">
        <w:t xml:space="preserve">The </w:t>
      </w:r>
      <w:r w:rsidRPr="00392788">
        <w:t>n</w:t>
      </w:r>
      <w:r w:rsidR="00AB7B28" w:rsidRPr="00392788">
        <w:t>etwork enables clinicians to collaborate through meetings and workshops and undertake the process of research priority setting.</w:t>
      </w:r>
      <w:r w:rsidRPr="00392788">
        <w:t xml:space="preserve"> </w:t>
      </w:r>
      <w:r w:rsidR="00AB7B28" w:rsidRPr="00392788">
        <w:t xml:space="preserve">This </w:t>
      </w:r>
      <w:r w:rsidR="0096636D" w:rsidRPr="00392788">
        <w:t xml:space="preserve">encourages </w:t>
      </w:r>
      <w:r w:rsidR="00AB7B28" w:rsidRPr="00392788">
        <w:t>efficiency and validity of research activity as research questions are targeted at areas of need</w:t>
      </w:r>
      <w:r w:rsidR="009664E7" w:rsidRPr="00392788">
        <w:t xml:space="preserve"> that are</w:t>
      </w:r>
      <w:r w:rsidR="00AB7B28" w:rsidRPr="00392788">
        <w:t xml:space="preserve"> </w:t>
      </w:r>
      <w:r w:rsidR="0096636D" w:rsidRPr="00392788">
        <w:t>identified through</w:t>
      </w:r>
      <w:r w:rsidR="00AB7B28" w:rsidRPr="00392788">
        <w:t xml:space="preserve"> shared knowledge </w:t>
      </w:r>
      <w:r w:rsidR="009664E7" w:rsidRPr="00392788">
        <w:t xml:space="preserve">about </w:t>
      </w:r>
      <w:r w:rsidR="00AB7B28" w:rsidRPr="00392788">
        <w:t>current clinical practices and challenges.</w:t>
      </w:r>
      <w:r w:rsidR="0096241B" w:rsidRPr="00392788">
        <w:t xml:space="preserve"> </w:t>
      </w:r>
      <w:r w:rsidR="00AB7B28" w:rsidRPr="00392788">
        <w:t xml:space="preserve"> </w:t>
      </w:r>
    </w:p>
    <w:p w14:paraId="5C3C7421" w14:textId="77777777" w:rsidR="00AB7B28" w:rsidRDefault="00AB7B28" w:rsidP="00615DF0">
      <w:pPr>
        <w:pStyle w:val="Heading3"/>
        <w:keepNext/>
        <w:numPr>
          <w:ilvl w:val="0"/>
          <w:numId w:val="10"/>
        </w:numPr>
        <w:spacing w:before="200" w:line="300" w:lineRule="auto"/>
      </w:pPr>
      <w:r w:rsidRPr="000E1487">
        <w:t>Endorsement process for new clinical trials</w:t>
      </w:r>
    </w:p>
    <w:p w14:paraId="163FED35" w14:textId="3697F2B8" w:rsidR="00AB7B28" w:rsidRDefault="002D3BB9" w:rsidP="00392788">
      <w:pPr>
        <w:pStyle w:val="Commissionbodytext"/>
        <w:rPr>
          <w:rStyle w:val="Heading2Char"/>
        </w:rPr>
      </w:pPr>
      <w:r>
        <w:t>T</w:t>
      </w:r>
      <w:r w:rsidR="00AB7B28" w:rsidRPr="000E1487">
        <w:t>his process has increased in rigour over the last two years.</w:t>
      </w:r>
      <w:r>
        <w:t xml:space="preserve"> </w:t>
      </w:r>
      <w:r w:rsidR="00AB7B28" w:rsidRPr="000E1487">
        <w:t xml:space="preserve">Previously endorsed trials were performed by </w:t>
      </w:r>
      <w:r>
        <w:t>n</w:t>
      </w:r>
      <w:r w:rsidR="00AB7B28" w:rsidRPr="000E1487">
        <w:t>etwork members and presented for peer review at a minimum of two member meetings. Now, the process follows a two</w:t>
      </w:r>
      <w:r w:rsidR="009664E7">
        <w:t>-</w:t>
      </w:r>
      <w:r w:rsidR="00AB7B28" w:rsidRPr="000E1487">
        <w:t xml:space="preserve">tiered approach where trials are formally reviewed and endorsed by the steering committee. Endorsement of trials leads to greater engagement with findings by clinicians due to </w:t>
      </w:r>
      <w:r w:rsidR="009664E7">
        <w:t>increased</w:t>
      </w:r>
      <w:r w:rsidR="009664E7" w:rsidRPr="000E1487">
        <w:t xml:space="preserve"> </w:t>
      </w:r>
      <w:r w:rsidR="00AB7B28" w:rsidRPr="000E1487">
        <w:t>trust and engagement.</w:t>
      </w:r>
      <w:r w:rsidR="0096241B">
        <w:t xml:space="preserve"> </w:t>
      </w:r>
    </w:p>
    <w:p w14:paraId="28CDFF0A" w14:textId="77777777" w:rsidR="005227C2" w:rsidRDefault="005227C2">
      <w:pPr>
        <w:spacing w:before="0" w:after="200" w:line="276" w:lineRule="auto"/>
        <w:rPr>
          <w:rStyle w:val="Heading2Char"/>
        </w:rPr>
      </w:pPr>
      <w:bookmarkStart w:id="217" w:name="_Toc475352612"/>
      <w:bookmarkStart w:id="218" w:name="_Toc475352800"/>
      <w:bookmarkStart w:id="219" w:name="_Toc476562878"/>
      <w:bookmarkStart w:id="220" w:name="_Toc479144912"/>
      <w:bookmarkStart w:id="221" w:name="_Toc479170063"/>
      <w:r>
        <w:rPr>
          <w:rStyle w:val="Heading2Char"/>
        </w:rPr>
        <w:br w:type="page"/>
      </w:r>
    </w:p>
    <w:p w14:paraId="3461FFC7" w14:textId="644B5415" w:rsidR="00722F9C" w:rsidRDefault="00AB7B28" w:rsidP="00AB7B28">
      <w:bookmarkStart w:id="222" w:name="_Toc482004552"/>
      <w:bookmarkStart w:id="223" w:name="_Toc482005824"/>
      <w:bookmarkStart w:id="224" w:name="_Toc487184549"/>
      <w:r w:rsidRPr="00392788">
        <w:rPr>
          <w:rStyle w:val="Heading2Char"/>
        </w:rPr>
        <w:lastRenderedPageBreak/>
        <w:t xml:space="preserve">Structure and </w:t>
      </w:r>
      <w:r w:rsidR="00722F9C">
        <w:rPr>
          <w:rStyle w:val="Heading2Char"/>
        </w:rPr>
        <w:t>f</w:t>
      </w:r>
      <w:r w:rsidRPr="00392788">
        <w:rPr>
          <w:rStyle w:val="Heading2Char"/>
        </w:rPr>
        <w:t>unding</w:t>
      </w:r>
      <w:bookmarkEnd w:id="217"/>
      <w:bookmarkEnd w:id="218"/>
      <w:bookmarkEnd w:id="219"/>
      <w:bookmarkEnd w:id="220"/>
      <w:bookmarkEnd w:id="221"/>
      <w:bookmarkEnd w:id="222"/>
      <w:bookmarkEnd w:id="223"/>
      <w:bookmarkEnd w:id="224"/>
      <w:r w:rsidRPr="00A45AF9">
        <w:rPr>
          <w:b/>
        </w:rPr>
        <w:t xml:space="preserve"> </w:t>
      </w:r>
    </w:p>
    <w:p w14:paraId="2D7BCE37" w14:textId="782F274C" w:rsidR="00AB7B28" w:rsidRPr="00022309" w:rsidRDefault="00AB7B28" w:rsidP="00392788">
      <w:pPr>
        <w:pStyle w:val="Commissionbodytext"/>
      </w:pPr>
      <w:r w:rsidRPr="00A45AF9">
        <w:t>Central administrative functions and trial facilitation are achieved through in-kind support of clinicians.</w:t>
      </w:r>
      <w:r w:rsidR="0096241B">
        <w:t xml:space="preserve"> </w:t>
      </w:r>
      <w:r w:rsidRPr="00A45AF9">
        <w:t>Secretariat support is provided by PSANZ which covers the cost of providing the member meetings. All associated functions and activities are provided by the steering committee through the donation of their time.</w:t>
      </w:r>
    </w:p>
    <w:p w14:paraId="43A8186C" w14:textId="77777777" w:rsidR="00722F9C" w:rsidRDefault="00722F9C" w:rsidP="00392788">
      <w:pPr>
        <w:pStyle w:val="Commissionbodytext"/>
      </w:pPr>
    </w:p>
    <w:p w14:paraId="01A2E428" w14:textId="531765C5" w:rsidR="00AB7B28" w:rsidRPr="00A45AF9" w:rsidRDefault="00AB7B28" w:rsidP="00392788">
      <w:pPr>
        <w:pStyle w:val="Commissionbodytext"/>
      </w:pPr>
      <w:r w:rsidRPr="00A45AF9">
        <w:t>The endorsement process for new clinical trials is also expected to benefit from the one-off funding of $20,000 received by IMPACT to develop its new website. In addition to providing information about IMPACT to the public and its members, the website will streamline the review process for new clinical trials.</w:t>
      </w:r>
      <w:r w:rsidRPr="00A45AF9">
        <w:rPr>
          <w:vertAlign w:val="superscript"/>
        </w:rPr>
        <w:footnoteReference w:id="34"/>
      </w:r>
    </w:p>
    <w:p w14:paraId="771B62A2" w14:textId="77777777" w:rsidR="00722F9C" w:rsidRDefault="00722F9C" w:rsidP="00392788">
      <w:pPr>
        <w:pStyle w:val="Commissionbodytext"/>
      </w:pPr>
    </w:p>
    <w:p w14:paraId="1720FBF4" w14:textId="29CB7591" w:rsidR="001E4736" w:rsidRPr="005227C2" w:rsidRDefault="00AB7B28" w:rsidP="00392788">
      <w:pPr>
        <w:pStyle w:val="Commissionbodytext"/>
      </w:pPr>
      <w:r w:rsidRPr="00A45AF9">
        <w:t xml:space="preserve">The </w:t>
      </w:r>
      <w:r w:rsidR="00722F9C">
        <w:t>n</w:t>
      </w:r>
      <w:r w:rsidRPr="00A45AF9">
        <w:t>etwork has no formal relationships with methods or coordinating centres.</w:t>
      </w:r>
      <w:r w:rsidR="002D3BB9">
        <w:t xml:space="preserve"> </w:t>
      </w:r>
      <w:r w:rsidRPr="00A45AF9">
        <w:t>Individual trials leverage methods, management and biostatistics resources of institutions associated with the researchers involved.</w:t>
      </w:r>
      <w:r w:rsidR="002D3BB9">
        <w:t xml:space="preserve"> </w:t>
      </w:r>
      <w:r w:rsidRPr="00A45AF9">
        <w:t xml:space="preserve">These include centres such as </w:t>
      </w:r>
      <w:r w:rsidR="000E7975">
        <w:t>t</w:t>
      </w:r>
      <w:r w:rsidRPr="00A45AF9">
        <w:t>he Australian Research Centre for Health of Women and Babies (ARCH).</w:t>
      </w:r>
      <w:r w:rsidR="002D3BB9">
        <w:t xml:space="preserve"> </w:t>
      </w:r>
      <w:r w:rsidRPr="00A45AF9">
        <w:t>ARCH was established at the University of Adelaide to assist in the coordination of maternal and perinatal clinical trials, and has successfully contributed to a number of IMPACT trials. The Liggins Institute, based at the University of Auckland, is also involved with many clinical trials conducted by IMPACT.</w:t>
      </w:r>
      <w:r w:rsidRPr="00A45AF9">
        <w:rPr>
          <w:vertAlign w:val="superscript"/>
        </w:rPr>
        <w:footnoteReference w:id="35"/>
      </w:r>
      <w:r w:rsidRPr="00A45AF9">
        <w:t xml:space="preserve"> These are sometimes paid for through trial funding, but more typically require some separate funding in addition to provision of considerable in-kind support in the form of analytical expertise and infrastructure.</w:t>
      </w:r>
      <w:bookmarkStart w:id="225" w:name="_Toc349192155"/>
      <w:bookmarkStart w:id="226" w:name="_Toc475352613"/>
      <w:bookmarkStart w:id="227" w:name="_Toc475352801"/>
      <w:bookmarkStart w:id="228" w:name="_Toc350381621"/>
    </w:p>
    <w:p w14:paraId="5AC99202" w14:textId="75D48E68" w:rsidR="00AB7B28" w:rsidRPr="00A45AF9" w:rsidRDefault="00F64140" w:rsidP="00F64140">
      <w:pPr>
        <w:pStyle w:val="Caption"/>
      </w:pPr>
      <w:bookmarkStart w:id="229" w:name="_Toc479177416"/>
      <w:bookmarkEnd w:id="225"/>
      <w:bookmarkEnd w:id="226"/>
      <w:bookmarkEnd w:id="227"/>
      <w:bookmarkEnd w:id="228"/>
      <w:r>
        <w:t xml:space="preserve">Appendix A Table </w:t>
      </w:r>
      <w:fldSimple w:instr=" SEQ Appendix_A_Table \* ARABIC ">
        <w:r w:rsidR="007B3054">
          <w:rPr>
            <w:noProof/>
          </w:rPr>
          <w:t>6</w:t>
        </w:r>
      </w:fldSimple>
      <w:r>
        <w:t>. IMPACT network costs</w:t>
      </w:r>
      <w:bookmarkEnd w:id="229"/>
      <w:r w:rsidR="002D3BB9">
        <w:t xml:space="preserve"> </w:t>
      </w:r>
    </w:p>
    <w:tbl>
      <w:tblPr>
        <w:tblW w:w="14337" w:type="dxa"/>
        <w:tblInd w:w="14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left w:w="0" w:type="dxa"/>
          <w:right w:w="0" w:type="dxa"/>
        </w:tblCellMar>
        <w:tblLook w:val="0420" w:firstRow="1" w:lastRow="0" w:firstColumn="0" w:lastColumn="0" w:noHBand="0" w:noVBand="1"/>
      </w:tblPr>
      <w:tblGrid>
        <w:gridCol w:w="3544"/>
        <w:gridCol w:w="3827"/>
        <w:gridCol w:w="3596"/>
        <w:gridCol w:w="3370"/>
      </w:tblGrid>
      <w:tr w:rsidR="00D62BA8" w:rsidRPr="00DD5584" w14:paraId="0BEE2E90" w14:textId="77777777" w:rsidTr="00392788">
        <w:trPr>
          <w:cantSplit/>
          <w:trHeight w:val="893"/>
        </w:trPr>
        <w:tc>
          <w:tcPr>
            <w:tcW w:w="3544" w:type="dxa"/>
            <w:shd w:val="clear" w:color="auto" w:fill="2F5496" w:themeFill="accent5" w:themeFillShade="BF"/>
            <w:tcMar>
              <w:top w:w="57" w:type="dxa"/>
              <w:left w:w="57" w:type="dxa"/>
              <w:bottom w:w="57" w:type="dxa"/>
              <w:right w:w="57" w:type="dxa"/>
            </w:tcMar>
            <w:vAlign w:val="bottom"/>
            <w:hideMark/>
          </w:tcPr>
          <w:p w14:paraId="01F33AC3" w14:textId="6A18D010" w:rsidR="00AB7B28" w:rsidRPr="00392788" w:rsidRDefault="00AB7B28" w:rsidP="00392788">
            <w:pPr>
              <w:spacing w:before="120" w:after="120" w:line="276" w:lineRule="auto"/>
              <w:rPr>
                <w:b/>
                <w:bCs/>
                <w:color w:val="FFFFFF" w:themeColor="background1"/>
                <w:sz w:val="21"/>
                <w:szCs w:val="21"/>
              </w:rPr>
            </w:pPr>
            <w:r w:rsidRPr="00392788">
              <w:rPr>
                <w:b/>
                <w:bCs/>
                <w:color w:val="FFFFFF" w:themeColor="background1"/>
                <w:sz w:val="21"/>
                <w:szCs w:val="21"/>
              </w:rPr>
              <w:t xml:space="preserve">Central </w:t>
            </w:r>
            <w:r w:rsidR="00242BEB">
              <w:rPr>
                <w:b/>
                <w:bCs/>
                <w:color w:val="FFFFFF" w:themeColor="background1"/>
                <w:sz w:val="21"/>
                <w:szCs w:val="21"/>
              </w:rPr>
              <w:t>n</w:t>
            </w:r>
            <w:r w:rsidRPr="00392788">
              <w:rPr>
                <w:b/>
                <w:bCs/>
                <w:color w:val="FFFFFF" w:themeColor="background1"/>
                <w:sz w:val="21"/>
                <w:szCs w:val="21"/>
              </w:rPr>
              <w:t xml:space="preserve">etwork </w:t>
            </w:r>
            <w:r w:rsidR="00242BEB">
              <w:rPr>
                <w:b/>
                <w:bCs/>
                <w:color w:val="FFFFFF" w:themeColor="background1"/>
                <w:sz w:val="21"/>
                <w:szCs w:val="21"/>
              </w:rPr>
              <w:t>f</w:t>
            </w:r>
            <w:r w:rsidRPr="00392788">
              <w:rPr>
                <w:b/>
                <w:bCs/>
                <w:color w:val="FFFFFF" w:themeColor="background1"/>
                <w:sz w:val="21"/>
                <w:szCs w:val="21"/>
              </w:rPr>
              <w:t>unding</w:t>
            </w:r>
          </w:p>
        </w:tc>
        <w:tc>
          <w:tcPr>
            <w:tcW w:w="3827" w:type="dxa"/>
            <w:shd w:val="clear" w:color="auto" w:fill="2F5496" w:themeFill="accent5" w:themeFillShade="BF"/>
            <w:tcMar>
              <w:top w:w="57" w:type="dxa"/>
              <w:left w:w="57" w:type="dxa"/>
              <w:bottom w:w="57" w:type="dxa"/>
              <w:right w:w="57" w:type="dxa"/>
            </w:tcMar>
            <w:vAlign w:val="bottom"/>
            <w:hideMark/>
          </w:tcPr>
          <w:p w14:paraId="6B21EAC2" w14:textId="44B1AA12" w:rsidR="00AB7B28" w:rsidRPr="00392788" w:rsidRDefault="00AB7B28" w:rsidP="00392788">
            <w:pPr>
              <w:spacing w:before="120" w:after="120" w:line="276" w:lineRule="auto"/>
              <w:rPr>
                <w:b/>
                <w:bCs/>
                <w:color w:val="FFFFFF" w:themeColor="background1"/>
                <w:sz w:val="21"/>
                <w:szCs w:val="21"/>
              </w:rPr>
            </w:pPr>
            <w:r w:rsidRPr="00392788">
              <w:rPr>
                <w:b/>
                <w:bCs/>
                <w:color w:val="FFFFFF" w:themeColor="background1"/>
                <w:sz w:val="21"/>
                <w:szCs w:val="21"/>
              </w:rPr>
              <w:t xml:space="preserve">Network </w:t>
            </w:r>
            <w:r w:rsidR="00242BEB">
              <w:rPr>
                <w:b/>
                <w:bCs/>
                <w:color w:val="FFFFFF" w:themeColor="background1"/>
                <w:sz w:val="21"/>
                <w:szCs w:val="21"/>
              </w:rPr>
              <w:t>i</w:t>
            </w:r>
            <w:r w:rsidRPr="00392788">
              <w:rPr>
                <w:b/>
                <w:bCs/>
                <w:color w:val="FFFFFF" w:themeColor="background1"/>
                <w:sz w:val="21"/>
                <w:szCs w:val="21"/>
              </w:rPr>
              <w:t>n-</w:t>
            </w:r>
            <w:r w:rsidR="00242BEB">
              <w:rPr>
                <w:b/>
                <w:bCs/>
                <w:color w:val="FFFFFF" w:themeColor="background1"/>
                <w:sz w:val="21"/>
                <w:szCs w:val="21"/>
              </w:rPr>
              <w:t>k</w:t>
            </w:r>
            <w:r w:rsidRPr="00392788">
              <w:rPr>
                <w:b/>
                <w:bCs/>
                <w:color w:val="FFFFFF" w:themeColor="background1"/>
                <w:sz w:val="21"/>
                <w:szCs w:val="21"/>
              </w:rPr>
              <w:t xml:space="preserve">ind </w:t>
            </w:r>
            <w:r w:rsidR="00242BEB">
              <w:rPr>
                <w:b/>
                <w:bCs/>
                <w:color w:val="FFFFFF" w:themeColor="background1"/>
                <w:sz w:val="21"/>
                <w:szCs w:val="21"/>
              </w:rPr>
              <w:t>c</w:t>
            </w:r>
            <w:r w:rsidRPr="00392788">
              <w:rPr>
                <w:b/>
                <w:bCs/>
                <w:color w:val="FFFFFF" w:themeColor="background1"/>
                <w:sz w:val="21"/>
                <w:szCs w:val="21"/>
              </w:rPr>
              <w:t>ontributions</w:t>
            </w:r>
          </w:p>
        </w:tc>
        <w:tc>
          <w:tcPr>
            <w:tcW w:w="3596" w:type="dxa"/>
            <w:shd w:val="clear" w:color="auto" w:fill="2F5496" w:themeFill="accent5" w:themeFillShade="BF"/>
            <w:tcMar>
              <w:top w:w="57" w:type="dxa"/>
              <w:left w:w="57" w:type="dxa"/>
              <w:bottom w:w="57" w:type="dxa"/>
              <w:right w:w="57" w:type="dxa"/>
            </w:tcMar>
            <w:vAlign w:val="bottom"/>
          </w:tcPr>
          <w:p w14:paraId="0F37FCDB" w14:textId="71CB275D" w:rsidR="00AB7B28" w:rsidRPr="00392788" w:rsidRDefault="00AB7B28" w:rsidP="00392788">
            <w:pPr>
              <w:spacing w:before="120" w:after="120" w:line="276" w:lineRule="auto"/>
              <w:rPr>
                <w:b/>
                <w:bCs/>
                <w:color w:val="FFFFFF" w:themeColor="background1"/>
                <w:sz w:val="21"/>
                <w:szCs w:val="21"/>
              </w:rPr>
            </w:pPr>
            <w:r w:rsidRPr="00392788">
              <w:rPr>
                <w:b/>
                <w:bCs/>
                <w:color w:val="FFFFFF" w:themeColor="background1"/>
                <w:sz w:val="21"/>
                <w:szCs w:val="21"/>
              </w:rPr>
              <w:t xml:space="preserve">Trial </w:t>
            </w:r>
            <w:r w:rsidR="00242BEB">
              <w:rPr>
                <w:b/>
                <w:bCs/>
                <w:color w:val="FFFFFF" w:themeColor="background1"/>
                <w:sz w:val="21"/>
                <w:szCs w:val="21"/>
              </w:rPr>
              <w:t>c</w:t>
            </w:r>
            <w:r w:rsidRPr="00392788">
              <w:rPr>
                <w:b/>
                <w:bCs/>
                <w:color w:val="FFFFFF" w:themeColor="background1"/>
                <w:sz w:val="21"/>
                <w:szCs w:val="21"/>
              </w:rPr>
              <w:t xml:space="preserve">oordinating </w:t>
            </w:r>
            <w:r w:rsidR="00242BEB">
              <w:rPr>
                <w:b/>
                <w:bCs/>
                <w:color w:val="FFFFFF" w:themeColor="background1"/>
                <w:sz w:val="21"/>
                <w:szCs w:val="21"/>
              </w:rPr>
              <w:t>c</w:t>
            </w:r>
            <w:r w:rsidRPr="00392788">
              <w:rPr>
                <w:b/>
                <w:bCs/>
                <w:color w:val="FFFFFF" w:themeColor="background1"/>
                <w:sz w:val="21"/>
                <w:szCs w:val="21"/>
              </w:rPr>
              <w:t xml:space="preserve">entre </w:t>
            </w:r>
            <w:r w:rsidR="00242BEB">
              <w:rPr>
                <w:b/>
                <w:bCs/>
                <w:color w:val="FFFFFF" w:themeColor="background1"/>
                <w:sz w:val="21"/>
                <w:szCs w:val="21"/>
              </w:rPr>
              <w:t>c</w:t>
            </w:r>
            <w:r w:rsidRPr="00392788">
              <w:rPr>
                <w:b/>
                <w:bCs/>
                <w:color w:val="FFFFFF" w:themeColor="background1"/>
                <w:sz w:val="21"/>
                <w:szCs w:val="21"/>
              </w:rPr>
              <w:t>osts</w:t>
            </w:r>
          </w:p>
        </w:tc>
        <w:tc>
          <w:tcPr>
            <w:tcW w:w="3370" w:type="dxa"/>
            <w:shd w:val="clear" w:color="auto" w:fill="2F5496"/>
            <w:tcMar>
              <w:top w:w="57" w:type="dxa"/>
              <w:left w:w="57" w:type="dxa"/>
              <w:bottom w:w="57" w:type="dxa"/>
              <w:right w:w="57" w:type="dxa"/>
            </w:tcMar>
            <w:vAlign w:val="bottom"/>
            <w:hideMark/>
          </w:tcPr>
          <w:p w14:paraId="71EC2902" w14:textId="5E9766B1" w:rsidR="00AB7B28" w:rsidRPr="00392788" w:rsidRDefault="00AB7B28" w:rsidP="00392788">
            <w:pPr>
              <w:spacing w:before="120" w:after="120" w:line="276" w:lineRule="auto"/>
              <w:rPr>
                <w:b/>
                <w:bCs/>
                <w:color w:val="FFFFFF" w:themeColor="background1"/>
                <w:sz w:val="21"/>
                <w:szCs w:val="21"/>
              </w:rPr>
            </w:pPr>
            <w:r w:rsidRPr="00392788">
              <w:rPr>
                <w:b/>
                <w:bCs/>
                <w:color w:val="FFFFFF" w:themeColor="background1"/>
                <w:sz w:val="21"/>
                <w:szCs w:val="21"/>
              </w:rPr>
              <w:t xml:space="preserve">Total </w:t>
            </w:r>
            <w:r w:rsidR="00242BEB">
              <w:rPr>
                <w:b/>
                <w:bCs/>
                <w:color w:val="FFFFFF" w:themeColor="background1"/>
                <w:sz w:val="21"/>
                <w:szCs w:val="21"/>
              </w:rPr>
              <w:t>n</w:t>
            </w:r>
            <w:r w:rsidRPr="00392788">
              <w:rPr>
                <w:b/>
                <w:bCs/>
                <w:color w:val="FFFFFF" w:themeColor="background1"/>
                <w:sz w:val="21"/>
                <w:szCs w:val="21"/>
              </w:rPr>
              <w:t xml:space="preserve">etwork </w:t>
            </w:r>
            <w:r w:rsidR="00242BEB">
              <w:rPr>
                <w:b/>
                <w:bCs/>
                <w:color w:val="FFFFFF" w:themeColor="background1"/>
                <w:sz w:val="21"/>
                <w:szCs w:val="21"/>
              </w:rPr>
              <w:t>c</w:t>
            </w:r>
            <w:r w:rsidRPr="00392788">
              <w:rPr>
                <w:b/>
                <w:bCs/>
                <w:color w:val="FFFFFF" w:themeColor="background1"/>
                <w:sz w:val="21"/>
                <w:szCs w:val="21"/>
              </w:rPr>
              <w:t>osts (since inception)</w:t>
            </w:r>
          </w:p>
        </w:tc>
      </w:tr>
      <w:tr w:rsidR="00D62BA8" w:rsidRPr="00DD5584" w14:paraId="0696E24B" w14:textId="77777777" w:rsidTr="00392788">
        <w:trPr>
          <w:cantSplit/>
          <w:trHeight w:val="341"/>
        </w:trPr>
        <w:tc>
          <w:tcPr>
            <w:tcW w:w="3544" w:type="dxa"/>
            <w:shd w:val="clear" w:color="auto" w:fill="auto"/>
            <w:tcMar>
              <w:top w:w="57" w:type="dxa"/>
              <w:left w:w="57" w:type="dxa"/>
              <w:bottom w:w="57" w:type="dxa"/>
              <w:right w:w="57" w:type="dxa"/>
            </w:tcMar>
            <w:hideMark/>
          </w:tcPr>
          <w:p w14:paraId="4B7CEF1A" w14:textId="1671A9A4" w:rsidR="00AB7B28" w:rsidRPr="00F074A5" w:rsidRDefault="00AB7B28" w:rsidP="00392788">
            <w:pPr>
              <w:spacing w:before="120" w:after="120" w:line="276" w:lineRule="auto"/>
              <w:rPr>
                <w:bCs/>
                <w:sz w:val="21"/>
                <w:szCs w:val="21"/>
              </w:rPr>
            </w:pPr>
            <w:r w:rsidRPr="00F074A5">
              <w:rPr>
                <w:bCs/>
                <w:sz w:val="21"/>
                <w:szCs w:val="21"/>
              </w:rPr>
              <w:t>$0.4</w:t>
            </w:r>
            <w:r w:rsidR="00B17172" w:rsidRPr="00F074A5">
              <w:rPr>
                <w:bCs/>
                <w:sz w:val="21"/>
                <w:szCs w:val="21"/>
              </w:rPr>
              <w:t xml:space="preserve"> million</w:t>
            </w:r>
            <w:r w:rsidRPr="00F074A5">
              <w:rPr>
                <w:bCs/>
                <w:sz w:val="21"/>
                <w:szCs w:val="21"/>
              </w:rPr>
              <w:t xml:space="preserve"> over 22 years</w:t>
            </w:r>
          </w:p>
        </w:tc>
        <w:tc>
          <w:tcPr>
            <w:tcW w:w="3827" w:type="dxa"/>
            <w:shd w:val="clear" w:color="auto" w:fill="auto"/>
            <w:tcMar>
              <w:top w:w="57" w:type="dxa"/>
              <w:left w:w="57" w:type="dxa"/>
              <w:bottom w:w="57" w:type="dxa"/>
              <w:right w:w="57" w:type="dxa"/>
            </w:tcMar>
            <w:hideMark/>
          </w:tcPr>
          <w:p w14:paraId="12ED9968" w14:textId="2185AEAE" w:rsidR="00AB7B28" w:rsidRPr="00F074A5" w:rsidRDefault="00AB7B28" w:rsidP="00392788">
            <w:pPr>
              <w:spacing w:before="120" w:after="120" w:line="276" w:lineRule="auto"/>
              <w:rPr>
                <w:bCs/>
                <w:sz w:val="21"/>
                <w:szCs w:val="21"/>
              </w:rPr>
            </w:pPr>
            <w:r w:rsidRPr="00F074A5">
              <w:rPr>
                <w:bCs/>
                <w:sz w:val="21"/>
                <w:szCs w:val="21"/>
              </w:rPr>
              <w:t>$2.2</w:t>
            </w:r>
            <w:r w:rsidR="00B17172" w:rsidRPr="00F074A5">
              <w:rPr>
                <w:bCs/>
                <w:sz w:val="21"/>
                <w:szCs w:val="21"/>
              </w:rPr>
              <w:t xml:space="preserve"> million</w:t>
            </w:r>
          </w:p>
        </w:tc>
        <w:tc>
          <w:tcPr>
            <w:tcW w:w="3596" w:type="dxa"/>
            <w:shd w:val="clear" w:color="auto" w:fill="auto"/>
            <w:tcMar>
              <w:top w:w="57" w:type="dxa"/>
              <w:left w:w="57" w:type="dxa"/>
              <w:bottom w:w="57" w:type="dxa"/>
              <w:right w:w="57" w:type="dxa"/>
            </w:tcMar>
          </w:tcPr>
          <w:p w14:paraId="4022DFE8" w14:textId="208B023C" w:rsidR="00AB7B28" w:rsidRPr="00F074A5" w:rsidRDefault="00AB7B28" w:rsidP="00392788">
            <w:pPr>
              <w:spacing w:before="120" w:after="120" w:line="276" w:lineRule="auto"/>
              <w:rPr>
                <w:bCs/>
                <w:sz w:val="21"/>
                <w:szCs w:val="21"/>
              </w:rPr>
            </w:pPr>
            <w:r w:rsidRPr="00F074A5">
              <w:rPr>
                <w:bCs/>
                <w:sz w:val="21"/>
                <w:szCs w:val="21"/>
              </w:rPr>
              <w:t>$39</w:t>
            </w:r>
            <w:r w:rsidR="00B17172" w:rsidRPr="00F074A5">
              <w:rPr>
                <w:bCs/>
                <w:sz w:val="21"/>
                <w:szCs w:val="21"/>
              </w:rPr>
              <w:t xml:space="preserve"> million</w:t>
            </w:r>
          </w:p>
        </w:tc>
        <w:tc>
          <w:tcPr>
            <w:tcW w:w="3370" w:type="dxa"/>
            <w:shd w:val="clear" w:color="auto" w:fill="auto"/>
            <w:tcMar>
              <w:top w:w="57" w:type="dxa"/>
              <w:left w:w="57" w:type="dxa"/>
              <w:bottom w:w="57" w:type="dxa"/>
              <w:right w:w="57" w:type="dxa"/>
            </w:tcMar>
            <w:hideMark/>
          </w:tcPr>
          <w:p w14:paraId="14F498CE" w14:textId="0FE1740B" w:rsidR="00AB7B28" w:rsidRPr="00F074A5" w:rsidRDefault="00AB7B28" w:rsidP="00392788">
            <w:pPr>
              <w:spacing w:before="120" w:after="120" w:line="276" w:lineRule="auto"/>
              <w:rPr>
                <w:bCs/>
                <w:sz w:val="21"/>
                <w:szCs w:val="21"/>
              </w:rPr>
            </w:pPr>
            <w:r w:rsidRPr="00F074A5">
              <w:rPr>
                <w:bCs/>
                <w:sz w:val="21"/>
                <w:szCs w:val="21"/>
              </w:rPr>
              <w:t>$42</w:t>
            </w:r>
            <w:r w:rsidR="00B17172" w:rsidRPr="00F074A5">
              <w:rPr>
                <w:bCs/>
                <w:sz w:val="21"/>
                <w:szCs w:val="21"/>
              </w:rPr>
              <w:t xml:space="preserve"> million</w:t>
            </w:r>
          </w:p>
        </w:tc>
      </w:tr>
    </w:tbl>
    <w:p w14:paraId="2F4AD2B3" w14:textId="11E3176A" w:rsidR="00AB7B28" w:rsidRDefault="00F64140" w:rsidP="00F64140">
      <w:pPr>
        <w:pStyle w:val="Caption"/>
        <w:rPr>
          <w:noProof/>
          <w:lang w:eastAsia="en-US"/>
        </w:rPr>
      </w:pPr>
      <w:bookmarkStart w:id="230" w:name="_Toc349192156"/>
      <w:bookmarkStart w:id="231" w:name="_Toc475352614"/>
      <w:bookmarkStart w:id="232" w:name="_Toc475352802"/>
      <w:bookmarkStart w:id="233" w:name="_Toc350381622"/>
      <w:bookmarkStart w:id="234" w:name="_Toc479177417"/>
      <w:r>
        <w:lastRenderedPageBreak/>
        <w:t xml:space="preserve">Appendix A Table </w:t>
      </w:r>
      <w:fldSimple w:instr=" SEQ Appendix_A_Table \* ARABIC ">
        <w:r w:rsidR="007B3054">
          <w:rPr>
            <w:noProof/>
          </w:rPr>
          <w:t>7</w:t>
        </w:r>
      </w:fldSimple>
      <w:r w:rsidR="00E25849">
        <w:t>. IMPACT t</w:t>
      </w:r>
      <w:r>
        <w:t>rial costs</w:t>
      </w:r>
      <w:r w:rsidR="00AB7B28">
        <w:rPr>
          <w:rStyle w:val="FootnoteReference"/>
          <w:noProof/>
          <w:lang w:eastAsia="en-US"/>
        </w:rPr>
        <w:footnoteReference w:id="36"/>
      </w:r>
      <w:bookmarkEnd w:id="230"/>
      <w:bookmarkEnd w:id="231"/>
      <w:bookmarkEnd w:id="232"/>
      <w:bookmarkEnd w:id="233"/>
      <w:bookmarkEnd w:id="234"/>
    </w:p>
    <w:tbl>
      <w:tblPr>
        <w:tblW w:w="14265" w:type="dxa"/>
        <w:tblInd w:w="196"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CellMar>
          <w:left w:w="0" w:type="dxa"/>
          <w:right w:w="0" w:type="dxa"/>
        </w:tblCellMar>
        <w:tblLook w:val="0420" w:firstRow="1" w:lastRow="0" w:firstColumn="0" w:lastColumn="0" w:noHBand="0" w:noVBand="1"/>
      </w:tblPr>
      <w:tblGrid>
        <w:gridCol w:w="2869"/>
        <w:gridCol w:w="4502"/>
        <w:gridCol w:w="3544"/>
        <w:gridCol w:w="3350"/>
      </w:tblGrid>
      <w:tr w:rsidR="00D62BA8" w:rsidRPr="00DD5584" w14:paraId="38559D5D" w14:textId="77777777" w:rsidTr="00392788">
        <w:trPr>
          <w:trHeight w:hRule="exact" w:val="567"/>
          <w:tblHeader/>
        </w:trPr>
        <w:tc>
          <w:tcPr>
            <w:tcW w:w="2869" w:type="dxa"/>
            <w:shd w:val="clear" w:color="auto" w:fill="2F5496"/>
            <w:tcMar>
              <w:top w:w="57" w:type="dxa"/>
              <w:left w:w="57" w:type="dxa"/>
              <w:bottom w:w="57" w:type="dxa"/>
              <w:right w:w="57" w:type="dxa"/>
            </w:tcMar>
            <w:hideMark/>
          </w:tcPr>
          <w:p w14:paraId="6481F00C" w14:textId="7F88CF80" w:rsidR="00AB7B28" w:rsidRPr="00392788" w:rsidRDefault="00AB7B28" w:rsidP="00392788">
            <w:pPr>
              <w:spacing w:after="120" w:line="276" w:lineRule="auto"/>
              <w:rPr>
                <w:b/>
                <w:bCs/>
                <w:color w:val="FFFFFF" w:themeColor="background1"/>
                <w:sz w:val="21"/>
                <w:szCs w:val="21"/>
              </w:rPr>
            </w:pPr>
            <w:r w:rsidRPr="00392788">
              <w:rPr>
                <w:b/>
                <w:bCs/>
                <w:color w:val="FFFFFF" w:themeColor="background1"/>
                <w:sz w:val="21"/>
                <w:szCs w:val="21"/>
              </w:rPr>
              <w:t xml:space="preserve">Trial </w:t>
            </w:r>
            <w:r w:rsidR="00242BEB">
              <w:rPr>
                <w:b/>
                <w:bCs/>
                <w:color w:val="FFFFFF" w:themeColor="background1"/>
                <w:sz w:val="21"/>
                <w:szCs w:val="21"/>
              </w:rPr>
              <w:t>a</w:t>
            </w:r>
            <w:r w:rsidRPr="00392788">
              <w:rPr>
                <w:b/>
                <w:bCs/>
                <w:color w:val="FFFFFF" w:themeColor="background1"/>
                <w:sz w:val="21"/>
                <w:szCs w:val="21"/>
              </w:rPr>
              <w:t>cronym</w:t>
            </w:r>
          </w:p>
        </w:tc>
        <w:tc>
          <w:tcPr>
            <w:tcW w:w="4502" w:type="dxa"/>
            <w:shd w:val="clear" w:color="auto" w:fill="2F5496"/>
            <w:tcMar>
              <w:top w:w="57" w:type="dxa"/>
              <w:left w:w="57" w:type="dxa"/>
              <w:bottom w:w="57" w:type="dxa"/>
              <w:right w:w="57" w:type="dxa"/>
            </w:tcMar>
            <w:hideMark/>
          </w:tcPr>
          <w:p w14:paraId="67E2E016" w14:textId="50A22B72" w:rsidR="00AB7B28" w:rsidRPr="00392788" w:rsidRDefault="00AB7B28" w:rsidP="00392788">
            <w:pPr>
              <w:spacing w:after="120" w:line="276" w:lineRule="auto"/>
              <w:rPr>
                <w:b/>
                <w:bCs/>
                <w:color w:val="FFFFFF" w:themeColor="background1"/>
                <w:sz w:val="21"/>
                <w:szCs w:val="21"/>
              </w:rPr>
            </w:pPr>
            <w:r w:rsidRPr="00392788">
              <w:rPr>
                <w:b/>
                <w:bCs/>
                <w:color w:val="FFFFFF" w:themeColor="background1"/>
                <w:sz w:val="21"/>
                <w:szCs w:val="21"/>
              </w:rPr>
              <w:t xml:space="preserve">Main </w:t>
            </w:r>
            <w:r w:rsidR="00242BEB">
              <w:rPr>
                <w:b/>
                <w:bCs/>
                <w:color w:val="FFFFFF" w:themeColor="background1"/>
                <w:sz w:val="21"/>
                <w:szCs w:val="21"/>
              </w:rPr>
              <w:t>n</w:t>
            </w:r>
            <w:r w:rsidRPr="00392788">
              <w:rPr>
                <w:b/>
                <w:bCs/>
                <w:color w:val="FFFFFF" w:themeColor="background1"/>
                <w:sz w:val="21"/>
                <w:szCs w:val="21"/>
              </w:rPr>
              <w:t xml:space="preserve">on-NHMRC </w:t>
            </w:r>
            <w:r w:rsidR="00242BEB">
              <w:rPr>
                <w:b/>
                <w:bCs/>
                <w:color w:val="FFFFFF" w:themeColor="background1"/>
                <w:sz w:val="21"/>
                <w:szCs w:val="21"/>
              </w:rPr>
              <w:t>f</w:t>
            </w:r>
            <w:r w:rsidRPr="00392788">
              <w:rPr>
                <w:b/>
                <w:bCs/>
                <w:color w:val="FFFFFF" w:themeColor="background1"/>
                <w:sz w:val="21"/>
                <w:szCs w:val="21"/>
              </w:rPr>
              <w:t>unding</w:t>
            </w:r>
          </w:p>
        </w:tc>
        <w:tc>
          <w:tcPr>
            <w:tcW w:w="3544" w:type="dxa"/>
            <w:shd w:val="clear" w:color="auto" w:fill="2F5496"/>
            <w:tcMar>
              <w:top w:w="57" w:type="dxa"/>
              <w:left w:w="57" w:type="dxa"/>
              <w:bottom w:w="57" w:type="dxa"/>
              <w:right w:w="57" w:type="dxa"/>
            </w:tcMar>
            <w:hideMark/>
          </w:tcPr>
          <w:p w14:paraId="05BBA322" w14:textId="78698FAC" w:rsidR="00AB7B28" w:rsidRPr="00392788" w:rsidRDefault="00AB7B28" w:rsidP="00392788">
            <w:pPr>
              <w:spacing w:after="120" w:line="276" w:lineRule="auto"/>
              <w:rPr>
                <w:b/>
                <w:bCs/>
                <w:color w:val="FFFFFF" w:themeColor="background1"/>
                <w:sz w:val="21"/>
                <w:szCs w:val="21"/>
              </w:rPr>
            </w:pPr>
            <w:r w:rsidRPr="00392788">
              <w:rPr>
                <w:b/>
                <w:bCs/>
                <w:color w:val="FFFFFF" w:themeColor="background1"/>
                <w:sz w:val="21"/>
                <w:szCs w:val="21"/>
              </w:rPr>
              <w:t xml:space="preserve">NHMRC </w:t>
            </w:r>
            <w:r w:rsidR="00242BEB">
              <w:rPr>
                <w:b/>
                <w:bCs/>
                <w:color w:val="FFFFFF" w:themeColor="background1"/>
                <w:sz w:val="21"/>
                <w:szCs w:val="21"/>
              </w:rPr>
              <w:t>f</w:t>
            </w:r>
            <w:r w:rsidRPr="00392788">
              <w:rPr>
                <w:b/>
                <w:bCs/>
                <w:color w:val="FFFFFF" w:themeColor="background1"/>
                <w:sz w:val="21"/>
                <w:szCs w:val="21"/>
              </w:rPr>
              <w:t>unding</w:t>
            </w:r>
          </w:p>
        </w:tc>
        <w:tc>
          <w:tcPr>
            <w:tcW w:w="3350" w:type="dxa"/>
            <w:shd w:val="clear" w:color="auto" w:fill="2F5496"/>
            <w:tcMar>
              <w:top w:w="57" w:type="dxa"/>
              <w:left w:w="57" w:type="dxa"/>
              <w:bottom w:w="57" w:type="dxa"/>
              <w:right w:w="57" w:type="dxa"/>
            </w:tcMar>
            <w:hideMark/>
          </w:tcPr>
          <w:p w14:paraId="0A6DFB7D" w14:textId="319F9E98" w:rsidR="00AB7B28" w:rsidRPr="00392788" w:rsidRDefault="00AB7B28" w:rsidP="00392788">
            <w:pPr>
              <w:spacing w:after="120" w:line="276" w:lineRule="auto"/>
              <w:rPr>
                <w:b/>
                <w:bCs/>
                <w:color w:val="FFFFFF" w:themeColor="background1"/>
                <w:sz w:val="21"/>
                <w:szCs w:val="21"/>
              </w:rPr>
            </w:pPr>
            <w:r w:rsidRPr="00392788">
              <w:rPr>
                <w:b/>
                <w:bCs/>
                <w:color w:val="FFFFFF" w:themeColor="background1"/>
                <w:sz w:val="21"/>
                <w:szCs w:val="21"/>
              </w:rPr>
              <w:t xml:space="preserve">Total </w:t>
            </w:r>
            <w:r w:rsidR="00242BEB">
              <w:rPr>
                <w:b/>
                <w:bCs/>
                <w:color w:val="FFFFFF" w:themeColor="background1"/>
                <w:sz w:val="21"/>
                <w:szCs w:val="21"/>
              </w:rPr>
              <w:t>n</w:t>
            </w:r>
            <w:r w:rsidRPr="00392788">
              <w:rPr>
                <w:b/>
                <w:bCs/>
                <w:color w:val="FFFFFF" w:themeColor="background1"/>
                <w:sz w:val="21"/>
                <w:szCs w:val="21"/>
              </w:rPr>
              <w:t>on-</w:t>
            </w:r>
            <w:r w:rsidR="00242BEB">
              <w:rPr>
                <w:b/>
                <w:bCs/>
                <w:color w:val="FFFFFF" w:themeColor="background1"/>
                <w:sz w:val="21"/>
                <w:szCs w:val="21"/>
              </w:rPr>
              <w:t>c</w:t>
            </w:r>
            <w:r w:rsidRPr="00392788">
              <w:rPr>
                <w:b/>
                <w:bCs/>
                <w:color w:val="FFFFFF" w:themeColor="background1"/>
                <w:sz w:val="21"/>
                <w:szCs w:val="21"/>
              </w:rPr>
              <w:t xml:space="preserve">ommercial </w:t>
            </w:r>
            <w:r w:rsidR="00242BEB">
              <w:rPr>
                <w:b/>
                <w:bCs/>
                <w:color w:val="FFFFFF" w:themeColor="background1"/>
                <w:sz w:val="21"/>
                <w:szCs w:val="21"/>
              </w:rPr>
              <w:t>f</w:t>
            </w:r>
            <w:r w:rsidRPr="00392788">
              <w:rPr>
                <w:b/>
                <w:bCs/>
                <w:color w:val="FFFFFF" w:themeColor="background1"/>
                <w:sz w:val="21"/>
                <w:szCs w:val="21"/>
              </w:rPr>
              <w:t>unding</w:t>
            </w:r>
          </w:p>
        </w:tc>
      </w:tr>
      <w:tr w:rsidR="00D62BA8" w:rsidRPr="00DD5584" w14:paraId="62E85D16" w14:textId="77777777" w:rsidTr="00392788">
        <w:trPr>
          <w:trHeight w:hRule="exact" w:val="567"/>
        </w:trPr>
        <w:tc>
          <w:tcPr>
            <w:tcW w:w="2869" w:type="dxa"/>
            <w:shd w:val="clear" w:color="auto" w:fill="auto"/>
            <w:tcMar>
              <w:top w:w="57" w:type="dxa"/>
              <w:left w:w="57" w:type="dxa"/>
              <w:bottom w:w="57" w:type="dxa"/>
              <w:right w:w="57" w:type="dxa"/>
            </w:tcMar>
          </w:tcPr>
          <w:p w14:paraId="3B2DC556" w14:textId="77777777" w:rsidR="001E4736" w:rsidRPr="00F074A5" w:rsidRDefault="001E4736" w:rsidP="00392788">
            <w:pPr>
              <w:spacing w:before="120" w:after="120" w:line="276" w:lineRule="auto"/>
              <w:rPr>
                <w:bCs/>
                <w:sz w:val="21"/>
                <w:szCs w:val="21"/>
              </w:rPr>
            </w:pPr>
            <w:r w:rsidRPr="00F074A5">
              <w:rPr>
                <w:bCs/>
                <w:sz w:val="21"/>
                <w:szCs w:val="21"/>
              </w:rPr>
              <w:t>ACHOIS</w:t>
            </w:r>
          </w:p>
        </w:tc>
        <w:tc>
          <w:tcPr>
            <w:tcW w:w="4502" w:type="dxa"/>
            <w:shd w:val="clear" w:color="auto" w:fill="auto"/>
            <w:tcMar>
              <w:top w:w="57" w:type="dxa"/>
              <w:left w:w="57" w:type="dxa"/>
              <w:bottom w:w="57" w:type="dxa"/>
              <w:right w:w="57" w:type="dxa"/>
            </w:tcMar>
          </w:tcPr>
          <w:p w14:paraId="65F85B0B" w14:textId="5393FEAA" w:rsidR="001E4736" w:rsidRPr="00F074A5" w:rsidRDefault="00242BEB" w:rsidP="00392788">
            <w:pPr>
              <w:spacing w:before="120" w:after="120" w:line="276" w:lineRule="auto"/>
              <w:rPr>
                <w:bCs/>
                <w:sz w:val="21"/>
                <w:szCs w:val="21"/>
              </w:rPr>
            </w:pPr>
            <w:r>
              <w:rPr>
                <w:bCs/>
                <w:sz w:val="21"/>
                <w:szCs w:val="21"/>
              </w:rPr>
              <w:t>–</w:t>
            </w:r>
          </w:p>
        </w:tc>
        <w:tc>
          <w:tcPr>
            <w:tcW w:w="3544" w:type="dxa"/>
            <w:shd w:val="clear" w:color="auto" w:fill="auto"/>
            <w:tcMar>
              <w:top w:w="57" w:type="dxa"/>
              <w:left w:w="57" w:type="dxa"/>
              <w:bottom w:w="57" w:type="dxa"/>
              <w:right w:w="57" w:type="dxa"/>
            </w:tcMar>
          </w:tcPr>
          <w:p w14:paraId="03C996EE" w14:textId="572D7EF8" w:rsidR="001E4736" w:rsidRPr="00F074A5" w:rsidRDefault="001E4736" w:rsidP="00392788">
            <w:pPr>
              <w:spacing w:before="120" w:after="120" w:line="276" w:lineRule="auto"/>
              <w:rPr>
                <w:bCs/>
                <w:sz w:val="21"/>
                <w:szCs w:val="21"/>
              </w:rPr>
            </w:pPr>
            <w:r w:rsidRPr="00F074A5">
              <w:rPr>
                <w:bCs/>
                <w:sz w:val="21"/>
                <w:szCs w:val="21"/>
              </w:rPr>
              <w:t>$0.7</w:t>
            </w:r>
            <w:r w:rsidR="00B17172" w:rsidRPr="00F074A5">
              <w:rPr>
                <w:bCs/>
                <w:sz w:val="21"/>
                <w:szCs w:val="21"/>
              </w:rPr>
              <w:t xml:space="preserve"> million</w:t>
            </w:r>
          </w:p>
        </w:tc>
        <w:tc>
          <w:tcPr>
            <w:tcW w:w="3350" w:type="dxa"/>
            <w:shd w:val="clear" w:color="auto" w:fill="auto"/>
            <w:tcMar>
              <w:top w:w="57" w:type="dxa"/>
              <w:left w:w="57" w:type="dxa"/>
              <w:bottom w:w="57" w:type="dxa"/>
              <w:right w:w="57" w:type="dxa"/>
            </w:tcMar>
          </w:tcPr>
          <w:p w14:paraId="67AFEB72" w14:textId="076CDA0C" w:rsidR="001E4736" w:rsidRPr="00F074A5" w:rsidRDefault="001E4736" w:rsidP="00392788">
            <w:pPr>
              <w:spacing w:before="120" w:after="120" w:line="276" w:lineRule="auto"/>
              <w:rPr>
                <w:bCs/>
                <w:sz w:val="21"/>
                <w:szCs w:val="21"/>
              </w:rPr>
            </w:pPr>
            <w:r w:rsidRPr="00F074A5">
              <w:rPr>
                <w:bCs/>
                <w:sz w:val="21"/>
                <w:szCs w:val="21"/>
              </w:rPr>
              <w:t>$0.8</w:t>
            </w:r>
            <w:r w:rsidR="00B17172" w:rsidRPr="00F074A5">
              <w:rPr>
                <w:bCs/>
                <w:sz w:val="21"/>
                <w:szCs w:val="21"/>
              </w:rPr>
              <w:t xml:space="preserve"> million</w:t>
            </w:r>
          </w:p>
        </w:tc>
      </w:tr>
      <w:tr w:rsidR="00D62BA8" w:rsidRPr="00DD5584" w14:paraId="382FA266" w14:textId="77777777" w:rsidTr="00392788">
        <w:trPr>
          <w:trHeight w:hRule="exact" w:val="873"/>
        </w:trPr>
        <w:tc>
          <w:tcPr>
            <w:tcW w:w="2869" w:type="dxa"/>
            <w:shd w:val="clear" w:color="auto" w:fill="auto"/>
            <w:tcMar>
              <w:top w:w="57" w:type="dxa"/>
              <w:left w:w="57" w:type="dxa"/>
              <w:bottom w:w="57" w:type="dxa"/>
              <w:right w:w="57" w:type="dxa"/>
            </w:tcMar>
          </w:tcPr>
          <w:p w14:paraId="07480BAF" w14:textId="77777777" w:rsidR="001E4736" w:rsidRPr="00F074A5" w:rsidRDefault="001E4736" w:rsidP="00392788">
            <w:pPr>
              <w:spacing w:before="120" w:after="120" w:line="276" w:lineRule="auto"/>
              <w:rPr>
                <w:bCs/>
                <w:sz w:val="21"/>
                <w:szCs w:val="21"/>
              </w:rPr>
            </w:pPr>
            <w:r w:rsidRPr="00F074A5">
              <w:rPr>
                <w:bCs/>
                <w:sz w:val="21"/>
                <w:szCs w:val="21"/>
              </w:rPr>
              <w:t>ACTOMgSO4</w:t>
            </w:r>
          </w:p>
        </w:tc>
        <w:tc>
          <w:tcPr>
            <w:tcW w:w="4502" w:type="dxa"/>
            <w:shd w:val="clear" w:color="auto" w:fill="auto"/>
            <w:tcMar>
              <w:top w:w="57" w:type="dxa"/>
              <w:left w:w="57" w:type="dxa"/>
              <w:bottom w:w="57" w:type="dxa"/>
              <w:right w:w="57" w:type="dxa"/>
            </w:tcMar>
          </w:tcPr>
          <w:p w14:paraId="71F4E142" w14:textId="77777777" w:rsidR="001E4736" w:rsidRPr="00F074A5" w:rsidRDefault="001E4736" w:rsidP="00392788">
            <w:pPr>
              <w:spacing w:before="120" w:after="120" w:line="276" w:lineRule="auto"/>
              <w:rPr>
                <w:bCs/>
                <w:sz w:val="21"/>
                <w:szCs w:val="21"/>
              </w:rPr>
            </w:pPr>
            <w:r w:rsidRPr="00F074A5">
              <w:rPr>
                <w:bCs/>
                <w:sz w:val="21"/>
                <w:szCs w:val="21"/>
              </w:rPr>
              <w:t>Chanel 7 Research Foundation of South Australia</w:t>
            </w:r>
          </w:p>
        </w:tc>
        <w:tc>
          <w:tcPr>
            <w:tcW w:w="3544" w:type="dxa"/>
            <w:shd w:val="clear" w:color="auto" w:fill="auto"/>
            <w:tcMar>
              <w:top w:w="57" w:type="dxa"/>
              <w:left w:w="57" w:type="dxa"/>
              <w:bottom w:w="57" w:type="dxa"/>
              <w:right w:w="57" w:type="dxa"/>
            </w:tcMar>
          </w:tcPr>
          <w:p w14:paraId="5A729304" w14:textId="75F5ABB0" w:rsidR="001E4736" w:rsidRPr="00F074A5" w:rsidRDefault="001E4736" w:rsidP="00392788">
            <w:pPr>
              <w:spacing w:before="120" w:after="120" w:line="276" w:lineRule="auto"/>
              <w:rPr>
                <w:bCs/>
                <w:sz w:val="21"/>
                <w:szCs w:val="21"/>
              </w:rPr>
            </w:pPr>
            <w:r w:rsidRPr="00F074A5">
              <w:rPr>
                <w:bCs/>
                <w:sz w:val="21"/>
                <w:szCs w:val="21"/>
              </w:rPr>
              <w:t>$0.7</w:t>
            </w:r>
            <w:r w:rsidR="00B17172" w:rsidRPr="00F074A5">
              <w:rPr>
                <w:bCs/>
                <w:sz w:val="21"/>
                <w:szCs w:val="21"/>
              </w:rPr>
              <w:t xml:space="preserve"> million</w:t>
            </w:r>
          </w:p>
        </w:tc>
        <w:tc>
          <w:tcPr>
            <w:tcW w:w="3350" w:type="dxa"/>
            <w:shd w:val="clear" w:color="auto" w:fill="auto"/>
            <w:tcMar>
              <w:top w:w="57" w:type="dxa"/>
              <w:left w:w="57" w:type="dxa"/>
              <w:bottom w:w="57" w:type="dxa"/>
              <w:right w:w="57" w:type="dxa"/>
            </w:tcMar>
          </w:tcPr>
          <w:p w14:paraId="787EEBF9" w14:textId="6CC87B04" w:rsidR="001E4736" w:rsidRPr="00F074A5" w:rsidRDefault="001E4736" w:rsidP="00392788">
            <w:pPr>
              <w:spacing w:before="120" w:after="120" w:line="276" w:lineRule="auto"/>
              <w:rPr>
                <w:bCs/>
                <w:sz w:val="21"/>
                <w:szCs w:val="21"/>
              </w:rPr>
            </w:pPr>
            <w:r w:rsidRPr="00F074A5">
              <w:rPr>
                <w:bCs/>
                <w:sz w:val="21"/>
                <w:szCs w:val="21"/>
              </w:rPr>
              <w:t>$0.7</w:t>
            </w:r>
            <w:r w:rsidR="00B17172" w:rsidRPr="00F074A5">
              <w:rPr>
                <w:bCs/>
                <w:sz w:val="21"/>
                <w:szCs w:val="21"/>
              </w:rPr>
              <w:t xml:space="preserve"> million</w:t>
            </w:r>
          </w:p>
        </w:tc>
      </w:tr>
      <w:tr w:rsidR="00D62BA8" w:rsidRPr="00DD5584" w14:paraId="32ED1CC3" w14:textId="77777777" w:rsidTr="00392788">
        <w:trPr>
          <w:trHeight w:hRule="exact" w:val="567"/>
        </w:trPr>
        <w:tc>
          <w:tcPr>
            <w:tcW w:w="2869" w:type="dxa"/>
            <w:shd w:val="clear" w:color="auto" w:fill="auto"/>
            <w:tcMar>
              <w:top w:w="57" w:type="dxa"/>
              <w:left w:w="57" w:type="dxa"/>
              <w:bottom w:w="57" w:type="dxa"/>
              <w:right w:w="57" w:type="dxa"/>
            </w:tcMar>
            <w:hideMark/>
          </w:tcPr>
          <w:p w14:paraId="1675EF1C" w14:textId="77777777" w:rsidR="001E4736" w:rsidRPr="00F074A5" w:rsidRDefault="001E4736" w:rsidP="00392788">
            <w:pPr>
              <w:spacing w:before="120" w:after="120" w:line="276" w:lineRule="auto"/>
              <w:rPr>
                <w:bCs/>
                <w:sz w:val="21"/>
                <w:szCs w:val="21"/>
              </w:rPr>
            </w:pPr>
            <w:r w:rsidRPr="00F074A5">
              <w:rPr>
                <w:bCs/>
                <w:sz w:val="21"/>
                <w:szCs w:val="21"/>
              </w:rPr>
              <w:t>ACTORDS</w:t>
            </w:r>
          </w:p>
        </w:tc>
        <w:tc>
          <w:tcPr>
            <w:tcW w:w="4502" w:type="dxa"/>
            <w:shd w:val="clear" w:color="auto" w:fill="auto"/>
            <w:tcMar>
              <w:top w:w="57" w:type="dxa"/>
              <w:left w:w="57" w:type="dxa"/>
              <w:bottom w:w="57" w:type="dxa"/>
              <w:right w:w="57" w:type="dxa"/>
            </w:tcMar>
            <w:hideMark/>
          </w:tcPr>
          <w:p w14:paraId="4562C6A9" w14:textId="6F9DAA9A" w:rsidR="001E4736" w:rsidRPr="00F074A5" w:rsidRDefault="00242BEB" w:rsidP="00392788">
            <w:pPr>
              <w:spacing w:before="120" w:after="120" w:line="276" w:lineRule="auto"/>
              <w:rPr>
                <w:bCs/>
                <w:sz w:val="21"/>
                <w:szCs w:val="21"/>
              </w:rPr>
            </w:pPr>
            <w:r>
              <w:rPr>
                <w:bCs/>
                <w:sz w:val="21"/>
                <w:szCs w:val="21"/>
              </w:rPr>
              <w:t>–</w:t>
            </w:r>
          </w:p>
        </w:tc>
        <w:tc>
          <w:tcPr>
            <w:tcW w:w="3544" w:type="dxa"/>
            <w:shd w:val="clear" w:color="auto" w:fill="auto"/>
            <w:tcMar>
              <w:top w:w="57" w:type="dxa"/>
              <w:left w:w="57" w:type="dxa"/>
              <w:bottom w:w="57" w:type="dxa"/>
              <w:right w:w="57" w:type="dxa"/>
            </w:tcMar>
            <w:hideMark/>
          </w:tcPr>
          <w:p w14:paraId="796C11CA" w14:textId="622440DC" w:rsidR="001E4736" w:rsidRPr="00F074A5" w:rsidRDefault="001E4736" w:rsidP="00392788">
            <w:pPr>
              <w:spacing w:before="120" w:after="120" w:line="276" w:lineRule="auto"/>
              <w:rPr>
                <w:bCs/>
                <w:sz w:val="21"/>
                <w:szCs w:val="21"/>
              </w:rPr>
            </w:pPr>
            <w:r w:rsidRPr="00F074A5">
              <w:rPr>
                <w:bCs/>
                <w:sz w:val="21"/>
                <w:szCs w:val="21"/>
              </w:rPr>
              <w:t>$1.5</w:t>
            </w:r>
            <w:r w:rsidR="00B17172" w:rsidRPr="00F074A5">
              <w:rPr>
                <w:bCs/>
                <w:sz w:val="21"/>
                <w:szCs w:val="21"/>
              </w:rPr>
              <w:t xml:space="preserve"> million</w:t>
            </w:r>
          </w:p>
        </w:tc>
        <w:tc>
          <w:tcPr>
            <w:tcW w:w="3350" w:type="dxa"/>
            <w:shd w:val="clear" w:color="auto" w:fill="auto"/>
            <w:tcMar>
              <w:top w:w="57" w:type="dxa"/>
              <w:left w:w="57" w:type="dxa"/>
              <w:bottom w:w="57" w:type="dxa"/>
              <w:right w:w="57" w:type="dxa"/>
            </w:tcMar>
            <w:hideMark/>
          </w:tcPr>
          <w:p w14:paraId="41F36EC4" w14:textId="23D9343B" w:rsidR="001E4736" w:rsidRPr="00F074A5" w:rsidRDefault="001E4736" w:rsidP="00392788">
            <w:pPr>
              <w:spacing w:before="120" w:after="120" w:line="276" w:lineRule="auto"/>
              <w:rPr>
                <w:bCs/>
                <w:sz w:val="21"/>
                <w:szCs w:val="21"/>
              </w:rPr>
            </w:pPr>
            <w:r w:rsidRPr="00F074A5">
              <w:rPr>
                <w:bCs/>
                <w:sz w:val="21"/>
                <w:szCs w:val="21"/>
              </w:rPr>
              <w:t>$1.5</w:t>
            </w:r>
            <w:r w:rsidR="00B17172" w:rsidRPr="00F074A5">
              <w:rPr>
                <w:bCs/>
                <w:sz w:val="21"/>
                <w:szCs w:val="21"/>
              </w:rPr>
              <w:t xml:space="preserve"> million</w:t>
            </w:r>
          </w:p>
        </w:tc>
      </w:tr>
      <w:tr w:rsidR="00D62BA8" w:rsidRPr="00DD5584" w14:paraId="747ED104" w14:textId="77777777" w:rsidTr="00392788">
        <w:trPr>
          <w:trHeight w:hRule="exact" w:val="567"/>
        </w:trPr>
        <w:tc>
          <w:tcPr>
            <w:tcW w:w="2869" w:type="dxa"/>
            <w:shd w:val="clear" w:color="auto" w:fill="auto"/>
            <w:tcMar>
              <w:top w:w="57" w:type="dxa"/>
              <w:left w:w="57" w:type="dxa"/>
              <w:bottom w:w="57" w:type="dxa"/>
              <w:right w:w="57" w:type="dxa"/>
            </w:tcMar>
            <w:hideMark/>
          </w:tcPr>
          <w:p w14:paraId="4D752A39" w14:textId="77777777" w:rsidR="001E4736" w:rsidRPr="00F074A5" w:rsidRDefault="001E4736" w:rsidP="00392788">
            <w:pPr>
              <w:spacing w:before="120" w:after="120" w:line="276" w:lineRule="auto"/>
              <w:rPr>
                <w:bCs/>
                <w:sz w:val="21"/>
                <w:szCs w:val="21"/>
              </w:rPr>
            </w:pPr>
            <w:r w:rsidRPr="00F074A5">
              <w:rPr>
                <w:bCs/>
                <w:sz w:val="21"/>
                <w:szCs w:val="21"/>
              </w:rPr>
              <w:t>COIN</w:t>
            </w:r>
          </w:p>
        </w:tc>
        <w:tc>
          <w:tcPr>
            <w:tcW w:w="4502" w:type="dxa"/>
            <w:shd w:val="clear" w:color="auto" w:fill="auto"/>
            <w:tcMar>
              <w:top w:w="57" w:type="dxa"/>
              <w:left w:w="57" w:type="dxa"/>
              <w:bottom w:w="57" w:type="dxa"/>
              <w:right w:w="57" w:type="dxa"/>
            </w:tcMar>
            <w:hideMark/>
          </w:tcPr>
          <w:p w14:paraId="22E1AE31" w14:textId="0EA6D6E6" w:rsidR="001E4736" w:rsidRPr="00F074A5" w:rsidRDefault="00242BEB" w:rsidP="00392788">
            <w:pPr>
              <w:spacing w:before="120" w:after="120" w:line="276" w:lineRule="auto"/>
              <w:rPr>
                <w:bCs/>
                <w:sz w:val="21"/>
                <w:szCs w:val="21"/>
              </w:rPr>
            </w:pPr>
            <w:r>
              <w:rPr>
                <w:bCs/>
                <w:sz w:val="21"/>
                <w:szCs w:val="21"/>
              </w:rPr>
              <w:t>–</w:t>
            </w:r>
          </w:p>
        </w:tc>
        <w:tc>
          <w:tcPr>
            <w:tcW w:w="3544" w:type="dxa"/>
            <w:shd w:val="clear" w:color="auto" w:fill="auto"/>
            <w:tcMar>
              <w:top w:w="57" w:type="dxa"/>
              <w:left w:w="57" w:type="dxa"/>
              <w:bottom w:w="57" w:type="dxa"/>
              <w:right w:w="57" w:type="dxa"/>
            </w:tcMar>
            <w:hideMark/>
          </w:tcPr>
          <w:p w14:paraId="46E44D57" w14:textId="5EB57C05" w:rsidR="001E4736" w:rsidRPr="00F074A5" w:rsidRDefault="001E4736" w:rsidP="00392788">
            <w:pPr>
              <w:spacing w:before="120" w:after="120" w:line="276" w:lineRule="auto"/>
              <w:rPr>
                <w:bCs/>
                <w:sz w:val="21"/>
                <w:szCs w:val="21"/>
              </w:rPr>
            </w:pPr>
            <w:r w:rsidRPr="00F074A5">
              <w:rPr>
                <w:bCs/>
                <w:sz w:val="21"/>
                <w:szCs w:val="21"/>
              </w:rPr>
              <w:t xml:space="preserve"> $0.5</w:t>
            </w:r>
            <w:r w:rsidR="00B17172" w:rsidRPr="00F074A5">
              <w:rPr>
                <w:bCs/>
                <w:sz w:val="21"/>
                <w:szCs w:val="21"/>
              </w:rPr>
              <w:t xml:space="preserve"> million</w:t>
            </w:r>
          </w:p>
        </w:tc>
        <w:tc>
          <w:tcPr>
            <w:tcW w:w="3350" w:type="dxa"/>
            <w:shd w:val="clear" w:color="auto" w:fill="auto"/>
            <w:tcMar>
              <w:top w:w="57" w:type="dxa"/>
              <w:left w:w="57" w:type="dxa"/>
              <w:bottom w:w="57" w:type="dxa"/>
              <w:right w:w="57" w:type="dxa"/>
            </w:tcMar>
            <w:hideMark/>
          </w:tcPr>
          <w:p w14:paraId="3F77DDA5" w14:textId="7363BBAE" w:rsidR="001E4736" w:rsidRPr="00F074A5" w:rsidRDefault="001E4736" w:rsidP="00392788">
            <w:pPr>
              <w:spacing w:before="120" w:after="120" w:line="276" w:lineRule="auto"/>
              <w:rPr>
                <w:bCs/>
                <w:sz w:val="21"/>
                <w:szCs w:val="21"/>
              </w:rPr>
            </w:pPr>
            <w:r w:rsidRPr="00F074A5">
              <w:rPr>
                <w:bCs/>
                <w:sz w:val="21"/>
                <w:szCs w:val="21"/>
              </w:rPr>
              <w:t>$0.5</w:t>
            </w:r>
            <w:r w:rsidR="00B17172" w:rsidRPr="00F074A5">
              <w:rPr>
                <w:bCs/>
                <w:sz w:val="21"/>
                <w:szCs w:val="21"/>
              </w:rPr>
              <w:t xml:space="preserve"> million</w:t>
            </w:r>
          </w:p>
        </w:tc>
      </w:tr>
      <w:tr w:rsidR="00D62BA8" w:rsidRPr="00DD5584" w14:paraId="5576820D" w14:textId="77777777" w:rsidTr="00392788">
        <w:trPr>
          <w:trHeight w:hRule="exact" w:val="567"/>
        </w:trPr>
        <w:tc>
          <w:tcPr>
            <w:tcW w:w="2869" w:type="dxa"/>
            <w:shd w:val="clear" w:color="auto" w:fill="auto"/>
            <w:tcMar>
              <w:top w:w="57" w:type="dxa"/>
              <w:left w:w="57" w:type="dxa"/>
              <w:bottom w:w="57" w:type="dxa"/>
              <w:right w:w="57" w:type="dxa"/>
            </w:tcMar>
            <w:hideMark/>
          </w:tcPr>
          <w:p w14:paraId="40256AA2" w14:textId="77777777" w:rsidR="001E4736" w:rsidRPr="00F074A5" w:rsidRDefault="001E4736" w:rsidP="00392788">
            <w:pPr>
              <w:spacing w:before="120" w:after="120" w:line="276" w:lineRule="auto"/>
              <w:rPr>
                <w:bCs/>
                <w:sz w:val="21"/>
                <w:szCs w:val="21"/>
              </w:rPr>
            </w:pPr>
            <w:r w:rsidRPr="00F074A5">
              <w:rPr>
                <w:bCs/>
                <w:sz w:val="21"/>
                <w:szCs w:val="21"/>
              </w:rPr>
              <w:t>COSMOS</w:t>
            </w:r>
          </w:p>
        </w:tc>
        <w:tc>
          <w:tcPr>
            <w:tcW w:w="4502" w:type="dxa"/>
            <w:shd w:val="clear" w:color="auto" w:fill="auto"/>
            <w:tcMar>
              <w:top w:w="57" w:type="dxa"/>
              <w:left w:w="57" w:type="dxa"/>
              <w:bottom w:w="57" w:type="dxa"/>
              <w:right w:w="57" w:type="dxa"/>
            </w:tcMar>
            <w:hideMark/>
          </w:tcPr>
          <w:p w14:paraId="76789D25" w14:textId="318F0042" w:rsidR="001E4736" w:rsidRPr="00F074A5" w:rsidRDefault="00242BEB" w:rsidP="00392788">
            <w:pPr>
              <w:spacing w:before="120" w:after="120" w:line="276" w:lineRule="auto"/>
              <w:rPr>
                <w:bCs/>
                <w:sz w:val="21"/>
                <w:szCs w:val="21"/>
              </w:rPr>
            </w:pPr>
            <w:r>
              <w:rPr>
                <w:bCs/>
                <w:sz w:val="21"/>
                <w:szCs w:val="21"/>
              </w:rPr>
              <w:t>–</w:t>
            </w:r>
          </w:p>
        </w:tc>
        <w:tc>
          <w:tcPr>
            <w:tcW w:w="3544" w:type="dxa"/>
            <w:shd w:val="clear" w:color="auto" w:fill="auto"/>
            <w:tcMar>
              <w:top w:w="57" w:type="dxa"/>
              <w:left w:w="57" w:type="dxa"/>
              <w:bottom w:w="57" w:type="dxa"/>
              <w:right w:w="57" w:type="dxa"/>
            </w:tcMar>
            <w:hideMark/>
          </w:tcPr>
          <w:p w14:paraId="0C317B8C" w14:textId="542409AE" w:rsidR="001E4736" w:rsidRPr="00F074A5" w:rsidRDefault="001E4736" w:rsidP="00392788">
            <w:pPr>
              <w:spacing w:before="120" w:after="120" w:line="276" w:lineRule="auto"/>
              <w:rPr>
                <w:bCs/>
                <w:sz w:val="21"/>
                <w:szCs w:val="21"/>
              </w:rPr>
            </w:pPr>
            <w:r w:rsidRPr="00F074A5">
              <w:rPr>
                <w:bCs/>
                <w:sz w:val="21"/>
                <w:szCs w:val="21"/>
              </w:rPr>
              <w:t xml:space="preserve"> $0.6</w:t>
            </w:r>
            <w:r w:rsidR="00B17172" w:rsidRPr="00F074A5">
              <w:rPr>
                <w:bCs/>
                <w:sz w:val="21"/>
                <w:szCs w:val="21"/>
              </w:rPr>
              <w:t xml:space="preserve"> million</w:t>
            </w:r>
          </w:p>
        </w:tc>
        <w:tc>
          <w:tcPr>
            <w:tcW w:w="3350" w:type="dxa"/>
            <w:shd w:val="clear" w:color="auto" w:fill="auto"/>
            <w:tcMar>
              <w:top w:w="57" w:type="dxa"/>
              <w:left w:w="57" w:type="dxa"/>
              <w:bottom w:w="57" w:type="dxa"/>
              <w:right w:w="57" w:type="dxa"/>
            </w:tcMar>
            <w:hideMark/>
          </w:tcPr>
          <w:p w14:paraId="615D5AF0" w14:textId="059441A4" w:rsidR="001E4736" w:rsidRPr="00F074A5" w:rsidRDefault="001E4736" w:rsidP="00392788">
            <w:pPr>
              <w:spacing w:before="120" w:after="120" w:line="276" w:lineRule="auto"/>
              <w:rPr>
                <w:bCs/>
                <w:sz w:val="21"/>
                <w:szCs w:val="21"/>
              </w:rPr>
            </w:pPr>
            <w:r w:rsidRPr="00F074A5">
              <w:rPr>
                <w:bCs/>
                <w:sz w:val="21"/>
                <w:szCs w:val="21"/>
              </w:rPr>
              <w:t>$0.6</w:t>
            </w:r>
            <w:r w:rsidR="00B17172" w:rsidRPr="00F074A5">
              <w:rPr>
                <w:bCs/>
                <w:sz w:val="21"/>
                <w:szCs w:val="21"/>
              </w:rPr>
              <w:t xml:space="preserve"> million</w:t>
            </w:r>
          </w:p>
        </w:tc>
      </w:tr>
      <w:tr w:rsidR="00D62BA8" w:rsidRPr="00DD5584" w14:paraId="2CDD00B4" w14:textId="77777777" w:rsidTr="00392788">
        <w:trPr>
          <w:trHeight w:hRule="exact" w:val="567"/>
        </w:trPr>
        <w:tc>
          <w:tcPr>
            <w:tcW w:w="2869" w:type="dxa"/>
            <w:shd w:val="clear" w:color="auto" w:fill="auto"/>
            <w:tcMar>
              <w:top w:w="57" w:type="dxa"/>
              <w:left w:w="57" w:type="dxa"/>
              <w:bottom w:w="57" w:type="dxa"/>
              <w:right w:w="57" w:type="dxa"/>
            </w:tcMar>
            <w:hideMark/>
          </w:tcPr>
          <w:p w14:paraId="3E6816E5" w14:textId="77777777" w:rsidR="001E4736" w:rsidRPr="00F074A5" w:rsidRDefault="001E4736" w:rsidP="00392788">
            <w:pPr>
              <w:spacing w:before="120" w:after="120" w:line="276" w:lineRule="auto"/>
              <w:rPr>
                <w:bCs/>
                <w:sz w:val="21"/>
                <w:szCs w:val="21"/>
              </w:rPr>
            </w:pPr>
            <w:r w:rsidRPr="00F074A5">
              <w:rPr>
                <w:bCs/>
                <w:sz w:val="21"/>
                <w:szCs w:val="21"/>
              </w:rPr>
              <w:t>ICE</w:t>
            </w:r>
          </w:p>
        </w:tc>
        <w:tc>
          <w:tcPr>
            <w:tcW w:w="4502" w:type="dxa"/>
            <w:shd w:val="clear" w:color="auto" w:fill="auto"/>
            <w:tcMar>
              <w:top w:w="57" w:type="dxa"/>
              <w:left w:w="57" w:type="dxa"/>
              <w:bottom w:w="57" w:type="dxa"/>
              <w:right w:w="57" w:type="dxa"/>
            </w:tcMar>
            <w:hideMark/>
          </w:tcPr>
          <w:p w14:paraId="3A4337CB" w14:textId="5609C17C" w:rsidR="001E4736" w:rsidRPr="00F074A5" w:rsidRDefault="00242BEB" w:rsidP="00392788">
            <w:pPr>
              <w:spacing w:before="120" w:after="120" w:line="276" w:lineRule="auto"/>
              <w:rPr>
                <w:bCs/>
                <w:sz w:val="21"/>
                <w:szCs w:val="21"/>
              </w:rPr>
            </w:pPr>
            <w:r>
              <w:rPr>
                <w:bCs/>
                <w:sz w:val="21"/>
                <w:szCs w:val="21"/>
              </w:rPr>
              <w:t>–</w:t>
            </w:r>
          </w:p>
        </w:tc>
        <w:tc>
          <w:tcPr>
            <w:tcW w:w="3544" w:type="dxa"/>
            <w:shd w:val="clear" w:color="auto" w:fill="auto"/>
            <w:tcMar>
              <w:top w:w="57" w:type="dxa"/>
              <w:left w:w="57" w:type="dxa"/>
              <w:bottom w:w="57" w:type="dxa"/>
              <w:right w:w="57" w:type="dxa"/>
            </w:tcMar>
            <w:hideMark/>
          </w:tcPr>
          <w:p w14:paraId="3FC0301A" w14:textId="23A6D37F" w:rsidR="001E4736" w:rsidRPr="00F074A5" w:rsidRDefault="001E4736" w:rsidP="00392788">
            <w:pPr>
              <w:spacing w:before="120" w:after="120" w:line="276" w:lineRule="auto"/>
              <w:rPr>
                <w:bCs/>
                <w:sz w:val="21"/>
                <w:szCs w:val="21"/>
              </w:rPr>
            </w:pPr>
            <w:r w:rsidRPr="00F074A5">
              <w:rPr>
                <w:bCs/>
                <w:sz w:val="21"/>
                <w:szCs w:val="21"/>
              </w:rPr>
              <w:t xml:space="preserve"> $0.4</w:t>
            </w:r>
            <w:r w:rsidR="00B17172" w:rsidRPr="00F074A5">
              <w:rPr>
                <w:bCs/>
                <w:sz w:val="21"/>
                <w:szCs w:val="21"/>
              </w:rPr>
              <w:t xml:space="preserve"> million</w:t>
            </w:r>
          </w:p>
        </w:tc>
        <w:tc>
          <w:tcPr>
            <w:tcW w:w="3350" w:type="dxa"/>
            <w:shd w:val="clear" w:color="auto" w:fill="auto"/>
            <w:tcMar>
              <w:top w:w="57" w:type="dxa"/>
              <w:left w:w="57" w:type="dxa"/>
              <w:bottom w:w="57" w:type="dxa"/>
              <w:right w:w="57" w:type="dxa"/>
            </w:tcMar>
            <w:hideMark/>
          </w:tcPr>
          <w:p w14:paraId="4B02289E" w14:textId="520C7B57" w:rsidR="001E4736" w:rsidRPr="00F074A5" w:rsidRDefault="001E4736" w:rsidP="00392788">
            <w:pPr>
              <w:spacing w:before="120" w:after="120" w:line="276" w:lineRule="auto"/>
              <w:rPr>
                <w:bCs/>
                <w:sz w:val="21"/>
                <w:szCs w:val="21"/>
              </w:rPr>
            </w:pPr>
            <w:r w:rsidRPr="00F074A5">
              <w:rPr>
                <w:bCs/>
                <w:sz w:val="21"/>
                <w:szCs w:val="21"/>
              </w:rPr>
              <w:t>$0.4</w:t>
            </w:r>
            <w:r w:rsidR="00B17172" w:rsidRPr="00F074A5">
              <w:rPr>
                <w:bCs/>
                <w:sz w:val="21"/>
                <w:szCs w:val="21"/>
              </w:rPr>
              <w:t xml:space="preserve"> million</w:t>
            </w:r>
          </w:p>
        </w:tc>
      </w:tr>
      <w:tr w:rsidR="00D62BA8" w:rsidRPr="00DD5584" w14:paraId="382B28A1" w14:textId="77777777" w:rsidTr="00392788">
        <w:trPr>
          <w:trHeight w:hRule="exact" w:val="567"/>
        </w:trPr>
        <w:tc>
          <w:tcPr>
            <w:tcW w:w="2869" w:type="dxa"/>
            <w:shd w:val="clear" w:color="auto" w:fill="auto"/>
            <w:tcMar>
              <w:top w:w="57" w:type="dxa"/>
              <w:left w:w="57" w:type="dxa"/>
              <w:bottom w:w="57" w:type="dxa"/>
              <w:right w:w="57" w:type="dxa"/>
            </w:tcMar>
            <w:hideMark/>
          </w:tcPr>
          <w:p w14:paraId="3570C1EC" w14:textId="77777777" w:rsidR="001E4736" w:rsidRPr="00F074A5" w:rsidRDefault="001E4736" w:rsidP="00392788">
            <w:pPr>
              <w:spacing w:before="120" w:after="120" w:line="276" w:lineRule="auto"/>
              <w:rPr>
                <w:bCs/>
                <w:sz w:val="21"/>
                <w:szCs w:val="21"/>
              </w:rPr>
            </w:pPr>
            <w:r w:rsidRPr="00F074A5">
              <w:rPr>
                <w:bCs/>
                <w:sz w:val="21"/>
                <w:szCs w:val="21"/>
              </w:rPr>
              <w:t>M@NGO</w:t>
            </w:r>
          </w:p>
        </w:tc>
        <w:tc>
          <w:tcPr>
            <w:tcW w:w="4502" w:type="dxa"/>
            <w:shd w:val="clear" w:color="auto" w:fill="auto"/>
            <w:tcMar>
              <w:top w:w="57" w:type="dxa"/>
              <w:left w:w="57" w:type="dxa"/>
              <w:bottom w:w="57" w:type="dxa"/>
              <w:right w:w="57" w:type="dxa"/>
            </w:tcMar>
            <w:hideMark/>
          </w:tcPr>
          <w:p w14:paraId="41CC4DFB" w14:textId="4F50A643" w:rsidR="001E4736" w:rsidRPr="00F074A5" w:rsidRDefault="00242BEB" w:rsidP="00392788">
            <w:pPr>
              <w:spacing w:before="120" w:after="120" w:line="276" w:lineRule="auto"/>
              <w:rPr>
                <w:bCs/>
                <w:sz w:val="21"/>
                <w:szCs w:val="21"/>
              </w:rPr>
            </w:pPr>
            <w:r>
              <w:rPr>
                <w:bCs/>
                <w:sz w:val="21"/>
                <w:szCs w:val="21"/>
              </w:rPr>
              <w:t>–</w:t>
            </w:r>
          </w:p>
        </w:tc>
        <w:tc>
          <w:tcPr>
            <w:tcW w:w="3544" w:type="dxa"/>
            <w:shd w:val="clear" w:color="auto" w:fill="auto"/>
            <w:tcMar>
              <w:top w:w="57" w:type="dxa"/>
              <w:left w:w="57" w:type="dxa"/>
              <w:bottom w:w="57" w:type="dxa"/>
              <w:right w:w="57" w:type="dxa"/>
            </w:tcMar>
            <w:hideMark/>
          </w:tcPr>
          <w:p w14:paraId="55D86874" w14:textId="43E48808" w:rsidR="001E4736" w:rsidRPr="00F074A5" w:rsidRDefault="001E4736" w:rsidP="00392788">
            <w:pPr>
              <w:spacing w:before="120" w:after="120" w:line="276" w:lineRule="auto"/>
              <w:rPr>
                <w:bCs/>
                <w:sz w:val="21"/>
                <w:szCs w:val="21"/>
              </w:rPr>
            </w:pPr>
            <w:r w:rsidRPr="00F074A5">
              <w:rPr>
                <w:bCs/>
                <w:sz w:val="21"/>
                <w:szCs w:val="21"/>
              </w:rPr>
              <w:t xml:space="preserve"> $0.8</w:t>
            </w:r>
            <w:r w:rsidR="00B17172" w:rsidRPr="00F074A5">
              <w:rPr>
                <w:bCs/>
                <w:sz w:val="21"/>
                <w:szCs w:val="21"/>
              </w:rPr>
              <w:t xml:space="preserve"> million</w:t>
            </w:r>
          </w:p>
        </w:tc>
        <w:tc>
          <w:tcPr>
            <w:tcW w:w="3350" w:type="dxa"/>
            <w:shd w:val="clear" w:color="auto" w:fill="auto"/>
            <w:tcMar>
              <w:top w:w="57" w:type="dxa"/>
              <w:left w:w="57" w:type="dxa"/>
              <w:bottom w:w="57" w:type="dxa"/>
              <w:right w:w="57" w:type="dxa"/>
            </w:tcMar>
            <w:hideMark/>
          </w:tcPr>
          <w:p w14:paraId="6A2C14E9" w14:textId="31436310" w:rsidR="001E4736" w:rsidRPr="00F074A5" w:rsidRDefault="001E4736" w:rsidP="00392788">
            <w:pPr>
              <w:spacing w:before="120" w:after="120" w:line="276" w:lineRule="auto"/>
              <w:rPr>
                <w:bCs/>
                <w:sz w:val="21"/>
                <w:szCs w:val="21"/>
              </w:rPr>
            </w:pPr>
            <w:r w:rsidRPr="00F074A5">
              <w:rPr>
                <w:bCs/>
                <w:sz w:val="21"/>
                <w:szCs w:val="21"/>
              </w:rPr>
              <w:t>$0.8</w:t>
            </w:r>
            <w:r w:rsidR="00B17172" w:rsidRPr="00F074A5">
              <w:rPr>
                <w:bCs/>
                <w:sz w:val="21"/>
                <w:szCs w:val="21"/>
              </w:rPr>
              <w:t xml:space="preserve"> million</w:t>
            </w:r>
          </w:p>
        </w:tc>
      </w:tr>
      <w:tr w:rsidR="00D62BA8" w:rsidRPr="00DD5584" w14:paraId="0B13FEAB" w14:textId="77777777" w:rsidTr="00392788">
        <w:trPr>
          <w:trHeight w:hRule="exact" w:val="567"/>
        </w:trPr>
        <w:tc>
          <w:tcPr>
            <w:tcW w:w="2869" w:type="dxa"/>
            <w:shd w:val="clear" w:color="auto" w:fill="auto"/>
            <w:tcMar>
              <w:top w:w="57" w:type="dxa"/>
              <w:left w:w="57" w:type="dxa"/>
              <w:bottom w:w="57" w:type="dxa"/>
              <w:right w:w="57" w:type="dxa"/>
            </w:tcMar>
            <w:hideMark/>
          </w:tcPr>
          <w:p w14:paraId="6AC2773C" w14:textId="77777777" w:rsidR="001E4736" w:rsidRPr="00F074A5" w:rsidRDefault="001E4736" w:rsidP="00392788">
            <w:pPr>
              <w:spacing w:before="120" w:after="120" w:line="276" w:lineRule="auto"/>
              <w:rPr>
                <w:bCs/>
                <w:sz w:val="21"/>
                <w:szCs w:val="21"/>
              </w:rPr>
            </w:pPr>
            <w:r w:rsidRPr="00F074A5">
              <w:rPr>
                <w:bCs/>
                <w:sz w:val="21"/>
                <w:szCs w:val="21"/>
              </w:rPr>
              <w:t>MAP</w:t>
            </w:r>
          </w:p>
        </w:tc>
        <w:tc>
          <w:tcPr>
            <w:tcW w:w="4502" w:type="dxa"/>
            <w:shd w:val="clear" w:color="auto" w:fill="auto"/>
            <w:tcMar>
              <w:top w:w="57" w:type="dxa"/>
              <w:left w:w="57" w:type="dxa"/>
              <w:bottom w:w="57" w:type="dxa"/>
              <w:right w:w="57" w:type="dxa"/>
            </w:tcMar>
            <w:hideMark/>
          </w:tcPr>
          <w:p w14:paraId="41653554" w14:textId="6407279D" w:rsidR="001E4736" w:rsidRPr="00F074A5" w:rsidRDefault="00242BEB" w:rsidP="00392788">
            <w:pPr>
              <w:spacing w:before="120" w:after="120" w:line="276" w:lineRule="auto"/>
              <w:rPr>
                <w:bCs/>
                <w:sz w:val="21"/>
                <w:szCs w:val="21"/>
              </w:rPr>
            </w:pPr>
            <w:r>
              <w:rPr>
                <w:bCs/>
                <w:sz w:val="21"/>
                <w:szCs w:val="21"/>
              </w:rPr>
              <w:t>–</w:t>
            </w:r>
          </w:p>
        </w:tc>
        <w:tc>
          <w:tcPr>
            <w:tcW w:w="3544" w:type="dxa"/>
            <w:shd w:val="clear" w:color="auto" w:fill="auto"/>
            <w:tcMar>
              <w:top w:w="57" w:type="dxa"/>
              <w:left w:w="57" w:type="dxa"/>
              <w:bottom w:w="57" w:type="dxa"/>
              <w:right w:w="57" w:type="dxa"/>
            </w:tcMar>
            <w:hideMark/>
          </w:tcPr>
          <w:p w14:paraId="62BBAD02" w14:textId="013C3395" w:rsidR="001E4736" w:rsidRPr="00F074A5" w:rsidRDefault="001E4736" w:rsidP="00392788">
            <w:pPr>
              <w:spacing w:before="120" w:after="120" w:line="276" w:lineRule="auto"/>
              <w:rPr>
                <w:bCs/>
                <w:sz w:val="21"/>
                <w:szCs w:val="21"/>
              </w:rPr>
            </w:pPr>
            <w:r w:rsidRPr="00F074A5">
              <w:rPr>
                <w:bCs/>
                <w:sz w:val="21"/>
                <w:szCs w:val="21"/>
              </w:rPr>
              <w:t xml:space="preserve"> $0.8</w:t>
            </w:r>
            <w:r w:rsidR="00B17172" w:rsidRPr="00F074A5">
              <w:rPr>
                <w:bCs/>
                <w:sz w:val="21"/>
                <w:szCs w:val="21"/>
              </w:rPr>
              <w:t xml:space="preserve"> million</w:t>
            </w:r>
          </w:p>
        </w:tc>
        <w:tc>
          <w:tcPr>
            <w:tcW w:w="3350" w:type="dxa"/>
            <w:shd w:val="clear" w:color="auto" w:fill="auto"/>
            <w:tcMar>
              <w:top w:w="57" w:type="dxa"/>
              <w:left w:w="57" w:type="dxa"/>
              <w:bottom w:w="57" w:type="dxa"/>
              <w:right w:w="57" w:type="dxa"/>
            </w:tcMar>
            <w:hideMark/>
          </w:tcPr>
          <w:p w14:paraId="54E9093B" w14:textId="7D939BA4" w:rsidR="001E4736" w:rsidRPr="00F074A5" w:rsidRDefault="001E4736" w:rsidP="00392788">
            <w:pPr>
              <w:spacing w:before="120" w:after="120" w:line="276" w:lineRule="auto"/>
              <w:rPr>
                <w:bCs/>
                <w:sz w:val="21"/>
                <w:szCs w:val="21"/>
              </w:rPr>
            </w:pPr>
            <w:r w:rsidRPr="00F074A5">
              <w:rPr>
                <w:bCs/>
                <w:sz w:val="21"/>
                <w:szCs w:val="21"/>
              </w:rPr>
              <w:t>$0.8</w:t>
            </w:r>
            <w:r w:rsidR="00B17172" w:rsidRPr="00F074A5">
              <w:rPr>
                <w:bCs/>
                <w:sz w:val="21"/>
                <w:szCs w:val="21"/>
              </w:rPr>
              <w:t xml:space="preserve"> million</w:t>
            </w:r>
          </w:p>
        </w:tc>
      </w:tr>
      <w:tr w:rsidR="00D62BA8" w:rsidRPr="00DD5584" w14:paraId="1E03A155" w14:textId="77777777" w:rsidTr="00392788">
        <w:trPr>
          <w:trHeight w:hRule="exact" w:val="567"/>
        </w:trPr>
        <w:tc>
          <w:tcPr>
            <w:tcW w:w="2869" w:type="dxa"/>
            <w:shd w:val="clear" w:color="auto" w:fill="auto"/>
            <w:tcMar>
              <w:top w:w="57" w:type="dxa"/>
              <w:left w:w="57" w:type="dxa"/>
              <w:bottom w:w="57" w:type="dxa"/>
              <w:right w:w="57" w:type="dxa"/>
            </w:tcMar>
          </w:tcPr>
          <w:p w14:paraId="191D9E9F" w14:textId="77777777" w:rsidR="001E4736" w:rsidRPr="00F074A5" w:rsidRDefault="001E4736" w:rsidP="00392788">
            <w:pPr>
              <w:spacing w:before="120" w:after="120" w:line="276" w:lineRule="auto"/>
              <w:rPr>
                <w:bCs/>
                <w:sz w:val="21"/>
                <w:szCs w:val="21"/>
              </w:rPr>
            </w:pPr>
            <w:r w:rsidRPr="00F074A5">
              <w:rPr>
                <w:bCs/>
                <w:sz w:val="21"/>
                <w:szCs w:val="21"/>
              </w:rPr>
              <w:lastRenderedPageBreak/>
              <w:t>PPROMT</w:t>
            </w:r>
          </w:p>
        </w:tc>
        <w:tc>
          <w:tcPr>
            <w:tcW w:w="4502" w:type="dxa"/>
            <w:shd w:val="clear" w:color="auto" w:fill="auto"/>
            <w:tcMar>
              <w:top w:w="57" w:type="dxa"/>
              <w:left w:w="57" w:type="dxa"/>
              <w:bottom w:w="57" w:type="dxa"/>
              <w:right w:w="57" w:type="dxa"/>
            </w:tcMar>
          </w:tcPr>
          <w:p w14:paraId="205AEB97" w14:textId="77777777" w:rsidR="001E4736" w:rsidRPr="00F074A5" w:rsidRDefault="001E4736" w:rsidP="00392788">
            <w:pPr>
              <w:spacing w:before="120" w:after="120" w:line="276" w:lineRule="auto"/>
              <w:rPr>
                <w:bCs/>
                <w:sz w:val="21"/>
                <w:szCs w:val="21"/>
              </w:rPr>
            </w:pPr>
            <w:r w:rsidRPr="00F074A5">
              <w:rPr>
                <w:bCs/>
                <w:sz w:val="21"/>
                <w:szCs w:val="21"/>
              </w:rPr>
              <w:t>University of Sydney</w:t>
            </w:r>
          </w:p>
        </w:tc>
        <w:tc>
          <w:tcPr>
            <w:tcW w:w="3544" w:type="dxa"/>
            <w:shd w:val="clear" w:color="auto" w:fill="auto"/>
            <w:tcMar>
              <w:top w:w="57" w:type="dxa"/>
              <w:left w:w="57" w:type="dxa"/>
              <w:bottom w:w="57" w:type="dxa"/>
              <w:right w:w="57" w:type="dxa"/>
            </w:tcMar>
          </w:tcPr>
          <w:p w14:paraId="5B0CD1AD" w14:textId="22C6CB7B" w:rsidR="001E4736" w:rsidRPr="00F074A5" w:rsidRDefault="001E4736" w:rsidP="00392788">
            <w:pPr>
              <w:spacing w:before="120" w:after="120" w:line="276" w:lineRule="auto"/>
              <w:rPr>
                <w:bCs/>
                <w:sz w:val="21"/>
                <w:szCs w:val="21"/>
              </w:rPr>
            </w:pPr>
            <w:r w:rsidRPr="00F074A5">
              <w:rPr>
                <w:bCs/>
                <w:sz w:val="21"/>
                <w:szCs w:val="21"/>
              </w:rPr>
              <w:t>$1.6</w:t>
            </w:r>
            <w:r w:rsidR="00B17172" w:rsidRPr="00F074A5">
              <w:rPr>
                <w:bCs/>
                <w:sz w:val="21"/>
                <w:szCs w:val="21"/>
              </w:rPr>
              <w:t xml:space="preserve"> million</w:t>
            </w:r>
          </w:p>
        </w:tc>
        <w:tc>
          <w:tcPr>
            <w:tcW w:w="3350" w:type="dxa"/>
            <w:shd w:val="clear" w:color="auto" w:fill="auto"/>
            <w:tcMar>
              <w:top w:w="57" w:type="dxa"/>
              <w:left w:w="57" w:type="dxa"/>
              <w:bottom w:w="57" w:type="dxa"/>
              <w:right w:w="57" w:type="dxa"/>
            </w:tcMar>
          </w:tcPr>
          <w:p w14:paraId="15D4C12D" w14:textId="3F78F816" w:rsidR="001E4736" w:rsidRPr="00F074A5" w:rsidRDefault="001E4736" w:rsidP="00392788">
            <w:pPr>
              <w:spacing w:before="120" w:after="120" w:line="276" w:lineRule="auto"/>
              <w:rPr>
                <w:bCs/>
                <w:sz w:val="21"/>
                <w:szCs w:val="21"/>
              </w:rPr>
            </w:pPr>
            <w:r w:rsidRPr="00F074A5">
              <w:rPr>
                <w:bCs/>
                <w:sz w:val="21"/>
                <w:szCs w:val="21"/>
              </w:rPr>
              <w:t>$1.8</w:t>
            </w:r>
            <w:r w:rsidR="00B17172" w:rsidRPr="00F074A5">
              <w:rPr>
                <w:bCs/>
                <w:sz w:val="21"/>
                <w:szCs w:val="21"/>
              </w:rPr>
              <w:t xml:space="preserve"> million</w:t>
            </w:r>
          </w:p>
        </w:tc>
      </w:tr>
      <w:tr w:rsidR="00D62BA8" w:rsidRPr="00DD5584" w14:paraId="449EB063" w14:textId="77777777" w:rsidTr="00392788">
        <w:trPr>
          <w:trHeight w:hRule="exact" w:val="567"/>
        </w:trPr>
        <w:tc>
          <w:tcPr>
            <w:tcW w:w="2869" w:type="dxa"/>
            <w:shd w:val="clear" w:color="auto" w:fill="auto"/>
            <w:tcMar>
              <w:top w:w="57" w:type="dxa"/>
              <w:left w:w="57" w:type="dxa"/>
              <w:bottom w:w="57" w:type="dxa"/>
              <w:right w:w="57" w:type="dxa"/>
            </w:tcMar>
            <w:hideMark/>
          </w:tcPr>
          <w:p w14:paraId="0C510662" w14:textId="77777777" w:rsidR="001E4736" w:rsidRPr="00F074A5" w:rsidRDefault="001E4736" w:rsidP="00392788">
            <w:pPr>
              <w:spacing w:before="120" w:after="120" w:line="276" w:lineRule="auto"/>
              <w:rPr>
                <w:bCs/>
                <w:sz w:val="21"/>
                <w:szCs w:val="21"/>
              </w:rPr>
            </w:pPr>
            <w:r w:rsidRPr="00F074A5">
              <w:rPr>
                <w:bCs/>
                <w:sz w:val="21"/>
                <w:szCs w:val="21"/>
              </w:rPr>
              <w:t>VIBES+</w:t>
            </w:r>
          </w:p>
        </w:tc>
        <w:tc>
          <w:tcPr>
            <w:tcW w:w="4502" w:type="dxa"/>
            <w:shd w:val="clear" w:color="auto" w:fill="auto"/>
            <w:tcMar>
              <w:top w:w="57" w:type="dxa"/>
              <w:left w:w="57" w:type="dxa"/>
              <w:bottom w:w="57" w:type="dxa"/>
              <w:right w:w="57" w:type="dxa"/>
            </w:tcMar>
            <w:hideMark/>
          </w:tcPr>
          <w:p w14:paraId="1B6EA28A" w14:textId="77777777" w:rsidR="001E4736" w:rsidRPr="00F074A5" w:rsidRDefault="001E4736" w:rsidP="00392788">
            <w:pPr>
              <w:spacing w:before="120" w:after="120" w:line="276" w:lineRule="auto"/>
              <w:rPr>
                <w:bCs/>
                <w:sz w:val="21"/>
                <w:szCs w:val="21"/>
              </w:rPr>
            </w:pPr>
            <w:r w:rsidRPr="00F074A5">
              <w:rPr>
                <w:bCs/>
                <w:sz w:val="21"/>
                <w:szCs w:val="21"/>
              </w:rPr>
              <w:t>Cerebral Palsy Foundation</w:t>
            </w:r>
          </w:p>
        </w:tc>
        <w:tc>
          <w:tcPr>
            <w:tcW w:w="3544" w:type="dxa"/>
            <w:shd w:val="clear" w:color="auto" w:fill="auto"/>
            <w:tcMar>
              <w:top w:w="57" w:type="dxa"/>
              <w:left w:w="57" w:type="dxa"/>
              <w:bottom w:w="57" w:type="dxa"/>
              <w:right w:w="57" w:type="dxa"/>
            </w:tcMar>
            <w:hideMark/>
          </w:tcPr>
          <w:p w14:paraId="7E5E3FCD" w14:textId="1ED24BFF" w:rsidR="001E4736" w:rsidRPr="00F074A5" w:rsidRDefault="001E4736" w:rsidP="00392788">
            <w:pPr>
              <w:spacing w:before="120" w:after="120" w:line="276" w:lineRule="auto"/>
              <w:rPr>
                <w:bCs/>
                <w:sz w:val="21"/>
                <w:szCs w:val="21"/>
              </w:rPr>
            </w:pPr>
            <w:r w:rsidRPr="00F074A5">
              <w:rPr>
                <w:bCs/>
                <w:sz w:val="21"/>
                <w:szCs w:val="21"/>
              </w:rPr>
              <w:t xml:space="preserve"> $0.6</w:t>
            </w:r>
            <w:r w:rsidR="00B17172" w:rsidRPr="00F074A5">
              <w:rPr>
                <w:bCs/>
                <w:sz w:val="21"/>
                <w:szCs w:val="21"/>
              </w:rPr>
              <w:t xml:space="preserve"> million</w:t>
            </w:r>
          </w:p>
        </w:tc>
        <w:tc>
          <w:tcPr>
            <w:tcW w:w="3350" w:type="dxa"/>
            <w:shd w:val="clear" w:color="auto" w:fill="auto"/>
            <w:tcMar>
              <w:top w:w="57" w:type="dxa"/>
              <w:left w:w="57" w:type="dxa"/>
              <w:bottom w:w="57" w:type="dxa"/>
              <w:right w:w="57" w:type="dxa"/>
            </w:tcMar>
            <w:hideMark/>
          </w:tcPr>
          <w:p w14:paraId="00C29A1B" w14:textId="04BA2D9D" w:rsidR="001E4736" w:rsidRPr="00F074A5" w:rsidRDefault="001E4736" w:rsidP="00392788">
            <w:pPr>
              <w:spacing w:before="120" w:after="120" w:line="276" w:lineRule="auto"/>
              <w:rPr>
                <w:bCs/>
                <w:sz w:val="21"/>
                <w:szCs w:val="21"/>
              </w:rPr>
            </w:pPr>
            <w:r w:rsidRPr="00F074A5">
              <w:rPr>
                <w:bCs/>
                <w:sz w:val="21"/>
                <w:szCs w:val="21"/>
              </w:rPr>
              <w:t>$0.7</w:t>
            </w:r>
            <w:r w:rsidR="00B17172" w:rsidRPr="00F074A5">
              <w:rPr>
                <w:bCs/>
                <w:sz w:val="21"/>
                <w:szCs w:val="21"/>
              </w:rPr>
              <w:t xml:space="preserve"> million</w:t>
            </w:r>
          </w:p>
        </w:tc>
      </w:tr>
      <w:tr w:rsidR="00D62BA8" w:rsidRPr="00DD5584" w14:paraId="17CE6599" w14:textId="77777777" w:rsidTr="00392788">
        <w:trPr>
          <w:trHeight w:hRule="exact" w:val="567"/>
        </w:trPr>
        <w:tc>
          <w:tcPr>
            <w:tcW w:w="10915" w:type="dxa"/>
            <w:gridSpan w:val="3"/>
            <w:shd w:val="clear" w:color="auto" w:fill="2F5496"/>
            <w:tcMar>
              <w:top w:w="57" w:type="dxa"/>
              <w:left w:w="57" w:type="dxa"/>
              <w:bottom w:w="57" w:type="dxa"/>
              <w:right w:w="57" w:type="dxa"/>
            </w:tcMar>
          </w:tcPr>
          <w:p w14:paraId="53D6F5F2" w14:textId="0187929F" w:rsidR="00AB7B28" w:rsidRPr="00F074A5" w:rsidRDefault="00AB7B28" w:rsidP="00352327">
            <w:pPr>
              <w:spacing w:after="120" w:line="20" w:lineRule="atLeast"/>
              <w:rPr>
                <w:bCs/>
                <w:color w:val="FFFFFF" w:themeColor="background1"/>
                <w:sz w:val="21"/>
                <w:szCs w:val="21"/>
              </w:rPr>
            </w:pPr>
            <w:r w:rsidRPr="00F074A5">
              <w:rPr>
                <w:bCs/>
                <w:color w:val="FFFFFF" w:themeColor="background1"/>
                <w:sz w:val="21"/>
                <w:szCs w:val="21"/>
              </w:rPr>
              <w:t xml:space="preserve">Total estimated </w:t>
            </w:r>
            <w:r w:rsidR="009860E0" w:rsidRPr="00F074A5">
              <w:rPr>
                <w:bCs/>
                <w:color w:val="FFFFFF" w:themeColor="background1"/>
                <w:sz w:val="21"/>
                <w:szCs w:val="21"/>
              </w:rPr>
              <w:t xml:space="preserve">funding for </w:t>
            </w:r>
            <w:r w:rsidRPr="00F074A5">
              <w:rPr>
                <w:bCs/>
                <w:color w:val="FFFFFF" w:themeColor="background1"/>
                <w:sz w:val="21"/>
                <w:szCs w:val="21"/>
              </w:rPr>
              <w:t>all studies 2004</w:t>
            </w:r>
            <w:r w:rsidR="00242BEB">
              <w:rPr>
                <w:bCs/>
                <w:color w:val="FFFFFF" w:themeColor="background1"/>
                <w:sz w:val="21"/>
                <w:szCs w:val="21"/>
              </w:rPr>
              <w:t>–</w:t>
            </w:r>
            <w:r w:rsidRPr="00F074A5">
              <w:rPr>
                <w:bCs/>
                <w:color w:val="FFFFFF" w:themeColor="background1"/>
                <w:sz w:val="21"/>
                <w:szCs w:val="21"/>
              </w:rPr>
              <w:t>14</w:t>
            </w:r>
            <w:r w:rsidRPr="00F074A5">
              <w:rPr>
                <w:rStyle w:val="FootnoteReference"/>
                <w:bCs/>
                <w:color w:val="FFFFFF" w:themeColor="background1"/>
                <w:sz w:val="21"/>
                <w:szCs w:val="21"/>
              </w:rPr>
              <w:footnoteReference w:id="37"/>
            </w:r>
          </w:p>
        </w:tc>
        <w:tc>
          <w:tcPr>
            <w:tcW w:w="3350" w:type="dxa"/>
            <w:shd w:val="clear" w:color="auto" w:fill="2F5496"/>
            <w:tcMar>
              <w:top w:w="57" w:type="dxa"/>
              <w:left w:w="57" w:type="dxa"/>
              <w:bottom w:w="57" w:type="dxa"/>
              <w:right w:w="57" w:type="dxa"/>
            </w:tcMar>
          </w:tcPr>
          <w:p w14:paraId="78A61DB3" w14:textId="77777777" w:rsidR="00AB7B28" w:rsidRPr="00F074A5" w:rsidRDefault="00AB7B28" w:rsidP="00352327">
            <w:pPr>
              <w:spacing w:after="120" w:line="20" w:lineRule="atLeast"/>
              <w:rPr>
                <w:bCs/>
                <w:color w:val="FFFFFF" w:themeColor="background1"/>
                <w:sz w:val="21"/>
                <w:szCs w:val="21"/>
              </w:rPr>
            </w:pPr>
            <w:r w:rsidRPr="00F074A5">
              <w:rPr>
                <w:bCs/>
                <w:color w:val="FFFFFF" w:themeColor="background1"/>
                <w:sz w:val="21"/>
                <w:szCs w:val="21"/>
              </w:rPr>
              <w:t>$131 million</w:t>
            </w:r>
          </w:p>
        </w:tc>
      </w:tr>
    </w:tbl>
    <w:p w14:paraId="0F13382B" w14:textId="03FCB1AE" w:rsidR="008145CB" w:rsidRPr="00392788" w:rsidRDefault="008145CB" w:rsidP="00392788">
      <w:pPr>
        <w:rPr>
          <w:sz w:val="18"/>
          <w:szCs w:val="16"/>
        </w:rPr>
      </w:pPr>
      <w:r>
        <w:rPr>
          <w:sz w:val="18"/>
          <w:szCs w:val="16"/>
        </w:rPr>
        <w:t xml:space="preserve">   </w:t>
      </w:r>
      <w:r w:rsidR="00744B29" w:rsidRPr="00D67E9A">
        <w:rPr>
          <w:sz w:val="18"/>
          <w:szCs w:val="16"/>
        </w:rPr>
        <w:t>– means non-existent or not stated in the Profiling Networks Project or trial manuscript</w:t>
      </w:r>
    </w:p>
    <w:p w14:paraId="6A274A19" w14:textId="3F4A15F8" w:rsidR="00AB7B28" w:rsidRDefault="00F64140" w:rsidP="00F64140">
      <w:pPr>
        <w:pStyle w:val="Caption"/>
      </w:pPr>
      <w:bookmarkStart w:id="235" w:name="_Toc479177418"/>
      <w:r>
        <w:t xml:space="preserve">Appendix A Table </w:t>
      </w:r>
      <w:fldSimple w:instr=" SEQ Appendix_A_Table \* ARABIC ">
        <w:r w:rsidR="007B3054">
          <w:rPr>
            <w:noProof/>
          </w:rPr>
          <w:t>8</w:t>
        </w:r>
      </w:fldSimple>
      <w:r w:rsidR="00E25849">
        <w:t>. IMPACT t</w:t>
      </w:r>
      <w:r>
        <w:t>rial benefits</w:t>
      </w:r>
      <w:bookmarkEnd w:id="235"/>
    </w:p>
    <w:tbl>
      <w:tblPr>
        <w:tblW w:w="14261" w:type="dxa"/>
        <w:tblInd w:w="14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CellMar>
          <w:left w:w="0" w:type="dxa"/>
          <w:right w:w="0" w:type="dxa"/>
        </w:tblCellMar>
        <w:tblLook w:val="0420" w:firstRow="1" w:lastRow="0" w:firstColumn="0" w:lastColumn="0" w:noHBand="0" w:noVBand="1"/>
      </w:tblPr>
      <w:tblGrid>
        <w:gridCol w:w="1753"/>
        <w:gridCol w:w="3569"/>
        <w:gridCol w:w="2554"/>
        <w:gridCol w:w="3023"/>
        <w:gridCol w:w="1488"/>
        <w:gridCol w:w="1874"/>
      </w:tblGrid>
      <w:tr w:rsidR="00E25849" w:rsidRPr="00DD5584" w14:paraId="7D4DAEB4" w14:textId="77777777" w:rsidTr="00392788">
        <w:trPr>
          <w:trHeight w:val="855"/>
          <w:tblHeader/>
        </w:trPr>
        <w:tc>
          <w:tcPr>
            <w:tcW w:w="175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F5496" w:themeFill="accent5" w:themeFillShade="BF"/>
            <w:tcMar>
              <w:top w:w="57" w:type="dxa"/>
              <w:left w:w="57" w:type="dxa"/>
              <w:bottom w:w="57" w:type="dxa"/>
              <w:right w:w="57" w:type="dxa"/>
            </w:tcMar>
            <w:vAlign w:val="bottom"/>
          </w:tcPr>
          <w:p w14:paraId="7614584A" w14:textId="6F3531E8" w:rsidR="00004DA9" w:rsidRPr="00392788" w:rsidRDefault="00004DA9" w:rsidP="00392788">
            <w:pPr>
              <w:spacing w:after="120" w:line="276" w:lineRule="auto"/>
              <w:rPr>
                <w:b/>
                <w:bCs/>
                <w:color w:val="FFFFFF" w:themeColor="background1"/>
                <w:sz w:val="21"/>
                <w:szCs w:val="21"/>
              </w:rPr>
            </w:pPr>
            <w:r w:rsidRPr="00392788">
              <w:rPr>
                <w:b/>
                <w:bCs/>
                <w:color w:val="FFFFFF" w:themeColor="background1"/>
                <w:sz w:val="21"/>
                <w:szCs w:val="21"/>
              </w:rPr>
              <w:t>Study</w:t>
            </w:r>
          </w:p>
        </w:tc>
        <w:tc>
          <w:tcPr>
            <w:tcW w:w="3569"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F5496" w:themeFill="accent5" w:themeFillShade="BF"/>
            <w:tcMar>
              <w:top w:w="57" w:type="dxa"/>
              <w:left w:w="57" w:type="dxa"/>
              <w:bottom w:w="57" w:type="dxa"/>
              <w:right w:w="57" w:type="dxa"/>
            </w:tcMar>
            <w:vAlign w:val="bottom"/>
          </w:tcPr>
          <w:p w14:paraId="058C1037" w14:textId="66C876BB" w:rsidR="00004DA9" w:rsidRPr="00392788" w:rsidRDefault="00004DA9" w:rsidP="00392788">
            <w:pPr>
              <w:spacing w:after="120" w:line="276" w:lineRule="auto"/>
              <w:rPr>
                <w:b/>
                <w:bCs/>
                <w:color w:val="FFFFFF" w:themeColor="background1"/>
                <w:sz w:val="21"/>
                <w:szCs w:val="21"/>
              </w:rPr>
            </w:pPr>
            <w:r w:rsidRPr="00392788">
              <w:rPr>
                <w:b/>
                <w:bCs/>
                <w:color w:val="FFFFFF" w:themeColor="background1"/>
                <w:sz w:val="21"/>
                <w:szCs w:val="21"/>
              </w:rPr>
              <w:t>Description</w:t>
            </w:r>
          </w:p>
        </w:tc>
        <w:tc>
          <w:tcPr>
            <w:tcW w:w="255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F5496" w:themeFill="accent5" w:themeFillShade="BF"/>
            <w:tcMar>
              <w:top w:w="57" w:type="dxa"/>
              <w:left w:w="57" w:type="dxa"/>
              <w:bottom w:w="57" w:type="dxa"/>
              <w:right w:w="57" w:type="dxa"/>
            </w:tcMar>
            <w:vAlign w:val="bottom"/>
          </w:tcPr>
          <w:p w14:paraId="6956AEDF" w14:textId="337FE20A" w:rsidR="00004DA9" w:rsidRPr="00392788" w:rsidRDefault="00004DA9" w:rsidP="00392788">
            <w:pPr>
              <w:spacing w:after="120" w:line="276" w:lineRule="auto"/>
              <w:rPr>
                <w:b/>
                <w:bCs/>
                <w:color w:val="FFFFFF" w:themeColor="background1"/>
                <w:sz w:val="21"/>
                <w:szCs w:val="21"/>
              </w:rPr>
            </w:pPr>
            <w:r w:rsidRPr="00392788">
              <w:rPr>
                <w:b/>
                <w:bCs/>
                <w:color w:val="FFFFFF" w:themeColor="background1"/>
                <w:sz w:val="21"/>
                <w:szCs w:val="21"/>
              </w:rPr>
              <w:t>Results</w:t>
            </w:r>
          </w:p>
        </w:tc>
        <w:tc>
          <w:tcPr>
            <w:tcW w:w="30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F5496" w:themeFill="accent5" w:themeFillShade="BF"/>
            <w:tcMar>
              <w:top w:w="57" w:type="dxa"/>
              <w:left w:w="57" w:type="dxa"/>
              <w:bottom w:w="57" w:type="dxa"/>
              <w:right w:w="57" w:type="dxa"/>
            </w:tcMar>
            <w:vAlign w:val="bottom"/>
          </w:tcPr>
          <w:p w14:paraId="3D7F9740" w14:textId="0BFFF11F" w:rsidR="00004DA9" w:rsidRPr="00392788" w:rsidRDefault="00004DA9" w:rsidP="00392788">
            <w:pPr>
              <w:spacing w:after="120" w:line="276" w:lineRule="auto"/>
              <w:rPr>
                <w:b/>
                <w:bCs/>
                <w:color w:val="FFFFFF" w:themeColor="background1"/>
                <w:sz w:val="21"/>
                <w:szCs w:val="21"/>
              </w:rPr>
            </w:pPr>
            <w:r w:rsidRPr="00392788">
              <w:rPr>
                <w:b/>
                <w:bCs/>
                <w:color w:val="FFFFFF" w:themeColor="background1"/>
                <w:sz w:val="21"/>
                <w:szCs w:val="21"/>
              </w:rPr>
              <w:t xml:space="preserve">Clinical </w:t>
            </w:r>
            <w:r w:rsidR="00242BEB">
              <w:rPr>
                <w:b/>
                <w:bCs/>
                <w:color w:val="FFFFFF" w:themeColor="background1"/>
                <w:sz w:val="21"/>
                <w:szCs w:val="21"/>
              </w:rPr>
              <w:t>c</w:t>
            </w:r>
            <w:r w:rsidRPr="00392788">
              <w:rPr>
                <w:b/>
                <w:bCs/>
                <w:color w:val="FFFFFF" w:themeColor="background1"/>
                <w:sz w:val="21"/>
                <w:szCs w:val="21"/>
              </w:rPr>
              <w:t>ontext</w:t>
            </w:r>
          </w:p>
        </w:tc>
        <w:tc>
          <w:tcPr>
            <w:tcW w:w="148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F5496" w:themeFill="accent5" w:themeFillShade="BF"/>
            <w:tcMar>
              <w:top w:w="57" w:type="dxa"/>
              <w:left w:w="57" w:type="dxa"/>
              <w:bottom w:w="57" w:type="dxa"/>
              <w:right w:w="57" w:type="dxa"/>
            </w:tcMar>
            <w:vAlign w:val="bottom"/>
          </w:tcPr>
          <w:p w14:paraId="62DA3DDA" w14:textId="31F1A625" w:rsidR="00004DA9" w:rsidRPr="00392788" w:rsidRDefault="00004DA9" w:rsidP="00392788">
            <w:pPr>
              <w:spacing w:before="120" w:after="120" w:line="276" w:lineRule="auto"/>
              <w:rPr>
                <w:b/>
                <w:bCs/>
                <w:color w:val="FFFFFF" w:themeColor="background1"/>
                <w:sz w:val="21"/>
                <w:szCs w:val="21"/>
              </w:rPr>
            </w:pPr>
            <w:r w:rsidRPr="00392788">
              <w:rPr>
                <w:b/>
                <w:bCs/>
                <w:color w:val="FFFFFF" w:themeColor="background1"/>
                <w:sz w:val="21"/>
                <w:szCs w:val="21"/>
              </w:rPr>
              <w:t xml:space="preserve">Gross </w:t>
            </w:r>
            <w:r w:rsidR="00242BEB">
              <w:rPr>
                <w:b/>
                <w:bCs/>
                <w:color w:val="FFFFFF" w:themeColor="background1"/>
                <w:sz w:val="21"/>
                <w:szCs w:val="21"/>
              </w:rPr>
              <w:t>e</w:t>
            </w:r>
            <w:r w:rsidRPr="00392788">
              <w:rPr>
                <w:b/>
                <w:bCs/>
                <w:color w:val="FFFFFF" w:themeColor="background1"/>
                <w:sz w:val="21"/>
                <w:szCs w:val="21"/>
              </w:rPr>
              <w:t xml:space="preserve">conomic </w:t>
            </w:r>
            <w:r w:rsidR="00242BEB">
              <w:rPr>
                <w:b/>
                <w:bCs/>
                <w:color w:val="FFFFFF" w:themeColor="background1"/>
                <w:sz w:val="21"/>
                <w:szCs w:val="21"/>
              </w:rPr>
              <w:t>b</w:t>
            </w:r>
            <w:r w:rsidRPr="00392788">
              <w:rPr>
                <w:b/>
                <w:bCs/>
                <w:color w:val="FFFFFF" w:themeColor="background1"/>
                <w:sz w:val="21"/>
                <w:szCs w:val="21"/>
              </w:rPr>
              <w:t>enefit</w:t>
            </w:r>
          </w:p>
        </w:tc>
        <w:tc>
          <w:tcPr>
            <w:tcW w:w="187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F5496" w:themeFill="accent5" w:themeFillShade="BF"/>
            <w:tcMar>
              <w:top w:w="57" w:type="dxa"/>
              <w:left w:w="57" w:type="dxa"/>
              <w:bottom w:w="57" w:type="dxa"/>
              <w:right w:w="57" w:type="dxa"/>
            </w:tcMar>
            <w:vAlign w:val="bottom"/>
          </w:tcPr>
          <w:p w14:paraId="6983B899" w14:textId="63928B07" w:rsidR="00004DA9" w:rsidRPr="00392788" w:rsidRDefault="00004DA9" w:rsidP="00392788">
            <w:pPr>
              <w:spacing w:after="120" w:line="276" w:lineRule="auto"/>
              <w:rPr>
                <w:b/>
                <w:bCs/>
                <w:color w:val="FFFFFF" w:themeColor="background1"/>
                <w:sz w:val="21"/>
                <w:szCs w:val="21"/>
              </w:rPr>
            </w:pPr>
            <w:r w:rsidRPr="00392788">
              <w:rPr>
                <w:b/>
                <w:bCs/>
                <w:color w:val="FFFFFF" w:themeColor="background1"/>
                <w:sz w:val="21"/>
                <w:szCs w:val="21"/>
              </w:rPr>
              <w:t xml:space="preserve">% of </w:t>
            </w:r>
            <w:r w:rsidR="00242BEB">
              <w:rPr>
                <w:b/>
                <w:bCs/>
                <w:color w:val="FFFFFF" w:themeColor="background1"/>
                <w:sz w:val="21"/>
                <w:szCs w:val="21"/>
              </w:rPr>
              <w:t>b</w:t>
            </w:r>
            <w:r w:rsidRPr="00392788">
              <w:rPr>
                <w:b/>
                <w:bCs/>
                <w:color w:val="FFFFFF" w:themeColor="background1"/>
                <w:sz w:val="21"/>
                <w:szCs w:val="21"/>
              </w:rPr>
              <w:t>enefit</w:t>
            </w:r>
            <w:r w:rsidR="0096241B" w:rsidRPr="00392788">
              <w:rPr>
                <w:b/>
                <w:bCs/>
                <w:color w:val="FFFFFF" w:themeColor="background1"/>
                <w:sz w:val="21"/>
                <w:szCs w:val="21"/>
              </w:rPr>
              <w:t xml:space="preserve"> </w:t>
            </w:r>
            <w:r w:rsidRPr="00392788">
              <w:rPr>
                <w:b/>
                <w:bCs/>
                <w:color w:val="FFFFFF" w:themeColor="background1"/>
                <w:sz w:val="21"/>
                <w:szCs w:val="21"/>
              </w:rPr>
              <w:t xml:space="preserve">in </w:t>
            </w:r>
            <w:r w:rsidR="00242BEB">
              <w:rPr>
                <w:b/>
                <w:bCs/>
                <w:color w:val="FFFFFF" w:themeColor="background1"/>
                <w:sz w:val="21"/>
                <w:szCs w:val="21"/>
              </w:rPr>
              <w:t>s</w:t>
            </w:r>
            <w:r w:rsidRPr="00392788">
              <w:rPr>
                <w:b/>
                <w:bCs/>
                <w:color w:val="FFFFFF" w:themeColor="background1"/>
                <w:sz w:val="21"/>
                <w:szCs w:val="21"/>
              </w:rPr>
              <w:t xml:space="preserve">ervice </w:t>
            </w:r>
            <w:r w:rsidR="00242BEB">
              <w:rPr>
                <w:b/>
                <w:bCs/>
                <w:color w:val="FFFFFF" w:themeColor="background1"/>
                <w:sz w:val="21"/>
                <w:szCs w:val="21"/>
              </w:rPr>
              <w:t>c</w:t>
            </w:r>
            <w:r w:rsidRPr="00392788">
              <w:rPr>
                <w:b/>
                <w:bCs/>
                <w:color w:val="FFFFFF" w:themeColor="background1"/>
                <w:sz w:val="21"/>
                <w:szCs w:val="21"/>
              </w:rPr>
              <w:t>osts</w:t>
            </w:r>
          </w:p>
        </w:tc>
      </w:tr>
      <w:tr w:rsidR="00E25849" w:rsidRPr="00DD5584" w14:paraId="054BE950" w14:textId="77777777" w:rsidTr="00392788">
        <w:trPr>
          <w:trHeight w:val="1496"/>
        </w:trPr>
        <w:tc>
          <w:tcPr>
            <w:tcW w:w="175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7F5B8391" w14:textId="77777777" w:rsidR="00004DA9" w:rsidRPr="00392788" w:rsidRDefault="00004DA9" w:rsidP="00392788">
            <w:pPr>
              <w:spacing w:before="120" w:after="120" w:line="240" w:lineRule="auto"/>
              <w:rPr>
                <w:rFonts w:cs="Arial"/>
                <w:sz w:val="21"/>
                <w:szCs w:val="21"/>
              </w:rPr>
            </w:pPr>
            <w:r w:rsidRPr="00392788">
              <w:rPr>
                <w:rFonts w:cs="Arial"/>
                <w:sz w:val="21"/>
                <w:szCs w:val="21"/>
              </w:rPr>
              <w:t>ACHOIS</w:t>
            </w:r>
          </w:p>
        </w:tc>
        <w:tc>
          <w:tcPr>
            <w:tcW w:w="3569"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74D345D0" w14:textId="25253F53" w:rsidR="00004DA9" w:rsidRPr="00392788" w:rsidRDefault="00457962" w:rsidP="00392788">
            <w:pPr>
              <w:spacing w:before="120" w:after="120" w:line="240" w:lineRule="auto"/>
              <w:rPr>
                <w:rFonts w:cs="Arial"/>
                <w:sz w:val="21"/>
                <w:szCs w:val="21"/>
              </w:rPr>
            </w:pPr>
            <w:r w:rsidRPr="00392788">
              <w:rPr>
                <w:rFonts w:cs="Arial"/>
                <w:sz w:val="21"/>
                <w:szCs w:val="21"/>
              </w:rPr>
              <w:t>Effect of treatment of gestational diabetes mellitus on pregnancy outcomes.</w:t>
            </w:r>
          </w:p>
        </w:tc>
        <w:tc>
          <w:tcPr>
            <w:tcW w:w="255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682A2B61" w14:textId="27994823" w:rsidR="00004DA9" w:rsidRPr="00392788" w:rsidRDefault="00457962" w:rsidP="00392788">
            <w:pPr>
              <w:spacing w:before="120" w:after="120" w:line="240" w:lineRule="auto"/>
              <w:rPr>
                <w:rFonts w:cs="Arial"/>
                <w:sz w:val="21"/>
                <w:szCs w:val="21"/>
              </w:rPr>
            </w:pPr>
            <w:r w:rsidRPr="00392788">
              <w:rPr>
                <w:rFonts w:cs="Arial"/>
                <w:sz w:val="21"/>
                <w:szCs w:val="21"/>
              </w:rPr>
              <w:t>Treatment reduced serious perinatal morbidity and also improved maternal health-related quality of life.</w:t>
            </w:r>
          </w:p>
        </w:tc>
        <w:tc>
          <w:tcPr>
            <w:tcW w:w="30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34CF1AF4" w14:textId="3E712668" w:rsidR="00004DA9" w:rsidRPr="00392788" w:rsidRDefault="00457962" w:rsidP="00392788">
            <w:pPr>
              <w:spacing w:before="120" w:after="120" w:line="240" w:lineRule="auto"/>
              <w:rPr>
                <w:rFonts w:cs="Arial"/>
                <w:sz w:val="21"/>
                <w:szCs w:val="21"/>
              </w:rPr>
            </w:pPr>
            <w:r w:rsidRPr="00392788">
              <w:rPr>
                <w:rFonts w:cs="Arial"/>
                <w:sz w:val="21"/>
                <w:szCs w:val="21"/>
              </w:rPr>
              <w:t>Routine screening and treatment of gestational diabetes had not been common practice and would not have been introduced without the trial.</w:t>
            </w:r>
          </w:p>
        </w:tc>
        <w:tc>
          <w:tcPr>
            <w:tcW w:w="148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0849E001" w14:textId="75748772" w:rsidR="00004DA9" w:rsidRPr="00392788" w:rsidRDefault="00004DA9" w:rsidP="00392788">
            <w:pPr>
              <w:spacing w:before="120" w:after="120" w:line="240" w:lineRule="auto"/>
              <w:rPr>
                <w:rFonts w:cs="Arial"/>
                <w:sz w:val="21"/>
                <w:szCs w:val="21"/>
              </w:rPr>
            </w:pPr>
            <w:r w:rsidRPr="00392788">
              <w:rPr>
                <w:rFonts w:cs="Arial"/>
                <w:sz w:val="21"/>
                <w:szCs w:val="21"/>
              </w:rPr>
              <w:t>$38</w:t>
            </w:r>
            <w:r w:rsidR="00B17172" w:rsidRPr="00392788">
              <w:rPr>
                <w:rFonts w:cs="Arial"/>
                <w:sz w:val="21"/>
                <w:szCs w:val="21"/>
              </w:rPr>
              <w:t xml:space="preserve"> million</w:t>
            </w:r>
          </w:p>
        </w:tc>
        <w:tc>
          <w:tcPr>
            <w:tcW w:w="187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15234648" w14:textId="77777777" w:rsidR="00004DA9" w:rsidRPr="00392788" w:rsidRDefault="00004DA9" w:rsidP="00392788">
            <w:pPr>
              <w:spacing w:before="120" w:after="120" w:line="240" w:lineRule="auto"/>
              <w:rPr>
                <w:rFonts w:cs="Arial"/>
                <w:sz w:val="21"/>
                <w:szCs w:val="21"/>
              </w:rPr>
            </w:pPr>
            <w:r w:rsidRPr="00392788">
              <w:rPr>
                <w:rFonts w:cs="Arial"/>
                <w:sz w:val="21"/>
                <w:szCs w:val="21"/>
              </w:rPr>
              <w:t>0%</w:t>
            </w:r>
          </w:p>
        </w:tc>
      </w:tr>
      <w:tr w:rsidR="00E25849" w:rsidRPr="00DD5584" w14:paraId="62FB8F14" w14:textId="77777777" w:rsidTr="00392788">
        <w:trPr>
          <w:trHeight w:val="311"/>
        </w:trPr>
        <w:tc>
          <w:tcPr>
            <w:tcW w:w="175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4C425B88" w14:textId="77777777" w:rsidR="00004DA9" w:rsidRPr="00392788" w:rsidRDefault="00004DA9" w:rsidP="00392788">
            <w:pPr>
              <w:spacing w:before="120" w:after="120" w:line="240" w:lineRule="auto"/>
              <w:rPr>
                <w:rFonts w:cs="Arial"/>
                <w:sz w:val="21"/>
                <w:szCs w:val="21"/>
              </w:rPr>
            </w:pPr>
            <w:r w:rsidRPr="00392788">
              <w:rPr>
                <w:rFonts w:cs="Arial"/>
                <w:sz w:val="21"/>
                <w:szCs w:val="21"/>
              </w:rPr>
              <w:t>ACTOMgSO4</w:t>
            </w:r>
          </w:p>
        </w:tc>
        <w:tc>
          <w:tcPr>
            <w:tcW w:w="3569"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28BE5676" w14:textId="135CB687" w:rsidR="00004DA9" w:rsidRPr="00392788" w:rsidRDefault="00457962" w:rsidP="00392788">
            <w:pPr>
              <w:spacing w:before="120" w:after="120" w:line="240" w:lineRule="auto"/>
              <w:rPr>
                <w:rFonts w:cs="Arial"/>
                <w:sz w:val="21"/>
                <w:szCs w:val="21"/>
              </w:rPr>
            </w:pPr>
            <w:r w:rsidRPr="00392788">
              <w:rPr>
                <w:rFonts w:cs="Arial"/>
                <w:sz w:val="21"/>
                <w:szCs w:val="21"/>
              </w:rPr>
              <w:t xml:space="preserve">Effect of magnesium sulphate given for neuroprotection before preterm </w:t>
            </w:r>
            <w:r w:rsidRPr="00392788">
              <w:rPr>
                <w:rFonts w:cs="Arial"/>
                <w:sz w:val="21"/>
                <w:szCs w:val="21"/>
              </w:rPr>
              <w:lastRenderedPageBreak/>
              <w:t>birth.</w:t>
            </w:r>
          </w:p>
        </w:tc>
        <w:tc>
          <w:tcPr>
            <w:tcW w:w="255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2907AF7B" w14:textId="4B3D88D9" w:rsidR="00004DA9" w:rsidRPr="00392788" w:rsidRDefault="00457962" w:rsidP="00392788">
            <w:pPr>
              <w:spacing w:before="120" w:after="120" w:line="240" w:lineRule="auto"/>
              <w:rPr>
                <w:rFonts w:cs="Arial"/>
                <w:sz w:val="21"/>
                <w:szCs w:val="21"/>
              </w:rPr>
            </w:pPr>
            <w:r w:rsidRPr="00392788">
              <w:rPr>
                <w:rFonts w:cs="Arial"/>
                <w:sz w:val="21"/>
                <w:szCs w:val="21"/>
              </w:rPr>
              <w:lastRenderedPageBreak/>
              <w:t xml:space="preserve">Treatment had no adverse effect and </w:t>
            </w:r>
            <w:r w:rsidRPr="00392788">
              <w:rPr>
                <w:rFonts w:cs="Arial"/>
                <w:sz w:val="21"/>
                <w:szCs w:val="21"/>
              </w:rPr>
              <w:lastRenderedPageBreak/>
              <w:t>reduced motor dysfunction.</w:t>
            </w:r>
          </w:p>
        </w:tc>
        <w:tc>
          <w:tcPr>
            <w:tcW w:w="30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26E3C785" w14:textId="2E74E64A" w:rsidR="00004DA9" w:rsidRPr="00392788" w:rsidRDefault="00D00ADB" w:rsidP="00392788">
            <w:pPr>
              <w:spacing w:before="120" w:after="120" w:line="240" w:lineRule="auto"/>
              <w:rPr>
                <w:rFonts w:cs="Arial"/>
                <w:sz w:val="21"/>
                <w:szCs w:val="21"/>
              </w:rPr>
            </w:pPr>
            <w:r w:rsidRPr="00392788">
              <w:rPr>
                <w:rFonts w:cs="Arial"/>
                <w:sz w:val="21"/>
                <w:szCs w:val="21"/>
              </w:rPr>
              <w:lastRenderedPageBreak/>
              <w:t xml:space="preserve">Treatment with magnesium sulphate should be considered </w:t>
            </w:r>
            <w:r w:rsidRPr="00392788">
              <w:rPr>
                <w:rFonts w:cs="Arial"/>
                <w:sz w:val="21"/>
                <w:szCs w:val="21"/>
              </w:rPr>
              <w:lastRenderedPageBreak/>
              <w:t>as a result of this trial.</w:t>
            </w:r>
          </w:p>
        </w:tc>
        <w:tc>
          <w:tcPr>
            <w:tcW w:w="148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0B69F7E3" w14:textId="127D0F16" w:rsidR="00004DA9" w:rsidRPr="00392788" w:rsidRDefault="00004DA9" w:rsidP="00392788">
            <w:pPr>
              <w:spacing w:before="120" w:after="120" w:line="240" w:lineRule="auto"/>
              <w:rPr>
                <w:rFonts w:cs="Arial"/>
                <w:sz w:val="21"/>
                <w:szCs w:val="21"/>
              </w:rPr>
            </w:pPr>
            <w:r w:rsidRPr="00392788">
              <w:rPr>
                <w:rFonts w:cs="Arial"/>
                <w:sz w:val="21"/>
                <w:szCs w:val="21"/>
              </w:rPr>
              <w:lastRenderedPageBreak/>
              <w:t>$159</w:t>
            </w:r>
            <w:r w:rsidR="00B17172" w:rsidRPr="00392788">
              <w:rPr>
                <w:rFonts w:cs="Arial"/>
                <w:sz w:val="21"/>
                <w:szCs w:val="21"/>
              </w:rPr>
              <w:t xml:space="preserve"> million</w:t>
            </w:r>
          </w:p>
        </w:tc>
        <w:tc>
          <w:tcPr>
            <w:tcW w:w="187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7B576646" w14:textId="77777777" w:rsidR="00004DA9" w:rsidRPr="00392788" w:rsidRDefault="00004DA9" w:rsidP="00392788">
            <w:pPr>
              <w:spacing w:before="120" w:after="120" w:line="240" w:lineRule="auto"/>
              <w:rPr>
                <w:rFonts w:cs="Arial"/>
                <w:sz w:val="21"/>
                <w:szCs w:val="21"/>
              </w:rPr>
            </w:pPr>
            <w:r w:rsidRPr="00392788">
              <w:rPr>
                <w:rFonts w:cs="Arial"/>
                <w:sz w:val="21"/>
                <w:szCs w:val="21"/>
              </w:rPr>
              <w:t>0%</w:t>
            </w:r>
          </w:p>
        </w:tc>
      </w:tr>
      <w:tr w:rsidR="00E25849" w:rsidRPr="00DD5584" w14:paraId="45222C68" w14:textId="77777777" w:rsidTr="00392788">
        <w:trPr>
          <w:trHeight w:val="789"/>
        </w:trPr>
        <w:tc>
          <w:tcPr>
            <w:tcW w:w="1753" w:type="dxa"/>
            <w:tcBorders>
              <w:top w:val="single" w:sz="8" w:space="0" w:color="D9D9D9" w:themeColor="background1" w:themeShade="D9"/>
            </w:tcBorders>
            <w:shd w:val="clear" w:color="auto" w:fill="auto"/>
            <w:tcMar>
              <w:top w:w="57" w:type="dxa"/>
              <w:left w:w="57" w:type="dxa"/>
              <w:bottom w:w="57" w:type="dxa"/>
              <w:right w:w="57" w:type="dxa"/>
            </w:tcMar>
            <w:hideMark/>
          </w:tcPr>
          <w:p w14:paraId="67ACD1A6" w14:textId="77777777" w:rsidR="00004DA9" w:rsidRPr="00392788" w:rsidRDefault="00004DA9" w:rsidP="00392788">
            <w:pPr>
              <w:spacing w:before="120" w:after="120" w:line="240" w:lineRule="auto"/>
              <w:rPr>
                <w:rFonts w:cs="Arial"/>
                <w:sz w:val="21"/>
                <w:szCs w:val="21"/>
              </w:rPr>
            </w:pPr>
            <w:r w:rsidRPr="00392788">
              <w:rPr>
                <w:rFonts w:cs="Arial"/>
                <w:sz w:val="21"/>
                <w:szCs w:val="21"/>
              </w:rPr>
              <w:lastRenderedPageBreak/>
              <w:t>ACTORDS</w:t>
            </w:r>
          </w:p>
        </w:tc>
        <w:tc>
          <w:tcPr>
            <w:tcW w:w="3569" w:type="dxa"/>
            <w:tcBorders>
              <w:top w:val="single" w:sz="8" w:space="0" w:color="D9D9D9" w:themeColor="background1" w:themeShade="D9"/>
            </w:tcBorders>
            <w:shd w:val="clear" w:color="auto" w:fill="auto"/>
            <w:tcMar>
              <w:top w:w="57" w:type="dxa"/>
              <w:left w:w="57" w:type="dxa"/>
              <w:bottom w:w="57" w:type="dxa"/>
              <w:right w:w="57" w:type="dxa"/>
            </w:tcMar>
            <w:hideMark/>
          </w:tcPr>
          <w:p w14:paraId="6BF3AFE8" w14:textId="3AAB0DF2" w:rsidR="00004DA9" w:rsidRPr="00392788" w:rsidRDefault="00D00ADB" w:rsidP="00392788">
            <w:pPr>
              <w:spacing w:before="120" w:after="120" w:line="240" w:lineRule="auto"/>
              <w:rPr>
                <w:rFonts w:cs="Arial"/>
                <w:sz w:val="21"/>
                <w:szCs w:val="21"/>
              </w:rPr>
            </w:pPr>
            <w:r w:rsidRPr="00392788">
              <w:rPr>
                <w:rFonts w:cs="Arial"/>
                <w:sz w:val="21"/>
                <w:szCs w:val="21"/>
              </w:rPr>
              <w:t>Preterm neonatal respiratory distress syndrome after repeat exposure to antenatal corticosteroids (v</w:t>
            </w:r>
            <w:r w:rsidR="006E2AB2" w:rsidRPr="00392788">
              <w:rPr>
                <w:rFonts w:cs="Arial"/>
                <w:sz w:val="21"/>
                <w:szCs w:val="21"/>
              </w:rPr>
              <w:t>ersu</w:t>
            </w:r>
            <w:r w:rsidRPr="00392788">
              <w:rPr>
                <w:rFonts w:cs="Arial"/>
                <w:sz w:val="21"/>
                <w:szCs w:val="21"/>
              </w:rPr>
              <w:t>s placebo).</w:t>
            </w:r>
          </w:p>
        </w:tc>
        <w:tc>
          <w:tcPr>
            <w:tcW w:w="2554" w:type="dxa"/>
            <w:tcBorders>
              <w:top w:val="single" w:sz="8" w:space="0" w:color="D9D9D9" w:themeColor="background1" w:themeShade="D9"/>
            </w:tcBorders>
            <w:shd w:val="clear" w:color="auto" w:fill="auto"/>
            <w:tcMar>
              <w:top w:w="57" w:type="dxa"/>
              <w:left w:w="57" w:type="dxa"/>
              <w:bottom w:w="57" w:type="dxa"/>
              <w:right w:w="57" w:type="dxa"/>
            </w:tcMar>
            <w:hideMark/>
          </w:tcPr>
          <w:p w14:paraId="7EB058FB" w14:textId="01DFC81C" w:rsidR="00004DA9" w:rsidRPr="00392788" w:rsidRDefault="00D00ADB" w:rsidP="00392788">
            <w:pPr>
              <w:spacing w:before="120" w:after="120" w:line="240" w:lineRule="auto"/>
              <w:rPr>
                <w:rFonts w:cs="Arial"/>
                <w:sz w:val="21"/>
                <w:szCs w:val="21"/>
              </w:rPr>
            </w:pPr>
            <w:r w:rsidRPr="00392788">
              <w:rPr>
                <w:rFonts w:cs="Arial"/>
                <w:sz w:val="21"/>
                <w:szCs w:val="21"/>
              </w:rPr>
              <w:t>Exposure to repeat doses of antenatal corticosteroids reduced neonatal morbidity.</w:t>
            </w:r>
          </w:p>
        </w:tc>
        <w:tc>
          <w:tcPr>
            <w:tcW w:w="3023" w:type="dxa"/>
            <w:tcBorders>
              <w:top w:val="single" w:sz="8" w:space="0" w:color="D9D9D9" w:themeColor="background1" w:themeShade="D9"/>
            </w:tcBorders>
            <w:shd w:val="clear" w:color="auto" w:fill="auto"/>
            <w:tcMar>
              <w:top w:w="57" w:type="dxa"/>
              <w:left w:w="57" w:type="dxa"/>
              <w:bottom w:w="57" w:type="dxa"/>
              <w:right w:w="57" w:type="dxa"/>
            </w:tcMar>
            <w:hideMark/>
          </w:tcPr>
          <w:p w14:paraId="4E527F35" w14:textId="7FFB0D0C" w:rsidR="00004DA9" w:rsidRPr="00392788" w:rsidRDefault="00D00ADB" w:rsidP="00392788">
            <w:pPr>
              <w:spacing w:before="120" w:after="120" w:line="240" w:lineRule="auto"/>
              <w:rPr>
                <w:rFonts w:cs="Arial"/>
                <w:sz w:val="21"/>
                <w:szCs w:val="21"/>
              </w:rPr>
            </w:pPr>
            <w:r w:rsidRPr="00392788">
              <w:rPr>
                <w:rFonts w:cs="Arial"/>
                <w:sz w:val="21"/>
                <w:szCs w:val="21"/>
              </w:rPr>
              <w:t>Repeat doses of corticosteroid in prematurity were not endorsed before the trial but are now used in practice.</w:t>
            </w:r>
          </w:p>
        </w:tc>
        <w:tc>
          <w:tcPr>
            <w:tcW w:w="1488" w:type="dxa"/>
            <w:tcBorders>
              <w:top w:val="single" w:sz="8" w:space="0" w:color="D9D9D9" w:themeColor="background1" w:themeShade="D9"/>
            </w:tcBorders>
            <w:shd w:val="clear" w:color="auto" w:fill="auto"/>
            <w:tcMar>
              <w:top w:w="57" w:type="dxa"/>
              <w:left w:w="57" w:type="dxa"/>
              <w:bottom w:w="57" w:type="dxa"/>
              <w:right w:w="57" w:type="dxa"/>
            </w:tcMar>
            <w:hideMark/>
          </w:tcPr>
          <w:p w14:paraId="4DE6EEFE" w14:textId="01B2DE8B" w:rsidR="00004DA9" w:rsidRPr="00392788" w:rsidRDefault="00004DA9" w:rsidP="00392788">
            <w:pPr>
              <w:spacing w:before="120" w:after="120" w:line="240" w:lineRule="auto"/>
              <w:rPr>
                <w:rFonts w:cs="Arial"/>
                <w:sz w:val="21"/>
                <w:szCs w:val="21"/>
              </w:rPr>
            </w:pPr>
            <w:r w:rsidRPr="00392788">
              <w:rPr>
                <w:rFonts w:cs="Arial"/>
                <w:sz w:val="21"/>
                <w:szCs w:val="21"/>
              </w:rPr>
              <w:t>$9</w:t>
            </w:r>
            <w:r w:rsidR="00B17172" w:rsidRPr="00392788">
              <w:rPr>
                <w:rFonts w:cs="Arial"/>
                <w:sz w:val="21"/>
                <w:szCs w:val="21"/>
              </w:rPr>
              <w:t xml:space="preserve"> million</w:t>
            </w:r>
          </w:p>
        </w:tc>
        <w:tc>
          <w:tcPr>
            <w:tcW w:w="1874" w:type="dxa"/>
            <w:tcBorders>
              <w:top w:val="single" w:sz="8" w:space="0" w:color="D9D9D9" w:themeColor="background1" w:themeShade="D9"/>
            </w:tcBorders>
            <w:shd w:val="clear" w:color="auto" w:fill="auto"/>
            <w:tcMar>
              <w:top w:w="57" w:type="dxa"/>
              <w:left w:w="57" w:type="dxa"/>
              <w:bottom w:w="57" w:type="dxa"/>
              <w:right w:w="57" w:type="dxa"/>
            </w:tcMar>
            <w:hideMark/>
          </w:tcPr>
          <w:p w14:paraId="2F6B5ED7" w14:textId="77777777" w:rsidR="00004DA9" w:rsidRPr="00392788" w:rsidRDefault="00004DA9" w:rsidP="00392788">
            <w:pPr>
              <w:spacing w:before="120" w:after="120" w:line="240" w:lineRule="auto"/>
              <w:rPr>
                <w:rFonts w:cs="Arial"/>
                <w:sz w:val="21"/>
                <w:szCs w:val="21"/>
              </w:rPr>
            </w:pPr>
            <w:r w:rsidRPr="00392788">
              <w:rPr>
                <w:rFonts w:cs="Arial"/>
                <w:sz w:val="21"/>
                <w:szCs w:val="21"/>
              </w:rPr>
              <w:t>77%</w:t>
            </w:r>
          </w:p>
        </w:tc>
      </w:tr>
      <w:tr w:rsidR="00E25849" w:rsidRPr="00DD5584" w14:paraId="670576EB" w14:textId="77777777" w:rsidTr="00F074A5">
        <w:trPr>
          <w:trHeight w:val="789"/>
        </w:trPr>
        <w:tc>
          <w:tcPr>
            <w:tcW w:w="1753" w:type="dxa"/>
            <w:shd w:val="clear" w:color="auto" w:fill="auto"/>
            <w:tcMar>
              <w:top w:w="57" w:type="dxa"/>
              <w:left w:w="57" w:type="dxa"/>
              <w:bottom w:w="57" w:type="dxa"/>
              <w:right w:w="57" w:type="dxa"/>
            </w:tcMar>
            <w:hideMark/>
          </w:tcPr>
          <w:p w14:paraId="4B0E6480" w14:textId="77777777" w:rsidR="00004DA9" w:rsidRPr="00392788" w:rsidRDefault="00004DA9" w:rsidP="00392788">
            <w:pPr>
              <w:spacing w:before="120" w:after="120" w:line="240" w:lineRule="auto"/>
              <w:rPr>
                <w:rFonts w:cs="Arial"/>
                <w:sz w:val="21"/>
                <w:szCs w:val="21"/>
              </w:rPr>
            </w:pPr>
            <w:r w:rsidRPr="00392788">
              <w:rPr>
                <w:rFonts w:cs="Arial"/>
                <w:sz w:val="21"/>
                <w:szCs w:val="21"/>
              </w:rPr>
              <w:t>COIN</w:t>
            </w:r>
          </w:p>
        </w:tc>
        <w:tc>
          <w:tcPr>
            <w:tcW w:w="3569" w:type="dxa"/>
            <w:shd w:val="clear" w:color="auto" w:fill="auto"/>
            <w:tcMar>
              <w:top w:w="57" w:type="dxa"/>
              <w:left w:w="57" w:type="dxa"/>
              <w:bottom w:w="57" w:type="dxa"/>
              <w:right w:w="57" w:type="dxa"/>
            </w:tcMar>
            <w:hideMark/>
          </w:tcPr>
          <w:p w14:paraId="023270B9" w14:textId="2991F649" w:rsidR="00004DA9" w:rsidRPr="00392788" w:rsidRDefault="00D00ADB" w:rsidP="00392788">
            <w:pPr>
              <w:spacing w:before="120" w:after="120" w:line="240" w:lineRule="auto"/>
              <w:rPr>
                <w:rFonts w:cs="Arial"/>
                <w:sz w:val="21"/>
                <w:szCs w:val="21"/>
              </w:rPr>
            </w:pPr>
            <w:r w:rsidRPr="00392788">
              <w:rPr>
                <w:rFonts w:cs="Arial"/>
                <w:sz w:val="21"/>
                <w:szCs w:val="21"/>
              </w:rPr>
              <w:t>Nasal CPAP or intubation at birth for very preterm infants.</w:t>
            </w:r>
          </w:p>
        </w:tc>
        <w:tc>
          <w:tcPr>
            <w:tcW w:w="2554" w:type="dxa"/>
            <w:shd w:val="clear" w:color="auto" w:fill="auto"/>
            <w:tcMar>
              <w:top w:w="57" w:type="dxa"/>
              <w:left w:w="57" w:type="dxa"/>
              <w:bottom w:w="57" w:type="dxa"/>
              <w:right w:w="57" w:type="dxa"/>
            </w:tcMar>
            <w:hideMark/>
          </w:tcPr>
          <w:p w14:paraId="641B2419" w14:textId="5FBFA5AD" w:rsidR="00004DA9" w:rsidRPr="00392788" w:rsidRDefault="00D00ADB" w:rsidP="00392788">
            <w:pPr>
              <w:spacing w:before="120" w:after="120" w:line="240" w:lineRule="auto"/>
              <w:rPr>
                <w:rFonts w:cs="Arial"/>
                <w:sz w:val="21"/>
                <w:szCs w:val="21"/>
              </w:rPr>
            </w:pPr>
            <w:r w:rsidRPr="00392788">
              <w:rPr>
                <w:rFonts w:cs="Arial"/>
                <w:sz w:val="21"/>
                <w:szCs w:val="21"/>
              </w:rPr>
              <w:t>CPAP can be used from birth and reduced the rate of intubation and surfactant requirement.</w:t>
            </w:r>
          </w:p>
        </w:tc>
        <w:tc>
          <w:tcPr>
            <w:tcW w:w="3023" w:type="dxa"/>
            <w:shd w:val="clear" w:color="auto" w:fill="auto"/>
            <w:tcMar>
              <w:top w:w="57" w:type="dxa"/>
              <w:left w:w="57" w:type="dxa"/>
              <w:bottom w:w="57" w:type="dxa"/>
              <w:right w:w="57" w:type="dxa"/>
            </w:tcMar>
            <w:hideMark/>
          </w:tcPr>
          <w:p w14:paraId="0044CA73" w14:textId="78BCFC38" w:rsidR="00004DA9" w:rsidRPr="00392788" w:rsidRDefault="00D00ADB" w:rsidP="00392788">
            <w:pPr>
              <w:spacing w:before="120" w:after="120" w:line="240" w:lineRule="auto"/>
              <w:rPr>
                <w:rFonts w:cs="Arial"/>
                <w:sz w:val="21"/>
                <w:szCs w:val="21"/>
              </w:rPr>
            </w:pPr>
            <w:r w:rsidRPr="00392788">
              <w:rPr>
                <w:rFonts w:cs="Arial"/>
                <w:sz w:val="21"/>
                <w:szCs w:val="21"/>
              </w:rPr>
              <w:t>Reduction in intubation and ventilation immediately after birth. Guidelines would not have changed without the trial.</w:t>
            </w:r>
          </w:p>
        </w:tc>
        <w:tc>
          <w:tcPr>
            <w:tcW w:w="1488" w:type="dxa"/>
            <w:shd w:val="clear" w:color="auto" w:fill="auto"/>
            <w:tcMar>
              <w:top w:w="57" w:type="dxa"/>
              <w:left w:w="57" w:type="dxa"/>
              <w:bottom w:w="57" w:type="dxa"/>
              <w:right w:w="57" w:type="dxa"/>
            </w:tcMar>
            <w:hideMark/>
          </w:tcPr>
          <w:p w14:paraId="6A174F74" w14:textId="21554F07" w:rsidR="00004DA9" w:rsidRPr="00392788" w:rsidRDefault="00004DA9" w:rsidP="00392788">
            <w:pPr>
              <w:spacing w:before="120" w:after="120" w:line="240" w:lineRule="auto"/>
              <w:rPr>
                <w:rFonts w:cs="Arial"/>
                <w:sz w:val="21"/>
                <w:szCs w:val="21"/>
              </w:rPr>
            </w:pPr>
            <w:r w:rsidRPr="00392788">
              <w:rPr>
                <w:rFonts w:cs="Arial"/>
                <w:sz w:val="21"/>
                <w:szCs w:val="21"/>
              </w:rPr>
              <w:t>$2</w:t>
            </w:r>
            <w:r w:rsidR="00B17172" w:rsidRPr="00392788">
              <w:rPr>
                <w:rFonts w:cs="Arial"/>
                <w:sz w:val="21"/>
                <w:szCs w:val="21"/>
              </w:rPr>
              <w:t xml:space="preserve"> million</w:t>
            </w:r>
          </w:p>
        </w:tc>
        <w:tc>
          <w:tcPr>
            <w:tcW w:w="1874" w:type="dxa"/>
            <w:shd w:val="clear" w:color="auto" w:fill="auto"/>
            <w:tcMar>
              <w:top w:w="57" w:type="dxa"/>
              <w:left w:w="57" w:type="dxa"/>
              <w:bottom w:w="57" w:type="dxa"/>
              <w:right w:w="57" w:type="dxa"/>
            </w:tcMar>
            <w:hideMark/>
          </w:tcPr>
          <w:p w14:paraId="1B4FFF65" w14:textId="77777777" w:rsidR="00004DA9" w:rsidRPr="00392788" w:rsidRDefault="00004DA9" w:rsidP="00392788">
            <w:pPr>
              <w:spacing w:before="120" w:after="120" w:line="240" w:lineRule="auto"/>
              <w:rPr>
                <w:rFonts w:cs="Arial"/>
                <w:sz w:val="21"/>
                <w:szCs w:val="21"/>
              </w:rPr>
            </w:pPr>
            <w:r w:rsidRPr="00392788">
              <w:rPr>
                <w:rFonts w:cs="Arial"/>
                <w:sz w:val="21"/>
                <w:szCs w:val="21"/>
              </w:rPr>
              <w:t>100%</w:t>
            </w:r>
          </w:p>
        </w:tc>
      </w:tr>
      <w:tr w:rsidR="00E25849" w:rsidRPr="00DD5584" w14:paraId="2A711F3E" w14:textId="77777777" w:rsidTr="00F074A5">
        <w:trPr>
          <w:trHeight w:val="1093"/>
        </w:trPr>
        <w:tc>
          <w:tcPr>
            <w:tcW w:w="1753" w:type="dxa"/>
            <w:shd w:val="clear" w:color="auto" w:fill="auto"/>
            <w:tcMar>
              <w:top w:w="57" w:type="dxa"/>
              <w:left w:w="57" w:type="dxa"/>
              <w:bottom w:w="57" w:type="dxa"/>
              <w:right w:w="57" w:type="dxa"/>
            </w:tcMar>
            <w:hideMark/>
          </w:tcPr>
          <w:p w14:paraId="57AFFC2C" w14:textId="77777777" w:rsidR="00004DA9" w:rsidRPr="00392788" w:rsidRDefault="00004DA9" w:rsidP="00392788">
            <w:pPr>
              <w:spacing w:before="120" w:after="120" w:line="240" w:lineRule="auto"/>
              <w:rPr>
                <w:rFonts w:cs="Arial"/>
                <w:sz w:val="21"/>
                <w:szCs w:val="21"/>
              </w:rPr>
            </w:pPr>
            <w:r w:rsidRPr="00392788">
              <w:rPr>
                <w:rFonts w:cs="Arial"/>
                <w:sz w:val="21"/>
                <w:szCs w:val="21"/>
              </w:rPr>
              <w:t>COSMOS</w:t>
            </w:r>
          </w:p>
        </w:tc>
        <w:tc>
          <w:tcPr>
            <w:tcW w:w="3569" w:type="dxa"/>
            <w:shd w:val="clear" w:color="auto" w:fill="auto"/>
            <w:tcMar>
              <w:top w:w="57" w:type="dxa"/>
              <w:left w:w="57" w:type="dxa"/>
              <w:bottom w:w="57" w:type="dxa"/>
              <w:right w:w="57" w:type="dxa"/>
            </w:tcMar>
            <w:hideMark/>
          </w:tcPr>
          <w:p w14:paraId="156A05EB" w14:textId="7CB4BACE" w:rsidR="00004DA9" w:rsidRPr="00392788" w:rsidRDefault="00D00ADB" w:rsidP="00392788">
            <w:pPr>
              <w:spacing w:before="120" w:after="120" w:line="240" w:lineRule="auto"/>
              <w:rPr>
                <w:rFonts w:cs="Arial"/>
                <w:sz w:val="21"/>
                <w:szCs w:val="21"/>
              </w:rPr>
            </w:pPr>
            <w:r w:rsidRPr="00392788">
              <w:rPr>
                <w:rFonts w:cs="Arial"/>
                <w:sz w:val="21"/>
                <w:szCs w:val="21"/>
              </w:rPr>
              <w:t>Caseload midwifery care versus standard maternity care for women of low obstetric complication risk.</w:t>
            </w:r>
          </w:p>
        </w:tc>
        <w:tc>
          <w:tcPr>
            <w:tcW w:w="2554" w:type="dxa"/>
            <w:shd w:val="clear" w:color="auto" w:fill="auto"/>
            <w:tcMar>
              <w:top w:w="57" w:type="dxa"/>
              <w:left w:w="57" w:type="dxa"/>
              <w:bottom w:w="57" w:type="dxa"/>
              <w:right w:w="57" w:type="dxa"/>
            </w:tcMar>
            <w:hideMark/>
          </w:tcPr>
          <w:p w14:paraId="1F71CB5C" w14:textId="7D6A0BC5" w:rsidR="00004DA9" w:rsidRPr="00392788" w:rsidRDefault="00D00ADB" w:rsidP="00392788">
            <w:pPr>
              <w:spacing w:before="120" w:after="120" w:line="240" w:lineRule="auto"/>
              <w:rPr>
                <w:rFonts w:cs="Arial"/>
                <w:sz w:val="21"/>
                <w:szCs w:val="21"/>
              </w:rPr>
            </w:pPr>
            <w:r w:rsidRPr="00392788">
              <w:rPr>
                <w:rFonts w:cs="Arial"/>
                <w:sz w:val="21"/>
                <w:szCs w:val="21"/>
              </w:rPr>
              <w:t>Treatment reduced C</w:t>
            </w:r>
            <w:r w:rsidR="000E7975">
              <w:rPr>
                <w:rFonts w:cs="Arial"/>
                <w:sz w:val="21"/>
                <w:szCs w:val="21"/>
              </w:rPr>
              <w:noBreakHyphen/>
            </w:r>
            <w:r w:rsidRPr="00392788">
              <w:rPr>
                <w:rFonts w:cs="Arial"/>
                <w:sz w:val="21"/>
                <w:szCs w:val="21"/>
              </w:rPr>
              <w:t>section, epidural pain relief, episiotomy, postpartum length of stay, neonatal ICU use and low birth weight.</w:t>
            </w:r>
          </w:p>
        </w:tc>
        <w:tc>
          <w:tcPr>
            <w:tcW w:w="3023" w:type="dxa"/>
            <w:shd w:val="clear" w:color="auto" w:fill="auto"/>
            <w:tcMar>
              <w:top w:w="57" w:type="dxa"/>
              <w:left w:w="57" w:type="dxa"/>
              <w:bottom w:w="57" w:type="dxa"/>
              <w:right w:w="57" w:type="dxa"/>
            </w:tcMar>
            <w:hideMark/>
          </w:tcPr>
          <w:p w14:paraId="6B934ABB" w14:textId="08E6C78C" w:rsidR="00004DA9" w:rsidRPr="00392788" w:rsidRDefault="00D00ADB" w:rsidP="00392788">
            <w:pPr>
              <w:spacing w:before="120" w:after="120" w:line="240" w:lineRule="auto"/>
              <w:rPr>
                <w:rFonts w:cs="Arial"/>
                <w:sz w:val="21"/>
                <w:szCs w:val="21"/>
              </w:rPr>
            </w:pPr>
            <w:r w:rsidRPr="00392788">
              <w:rPr>
                <w:rFonts w:cs="Arial"/>
                <w:sz w:val="21"/>
                <w:szCs w:val="21"/>
              </w:rPr>
              <w:t>C-section rates were increasing leading up to the trial. Caseload midwifery rates have increased 31% since the trial.</w:t>
            </w:r>
            <w:r w:rsidRPr="00EE7152">
              <w:rPr>
                <w:rFonts w:cs="Arial"/>
                <w:sz w:val="21"/>
                <w:szCs w:val="21"/>
                <w:vertAlign w:val="superscript"/>
              </w:rPr>
              <w:footnoteReference w:id="38"/>
            </w:r>
          </w:p>
        </w:tc>
        <w:tc>
          <w:tcPr>
            <w:tcW w:w="1488" w:type="dxa"/>
            <w:shd w:val="clear" w:color="auto" w:fill="auto"/>
            <w:tcMar>
              <w:top w:w="57" w:type="dxa"/>
              <w:left w:w="57" w:type="dxa"/>
              <w:bottom w:w="57" w:type="dxa"/>
              <w:right w:w="57" w:type="dxa"/>
            </w:tcMar>
            <w:hideMark/>
          </w:tcPr>
          <w:p w14:paraId="0CA6DEA0" w14:textId="6C458117" w:rsidR="00004DA9" w:rsidRPr="00392788" w:rsidRDefault="00004DA9" w:rsidP="00392788">
            <w:pPr>
              <w:spacing w:before="120" w:after="120" w:line="240" w:lineRule="auto"/>
              <w:rPr>
                <w:rFonts w:cs="Arial"/>
                <w:sz w:val="21"/>
                <w:szCs w:val="21"/>
              </w:rPr>
            </w:pPr>
            <w:r w:rsidRPr="00392788">
              <w:rPr>
                <w:rFonts w:cs="Arial"/>
                <w:sz w:val="21"/>
                <w:szCs w:val="21"/>
              </w:rPr>
              <w:t>$187</w:t>
            </w:r>
            <w:r w:rsidR="00B17172" w:rsidRPr="00392788">
              <w:rPr>
                <w:rFonts w:cs="Arial"/>
                <w:sz w:val="21"/>
                <w:szCs w:val="21"/>
              </w:rPr>
              <w:t xml:space="preserve"> million</w:t>
            </w:r>
          </w:p>
        </w:tc>
        <w:tc>
          <w:tcPr>
            <w:tcW w:w="1874" w:type="dxa"/>
            <w:shd w:val="clear" w:color="auto" w:fill="auto"/>
            <w:tcMar>
              <w:top w:w="57" w:type="dxa"/>
              <w:left w:w="57" w:type="dxa"/>
              <w:bottom w:w="57" w:type="dxa"/>
              <w:right w:w="57" w:type="dxa"/>
            </w:tcMar>
            <w:hideMark/>
          </w:tcPr>
          <w:p w14:paraId="78B748CF" w14:textId="77777777" w:rsidR="00004DA9" w:rsidRPr="00392788" w:rsidRDefault="00004DA9" w:rsidP="00392788">
            <w:pPr>
              <w:spacing w:before="120" w:after="120" w:line="240" w:lineRule="auto"/>
              <w:rPr>
                <w:rFonts w:cs="Arial"/>
                <w:sz w:val="21"/>
                <w:szCs w:val="21"/>
              </w:rPr>
            </w:pPr>
            <w:r w:rsidRPr="00392788">
              <w:rPr>
                <w:rFonts w:cs="Arial"/>
                <w:sz w:val="21"/>
                <w:szCs w:val="21"/>
              </w:rPr>
              <w:t>97%</w:t>
            </w:r>
          </w:p>
        </w:tc>
      </w:tr>
      <w:tr w:rsidR="00E25849" w:rsidRPr="00DD5584" w14:paraId="00556593" w14:textId="77777777" w:rsidTr="00F074A5">
        <w:trPr>
          <w:trHeight w:val="628"/>
        </w:trPr>
        <w:tc>
          <w:tcPr>
            <w:tcW w:w="1753" w:type="dxa"/>
            <w:shd w:val="clear" w:color="auto" w:fill="auto"/>
            <w:tcMar>
              <w:top w:w="57" w:type="dxa"/>
              <w:left w:w="57" w:type="dxa"/>
              <w:bottom w:w="57" w:type="dxa"/>
              <w:right w:w="57" w:type="dxa"/>
            </w:tcMar>
            <w:hideMark/>
          </w:tcPr>
          <w:p w14:paraId="50C852AE" w14:textId="77777777" w:rsidR="00004DA9" w:rsidRPr="00392788" w:rsidRDefault="00004DA9" w:rsidP="00392788">
            <w:pPr>
              <w:spacing w:before="120" w:after="120" w:line="240" w:lineRule="auto"/>
              <w:rPr>
                <w:rFonts w:cs="Arial"/>
                <w:sz w:val="21"/>
                <w:szCs w:val="21"/>
              </w:rPr>
            </w:pPr>
            <w:r w:rsidRPr="00392788">
              <w:rPr>
                <w:rFonts w:cs="Arial"/>
                <w:sz w:val="21"/>
                <w:szCs w:val="21"/>
              </w:rPr>
              <w:t>ICE</w:t>
            </w:r>
          </w:p>
        </w:tc>
        <w:tc>
          <w:tcPr>
            <w:tcW w:w="3569" w:type="dxa"/>
            <w:shd w:val="clear" w:color="auto" w:fill="auto"/>
            <w:tcMar>
              <w:top w:w="57" w:type="dxa"/>
              <w:left w:w="57" w:type="dxa"/>
              <w:bottom w:w="57" w:type="dxa"/>
              <w:right w:w="57" w:type="dxa"/>
            </w:tcMar>
            <w:hideMark/>
          </w:tcPr>
          <w:p w14:paraId="3018D027" w14:textId="6F9DE6B4" w:rsidR="00004DA9" w:rsidRPr="00392788" w:rsidRDefault="00D00ADB" w:rsidP="00392788">
            <w:pPr>
              <w:spacing w:before="120" w:after="120" w:line="240" w:lineRule="auto"/>
              <w:rPr>
                <w:rFonts w:cs="Arial"/>
                <w:sz w:val="21"/>
                <w:szCs w:val="21"/>
              </w:rPr>
            </w:pPr>
            <w:r w:rsidRPr="00392788">
              <w:rPr>
                <w:rFonts w:cs="Arial"/>
                <w:sz w:val="21"/>
                <w:szCs w:val="21"/>
              </w:rPr>
              <w:t>Whole body hypothermia for term and near-term newborns with hypoxic-ischemic encephalopathy.</w:t>
            </w:r>
          </w:p>
        </w:tc>
        <w:tc>
          <w:tcPr>
            <w:tcW w:w="2554" w:type="dxa"/>
            <w:shd w:val="clear" w:color="auto" w:fill="auto"/>
            <w:tcMar>
              <w:top w:w="57" w:type="dxa"/>
              <w:left w:w="57" w:type="dxa"/>
              <w:bottom w:w="57" w:type="dxa"/>
              <w:right w:w="57" w:type="dxa"/>
            </w:tcMar>
            <w:hideMark/>
          </w:tcPr>
          <w:p w14:paraId="42F63412" w14:textId="37525AB9" w:rsidR="00004DA9" w:rsidRPr="00392788" w:rsidRDefault="00D00ADB" w:rsidP="00392788">
            <w:pPr>
              <w:spacing w:before="120" w:after="120" w:line="240" w:lineRule="auto"/>
              <w:rPr>
                <w:rFonts w:cs="Arial"/>
                <w:sz w:val="21"/>
                <w:szCs w:val="21"/>
              </w:rPr>
            </w:pPr>
            <w:r w:rsidRPr="00392788">
              <w:rPr>
                <w:rFonts w:cs="Arial"/>
                <w:sz w:val="21"/>
                <w:szCs w:val="21"/>
              </w:rPr>
              <w:t>Intervention reduced mortality (increased survival free of disability).</w:t>
            </w:r>
          </w:p>
        </w:tc>
        <w:tc>
          <w:tcPr>
            <w:tcW w:w="3023" w:type="dxa"/>
            <w:shd w:val="clear" w:color="auto" w:fill="auto"/>
            <w:tcMar>
              <w:top w:w="57" w:type="dxa"/>
              <w:left w:w="57" w:type="dxa"/>
              <w:bottom w:w="57" w:type="dxa"/>
              <w:right w:w="57" w:type="dxa"/>
            </w:tcMar>
            <w:hideMark/>
          </w:tcPr>
          <w:p w14:paraId="7A387073" w14:textId="484177D0" w:rsidR="00004DA9" w:rsidRPr="00392788" w:rsidRDefault="00D00ADB" w:rsidP="00392788">
            <w:pPr>
              <w:spacing w:before="120" w:after="120" w:line="240" w:lineRule="auto"/>
              <w:rPr>
                <w:rFonts w:cs="Arial"/>
                <w:sz w:val="21"/>
                <w:szCs w:val="21"/>
              </w:rPr>
            </w:pPr>
            <w:r w:rsidRPr="00392788">
              <w:rPr>
                <w:rFonts w:cs="Arial"/>
                <w:sz w:val="21"/>
                <w:szCs w:val="21"/>
              </w:rPr>
              <w:t>Without the trial, whole body hypothermia would not have been implemented as practice.</w:t>
            </w:r>
          </w:p>
        </w:tc>
        <w:tc>
          <w:tcPr>
            <w:tcW w:w="1488" w:type="dxa"/>
            <w:shd w:val="clear" w:color="auto" w:fill="auto"/>
            <w:tcMar>
              <w:top w:w="57" w:type="dxa"/>
              <w:left w:w="57" w:type="dxa"/>
              <w:bottom w:w="57" w:type="dxa"/>
              <w:right w:w="57" w:type="dxa"/>
            </w:tcMar>
            <w:hideMark/>
          </w:tcPr>
          <w:p w14:paraId="623EEAC7" w14:textId="41763D80" w:rsidR="00004DA9" w:rsidRPr="00392788" w:rsidRDefault="00004DA9" w:rsidP="00392788">
            <w:pPr>
              <w:spacing w:before="120" w:after="120" w:line="240" w:lineRule="auto"/>
              <w:rPr>
                <w:rFonts w:cs="Arial"/>
                <w:sz w:val="21"/>
                <w:szCs w:val="21"/>
              </w:rPr>
            </w:pPr>
            <w:r w:rsidRPr="00392788">
              <w:rPr>
                <w:rFonts w:cs="Arial"/>
                <w:sz w:val="21"/>
                <w:szCs w:val="21"/>
              </w:rPr>
              <w:t>$136</w:t>
            </w:r>
            <w:r w:rsidR="00B17172" w:rsidRPr="00392788">
              <w:rPr>
                <w:rFonts w:cs="Arial"/>
                <w:sz w:val="21"/>
                <w:szCs w:val="21"/>
              </w:rPr>
              <w:t xml:space="preserve"> million</w:t>
            </w:r>
          </w:p>
        </w:tc>
        <w:tc>
          <w:tcPr>
            <w:tcW w:w="1874" w:type="dxa"/>
            <w:shd w:val="clear" w:color="auto" w:fill="auto"/>
            <w:tcMar>
              <w:top w:w="57" w:type="dxa"/>
              <w:left w:w="57" w:type="dxa"/>
              <w:bottom w:w="57" w:type="dxa"/>
              <w:right w:w="57" w:type="dxa"/>
            </w:tcMar>
            <w:hideMark/>
          </w:tcPr>
          <w:p w14:paraId="22C1D000" w14:textId="77777777" w:rsidR="00004DA9" w:rsidRPr="00392788" w:rsidRDefault="00004DA9" w:rsidP="00392788">
            <w:pPr>
              <w:spacing w:before="120" w:after="120" w:line="240" w:lineRule="auto"/>
              <w:rPr>
                <w:rFonts w:cs="Arial"/>
                <w:sz w:val="21"/>
                <w:szCs w:val="21"/>
              </w:rPr>
            </w:pPr>
            <w:r w:rsidRPr="00392788">
              <w:rPr>
                <w:rFonts w:cs="Arial"/>
                <w:sz w:val="21"/>
                <w:szCs w:val="21"/>
              </w:rPr>
              <w:t>0%</w:t>
            </w:r>
          </w:p>
        </w:tc>
      </w:tr>
      <w:tr w:rsidR="00D00ADB" w:rsidRPr="00DD5584" w14:paraId="1A19122B" w14:textId="77777777" w:rsidTr="00F074A5">
        <w:trPr>
          <w:trHeight w:val="17"/>
        </w:trPr>
        <w:tc>
          <w:tcPr>
            <w:tcW w:w="1753" w:type="dxa"/>
            <w:shd w:val="clear" w:color="auto" w:fill="auto"/>
            <w:tcMar>
              <w:top w:w="57" w:type="dxa"/>
              <w:left w:w="57" w:type="dxa"/>
              <w:bottom w:w="57" w:type="dxa"/>
              <w:right w:w="57" w:type="dxa"/>
            </w:tcMar>
            <w:hideMark/>
          </w:tcPr>
          <w:p w14:paraId="525E6705" w14:textId="77777777" w:rsidR="00D00ADB" w:rsidRPr="00392788" w:rsidRDefault="00D00ADB" w:rsidP="00392788">
            <w:pPr>
              <w:spacing w:before="120" w:after="120" w:line="240" w:lineRule="auto"/>
              <w:rPr>
                <w:rFonts w:cs="Arial"/>
                <w:sz w:val="21"/>
                <w:szCs w:val="21"/>
              </w:rPr>
            </w:pPr>
            <w:r w:rsidRPr="00392788">
              <w:rPr>
                <w:rFonts w:cs="Arial"/>
                <w:sz w:val="21"/>
                <w:szCs w:val="21"/>
              </w:rPr>
              <w:lastRenderedPageBreak/>
              <w:t>MAP</w:t>
            </w:r>
          </w:p>
        </w:tc>
        <w:tc>
          <w:tcPr>
            <w:tcW w:w="3569" w:type="dxa"/>
            <w:shd w:val="clear" w:color="auto" w:fill="auto"/>
            <w:tcMar>
              <w:top w:w="57" w:type="dxa"/>
              <w:left w:w="57" w:type="dxa"/>
              <w:bottom w:w="57" w:type="dxa"/>
              <w:right w:w="57" w:type="dxa"/>
            </w:tcMar>
            <w:hideMark/>
          </w:tcPr>
          <w:p w14:paraId="0AA31E96" w14:textId="77777777" w:rsidR="00D00ADB" w:rsidRPr="00392788" w:rsidRDefault="00D00ADB" w:rsidP="00392788">
            <w:pPr>
              <w:spacing w:before="120" w:after="120" w:line="240" w:lineRule="auto"/>
              <w:rPr>
                <w:rFonts w:cs="Arial"/>
                <w:sz w:val="21"/>
                <w:szCs w:val="21"/>
              </w:rPr>
            </w:pPr>
            <w:r w:rsidRPr="00392788">
              <w:rPr>
                <w:rFonts w:cs="Arial"/>
                <w:sz w:val="21"/>
                <w:szCs w:val="21"/>
              </w:rPr>
              <w:t>Management of asthma in pregnancy guided by measurement of fraction of exhaled nitric oxide versus symptom based.</w:t>
            </w:r>
          </w:p>
        </w:tc>
        <w:tc>
          <w:tcPr>
            <w:tcW w:w="2554" w:type="dxa"/>
            <w:shd w:val="clear" w:color="auto" w:fill="auto"/>
            <w:tcMar>
              <w:top w:w="57" w:type="dxa"/>
              <w:left w:w="57" w:type="dxa"/>
              <w:bottom w:w="57" w:type="dxa"/>
              <w:right w:w="57" w:type="dxa"/>
            </w:tcMar>
            <w:hideMark/>
          </w:tcPr>
          <w:p w14:paraId="2ED905F5" w14:textId="77777777" w:rsidR="00D00ADB" w:rsidRPr="00392788" w:rsidRDefault="00D00ADB" w:rsidP="00392788">
            <w:pPr>
              <w:spacing w:before="120" w:after="120" w:line="240" w:lineRule="auto"/>
              <w:rPr>
                <w:rFonts w:cs="Arial"/>
                <w:sz w:val="21"/>
                <w:szCs w:val="21"/>
              </w:rPr>
            </w:pPr>
            <w:r w:rsidRPr="00392788">
              <w:rPr>
                <w:rFonts w:cs="Arial"/>
                <w:sz w:val="21"/>
                <w:szCs w:val="21"/>
              </w:rPr>
              <w:t>Treatment showed fewer exacerbations requiring GP attendance.</w:t>
            </w:r>
          </w:p>
        </w:tc>
        <w:tc>
          <w:tcPr>
            <w:tcW w:w="3023" w:type="dxa"/>
            <w:shd w:val="clear" w:color="auto" w:fill="auto"/>
            <w:tcMar>
              <w:top w:w="57" w:type="dxa"/>
              <w:left w:w="57" w:type="dxa"/>
              <w:bottom w:w="57" w:type="dxa"/>
              <w:right w:w="57" w:type="dxa"/>
            </w:tcMar>
            <w:hideMark/>
          </w:tcPr>
          <w:p w14:paraId="56C65AF3" w14:textId="77777777" w:rsidR="00D00ADB" w:rsidRPr="00392788" w:rsidRDefault="00D00ADB" w:rsidP="00392788">
            <w:pPr>
              <w:spacing w:before="120" w:after="120" w:line="240" w:lineRule="auto"/>
              <w:rPr>
                <w:rFonts w:cs="Arial"/>
                <w:sz w:val="21"/>
                <w:szCs w:val="21"/>
              </w:rPr>
            </w:pPr>
            <w:r w:rsidRPr="00392788">
              <w:rPr>
                <w:rFonts w:cs="Arial"/>
                <w:sz w:val="21"/>
                <w:szCs w:val="21"/>
              </w:rPr>
              <w:t>Awareness of asthma during pregnancy and management has increased since the trial.</w:t>
            </w:r>
          </w:p>
        </w:tc>
        <w:tc>
          <w:tcPr>
            <w:tcW w:w="1488" w:type="dxa"/>
            <w:shd w:val="clear" w:color="auto" w:fill="auto"/>
            <w:tcMar>
              <w:top w:w="57" w:type="dxa"/>
              <w:left w:w="57" w:type="dxa"/>
              <w:bottom w:w="57" w:type="dxa"/>
              <w:right w:w="57" w:type="dxa"/>
            </w:tcMar>
            <w:hideMark/>
          </w:tcPr>
          <w:p w14:paraId="129BF90B" w14:textId="77777777" w:rsidR="00D00ADB" w:rsidRPr="00392788" w:rsidRDefault="00D00ADB" w:rsidP="00392788">
            <w:pPr>
              <w:spacing w:before="120" w:after="120" w:line="240" w:lineRule="auto"/>
              <w:rPr>
                <w:rFonts w:cs="Arial"/>
                <w:sz w:val="21"/>
                <w:szCs w:val="21"/>
              </w:rPr>
            </w:pPr>
            <w:r w:rsidRPr="00392788">
              <w:rPr>
                <w:rFonts w:cs="Arial"/>
                <w:sz w:val="21"/>
                <w:szCs w:val="21"/>
              </w:rPr>
              <w:t>$22 million</w:t>
            </w:r>
          </w:p>
        </w:tc>
        <w:tc>
          <w:tcPr>
            <w:tcW w:w="1874" w:type="dxa"/>
            <w:shd w:val="clear" w:color="auto" w:fill="auto"/>
            <w:tcMar>
              <w:top w:w="57" w:type="dxa"/>
              <w:left w:w="57" w:type="dxa"/>
              <w:bottom w:w="57" w:type="dxa"/>
              <w:right w:w="57" w:type="dxa"/>
            </w:tcMar>
            <w:hideMark/>
          </w:tcPr>
          <w:p w14:paraId="04ADC988" w14:textId="77777777" w:rsidR="00D00ADB" w:rsidRPr="00392788" w:rsidRDefault="00D00ADB" w:rsidP="00392788">
            <w:pPr>
              <w:spacing w:before="120" w:after="120" w:line="240" w:lineRule="auto"/>
              <w:rPr>
                <w:rFonts w:cs="Arial"/>
                <w:sz w:val="21"/>
                <w:szCs w:val="21"/>
              </w:rPr>
            </w:pPr>
            <w:r w:rsidRPr="00392788">
              <w:rPr>
                <w:rFonts w:cs="Arial"/>
                <w:sz w:val="21"/>
                <w:szCs w:val="21"/>
              </w:rPr>
              <w:t>100%</w:t>
            </w:r>
          </w:p>
        </w:tc>
      </w:tr>
      <w:tr w:rsidR="00E25849" w:rsidRPr="00DD5584" w14:paraId="593F3B46" w14:textId="77777777" w:rsidTr="00F074A5">
        <w:trPr>
          <w:trHeight w:val="717"/>
        </w:trPr>
        <w:tc>
          <w:tcPr>
            <w:tcW w:w="1753" w:type="dxa"/>
            <w:shd w:val="clear" w:color="auto" w:fill="auto"/>
            <w:tcMar>
              <w:top w:w="57" w:type="dxa"/>
              <w:left w:w="57" w:type="dxa"/>
              <w:bottom w:w="57" w:type="dxa"/>
              <w:right w:w="57" w:type="dxa"/>
            </w:tcMar>
            <w:hideMark/>
          </w:tcPr>
          <w:p w14:paraId="67265626" w14:textId="77777777" w:rsidR="00004DA9" w:rsidRPr="00392788" w:rsidRDefault="00004DA9" w:rsidP="00392788">
            <w:pPr>
              <w:spacing w:before="120" w:after="120" w:line="240" w:lineRule="auto"/>
              <w:rPr>
                <w:rFonts w:cs="Arial"/>
                <w:sz w:val="21"/>
                <w:szCs w:val="21"/>
              </w:rPr>
            </w:pPr>
            <w:r w:rsidRPr="00392788">
              <w:rPr>
                <w:rFonts w:cs="Arial"/>
                <w:sz w:val="21"/>
                <w:szCs w:val="21"/>
              </w:rPr>
              <w:t>M@NGO</w:t>
            </w:r>
          </w:p>
        </w:tc>
        <w:tc>
          <w:tcPr>
            <w:tcW w:w="3569" w:type="dxa"/>
            <w:shd w:val="clear" w:color="auto" w:fill="auto"/>
            <w:tcMar>
              <w:top w:w="57" w:type="dxa"/>
              <w:left w:w="57" w:type="dxa"/>
              <w:bottom w:w="57" w:type="dxa"/>
              <w:right w:w="57" w:type="dxa"/>
            </w:tcMar>
            <w:hideMark/>
          </w:tcPr>
          <w:p w14:paraId="44C3CDEB" w14:textId="5E9A8440" w:rsidR="00004DA9" w:rsidRPr="00392788" w:rsidRDefault="00D00ADB" w:rsidP="00392788">
            <w:pPr>
              <w:spacing w:before="120" w:after="120" w:line="240" w:lineRule="auto"/>
              <w:rPr>
                <w:rFonts w:cs="Arial"/>
                <w:sz w:val="21"/>
                <w:szCs w:val="21"/>
              </w:rPr>
            </w:pPr>
            <w:r w:rsidRPr="00392788">
              <w:rPr>
                <w:rFonts w:cs="Arial"/>
                <w:sz w:val="21"/>
                <w:szCs w:val="21"/>
              </w:rPr>
              <w:t>Caseload midwifery care versus standard maternity care for women of any risk.</w:t>
            </w:r>
          </w:p>
        </w:tc>
        <w:tc>
          <w:tcPr>
            <w:tcW w:w="2554" w:type="dxa"/>
            <w:shd w:val="clear" w:color="auto" w:fill="auto"/>
            <w:tcMar>
              <w:top w:w="57" w:type="dxa"/>
              <w:left w:w="57" w:type="dxa"/>
              <w:bottom w:w="57" w:type="dxa"/>
              <w:right w:w="57" w:type="dxa"/>
            </w:tcMar>
            <w:hideMark/>
          </w:tcPr>
          <w:p w14:paraId="26BF77A1" w14:textId="68D0665C" w:rsidR="00004DA9" w:rsidRPr="00392788" w:rsidRDefault="00D00ADB" w:rsidP="00392788">
            <w:pPr>
              <w:spacing w:before="120" w:after="120" w:line="240" w:lineRule="auto"/>
              <w:rPr>
                <w:rFonts w:cs="Arial"/>
                <w:sz w:val="21"/>
                <w:szCs w:val="21"/>
              </w:rPr>
            </w:pPr>
            <w:r w:rsidRPr="00392788">
              <w:rPr>
                <w:rFonts w:cs="Arial"/>
                <w:sz w:val="21"/>
                <w:szCs w:val="21"/>
              </w:rPr>
              <w:t>Caseload midwifery found to have a lower cost than standard care, with equal outcomes.</w:t>
            </w:r>
          </w:p>
        </w:tc>
        <w:tc>
          <w:tcPr>
            <w:tcW w:w="3023" w:type="dxa"/>
            <w:shd w:val="clear" w:color="auto" w:fill="auto"/>
            <w:tcMar>
              <w:top w:w="57" w:type="dxa"/>
              <w:left w:w="57" w:type="dxa"/>
              <w:bottom w:w="57" w:type="dxa"/>
              <w:right w:w="57" w:type="dxa"/>
            </w:tcMar>
            <w:hideMark/>
          </w:tcPr>
          <w:p w14:paraId="1A5D2B5D" w14:textId="523164BF" w:rsidR="00004DA9" w:rsidRPr="00392788" w:rsidRDefault="00D00ADB" w:rsidP="00392788">
            <w:pPr>
              <w:spacing w:before="120" w:after="120" w:line="240" w:lineRule="auto"/>
              <w:rPr>
                <w:rFonts w:cs="Arial"/>
                <w:sz w:val="21"/>
                <w:szCs w:val="21"/>
              </w:rPr>
            </w:pPr>
            <w:r w:rsidRPr="00392788">
              <w:rPr>
                <w:rFonts w:cs="Arial"/>
                <w:sz w:val="21"/>
                <w:szCs w:val="21"/>
              </w:rPr>
              <w:t>Caseload midwifery rates have increased 31% since the trial.</w:t>
            </w:r>
          </w:p>
        </w:tc>
        <w:tc>
          <w:tcPr>
            <w:tcW w:w="1488" w:type="dxa"/>
            <w:shd w:val="clear" w:color="auto" w:fill="auto"/>
            <w:tcMar>
              <w:top w:w="57" w:type="dxa"/>
              <w:left w:w="57" w:type="dxa"/>
              <w:bottom w:w="57" w:type="dxa"/>
              <w:right w:w="57" w:type="dxa"/>
            </w:tcMar>
            <w:hideMark/>
          </w:tcPr>
          <w:p w14:paraId="03555A64" w14:textId="702231F0" w:rsidR="00004DA9" w:rsidRPr="00392788" w:rsidRDefault="00004DA9" w:rsidP="00392788">
            <w:pPr>
              <w:spacing w:before="120" w:after="120" w:line="240" w:lineRule="auto"/>
              <w:rPr>
                <w:rFonts w:cs="Arial"/>
                <w:sz w:val="21"/>
                <w:szCs w:val="21"/>
              </w:rPr>
            </w:pPr>
            <w:r w:rsidRPr="00392788">
              <w:rPr>
                <w:rFonts w:cs="Arial"/>
                <w:sz w:val="21"/>
                <w:szCs w:val="21"/>
              </w:rPr>
              <w:t>$28</w:t>
            </w:r>
            <w:r w:rsidR="00B17172" w:rsidRPr="00392788">
              <w:rPr>
                <w:rFonts w:cs="Arial"/>
                <w:sz w:val="21"/>
                <w:szCs w:val="21"/>
              </w:rPr>
              <w:t xml:space="preserve"> million</w:t>
            </w:r>
          </w:p>
        </w:tc>
        <w:tc>
          <w:tcPr>
            <w:tcW w:w="1874" w:type="dxa"/>
            <w:shd w:val="clear" w:color="auto" w:fill="auto"/>
            <w:tcMar>
              <w:top w:w="57" w:type="dxa"/>
              <w:left w:w="57" w:type="dxa"/>
              <w:bottom w:w="57" w:type="dxa"/>
              <w:right w:w="57" w:type="dxa"/>
            </w:tcMar>
            <w:hideMark/>
          </w:tcPr>
          <w:p w14:paraId="7C796C5E" w14:textId="77777777" w:rsidR="00004DA9" w:rsidRPr="00392788" w:rsidRDefault="00004DA9" w:rsidP="00392788">
            <w:pPr>
              <w:spacing w:before="120" w:after="120" w:line="240" w:lineRule="auto"/>
              <w:rPr>
                <w:rFonts w:cs="Arial"/>
                <w:sz w:val="21"/>
                <w:szCs w:val="21"/>
              </w:rPr>
            </w:pPr>
            <w:r w:rsidRPr="00392788">
              <w:rPr>
                <w:rFonts w:cs="Arial"/>
                <w:sz w:val="21"/>
                <w:szCs w:val="21"/>
              </w:rPr>
              <w:t>100%</w:t>
            </w:r>
          </w:p>
        </w:tc>
      </w:tr>
      <w:tr w:rsidR="00E25849" w:rsidRPr="00DD5584" w14:paraId="4F4741A1" w14:textId="77777777" w:rsidTr="00F074A5">
        <w:trPr>
          <w:trHeight w:val="1520"/>
        </w:trPr>
        <w:tc>
          <w:tcPr>
            <w:tcW w:w="1753" w:type="dxa"/>
            <w:shd w:val="clear" w:color="auto" w:fill="auto"/>
            <w:tcMar>
              <w:top w:w="57" w:type="dxa"/>
              <w:left w:w="57" w:type="dxa"/>
              <w:bottom w:w="57" w:type="dxa"/>
              <w:right w:w="57" w:type="dxa"/>
            </w:tcMar>
            <w:hideMark/>
          </w:tcPr>
          <w:p w14:paraId="3E440518" w14:textId="77777777" w:rsidR="00004DA9" w:rsidRPr="00392788" w:rsidRDefault="00004DA9" w:rsidP="00392788">
            <w:pPr>
              <w:spacing w:before="120" w:after="120" w:line="240" w:lineRule="auto"/>
              <w:rPr>
                <w:rFonts w:cs="Arial"/>
                <w:sz w:val="21"/>
                <w:szCs w:val="21"/>
              </w:rPr>
            </w:pPr>
            <w:r w:rsidRPr="00392788">
              <w:rPr>
                <w:rFonts w:cs="Arial"/>
                <w:sz w:val="21"/>
                <w:szCs w:val="21"/>
              </w:rPr>
              <w:t>PPROMT</w:t>
            </w:r>
          </w:p>
        </w:tc>
        <w:tc>
          <w:tcPr>
            <w:tcW w:w="3569" w:type="dxa"/>
            <w:shd w:val="clear" w:color="auto" w:fill="auto"/>
            <w:tcMar>
              <w:top w:w="57" w:type="dxa"/>
              <w:left w:w="57" w:type="dxa"/>
              <w:bottom w:w="57" w:type="dxa"/>
              <w:right w:w="57" w:type="dxa"/>
            </w:tcMar>
            <w:hideMark/>
          </w:tcPr>
          <w:p w14:paraId="52843ADE" w14:textId="78C50CFB" w:rsidR="00004DA9" w:rsidRPr="00392788" w:rsidRDefault="00D00ADB" w:rsidP="00392788">
            <w:pPr>
              <w:spacing w:before="120" w:after="120" w:line="240" w:lineRule="auto"/>
              <w:rPr>
                <w:rFonts w:cs="Arial"/>
                <w:sz w:val="21"/>
                <w:szCs w:val="21"/>
              </w:rPr>
            </w:pPr>
            <w:r w:rsidRPr="00392788">
              <w:rPr>
                <w:rFonts w:cs="Arial"/>
                <w:sz w:val="21"/>
                <w:szCs w:val="21"/>
              </w:rPr>
              <w:t>Immediate delivery versus expectant management after pre-labour rupture of the membranes close to term.</w:t>
            </w:r>
          </w:p>
        </w:tc>
        <w:tc>
          <w:tcPr>
            <w:tcW w:w="2554" w:type="dxa"/>
            <w:shd w:val="clear" w:color="auto" w:fill="auto"/>
            <w:tcMar>
              <w:top w:w="57" w:type="dxa"/>
              <w:left w:w="57" w:type="dxa"/>
              <w:bottom w:w="57" w:type="dxa"/>
              <w:right w:w="57" w:type="dxa"/>
            </w:tcMar>
            <w:hideMark/>
          </w:tcPr>
          <w:p w14:paraId="35D325A0" w14:textId="5F0F0F23" w:rsidR="00004DA9" w:rsidRPr="00392788" w:rsidRDefault="00D00ADB" w:rsidP="00392788">
            <w:pPr>
              <w:spacing w:before="120" w:after="120" w:line="240" w:lineRule="auto"/>
              <w:rPr>
                <w:rFonts w:cs="Arial"/>
                <w:sz w:val="21"/>
                <w:szCs w:val="21"/>
              </w:rPr>
            </w:pPr>
            <w:r w:rsidRPr="00392788">
              <w:rPr>
                <w:rFonts w:cs="Arial"/>
                <w:sz w:val="21"/>
                <w:szCs w:val="21"/>
              </w:rPr>
              <w:t>Expectant management had fewer adverse events.</w:t>
            </w:r>
          </w:p>
        </w:tc>
        <w:tc>
          <w:tcPr>
            <w:tcW w:w="3023" w:type="dxa"/>
            <w:shd w:val="clear" w:color="auto" w:fill="auto"/>
            <w:tcMar>
              <w:top w:w="57" w:type="dxa"/>
              <w:left w:w="57" w:type="dxa"/>
              <w:bottom w:w="57" w:type="dxa"/>
              <w:right w:w="57" w:type="dxa"/>
            </w:tcMar>
            <w:hideMark/>
          </w:tcPr>
          <w:p w14:paraId="00572FD7" w14:textId="251B892C" w:rsidR="00004DA9" w:rsidRPr="00392788" w:rsidRDefault="00D00ADB" w:rsidP="00392788">
            <w:pPr>
              <w:spacing w:before="120" w:after="120" w:line="240" w:lineRule="auto"/>
              <w:rPr>
                <w:rFonts w:cs="Arial"/>
                <w:sz w:val="21"/>
                <w:szCs w:val="21"/>
              </w:rPr>
            </w:pPr>
            <w:r w:rsidRPr="00392788">
              <w:rPr>
                <w:rFonts w:cs="Arial"/>
                <w:sz w:val="21"/>
                <w:szCs w:val="21"/>
              </w:rPr>
              <w:t>Prior to the trial, immediate delivery was becoming common practice. The trial will prevent this from happening.</w:t>
            </w:r>
          </w:p>
        </w:tc>
        <w:tc>
          <w:tcPr>
            <w:tcW w:w="1488" w:type="dxa"/>
            <w:shd w:val="clear" w:color="auto" w:fill="auto"/>
            <w:tcMar>
              <w:top w:w="57" w:type="dxa"/>
              <w:left w:w="57" w:type="dxa"/>
              <w:bottom w:w="57" w:type="dxa"/>
              <w:right w:w="57" w:type="dxa"/>
            </w:tcMar>
            <w:hideMark/>
          </w:tcPr>
          <w:p w14:paraId="2BD2EDE0" w14:textId="7E0F0653" w:rsidR="00004DA9" w:rsidRPr="00392788" w:rsidRDefault="00004DA9" w:rsidP="00392788">
            <w:pPr>
              <w:spacing w:before="120" w:after="120" w:line="240" w:lineRule="auto"/>
              <w:rPr>
                <w:rFonts w:cs="Arial"/>
                <w:sz w:val="21"/>
                <w:szCs w:val="21"/>
              </w:rPr>
            </w:pPr>
            <w:r w:rsidRPr="00392788">
              <w:rPr>
                <w:rFonts w:cs="Arial"/>
                <w:sz w:val="21"/>
                <w:szCs w:val="21"/>
              </w:rPr>
              <w:t>$26</w:t>
            </w:r>
            <w:r w:rsidR="00B17172" w:rsidRPr="00392788">
              <w:rPr>
                <w:rFonts w:cs="Arial"/>
                <w:sz w:val="21"/>
                <w:szCs w:val="21"/>
              </w:rPr>
              <w:t xml:space="preserve"> million</w:t>
            </w:r>
          </w:p>
        </w:tc>
        <w:tc>
          <w:tcPr>
            <w:tcW w:w="1874" w:type="dxa"/>
            <w:shd w:val="clear" w:color="auto" w:fill="auto"/>
            <w:tcMar>
              <w:top w:w="57" w:type="dxa"/>
              <w:left w:w="57" w:type="dxa"/>
              <w:bottom w:w="57" w:type="dxa"/>
              <w:right w:w="57" w:type="dxa"/>
            </w:tcMar>
            <w:hideMark/>
          </w:tcPr>
          <w:p w14:paraId="55FC68A4" w14:textId="77777777" w:rsidR="00004DA9" w:rsidRPr="00392788" w:rsidRDefault="00004DA9" w:rsidP="00392788">
            <w:pPr>
              <w:spacing w:before="120" w:after="120" w:line="240" w:lineRule="auto"/>
              <w:rPr>
                <w:rFonts w:cs="Arial"/>
                <w:sz w:val="21"/>
                <w:szCs w:val="21"/>
              </w:rPr>
            </w:pPr>
            <w:r w:rsidRPr="00392788">
              <w:rPr>
                <w:rFonts w:cs="Arial"/>
                <w:sz w:val="21"/>
                <w:szCs w:val="21"/>
              </w:rPr>
              <w:t>100%</w:t>
            </w:r>
          </w:p>
        </w:tc>
      </w:tr>
      <w:tr w:rsidR="00E25849" w:rsidRPr="00DD5584" w14:paraId="77BEAEA5" w14:textId="77777777" w:rsidTr="00F074A5">
        <w:trPr>
          <w:trHeight w:val="698"/>
        </w:trPr>
        <w:tc>
          <w:tcPr>
            <w:tcW w:w="1753" w:type="dxa"/>
            <w:shd w:val="clear" w:color="auto" w:fill="auto"/>
            <w:tcMar>
              <w:top w:w="57" w:type="dxa"/>
              <w:left w:w="57" w:type="dxa"/>
              <w:bottom w:w="57" w:type="dxa"/>
              <w:right w:w="57" w:type="dxa"/>
            </w:tcMar>
            <w:hideMark/>
          </w:tcPr>
          <w:p w14:paraId="7BADA676" w14:textId="77777777" w:rsidR="00004DA9" w:rsidRPr="00392788" w:rsidRDefault="00004DA9" w:rsidP="00392788">
            <w:pPr>
              <w:spacing w:before="120" w:after="120" w:line="240" w:lineRule="auto"/>
              <w:rPr>
                <w:rFonts w:cs="Arial"/>
                <w:sz w:val="21"/>
                <w:szCs w:val="21"/>
              </w:rPr>
            </w:pPr>
            <w:r w:rsidRPr="00392788">
              <w:rPr>
                <w:rFonts w:cs="Arial"/>
                <w:sz w:val="21"/>
                <w:szCs w:val="21"/>
              </w:rPr>
              <w:t>VIBES+</w:t>
            </w:r>
          </w:p>
        </w:tc>
        <w:tc>
          <w:tcPr>
            <w:tcW w:w="3569" w:type="dxa"/>
            <w:shd w:val="clear" w:color="auto" w:fill="auto"/>
            <w:tcMar>
              <w:top w:w="57" w:type="dxa"/>
              <w:left w:w="57" w:type="dxa"/>
              <w:bottom w:w="57" w:type="dxa"/>
              <w:right w:w="57" w:type="dxa"/>
            </w:tcMar>
            <w:hideMark/>
          </w:tcPr>
          <w:p w14:paraId="4FD7E910" w14:textId="7FC0A599" w:rsidR="00004DA9" w:rsidRPr="00392788" w:rsidRDefault="00D00ADB" w:rsidP="00392788">
            <w:pPr>
              <w:spacing w:before="120" w:after="120" w:line="240" w:lineRule="auto"/>
              <w:rPr>
                <w:rFonts w:cs="Arial"/>
                <w:sz w:val="21"/>
                <w:szCs w:val="21"/>
              </w:rPr>
            </w:pPr>
            <w:r w:rsidRPr="00392788">
              <w:rPr>
                <w:rFonts w:cs="Arial"/>
                <w:sz w:val="21"/>
                <w:szCs w:val="21"/>
              </w:rPr>
              <w:t>At home preventative care for very pre-term infants and their caregivers.</w:t>
            </w:r>
          </w:p>
        </w:tc>
        <w:tc>
          <w:tcPr>
            <w:tcW w:w="2554" w:type="dxa"/>
            <w:shd w:val="clear" w:color="auto" w:fill="auto"/>
            <w:tcMar>
              <w:top w:w="57" w:type="dxa"/>
              <w:left w:w="57" w:type="dxa"/>
              <w:bottom w:w="57" w:type="dxa"/>
              <w:right w:w="57" w:type="dxa"/>
            </w:tcMar>
            <w:hideMark/>
          </w:tcPr>
          <w:p w14:paraId="2914EFBE" w14:textId="67120740" w:rsidR="00004DA9" w:rsidRPr="00392788" w:rsidRDefault="00D00ADB" w:rsidP="00392788">
            <w:pPr>
              <w:spacing w:before="120" w:after="120" w:line="240" w:lineRule="auto"/>
              <w:rPr>
                <w:rFonts w:cs="Arial"/>
                <w:sz w:val="21"/>
                <w:szCs w:val="21"/>
              </w:rPr>
            </w:pPr>
            <w:r w:rsidRPr="00392788">
              <w:rPr>
                <w:rFonts w:cs="Arial"/>
                <w:sz w:val="21"/>
                <w:szCs w:val="21"/>
              </w:rPr>
              <w:t>Improved behavioural outcomes for infants and reduced anxiety and depression in caregivers.</w:t>
            </w:r>
          </w:p>
        </w:tc>
        <w:tc>
          <w:tcPr>
            <w:tcW w:w="3023" w:type="dxa"/>
            <w:shd w:val="clear" w:color="auto" w:fill="auto"/>
            <w:tcMar>
              <w:top w:w="57" w:type="dxa"/>
              <w:left w:w="57" w:type="dxa"/>
              <w:bottom w:w="57" w:type="dxa"/>
              <w:right w:w="57" w:type="dxa"/>
            </w:tcMar>
            <w:hideMark/>
          </w:tcPr>
          <w:p w14:paraId="233E1934" w14:textId="65D358B7" w:rsidR="00004DA9" w:rsidRPr="00392788" w:rsidRDefault="00D00ADB" w:rsidP="00392788">
            <w:pPr>
              <w:spacing w:before="120" w:after="120" w:line="240" w:lineRule="auto"/>
              <w:rPr>
                <w:rFonts w:cs="Arial"/>
                <w:sz w:val="21"/>
                <w:szCs w:val="21"/>
              </w:rPr>
            </w:pPr>
            <w:r w:rsidRPr="00392788">
              <w:rPr>
                <w:rFonts w:cs="Arial"/>
                <w:sz w:val="21"/>
                <w:szCs w:val="21"/>
              </w:rPr>
              <w:t>Associated with additional intervention costs, but is likely to improve patient health outcomes if implemented.</w:t>
            </w:r>
          </w:p>
        </w:tc>
        <w:tc>
          <w:tcPr>
            <w:tcW w:w="1488" w:type="dxa"/>
            <w:shd w:val="clear" w:color="auto" w:fill="auto"/>
            <w:tcMar>
              <w:top w:w="57" w:type="dxa"/>
              <w:left w:w="57" w:type="dxa"/>
              <w:bottom w:w="57" w:type="dxa"/>
              <w:right w:w="57" w:type="dxa"/>
            </w:tcMar>
            <w:hideMark/>
          </w:tcPr>
          <w:p w14:paraId="205996D1" w14:textId="6D298FA0" w:rsidR="00004DA9" w:rsidRPr="00392788" w:rsidRDefault="00004DA9" w:rsidP="00392788">
            <w:pPr>
              <w:spacing w:before="120" w:after="120" w:line="240" w:lineRule="auto"/>
              <w:rPr>
                <w:rFonts w:cs="Arial"/>
                <w:sz w:val="21"/>
                <w:szCs w:val="21"/>
              </w:rPr>
            </w:pPr>
            <w:r w:rsidRPr="00392788">
              <w:rPr>
                <w:rFonts w:cs="Arial"/>
                <w:sz w:val="21"/>
                <w:szCs w:val="21"/>
              </w:rPr>
              <w:t>$75</w:t>
            </w:r>
            <w:r w:rsidR="00B17172" w:rsidRPr="00392788">
              <w:rPr>
                <w:rFonts w:cs="Arial"/>
                <w:sz w:val="21"/>
                <w:szCs w:val="21"/>
              </w:rPr>
              <w:t xml:space="preserve"> million</w:t>
            </w:r>
          </w:p>
        </w:tc>
        <w:tc>
          <w:tcPr>
            <w:tcW w:w="1874" w:type="dxa"/>
            <w:shd w:val="clear" w:color="auto" w:fill="auto"/>
            <w:tcMar>
              <w:top w:w="57" w:type="dxa"/>
              <w:left w:w="57" w:type="dxa"/>
              <w:bottom w:w="57" w:type="dxa"/>
              <w:right w:w="57" w:type="dxa"/>
            </w:tcMar>
            <w:hideMark/>
          </w:tcPr>
          <w:p w14:paraId="27FB88E0" w14:textId="77777777" w:rsidR="00004DA9" w:rsidRPr="00392788" w:rsidRDefault="00004DA9" w:rsidP="00392788">
            <w:pPr>
              <w:spacing w:before="120" w:after="120" w:line="240" w:lineRule="auto"/>
              <w:rPr>
                <w:rFonts w:cs="Arial"/>
                <w:sz w:val="21"/>
                <w:szCs w:val="21"/>
              </w:rPr>
            </w:pPr>
            <w:r w:rsidRPr="00392788">
              <w:rPr>
                <w:rFonts w:cs="Arial"/>
                <w:sz w:val="21"/>
                <w:szCs w:val="21"/>
              </w:rPr>
              <w:t>0%</w:t>
            </w:r>
          </w:p>
        </w:tc>
      </w:tr>
      <w:tr w:rsidR="00AB7B28" w:rsidRPr="00DD5584" w14:paraId="2C6D6F43" w14:textId="77777777" w:rsidTr="00F074A5">
        <w:trPr>
          <w:trHeight w:val="372"/>
        </w:trPr>
        <w:tc>
          <w:tcPr>
            <w:tcW w:w="10899" w:type="dxa"/>
            <w:gridSpan w:val="4"/>
            <w:shd w:val="clear" w:color="auto" w:fill="2F5496"/>
            <w:tcMar>
              <w:top w:w="57" w:type="dxa"/>
              <w:left w:w="57" w:type="dxa"/>
              <w:bottom w:w="57" w:type="dxa"/>
              <w:right w:w="57" w:type="dxa"/>
            </w:tcMar>
            <w:hideMark/>
          </w:tcPr>
          <w:p w14:paraId="0CAA24FD" w14:textId="77777777" w:rsidR="00AB7B28" w:rsidRPr="00F074A5" w:rsidRDefault="00AB7B28" w:rsidP="00352327">
            <w:pPr>
              <w:spacing w:before="60" w:after="60" w:line="20" w:lineRule="atLeast"/>
              <w:rPr>
                <w:color w:val="FFFFFF" w:themeColor="background1"/>
                <w:sz w:val="21"/>
                <w:szCs w:val="21"/>
              </w:rPr>
            </w:pPr>
            <w:r w:rsidRPr="00F074A5">
              <w:rPr>
                <w:color w:val="FFFFFF" w:themeColor="background1"/>
                <w:sz w:val="21"/>
                <w:szCs w:val="21"/>
              </w:rPr>
              <w:t>Totals</w:t>
            </w:r>
          </w:p>
        </w:tc>
        <w:tc>
          <w:tcPr>
            <w:tcW w:w="1488" w:type="dxa"/>
            <w:shd w:val="clear" w:color="auto" w:fill="2F5496"/>
            <w:tcMar>
              <w:top w:w="57" w:type="dxa"/>
              <w:left w:w="57" w:type="dxa"/>
              <w:bottom w:w="57" w:type="dxa"/>
              <w:right w:w="57" w:type="dxa"/>
            </w:tcMar>
            <w:hideMark/>
          </w:tcPr>
          <w:p w14:paraId="7659B0EF" w14:textId="6E77E229" w:rsidR="00AB7B28" w:rsidRPr="00F074A5" w:rsidRDefault="00AB7B28" w:rsidP="00352327">
            <w:pPr>
              <w:spacing w:before="60" w:after="60" w:line="20" w:lineRule="atLeast"/>
              <w:rPr>
                <w:color w:val="FFFFFF" w:themeColor="background1"/>
                <w:sz w:val="21"/>
                <w:szCs w:val="21"/>
              </w:rPr>
            </w:pPr>
            <w:r w:rsidRPr="00F074A5">
              <w:rPr>
                <w:color w:val="FFFFFF" w:themeColor="background1"/>
                <w:sz w:val="21"/>
                <w:szCs w:val="21"/>
              </w:rPr>
              <w:t>$682</w:t>
            </w:r>
            <w:r w:rsidR="00B17172" w:rsidRPr="00F074A5">
              <w:rPr>
                <w:color w:val="FFFFFF" w:themeColor="background1"/>
                <w:sz w:val="21"/>
                <w:szCs w:val="21"/>
              </w:rPr>
              <w:t xml:space="preserve"> million</w:t>
            </w:r>
          </w:p>
        </w:tc>
        <w:tc>
          <w:tcPr>
            <w:tcW w:w="1874" w:type="dxa"/>
            <w:shd w:val="clear" w:color="auto" w:fill="2F5496"/>
            <w:tcMar>
              <w:top w:w="57" w:type="dxa"/>
              <w:left w:w="57" w:type="dxa"/>
              <w:bottom w:w="57" w:type="dxa"/>
              <w:right w:w="57" w:type="dxa"/>
            </w:tcMar>
            <w:hideMark/>
          </w:tcPr>
          <w:p w14:paraId="69E5B569" w14:textId="77777777" w:rsidR="00AB7B28" w:rsidRPr="00F074A5" w:rsidRDefault="00AB7B28" w:rsidP="00352327">
            <w:pPr>
              <w:spacing w:before="60" w:after="60" w:line="20" w:lineRule="atLeast"/>
              <w:rPr>
                <w:color w:val="FFFFFF" w:themeColor="background1"/>
                <w:sz w:val="21"/>
                <w:szCs w:val="21"/>
              </w:rPr>
            </w:pPr>
            <w:r w:rsidRPr="00F074A5">
              <w:rPr>
                <w:color w:val="FFFFFF" w:themeColor="background1"/>
                <w:sz w:val="21"/>
                <w:szCs w:val="21"/>
              </w:rPr>
              <w:t>38%</w:t>
            </w:r>
          </w:p>
        </w:tc>
      </w:tr>
    </w:tbl>
    <w:p w14:paraId="441A06C7" w14:textId="77777777" w:rsidR="00004DA9" w:rsidRPr="006C1F06" w:rsidRDefault="00004DA9" w:rsidP="00352327">
      <w:pPr>
        <w:jc w:val="center"/>
        <w:rPr>
          <w:sz w:val="36"/>
          <w:szCs w:val="40"/>
        </w:rPr>
      </w:pPr>
      <w:r w:rsidRPr="006C1F06">
        <w:rPr>
          <w:b/>
          <w:sz w:val="36"/>
          <w:szCs w:val="40"/>
        </w:rPr>
        <w:t>The benefit to cost ratio for the IMPACT Network is 3.9:1</w:t>
      </w:r>
    </w:p>
    <w:p w14:paraId="6C2D51EF" w14:textId="77777777" w:rsidR="005227C2" w:rsidRDefault="005227C2">
      <w:pPr>
        <w:spacing w:before="0" w:after="200" w:line="276" w:lineRule="auto"/>
        <w:rPr>
          <w:rFonts w:ascii="Franklin Gothic Heavy" w:eastAsiaTheme="majorEastAsia" w:hAnsi="Franklin Gothic Heavy" w:cstheme="majorBidi"/>
          <w:bCs/>
          <w:color w:val="2F5496" w:themeColor="accent5" w:themeShade="BF"/>
          <w:spacing w:val="20"/>
          <w:sz w:val="36"/>
          <w:szCs w:val="28"/>
        </w:rPr>
      </w:pPr>
      <w:bookmarkStart w:id="236" w:name="_Toc349192158"/>
      <w:bookmarkStart w:id="237" w:name="_Toc475352616"/>
      <w:bookmarkStart w:id="238" w:name="_Toc475352804"/>
      <w:bookmarkStart w:id="239" w:name="_Toc350381624"/>
      <w:bookmarkStart w:id="240" w:name="_Toc476562879"/>
      <w:bookmarkStart w:id="241" w:name="_Toc479144913"/>
      <w:bookmarkStart w:id="242" w:name="_Toc479170064"/>
      <w:r>
        <w:br w:type="page"/>
      </w:r>
    </w:p>
    <w:p w14:paraId="44AB29DC" w14:textId="1E82E25E" w:rsidR="00AB7B28" w:rsidRDefault="00AB7B28" w:rsidP="00915516">
      <w:pPr>
        <w:pStyle w:val="Heading1"/>
        <w:keepNext/>
        <w:numPr>
          <w:ilvl w:val="0"/>
          <w:numId w:val="0"/>
        </w:numPr>
        <w:spacing w:before="960"/>
      </w:pPr>
      <w:bookmarkStart w:id="243" w:name="_Toc482004553"/>
      <w:bookmarkStart w:id="244" w:name="_Toc482005825"/>
      <w:bookmarkStart w:id="245" w:name="_Toc487184550"/>
      <w:r w:rsidRPr="00A45AF9">
        <w:lastRenderedPageBreak/>
        <w:t>Australian and New Zealand Intensive Care Society Clinical Trials Group (ANZICS CTG)</w:t>
      </w:r>
      <w:bookmarkEnd w:id="236"/>
      <w:bookmarkEnd w:id="237"/>
      <w:bookmarkEnd w:id="238"/>
      <w:bookmarkEnd w:id="239"/>
      <w:bookmarkEnd w:id="240"/>
      <w:bookmarkEnd w:id="241"/>
      <w:bookmarkEnd w:id="242"/>
      <w:bookmarkEnd w:id="243"/>
      <w:bookmarkEnd w:id="244"/>
      <w:bookmarkEnd w:id="245"/>
    </w:p>
    <w:p w14:paraId="2B6579FD" w14:textId="0DAB67BD" w:rsidR="00AB7B28" w:rsidRDefault="00AB7B28" w:rsidP="00915516">
      <w:pPr>
        <w:pStyle w:val="Heading2"/>
        <w:numPr>
          <w:ilvl w:val="0"/>
          <w:numId w:val="0"/>
        </w:numPr>
      </w:pPr>
      <w:bookmarkStart w:id="246" w:name="_Toc349192159"/>
      <w:bookmarkStart w:id="247" w:name="_Toc475352617"/>
      <w:bookmarkStart w:id="248" w:name="_Toc475352805"/>
      <w:bookmarkStart w:id="249" w:name="_Toc350381625"/>
      <w:bookmarkStart w:id="250" w:name="_Toc476562880"/>
      <w:bookmarkStart w:id="251" w:name="_Toc479144914"/>
      <w:bookmarkStart w:id="252" w:name="_Toc479170065"/>
      <w:bookmarkStart w:id="253" w:name="_Toc482004554"/>
      <w:bookmarkStart w:id="254" w:name="_Toc482005826"/>
      <w:bookmarkStart w:id="255" w:name="_Toc487184551"/>
      <w:r>
        <w:t>History</w:t>
      </w:r>
      <w:bookmarkEnd w:id="246"/>
      <w:bookmarkEnd w:id="247"/>
      <w:bookmarkEnd w:id="248"/>
      <w:bookmarkEnd w:id="249"/>
      <w:bookmarkEnd w:id="250"/>
      <w:bookmarkEnd w:id="251"/>
      <w:bookmarkEnd w:id="252"/>
      <w:bookmarkEnd w:id="253"/>
      <w:bookmarkEnd w:id="254"/>
      <w:bookmarkEnd w:id="255"/>
    </w:p>
    <w:p w14:paraId="063A2A8C" w14:textId="12C336F2" w:rsidR="00D62BA8" w:rsidRDefault="00D62BA8" w:rsidP="00392788">
      <w:pPr>
        <w:pStyle w:val="Commissionbodytext"/>
      </w:pPr>
      <w:r w:rsidRPr="00022309">
        <w:t>The Australian and New Zealand Intensive Care Society Clinical Trials Group (ANZICS CTG) was established in 1994 as a standing committee of the Intensive Care Society.</w:t>
      </w:r>
      <w:r w:rsidRPr="00762CC1">
        <w:rPr>
          <w:vertAlign w:val="superscript"/>
        </w:rPr>
        <w:footnoteReference w:id="39"/>
      </w:r>
      <w:r w:rsidRPr="00BA4C19">
        <w:t xml:space="preserve"> </w:t>
      </w:r>
      <w:r w:rsidRPr="00022309">
        <w:t>It is now a collaboration of world leaders in the design and conduct of multicentre trials, committed to seeking better clinical research and greater quality evidence in intensive care medicine. The group is one of the world’s largest and most successful critical care research networks, with more than 500 members.</w:t>
      </w:r>
      <w:r w:rsidRPr="00762CC1">
        <w:rPr>
          <w:vertAlign w:val="superscript"/>
        </w:rPr>
        <w:footnoteReference w:id="40"/>
      </w:r>
      <w:r>
        <w:t xml:space="preserve"> </w:t>
      </w:r>
      <w:r w:rsidRPr="00022309">
        <w:t>The network is active in more than 70 Australian adult and paediatric</w:t>
      </w:r>
      <w:r w:rsidR="000E7975">
        <w:t xml:space="preserve"> </w:t>
      </w:r>
      <w:r w:rsidRPr="00022309">
        <w:t>ICUs.</w:t>
      </w:r>
      <w:r>
        <w:t xml:space="preserve"> </w:t>
      </w:r>
    </w:p>
    <w:p w14:paraId="0C2699B0" w14:textId="77777777" w:rsidR="00242BEB" w:rsidRDefault="00242BEB" w:rsidP="00392788">
      <w:pPr>
        <w:pStyle w:val="Commissionbodytext"/>
      </w:pPr>
    </w:p>
    <w:p w14:paraId="3EFDF318" w14:textId="3E3ECFD2" w:rsidR="00F64140" w:rsidRPr="00F64140" w:rsidRDefault="00F64140" w:rsidP="00F64140">
      <w:pPr>
        <w:pStyle w:val="Caption"/>
      </w:pPr>
      <w:bookmarkStart w:id="256" w:name="_Toc479177419"/>
      <w:r>
        <w:t xml:space="preserve">Appendix A Table </w:t>
      </w:r>
      <w:fldSimple w:instr=" SEQ Appendix_A_Table \* ARABIC ">
        <w:r w:rsidR="007B3054">
          <w:rPr>
            <w:noProof/>
          </w:rPr>
          <w:t>9</w:t>
        </w:r>
      </w:fldSimple>
      <w:r>
        <w:t>. ANZICS CTG historical activity profile</w:t>
      </w:r>
      <w:bookmarkEnd w:id="256"/>
    </w:p>
    <w:tbl>
      <w:tblPr>
        <w:tblW w:w="14391"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shd w:val="clear" w:color="auto" w:fill="D9E2F3" w:themeFill="accent5" w:themeFillTint="33"/>
        <w:tblLook w:val="04A0" w:firstRow="1" w:lastRow="0" w:firstColumn="1" w:lastColumn="0" w:noHBand="0" w:noVBand="1"/>
      </w:tblPr>
      <w:tblGrid>
        <w:gridCol w:w="2878"/>
        <w:gridCol w:w="2878"/>
        <w:gridCol w:w="2878"/>
        <w:gridCol w:w="2878"/>
        <w:gridCol w:w="2879"/>
      </w:tblGrid>
      <w:tr w:rsidR="00F64140" w:rsidRPr="00DD5584" w14:paraId="780AACDA" w14:textId="77777777" w:rsidTr="00392788">
        <w:trPr>
          <w:trHeight w:val="534"/>
        </w:trPr>
        <w:tc>
          <w:tcPr>
            <w:tcW w:w="2878" w:type="dxa"/>
            <w:shd w:val="clear" w:color="auto" w:fill="2F5496"/>
          </w:tcPr>
          <w:p w14:paraId="33182405" w14:textId="77777777" w:rsidR="00F64140" w:rsidRPr="00392788" w:rsidRDefault="00F64140" w:rsidP="00352327">
            <w:pPr>
              <w:spacing w:after="120" w:line="240" w:lineRule="auto"/>
              <w:rPr>
                <w:b/>
                <w:bCs/>
                <w:color w:val="FFFFFF" w:themeColor="background1"/>
                <w:sz w:val="21"/>
                <w:szCs w:val="21"/>
              </w:rPr>
            </w:pPr>
            <w:r w:rsidRPr="00392788">
              <w:rPr>
                <w:b/>
                <w:bCs/>
                <w:color w:val="FFFFFF" w:themeColor="background1"/>
                <w:sz w:val="21"/>
                <w:szCs w:val="21"/>
              </w:rPr>
              <w:t>Year first established</w:t>
            </w:r>
          </w:p>
        </w:tc>
        <w:tc>
          <w:tcPr>
            <w:tcW w:w="2878" w:type="dxa"/>
            <w:shd w:val="clear" w:color="auto" w:fill="2F5496"/>
          </w:tcPr>
          <w:p w14:paraId="402AADA8" w14:textId="77777777" w:rsidR="00F64140" w:rsidRPr="00392788" w:rsidRDefault="00F64140" w:rsidP="00352327">
            <w:pPr>
              <w:spacing w:after="120" w:line="240" w:lineRule="auto"/>
              <w:rPr>
                <w:b/>
                <w:bCs/>
                <w:color w:val="FFFFFF" w:themeColor="background1"/>
                <w:sz w:val="21"/>
                <w:szCs w:val="21"/>
              </w:rPr>
            </w:pPr>
            <w:r w:rsidRPr="00392788">
              <w:rPr>
                <w:b/>
                <w:bCs/>
                <w:color w:val="FFFFFF" w:themeColor="background1"/>
                <w:sz w:val="21"/>
                <w:szCs w:val="21"/>
              </w:rPr>
              <w:t>Members</w:t>
            </w:r>
          </w:p>
        </w:tc>
        <w:tc>
          <w:tcPr>
            <w:tcW w:w="2878" w:type="dxa"/>
            <w:shd w:val="clear" w:color="auto" w:fill="2F5496"/>
          </w:tcPr>
          <w:p w14:paraId="4054D7B4" w14:textId="1FE925E1" w:rsidR="00F64140" w:rsidRPr="00392788" w:rsidRDefault="00F64140" w:rsidP="00352327">
            <w:pPr>
              <w:spacing w:after="120" w:line="240" w:lineRule="auto"/>
              <w:rPr>
                <w:b/>
                <w:bCs/>
                <w:color w:val="FFFFFF" w:themeColor="background1"/>
                <w:sz w:val="21"/>
                <w:szCs w:val="21"/>
              </w:rPr>
            </w:pPr>
            <w:r w:rsidRPr="00392788">
              <w:rPr>
                <w:b/>
                <w:bCs/>
                <w:color w:val="FFFFFF" w:themeColor="background1"/>
                <w:sz w:val="21"/>
                <w:szCs w:val="21"/>
              </w:rPr>
              <w:t>Studies</w:t>
            </w:r>
          </w:p>
        </w:tc>
        <w:tc>
          <w:tcPr>
            <w:tcW w:w="2878" w:type="dxa"/>
            <w:shd w:val="clear" w:color="auto" w:fill="2F5496"/>
          </w:tcPr>
          <w:p w14:paraId="11E3EDC9" w14:textId="3E961D27" w:rsidR="00F64140" w:rsidRPr="00392788" w:rsidRDefault="00F64140" w:rsidP="00352327">
            <w:pPr>
              <w:spacing w:after="120" w:line="240" w:lineRule="auto"/>
              <w:rPr>
                <w:b/>
                <w:bCs/>
                <w:color w:val="FFFFFF" w:themeColor="background1"/>
                <w:sz w:val="21"/>
                <w:szCs w:val="21"/>
              </w:rPr>
            </w:pPr>
            <w:r w:rsidRPr="00392788">
              <w:rPr>
                <w:b/>
                <w:bCs/>
                <w:color w:val="FFFFFF" w:themeColor="background1"/>
                <w:sz w:val="21"/>
                <w:szCs w:val="21"/>
              </w:rPr>
              <w:t>Funding</w:t>
            </w:r>
          </w:p>
        </w:tc>
        <w:tc>
          <w:tcPr>
            <w:tcW w:w="2879" w:type="dxa"/>
            <w:shd w:val="clear" w:color="auto" w:fill="2F5496"/>
          </w:tcPr>
          <w:p w14:paraId="7025DFE1" w14:textId="5771AA10" w:rsidR="00F64140" w:rsidRPr="00392788" w:rsidRDefault="00F64140" w:rsidP="00352327">
            <w:pPr>
              <w:spacing w:after="120" w:line="240" w:lineRule="auto"/>
              <w:rPr>
                <w:b/>
                <w:bCs/>
                <w:color w:val="FFFFFF" w:themeColor="background1"/>
                <w:sz w:val="21"/>
                <w:szCs w:val="21"/>
              </w:rPr>
            </w:pPr>
            <w:r w:rsidRPr="00392788">
              <w:rPr>
                <w:b/>
                <w:bCs/>
                <w:color w:val="FFFFFF" w:themeColor="background1"/>
                <w:sz w:val="21"/>
                <w:szCs w:val="21"/>
              </w:rPr>
              <w:t>Publications</w:t>
            </w:r>
          </w:p>
        </w:tc>
      </w:tr>
      <w:tr w:rsidR="00F64140" w:rsidRPr="00DD5584" w14:paraId="4FE002C0" w14:textId="77777777" w:rsidTr="00392788">
        <w:trPr>
          <w:trHeight w:val="660"/>
        </w:trPr>
        <w:tc>
          <w:tcPr>
            <w:tcW w:w="2878" w:type="dxa"/>
            <w:shd w:val="clear" w:color="auto" w:fill="auto"/>
          </w:tcPr>
          <w:p w14:paraId="4C96199C" w14:textId="77777777" w:rsidR="00F64140" w:rsidRPr="00F074A5" w:rsidRDefault="00F64140" w:rsidP="00392788">
            <w:pPr>
              <w:spacing w:before="120" w:after="120" w:line="240" w:lineRule="auto"/>
              <w:rPr>
                <w:sz w:val="21"/>
                <w:szCs w:val="21"/>
              </w:rPr>
            </w:pPr>
            <w:r w:rsidRPr="00F074A5">
              <w:rPr>
                <w:sz w:val="21"/>
                <w:szCs w:val="21"/>
              </w:rPr>
              <w:t>1994</w:t>
            </w:r>
          </w:p>
        </w:tc>
        <w:tc>
          <w:tcPr>
            <w:tcW w:w="2878" w:type="dxa"/>
            <w:shd w:val="clear" w:color="auto" w:fill="auto"/>
          </w:tcPr>
          <w:p w14:paraId="35615D99" w14:textId="082C349C" w:rsidR="00F64140" w:rsidRPr="00F074A5" w:rsidRDefault="00F64140" w:rsidP="00392788">
            <w:pPr>
              <w:spacing w:before="120" w:after="120" w:line="240" w:lineRule="auto"/>
              <w:rPr>
                <w:bCs/>
                <w:sz w:val="21"/>
                <w:szCs w:val="21"/>
              </w:rPr>
            </w:pPr>
            <w:r w:rsidRPr="00F074A5">
              <w:rPr>
                <w:bCs/>
                <w:sz w:val="21"/>
                <w:szCs w:val="21"/>
              </w:rPr>
              <w:t>Australia</w:t>
            </w:r>
            <w:r w:rsidR="004A5B34" w:rsidRPr="00F074A5">
              <w:rPr>
                <w:bCs/>
                <w:sz w:val="21"/>
                <w:szCs w:val="21"/>
              </w:rPr>
              <w:t>-</w:t>
            </w:r>
            <w:r w:rsidRPr="00F074A5">
              <w:rPr>
                <w:bCs/>
                <w:sz w:val="21"/>
                <w:szCs w:val="21"/>
              </w:rPr>
              <w:t>wide</w:t>
            </w:r>
          </w:p>
          <w:p w14:paraId="73508DF2" w14:textId="77777777" w:rsidR="00F64140" w:rsidRPr="00F074A5" w:rsidRDefault="00F64140" w:rsidP="00392788">
            <w:pPr>
              <w:spacing w:before="120" w:after="120" w:line="240" w:lineRule="auto"/>
              <w:rPr>
                <w:bCs/>
                <w:sz w:val="21"/>
                <w:szCs w:val="21"/>
              </w:rPr>
            </w:pPr>
            <w:r w:rsidRPr="00F074A5">
              <w:rPr>
                <w:bCs/>
                <w:sz w:val="21"/>
                <w:szCs w:val="21"/>
              </w:rPr>
              <w:t>New Zealand</w:t>
            </w:r>
          </w:p>
          <w:p w14:paraId="7462752C" w14:textId="77777777" w:rsidR="00F64140" w:rsidRPr="00F074A5" w:rsidRDefault="00F64140" w:rsidP="00392788">
            <w:pPr>
              <w:spacing w:before="120" w:after="120" w:line="240" w:lineRule="auto"/>
              <w:rPr>
                <w:bCs/>
                <w:sz w:val="21"/>
                <w:szCs w:val="21"/>
              </w:rPr>
            </w:pPr>
            <w:r w:rsidRPr="00F074A5">
              <w:rPr>
                <w:bCs/>
                <w:sz w:val="21"/>
                <w:szCs w:val="21"/>
              </w:rPr>
              <w:t>International</w:t>
            </w:r>
          </w:p>
        </w:tc>
        <w:tc>
          <w:tcPr>
            <w:tcW w:w="2878" w:type="dxa"/>
            <w:shd w:val="clear" w:color="auto" w:fill="auto"/>
          </w:tcPr>
          <w:p w14:paraId="0036075C" w14:textId="77777777" w:rsidR="00F64140" w:rsidRPr="00F074A5" w:rsidRDefault="00F64140" w:rsidP="00392788">
            <w:pPr>
              <w:spacing w:before="120" w:after="120" w:line="240" w:lineRule="auto"/>
              <w:rPr>
                <w:bCs/>
                <w:sz w:val="21"/>
                <w:szCs w:val="21"/>
              </w:rPr>
            </w:pPr>
            <w:r w:rsidRPr="00F074A5">
              <w:rPr>
                <w:bCs/>
                <w:sz w:val="21"/>
                <w:szCs w:val="21"/>
              </w:rPr>
              <w:t>41 published</w:t>
            </w:r>
          </w:p>
          <w:p w14:paraId="33C4F6F7" w14:textId="77777777" w:rsidR="00F64140" w:rsidRPr="00F074A5" w:rsidRDefault="00F64140" w:rsidP="00392788">
            <w:pPr>
              <w:spacing w:before="120" w:after="120" w:line="240" w:lineRule="auto"/>
              <w:rPr>
                <w:bCs/>
                <w:sz w:val="21"/>
                <w:szCs w:val="21"/>
              </w:rPr>
            </w:pPr>
            <w:r w:rsidRPr="00F074A5">
              <w:rPr>
                <w:bCs/>
                <w:sz w:val="21"/>
                <w:szCs w:val="21"/>
              </w:rPr>
              <w:t>48 current</w:t>
            </w:r>
          </w:p>
        </w:tc>
        <w:tc>
          <w:tcPr>
            <w:tcW w:w="2878" w:type="dxa"/>
            <w:shd w:val="clear" w:color="auto" w:fill="auto"/>
          </w:tcPr>
          <w:p w14:paraId="7ACD218E" w14:textId="22EB05F0" w:rsidR="00F64140" w:rsidRPr="00F074A5" w:rsidRDefault="00F64140" w:rsidP="00392788">
            <w:pPr>
              <w:spacing w:before="120" w:after="120" w:line="240" w:lineRule="auto"/>
              <w:rPr>
                <w:bCs/>
                <w:sz w:val="21"/>
                <w:szCs w:val="21"/>
              </w:rPr>
            </w:pPr>
            <w:r w:rsidRPr="00F074A5">
              <w:rPr>
                <w:bCs/>
                <w:sz w:val="21"/>
                <w:szCs w:val="21"/>
              </w:rPr>
              <w:t>&gt;$50</w:t>
            </w:r>
            <w:r w:rsidR="00B17172" w:rsidRPr="00F074A5">
              <w:rPr>
                <w:bCs/>
                <w:sz w:val="21"/>
                <w:szCs w:val="21"/>
              </w:rPr>
              <w:t xml:space="preserve"> million</w:t>
            </w:r>
          </w:p>
        </w:tc>
        <w:tc>
          <w:tcPr>
            <w:tcW w:w="2879" w:type="dxa"/>
            <w:shd w:val="clear" w:color="auto" w:fill="auto"/>
          </w:tcPr>
          <w:p w14:paraId="04EE953D" w14:textId="77777777" w:rsidR="00F64140" w:rsidRPr="00F074A5" w:rsidRDefault="00F64140" w:rsidP="00392788">
            <w:pPr>
              <w:spacing w:before="120" w:after="120" w:line="240" w:lineRule="auto"/>
              <w:rPr>
                <w:bCs/>
                <w:sz w:val="21"/>
                <w:szCs w:val="21"/>
              </w:rPr>
            </w:pPr>
            <w:r w:rsidRPr="00F074A5">
              <w:rPr>
                <w:bCs/>
                <w:sz w:val="21"/>
                <w:szCs w:val="21"/>
              </w:rPr>
              <w:t>130+</w:t>
            </w:r>
          </w:p>
        </w:tc>
      </w:tr>
    </w:tbl>
    <w:p w14:paraId="3DA5AC46" w14:textId="0972E97A" w:rsidR="00A41A17" w:rsidRDefault="00DF5E15" w:rsidP="00F074A5">
      <w:pPr>
        <w:pStyle w:val="ListBullet3"/>
        <w:numPr>
          <w:ilvl w:val="0"/>
          <w:numId w:val="0"/>
        </w:numPr>
        <w:rPr>
          <w:rFonts w:eastAsiaTheme="majorEastAsia" w:cstheme="majorBidi"/>
          <w:color w:val="00A9E5"/>
          <w:sz w:val="36"/>
          <w:szCs w:val="26"/>
        </w:rPr>
      </w:pPr>
      <w:r>
        <w:rPr>
          <w:sz w:val="18"/>
          <w:szCs w:val="18"/>
          <w:lang w:val="en-AU"/>
        </w:rPr>
        <w:t>Data related to studies, publications and known high impact trials sourced from the Profiling Networks Project were current at end 2014.</w:t>
      </w:r>
      <w:bookmarkStart w:id="257" w:name="_Toc349192160"/>
      <w:bookmarkStart w:id="258" w:name="_Toc475352618"/>
      <w:bookmarkStart w:id="259" w:name="_Toc475352806"/>
      <w:bookmarkStart w:id="260" w:name="_Toc350381626"/>
      <w:bookmarkStart w:id="261" w:name="_Toc476562881"/>
    </w:p>
    <w:p w14:paraId="6DCFF796" w14:textId="3233A8AA" w:rsidR="00AB7B28" w:rsidRDefault="00AB7B28" w:rsidP="00915516">
      <w:pPr>
        <w:pStyle w:val="Heading2"/>
        <w:numPr>
          <w:ilvl w:val="0"/>
          <w:numId w:val="0"/>
        </w:numPr>
      </w:pPr>
      <w:bookmarkStart w:id="262" w:name="_Toc479144915"/>
      <w:bookmarkStart w:id="263" w:name="_Toc479170066"/>
      <w:bookmarkStart w:id="264" w:name="_Toc482004555"/>
      <w:bookmarkStart w:id="265" w:name="_Toc482005827"/>
      <w:bookmarkStart w:id="266" w:name="_Toc487184552"/>
      <w:r>
        <w:lastRenderedPageBreak/>
        <w:t>Core functions</w:t>
      </w:r>
      <w:bookmarkEnd w:id="257"/>
      <w:bookmarkEnd w:id="258"/>
      <w:bookmarkEnd w:id="259"/>
      <w:bookmarkEnd w:id="260"/>
      <w:bookmarkEnd w:id="261"/>
      <w:bookmarkEnd w:id="262"/>
      <w:bookmarkEnd w:id="263"/>
      <w:bookmarkEnd w:id="264"/>
      <w:bookmarkEnd w:id="265"/>
      <w:bookmarkEnd w:id="266"/>
    </w:p>
    <w:p w14:paraId="5E5A19BF" w14:textId="01CED39C" w:rsidR="00AB7B28" w:rsidRPr="00022309" w:rsidRDefault="00AB7B28" w:rsidP="00392788">
      <w:pPr>
        <w:pStyle w:val="Commissionbodytext"/>
      </w:pPr>
      <w:r w:rsidRPr="00022309">
        <w:t>The ANZICS CTG executive committee has 18 representatives from across Australia and New Zealand.</w:t>
      </w:r>
      <w:r w:rsidR="002D3BB9">
        <w:t xml:space="preserve"> </w:t>
      </w:r>
      <w:r w:rsidRPr="00022309">
        <w:t xml:space="preserve">These professionals provide their time, mainly through in-kind support (in addition to their clinical commitments) to facilitate the strategic development of the </w:t>
      </w:r>
      <w:r w:rsidR="00242BEB">
        <w:t>n</w:t>
      </w:r>
      <w:r w:rsidRPr="00022309">
        <w:t>etwork. CTG activities broadly fall within three areas</w:t>
      </w:r>
      <w:r w:rsidR="00B80B8B">
        <w:t>.</w:t>
      </w:r>
      <w:r w:rsidRPr="00762CC1">
        <w:rPr>
          <w:vertAlign w:val="superscript"/>
        </w:rPr>
        <w:footnoteReference w:id="41"/>
      </w:r>
    </w:p>
    <w:p w14:paraId="419A8FB9" w14:textId="01305570" w:rsidR="00AB7B28" w:rsidRDefault="00AB7B28" w:rsidP="00615DF0">
      <w:pPr>
        <w:pStyle w:val="Heading3"/>
        <w:keepNext/>
        <w:numPr>
          <w:ilvl w:val="0"/>
          <w:numId w:val="11"/>
        </w:numPr>
        <w:spacing w:before="200" w:line="300" w:lineRule="auto"/>
      </w:pPr>
      <w:r w:rsidRPr="00022309">
        <w:t>Leading and contributing to special interest working g</w:t>
      </w:r>
      <w:r w:rsidR="0033482F">
        <w:t>roups and scientific meetings</w:t>
      </w:r>
    </w:p>
    <w:p w14:paraId="61889627" w14:textId="33CD4690" w:rsidR="00AB7B28" w:rsidRPr="00022309" w:rsidRDefault="00B80B8B" w:rsidP="00392788">
      <w:pPr>
        <w:pStyle w:val="Commissionbodytext"/>
      </w:pPr>
      <w:r>
        <w:t>Leading and contributing to special interest working groups</w:t>
      </w:r>
      <w:r w:rsidRPr="00022309">
        <w:t xml:space="preserve"> </w:t>
      </w:r>
      <w:r w:rsidR="00AB7B28" w:rsidRPr="00022309">
        <w:t>maintains and develops the culture of innovation.</w:t>
      </w:r>
      <w:r w:rsidR="002D3BB9">
        <w:t xml:space="preserve"> </w:t>
      </w:r>
      <w:r w:rsidR="00AB7B28" w:rsidRPr="00022309">
        <w:t xml:space="preserve">The </w:t>
      </w:r>
      <w:r>
        <w:t>network’s engagement with scientific meetings</w:t>
      </w:r>
      <w:r w:rsidR="00AB7B28" w:rsidRPr="00022309">
        <w:t xml:space="preserve"> supports a peer review process that is central </w:t>
      </w:r>
      <w:r>
        <w:t>to</w:t>
      </w:r>
      <w:r w:rsidRPr="00022309">
        <w:t xml:space="preserve"> </w:t>
      </w:r>
      <w:r w:rsidR="00AB7B28" w:rsidRPr="00022309">
        <w:t>all aspects of trial activity from identifying the right clinical questions to implementing findings in</w:t>
      </w:r>
      <w:r>
        <w:t xml:space="preserve"> </w:t>
      </w:r>
      <w:r w:rsidR="00AB7B28" w:rsidRPr="00022309">
        <w:t>practice.</w:t>
      </w:r>
      <w:r w:rsidR="002D3BB9">
        <w:t xml:space="preserve"> </w:t>
      </w:r>
      <w:r w:rsidR="00AB7B28" w:rsidRPr="00022309">
        <w:t>Three scientific meetings are held annually and are a key resource for the dissemination of intellectual capital, exchange of ideas and prioritisation of areas of clinical uncertainty.</w:t>
      </w:r>
      <w:r w:rsidR="002D3BB9">
        <w:t xml:space="preserve"> </w:t>
      </w:r>
    </w:p>
    <w:p w14:paraId="4FF5503A" w14:textId="43B40FB2" w:rsidR="00AB7B28" w:rsidRPr="00022309" w:rsidRDefault="00AB7B28" w:rsidP="00615DF0">
      <w:pPr>
        <w:pStyle w:val="Heading3"/>
        <w:keepNext/>
        <w:numPr>
          <w:ilvl w:val="0"/>
          <w:numId w:val="11"/>
        </w:numPr>
        <w:spacing w:before="200" w:line="300" w:lineRule="auto"/>
      </w:pPr>
      <w:r w:rsidRPr="00022309">
        <w:t>Review of study protocols and manuscripts for CTG end</w:t>
      </w:r>
      <w:r w:rsidR="0033482F">
        <w:t>orsement</w:t>
      </w:r>
    </w:p>
    <w:p w14:paraId="111396CB" w14:textId="7572C219" w:rsidR="00AB7B28" w:rsidRPr="00022309" w:rsidRDefault="00AB7B28" w:rsidP="00392788">
      <w:pPr>
        <w:pStyle w:val="Commissionbodytext"/>
      </w:pPr>
      <w:r w:rsidRPr="00022309">
        <w:t>This involves a significant time commitment with over 80 papers reviewed on average per year.</w:t>
      </w:r>
      <w:r w:rsidR="002D3BB9">
        <w:t xml:space="preserve"> </w:t>
      </w:r>
      <w:r w:rsidRPr="00022309">
        <w:t xml:space="preserve">The </w:t>
      </w:r>
      <w:r w:rsidR="00762CC1">
        <w:t>n</w:t>
      </w:r>
      <w:r w:rsidRPr="00022309">
        <w:t>etwork assists with study design, project planning, scoping for funding and recruitment and the refinement of papers and manuscripts for publication. This enables large multicentre trials to take place efficiently. Study endorsement ensures the highest standards of scientific validity and feasibility are followed in endorsed trials. The process is dependent on presentation and peer review and increases the likelihood of implementation of endorsed trial findings, as these trials are believed to be relevant, valid and appropriate.</w:t>
      </w:r>
      <w:r w:rsidR="002D3BB9">
        <w:t xml:space="preserve"> </w:t>
      </w:r>
    </w:p>
    <w:p w14:paraId="378C956E" w14:textId="2B5A11C0" w:rsidR="00AB7B28" w:rsidRPr="00022309" w:rsidRDefault="00AB7B28" w:rsidP="00615DF0">
      <w:pPr>
        <w:pStyle w:val="Heading3"/>
        <w:keepNext/>
        <w:numPr>
          <w:ilvl w:val="0"/>
          <w:numId w:val="11"/>
        </w:numPr>
        <w:spacing w:before="200" w:line="300" w:lineRule="auto"/>
      </w:pPr>
      <w:r w:rsidRPr="00022309">
        <w:t>Ment</w:t>
      </w:r>
      <w:r w:rsidR="0033482F">
        <w:t>oring, training and development</w:t>
      </w:r>
    </w:p>
    <w:p w14:paraId="274D72D5" w14:textId="76354BEF" w:rsidR="00AB7B28" w:rsidRDefault="00AB7B28" w:rsidP="00AB7B28">
      <w:r>
        <w:t>The n</w:t>
      </w:r>
      <w:r w:rsidRPr="00022309">
        <w:t>etwork provides assistance to trial investigators throughout the process of a trial until completion. This is an essential service in the continuous improvement of standards in research activities. Mentoring is also central in developing the next generation of investigators.</w:t>
      </w:r>
      <w:r w:rsidR="002D3BB9">
        <w:t xml:space="preserve"> </w:t>
      </w:r>
    </w:p>
    <w:p w14:paraId="613B0EFF" w14:textId="3C8B1D6C" w:rsidR="00AB7B28" w:rsidRDefault="00AB7B28" w:rsidP="00915516">
      <w:pPr>
        <w:pStyle w:val="Heading2"/>
        <w:numPr>
          <w:ilvl w:val="0"/>
          <w:numId w:val="0"/>
        </w:numPr>
      </w:pPr>
      <w:bookmarkStart w:id="267" w:name="_Toc349192161"/>
      <w:bookmarkStart w:id="268" w:name="_Toc475352619"/>
      <w:bookmarkStart w:id="269" w:name="_Toc475352807"/>
      <w:bookmarkStart w:id="270" w:name="_Toc350381627"/>
      <w:bookmarkStart w:id="271" w:name="_Toc476562882"/>
      <w:bookmarkStart w:id="272" w:name="_Toc479144916"/>
      <w:bookmarkStart w:id="273" w:name="_Toc479170067"/>
      <w:bookmarkStart w:id="274" w:name="_Toc482004556"/>
      <w:bookmarkStart w:id="275" w:name="_Toc482005828"/>
      <w:bookmarkStart w:id="276" w:name="_Toc487184553"/>
      <w:r>
        <w:lastRenderedPageBreak/>
        <w:t>Structure and funding</w:t>
      </w:r>
      <w:bookmarkEnd w:id="267"/>
      <w:bookmarkEnd w:id="268"/>
      <w:bookmarkEnd w:id="269"/>
      <w:bookmarkEnd w:id="270"/>
      <w:bookmarkEnd w:id="271"/>
      <w:bookmarkEnd w:id="272"/>
      <w:bookmarkEnd w:id="273"/>
      <w:bookmarkEnd w:id="274"/>
      <w:bookmarkEnd w:id="275"/>
      <w:bookmarkEnd w:id="276"/>
    </w:p>
    <w:p w14:paraId="31BB40A0" w14:textId="6518D64E" w:rsidR="00AB7B28" w:rsidRPr="00022309" w:rsidRDefault="00AB7B28" w:rsidP="00392788">
      <w:pPr>
        <w:pStyle w:val="Commissionbodytext"/>
      </w:pPr>
      <w:r w:rsidRPr="00022309">
        <w:t>Individual member ICUs contribute to the running costs of the CTG through annual membership fees. The group has previously been awarded two NHMRC</w:t>
      </w:r>
      <w:r w:rsidR="00176EB8">
        <w:t xml:space="preserve"> </w:t>
      </w:r>
      <w:r w:rsidR="0067558F">
        <w:t>five</w:t>
      </w:r>
      <w:r w:rsidRPr="00022309">
        <w:t>-year enabling grants. Sponsorship funds meetings of the executive committee and an annual meeting, but all other activities described are achieved through in-kind contribution.</w:t>
      </w:r>
      <w:r w:rsidR="002D3BB9">
        <w:t xml:space="preserve"> </w:t>
      </w:r>
    </w:p>
    <w:p w14:paraId="5D7A0F63" w14:textId="77777777" w:rsidR="009B48B4" w:rsidRDefault="009B48B4" w:rsidP="00392788">
      <w:pPr>
        <w:pStyle w:val="Commissionbodytext"/>
      </w:pPr>
    </w:p>
    <w:p w14:paraId="77AB1ADB" w14:textId="18995CDC" w:rsidR="00AB7B28" w:rsidRPr="00022309" w:rsidRDefault="00AB7B28" w:rsidP="00392788">
      <w:pPr>
        <w:pStyle w:val="Commissionbodytext"/>
      </w:pPr>
      <w:r w:rsidRPr="00022309">
        <w:t>The ANZICS CTG collaborates with world class coordinating centres, the ANZIC Research Centre (ANZIC-RC) at Monash University and The George Institute for Global Health.</w:t>
      </w:r>
      <w:r w:rsidR="002D3BB9">
        <w:t xml:space="preserve"> </w:t>
      </w:r>
      <w:r w:rsidRPr="00022309">
        <w:t>These centres provide vital infrastructure in the form of trial coordination at an individual site level and capacity and expertise in management, biostatistics, scientific methods and analysis.</w:t>
      </w:r>
      <w:r w:rsidR="0096241B">
        <w:t xml:space="preserve"> </w:t>
      </w:r>
    </w:p>
    <w:p w14:paraId="37047DC7" w14:textId="77777777" w:rsidR="009B48B4" w:rsidRDefault="009B48B4" w:rsidP="00392788">
      <w:pPr>
        <w:pStyle w:val="Commissionbodytext"/>
      </w:pPr>
    </w:p>
    <w:p w14:paraId="7A323080" w14:textId="6E4DBACF" w:rsidR="00AB7B28" w:rsidRPr="00022309" w:rsidRDefault="00AB7B28" w:rsidP="00392788">
      <w:pPr>
        <w:pStyle w:val="Commissionbodytext"/>
      </w:pPr>
      <w:r w:rsidRPr="00022309">
        <w:t>Both the ANZIC-RC and the George Institute provide training and development, principally through workshops targeted to early career researchers and annual or bi-annual conferences for the dissemination of best practices and evidence.</w:t>
      </w:r>
      <w:r w:rsidR="002D3BB9">
        <w:t xml:space="preserve"> </w:t>
      </w:r>
      <w:r w:rsidRPr="00022309">
        <w:t>These events provide opportunities for discussions between senior clinicians on the ways to move forward with areas of clinical research.</w:t>
      </w:r>
      <w:r w:rsidR="002D3BB9">
        <w:t xml:space="preserve"> </w:t>
      </w:r>
      <w:r w:rsidRPr="00022309">
        <w:t>Significantly, they allow for synergistic research determination so that duplication and overlap is avoided and relationships are developed to leverage compl</w:t>
      </w:r>
      <w:r w:rsidR="00B80B8B">
        <w:t>e</w:t>
      </w:r>
      <w:r w:rsidRPr="00022309">
        <w:t>mentary work.</w:t>
      </w:r>
      <w:r w:rsidR="002D3BB9">
        <w:t xml:space="preserve"> </w:t>
      </w:r>
      <w:r w:rsidRPr="00022309">
        <w:t xml:space="preserve">This is an important way in which </w:t>
      </w:r>
      <w:r w:rsidR="00B80B8B">
        <w:t>ANZICS CTG</w:t>
      </w:r>
      <w:r w:rsidR="00B80B8B" w:rsidRPr="00022309">
        <w:t xml:space="preserve"> </w:t>
      </w:r>
      <w:r w:rsidRPr="00022309">
        <w:t>reduces potential waste.</w:t>
      </w:r>
      <w:r w:rsidR="002D3BB9">
        <w:t xml:space="preserve"> </w:t>
      </w:r>
    </w:p>
    <w:p w14:paraId="6B36C6CC" w14:textId="77777777" w:rsidR="009B48B4" w:rsidRDefault="009B48B4" w:rsidP="00392788">
      <w:pPr>
        <w:pStyle w:val="Commissionbodytext"/>
      </w:pPr>
    </w:p>
    <w:p w14:paraId="727BA2E5" w14:textId="661F9863" w:rsidR="00AB7B28" w:rsidRDefault="00AB7B28" w:rsidP="00392788">
      <w:pPr>
        <w:pStyle w:val="Commissionbodytext"/>
      </w:pPr>
      <w:r w:rsidRPr="00022309">
        <w:t xml:space="preserve">More than two thirds of the research activity carried out by the ANZIC-RC is for CTG endorsed studies or their sub-studies. Similar to central CTG costs, a significant proportion of the activities of the coordinating centres rely on the in-kind contribution of senior clinicians and research experts. Physical infrastructure for ANZIC-RC is provided through discounted pricing from Monash University, </w:t>
      </w:r>
      <w:r w:rsidR="0056161A">
        <w:t>while</w:t>
      </w:r>
      <w:r w:rsidRPr="00022309">
        <w:t xml:space="preserve"> </w:t>
      </w:r>
      <w:r w:rsidR="00804DD4">
        <w:t>T</w:t>
      </w:r>
      <w:r w:rsidRPr="00022309">
        <w:t xml:space="preserve">he George Institute </w:t>
      </w:r>
      <w:r w:rsidR="00804DD4">
        <w:t xml:space="preserve">for Global Health </w:t>
      </w:r>
      <w:r w:rsidRPr="00022309">
        <w:t>is affiliated with the University of Sydney</w:t>
      </w:r>
      <w:r w:rsidRPr="00A45AF9">
        <w:t>.</w:t>
      </w:r>
      <w:r w:rsidRPr="00A45AF9">
        <w:rPr>
          <w:vertAlign w:val="superscript"/>
        </w:rPr>
        <w:footnoteReference w:id="42"/>
      </w:r>
    </w:p>
    <w:p w14:paraId="718F3223" w14:textId="77777777" w:rsidR="00A41A17" w:rsidRDefault="00A41A17">
      <w:pPr>
        <w:spacing w:before="0" w:after="200" w:line="276" w:lineRule="auto"/>
        <w:rPr>
          <w:rFonts w:eastAsiaTheme="minorEastAsia"/>
          <w:b/>
          <w:bCs/>
          <w:color w:val="2F5496" w:themeColor="accent5" w:themeShade="BF"/>
          <w:spacing w:val="6"/>
          <w:szCs w:val="18"/>
          <w:lang w:bidi="hi-IN"/>
        </w:rPr>
      </w:pPr>
      <w:r>
        <w:br w:type="page"/>
      </w:r>
    </w:p>
    <w:p w14:paraId="08C51607" w14:textId="138241A3" w:rsidR="00AB7B28" w:rsidRPr="00022309" w:rsidRDefault="00F64140" w:rsidP="00F64140">
      <w:pPr>
        <w:pStyle w:val="Caption"/>
      </w:pPr>
      <w:bookmarkStart w:id="277" w:name="_Toc479177420"/>
      <w:r>
        <w:lastRenderedPageBreak/>
        <w:t xml:space="preserve">Appendix A Table </w:t>
      </w:r>
      <w:fldSimple w:instr=" SEQ Appendix_A_Table \* ARABIC ">
        <w:r w:rsidR="007B3054">
          <w:rPr>
            <w:noProof/>
          </w:rPr>
          <w:t>10</w:t>
        </w:r>
      </w:fldSimple>
      <w:r>
        <w:t>. ANZICS CTG network costs</w:t>
      </w:r>
      <w:bookmarkEnd w:id="277"/>
    </w:p>
    <w:tbl>
      <w:tblPr>
        <w:tblW w:w="14369" w:type="dxa"/>
        <w:tblInd w:w="14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left w:w="0" w:type="dxa"/>
          <w:right w:w="0" w:type="dxa"/>
        </w:tblCellMar>
        <w:tblLook w:val="0420" w:firstRow="1" w:lastRow="0" w:firstColumn="0" w:lastColumn="0" w:noHBand="0" w:noVBand="1"/>
      </w:tblPr>
      <w:tblGrid>
        <w:gridCol w:w="3686"/>
        <w:gridCol w:w="3685"/>
        <w:gridCol w:w="3738"/>
        <w:gridCol w:w="3260"/>
      </w:tblGrid>
      <w:tr w:rsidR="00D62BA8" w:rsidRPr="00DD5584" w14:paraId="40F694ED" w14:textId="77777777" w:rsidTr="00392788">
        <w:trPr>
          <w:trHeight w:val="568"/>
        </w:trPr>
        <w:tc>
          <w:tcPr>
            <w:tcW w:w="3686" w:type="dxa"/>
            <w:shd w:val="clear" w:color="auto" w:fill="2F5496" w:themeFill="accent5" w:themeFillShade="BF"/>
            <w:tcMar>
              <w:top w:w="57" w:type="dxa"/>
              <w:left w:w="57" w:type="dxa"/>
              <w:bottom w:w="57" w:type="dxa"/>
              <w:right w:w="57" w:type="dxa"/>
            </w:tcMar>
            <w:vAlign w:val="bottom"/>
            <w:hideMark/>
          </w:tcPr>
          <w:p w14:paraId="0BEACA3C" w14:textId="59D0DF41"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 xml:space="preserve">Central </w:t>
            </w:r>
            <w:r w:rsidR="008145CB">
              <w:rPr>
                <w:b/>
                <w:bCs/>
                <w:color w:val="FFFFFF" w:themeColor="background1"/>
                <w:sz w:val="21"/>
                <w:szCs w:val="21"/>
              </w:rPr>
              <w:t>n</w:t>
            </w:r>
            <w:r w:rsidRPr="00392788">
              <w:rPr>
                <w:b/>
                <w:bCs/>
                <w:color w:val="FFFFFF" w:themeColor="background1"/>
                <w:sz w:val="21"/>
                <w:szCs w:val="21"/>
              </w:rPr>
              <w:t xml:space="preserve">etwork </w:t>
            </w:r>
            <w:r w:rsidR="008145CB">
              <w:rPr>
                <w:b/>
                <w:bCs/>
                <w:color w:val="FFFFFF" w:themeColor="background1"/>
                <w:sz w:val="21"/>
                <w:szCs w:val="21"/>
              </w:rPr>
              <w:t>f</w:t>
            </w:r>
            <w:r w:rsidRPr="00392788">
              <w:rPr>
                <w:b/>
                <w:bCs/>
                <w:color w:val="FFFFFF" w:themeColor="background1"/>
                <w:sz w:val="21"/>
                <w:szCs w:val="21"/>
              </w:rPr>
              <w:t>unding</w:t>
            </w:r>
          </w:p>
        </w:tc>
        <w:tc>
          <w:tcPr>
            <w:tcW w:w="3685" w:type="dxa"/>
            <w:shd w:val="clear" w:color="auto" w:fill="2F5496" w:themeFill="accent5" w:themeFillShade="BF"/>
            <w:tcMar>
              <w:top w:w="57" w:type="dxa"/>
              <w:left w:w="57" w:type="dxa"/>
              <w:bottom w:w="57" w:type="dxa"/>
              <w:right w:w="57" w:type="dxa"/>
            </w:tcMar>
            <w:vAlign w:val="bottom"/>
            <w:hideMark/>
          </w:tcPr>
          <w:p w14:paraId="495D2268" w14:textId="0F20CE65"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 xml:space="preserve">Network </w:t>
            </w:r>
            <w:r w:rsidR="008145CB">
              <w:rPr>
                <w:b/>
                <w:bCs/>
                <w:color w:val="FFFFFF" w:themeColor="background1"/>
                <w:sz w:val="21"/>
                <w:szCs w:val="21"/>
              </w:rPr>
              <w:t>i</w:t>
            </w:r>
            <w:r w:rsidRPr="00392788">
              <w:rPr>
                <w:b/>
                <w:bCs/>
                <w:color w:val="FFFFFF" w:themeColor="background1"/>
                <w:sz w:val="21"/>
                <w:szCs w:val="21"/>
              </w:rPr>
              <w:t>n-</w:t>
            </w:r>
            <w:r w:rsidR="008145CB">
              <w:rPr>
                <w:b/>
                <w:bCs/>
                <w:color w:val="FFFFFF" w:themeColor="background1"/>
                <w:sz w:val="21"/>
                <w:szCs w:val="21"/>
              </w:rPr>
              <w:t>k</w:t>
            </w:r>
            <w:r w:rsidRPr="00392788">
              <w:rPr>
                <w:b/>
                <w:bCs/>
                <w:color w:val="FFFFFF" w:themeColor="background1"/>
                <w:sz w:val="21"/>
                <w:szCs w:val="21"/>
              </w:rPr>
              <w:t xml:space="preserve">ind </w:t>
            </w:r>
            <w:r w:rsidR="008145CB">
              <w:rPr>
                <w:b/>
                <w:bCs/>
                <w:color w:val="FFFFFF" w:themeColor="background1"/>
                <w:sz w:val="21"/>
                <w:szCs w:val="21"/>
              </w:rPr>
              <w:t>c</w:t>
            </w:r>
            <w:r w:rsidRPr="00392788">
              <w:rPr>
                <w:b/>
                <w:bCs/>
                <w:color w:val="FFFFFF" w:themeColor="background1"/>
                <w:sz w:val="21"/>
                <w:szCs w:val="21"/>
              </w:rPr>
              <w:t>ontributions</w:t>
            </w:r>
          </w:p>
        </w:tc>
        <w:tc>
          <w:tcPr>
            <w:tcW w:w="3738" w:type="dxa"/>
            <w:shd w:val="clear" w:color="auto" w:fill="2F5496" w:themeFill="accent5" w:themeFillShade="BF"/>
            <w:tcMar>
              <w:top w:w="57" w:type="dxa"/>
              <w:left w:w="57" w:type="dxa"/>
              <w:bottom w:w="57" w:type="dxa"/>
              <w:right w:w="57" w:type="dxa"/>
            </w:tcMar>
            <w:vAlign w:val="bottom"/>
          </w:tcPr>
          <w:p w14:paraId="14FDDBFB" w14:textId="215416D9"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 xml:space="preserve">Trial </w:t>
            </w:r>
            <w:r w:rsidR="008145CB">
              <w:rPr>
                <w:b/>
                <w:bCs/>
                <w:color w:val="FFFFFF" w:themeColor="background1"/>
                <w:sz w:val="21"/>
                <w:szCs w:val="21"/>
              </w:rPr>
              <w:t>c</w:t>
            </w:r>
            <w:r w:rsidRPr="00392788">
              <w:rPr>
                <w:b/>
                <w:bCs/>
                <w:color w:val="FFFFFF" w:themeColor="background1"/>
                <w:sz w:val="21"/>
                <w:szCs w:val="21"/>
              </w:rPr>
              <w:t xml:space="preserve">oordinating </w:t>
            </w:r>
            <w:r w:rsidR="008145CB">
              <w:rPr>
                <w:b/>
                <w:bCs/>
                <w:color w:val="FFFFFF" w:themeColor="background1"/>
                <w:sz w:val="21"/>
                <w:szCs w:val="21"/>
              </w:rPr>
              <w:t>c</w:t>
            </w:r>
            <w:r w:rsidRPr="00392788">
              <w:rPr>
                <w:b/>
                <w:bCs/>
                <w:color w:val="FFFFFF" w:themeColor="background1"/>
                <w:sz w:val="21"/>
                <w:szCs w:val="21"/>
              </w:rPr>
              <w:t xml:space="preserve">entre </w:t>
            </w:r>
            <w:r w:rsidR="008145CB">
              <w:rPr>
                <w:b/>
                <w:bCs/>
                <w:color w:val="FFFFFF" w:themeColor="background1"/>
                <w:sz w:val="21"/>
                <w:szCs w:val="21"/>
              </w:rPr>
              <w:t>c</w:t>
            </w:r>
            <w:r w:rsidRPr="00392788">
              <w:rPr>
                <w:b/>
                <w:bCs/>
                <w:color w:val="FFFFFF" w:themeColor="background1"/>
                <w:sz w:val="21"/>
                <w:szCs w:val="21"/>
              </w:rPr>
              <w:t>osts</w:t>
            </w:r>
          </w:p>
        </w:tc>
        <w:tc>
          <w:tcPr>
            <w:tcW w:w="3260" w:type="dxa"/>
            <w:shd w:val="clear" w:color="auto" w:fill="2F5496"/>
            <w:tcMar>
              <w:top w:w="57" w:type="dxa"/>
              <w:left w:w="57" w:type="dxa"/>
              <w:bottom w:w="57" w:type="dxa"/>
              <w:right w:w="57" w:type="dxa"/>
            </w:tcMar>
            <w:vAlign w:val="bottom"/>
            <w:hideMark/>
          </w:tcPr>
          <w:p w14:paraId="69ECEABF" w14:textId="5B135B1E"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 xml:space="preserve">Total </w:t>
            </w:r>
            <w:r w:rsidR="008145CB">
              <w:rPr>
                <w:b/>
                <w:bCs/>
                <w:color w:val="FFFFFF" w:themeColor="background1"/>
                <w:sz w:val="21"/>
                <w:szCs w:val="21"/>
              </w:rPr>
              <w:t>n</w:t>
            </w:r>
            <w:r w:rsidRPr="00392788">
              <w:rPr>
                <w:b/>
                <w:bCs/>
                <w:color w:val="FFFFFF" w:themeColor="background1"/>
                <w:sz w:val="21"/>
                <w:szCs w:val="21"/>
              </w:rPr>
              <w:t xml:space="preserve">etwork </w:t>
            </w:r>
            <w:r w:rsidR="008145CB">
              <w:rPr>
                <w:b/>
                <w:bCs/>
                <w:color w:val="FFFFFF" w:themeColor="background1"/>
                <w:sz w:val="21"/>
                <w:szCs w:val="21"/>
              </w:rPr>
              <w:t>c</w:t>
            </w:r>
            <w:r w:rsidRPr="00392788">
              <w:rPr>
                <w:b/>
                <w:bCs/>
                <w:color w:val="FFFFFF" w:themeColor="background1"/>
                <w:sz w:val="21"/>
                <w:szCs w:val="21"/>
              </w:rPr>
              <w:t>osts (since inception)</w:t>
            </w:r>
          </w:p>
        </w:tc>
      </w:tr>
      <w:tr w:rsidR="009860E0" w:rsidRPr="00DD5584" w14:paraId="007A469D" w14:textId="77777777" w:rsidTr="00392788">
        <w:trPr>
          <w:trHeight w:val="366"/>
        </w:trPr>
        <w:tc>
          <w:tcPr>
            <w:tcW w:w="3686" w:type="dxa"/>
            <w:shd w:val="clear" w:color="auto" w:fill="auto"/>
            <w:tcMar>
              <w:top w:w="57" w:type="dxa"/>
              <w:left w:w="57" w:type="dxa"/>
              <w:bottom w:w="57" w:type="dxa"/>
              <w:right w:w="57" w:type="dxa"/>
            </w:tcMar>
            <w:hideMark/>
          </w:tcPr>
          <w:p w14:paraId="4EBC2562" w14:textId="109B8064" w:rsidR="00AB7B28" w:rsidRPr="00F074A5" w:rsidRDefault="00AB7B28" w:rsidP="00392788">
            <w:pPr>
              <w:spacing w:before="120" w:after="120" w:line="240" w:lineRule="auto"/>
              <w:rPr>
                <w:bCs/>
                <w:sz w:val="21"/>
                <w:szCs w:val="21"/>
              </w:rPr>
            </w:pPr>
            <w:r w:rsidRPr="00F074A5">
              <w:rPr>
                <w:bCs/>
                <w:sz w:val="21"/>
                <w:szCs w:val="21"/>
              </w:rPr>
              <w:t>$5.5</w:t>
            </w:r>
            <w:r w:rsidR="00F44CC1">
              <w:rPr>
                <w:bCs/>
                <w:sz w:val="21"/>
                <w:szCs w:val="21"/>
              </w:rPr>
              <w:t xml:space="preserve"> million</w:t>
            </w:r>
            <w:r w:rsidRPr="00F074A5">
              <w:rPr>
                <w:bCs/>
                <w:sz w:val="21"/>
                <w:szCs w:val="21"/>
              </w:rPr>
              <w:t xml:space="preserve"> over 22 years</w:t>
            </w:r>
          </w:p>
        </w:tc>
        <w:tc>
          <w:tcPr>
            <w:tcW w:w="3685" w:type="dxa"/>
            <w:shd w:val="clear" w:color="auto" w:fill="auto"/>
            <w:tcMar>
              <w:top w:w="57" w:type="dxa"/>
              <w:left w:w="57" w:type="dxa"/>
              <w:bottom w:w="57" w:type="dxa"/>
              <w:right w:w="57" w:type="dxa"/>
            </w:tcMar>
            <w:hideMark/>
          </w:tcPr>
          <w:p w14:paraId="22F2FFEA" w14:textId="047C347A" w:rsidR="00AB7B28" w:rsidRPr="00F074A5" w:rsidRDefault="00AB7B28" w:rsidP="00392788">
            <w:pPr>
              <w:spacing w:before="120" w:after="120" w:line="240" w:lineRule="auto"/>
              <w:rPr>
                <w:bCs/>
                <w:sz w:val="21"/>
                <w:szCs w:val="21"/>
              </w:rPr>
            </w:pPr>
            <w:r w:rsidRPr="00F074A5">
              <w:rPr>
                <w:bCs/>
                <w:sz w:val="21"/>
                <w:szCs w:val="21"/>
              </w:rPr>
              <w:t>$10</w:t>
            </w:r>
            <w:r w:rsidR="0067558F" w:rsidRPr="00F074A5">
              <w:rPr>
                <w:bCs/>
                <w:sz w:val="21"/>
                <w:szCs w:val="21"/>
              </w:rPr>
              <w:t xml:space="preserve"> million</w:t>
            </w:r>
          </w:p>
        </w:tc>
        <w:tc>
          <w:tcPr>
            <w:tcW w:w="3738" w:type="dxa"/>
            <w:shd w:val="clear" w:color="auto" w:fill="auto"/>
            <w:tcMar>
              <w:top w:w="57" w:type="dxa"/>
              <w:left w:w="57" w:type="dxa"/>
              <w:bottom w:w="57" w:type="dxa"/>
              <w:right w:w="57" w:type="dxa"/>
            </w:tcMar>
          </w:tcPr>
          <w:p w14:paraId="5F506948" w14:textId="2BF5CE57" w:rsidR="00AB7B28" w:rsidRPr="00F074A5" w:rsidRDefault="00AB7B28" w:rsidP="00392788">
            <w:pPr>
              <w:spacing w:before="120" w:after="120" w:line="240" w:lineRule="auto"/>
              <w:rPr>
                <w:bCs/>
                <w:sz w:val="21"/>
                <w:szCs w:val="21"/>
              </w:rPr>
            </w:pPr>
            <w:r w:rsidRPr="00F074A5">
              <w:rPr>
                <w:bCs/>
                <w:sz w:val="21"/>
                <w:szCs w:val="21"/>
              </w:rPr>
              <w:t>$10</w:t>
            </w:r>
            <w:r w:rsidR="0067558F" w:rsidRPr="00F074A5">
              <w:rPr>
                <w:bCs/>
                <w:sz w:val="21"/>
                <w:szCs w:val="21"/>
              </w:rPr>
              <w:t xml:space="preserve"> million</w:t>
            </w:r>
          </w:p>
        </w:tc>
        <w:tc>
          <w:tcPr>
            <w:tcW w:w="3260" w:type="dxa"/>
            <w:shd w:val="clear" w:color="auto" w:fill="auto"/>
            <w:tcMar>
              <w:top w:w="57" w:type="dxa"/>
              <w:left w:w="57" w:type="dxa"/>
              <w:bottom w:w="57" w:type="dxa"/>
              <w:right w:w="57" w:type="dxa"/>
            </w:tcMar>
            <w:hideMark/>
          </w:tcPr>
          <w:p w14:paraId="2AE3CE9E" w14:textId="0FF9A4EB" w:rsidR="00AB7B28" w:rsidRPr="00F074A5" w:rsidRDefault="00AB7B28" w:rsidP="00392788">
            <w:pPr>
              <w:spacing w:before="120" w:after="120" w:line="240" w:lineRule="auto"/>
              <w:rPr>
                <w:bCs/>
                <w:sz w:val="21"/>
                <w:szCs w:val="21"/>
              </w:rPr>
            </w:pPr>
            <w:r w:rsidRPr="00F074A5">
              <w:rPr>
                <w:bCs/>
                <w:sz w:val="21"/>
                <w:szCs w:val="21"/>
              </w:rPr>
              <w:t>$25</w:t>
            </w:r>
            <w:r w:rsidR="0067558F" w:rsidRPr="00F074A5">
              <w:rPr>
                <w:bCs/>
                <w:sz w:val="21"/>
                <w:szCs w:val="21"/>
              </w:rPr>
              <w:t xml:space="preserve"> million</w:t>
            </w:r>
          </w:p>
        </w:tc>
      </w:tr>
    </w:tbl>
    <w:p w14:paraId="3AA9B163" w14:textId="77777777" w:rsidR="00F64140" w:rsidRDefault="00F64140" w:rsidP="00F64140">
      <w:pPr>
        <w:pStyle w:val="Caption"/>
      </w:pPr>
      <w:bookmarkStart w:id="278" w:name="_Toc349192163"/>
    </w:p>
    <w:p w14:paraId="372FDFCA" w14:textId="43DE73D5" w:rsidR="00AB7B28" w:rsidRDefault="00F64140" w:rsidP="00F64140">
      <w:pPr>
        <w:pStyle w:val="Caption"/>
        <w:rPr>
          <w:noProof/>
          <w:lang w:eastAsia="en-US"/>
        </w:rPr>
      </w:pPr>
      <w:bookmarkStart w:id="279" w:name="_Toc475352621"/>
      <w:bookmarkStart w:id="280" w:name="_Toc475352809"/>
      <w:bookmarkStart w:id="281" w:name="_Toc350381629"/>
      <w:bookmarkStart w:id="282" w:name="_Toc479177421"/>
      <w:r>
        <w:t xml:space="preserve">Appendix A Table </w:t>
      </w:r>
      <w:fldSimple w:instr=" SEQ Appendix_A_Table \* ARABIC ">
        <w:r w:rsidR="007B3054">
          <w:rPr>
            <w:noProof/>
          </w:rPr>
          <w:t>11</w:t>
        </w:r>
      </w:fldSimple>
      <w:r>
        <w:t xml:space="preserve">. ANZICS CTG trial costs </w:t>
      </w:r>
      <w:r w:rsidR="00AB7B28">
        <w:rPr>
          <w:rStyle w:val="FootnoteReference"/>
          <w:noProof/>
          <w:lang w:eastAsia="en-US"/>
        </w:rPr>
        <w:footnoteReference w:id="43"/>
      </w:r>
      <w:bookmarkEnd w:id="278"/>
      <w:bookmarkEnd w:id="279"/>
      <w:bookmarkEnd w:id="280"/>
      <w:bookmarkEnd w:id="281"/>
      <w:bookmarkEnd w:id="282"/>
    </w:p>
    <w:tbl>
      <w:tblPr>
        <w:tblW w:w="14337" w:type="dxa"/>
        <w:tblInd w:w="14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left w:w="0" w:type="dxa"/>
          <w:right w:w="0" w:type="dxa"/>
        </w:tblCellMar>
        <w:tblLook w:val="0420" w:firstRow="1" w:lastRow="0" w:firstColumn="0" w:lastColumn="0" w:noHBand="0" w:noVBand="1"/>
      </w:tblPr>
      <w:tblGrid>
        <w:gridCol w:w="2517"/>
        <w:gridCol w:w="4854"/>
        <w:gridCol w:w="3738"/>
        <w:gridCol w:w="3228"/>
      </w:tblGrid>
      <w:tr w:rsidR="009860E0" w:rsidRPr="00DD5584" w14:paraId="0126EDB4" w14:textId="77777777" w:rsidTr="00F06BBC">
        <w:trPr>
          <w:cantSplit/>
          <w:trHeight w:val="611"/>
          <w:tblHeader/>
        </w:trPr>
        <w:tc>
          <w:tcPr>
            <w:tcW w:w="2517" w:type="dxa"/>
            <w:shd w:val="clear" w:color="auto" w:fill="2F5496"/>
            <w:tcMar>
              <w:top w:w="57" w:type="dxa"/>
              <w:left w:w="57" w:type="dxa"/>
              <w:bottom w:w="57" w:type="dxa"/>
              <w:right w:w="57" w:type="dxa"/>
            </w:tcMar>
            <w:vAlign w:val="bottom"/>
            <w:hideMark/>
          </w:tcPr>
          <w:p w14:paraId="42A9242C" w14:textId="77777777"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Trial Acronym</w:t>
            </w:r>
          </w:p>
        </w:tc>
        <w:tc>
          <w:tcPr>
            <w:tcW w:w="4854" w:type="dxa"/>
            <w:shd w:val="clear" w:color="auto" w:fill="2F5496"/>
            <w:tcMar>
              <w:top w:w="57" w:type="dxa"/>
              <w:left w:w="57" w:type="dxa"/>
              <w:bottom w:w="57" w:type="dxa"/>
              <w:right w:w="57" w:type="dxa"/>
            </w:tcMar>
            <w:vAlign w:val="bottom"/>
            <w:hideMark/>
          </w:tcPr>
          <w:p w14:paraId="6DDD7304" w14:textId="30F77E6A"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 xml:space="preserve">Main </w:t>
            </w:r>
            <w:r w:rsidR="008145CB">
              <w:rPr>
                <w:b/>
                <w:bCs/>
                <w:color w:val="FFFFFF" w:themeColor="background1"/>
                <w:sz w:val="21"/>
                <w:szCs w:val="21"/>
              </w:rPr>
              <w:t>n</w:t>
            </w:r>
            <w:r w:rsidRPr="00392788">
              <w:rPr>
                <w:b/>
                <w:bCs/>
                <w:color w:val="FFFFFF" w:themeColor="background1"/>
                <w:sz w:val="21"/>
                <w:szCs w:val="21"/>
              </w:rPr>
              <w:t xml:space="preserve">on-NHMRC </w:t>
            </w:r>
            <w:r w:rsidR="008145CB">
              <w:rPr>
                <w:b/>
                <w:bCs/>
                <w:color w:val="FFFFFF" w:themeColor="background1"/>
                <w:sz w:val="21"/>
                <w:szCs w:val="21"/>
              </w:rPr>
              <w:t>f</w:t>
            </w:r>
            <w:r w:rsidRPr="00392788">
              <w:rPr>
                <w:b/>
                <w:bCs/>
                <w:color w:val="FFFFFF" w:themeColor="background1"/>
                <w:sz w:val="21"/>
                <w:szCs w:val="21"/>
              </w:rPr>
              <w:t>unding</w:t>
            </w:r>
          </w:p>
        </w:tc>
        <w:tc>
          <w:tcPr>
            <w:tcW w:w="3738" w:type="dxa"/>
            <w:shd w:val="clear" w:color="auto" w:fill="2F5496"/>
            <w:tcMar>
              <w:top w:w="57" w:type="dxa"/>
              <w:left w:w="57" w:type="dxa"/>
              <w:bottom w:w="57" w:type="dxa"/>
              <w:right w:w="57" w:type="dxa"/>
            </w:tcMar>
            <w:vAlign w:val="bottom"/>
            <w:hideMark/>
          </w:tcPr>
          <w:p w14:paraId="639241C8" w14:textId="21B966B3"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 xml:space="preserve">NHMRC </w:t>
            </w:r>
            <w:r w:rsidR="008145CB">
              <w:rPr>
                <w:b/>
                <w:bCs/>
                <w:color w:val="FFFFFF" w:themeColor="background1"/>
                <w:sz w:val="21"/>
                <w:szCs w:val="21"/>
              </w:rPr>
              <w:t>f</w:t>
            </w:r>
            <w:r w:rsidRPr="00392788">
              <w:rPr>
                <w:b/>
                <w:bCs/>
                <w:color w:val="FFFFFF" w:themeColor="background1"/>
                <w:sz w:val="21"/>
                <w:szCs w:val="21"/>
              </w:rPr>
              <w:t>unding</w:t>
            </w:r>
          </w:p>
        </w:tc>
        <w:tc>
          <w:tcPr>
            <w:tcW w:w="3228" w:type="dxa"/>
            <w:shd w:val="clear" w:color="auto" w:fill="2F5496"/>
            <w:tcMar>
              <w:top w:w="57" w:type="dxa"/>
              <w:left w:w="57" w:type="dxa"/>
              <w:bottom w:w="57" w:type="dxa"/>
              <w:right w:w="57" w:type="dxa"/>
            </w:tcMar>
            <w:vAlign w:val="bottom"/>
            <w:hideMark/>
          </w:tcPr>
          <w:p w14:paraId="7CF2940F" w14:textId="46FDB484" w:rsidR="00AB7B28" w:rsidRPr="00392788" w:rsidRDefault="00AB7B28" w:rsidP="00392788">
            <w:pPr>
              <w:spacing w:after="0" w:line="276" w:lineRule="auto"/>
              <w:rPr>
                <w:b/>
                <w:bCs/>
                <w:color w:val="FFFFFF" w:themeColor="background1"/>
                <w:sz w:val="21"/>
                <w:szCs w:val="21"/>
              </w:rPr>
            </w:pPr>
            <w:r w:rsidRPr="00392788">
              <w:rPr>
                <w:b/>
                <w:bCs/>
                <w:color w:val="FFFFFF" w:themeColor="background1"/>
                <w:sz w:val="21"/>
                <w:szCs w:val="21"/>
              </w:rPr>
              <w:t xml:space="preserve">Total </w:t>
            </w:r>
            <w:r w:rsidR="008145CB">
              <w:rPr>
                <w:b/>
                <w:bCs/>
                <w:color w:val="FFFFFF" w:themeColor="background1"/>
                <w:sz w:val="21"/>
                <w:szCs w:val="21"/>
              </w:rPr>
              <w:t>n</w:t>
            </w:r>
            <w:r w:rsidRPr="00392788">
              <w:rPr>
                <w:b/>
                <w:bCs/>
                <w:color w:val="FFFFFF" w:themeColor="background1"/>
                <w:sz w:val="21"/>
                <w:szCs w:val="21"/>
              </w:rPr>
              <w:t>on-</w:t>
            </w:r>
            <w:r w:rsidR="008145CB">
              <w:rPr>
                <w:b/>
                <w:bCs/>
                <w:color w:val="FFFFFF" w:themeColor="background1"/>
                <w:sz w:val="21"/>
                <w:szCs w:val="21"/>
              </w:rPr>
              <w:t>c</w:t>
            </w:r>
            <w:r w:rsidRPr="00392788">
              <w:rPr>
                <w:b/>
                <w:bCs/>
                <w:color w:val="FFFFFF" w:themeColor="background1"/>
                <w:sz w:val="21"/>
                <w:szCs w:val="21"/>
              </w:rPr>
              <w:t xml:space="preserve">ommercial </w:t>
            </w:r>
            <w:r w:rsidR="008145CB">
              <w:rPr>
                <w:b/>
                <w:bCs/>
                <w:color w:val="FFFFFF" w:themeColor="background1"/>
                <w:sz w:val="21"/>
                <w:szCs w:val="21"/>
              </w:rPr>
              <w:t>f</w:t>
            </w:r>
            <w:r w:rsidRPr="00392788">
              <w:rPr>
                <w:b/>
                <w:bCs/>
                <w:color w:val="FFFFFF" w:themeColor="background1"/>
                <w:sz w:val="21"/>
                <w:szCs w:val="21"/>
              </w:rPr>
              <w:t>unding</w:t>
            </w:r>
          </w:p>
        </w:tc>
      </w:tr>
      <w:tr w:rsidR="009860E0" w:rsidRPr="00DD5584" w14:paraId="01EA8A88" w14:textId="77777777" w:rsidTr="00F06BBC">
        <w:trPr>
          <w:cantSplit/>
          <w:trHeight w:val="205"/>
        </w:trPr>
        <w:tc>
          <w:tcPr>
            <w:tcW w:w="2517" w:type="dxa"/>
            <w:shd w:val="clear" w:color="auto" w:fill="auto"/>
            <w:tcMar>
              <w:top w:w="57" w:type="dxa"/>
              <w:left w:w="57" w:type="dxa"/>
              <w:bottom w:w="57" w:type="dxa"/>
              <w:right w:w="57" w:type="dxa"/>
            </w:tcMar>
            <w:hideMark/>
          </w:tcPr>
          <w:p w14:paraId="12556DED" w14:textId="77777777" w:rsidR="001E4736" w:rsidRPr="00F074A5" w:rsidRDefault="001E4736" w:rsidP="00392788">
            <w:pPr>
              <w:spacing w:before="120" w:after="120" w:line="240" w:lineRule="auto"/>
              <w:rPr>
                <w:bCs/>
                <w:sz w:val="21"/>
                <w:szCs w:val="21"/>
              </w:rPr>
            </w:pPr>
            <w:r w:rsidRPr="00F074A5">
              <w:rPr>
                <w:bCs/>
                <w:sz w:val="21"/>
                <w:szCs w:val="21"/>
              </w:rPr>
              <w:t>ARISE</w:t>
            </w:r>
          </w:p>
        </w:tc>
        <w:tc>
          <w:tcPr>
            <w:tcW w:w="4854" w:type="dxa"/>
            <w:shd w:val="clear" w:color="auto" w:fill="auto"/>
            <w:tcMar>
              <w:top w:w="57" w:type="dxa"/>
              <w:left w:w="57" w:type="dxa"/>
              <w:bottom w:w="57" w:type="dxa"/>
              <w:right w:w="57" w:type="dxa"/>
            </w:tcMar>
            <w:hideMark/>
          </w:tcPr>
          <w:p w14:paraId="7266E3D4" w14:textId="77777777" w:rsidR="001E4736" w:rsidRPr="00F074A5" w:rsidRDefault="001E4736" w:rsidP="00392788">
            <w:pPr>
              <w:spacing w:before="120" w:after="120" w:line="240" w:lineRule="auto"/>
              <w:rPr>
                <w:bCs/>
                <w:sz w:val="21"/>
                <w:szCs w:val="21"/>
              </w:rPr>
            </w:pPr>
            <w:r w:rsidRPr="00F074A5">
              <w:rPr>
                <w:bCs/>
                <w:sz w:val="21"/>
                <w:szCs w:val="21"/>
              </w:rPr>
              <w:t>Alfred Foundation</w:t>
            </w:r>
          </w:p>
        </w:tc>
        <w:tc>
          <w:tcPr>
            <w:tcW w:w="3738" w:type="dxa"/>
            <w:shd w:val="clear" w:color="auto" w:fill="auto"/>
            <w:tcMar>
              <w:top w:w="57" w:type="dxa"/>
              <w:left w:w="57" w:type="dxa"/>
              <w:bottom w:w="57" w:type="dxa"/>
              <w:right w:w="57" w:type="dxa"/>
            </w:tcMar>
            <w:hideMark/>
          </w:tcPr>
          <w:p w14:paraId="703F27D6" w14:textId="77387F85" w:rsidR="001E4736" w:rsidRPr="00F074A5" w:rsidRDefault="001E4736" w:rsidP="00392788">
            <w:pPr>
              <w:spacing w:before="120" w:after="120" w:line="240" w:lineRule="auto"/>
              <w:rPr>
                <w:bCs/>
                <w:sz w:val="21"/>
                <w:szCs w:val="21"/>
              </w:rPr>
            </w:pPr>
            <w:r w:rsidRPr="00F074A5">
              <w:rPr>
                <w:bCs/>
                <w:sz w:val="21"/>
                <w:szCs w:val="21"/>
              </w:rPr>
              <w:t xml:space="preserve"> $2.4</w:t>
            </w:r>
            <w:r w:rsidR="0067558F" w:rsidRPr="00F074A5">
              <w:rPr>
                <w:bCs/>
                <w:sz w:val="21"/>
                <w:szCs w:val="21"/>
              </w:rPr>
              <w:t xml:space="preserve"> million</w:t>
            </w:r>
          </w:p>
        </w:tc>
        <w:tc>
          <w:tcPr>
            <w:tcW w:w="3228" w:type="dxa"/>
            <w:shd w:val="clear" w:color="auto" w:fill="auto"/>
            <w:tcMar>
              <w:top w:w="57" w:type="dxa"/>
              <w:left w:w="57" w:type="dxa"/>
              <w:bottom w:w="57" w:type="dxa"/>
              <w:right w:w="57" w:type="dxa"/>
            </w:tcMar>
            <w:hideMark/>
          </w:tcPr>
          <w:p w14:paraId="41E82544" w14:textId="4D80FB57" w:rsidR="001E4736" w:rsidRPr="00F074A5" w:rsidRDefault="001E4736" w:rsidP="00392788">
            <w:pPr>
              <w:spacing w:before="120" w:after="120" w:line="240" w:lineRule="auto"/>
              <w:rPr>
                <w:bCs/>
                <w:sz w:val="21"/>
                <w:szCs w:val="21"/>
              </w:rPr>
            </w:pPr>
            <w:r w:rsidRPr="00F074A5">
              <w:rPr>
                <w:bCs/>
                <w:sz w:val="21"/>
                <w:szCs w:val="21"/>
              </w:rPr>
              <w:t>$2.7</w:t>
            </w:r>
            <w:r w:rsidR="0067558F" w:rsidRPr="00F074A5">
              <w:rPr>
                <w:bCs/>
                <w:sz w:val="21"/>
                <w:szCs w:val="21"/>
              </w:rPr>
              <w:t xml:space="preserve"> million</w:t>
            </w:r>
          </w:p>
        </w:tc>
      </w:tr>
      <w:tr w:rsidR="009860E0" w:rsidRPr="00DD5584" w14:paraId="67FC8A5A" w14:textId="77777777" w:rsidTr="00F06BBC">
        <w:trPr>
          <w:cantSplit/>
          <w:trHeight w:val="432"/>
        </w:trPr>
        <w:tc>
          <w:tcPr>
            <w:tcW w:w="2517" w:type="dxa"/>
            <w:shd w:val="clear" w:color="auto" w:fill="auto"/>
            <w:tcMar>
              <w:top w:w="57" w:type="dxa"/>
              <w:left w:w="57" w:type="dxa"/>
              <w:bottom w:w="57" w:type="dxa"/>
              <w:right w:w="57" w:type="dxa"/>
            </w:tcMar>
            <w:hideMark/>
          </w:tcPr>
          <w:p w14:paraId="1DD13B4E" w14:textId="77777777" w:rsidR="001E4736" w:rsidRPr="00F074A5" w:rsidRDefault="001E4736" w:rsidP="00392788">
            <w:pPr>
              <w:spacing w:before="120" w:after="120" w:line="240" w:lineRule="auto"/>
              <w:rPr>
                <w:bCs/>
                <w:sz w:val="21"/>
                <w:szCs w:val="21"/>
              </w:rPr>
            </w:pPr>
            <w:r w:rsidRPr="00F074A5">
              <w:rPr>
                <w:bCs/>
                <w:sz w:val="21"/>
                <w:szCs w:val="21"/>
              </w:rPr>
              <w:t>CHEST**</w:t>
            </w:r>
          </w:p>
        </w:tc>
        <w:tc>
          <w:tcPr>
            <w:tcW w:w="4854" w:type="dxa"/>
            <w:shd w:val="clear" w:color="auto" w:fill="auto"/>
            <w:tcMar>
              <w:top w:w="57" w:type="dxa"/>
              <w:left w:w="57" w:type="dxa"/>
              <w:bottom w:w="57" w:type="dxa"/>
              <w:right w:w="57" w:type="dxa"/>
            </w:tcMar>
            <w:hideMark/>
          </w:tcPr>
          <w:p w14:paraId="7EDCE624" w14:textId="77777777" w:rsidR="001E4736" w:rsidRPr="00F074A5" w:rsidRDefault="001E4736" w:rsidP="00392788">
            <w:pPr>
              <w:spacing w:before="120" w:after="120" w:line="240" w:lineRule="auto"/>
              <w:rPr>
                <w:bCs/>
                <w:sz w:val="21"/>
                <w:szCs w:val="21"/>
              </w:rPr>
            </w:pPr>
            <w:r w:rsidRPr="00F074A5">
              <w:rPr>
                <w:bCs/>
                <w:sz w:val="21"/>
                <w:szCs w:val="21"/>
              </w:rPr>
              <w:t>Fresenius Kabi (Unrestricted commercial funding), Ministry of Health, NSW Government</w:t>
            </w:r>
          </w:p>
        </w:tc>
        <w:tc>
          <w:tcPr>
            <w:tcW w:w="3738" w:type="dxa"/>
            <w:shd w:val="clear" w:color="auto" w:fill="auto"/>
            <w:tcMar>
              <w:top w:w="57" w:type="dxa"/>
              <w:left w:w="57" w:type="dxa"/>
              <w:bottom w:w="57" w:type="dxa"/>
              <w:right w:w="57" w:type="dxa"/>
            </w:tcMar>
            <w:hideMark/>
          </w:tcPr>
          <w:p w14:paraId="7B75FCDE" w14:textId="68371357" w:rsidR="001E4736" w:rsidRPr="00F074A5" w:rsidRDefault="001E4736" w:rsidP="00392788">
            <w:pPr>
              <w:spacing w:before="120" w:after="120" w:line="240" w:lineRule="auto"/>
              <w:rPr>
                <w:bCs/>
                <w:sz w:val="21"/>
                <w:szCs w:val="21"/>
              </w:rPr>
            </w:pPr>
            <w:r w:rsidRPr="00F074A5">
              <w:rPr>
                <w:bCs/>
                <w:sz w:val="21"/>
                <w:szCs w:val="21"/>
              </w:rPr>
              <w:t xml:space="preserve"> $2.2</w:t>
            </w:r>
            <w:r w:rsidR="0067558F" w:rsidRPr="00F074A5">
              <w:rPr>
                <w:bCs/>
                <w:sz w:val="21"/>
                <w:szCs w:val="21"/>
              </w:rPr>
              <w:t xml:space="preserve"> million</w:t>
            </w:r>
          </w:p>
        </w:tc>
        <w:tc>
          <w:tcPr>
            <w:tcW w:w="3228" w:type="dxa"/>
            <w:shd w:val="clear" w:color="auto" w:fill="auto"/>
            <w:tcMar>
              <w:top w:w="57" w:type="dxa"/>
              <w:left w:w="57" w:type="dxa"/>
              <w:bottom w:w="57" w:type="dxa"/>
              <w:right w:w="57" w:type="dxa"/>
            </w:tcMar>
            <w:hideMark/>
          </w:tcPr>
          <w:p w14:paraId="7872D259" w14:textId="23EDEF89" w:rsidR="001E4736" w:rsidRPr="00F074A5" w:rsidRDefault="001E4736" w:rsidP="00392788">
            <w:pPr>
              <w:spacing w:before="120" w:after="120" w:line="240" w:lineRule="auto"/>
              <w:rPr>
                <w:bCs/>
                <w:sz w:val="21"/>
                <w:szCs w:val="21"/>
              </w:rPr>
            </w:pPr>
            <w:r w:rsidRPr="00F074A5">
              <w:rPr>
                <w:bCs/>
                <w:sz w:val="21"/>
                <w:szCs w:val="21"/>
              </w:rPr>
              <w:t>$2.5</w:t>
            </w:r>
            <w:r w:rsidR="0067558F" w:rsidRPr="00F074A5">
              <w:rPr>
                <w:bCs/>
                <w:sz w:val="21"/>
                <w:szCs w:val="21"/>
              </w:rPr>
              <w:t xml:space="preserve"> million</w:t>
            </w:r>
          </w:p>
        </w:tc>
      </w:tr>
      <w:tr w:rsidR="009860E0" w:rsidRPr="00DD5584" w14:paraId="5EA58AC5" w14:textId="77777777" w:rsidTr="00F06BBC">
        <w:trPr>
          <w:cantSplit/>
          <w:trHeight w:val="258"/>
        </w:trPr>
        <w:tc>
          <w:tcPr>
            <w:tcW w:w="2517" w:type="dxa"/>
            <w:shd w:val="clear" w:color="auto" w:fill="auto"/>
            <w:tcMar>
              <w:top w:w="57" w:type="dxa"/>
              <w:left w:w="57" w:type="dxa"/>
              <w:bottom w:w="57" w:type="dxa"/>
              <w:right w:w="57" w:type="dxa"/>
            </w:tcMar>
            <w:hideMark/>
          </w:tcPr>
          <w:p w14:paraId="5E549FCC" w14:textId="77777777" w:rsidR="001E4736" w:rsidRPr="00F074A5" w:rsidRDefault="001E4736" w:rsidP="00392788">
            <w:pPr>
              <w:spacing w:before="120" w:after="120" w:line="240" w:lineRule="auto"/>
              <w:rPr>
                <w:bCs/>
                <w:sz w:val="21"/>
                <w:szCs w:val="21"/>
              </w:rPr>
            </w:pPr>
            <w:r w:rsidRPr="00F074A5">
              <w:rPr>
                <w:bCs/>
                <w:sz w:val="21"/>
                <w:szCs w:val="21"/>
              </w:rPr>
              <w:t>DECRA</w:t>
            </w:r>
          </w:p>
        </w:tc>
        <w:tc>
          <w:tcPr>
            <w:tcW w:w="4854" w:type="dxa"/>
            <w:shd w:val="clear" w:color="auto" w:fill="auto"/>
            <w:tcMar>
              <w:top w:w="57" w:type="dxa"/>
              <w:left w:w="57" w:type="dxa"/>
              <w:bottom w:w="57" w:type="dxa"/>
              <w:right w:w="57" w:type="dxa"/>
            </w:tcMar>
            <w:hideMark/>
          </w:tcPr>
          <w:p w14:paraId="6F832DAC" w14:textId="77777777" w:rsidR="001E4736" w:rsidRPr="00F074A5" w:rsidRDefault="001E4736" w:rsidP="00392788">
            <w:pPr>
              <w:spacing w:before="120" w:after="120" w:line="240" w:lineRule="auto"/>
              <w:rPr>
                <w:bCs/>
                <w:sz w:val="21"/>
                <w:szCs w:val="21"/>
              </w:rPr>
            </w:pPr>
            <w:r w:rsidRPr="00F074A5">
              <w:rPr>
                <w:bCs/>
                <w:sz w:val="21"/>
                <w:szCs w:val="21"/>
              </w:rPr>
              <w:t>Transport Accident Commission</w:t>
            </w:r>
          </w:p>
        </w:tc>
        <w:tc>
          <w:tcPr>
            <w:tcW w:w="3738" w:type="dxa"/>
            <w:shd w:val="clear" w:color="auto" w:fill="auto"/>
            <w:tcMar>
              <w:top w:w="57" w:type="dxa"/>
              <w:left w:w="57" w:type="dxa"/>
              <w:bottom w:w="57" w:type="dxa"/>
              <w:right w:w="57" w:type="dxa"/>
            </w:tcMar>
            <w:hideMark/>
          </w:tcPr>
          <w:p w14:paraId="167C1427" w14:textId="7A0B2911" w:rsidR="001E4736" w:rsidRPr="00F074A5" w:rsidRDefault="001E4736" w:rsidP="00392788">
            <w:pPr>
              <w:spacing w:before="120" w:after="120" w:line="240" w:lineRule="auto"/>
              <w:rPr>
                <w:bCs/>
                <w:sz w:val="21"/>
                <w:szCs w:val="21"/>
              </w:rPr>
            </w:pPr>
            <w:r w:rsidRPr="00F074A5">
              <w:rPr>
                <w:bCs/>
                <w:sz w:val="21"/>
                <w:szCs w:val="21"/>
              </w:rPr>
              <w:t xml:space="preserve"> $0.5</w:t>
            </w:r>
            <w:r w:rsidR="0067558F" w:rsidRPr="00F074A5">
              <w:rPr>
                <w:bCs/>
                <w:sz w:val="21"/>
                <w:szCs w:val="21"/>
              </w:rPr>
              <w:t xml:space="preserve"> million</w:t>
            </w:r>
          </w:p>
        </w:tc>
        <w:tc>
          <w:tcPr>
            <w:tcW w:w="3228" w:type="dxa"/>
            <w:shd w:val="clear" w:color="auto" w:fill="auto"/>
            <w:tcMar>
              <w:top w:w="57" w:type="dxa"/>
              <w:left w:w="57" w:type="dxa"/>
              <w:bottom w:w="57" w:type="dxa"/>
              <w:right w:w="57" w:type="dxa"/>
            </w:tcMar>
            <w:hideMark/>
          </w:tcPr>
          <w:p w14:paraId="311DC89A" w14:textId="19336A43" w:rsidR="001E4736" w:rsidRPr="00F074A5" w:rsidRDefault="001E4736" w:rsidP="00392788">
            <w:pPr>
              <w:spacing w:before="120" w:after="120" w:line="240" w:lineRule="auto"/>
              <w:rPr>
                <w:bCs/>
                <w:sz w:val="21"/>
                <w:szCs w:val="21"/>
              </w:rPr>
            </w:pPr>
            <w:r w:rsidRPr="00F074A5">
              <w:rPr>
                <w:bCs/>
                <w:sz w:val="21"/>
                <w:szCs w:val="21"/>
              </w:rPr>
              <w:t>$1.6</w:t>
            </w:r>
            <w:r w:rsidR="0067558F" w:rsidRPr="00F074A5">
              <w:rPr>
                <w:bCs/>
                <w:sz w:val="21"/>
                <w:szCs w:val="21"/>
              </w:rPr>
              <w:t xml:space="preserve"> million</w:t>
            </w:r>
          </w:p>
        </w:tc>
      </w:tr>
      <w:tr w:rsidR="009860E0" w:rsidRPr="00DD5584" w14:paraId="5B8CD0D7" w14:textId="77777777" w:rsidTr="00F06BBC">
        <w:trPr>
          <w:cantSplit/>
          <w:trHeight w:val="305"/>
        </w:trPr>
        <w:tc>
          <w:tcPr>
            <w:tcW w:w="2517" w:type="dxa"/>
            <w:shd w:val="clear" w:color="auto" w:fill="auto"/>
            <w:tcMar>
              <w:top w:w="57" w:type="dxa"/>
              <w:left w:w="57" w:type="dxa"/>
              <w:bottom w:w="57" w:type="dxa"/>
              <w:right w:w="57" w:type="dxa"/>
            </w:tcMar>
            <w:hideMark/>
          </w:tcPr>
          <w:p w14:paraId="0FC984B5" w14:textId="77777777" w:rsidR="001E4736" w:rsidRPr="00F074A5" w:rsidRDefault="001E4736" w:rsidP="00352327">
            <w:pPr>
              <w:spacing w:after="120" w:line="240" w:lineRule="auto"/>
              <w:rPr>
                <w:bCs/>
                <w:sz w:val="21"/>
                <w:szCs w:val="21"/>
              </w:rPr>
            </w:pPr>
            <w:r w:rsidRPr="00F074A5">
              <w:rPr>
                <w:bCs/>
                <w:sz w:val="21"/>
                <w:szCs w:val="21"/>
              </w:rPr>
              <w:lastRenderedPageBreak/>
              <w:t>EPO-TBI</w:t>
            </w:r>
          </w:p>
        </w:tc>
        <w:tc>
          <w:tcPr>
            <w:tcW w:w="4854" w:type="dxa"/>
            <w:shd w:val="clear" w:color="auto" w:fill="auto"/>
            <w:tcMar>
              <w:top w:w="57" w:type="dxa"/>
              <w:left w:w="57" w:type="dxa"/>
              <w:bottom w:w="57" w:type="dxa"/>
              <w:right w:w="57" w:type="dxa"/>
            </w:tcMar>
            <w:hideMark/>
          </w:tcPr>
          <w:p w14:paraId="40F4BEC3" w14:textId="77777777" w:rsidR="001E4736" w:rsidRPr="00F074A5" w:rsidRDefault="001E4736" w:rsidP="00352327">
            <w:pPr>
              <w:spacing w:after="120" w:line="240" w:lineRule="auto"/>
              <w:rPr>
                <w:bCs/>
                <w:sz w:val="21"/>
                <w:szCs w:val="21"/>
              </w:rPr>
            </w:pPr>
            <w:r w:rsidRPr="00F074A5">
              <w:rPr>
                <w:bCs/>
                <w:sz w:val="21"/>
                <w:szCs w:val="21"/>
              </w:rPr>
              <w:t>Transport Accident Commission</w:t>
            </w:r>
          </w:p>
        </w:tc>
        <w:tc>
          <w:tcPr>
            <w:tcW w:w="3738" w:type="dxa"/>
            <w:shd w:val="clear" w:color="auto" w:fill="auto"/>
            <w:tcMar>
              <w:top w:w="57" w:type="dxa"/>
              <w:left w:w="57" w:type="dxa"/>
              <w:bottom w:w="57" w:type="dxa"/>
              <w:right w:w="57" w:type="dxa"/>
            </w:tcMar>
            <w:hideMark/>
          </w:tcPr>
          <w:p w14:paraId="084722B9" w14:textId="64805432" w:rsidR="001E4736" w:rsidRPr="00F074A5" w:rsidRDefault="001E4736" w:rsidP="00352327">
            <w:pPr>
              <w:spacing w:after="120" w:line="240" w:lineRule="auto"/>
              <w:rPr>
                <w:bCs/>
                <w:sz w:val="21"/>
                <w:szCs w:val="21"/>
              </w:rPr>
            </w:pPr>
            <w:r w:rsidRPr="00F074A5">
              <w:rPr>
                <w:bCs/>
                <w:sz w:val="21"/>
                <w:szCs w:val="21"/>
              </w:rPr>
              <w:t>$2.0</w:t>
            </w:r>
            <w:r w:rsidR="0067558F" w:rsidRPr="00F074A5">
              <w:rPr>
                <w:bCs/>
                <w:sz w:val="21"/>
                <w:szCs w:val="21"/>
              </w:rPr>
              <w:t xml:space="preserve"> million</w:t>
            </w:r>
          </w:p>
        </w:tc>
        <w:tc>
          <w:tcPr>
            <w:tcW w:w="3228" w:type="dxa"/>
            <w:shd w:val="clear" w:color="auto" w:fill="auto"/>
            <w:tcMar>
              <w:top w:w="57" w:type="dxa"/>
              <w:left w:w="57" w:type="dxa"/>
              <w:bottom w:w="57" w:type="dxa"/>
              <w:right w:w="57" w:type="dxa"/>
            </w:tcMar>
            <w:hideMark/>
          </w:tcPr>
          <w:p w14:paraId="2C0BCB8E" w14:textId="49029AC9" w:rsidR="001E4736" w:rsidRPr="00F074A5" w:rsidRDefault="001E4736" w:rsidP="00352327">
            <w:pPr>
              <w:spacing w:after="120" w:line="240" w:lineRule="auto"/>
              <w:rPr>
                <w:bCs/>
                <w:sz w:val="21"/>
                <w:szCs w:val="21"/>
              </w:rPr>
            </w:pPr>
            <w:r w:rsidRPr="00F074A5">
              <w:rPr>
                <w:bCs/>
                <w:sz w:val="21"/>
                <w:szCs w:val="21"/>
              </w:rPr>
              <w:t>$3.3</w:t>
            </w:r>
            <w:r w:rsidR="0067558F" w:rsidRPr="00F074A5">
              <w:rPr>
                <w:bCs/>
                <w:sz w:val="21"/>
                <w:szCs w:val="21"/>
              </w:rPr>
              <w:t xml:space="preserve"> million</w:t>
            </w:r>
          </w:p>
        </w:tc>
      </w:tr>
      <w:tr w:rsidR="009860E0" w:rsidRPr="00DD5584" w14:paraId="7797695F" w14:textId="77777777" w:rsidTr="00F06BBC">
        <w:trPr>
          <w:cantSplit/>
          <w:trHeight w:val="239"/>
        </w:trPr>
        <w:tc>
          <w:tcPr>
            <w:tcW w:w="2517" w:type="dxa"/>
            <w:shd w:val="clear" w:color="auto" w:fill="auto"/>
            <w:tcMar>
              <w:top w:w="57" w:type="dxa"/>
              <w:left w:w="57" w:type="dxa"/>
              <w:bottom w:w="57" w:type="dxa"/>
              <w:right w:w="57" w:type="dxa"/>
            </w:tcMar>
            <w:hideMark/>
          </w:tcPr>
          <w:p w14:paraId="4434A22B" w14:textId="77777777" w:rsidR="001E4736" w:rsidRPr="00F074A5" w:rsidRDefault="001E4736" w:rsidP="00352327">
            <w:pPr>
              <w:spacing w:after="120" w:line="240" w:lineRule="auto"/>
              <w:rPr>
                <w:bCs/>
                <w:sz w:val="21"/>
                <w:szCs w:val="21"/>
              </w:rPr>
            </w:pPr>
            <w:r w:rsidRPr="00F074A5">
              <w:rPr>
                <w:bCs/>
                <w:sz w:val="21"/>
                <w:szCs w:val="21"/>
              </w:rPr>
              <w:t>NICE-SUGAR</w:t>
            </w:r>
          </w:p>
        </w:tc>
        <w:tc>
          <w:tcPr>
            <w:tcW w:w="4854" w:type="dxa"/>
            <w:shd w:val="clear" w:color="auto" w:fill="auto"/>
            <w:tcMar>
              <w:top w:w="57" w:type="dxa"/>
              <w:left w:w="57" w:type="dxa"/>
              <w:bottom w:w="57" w:type="dxa"/>
              <w:right w:w="57" w:type="dxa"/>
            </w:tcMar>
            <w:hideMark/>
          </w:tcPr>
          <w:p w14:paraId="323E3233" w14:textId="77777777" w:rsidR="001E4736" w:rsidRPr="00F074A5" w:rsidRDefault="001E4736" w:rsidP="00352327">
            <w:pPr>
              <w:spacing w:after="120" w:line="240" w:lineRule="auto"/>
              <w:rPr>
                <w:bCs/>
                <w:sz w:val="21"/>
                <w:szCs w:val="21"/>
              </w:rPr>
            </w:pPr>
            <w:r w:rsidRPr="00F074A5">
              <w:rPr>
                <w:bCs/>
                <w:sz w:val="21"/>
                <w:szCs w:val="21"/>
              </w:rPr>
              <w:t>Health Research Council of New Zealand</w:t>
            </w:r>
          </w:p>
        </w:tc>
        <w:tc>
          <w:tcPr>
            <w:tcW w:w="3738" w:type="dxa"/>
            <w:shd w:val="clear" w:color="auto" w:fill="auto"/>
            <w:tcMar>
              <w:top w:w="57" w:type="dxa"/>
              <w:left w:w="57" w:type="dxa"/>
              <w:bottom w:w="57" w:type="dxa"/>
              <w:right w:w="57" w:type="dxa"/>
            </w:tcMar>
            <w:hideMark/>
          </w:tcPr>
          <w:p w14:paraId="17189B8E" w14:textId="447A3202" w:rsidR="001E4736" w:rsidRPr="00F074A5" w:rsidRDefault="001E4736" w:rsidP="00352327">
            <w:pPr>
              <w:spacing w:after="120" w:line="240" w:lineRule="auto"/>
              <w:rPr>
                <w:bCs/>
                <w:sz w:val="21"/>
                <w:szCs w:val="21"/>
              </w:rPr>
            </w:pPr>
            <w:r w:rsidRPr="00F074A5">
              <w:rPr>
                <w:bCs/>
                <w:sz w:val="21"/>
                <w:szCs w:val="21"/>
              </w:rPr>
              <w:t xml:space="preserve"> $1.8</w:t>
            </w:r>
            <w:r w:rsidR="0067558F" w:rsidRPr="00F074A5">
              <w:rPr>
                <w:bCs/>
                <w:sz w:val="21"/>
                <w:szCs w:val="21"/>
              </w:rPr>
              <w:t xml:space="preserve"> million</w:t>
            </w:r>
          </w:p>
        </w:tc>
        <w:tc>
          <w:tcPr>
            <w:tcW w:w="3228" w:type="dxa"/>
            <w:shd w:val="clear" w:color="auto" w:fill="auto"/>
            <w:tcMar>
              <w:top w:w="57" w:type="dxa"/>
              <w:left w:w="57" w:type="dxa"/>
              <w:bottom w:w="57" w:type="dxa"/>
              <w:right w:w="57" w:type="dxa"/>
            </w:tcMar>
            <w:hideMark/>
          </w:tcPr>
          <w:p w14:paraId="261465F0" w14:textId="1EDD4FD2" w:rsidR="001E4736" w:rsidRPr="00F074A5" w:rsidRDefault="001E4736" w:rsidP="00352327">
            <w:pPr>
              <w:spacing w:after="120" w:line="240" w:lineRule="auto"/>
              <w:rPr>
                <w:bCs/>
                <w:sz w:val="21"/>
                <w:szCs w:val="21"/>
              </w:rPr>
            </w:pPr>
            <w:r w:rsidRPr="00F074A5">
              <w:rPr>
                <w:bCs/>
                <w:sz w:val="21"/>
                <w:szCs w:val="21"/>
              </w:rPr>
              <w:t>$5.5</w:t>
            </w:r>
            <w:r w:rsidR="0067558F" w:rsidRPr="00F074A5">
              <w:rPr>
                <w:bCs/>
                <w:sz w:val="21"/>
                <w:szCs w:val="21"/>
              </w:rPr>
              <w:t xml:space="preserve"> million</w:t>
            </w:r>
          </w:p>
        </w:tc>
      </w:tr>
      <w:tr w:rsidR="009860E0" w:rsidRPr="00DD5584" w14:paraId="77BECD77" w14:textId="77777777" w:rsidTr="00F06BBC">
        <w:trPr>
          <w:cantSplit/>
          <w:trHeight w:val="340"/>
        </w:trPr>
        <w:tc>
          <w:tcPr>
            <w:tcW w:w="2517" w:type="dxa"/>
            <w:shd w:val="clear" w:color="auto" w:fill="auto"/>
            <w:tcMar>
              <w:top w:w="57" w:type="dxa"/>
              <w:left w:w="57" w:type="dxa"/>
              <w:bottom w:w="57" w:type="dxa"/>
              <w:right w:w="57" w:type="dxa"/>
            </w:tcMar>
            <w:hideMark/>
          </w:tcPr>
          <w:p w14:paraId="06B262C4" w14:textId="77777777" w:rsidR="001E4736" w:rsidRPr="00F074A5" w:rsidRDefault="001E4736" w:rsidP="00352327">
            <w:pPr>
              <w:spacing w:after="120" w:line="240" w:lineRule="auto"/>
              <w:rPr>
                <w:bCs/>
                <w:sz w:val="21"/>
                <w:szCs w:val="21"/>
              </w:rPr>
            </w:pPr>
            <w:r w:rsidRPr="00F074A5">
              <w:rPr>
                <w:bCs/>
                <w:sz w:val="21"/>
                <w:szCs w:val="21"/>
              </w:rPr>
              <w:t>RENAL</w:t>
            </w:r>
          </w:p>
        </w:tc>
        <w:tc>
          <w:tcPr>
            <w:tcW w:w="4854" w:type="dxa"/>
            <w:shd w:val="clear" w:color="auto" w:fill="auto"/>
            <w:tcMar>
              <w:top w:w="57" w:type="dxa"/>
              <w:left w:w="57" w:type="dxa"/>
              <w:bottom w:w="57" w:type="dxa"/>
              <w:right w:w="57" w:type="dxa"/>
            </w:tcMar>
            <w:hideMark/>
          </w:tcPr>
          <w:p w14:paraId="0483B96C" w14:textId="77777777" w:rsidR="001E4736" w:rsidRPr="00F074A5" w:rsidRDefault="001E4736" w:rsidP="00352327">
            <w:pPr>
              <w:spacing w:after="120" w:line="240" w:lineRule="auto"/>
              <w:rPr>
                <w:bCs/>
                <w:sz w:val="21"/>
                <w:szCs w:val="21"/>
              </w:rPr>
            </w:pPr>
            <w:r w:rsidRPr="00F074A5">
              <w:rPr>
                <w:bCs/>
                <w:sz w:val="21"/>
                <w:szCs w:val="21"/>
              </w:rPr>
              <w:t>-</w:t>
            </w:r>
          </w:p>
        </w:tc>
        <w:tc>
          <w:tcPr>
            <w:tcW w:w="3738" w:type="dxa"/>
            <w:shd w:val="clear" w:color="auto" w:fill="auto"/>
            <w:tcMar>
              <w:top w:w="57" w:type="dxa"/>
              <w:left w:w="57" w:type="dxa"/>
              <w:bottom w:w="57" w:type="dxa"/>
              <w:right w:w="57" w:type="dxa"/>
            </w:tcMar>
            <w:hideMark/>
          </w:tcPr>
          <w:p w14:paraId="4C6D0AE6" w14:textId="2B4BDDA4" w:rsidR="001E4736" w:rsidRPr="00F074A5" w:rsidRDefault="001E4736" w:rsidP="00352327">
            <w:pPr>
              <w:spacing w:after="120" w:line="240" w:lineRule="auto"/>
              <w:rPr>
                <w:bCs/>
                <w:sz w:val="21"/>
                <w:szCs w:val="21"/>
              </w:rPr>
            </w:pPr>
            <w:r w:rsidRPr="00F074A5">
              <w:rPr>
                <w:bCs/>
                <w:sz w:val="21"/>
                <w:szCs w:val="21"/>
              </w:rPr>
              <w:t xml:space="preserve"> $1.9</w:t>
            </w:r>
            <w:r w:rsidR="0067558F" w:rsidRPr="00F074A5">
              <w:rPr>
                <w:bCs/>
                <w:sz w:val="21"/>
                <w:szCs w:val="21"/>
              </w:rPr>
              <w:t xml:space="preserve"> million</w:t>
            </w:r>
          </w:p>
        </w:tc>
        <w:tc>
          <w:tcPr>
            <w:tcW w:w="3228" w:type="dxa"/>
            <w:shd w:val="clear" w:color="auto" w:fill="auto"/>
            <w:tcMar>
              <w:top w:w="57" w:type="dxa"/>
              <w:left w:w="57" w:type="dxa"/>
              <w:bottom w:w="57" w:type="dxa"/>
              <w:right w:w="57" w:type="dxa"/>
            </w:tcMar>
            <w:hideMark/>
          </w:tcPr>
          <w:p w14:paraId="0E47E8E8" w14:textId="1882B8D1" w:rsidR="001E4736" w:rsidRPr="00F074A5" w:rsidRDefault="001E4736" w:rsidP="00352327">
            <w:pPr>
              <w:spacing w:after="120" w:line="240" w:lineRule="auto"/>
              <w:rPr>
                <w:bCs/>
                <w:sz w:val="21"/>
                <w:szCs w:val="21"/>
              </w:rPr>
            </w:pPr>
            <w:r w:rsidRPr="00F074A5">
              <w:rPr>
                <w:bCs/>
                <w:sz w:val="21"/>
                <w:szCs w:val="21"/>
              </w:rPr>
              <w:t>$1.9</w:t>
            </w:r>
            <w:r w:rsidR="0067558F" w:rsidRPr="00F074A5">
              <w:rPr>
                <w:bCs/>
                <w:sz w:val="21"/>
                <w:szCs w:val="21"/>
              </w:rPr>
              <w:t xml:space="preserve"> million</w:t>
            </w:r>
          </w:p>
        </w:tc>
      </w:tr>
      <w:tr w:rsidR="009860E0" w:rsidRPr="00DD5584" w14:paraId="184E8195" w14:textId="77777777" w:rsidTr="00F06BBC">
        <w:trPr>
          <w:cantSplit/>
          <w:trHeight w:val="352"/>
        </w:trPr>
        <w:tc>
          <w:tcPr>
            <w:tcW w:w="2517" w:type="dxa"/>
            <w:shd w:val="clear" w:color="auto" w:fill="auto"/>
            <w:tcMar>
              <w:top w:w="57" w:type="dxa"/>
              <w:left w:w="57" w:type="dxa"/>
              <w:bottom w:w="57" w:type="dxa"/>
              <w:right w:w="57" w:type="dxa"/>
            </w:tcMar>
            <w:hideMark/>
          </w:tcPr>
          <w:p w14:paraId="6DDD4F7B" w14:textId="77777777" w:rsidR="001E4736" w:rsidRPr="00F074A5" w:rsidRDefault="001E4736" w:rsidP="00352327">
            <w:pPr>
              <w:spacing w:after="120" w:line="240" w:lineRule="auto"/>
              <w:rPr>
                <w:bCs/>
                <w:sz w:val="21"/>
                <w:szCs w:val="21"/>
              </w:rPr>
            </w:pPr>
            <w:r w:rsidRPr="00F074A5">
              <w:rPr>
                <w:bCs/>
                <w:sz w:val="21"/>
                <w:szCs w:val="21"/>
              </w:rPr>
              <w:t>SAFE</w:t>
            </w:r>
          </w:p>
        </w:tc>
        <w:tc>
          <w:tcPr>
            <w:tcW w:w="4854" w:type="dxa"/>
            <w:shd w:val="clear" w:color="auto" w:fill="auto"/>
            <w:tcMar>
              <w:top w:w="57" w:type="dxa"/>
              <w:left w:w="57" w:type="dxa"/>
              <w:bottom w:w="57" w:type="dxa"/>
              <w:right w:w="57" w:type="dxa"/>
            </w:tcMar>
            <w:hideMark/>
          </w:tcPr>
          <w:p w14:paraId="5E3F0842" w14:textId="77777777" w:rsidR="001E4736" w:rsidRPr="00F074A5" w:rsidRDefault="001E4736" w:rsidP="00352327">
            <w:pPr>
              <w:spacing w:after="120" w:line="240" w:lineRule="auto"/>
              <w:rPr>
                <w:bCs/>
                <w:sz w:val="21"/>
                <w:szCs w:val="21"/>
              </w:rPr>
            </w:pPr>
            <w:r w:rsidRPr="00F074A5">
              <w:rPr>
                <w:bCs/>
                <w:sz w:val="21"/>
                <w:szCs w:val="21"/>
              </w:rPr>
              <w:t>-</w:t>
            </w:r>
          </w:p>
        </w:tc>
        <w:tc>
          <w:tcPr>
            <w:tcW w:w="3738" w:type="dxa"/>
            <w:shd w:val="clear" w:color="auto" w:fill="auto"/>
            <w:tcMar>
              <w:top w:w="57" w:type="dxa"/>
              <w:left w:w="57" w:type="dxa"/>
              <w:bottom w:w="57" w:type="dxa"/>
              <w:right w:w="57" w:type="dxa"/>
            </w:tcMar>
            <w:hideMark/>
          </w:tcPr>
          <w:p w14:paraId="332CBF71" w14:textId="69F8F467" w:rsidR="001E4736" w:rsidRPr="00F074A5" w:rsidRDefault="001E4736" w:rsidP="00352327">
            <w:pPr>
              <w:spacing w:after="120" w:line="240" w:lineRule="auto"/>
              <w:rPr>
                <w:bCs/>
                <w:sz w:val="21"/>
                <w:szCs w:val="21"/>
              </w:rPr>
            </w:pPr>
            <w:r w:rsidRPr="00F074A5">
              <w:rPr>
                <w:bCs/>
                <w:sz w:val="21"/>
                <w:szCs w:val="21"/>
              </w:rPr>
              <w:t xml:space="preserve"> $0.6</w:t>
            </w:r>
            <w:r w:rsidR="0067558F" w:rsidRPr="00F074A5">
              <w:rPr>
                <w:bCs/>
                <w:sz w:val="21"/>
                <w:szCs w:val="21"/>
              </w:rPr>
              <w:t xml:space="preserve"> million</w:t>
            </w:r>
          </w:p>
        </w:tc>
        <w:tc>
          <w:tcPr>
            <w:tcW w:w="3228" w:type="dxa"/>
            <w:shd w:val="clear" w:color="auto" w:fill="auto"/>
            <w:tcMar>
              <w:top w:w="57" w:type="dxa"/>
              <w:left w:w="57" w:type="dxa"/>
              <w:bottom w:w="57" w:type="dxa"/>
              <w:right w:w="57" w:type="dxa"/>
            </w:tcMar>
            <w:hideMark/>
          </w:tcPr>
          <w:p w14:paraId="56B9285E" w14:textId="0EC50264" w:rsidR="001E4736" w:rsidRPr="00F074A5" w:rsidRDefault="001E4736" w:rsidP="00352327">
            <w:pPr>
              <w:spacing w:after="120" w:line="240" w:lineRule="auto"/>
              <w:rPr>
                <w:bCs/>
                <w:sz w:val="21"/>
                <w:szCs w:val="21"/>
              </w:rPr>
            </w:pPr>
            <w:r w:rsidRPr="00F074A5">
              <w:rPr>
                <w:bCs/>
                <w:sz w:val="21"/>
                <w:szCs w:val="21"/>
              </w:rPr>
              <w:t>$0.9</w:t>
            </w:r>
            <w:r w:rsidR="0067558F" w:rsidRPr="00F074A5">
              <w:rPr>
                <w:bCs/>
                <w:sz w:val="21"/>
                <w:szCs w:val="21"/>
              </w:rPr>
              <w:t xml:space="preserve"> million</w:t>
            </w:r>
          </w:p>
        </w:tc>
      </w:tr>
      <w:tr w:rsidR="009860E0" w:rsidRPr="00DD5584" w14:paraId="7C364A40" w14:textId="77777777" w:rsidTr="00F06BBC">
        <w:trPr>
          <w:cantSplit/>
          <w:trHeight w:val="16"/>
        </w:trPr>
        <w:tc>
          <w:tcPr>
            <w:tcW w:w="2517" w:type="dxa"/>
            <w:shd w:val="clear" w:color="auto" w:fill="auto"/>
            <w:tcMar>
              <w:top w:w="57" w:type="dxa"/>
              <w:left w:w="57" w:type="dxa"/>
              <w:bottom w:w="57" w:type="dxa"/>
              <w:right w:w="57" w:type="dxa"/>
            </w:tcMar>
            <w:hideMark/>
          </w:tcPr>
          <w:p w14:paraId="16CDE608" w14:textId="77777777" w:rsidR="001E4736" w:rsidRPr="00F074A5" w:rsidRDefault="001E4736" w:rsidP="00352327">
            <w:pPr>
              <w:spacing w:after="120" w:line="240" w:lineRule="auto"/>
              <w:rPr>
                <w:bCs/>
                <w:sz w:val="21"/>
                <w:szCs w:val="21"/>
              </w:rPr>
            </w:pPr>
            <w:r w:rsidRPr="00F074A5">
              <w:rPr>
                <w:bCs/>
                <w:sz w:val="21"/>
                <w:szCs w:val="21"/>
              </w:rPr>
              <w:t>SAFE-TBI</w:t>
            </w:r>
          </w:p>
        </w:tc>
        <w:tc>
          <w:tcPr>
            <w:tcW w:w="4854" w:type="dxa"/>
            <w:shd w:val="clear" w:color="auto" w:fill="auto"/>
            <w:tcMar>
              <w:top w:w="57" w:type="dxa"/>
              <w:left w:w="57" w:type="dxa"/>
              <w:bottom w:w="57" w:type="dxa"/>
              <w:right w:w="57" w:type="dxa"/>
            </w:tcMar>
            <w:hideMark/>
          </w:tcPr>
          <w:p w14:paraId="73FE7D85" w14:textId="77777777" w:rsidR="001E4736" w:rsidRPr="00F074A5" w:rsidRDefault="001E4736" w:rsidP="00352327">
            <w:pPr>
              <w:spacing w:after="120" w:line="240" w:lineRule="auto"/>
              <w:rPr>
                <w:bCs/>
                <w:sz w:val="21"/>
                <w:szCs w:val="21"/>
              </w:rPr>
            </w:pPr>
            <w:r w:rsidRPr="00F074A5">
              <w:rPr>
                <w:bCs/>
                <w:sz w:val="21"/>
                <w:szCs w:val="21"/>
              </w:rPr>
              <w:t>-</w:t>
            </w:r>
          </w:p>
        </w:tc>
        <w:tc>
          <w:tcPr>
            <w:tcW w:w="3738" w:type="dxa"/>
            <w:shd w:val="clear" w:color="auto" w:fill="auto"/>
            <w:tcMar>
              <w:top w:w="57" w:type="dxa"/>
              <w:left w:w="57" w:type="dxa"/>
              <w:bottom w:w="57" w:type="dxa"/>
              <w:right w:w="57" w:type="dxa"/>
            </w:tcMar>
            <w:hideMark/>
          </w:tcPr>
          <w:p w14:paraId="05225580" w14:textId="36F96A2E" w:rsidR="001E4736" w:rsidRPr="00F074A5" w:rsidRDefault="001E4736" w:rsidP="00352327">
            <w:pPr>
              <w:spacing w:after="120" w:line="240" w:lineRule="auto"/>
              <w:rPr>
                <w:bCs/>
                <w:sz w:val="21"/>
                <w:szCs w:val="21"/>
              </w:rPr>
            </w:pPr>
            <w:r w:rsidRPr="00F074A5">
              <w:rPr>
                <w:bCs/>
                <w:sz w:val="21"/>
                <w:szCs w:val="21"/>
              </w:rPr>
              <w:t>&lt;$0.1</w:t>
            </w:r>
            <w:r w:rsidR="0067558F" w:rsidRPr="00F074A5">
              <w:rPr>
                <w:bCs/>
                <w:sz w:val="21"/>
                <w:szCs w:val="21"/>
              </w:rPr>
              <w:t xml:space="preserve"> million</w:t>
            </w:r>
          </w:p>
        </w:tc>
        <w:tc>
          <w:tcPr>
            <w:tcW w:w="3228" w:type="dxa"/>
            <w:shd w:val="clear" w:color="auto" w:fill="auto"/>
            <w:tcMar>
              <w:top w:w="57" w:type="dxa"/>
              <w:left w:w="57" w:type="dxa"/>
              <w:bottom w:w="57" w:type="dxa"/>
              <w:right w:w="57" w:type="dxa"/>
            </w:tcMar>
            <w:hideMark/>
          </w:tcPr>
          <w:p w14:paraId="1136BE7C" w14:textId="196B34DD" w:rsidR="001E4736" w:rsidRPr="00F074A5" w:rsidRDefault="001E4736" w:rsidP="00352327">
            <w:pPr>
              <w:spacing w:after="120" w:line="240" w:lineRule="auto"/>
              <w:rPr>
                <w:bCs/>
                <w:sz w:val="21"/>
                <w:szCs w:val="21"/>
              </w:rPr>
            </w:pPr>
            <w:r w:rsidRPr="00F074A5">
              <w:rPr>
                <w:bCs/>
                <w:sz w:val="21"/>
                <w:szCs w:val="21"/>
              </w:rPr>
              <w:t>$0.1</w:t>
            </w:r>
            <w:r w:rsidR="0067558F" w:rsidRPr="00F074A5">
              <w:rPr>
                <w:bCs/>
                <w:sz w:val="21"/>
                <w:szCs w:val="21"/>
              </w:rPr>
              <w:t xml:space="preserve"> million</w:t>
            </w:r>
          </w:p>
        </w:tc>
      </w:tr>
      <w:tr w:rsidR="009860E0" w:rsidRPr="00DD5584" w14:paraId="7435F2AF" w14:textId="77777777" w:rsidTr="00F06BBC">
        <w:trPr>
          <w:cantSplit/>
          <w:trHeight w:val="14"/>
        </w:trPr>
        <w:tc>
          <w:tcPr>
            <w:tcW w:w="11109" w:type="dxa"/>
            <w:gridSpan w:val="3"/>
            <w:shd w:val="clear" w:color="auto" w:fill="2F5496"/>
            <w:tcMar>
              <w:top w:w="57" w:type="dxa"/>
              <w:left w:w="57" w:type="dxa"/>
              <w:bottom w:w="57" w:type="dxa"/>
              <w:right w:w="57" w:type="dxa"/>
            </w:tcMar>
          </w:tcPr>
          <w:p w14:paraId="58682857" w14:textId="03F8FDAB" w:rsidR="00AB7B28" w:rsidRPr="00F074A5" w:rsidRDefault="00AB7B28" w:rsidP="00352327">
            <w:pPr>
              <w:spacing w:after="120" w:line="240" w:lineRule="auto"/>
              <w:rPr>
                <w:bCs/>
                <w:color w:val="FFFFFF" w:themeColor="background1"/>
                <w:sz w:val="21"/>
                <w:szCs w:val="21"/>
              </w:rPr>
            </w:pPr>
            <w:r w:rsidRPr="00F074A5">
              <w:rPr>
                <w:bCs/>
                <w:color w:val="FFFFFF" w:themeColor="background1"/>
                <w:sz w:val="21"/>
                <w:szCs w:val="21"/>
              </w:rPr>
              <w:t xml:space="preserve">Total estimated </w:t>
            </w:r>
            <w:r w:rsidR="009860E0" w:rsidRPr="00F074A5">
              <w:rPr>
                <w:bCs/>
                <w:color w:val="FFFFFF" w:themeColor="background1"/>
                <w:sz w:val="21"/>
                <w:szCs w:val="21"/>
              </w:rPr>
              <w:t xml:space="preserve">funding for </w:t>
            </w:r>
            <w:r w:rsidRPr="00F074A5">
              <w:rPr>
                <w:bCs/>
                <w:color w:val="FFFFFF" w:themeColor="background1"/>
                <w:sz w:val="21"/>
                <w:szCs w:val="21"/>
              </w:rPr>
              <w:t>all studies 2004-14</w:t>
            </w:r>
            <w:r w:rsidRPr="00F074A5">
              <w:rPr>
                <w:rStyle w:val="FootnoteReference"/>
                <w:bCs/>
                <w:color w:val="FFFFFF" w:themeColor="background1"/>
                <w:sz w:val="21"/>
                <w:szCs w:val="21"/>
              </w:rPr>
              <w:footnoteReference w:id="44"/>
            </w:r>
          </w:p>
        </w:tc>
        <w:tc>
          <w:tcPr>
            <w:tcW w:w="3228" w:type="dxa"/>
            <w:shd w:val="clear" w:color="auto" w:fill="2F5496"/>
            <w:tcMar>
              <w:top w:w="57" w:type="dxa"/>
              <w:left w:w="57" w:type="dxa"/>
              <w:bottom w:w="57" w:type="dxa"/>
              <w:right w:w="57" w:type="dxa"/>
            </w:tcMar>
          </w:tcPr>
          <w:p w14:paraId="2EE076AF" w14:textId="77777777" w:rsidR="00AB7B28" w:rsidRPr="00F074A5" w:rsidRDefault="00AB7B28" w:rsidP="00352327">
            <w:pPr>
              <w:spacing w:after="120" w:line="240" w:lineRule="auto"/>
              <w:rPr>
                <w:bCs/>
                <w:color w:val="FFFFFF" w:themeColor="background1"/>
                <w:sz w:val="21"/>
                <w:szCs w:val="21"/>
              </w:rPr>
            </w:pPr>
            <w:r w:rsidRPr="00F074A5">
              <w:rPr>
                <w:bCs/>
                <w:color w:val="FFFFFF" w:themeColor="background1"/>
                <w:sz w:val="21"/>
                <w:szCs w:val="21"/>
              </w:rPr>
              <w:t>$32 million</w:t>
            </w:r>
          </w:p>
        </w:tc>
      </w:tr>
    </w:tbl>
    <w:p w14:paraId="471919D7" w14:textId="77777777" w:rsidR="00744B29" w:rsidRPr="00D67E9A" w:rsidRDefault="00744B29" w:rsidP="00744B29">
      <w:pPr>
        <w:rPr>
          <w:sz w:val="21"/>
          <w:szCs w:val="16"/>
        </w:rPr>
      </w:pPr>
      <w:r w:rsidRPr="00D67E9A">
        <w:rPr>
          <w:sz w:val="18"/>
          <w:szCs w:val="16"/>
        </w:rPr>
        <w:t>– means non-existent or not stated in the Profiling Networks Project or trial manuscript</w:t>
      </w:r>
    </w:p>
    <w:p w14:paraId="2F3C5781" w14:textId="77777777" w:rsidR="00A41A17" w:rsidRDefault="00A41A17">
      <w:pPr>
        <w:spacing w:before="0" w:after="200" w:line="276" w:lineRule="auto"/>
        <w:rPr>
          <w:rFonts w:eastAsiaTheme="minorEastAsia"/>
          <w:b/>
          <w:bCs/>
          <w:color w:val="2F5496" w:themeColor="accent5" w:themeShade="BF"/>
          <w:spacing w:val="6"/>
          <w:szCs w:val="18"/>
          <w:lang w:bidi="hi-IN"/>
        </w:rPr>
      </w:pPr>
    </w:p>
    <w:p w14:paraId="13803E0F" w14:textId="77777777" w:rsidR="009860E0" w:rsidRDefault="009860E0">
      <w:pPr>
        <w:spacing w:before="0" w:after="200" w:line="276" w:lineRule="auto"/>
        <w:rPr>
          <w:rFonts w:eastAsiaTheme="minorEastAsia"/>
          <w:b/>
          <w:bCs/>
          <w:color w:val="2F5496" w:themeColor="accent5" w:themeShade="BF"/>
          <w:spacing w:val="6"/>
          <w:szCs w:val="18"/>
          <w:lang w:bidi="hi-IN"/>
        </w:rPr>
      </w:pPr>
      <w:r>
        <w:br w:type="page"/>
      </w:r>
    </w:p>
    <w:p w14:paraId="6A47F5FC" w14:textId="03D26B6B" w:rsidR="00AB7B28" w:rsidRDefault="00F64140" w:rsidP="00F64140">
      <w:pPr>
        <w:pStyle w:val="Caption"/>
      </w:pPr>
      <w:bookmarkStart w:id="283" w:name="_Toc479177422"/>
      <w:r>
        <w:lastRenderedPageBreak/>
        <w:t xml:space="preserve">Appendix A Table </w:t>
      </w:r>
      <w:fldSimple w:instr=" SEQ Appendix_A_Table \* ARABIC ">
        <w:r w:rsidR="007B3054">
          <w:rPr>
            <w:noProof/>
          </w:rPr>
          <w:t>12</w:t>
        </w:r>
      </w:fldSimple>
      <w:r>
        <w:t>. ANZICS CTG trial benefits</w:t>
      </w:r>
      <w:bookmarkEnd w:id="283"/>
    </w:p>
    <w:tbl>
      <w:tblPr>
        <w:tblW w:w="14488" w:type="dxa"/>
        <w:tblInd w:w="14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CellMar>
          <w:left w:w="0" w:type="dxa"/>
          <w:right w:w="0" w:type="dxa"/>
        </w:tblCellMar>
        <w:tblLook w:val="0420" w:firstRow="1" w:lastRow="0" w:firstColumn="0" w:lastColumn="0" w:noHBand="0" w:noVBand="1"/>
      </w:tblPr>
      <w:tblGrid>
        <w:gridCol w:w="1978"/>
        <w:gridCol w:w="2853"/>
        <w:gridCol w:w="3115"/>
        <w:gridCol w:w="3030"/>
        <w:gridCol w:w="1640"/>
        <w:gridCol w:w="1872"/>
      </w:tblGrid>
      <w:tr w:rsidR="00004DA9" w:rsidRPr="00DD5584" w14:paraId="030E6B9D" w14:textId="77777777" w:rsidTr="00392788">
        <w:trPr>
          <w:cantSplit/>
          <w:trHeight w:val="737"/>
          <w:tblHeader/>
        </w:trPr>
        <w:tc>
          <w:tcPr>
            <w:tcW w:w="197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F5496" w:themeFill="accent5" w:themeFillShade="BF"/>
            <w:tcMar>
              <w:top w:w="57" w:type="dxa"/>
              <w:left w:w="57" w:type="dxa"/>
              <w:bottom w:w="57" w:type="dxa"/>
              <w:right w:w="57" w:type="dxa"/>
            </w:tcMar>
            <w:vAlign w:val="bottom"/>
          </w:tcPr>
          <w:p w14:paraId="6EBB586B" w14:textId="703877D0" w:rsidR="00004DA9" w:rsidRPr="00392788" w:rsidRDefault="00004DA9" w:rsidP="00392788">
            <w:pPr>
              <w:spacing w:after="0" w:line="276" w:lineRule="auto"/>
              <w:rPr>
                <w:b/>
                <w:sz w:val="21"/>
                <w:szCs w:val="21"/>
              </w:rPr>
            </w:pPr>
            <w:r w:rsidRPr="00392788">
              <w:rPr>
                <w:b/>
                <w:color w:val="FFFFFF" w:themeColor="background1"/>
                <w:sz w:val="21"/>
                <w:szCs w:val="21"/>
              </w:rPr>
              <w:t>Study</w:t>
            </w:r>
          </w:p>
        </w:tc>
        <w:tc>
          <w:tcPr>
            <w:tcW w:w="285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F5496" w:themeFill="accent5" w:themeFillShade="BF"/>
            <w:tcMar>
              <w:top w:w="57" w:type="dxa"/>
              <w:left w:w="57" w:type="dxa"/>
              <w:bottom w:w="57" w:type="dxa"/>
              <w:right w:w="57" w:type="dxa"/>
            </w:tcMar>
            <w:vAlign w:val="bottom"/>
          </w:tcPr>
          <w:p w14:paraId="243BE73A" w14:textId="41595F33" w:rsidR="00004DA9" w:rsidRPr="00392788" w:rsidRDefault="00004DA9" w:rsidP="00392788">
            <w:pPr>
              <w:spacing w:after="0" w:line="276" w:lineRule="auto"/>
              <w:rPr>
                <w:b/>
                <w:sz w:val="21"/>
                <w:szCs w:val="21"/>
              </w:rPr>
            </w:pPr>
            <w:r w:rsidRPr="00392788">
              <w:rPr>
                <w:b/>
                <w:color w:val="FFFFFF" w:themeColor="background1"/>
                <w:sz w:val="21"/>
                <w:szCs w:val="21"/>
              </w:rPr>
              <w:t>Description</w:t>
            </w:r>
          </w:p>
        </w:tc>
        <w:tc>
          <w:tcPr>
            <w:tcW w:w="31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F5496" w:themeFill="accent5" w:themeFillShade="BF"/>
            <w:tcMar>
              <w:top w:w="57" w:type="dxa"/>
              <w:left w:w="57" w:type="dxa"/>
              <w:bottom w:w="57" w:type="dxa"/>
              <w:right w:w="57" w:type="dxa"/>
            </w:tcMar>
            <w:vAlign w:val="bottom"/>
          </w:tcPr>
          <w:p w14:paraId="29225458" w14:textId="1CA5EC17" w:rsidR="00004DA9" w:rsidRPr="00392788" w:rsidRDefault="00004DA9" w:rsidP="00392788">
            <w:pPr>
              <w:spacing w:after="0" w:line="276" w:lineRule="auto"/>
              <w:rPr>
                <w:b/>
                <w:sz w:val="21"/>
                <w:szCs w:val="21"/>
              </w:rPr>
            </w:pPr>
            <w:r w:rsidRPr="00392788">
              <w:rPr>
                <w:b/>
                <w:color w:val="FFFFFF" w:themeColor="background1"/>
                <w:sz w:val="21"/>
                <w:szCs w:val="21"/>
              </w:rPr>
              <w:t>Results</w:t>
            </w:r>
          </w:p>
        </w:tc>
        <w:tc>
          <w:tcPr>
            <w:tcW w:w="30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F5496" w:themeFill="accent5" w:themeFillShade="BF"/>
            <w:tcMar>
              <w:top w:w="57" w:type="dxa"/>
              <w:left w:w="57" w:type="dxa"/>
              <w:bottom w:w="57" w:type="dxa"/>
              <w:right w:w="57" w:type="dxa"/>
            </w:tcMar>
            <w:vAlign w:val="bottom"/>
          </w:tcPr>
          <w:p w14:paraId="250A7742" w14:textId="0E031934" w:rsidR="00004DA9" w:rsidRPr="00392788" w:rsidRDefault="00004DA9" w:rsidP="00392788">
            <w:pPr>
              <w:spacing w:after="0" w:line="276" w:lineRule="auto"/>
              <w:rPr>
                <w:b/>
                <w:sz w:val="21"/>
                <w:szCs w:val="21"/>
              </w:rPr>
            </w:pPr>
            <w:r w:rsidRPr="00392788">
              <w:rPr>
                <w:b/>
                <w:color w:val="FFFFFF" w:themeColor="background1"/>
                <w:sz w:val="21"/>
                <w:szCs w:val="21"/>
              </w:rPr>
              <w:t xml:space="preserve">Clinical </w:t>
            </w:r>
            <w:r w:rsidR="00F44CC1">
              <w:rPr>
                <w:b/>
                <w:color w:val="FFFFFF" w:themeColor="background1"/>
                <w:sz w:val="21"/>
                <w:szCs w:val="21"/>
              </w:rPr>
              <w:t>c</w:t>
            </w:r>
            <w:r w:rsidRPr="00392788">
              <w:rPr>
                <w:b/>
                <w:color w:val="FFFFFF" w:themeColor="background1"/>
                <w:sz w:val="21"/>
                <w:szCs w:val="21"/>
              </w:rPr>
              <w:t>ontext</w:t>
            </w:r>
          </w:p>
        </w:tc>
        <w:tc>
          <w:tcPr>
            <w:tcW w:w="16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F5496" w:themeFill="accent5" w:themeFillShade="BF"/>
            <w:tcMar>
              <w:top w:w="57" w:type="dxa"/>
              <w:left w:w="57" w:type="dxa"/>
              <w:bottom w:w="57" w:type="dxa"/>
              <w:right w:w="57" w:type="dxa"/>
            </w:tcMar>
            <w:vAlign w:val="bottom"/>
          </w:tcPr>
          <w:p w14:paraId="1D8DD6CD" w14:textId="6C2D19F1" w:rsidR="00004DA9" w:rsidRPr="00392788" w:rsidRDefault="00004DA9" w:rsidP="00392788">
            <w:pPr>
              <w:spacing w:after="0" w:line="276" w:lineRule="auto"/>
              <w:rPr>
                <w:b/>
                <w:sz w:val="21"/>
                <w:szCs w:val="21"/>
              </w:rPr>
            </w:pPr>
            <w:r w:rsidRPr="00392788">
              <w:rPr>
                <w:b/>
                <w:color w:val="FFFFFF" w:themeColor="background1"/>
                <w:sz w:val="21"/>
                <w:szCs w:val="21"/>
              </w:rPr>
              <w:t xml:space="preserve">Gross </w:t>
            </w:r>
            <w:r w:rsidR="00F44CC1" w:rsidRPr="00392788">
              <w:rPr>
                <w:b/>
                <w:color w:val="FFFFFF" w:themeColor="background1"/>
                <w:sz w:val="21"/>
                <w:szCs w:val="21"/>
              </w:rPr>
              <w:t>e</w:t>
            </w:r>
            <w:r w:rsidRPr="00392788">
              <w:rPr>
                <w:b/>
                <w:color w:val="FFFFFF" w:themeColor="background1"/>
                <w:sz w:val="21"/>
                <w:szCs w:val="21"/>
              </w:rPr>
              <w:t xml:space="preserve">conomic </w:t>
            </w:r>
            <w:r w:rsidR="00F44CC1" w:rsidRPr="00392788">
              <w:rPr>
                <w:b/>
                <w:color w:val="FFFFFF" w:themeColor="background1"/>
                <w:sz w:val="21"/>
                <w:szCs w:val="21"/>
              </w:rPr>
              <w:t>b</w:t>
            </w:r>
            <w:r w:rsidRPr="00392788">
              <w:rPr>
                <w:b/>
                <w:color w:val="FFFFFF" w:themeColor="background1"/>
                <w:sz w:val="21"/>
                <w:szCs w:val="21"/>
              </w:rPr>
              <w:t>enefit</w:t>
            </w:r>
          </w:p>
        </w:tc>
        <w:tc>
          <w:tcPr>
            <w:tcW w:w="187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F5496" w:themeFill="accent5" w:themeFillShade="BF"/>
            <w:tcMar>
              <w:top w:w="57" w:type="dxa"/>
              <w:left w:w="57" w:type="dxa"/>
              <w:bottom w:w="57" w:type="dxa"/>
              <w:right w:w="57" w:type="dxa"/>
            </w:tcMar>
            <w:vAlign w:val="bottom"/>
          </w:tcPr>
          <w:p w14:paraId="6576364F" w14:textId="48DBF694" w:rsidR="00004DA9" w:rsidRPr="00392788" w:rsidRDefault="00004DA9" w:rsidP="00392788">
            <w:pPr>
              <w:spacing w:after="0" w:line="276" w:lineRule="auto"/>
              <w:rPr>
                <w:b/>
                <w:sz w:val="21"/>
                <w:szCs w:val="21"/>
              </w:rPr>
            </w:pPr>
            <w:r w:rsidRPr="00392788">
              <w:rPr>
                <w:b/>
                <w:color w:val="FFFFFF" w:themeColor="background1"/>
                <w:sz w:val="21"/>
                <w:szCs w:val="21"/>
              </w:rPr>
              <w:t xml:space="preserve">% of </w:t>
            </w:r>
            <w:r w:rsidR="00F44CC1" w:rsidRPr="00392788">
              <w:rPr>
                <w:b/>
                <w:color w:val="FFFFFF" w:themeColor="background1"/>
                <w:sz w:val="21"/>
                <w:szCs w:val="21"/>
              </w:rPr>
              <w:t>b</w:t>
            </w:r>
            <w:r w:rsidRPr="00392788">
              <w:rPr>
                <w:b/>
                <w:color w:val="FFFFFF" w:themeColor="background1"/>
                <w:sz w:val="21"/>
                <w:szCs w:val="21"/>
              </w:rPr>
              <w:t>enefit</w:t>
            </w:r>
            <w:r w:rsidR="0096241B" w:rsidRPr="00392788">
              <w:rPr>
                <w:b/>
                <w:color w:val="FFFFFF" w:themeColor="background1"/>
                <w:sz w:val="21"/>
                <w:szCs w:val="21"/>
              </w:rPr>
              <w:t xml:space="preserve"> </w:t>
            </w:r>
            <w:r w:rsidRPr="00392788">
              <w:rPr>
                <w:b/>
                <w:color w:val="FFFFFF" w:themeColor="background1"/>
                <w:sz w:val="21"/>
                <w:szCs w:val="21"/>
              </w:rPr>
              <w:t xml:space="preserve">in </w:t>
            </w:r>
            <w:r w:rsidR="00F44CC1" w:rsidRPr="00392788">
              <w:rPr>
                <w:b/>
                <w:color w:val="FFFFFF" w:themeColor="background1"/>
                <w:sz w:val="21"/>
                <w:szCs w:val="21"/>
              </w:rPr>
              <w:t>s</w:t>
            </w:r>
            <w:r w:rsidRPr="00392788">
              <w:rPr>
                <w:b/>
                <w:color w:val="FFFFFF" w:themeColor="background1"/>
                <w:sz w:val="21"/>
                <w:szCs w:val="21"/>
              </w:rPr>
              <w:t xml:space="preserve">ervice </w:t>
            </w:r>
            <w:r w:rsidR="00F44CC1" w:rsidRPr="00392788">
              <w:rPr>
                <w:b/>
                <w:color w:val="FFFFFF" w:themeColor="background1"/>
                <w:sz w:val="21"/>
                <w:szCs w:val="21"/>
              </w:rPr>
              <w:t>c</w:t>
            </w:r>
            <w:r w:rsidRPr="00392788">
              <w:rPr>
                <w:b/>
                <w:color w:val="FFFFFF" w:themeColor="background1"/>
                <w:sz w:val="21"/>
                <w:szCs w:val="21"/>
              </w:rPr>
              <w:t>osts</w:t>
            </w:r>
          </w:p>
        </w:tc>
      </w:tr>
      <w:tr w:rsidR="00004DA9" w:rsidRPr="00DD5584" w14:paraId="61B2A757" w14:textId="77777777" w:rsidTr="00392788">
        <w:trPr>
          <w:cantSplit/>
          <w:trHeight w:val="1426"/>
        </w:trPr>
        <w:tc>
          <w:tcPr>
            <w:tcW w:w="197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4C5DA142" w14:textId="77777777" w:rsidR="00004DA9" w:rsidRPr="00392788" w:rsidRDefault="00004DA9" w:rsidP="00392788">
            <w:pPr>
              <w:spacing w:before="120" w:after="120" w:line="240" w:lineRule="auto"/>
              <w:rPr>
                <w:rFonts w:cs="Arial"/>
                <w:sz w:val="21"/>
                <w:szCs w:val="21"/>
              </w:rPr>
            </w:pPr>
            <w:r w:rsidRPr="00392788">
              <w:rPr>
                <w:rFonts w:cs="Arial"/>
                <w:sz w:val="21"/>
                <w:szCs w:val="21"/>
              </w:rPr>
              <w:t>ARISE</w:t>
            </w:r>
          </w:p>
        </w:tc>
        <w:tc>
          <w:tcPr>
            <w:tcW w:w="285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3F0041B6" w14:textId="293F18BC" w:rsidR="00004DA9" w:rsidRPr="00392788" w:rsidRDefault="00D00ADB" w:rsidP="00392788">
            <w:pPr>
              <w:spacing w:before="120" w:after="120" w:line="240" w:lineRule="auto"/>
              <w:rPr>
                <w:rFonts w:cs="Arial"/>
                <w:sz w:val="21"/>
                <w:szCs w:val="21"/>
              </w:rPr>
            </w:pPr>
            <w:r w:rsidRPr="00392788">
              <w:rPr>
                <w:rFonts w:cs="Arial"/>
                <w:sz w:val="21"/>
                <w:szCs w:val="21"/>
              </w:rPr>
              <w:t>Early goal directed resuscitation versus standard care for patients with septic shock in the emergency department.</w:t>
            </w:r>
          </w:p>
        </w:tc>
        <w:tc>
          <w:tcPr>
            <w:tcW w:w="31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07E5B52B" w14:textId="0F2E3A49" w:rsidR="00004DA9" w:rsidRPr="00392788" w:rsidRDefault="00D00ADB" w:rsidP="00392788">
            <w:pPr>
              <w:spacing w:before="120" w:after="120" w:line="240" w:lineRule="auto"/>
              <w:rPr>
                <w:rFonts w:cs="Arial"/>
                <w:sz w:val="21"/>
                <w:szCs w:val="21"/>
              </w:rPr>
            </w:pPr>
            <w:r w:rsidRPr="00392788">
              <w:rPr>
                <w:rFonts w:cs="Arial"/>
                <w:sz w:val="21"/>
                <w:szCs w:val="21"/>
              </w:rPr>
              <w:t xml:space="preserve">The treatment provided no improvement in mortality but </w:t>
            </w:r>
            <w:r w:rsidR="00004DA9" w:rsidRPr="00392788">
              <w:rPr>
                <w:rFonts w:cs="Arial"/>
                <w:sz w:val="21"/>
                <w:szCs w:val="21"/>
              </w:rPr>
              <w:t>there was an increase in treatment costs including the use of vasopressor support</w:t>
            </w:r>
            <w:r w:rsidR="00083F47" w:rsidRPr="00392788">
              <w:rPr>
                <w:rFonts w:cs="Arial"/>
                <w:sz w:val="21"/>
                <w:szCs w:val="21"/>
              </w:rPr>
              <w:t>.</w:t>
            </w:r>
          </w:p>
        </w:tc>
        <w:tc>
          <w:tcPr>
            <w:tcW w:w="30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1263E221" w14:textId="5B2FD1DE" w:rsidR="00004DA9" w:rsidRPr="00392788" w:rsidRDefault="00637138" w:rsidP="00392788">
            <w:pPr>
              <w:spacing w:before="120" w:after="120" w:line="240" w:lineRule="auto"/>
              <w:rPr>
                <w:rFonts w:cs="Arial"/>
                <w:sz w:val="21"/>
                <w:szCs w:val="21"/>
              </w:rPr>
            </w:pPr>
            <w:r w:rsidRPr="00392788">
              <w:rPr>
                <w:rFonts w:cs="Arial"/>
                <w:sz w:val="21"/>
                <w:szCs w:val="21"/>
              </w:rPr>
              <w:t>Previous studies led to surviving sepsis guidelines advocating the use of the early goal directed resuscitation protocol. These were revised globally following the trial.</w:t>
            </w:r>
          </w:p>
        </w:tc>
        <w:tc>
          <w:tcPr>
            <w:tcW w:w="16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1CE6C59C" w14:textId="54932962" w:rsidR="00004DA9" w:rsidRPr="00392788" w:rsidRDefault="00004DA9" w:rsidP="00392788">
            <w:pPr>
              <w:spacing w:before="120" w:after="120" w:line="240" w:lineRule="auto"/>
              <w:rPr>
                <w:rFonts w:cs="Arial"/>
                <w:sz w:val="21"/>
                <w:szCs w:val="21"/>
              </w:rPr>
            </w:pPr>
            <w:r w:rsidRPr="00392788">
              <w:rPr>
                <w:rFonts w:cs="Arial"/>
                <w:sz w:val="21"/>
                <w:szCs w:val="21"/>
              </w:rPr>
              <w:t>$1</w:t>
            </w:r>
            <w:r w:rsidR="0067558F" w:rsidRPr="00392788">
              <w:rPr>
                <w:rFonts w:cs="Arial"/>
                <w:sz w:val="21"/>
                <w:szCs w:val="21"/>
              </w:rPr>
              <w:t xml:space="preserve"> million</w:t>
            </w:r>
          </w:p>
        </w:tc>
        <w:tc>
          <w:tcPr>
            <w:tcW w:w="187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5C37BF4C" w14:textId="77777777" w:rsidR="00004DA9" w:rsidRPr="00392788" w:rsidRDefault="00004DA9" w:rsidP="00392788">
            <w:pPr>
              <w:spacing w:before="120" w:after="120" w:line="240" w:lineRule="auto"/>
              <w:rPr>
                <w:rFonts w:cs="Arial"/>
                <w:sz w:val="21"/>
                <w:szCs w:val="21"/>
              </w:rPr>
            </w:pPr>
            <w:r w:rsidRPr="00392788">
              <w:rPr>
                <w:rFonts w:cs="Arial"/>
                <w:sz w:val="21"/>
                <w:szCs w:val="21"/>
              </w:rPr>
              <w:t>100%</w:t>
            </w:r>
          </w:p>
        </w:tc>
      </w:tr>
      <w:tr w:rsidR="00004DA9" w:rsidRPr="00DD5584" w14:paraId="3A757705" w14:textId="77777777" w:rsidTr="00392788">
        <w:trPr>
          <w:cantSplit/>
          <w:trHeight w:val="853"/>
        </w:trPr>
        <w:tc>
          <w:tcPr>
            <w:tcW w:w="197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1DCAA18E" w14:textId="77777777" w:rsidR="00004DA9" w:rsidRPr="00392788" w:rsidRDefault="00004DA9" w:rsidP="00392788">
            <w:pPr>
              <w:spacing w:before="120" w:after="120" w:line="240" w:lineRule="auto"/>
              <w:rPr>
                <w:rFonts w:cs="Arial"/>
                <w:sz w:val="21"/>
                <w:szCs w:val="21"/>
              </w:rPr>
            </w:pPr>
            <w:r w:rsidRPr="00392788">
              <w:rPr>
                <w:rFonts w:cs="Arial"/>
                <w:sz w:val="21"/>
                <w:szCs w:val="21"/>
              </w:rPr>
              <w:t>CHEST</w:t>
            </w:r>
          </w:p>
        </w:tc>
        <w:tc>
          <w:tcPr>
            <w:tcW w:w="285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01A47C1D" w14:textId="0945AB67" w:rsidR="00004DA9" w:rsidRPr="00392788" w:rsidRDefault="00637138" w:rsidP="00392788">
            <w:pPr>
              <w:spacing w:before="120" w:after="120" w:line="240" w:lineRule="auto"/>
              <w:rPr>
                <w:rFonts w:cs="Arial"/>
                <w:sz w:val="21"/>
                <w:szCs w:val="21"/>
              </w:rPr>
            </w:pPr>
            <w:r w:rsidRPr="00392788">
              <w:rPr>
                <w:rFonts w:cs="Arial"/>
                <w:sz w:val="21"/>
                <w:szCs w:val="21"/>
              </w:rPr>
              <w:t>Hydroxyethyl starch or saline for fluid resuscitation in critically ill patients.</w:t>
            </w:r>
          </w:p>
        </w:tc>
        <w:tc>
          <w:tcPr>
            <w:tcW w:w="31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1E3A0881" w14:textId="102A9690" w:rsidR="00004DA9" w:rsidRPr="00392788" w:rsidRDefault="00637138" w:rsidP="00392788">
            <w:pPr>
              <w:spacing w:before="120" w:after="120" w:line="240" w:lineRule="auto"/>
              <w:rPr>
                <w:rFonts w:cs="Arial"/>
                <w:sz w:val="21"/>
                <w:szCs w:val="21"/>
              </w:rPr>
            </w:pPr>
            <w:r w:rsidRPr="00392788">
              <w:rPr>
                <w:rFonts w:cs="Arial"/>
                <w:sz w:val="21"/>
                <w:szCs w:val="21"/>
              </w:rPr>
              <w:t>No difference in mortality, with greater costs and requirement for renal replacement therapy in the hydroxethyl starch treatment group.</w:t>
            </w:r>
          </w:p>
        </w:tc>
        <w:tc>
          <w:tcPr>
            <w:tcW w:w="30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3364F789" w14:textId="18E3AD3B" w:rsidR="00004DA9" w:rsidRPr="00392788" w:rsidRDefault="00637138" w:rsidP="00392788">
            <w:pPr>
              <w:spacing w:before="120" w:after="120" w:line="240" w:lineRule="auto"/>
              <w:rPr>
                <w:rFonts w:cs="Arial"/>
                <w:sz w:val="21"/>
                <w:szCs w:val="21"/>
              </w:rPr>
            </w:pPr>
            <w:r w:rsidRPr="00392788">
              <w:rPr>
                <w:rFonts w:cs="Arial"/>
                <w:sz w:val="21"/>
                <w:szCs w:val="21"/>
              </w:rPr>
              <w:t>Hydroxethyl starch had become the most commonly used colloid in fluid resuscitation in some places overseas and was increasingly being used in Australia before the trial. The trial reduced this trend.</w:t>
            </w:r>
          </w:p>
        </w:tc>
        <w:tc>
          <w:tcPr>
            <w:tcW w:w="16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43790A5D" w14:textId="6C67B5CF" w:rsidR="00004DA9" w:rsidRPr="00392788" w:rsidRDefault="00004DA9" w:rsidP="00392788">
            <w:pPr>
              <w:spacing w:before="120" w:after="120" w:line="240" w:lineRule="auto"/>
              <w:rPr>
                <w:rFonts w:cs="Arial"/>
                <w:sz w:val="21"/>
                <w:szCs w:val="21"/>
              </w:rPr>
            </w:pPr>
            <w:r w:rsidRPr="00392788">
              <w:rPr>
                <w:rFonts w:cs="Arial"/>
                <w:sz w:val="21"/>
                <w:szCs w:val="21"/>
              </w:rPr>
              <w:t>$38</w:t>
            </w:r>
            <w:r w:rsidR="0067558F" w:rsidRPr="00392788">
              <w:rPr>
                <w:rFonts w:cs="Arial"/>
                <w:sz w:val="21"/>
                <w:szCs w:val="21"/>
              </w:rPr>
              <w:t xml:space="preserve"> million</w:t>
            </w:r>
          </w:p>
        </w:tc>
        <w:tc>
          <w:tcPr>
            <w:tcW w:w="187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158F6DD6" w14:textId="77777777" w:rsidR="00004DA9" w:rsidRPr="00392788" w:rsidRDefault="00004DA9" w:rsidP="00392788">
            <w:pPr>
              <w:spacing w:before="120" w:after="120" w:line="240" w:lineRule="auto"/>
              <w:rPr>
                <w:rFonts w:cs="Arial"/>
                <w:sz w:val="21"/>
                <w:szCs w:val="21"/>
              </w:rPr>
            </w:pPr>
            <w:r w:rsidRPr="00392788">
              <w:rPr>
                <w:rFonts w:cs="Arial"/>
                <w:sz w:val="21"/>
                <w:szCs w:val="21"/>
              </w:rPr>
              <w:t>100%</w:t>
            </w:r>
          </w:p>
        </w:tc>
      </w:tr>
      <w:tr w:rsidR="00004DA9" w:rsidRPr="00DD5584" w14:paraId="7EE8C58B" w14:textId="77777777" w:rsidTr="00392788">
        <w:trPr>
          <w:cantSplit/>
          <w:trHeight w:val="710"/>
        </w:trPr>
        <w:tc>
          <w:tcPr>
            <w:tcW w:w="197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4763D135" w14:textId="77777777" w:rsidR="00004DA9" w:rsidRPr="00392788" w:rsidRDefault="00004DA9" w:rsidP="00392788">
            <w:pPr>
              <w:spacing w:before="120" w:after="120" w:line="240" w:lineRule="auto"/>
              <w:rPr>
                <w:rFonts w:cs="Arial"/>
                <w:sz w:val="21"/>
                <w:szCs w:val="21"/>
              </w:rPr>
            </w:pPr>
            <w:r w:rsidRPr="00392788">
              <w:rPr>
                <w:rFonts w:cs="Arial"/>
                <w:sz w:val="21"/>
                <w:szCs w:val="21"/>
              </w:rPr>
              <w:t>DECRA</w:t>
            </w:r>
          </w:p>
        </w:tc>
        <w:tc>
          <w:tcPr>
            <w:tcW w:w="285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5B5DC8A7" w14:textId="11201928" w:rsidR="00004DA9" w:rsidRPr="00392788" w:rsidRDefault="00004DA9" w:rsidP="00392788">
            <w:pPr>
              <w:spacing w:before="120" w:after="120" w:line="240" w:lineRule="auto"/>
              <w:rPr>
                <w:rFonts w:cs="Arial"/>
                <w:sz w:val="21"/>
                <w:szCs w:val="21"/>
              </w:rPr>
            </w:pPr>
            <w:r w:rsidRPr="00392788">
              <w:rPr>
                <w:rFonts w:cs="Arial"/>
                <w:sz w:val="21"/>
                <w:szCs w:val="21"/>
              </w:rPr>
              <w:t xml:space="preserve">Decompressive craniectomy </w:t>
            </w:r>
            <w:r w:rsidR="00176EB8" w:rsidRPr="00392788">
              <w:rPr>
                <w:rFonts w:cs="Arial"/>
                <w:sz w:val="21"/>
                <w:szCs w:val="21"/>
              </w:rPr>
              <w:t>i</w:t>
            </w:r>
            <w:r w:rsidRPr="00392788">
              <w:rPr>
                <w:rFonts w:cs="Arial"/>
                <w:sz w:val="21"/>
                <w:szCs w:val="21"/>
              </w:rPr>
              <w:t xml:space="preserve">n diffuse </w:t>
            </w:r>
            <w:r w:rsidR="00925897" w:rsidRPr="00392788">
              <w:rPr>
                <w:rFonts w:cs="Arial"/>
                <w:sz w:val="21"/>
                <w:szCs w:val="21"/>
              </w:rPr>
              <w:t>t</w:t>
            </w:r>
            <w:r w:rsidRPr="00392788">
              <w:rPr>
                <w:rFonts w:cs="Arial"/>
                <w:sz w:val="21"/>
                <w:szCs w:val="21"/>
              </w:rPr>
              <w:t xml:space="preserve">raumatic </w:t>
            </w:r>
            <w:r w:rsidR="00925897" w:rsidRPr="00392788">
              <w:rPr>
                <w:rFonts w:cs="Arial"/>
                <w:sz w:val="21"/>
                <w:szCs w:val="21"/>
              </w:rPr>
              <w:t>b</w:t>
            </w:r>
            <w:r w:rsidRPr="00392788">
              <w:rPr>
                <w:rFonts w:cs="Arial"/>
                <w:sz w:val="21"/>
                <w:szCs w:val="21"/>
              </w:rPr>
              <w:t xml:space="preserve">rain </w:t>
            </w:r>
            <w:r w:rsidR="00925897" w:rsidRPr="00392788">
              <w:rPr>
                <w:rFonts w:cs="Arial"/>
                <w:sz w:val="21"/>
                <w:szCs w:val="21"/>
              </w:rPr>
              <w:t>i</w:t>
            </w:r>
            <w:r w:rsidRPr="00392788">
              <w:rPr>
                <w:rFonts w:cs="Arial"/>
                <w:sz w:val="21"/>
                <w:szCs w:val="21"/>
              </w:rPr>
              <w:t>njury refractory hypertension</w:t>
            </w:r>
            <w:r w:rsidR="00083F47" w:rsidRPr="00392788">
              <w:rPr>
                <w:rFonts w:cs="Arial"/>
                <w:sz w:val="21"/>
                <w:szCs w:val="21"/>
              </w:rPr>
              <w:t>.</w:t>
            </w:r>
          </w:p>
        </w:tc>
        <w:tc>
          <w:tcPr>
            <w:tcW w:w="31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37E785CF" w14:textId="0633C3A4" w:rsidR="00004DA9" w:rsidRPr="00392788" w:rsidRDefault="00176EB8" w:rsidP="00392788">
            <w:pPr>
              <w:spacing w:before="120" w:after="120" w:line="240" w:lineRule="auto"/>
              <w:rPr>
                <w:rFonts w:cs="Arial"/>
                <w:sz w:val="21"/>
                <w:szCs w:val="21"/>
              </w:rPr>
            </w:pPr>
            <w:r w:rsidRPr="00392788">
              <w:rPr>
                <w:rFonts w:cs="Arial"/>
                <w:sz w:val="21"/>
                <w:szCs w:val="21"/>
              </w:rPr>
              <w:t>Decompressive craniectomy</w:t>
            </w:r>
            <w:r w:rsidR="0096241B" w:rsidRPr="00392788">
              <w:rPr>
                <w:rFonts w:cs="Arial"/>
                <w:sz w:val="21"/>
                <w:szCs w:val="21"/>
              </w:rPr>
              <w:t xml:space="preserve"> </w:t>
            </w:r>
            <w:r w:rsidR="00004DA9" w:rsidRPr="00392788">
              <w:rPr>
                <w:rFonts w:cs="Arial"/>
                <w:sz w:val="21"/>
                <w:szCs w:val="21"/>
              </w:rPr>
              <w:t xml:space="preserve">reduced ICU </w:t>
            </w:r>
            <w:r w:rsidRPr="00392788">
              <w:rPr>
                <w:rFonts w:cs="Arial"/>
                <w:sz w:val="21"/>
                <w:szCs w:val="21"/>
              </w:rPr>
              <w:t>length of stay b</w:t>
            </w:r>
            <w:r w:rsidR="00004DA9" w:rsidRPr="00392788">
              <w:rPr>
                <w:rFonts w:cs="Arial"/>
                <w:sz w:val="21"/>
                <w:szCs w:val="21"/>
              </w:rPr>
              <w:t xml:space="preserve">ut </w:t>
            </w:r>
            <w:r w:rsidR="00776199" w:rsidRPr="00392788">
              <w:rPr>
                <w:rFonts w:cs="Arial"/>
                <w:sz w:val="21"/>
                <w:szCs w:val="21"/>
              </w:rPr>
              <w:t>wa</w:t>
            </w:r>
            <w:r w:rsidR="00004DA9" w:rsidRPr="00392788">
              <w:rPr>
                <w:rFonts w:cs="Arial"/>
                <w:sz w:val="21"/>
                <w:szCs w:val="21"/>
              </w:rPr>
              <w:t>s associated with poorer patient health outcomes overall</w:t>
            </w:r>
            <w:r w:rsidR="00083F47" w:rsidRPr="00392788">
              <w:rPr>
                <w:rFonts w:cs="Arial"/>
                <w:sz w:val="21"/>
                <w:szCs w:val="21"/>
              </w:rPr>
              <w:t>.</w:t>
            </w:r>
            <w:r w:rsidR="00004DA9" w:rsidRPr="00392788">
              <w:rPr>
                <w:rFonts w:cs="Arial"/>
                <w:sz w:val="21"/>
                <w:szCs w:val="21"/>
              </w:rPr>
              <w:t xml:space="preserve"> </w:t>
            </w:r>
          </w:p>
        </w:tc>
        <w:tc>
          <w:tcPr>
            <w:tcW w:w="30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4805398E" w14:textId="109129DA" w:rsidR="00004DA9" w:rsidRPr="00392788" w:rsidRDefault="00004DA9" w:rsidP="00392788">
            <w:pPr>
              <w:spacing w:before="120" w:after="120" w:line="240" w:lineRule="auto"/>
              <w:rPr>
                <w:rFonts w:cs="Arial"/>
                <w:sz w:val="21"/>
                <w:szCs w:val="21"/>
              </w:rPr>
            </w:pPr>
            <w:r w:rsidRPr="00392788">
              <w:rPr>
                <w:rFonts w:cs="Arial"/>
                <w:sz w:val="21"/>
                <w:szCs w:val="21"/>
              </w:rPr>
              <w:t xml:space="preserve">In eligible patients, </w:t>
            </w:r>
            <w:r w:rsidR="00176EB8" w:rsidRPr="00392788">
              <w:rPr>
                <w:rFonts w:cs="Arial"/>
                <w:sz w:val="21"/>
                <w:szCs w:val="21"/>
              </w:rPr>
              <w:t>decompressive craniectomy</w:t>
            </w:r>
            <w:r w:rsidR="0096241B" w:rsidRPr="00392788">
              <w:rPr>
                <w:rFonts w:cs="Arial"/>
                <w:sz w:val="21"/>
                <w:szCs w:val="21"/>
              </w:rPr>
              <w:t xml:space="preserve"> </w:t>
            </w:r>
            <w:r w:rsidRPr="00392788">
              <w:rPr>
                <w:rFonts w:cs="Arial"/>
                <w:sz w:val="21"/>
                <w:szCs w:val="21"/>
              </w:rPr>
              <w:t xml:space="preserve">was becoming more common. The </w:t>
            </w:r>
            <w:r w:rsidR="00311A86" w:rsidRPr="00392788">
              <w:rPr>
                <w:rFonts w:cs="Arial"/>
                <w:sz w:val="21"/>
                <w:szCs w:val="21"/>
              </w:rPr>
              <w:t>t</w:t>
            </w:r>
            <w:r w:rsidRPr="00392788">
              <w:rPr>
                <w:rFonts w:cs="Arial"/>
                <w:sz w:val="21"/>
                <w:szCs w:val="21"/>
              </w:rPr>
              <w:t>rial may prevent an increase in this practice</w:t>
            </w:r>
            <w:r w:rsidR="00083F47" w:rsidRPr="00392788">
              <w:rPr>
                <w:rFonts w:cs="Arial"/>
                <w:sz w:val="21"/>
                <w:szCs w:val="21"/>
              </w:rPr>
              <w:t>.</w:t>
            </w:r>
          </w:p>
        </w:tc>
        <w:tc>
          <w:tcPr>
            <w:tcW w:w="16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0B7DD0E2" w14:textId="1921DA7F" w:rsidR="00004DA9" w:rsidRPr="00392788" w:rsidRDefault="00004DA9" w:rsidP="00392788">
            <w:pPr>
              <w:spacing w:before="120" w:after="120" w:line="240" w:lineRule="auto"/>
              <w:rPr>
                <w:rFonts w:cs="Arial"/>
                <w:sz w:val="21"/>
                <w:szCs w:val="21"/>
              </w:rPr>
            </w:pPr>
            <w:r w:rsidRPr="00392788">
              <w:rPr>
                <w:rFonts w:cs="Arial"/>
                <w:sz w:val="21"/>
                <w:szCs w:val="21"/>
              </w:rPr>
              <w:t>$15</w:t>
            </w:r>
            <w:r w:rsidR="0067558F" w:rsidRPr="00392788">
              <w:rPr>
                <w:rFonts w:cs="Arial"/>
                <w:sz w:val="21"/>
                <w:szCs w:val="21"/>
              </w:rPr>
              <w:t xml:space="preserve"> million</w:t>
            </w:r>
          </w:p>
        </w:tc>
        <w:tc>
          <w:tcPr>
            <w:tcW w:w="187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74C32ED6" w14:textId="77777777" w:rsidR="00004DA9" w:rsidRPr="00392788" w:rsidRDefault="00004DA9" w:rsidP="00392788">
            <w:pPr>
              <w:spacing w:before="120" w:after="120" w:line="240" w:lineRule="auto"/>
              <w:rPr>
                <w:rFonts w:cs="Arial"/>
                <w:sz w:val="21"/>
                <w:szCs w:val="21"/>
              </w:rPr>
            </w:pPr>
            <w:r w:rsidRPr="00392788">
              <w:rPr>
                <w:rFonts w:cs="Arial"/>
                <w:sz w:val="21"/>
                <w:szCs w:val="21"/>
              </w:rPr>
              <w:t>34%</w:t>
            </w:r>
          </w:p>
        </w:tc>
      </w:tr>
      <w:tr w:rsidR="00004DA9" w:rsidRPr="00DD5584" w14:paraId="3BDA482F" w14:textId="77777777" w:rsidTr="00392788">
        <w:trPr>
          <w:cantSplit/>
          <w:trHeight w:val="853"/>
        </w:trPr>
        <w:tc>
          <w:tcPr>
            <w:tcW w:w="197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42EF64CD" w14:textId="77777777" w:rsidR="00004DA9" w:rsidRPr="00392788" w:rsidRDefault="00004DA9" w:rsidP="00392788">
            <w:pPr>
              <w:spacing w:before="120" w:after="120" w:line="240" w:lineRule="auto"/>
              <w:rPr>
                <w:rFonts w:cs="Arial"/>
                <w:sz w:val="21"/>
                <w:szCs w:val="21"/>
              </w:rPr>
            </w:pPr>
            <w:r w:rsidRPr="00392788">
              <w:rPr>
                <w:rFonts w:cs="Arial"/>
                <w:sz w:val="21"/>
                <w:szCs w:val="21"/>
              </w:rPr>
              <w:lastRenderedPageBreak/>
              <w:t>EPO-TBI</w:t>
            </w:r>
          </w:p>
        </w:tc>
        <w:tc>
          <w:tcPr>
            <w:tcW w:w="285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74FAD753" w14:textId="1A580F91" w:rsidR="00004DA9" w:rsidRPr="00392788" w:rsidRDefault="00776199" w:rsidP="00392788">
            <w:pPr>
              <w:spacing w:before="120" w:after="120" w:line="240" w:lineRule="auto"/>
              <w:rPr>
                <w:rFonts w:cs="Arial"/>
                <w:sz w:val="21"/>
                <w:szCs w:val="21"/>
              </w:rPr>
            </w:pPr>
            <w:r w:rsidRPr="00392788">
              <w:rPr>
                <w:rFonts w:cs="Arial"/>
                <w:sz w:val="21"/>
                <w:szCs w:val="21"/>
              </w:rPr>
              <w:t>Erythropoietin (EPO) in traumatic brain injury versus placebo (testing neurocytoprotective effect).</w:t>
            </w:r>
          </w:p>
        </w:tc>
        <w:tc>
          <w:tcPr>
            <w:tcW w:w="31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56237699" w14:textId="7613E75B" w:rsidR="00004DA9" w:rsidRPr="00392788" w:rsidRDefault="00776199" w:rsidP="00392788">
            <w:pPr>
              <w:spacing w:before="120" w:after="120" w:line="240" w:lineRule="auto"/>
              <w:rPr>
                <w:rFonts w:cs="Arial"/>
                <w:sz w:val="21"/>
                <w:szCs w:val="21"/>
              </w:rPr>
            </w:pPr>
            <w:r w:rsidRPr="00392788">
              <w:rPr>
                <w:rFonts w:cs="Arial"/>
                <w:sz w:val="21"/>
                <w:szCs w:val="21"/>
              </w:rPr>
              <w:t>No change was seen in functional outcomes or side effects such as deep vein thrombosis.</w:t>
            </w:r>
          </w:p>
        </w:tc>
        <w:tc>
          <w:tcPr>
            <w:tcW w:w="30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2989B7B5" w14:textId="2DE3D35D" w:rsidR="00004DA9" w:rsidRPr="00392788" w:rsidRDefault="00776199" w:rsidP="00392788">
            <w:pPr>
              <w:spacing w:before="120" w:after="120" w:line="240" w:lineRule="auto"/>
              <w:rPr>
                <w:rFonts w:cs="Arial"/>
                <w:sz w:val="21"/>
                <w:szCs w:val="21"/>
              </w:rPr>
            </w:pPr>
            <w:r w:rsidRPr="00392788">
              <w:rPr>
                <w:rFonts w:cs="Arial"/>
                <w:sz w:val="21"/>
                <w:szCs w:val="21"/>
              </w:rPr>
              <w:t xml:space="preserve">Previous equivocal RCT evidence for benefits in functional outcomes. </w:t>
            </w:r>
            <w:r w:rsidR="005F0DF9" w:rsidRPr="00392788">
              <w:rPr>
                <w:rFonts w:cs="Arial"/>
                <w:sz w:val="21"/>
                <w:szCs w:val="21"/>
              </w:rPr>
              <w:t>This trial has stopped the widespread implementation</w:t>
            </w:r>
            <w:r w:rsidR="0096241B" w:rsidRPr="00392788">
              <w:rPr>
                <w:rFonts w:cs="Arial"/>
                <w:sz w:val="21"/>
                <w:szCs w:val="21"/>
              </w:rPr>
              <w:t xml:space="preserve"> </w:t>
            </w:r>
            <w:r w:rsidR="005F0DF9" w:rsidRPr="00392788">
              <w:rPr>
                <w:rFonts w:cs="Arial"/>
                <w:sz w:val="21"/>
                <w:szCs w:val="21"/>
              </w:rPr>
              <w:t>of EPO in patients with traumatic brain injury</w:t>
            </w:r>
            <w:r w:rsidR="00CF1672">
              <w:rPr>
                <w:rFonts w:cs="Arial"/>
                <w:sz w:val="21"/>
                <w:szCs w:val="21"/>
              </w:rPr>
              <w:t>.</w:t>
            </w:r>
          </w:p>
        </w:tc>
        <w:tc>
          <w:tcPr>
            <w:tcW w:w="16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2359525A" w14:textId="1934F3A1" w:rsidR="00004DA9" w:rsidRPr="00392788" w:rsidRDefault="00004DA9" w:rsidP="00392788">
            <w:pPr>
              <w:spacing w:before="120" w:after="120" w:line="240" w:lineRule="auto"/>
              <w:rPr>
                <w:rFonts w:cs="Arial"/>
                <w:sz w:val="21"/>
                <w:szCs w:val="21"/>
              </w:rPr>
            </w:pPr>
            <w:r w:rsidRPr="00392788">
              <w:rPr>
                <w:rFonts w:cs="Arial"/>
                <w:sz w:val="21"/>
                <w:szCs w:val="21"/>
              </w:rPr>
              <w:t>$0.3</w:t>
            </w:r>
            <w:r w:rsidR="0067558F" w:rsidRPr="00392788">
              <w:rPr>
                <w:rFonts w:cs="Arial"/>
                <w:sz w:val="21"/>
                <w:szCs w:val="21"/>
              </w:rPr>
              <w:t xml:space="preserve"> million</w:t>
            </w:r>
          </w:p>
        </w:tc>
        <w:tc>
          <w:tcPr>
            <w:tcW w:w="187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34B917FE" w14:textId="77777777" w:rsidR="00004DA9" w:rsidRPr="00392788" w:rsidRDefault="00004DA9" w:rsidP="00392788">
            <w:pPr>
              <w:spacing w:before="120" w:after="120" w:line="240" w:lineRule="auto"/>
              <w:rPr>
                <w:rFonts w:cs="Arial"/>
                <w:sz w:val="21"/>
                <w:szCs w:val="21"/>
              </w:rPr>
            </w:pPr>
            <w:r w:rsidRPr="00392788">
              <w:rPr>
                <w:rFonts w:cs="Arial"/>
                <w:sz w:val="21"/>
                <w:szCs w:val="21"/>
              </w:rPr>
              <w:t>100%</w:t>
            </w:r>
          </w:p>
        </w:tc>
      </w:tr>
      <w:tr w:rsidR="00004DA9" w:rsidRPr="00DD5584" w14:paraId="572E7DA2" w14:textId="77777777" w:rsidTr="00392788">
        <w:trPr>
          <w:cantSplit/>
          <w:trHeight w:val="737"/>
        </w:trPr>
        <w:tc>
          <w:tcPr>
            <w:tcW w:w="197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401015E8" w14:textId="77777777" w:rsidR="00004DA9" w:rsidRPr="00392788" w:rsidRDefault="00004DA9" w:rsidP="00392788">
            <w:pPr>
              <w:spacing w:before="120" w:after="120" w:line="240" w:lineRule="auto"/>
              <w:rPr>
                <w:rFonts w:cs="Arial"/>
                <w:sz w:val="21"/>
                <w:szCs w:val="21"/>
              </w:rPr>
            </w:pPr>
            <w:r w:rsidRPr="00392788">
              <w:rPr>
                <w:rFonts w:cs="Arial"/>
                <w:sz w:val="21"/>
                <w:szCs w:val="21"/>
              </w:rPr>
              <w:t>NICE-SUGAR</w:t>
            </w:r>
          </w:p>
        </w:tc>
        <w:tc>
          <w:tcPr>
            <w:tcW w:w="285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44252F29" w14:textId="08ACC930" w:rsidR="00004DA9" w:rsidRPr="00392788" w:rsidRDefault="00AA1470" w:rsidP="00392788">
            <w:pPr>
              <w:spacing w:before="120" w:after="120" w:line="240" w:lineRule="auto"/>
              <w:rPr>
                <w:rFonts w:cs="Arial"/>
                <w:sz w:val="21"/>
                <w:szCs w:val="21"/>
              </w:rPr>
            </w:pPr>
            <w:r w:rsidRPr="00392788">
              <w:rPr>
                <w:rFonts w:cs="Arial"/>
                <w:sz w:val="21"/>
                <w:szCs w:val="21"/>
              </w:rPr>
              <w:t>Intensive versus conventional glucose control in ICU patients admitted for three or more days.</w:t>
            </w:r>
          </w:p>
        </w:tc>
        <w:tc>
          <w:tcPr>
            <w:tcW w:w="31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618F157A" w14:textId="310F2ABD" w:rsidR="00004DA9" w:rsidRPr="00392788" w:rsidRDefault="00AA1470" w:rsidP="00392788">
            <w:pPr>
              <w:spacing w:before="120" w:after="120" w:line="240" w:lineRule="auto"/>
              <w:rPr>
                <w:rFonts w:cs="Arial"/>
                <w:sz w:val="21"/>
                <w:szCs w:val="21"/>
              </w:rPr>
            </w:pPr>
            <w:r w:rsidRPr="00392788">
              <w:rPr>
                <w:rFonts w:cs="Arial"/>
                <w:sz w:val="21"/>
                <w:szCs w:val="21"/>
              </w:rPr>
              <w:t>More deaths and adverse events in the treatment (intensive glucose control) group.</w:t>
            </w:r>
          </w:p>
        </w:tc>
        <w:tc>
          <w:tcPr>
            <w:tcW w:w="30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4937E481" w14:textId="1E5C8627" w:rsidR="00004DA9" w:rsidRPr="00392788" w:rsidRDefault="00AA1470" w:rsidP="00392788">
            <w:pPr>
              <w:spacing w:before="120" w:after="120" w:line="240" w:lineRule="auto"/>
              <w:rPr>
                <w:rFonts w:cs="Arial"/>
                <w:sz w:val="21"/>
                <w:szCs w:val="21"/>
              </w:rPr>
            </w:pPr>
            <w:r w:rsidRPr="00392788">
              <w:rPr>
                <w:rFonts w:cs="Arial"/>
                <w:sz w:val="21"/>
                <w:szCs w:val="21"/>
              </w:rPr>
              <w:t>Without the trial, intensive glucose control would have been implemented. This will not happen now.</w:t>
            </w:r>
          </w:p>
        </w:tc>
        <w:tc>
          <w:tcPr>
            <w:tcW w:w="16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0045F405" w14:textId="30DE68C4" w:rsidR="00004DA9" w:rsidRPr="00392788" w:rsidRDefault="00004DA9" w:rsidP="00392788">
            <w:pPr>
              <w:spacing w:before="120" w:after="120" w:line="240" w:lineRule="auto"/>
              <w:rPr>
                <w:rFonts w:cs="Arial"/>
                <w:sz w:val="21"/>
                <w:szCs w:val="21"/>
              </w:rPr>
            </w:pPr>
            <w:r w:rsidRPr="00392788">
              <w:rPr>
                <w:rFonts w:cs="Arial"/>
                <w:sz w:val="21"/>
                <w:szCs w:val="21"/>
              </w:rPr>
              <w:t>$112</w:t>
            </w:r>
            <w:r w:rsidR="0067558F" w:rsidRPr="00392788">
              <w:rPr>
                <w:rFonts w:cs="Arial"/>
                <w:sz w:val="21"/>
                <w:szCs w:val="21"/>
              </w:rPr>
              <w:t xml:space="preserve"> million</w:t>
            </w:r>
          </w:p>
        </w:tc>
        <w:tc>
          <w:tcPr>
            <w:tcW w:w="187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16AF1E6A" w14:textId="77777777" w:rsidR="00004DA9" w:rsidRPr="00392788" w:rsidRDefault="00004DA9" w:rsidP="00392788">
            <w:pPr>
              <w:spacing w:before="120" w:after="120" w:line="240" w:lineRule="auto"/>
              <w:rPr>
                <w:rFonts w:cs="Arial"/>
                <w:sz w:val="21"/>
                <w:szCs w:val="21"/>
              </w:rPr>
            </w:pPr>
            <w:r w:rsidRPr="00392788">
              <w:rPr>
                <w:rFonts w:cs="Arial"/>
                <w:sz w:val="21"/>
                <w:szCs w:val="21"/>
              </w:rPr>
              <w:t>2%</w:t>
            </w:r>
          </w:p>
        </w:tc>
      </w:tr>
      <w:tr w:rsidR="00004DA9" w:rsidRPr="00DD5584" w14:paraId="294077BB" w14:textId="77777777" w:rsidTr="00392788">
        <w:trPr>
          <w:cantSplit/>
          <w:trHeight w:val="853"/>
        </w:trPr>
        <w:tc>
          <w:tcPr>
            <w:tcW w:w="197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2D968FBE" w14:textId="77777777" w:rsidR="00004DA9" w:rsidRPr="00392788" w:rsidRDefault="00004DA9" w:rsidP="00392788">
            <w:pPr>
              <w:spacing w:before="120" w:after="120" w:line="240" w:lineRule="auto"/>
              <w:rPr>
                <w:rFonts w:cs="Arial"/>
                <w:sz w:val="21"/>
                <w:szCs w:val="21"/>
              </w:rPr>
            </w:pPr>
            <w:r w:rsidRPr="00392788">
              <w:rPr>
                <w:rFonts w:cs="Arial"/>
                <w:sz w:val="21"/>
                <w:szCs w:val="21"/>
              </w:rPr>
              <w:t>RENAL</w:t>
            </w:r>
          </w:p>
        </w:tc>
        <w:tc>
          <w:tcPr>
            <w:tcW w:w="285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04153A8D" w14:textId="00904B38" w:rsidR="00004DA9" w:rsidRPr="00392788" w:rsidRDefault="00AA1470" w:rsidP="00392788">
            <w:pPr>
              <w:spacing w:before="120" w:after="120" w:line="240" w:lineRule="auto"/>
              <w:rPr>
                <w:rFonts w:cs="Arial"/>
                <w:sz w:val="21"/>
                <w:szCs w:val="21"/>
              </w:rPr>
            </w:pPr>
            <w:r w:rsidRPr="00392788">
              <w:rPr>
                <w:rFonts w:cs="Arial"/>
                <w:sz w:val="21"/>
                <w:szCs w:val="21"/>
              </w:rPr>
              <w:t>Augmented renal replacement therapy versus standard (lower intensity) in severe acute renal failure.</w:t>
            </w:r>
          </w:p>
        </w:tc>
        <w:tc>
          <w:tcPr>
            <w:tcW w:w="31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3D73F47C" w14:textId="2DB24765" w:rsidR="00004DA9" w:rsidRPr="00392788" w:rsidRDefault="00AA1470" w:rsidP="00392788">
            <w:pPr>
              <w:spacing w:before="120" w:after="120" w:line="240" w:lineRule="auto"/>
              <w:rPr>
                <w:rFonts w:cs="Arial"/>
                <w:sz w:val="21"/>
                <w:szCs w:val="21"/>
              </w:rPr>
            </w:pPr>
            <w:r w:rsidRPr="00392788">
              <w:rPr>
                <w:rFonts w:cs="Arial"/>
                <w:sz w:val="21"/>
                <w:szCs w:val="21"/>
              </w:rPr>
              <w:t>Higher intensity treatment did not decrease mortality and hypophosphatemia occurred more often.</w:t>
            </w:r>
          </w:p>
        </w:tc>
        <w:tc>
          <w:tcPr>
            <w:tcW w:w="30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24771AE8" w14:textId="7A31D539" w:rsidR="00004DA9" w:rsidRPr="00392788" w:rsidRDefault="00AA1470" w:rsidP="00392788">
            <w:pPr>
              <w:spacing w:before="120" w:after="120" w:line="240" w:lineRule="auto"/>
              <w:rPr>
                <w:rFonts w:cs="Arial"/>
                <w:sz w:val="21"/>
                <w:szCs w:val="21"/>
              </w:rPr>
            </w:pPr>
            <w:r w:rsidRPr="00392788">
              <w:rPr>
                <w:rFonts w:cs="Arial"/>
                <w:sz w:val="21"/>
                <w:szCs w:val="21"/>
              </w:rPr>
              <w:t>Intensive renal replacement therapy was becoming increasingly common on the basis of smaller studies. The trial will prevent this continuing.</w:t>
            </w:r>
          </w:p>
        </w:tc>
        <w:tc>
          <w:tcPr>
            <w:tcW w:w="16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084FF24D" w14:textId="0FD23393" w:rsidR="00004DA9" w:rsidRPr="00392788" w:rsidRDefault="00004DA9" w:rsidP="00392788">
            <w:pPr>
              <w:spacing w:before="120" w:after="120" w:line="240" w:lineRule="auto"/>
              <w:rPr>
                <w:rFonts w:cs="Arial"/>
                <w:sz w:val="21"/>
                <w:szCs w:val="21"/>
              </w:rPr>
            </w:pPr>
            <w:r w:rsidRPr="00392788">
              <w:rPr>
                <w:rFonts w:cs="Arial"/>
                <w:sz w:val="21"/>
                <w:szCs w:val="21"/>
              </w:rPr>
              <w:t>$7</w:t>
            </w:r>
            <w:r w:rsidR="0067558F" w:rsidRPr="00392788">
              <w:rPr>
                <w:rFonts w:cs="Arial"/>
                <w:sz w:val="21"/>
                <w:szCs w:val="21"/>
              </w:rPr>
              <w:t xml:space="preserve"> million</w:t>
            </w:r>
          </w:p>
        </w:tc>
        <w:tc>
          <w:tcPr>
            <w:tcW w:w="187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7E0F3A67" w14:textId="77777777" w:rsidR="00004DA9" w:rsidRPr="00392788" w:rsidRDefault="00004DA9" w:rsidP="00392788">
            <w:pPr>
              <w:spacing w:before="120" w:after="120" w:line="240" w:lineRule="auto"/>
              <w:rPr>
                <w:rFonts w:cs="Arial"/>
                <w:sz w:val="21"/>
                <w:szCs w:val="21"/>
              </w:rPr>
            </w:pPr>
            <w:r w:rsidRPr="00392788">
              <w:rPr>
                <w:rFonts w:cs="Arial"/>
                <w:sz w:val="21"/>
                <w:szCs w:val="21"/>
              </w:rPr>
              <w:t>100%</w:t>
            </w:r>
          </w:p>
        </w:tc>
      </w:tr>
      <w:tr w:rsidR="00004DA9" w:rsidRPr="00DD5584" w14:paraId="31BA76C1" w14:textId="77777777" w:rsidTr="00392788">
        <w:trPr>
          <w:cantSplit/>
          <w:trHeight w:val="575"/>
        </w:trPr>
        <w:tc>
          <w:tcPr>
            <w:tcW w:w="197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293E1395" w14:textId="77777777" w:rsidR="00004DA9" w:rsidRPr="00392788" w:rsidRDefault="00004DA9" w:rsidP="00392788">
            <w:pPr>
              <w:spacing w:before="120" w:after="120" w:line="240" w:lineRule="auto"/>
              <w:rPr>
                <w:rFonts w:cs="Arial"/>
                <w:sz w:val="21"/>
                <w:szCs w:val="21"/>
              </w:rPr>
            </w:pPr>
            <w:r w:rsidRPr="00392788">
              <w:rPr>
                <w:rFonts w:cs="Arial"/>
                <w:sz w:val="21"/>
                <w:szCs w:val="21"/>
              </w:rPr>
              <w:t>SAFE</w:t>
            </w:r>
          </w:p>
        </w:tc>
        <w:tc>
          <w:tcPr>
            <w:tcW w:w="285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4D81FC04" w14:textId="64CDF6EC" w:rsidR="00004DA9" w:rsidRPr="00392788" w:rsidRDefault="00004DA9" w:rsidP="00392788">
            <w:pPr>
              <w:spacing w:before="120" w:after="120" w:line="240" w:lineRule="auto"/>
              <w:rPr>
                <w:rFonts w:cs="Arial"/>
                <w:sz w:val="21"/>
                <w:szCs w:val="21"/>
              </w:rPr>
            </w:pPr>
            <w:r w:rsidRPr="00392788">
              <w:rPr>
                <w:rFonts w:cs="Arial"/>
                <w:sz w:val="21"/>
                <w:szCs w:val="21"/>
              </w:rPr>
              <w:t xml:space="preserve">Albumin versus saline </w:t>
            </w:r>
            <w:r w:rsidR="00AA1470" w:rsidRPr="00392788">
              <w:rPr>
                <w:rFonts w:cs="Arial"/>
                <w:sz w:val="21"/>
                <w:szCs w:val="21"/>
              </w:rPr>
              <w:t>for</w:t>
            </w:r>
            <w:r w:rsidRPr="00392788">
              <w:rPr>
                <w:rFonts w:cs="Arial"/>
                <w:sz w:val="21"/>
                <w:szCs w:val="21"/>
              </w:rPr>
              <w:t xml:space="preserve"> fluid resuscitation in ICU</w:t>
            </w:r>
            <w:r w:rsidR="00083F47" w:rsidRPr="00392788">
              <w:rPr>
                <w:rFonts w:cs="Arial"/>
                <w:sz w:val="21"/>
                <w:szCs w:val="21"/>
              </w:rPr>
              <w:t>.</w:t>
            </w:r>
          </w:p>
        </w:tc>
        <w:tc>
          <w:tcPr>
            <w:tcW w:w="31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0EAE0AD6" w14:textId="4C86A874" w:rsidR="00004DA9" w:rsidRPr="00392788" w:rsidRDefault="00004DA9" w:rsidP="00392788">
            <w:pPr>
              <w:spacing w:before="120" w:after="120" w:line="240" w:lineRule="auto"/>
              <w:rPr>
                <w:rFonts w:cs="Arial"/>
                <w:sz w:val="21"/>
                <w:szCs w:val="21"/>
              </w:rPr>
            </w:pPr>
            <w:r w:rsidRPr="00392788">
              <w:rPr>
                <w:rFonts w:cs="Arial"/>
                <w:sz w:val="21"/>
                <w:szCs w:val="21"/>
              </w:rPr>
              <w:t xml:space="preserve">No difference in outcomes but </w:t>
            </w:r>
            <w:r w:rsidR="00AA1470" w:rsidRPr="00392788">
              <w:rPr>
                <w:rFonts w:cs="Arial"/>
                <w:sz w:val="21"/>
                <w:szCs w:val="21"/>
              </w:rPr>
              <w:t>a</w:t>
            </w:r>
            <w:r w:rsidRPr="00392788">
              <w:rPr>
                <w:rFonts w:cs="Arial"/>
                <w:sz w:val="21"/>
                <w:szCs w:val="21"/>
              </w:rPr>
              <w:t>lbumin is more expensive (</w:t>
            </w:r>
            <w:r w:rsidR="00AA1470" w:rsidRPr="00392788">
              <w:rPr>
                <w:rFonts w:cs="Arial"/>
                <w:sz w:val="21"/>
                <w:szCs w:val="21"/>
              </w:rPr>
              <w:t xml:space="preserve">with </w:t>
            </w:r>
            <w:r w:rsidRPr="00392788">
              <w:rPr>
                <w:rFonts w:cs="Arial"/>
                <w:sz w:val="21"/>
                <w:szCs w:val="21"/>
              </w:rPr>
              <w:t>some indication of harm in traumatic brain injury patients)</w:t>
            </w:r>
            <w:r w:rsidR="00083F47" w:rsidRPr="00392788">
              <w:rPr>
                <w:rFonts w:cs="Arial"/>
                <w:sz w:val="21"/>
                <w:szCs w:val="21"/>
              </w:rPr>
              <w:t>.</w:t>
            </w:r>
            <w:r w:rsidRPr="00392788">
              <w:rPr>
                <w:rFonts w:cs="Arial"/>
                <w:sz w:val="21"/>
                <w:szCs w:val="21"/>
              </w:rPr>
              <w:t xml:space="preserve"> </w:t>
            </w:r>
          </w:p>
        </w:tc>
        <w:tc>
          <w:tcPr>
            <w:tcW w:w="30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45E25E00" w14:textId="4CEAC0BD" w:rsidR="00004DA9" w:rsidRPr="00392788" w:rsidRDefault="00AA1470" w:rsidP="00392788">
            <w:pPr>
              <w:spacing w:before="120" w:after="120" w:line="240" w:lineRule="auto"/>
              <w:rPr>
                <w:rFonts w:cs="Arial"/>
                <w:sz w:val="21"/>
                <w:szCs w:val="21"/>
              </w:rPr>
            </w:pPr>
            <w:r w:rsidRPr="00392788">
              <w:rPr>
                <w:rFonts w:cs="Arial"/>
                <w:sz w:val="21"/>
                <w:szCs w:val="21"/>
              </w:rPr>
              <w:t>Albumin use was becoming common practice. The trial prevents an unnecessary increase in its use in ICU.</w:t>
            </w:r>
          </w:p>
        </w:tc>
        <w:tc>
          <w:tcPr>
            <w:tcW w:w="16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183D10ED" w14:textId="76AD3D1E" w:rsidR="00004DA9" w:rsidRPr="00392788" w:rsidRDefault="00004DA9" w:rsidP="00392788">
            <w:pPr>
              <w:spacing w:before="120" w:after="120" w:line="240" w:lineRule="auto"/>
              <w:rPr>
                <w:rFonts w:cs="Arial"/>
                <w:sz w:val="21"/>
                <w:szCs w:val="21"/>
              </w:rPr>
            </w:pPr>
            <w:r w:rsidRPr="00392788">
              <w:rPr>
                <w:rFonts w:cs="Arial"/>
                <w:sz w:val="21"/>
                <w:szCs w:val="21"/>
              </w:rPr>
              <w:t>$16</w:t>
            </w:r>
            <w:r w:rsidR="0067558F" w:rsidRPr="00392788">
              <w:rPr>
                <w:rFonts w:cs="Arial"/>
                <w:sz w:val="21"/>
                <w:szCs w:val="21"/>
              </w:rPr>
              <w:t xml:space="preserve"> million</w:t>
            </w:r>
          </w:p>
        </w:tc>
        <w:tc>
          <w:tcPr>
            <w:tcW w:w="187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79BF0F4A" w14:textId="77777777" w:rsidR="00004DA9" w:rsidRPr="00392788" w:rsidRDefault="00004DA9" w:rsidP="00392788">
            <w:pPr>
              <w:spacing w:before="120" w:after="120" w:line="240" w:lineRule="auto"/>
              <w:rPr>
                <w:rFonts w:cs="Arial"/>
                <w:sz w:val="21"/>
                <w:szCs w:val="21"/>
              </w:rPr>
            </w:pPr>
            <w:r w:rsidRPr="00392788">
              <w:rPr>
                <w:rFonts w:cs="Arial"/>
                <w:sz w:val="21"/>
                <w:szCs w:val="21"/>
              </w:rPr>
              <w:t>100%</w:t>
            </w:r>
          </w:p>
        </w:tc>
      </w:tr>
      <w:tr w:rsidR="00004DA9" w:rsidRPr="00DD5584" w14:paraId="41B278DB" w14:textId="77777777" w:rsidTr="00392788">
        <w:trPr>
          <w:cantSplit/>
          <w:trHeight w:val="292"/>
        </w:trPr>
        <w:tc>
          <w:tcPr>
            <w:tcW w:w="197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596AA11B" w14:textId="77777777" w:rsidR="00004DA9" w:rsidRPr="00392788" w:rsidRDefault="00004DA9" w:rsidP="00392788">
            <w:pPr>
              <w:spacing w:before="120" w:after="120" w:line="240" w:lineRule="auto"/>
              <w:rPr>
                <w:rFonts w:cs="Arial"/>
                <w:sz w:val="21"/>
                <w:szCs w:val="21"/>
              </w:rPr>
            </w:pPr>
            <w:r w:rsidRPr="00392788">
              <w:rPr>
                <w:rFonts w:cs="Arial"/>
                <w:sz w:val="21"/>
                <w:szCs w:val="21"/>
              </w:rPr>
              <w:lastRenderedPageBreak/>
              <w:t>SAFE-TBI</w:t>
            </w:r>
          </w:p>
        </w:tc>
        <w:tc>
          <w:tcPr>
            <w:tcW w:w="285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6AB35E39" w14:textId="5AEB85AF" w:rsidR="00004DA9" w:rsidRPr="00392788" w:rsidRDefault="00004DA9" w:rsidP="00392788">
            <w:pPr>
              <w:spacing w:before="120" w:after="120" w:line="240" w:lineRule="auto"/>
              <w:rPr>
                <w:rFonts w:cs="Arial"/>
                <w:sz w:val="21"/>
                <w:szCs w:val="21"/>
              </w:rPr>
            </w:pPr>
            <w:r w:rsidRPr="00392788">
              <w:rPr>
                <w:rFonts w:cs="Arial"/>
                <w:sz w:val="21"/>
                <w:szCs w:val="21"/>
              </w:rPr>
              <w:t>Albumin or saline for fluid resuscitation in traumatic brain injury patients</w:t>
            </w:r>
            <w:r w:rsidR="00083F47" w:rsidRPr="00392788">
              <w:rPr>
                <w:rFonts w:cs="Arial"/>
                <w:sz w:val="21"/>
                <w:szCs w:val="21"/>
              </w:rPr>
              <w:t>.</w:t>
            </w:r>
            <w:r w:rsidRPr="00392788">
              <w:rPr>
                <w:rFonts w:cs="Arial"/>
                <w:sz w:val="21"/>
                <w:szCs w:val="21"/>
              </w:rPr>
              <w:t xml:space="preserve"> </w:t>
            </w:r>
          </w:p>
        </w:tc>
        <w:tc>
          <w:tcPr>
            <w:tcW w:w="31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7E32B39A" w14:textId="64F0F291" w:rsidR="00004DA9" w:rsidRPr="00392788" w:rsidRDefault="00004DA9" w:rsidP="00392788">
            <w:pPr>
              <w:spacing w:before="120" w:after="120" w:line="240" w:lineRule="auto"/>
              <w:rPr>
                <w:rFonts w:cs="Arial"/>
                <w:sz w:val="21"/>
                <w:szCs w:val="21"/>
              </w:rPr>
            </w:pPr>
            <w:r w:rsidRPr="00392788">
              <w:rPr>
                <w:rFonts w:cs="Arial"/>
                <w:sz w:val="21"/>
                <w:szCs w:val="21"/>
              </w:rPr>
              <w:t>Fluid resuscitation with albumin was associated with higher mortality risk</w:t>
            </w:r>
            <w:r w:rsidR="00AA1470" w:rsidRPr="00392788">
              <w:rPr>
                <w:rFonts w:cs="Arial"/>
                <w:sz w:val="21"/>
                <w:szCs w:val="21"/>
              </w:rPr>
              <w:t xml:space="preserve"> in this group of patients.</w:t>
            </w:r>
          </w:p>
        </w:tc>
        <w:tc>
          <w:tcPr>
            <w:tcW w:w="30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7A2127A8" w14:textId="4D603E84" w:rsidR="00004DA9" w:rsidRPr="00392788" w:rsidRDefault="00AA1470" w:rsidP="00392788">
            <w:pPr>
              <w:spacing w:before="120" w:after="120" w:line="240" w:lineRule="auto"/>
              <w:rPr>
                <w:rFonts w:cs="Arial"/>
                <w:sz w:val="21"/>
                <w:szCs w:val="21"/>
              </w:rPr>
            </w:pPr>
            <w:r w:rsidRPr="00392788">
              <w:rPr>
                <w:rFonts w:cs="Arial"/>
                <w:sz w:val="21"/>
                <w:szCs w:val="21"/>
              </w:rPr>
              <w:t>Prior to the SAFE trial, albumin use was becoming common. The SAFE-TBI study will prevent use of albumin in traumatic brain injury patients.</w:t>
            </w:r>
          </w:p>
        </w:tc>
        <w:tc>
          <w:tcPr>
            <w:tcW w:w="16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64FB5D07" w14:textId="216339CD" w:rsidR="00004DA9" w:rsidRPr="00392788" w:rsidRDefault="00004DA9" w:rsidP="00392788">
            <w:pPr>
              <w:spacing w:before="120" w:after="120" w:line="240" w:lineRule="auto"/>
              <w:rPr>
                <w:rFonts w:cs="Arial"/>
                <w:sz w:val="21"/>
                <w:szCs w:val="21"/>
              </w:rPr>
            </w:pPr>
            <w:r w:rsidRPr="00392788">
              <w:rPr>
                <w:rFonts w:cs="Arial"/>
                <w:sz w:val="21"/>
                <w:szCs w:val="21"/>
              </w:rPr>
              <w:t>$82</w:t>
            </w:r>
            <w:r w:rsidR="0067558F" w:rsidRPr="00392788">
              <w:rPr>
                <w:rFonts w:cs="Arial"/>
                <w:sz w:val="21"/>
                <w:szCs w:val="21"/>
              </w:rPr>
              <w:t xml:space="preserve"> million</w:t>
            </w:r>
          </w:p>
        </w:tc>
        <w:tc>
          <w:tcPr>
            <w:tcW w:w="187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57" w:type="dxa"/>
              <w:left w:w="57" w:type="dxa"/>
              <w:bottom w:w="57" w:type="dxa"/>
              <w:right w:w="57" w:type="dxa"/>
            </w:tcMar>
            <w:hideMark/>
          </w:tcPr>
          <w:p w14:paraId="1A2CBF45" w14:textId="77777777" w:rsidR="00004DA9" w:rsidRPr="00392788" w:rsidRDefault="00004DA9" w:rsidP="00392788">
            <w:pPr>
              <w:spacing w:before="120" w:after="120" w:line="240" w:lineRule="auto"/>
              <w:rPr>
                <w:rFonts w:cs="Arial"/>
                <w:sz w:val="21"/>
                <w:szCs w:val="21"/>
              </w:rPr>
            </w:pPr>
            <w:r w:rsidRPr="00392788">
              <w:rPr>
                <w:rFonts w:cs="Arial"/>
                <w:sz w:val="21"/>
                <w:szCs w:val="21"/>
              </w:rPr>
              <w:t>31%</w:t>
            </w:r>
          </w:p>
        </w:tc>
      </w:tr>
      <w:tr w:rsidR="00AB7B28" w:rsidRPr="00DD5584" w14:paraId="702904C4" w14:textId="77777777" w:rsidTr="00392788">
        <w:trPr>
          <w:cantSplit/>
          <w:trHeight w:val="402"/>
        </w:trPr>
        <w:tc>
          <w:tcPr>
            <w:tcW w:w="10976" w:type="dxa"/>
            <w:gridSpan w:val="4"/>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F5496"/>
            <w:tcMar>
              <w:top w:w="57" w:type="dxa"/>
              <w:left w:w="57" w:type="dxa"/>
              <w:bottom w:w="57" w:type="dxa"/>
              <w:right w:w="57" w:type="dxa"/>
            </w:tcMar>
            <w:hideMark/>
          </w:tcPr>
          <w:p w14:paraId="071B91D7" w14:textId="77777777" w:rsidR="00AB7B28" w:rsidRPr="00F074A5" w:rsidRDefault="00AB7B28" w:rsidP="00352327">
            <w:pPr>
              <w:spacing w:before="60" w:after="60" w:line="20" w:lineRule="atLeast"/>
              <w:rPr>
                <w:color w:val="FFFFFF" w:themeColor="background1"/>
                <w:sz w:val="21"/>
                <w:szCs w:val="21"/>
              </w:rPr>
            </w:pPr>
            <w:r w:rsidRPr="00F074A5">
              <w:rPr>
                <w:color w:val="FFFFFF" w:themeColor="background1"/>
                <w:sz w:val="21"/>
                <w:szCs w:val="21"/>
              </w:rPr>
              <w:t>Totals</w:t>
            </w:r>
          </w:p>
        </w:tc>
        <w:tc>
          <w:tcPr>
            <w:tcW w:w="16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F5496"/>
            <w:tcMar>
              <w:top w:w="57" w:type="dxa"/>
              <w:left w:w="57" w:type="dxa"/>
              <w:bottom w:w="57" w:type="dxa"/>
              <w:right w:w="57" w:type="dxa"/>
            </w:tcMar>
            <w:hideMark/>
          </w:tcPr>
          <w:p w14:paraId="47B69489" w14:textId="054ACB3B" w:rsidR="00AB7B28" w:rsidRPr="00F074A5" w:rsidRDefault="00AB7B28" w:rsidP="00352327">
            <w:pPr>
              <w:spacing w:before="60" w:after="60" w:line="20" w:lineRule="atLeast"/>
              <w:rPr>
                <w:color w:val="FFFFFF" w:themeColor="background1"/>
                <w:sz w:val="21"/>
                <w:szCs w:val="21"/>
              </w:rPr>
            </w:pPr>
            <w:r w:rsidRPr="00F074A5">
              <w:rPr>
                <w:color w:val="FFFFFF" w:themeColor="background1"/>
                <w:sz w:val="21"/>
                <w:szCs w:val="21"/>
              </w:rPr>
              <w:t>$271</w:t>
            </w:r>
            <w:r w:rsidR="0067558F" w:rsidRPr="00F074A5">
              <w:rPr>
                <w:color w:val="FFFFFF" w:themeColor="background1"/>
                <w:sz w:val="21"/>
                <w:szCs w:val="21"/>
              </w:rPr>
              <w:t xml:space="preserve"> million</w:t>
            </w:r>
          </w:p>
        </w:tc>
        <w:tc>
          <w:tcPr>
            <w:tcW w:w="1872"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F5496"/>
            <w:tcMar>
              <w:top w:w="57" w:type="dxa"/>
              <w:left w:w="57" w:type="dxa"/>
              <w:bottom w:w="57" w:type="dxa"/>
              <w:right w:w="57" w:type="dxa"/>
            </w:tcMar>
            <w:hideMark/>
          </w:tcPr>
          <w:p w14:paraId="426D24C9" w14:textId="77777777" w:rsidR="00AB7B28" w:rsidRPr="00F074A5" w:rsidRDefault="00AB7B28" w:rsidP="00352327">
            <w:pPr>
              <w:spacing w:before="60" w:after="60" w:line="20" w:lineRule="atLeast"/>
              <w:rPr>
                <w:color w:val="FFFFFF" w:themeColor="background1"/>
                <w:sz w:val="21"/>
                <w:szCs w:val="21"/>
              </w:rPr>
            </w:pPr>
            <w:r w:rsidRPr="00F074A5">
              <w:rPr>
                <w:color w:val="FFFFFF" w:themeColor="background1"/>
                <w:sz w:val="21"/>
                <w:szCs w:val="21"/>
              </w:rPr>
              <w:t>35%</w:t>
            </w:r>
          </w:p>
        </w:tc>
      </w:tr>
    </w:tbl>
    <w:p w14:paraId="63D11A85" w14:textId="77E9E0B4" w:rsidR="00F0452B" w:rsidRDefault="001E4736" w:rsidP="00352327">
      <w:pPr>
        <w:jc w:val="center"/>
        <w:rPr>
          <w:b/>
          <w:sz w:val="36"/>
        </w:rPr>
      </w:pPr>
      <w:r w:rsidRPr="00C113FF">
        <w:rPr>
          <w:b/>
          <w:sz w:val="36"/>
        </w:rPr>
        <w:t>The benefit to cost ratio for the ANZICS CTG is 4.8:1</w:t>
      </w:r>
    </w:p>
    <w:p w14:paraId="625E509A" w14:textId="77777777" w:rsidR="00F0452B" w:rsidRDefault="00F0452B">
      <w:pPr>
        <w:spacing w:before="0" w:after="200" w:line="276" w:lineRule="auto"/>
        <w:rPr>
          <w:b/>
          <w:sz w:val="36"/>
        </w:rPr>
      </w:pPr>
      <w:r>
        <w:rPr>
          <w:b/>
          <w:sz w:val="36"/>
        </w:rPr>
        <w:br w:type="page"/>
      </w:r>
    </w:p>
    <w:p w14:paraId="04D80E10" w14:textId="77777777" w:rsidR="00CF1672" w:rsidRDefault="00CF1672">
      <w:pPr>
        <w:spacing w:before="0" w:after="200" w:line="276" w:lineRule="auto"/>
        <w:sectPr w:rsidR="00CF1672" w:rsidSect="00DD5584">
          <w:headerReference w:type="default" r:id="rId31"/>
          <w:footerReference w:type="default" r:id="rId32"/>
          <w:pgSz w:w="16840" w:h="11900" w:orient="landscape"/>
          <w:pgMar w:top="1440" w:right="1080" w:bottom="1440" w:left="1080" w:header="709" w:footer="709" w:gutter="0"/>
          <w:cols w:space="708"/>
          <w:docGrid w:linePitch="400"/>
        </w:sectPr>
      </w:pPr>
    </w:p>
    <w:p w14:paraId="59775A35" w14:textId="6B7BBB94" w:rsidR="00CF1672" w:rsidRDefault="00CF1672">
      <w:pPr>
        <w:spacing w:before="0" w:after="200" w:line="276" w:lineRule="auto"/>
      </w:pPr>
      <w:r>
        <w:lastRenderedPageBreak/>
        <w:br w:type="page"/>
      </w:r>
    </w:p>
    <w:p w14:paraId="5DF2871D" w14:textId="77777777" w:rsidR="00F0452B" w:rsidRDefault="00F0452B" w:rsidP="00352327">
      <w:pPr>
        <w:jc w:val="center"/>
        <w:sectPr w:rsidR="00F0452B" w:rsidSect="00EE7152">
          <w:footerReference w:type="default" r:id="rId33"/>
          <w:pgSz w:w="11900" w:h="16840"/>
          <w:pgMar w:top="1077" w:right="1440" w:bottom="1077" w:left="1440" w:header="709" w:footer="709" w:gutter="0"/>
          <w:cols w:space="708"/>
          <w:docGrid w:linePitch="400"/>
        </w:sectPr>
      </w:pPr>
    </w:p>
    <w:p w14:paraId="7B19F51D" w14:textId="77777777" w:rsidR="00F0452B" w:rsidRDefault="00F0452B" w:rsidP="00F0452B">
      <w:r>
        <w:rPr>
          <w:rFonts w:eastAsiaTheme="majorEastAsia"/>
          <w:noProof/>
          <w:lang w:val="en-AU" w:eastAsia="en-AU"/>
        </w:rPr>
        <w:lastRenderedPageBreak/>
        <w:drawing>
          <wp:anchor distT="0" distB="0" distL="114300" distR="114300" simplePos="0" relativeHeight="251665408" behindDoc="0" locked="0" layoutInCell="1" allowOverlap="1" wp14:anchorId="2DDD5BD6" wp14:editId="2018F5CA">
            <wp:simplePos x="0" y="0"/>
            <wp:positionH relativeFrom="column">
              <wp:posOffset>-124460</wp:posOffset>
            </wp:positionH>
            <wp:positionV relativeFrom="paragraph">
              <wp:posOffset>6431280</wp:posOffset>
            </wp:positionV>
            <wp:extent cx="4335780" cy="611505"/>
            <wp:effectExtent l="0" t="0" r="7620" b="0"/>
            <wp:wrapNone/>
            <wp:docPr id="5" name="Picture 5" descr="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35780" cy="611505"/>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4384" behindDoc="0" locked="0" layoutInCell="1" allowOverlap="1" wp14:anchorId="789A0013" wp14:editId="4701D3DC">
                <wp:simplePos x="0" y="0"/>
                <wp:positionH relativeFrom="column">
                  <wp:posOffset>-49530</wp:posOffset>
                </wp:positionH>
                <wp:positionV relativeFrom="paragraph">
                  <wp:posOffset>7036172</wp:posOffset>
                </wp:positionV>
                <wp:extent cx="4808220" cy="1914525"/>
                <wp:effectExtent l="0" t="0" r="0" b="25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1914525"/>
                        </a:xfrm>
                        <a:prstGeom prst="rect">
                          <a:avLst/>
                        </a:prstGeom>
                        <a:noFill/>
                        <a:ln w="9525">
                          <a:noFill/>
                          <a:miter lim="800000"/>
                          <a:headEnd/>
                          <a:tailEnd/>
                        </a:ln>
                      </wps:spPr>
                      <wps:txbx>
                        <w:txbxContent>
                          <w:p w14:paraId="1B095DBB" w14:textId="77777777" w:rsidR="00445B72" w:rsidRDefault="00445B72" w:rsidP="00F0452B">
                            <w:r>
                              <w:t>Level 5, 255 Elizabeth Street, Sydney NSW 2000</w:t>
                            </w:r>
                            <w:r>
                              <w:br/>
                              <w:t>GPO Box 5480, Sydney NSW 2001</w:t>
                            </w:r>
                          </w:p>
                          <w:p w14:paraId="515D8CD3" w14:textId="77777777" w:rsidR="00445B72" w:rsidRDefault="00445B72" w:rsidP="00F0452B">
                            <w:r>
                              <w:t xml:space="preserve">Phone: (02) 9126 3600 </w:t>
                            </w:r>
                            <w:r>
                              <w:br/>
                              <w:t>Fax: (02) 9126 3613</w:t>
                            </w:r>
                          </w:p>
                          <w:p w14:paraId="0CF055D8" w14:textId="77777777" w:rsidR="00445B72" w:rsidRDefault="00445B72" w:rsidP="00F0452B">
                            <w:r>
                              <w:t xml:space="preserve">Email: mail@safetyandquality.gov.au </w:t>
                            </w:r>
                            <w:r>
                              <w:br/>
                              <w:t>Website: www.safetyandquality.gov.au</w:t>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pt;margin-top:554.05pt;width:378.6pt;height:150.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" filled="f" stroked="f">
                <v:textbox style="mso-fit-shape-to-text:t" inset="0">
                  <w:txbxContent>
                    <w:p w14:paraId="1B095DBB" w14:textId="77777777" w:rsidR="00445B72" w:rsidRDefault="00445B72" w:rsidP="00F0452B">
                      <w:r>
                        <w:t>Level 5, 255 Elizabeth Street, Sydney NSW 2000</w:t>
                      </w:r>
                      <w:r>
                        <w:br/>
                        <w:t>GPO Box 5480, Sydney NSW 2001</w:t>
                      </w:r>
                    </w:p>
                    <w:p w14:paraId="515D8CD3" w14:textId="77777777" w:rsidR="00445B72" w:rsidRDefault="00445B72" w:rsidP="00F0452B">
                      <w:r>
                        <w:t xml:space="preserve">Phone: (02) 9126 3600 </w:t>
                      </w:r>
                      <w:r>
                        <w:br/>
                        <w:t>Fax: (02) 9126 3613</w:t>
                      </w:r>
                    </w:p>
                    <w:p w14:paraId="0CF055D8" w14:textId="77777777" w:rsidR="00445B72" w:rsidRDefault="00445B72" w:rsidP="00F0452B">
                      <w:r>
                        <w:t xml:space="preserve">Email: mail@safetyandquality.gov.au </w:t>
                      </w:r>
                      <w:r>
                        <w:br/>
                        <w:t>Website: www.safetyandquality.gov.au</w:t>
                      </w:r>
                    </w:p>
                  </w:txbxContent>
                </v:textbox>
              </v:shape>
            </w:pict>
          </mc:Fallback>
        </mc:AlternateContent>
      </w:r>
    </w:p>
    <w:p w14:paraId="2EC5DE32" w14:textId="4CEF3F7B" w:rsidR="00DD76AE" w:rsidRDefault="00DD76AE" w:rsidP="00F0452B">
      <w:pPr>
        <w:jc w:val="center"/>
      </w:pPr>
    </w:p>
    <w:p w14:paraId="1163241C" w14:textId="49DBF4CE" w:rsidR="001E4736" w:rsidRPr="00DD76AE" w:rsidRDefault="00DD76AE" w:rsidP="00F53235">
      <w:pPr>
        <w:tabs>
          <w:tab w:val="left" w:pos="1553"/>
          <w:tab w:val="left" w:pos="6486"/>
        </w:tabs>
      </w:pPr>
      <w:r>
        <w:tab/>
      </w:r>
      <w:r w:rsidR="00F53235">
        <w:tab/>
      </w:r>
    </w:p>
    <w:sectPr w:rsidR="001E4736" w:rsidRPr="00DD76AE" w:rsidSect="00B212DF">
      <w:footerReference w:type="defaul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933E5" w14:textId="77777777" w:rsidR="00445B72" w:rsidRDefault="00445B72" w:rsidP="00806F6A">
      <w:pPr>
        <w:spacing w:before="0" w:after="0" w:line="240" w:lineRule="auto"/>
      </w:pPr>
      <w:r>
        <w:separator/>
      </w:r>
    </w:p>
    <w:p w14:paraId="7998A78A" w14:textId="77777777" w:rsidR="00445B72" w:rsidRDefault="00445B72"/>
  </w:endnote>
  <w:endnote w:type="continuationSeparator" w:id="0">
    <w:p w14:paraId="379E549D" w14:textId="77777777" w:rsidR="00445B72" w:rsidRDefault="00445B72" w:rsidP="00806F6A">
      <w:pPr>
        <w:spacing w:before="0" w:after="0" w:line="240" w:lineRule="auto"/>
      </w:pPr>
      <w:r>
        <w:continuationSeparator/>
      </w:r>
    </w:p>
    <w:p w14:paraId="5020D92F" w14:textId="77777777" w:rsidR="00445B72" w:rsidRDefault="00445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Avenir Book">
    <w:altName w:val="Corbel"/>
    <w:charset w:val="00"/>
    <w:family w:val="auto"/>
    <w:pitch w:val="variable"/>
    <w:sig w:usb0="00000001" w:usb1="5000204A"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Arial Bold">
    <w:panose1 w:val="020B0704020202020204"/>
    <w:charset w:val="00"/>
    <w:family w:val="roman"/>
    <w:notTrueType/>
    <w:pitch w:val="default"/>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39BD5" w14:textId="77777777" w:rsidR="00445B72" w:rsidRDefault="00445B72">
    <w:pPr>
      <w:rPr>
        <w:color w:val="404040" w:themeColor="text1" w:themeTint="BF"/>
        <w:sz w:val="20"/>
      </w:rPr>
    </w:pPr>
  </w:p>
  <w:p w14:paraId="08EE1E90" w14:textId="77777777" w:rsidR="00445B72" w:rsidRDefault="00445B72"/>
  <w:p w14:paraId="3217282B" w14:textId="77777777" w:rsidR="00445B72" w:rsidRDefault="00445B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A9569" w14:textId="77777777" w:rsidR="00445B72" w:rsidRDefault="00445B72" w:rsidP="000A134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96F611" w14:textId="77777777" w:rsidR="00445B72" w:rsidRDefault="00445B72" w:rsidP="005801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0AA99" w14:textId="6DE4E62C" w:rsidR="00445B72" w:rsidRPr="00392788" w:rsidRDefault="00445B72" w:rsidP="00392788">
    <w:pPr>
      <w:pStyle w:val="Header"/>
      <w:ind w:right="360"/>
      <w:jc w:val="right"/>
      <w:rPr>
        <w:rFonts w:ascii="Arial" w:hAnsi="Arial" w:cs="Arial"/>
        <w:sz w:val="20"/>
        <w:szCs w:val="20"/>
      </w:rPr>
    </w:pPr>
    <w:r w:rsidRPr="00392788">
      <w:rPr>
        <w:rFonts w:ascii="Arial" w:hAnsi="Arial" w:cs="Arial"/>
        <w:sz w:val="20"/>
        <w:szCs w:val="20"/>
      </w:rPr>
      <w:t xml:space="preserve">Economic evaluation of investigator-initiated clinical trials conducted by networks   </w:t>
    </w:r>
    <w:sdt>
      <w:sdtPr>
        <w:rPr>
          <w:rFonts w:ascii="Arial" w:hAnsi="Arial" w:cs="Arial"/>
          <w:sz w:val="20"/>
          <w:szCs w:val="20"/>
        </w:rPr>
        <w:id w:val="156510678"/>
        <w:docPartObj>
          <w:docPartGallery w:val="Page Numbers (Bottom of Page)"/>
          <w:docPartUnique/>
        </w:docPartObj>
      </w:sdtPr>
      <w:sdtEndPr>
        <w:rPr>
          <w:noProof/>
        </w:rPr>
      </w:sdtEndPr>
      <w:sdtContent>
        <w:r w:rsidRPr="00392788">
          <w:rPr>
            <w:rFonts w:ascii="Arial" w:hAnsi="Arial" w:cs="Arial"/>
            <w:sz w:val="20"/>
            <w:szCs w:val="20"/>
          </w:rPr>
          <w:fldChar w:fldCharType="begin"/>
        </w:r>
        <w:r w:rsidRPr="00392788">
          <w:rPr>
            <w:rFonts w:ascii="Arial" w:hAnsi="Arial" w:cs="Arial"/>
            <w:sz w:val="20"/>
            <w:szCs w:val="20"/>
          </w:rPr>
          <w:instrText xml:space="preserve"> PAGE   \* MERGEFORMAT </w:instrText>
        </w:r>
        <w:r w:rsidRPr="00392788">
          <w:rPr>
            <w:rFonts w:ascii="Arial" w:hAnsi="Arial" w:cs="Arial"/>
            <w:sz w:val="20"/>
            <w:szCs w:val="20"/>
          </w:rPr>
          <w:fldChar w:fldCharType="separate"/>
        </w:r>
        <w:r w:rsidR="00E43350">
          <w:rPr>
            <w:rFonts w:ascii="Arial" w:hAnsi="Arial" w:cs="Arial"/>
            <w:noProof/>
            <w:sz w:val="20"/>
            <w:szCs w:val="20"/>
          </w:rPr>
          <w:t>4</w:t>
        </w:r>
        <w:r w:rsidRPr="00392788">
          <w:rPr>
            <w:rFonts w:ascii="Arial" w:hAnsi="Arial" w:cs="Arial"/>
            <w:noProof/>
            <w:sz w:val="20"/>
            <w:szCs w:val="20"/>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675B7" w14:textId="07F6950B" w:rsidR="00445B72" w:rsidRPr="00392788" w:rsidRDefault="00445B72" w:rsidP="00392788">
    <w:pPr>
      <w:pStyle w:val="Header"/>
      <w:ind w:right="360"/>
      <w:jc w:val="right"/>
      <w:rPr>
        <w:rFonts w:ascii="Arial" w:hAnsi="Arial" w:cs="Arial"/>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684EE" w14:textId="36D68846" w:rsidR="00445B72" w:rsidRPr="00E1414B" w:rsidRDefault="00445B72" w:rsidP="004C3E7C">
    <w:pPr>
      <w:pStyle w:val="Header"/>
      <w:ind w:right="360"/>
      <w:jc w:val="right"/>
      <w:rPr>
        <w:rFonts w:ascii="Arial" w:hAnsi="Arial" w:cs="Arial"/>
        <w:sz w:val="20"/>
        <w:szCs w:val="20"/>
      </w:rPr>
    </w:pPr>
    <w:r w:rsidRPr="00E1414B">
      <w:rPr>
        <w:rFonts w:ascii="Arial" w:hAnsi="Arial" w:cs="Arial"/>
        <w:sz w:val="20"/>
        <w:szCs w:val="20"/>
      </w:rPr>
      <w:t xml:space="preserve">Economic evaluation of investigator-initiated clinical trials conducted by networks   </w:t>
    </w:r>
    <w:sdt>
      <w:sdtPr>
        <w:rPr>
          <w:rFonts w:ascii="Arial" w:hAnsi="Arial" w:cs="Arial"/>
          <w:sz w:val="20"/>
          <w:szCs w:val="20"/>
        </w:rPr>
        <w:id w:val="194977858"/>
        <w:docPartObj>
          <w:docPartGallery w:val="Page Numbers (Bottom of Page)"/>
          <w:docPartUnique/>
        </w:docPartObj>
      </w:sdtPr>
      <w:sdtEndPr>
        <w:rPr>
          <w:noProof/>
        </w:rPr>
      </w:sdtEndPr>
      <w:sdtContent>
        <w:r w:rsidRPr="00E1414B">
          <w:rPr>
            <w:rFonts w:ascii="Arial" w:hAnsi="Arial" w:cs="Arial"/>
            <w:sz w:val="20"/>
            <w:szCs w:val="20"/>
          </w:rPr>
          <w:fldChar w:fldCharType="begin"/>
        </w:r>
        <w:r w:rsidRPr="00E1414B">
          <w:rPr>
            <w:rFonts w:ascii="Arial" w:hAnsi="Arial" w:cs="Arial"/>
            <w:sz w:val="20"/>
            <w:szCs w:val="20"/>
          </w:rPr>
          <w:instrText xml:space="preserve"> PAGE   \* MERGEFORMAT </w:instrText>
        </w:r>
        <w:r w:rsidRPr="00E1414B">
          <w:rPr>
            <w:rFonts w:ascii="Arial" w:hAnsi="Arial" w:cs="Arial"/>
            <w:sz w:val="20"/>
            <w:szCs w:val="20"/>
          </w:rPr>
          <w:fldChar w:fldCharType="separate"/>
        </w:r>
        <w:r w:rsidR="00E43350">
          <w:rPr>
            <w:rFonts w:ascii="Arial" w:hAnsi="Arial" w:cs="Arial"/>
            <w:noProof/>
            <w:sz w:val="20"/>
            <w:szCs w:val="20"/>
          </w:rPr>
          <w:t>51</w:t>
        </w:r>
        <w:r w:rsidRPr="00E1414B">
          <w:rPr>
            <w:rFonts w:ascii="Arial" w:hAnsi="Arial" w:cs="Arial"/>
            <w:noProof/>
            <w:sz w:val="20"/>
            <w:szCs w:val="20"/>
          </w:rPr>
          <w:fldChar w:fldCharType="end"/>
        </w:r>
      </w:sdtContent>
    </w:sdt>
  </w:p>
  <w:p w14:paraId="0A923B88" w14:textId="77777777" w:rsidR="00445B72" w:rsidRPr="00392788" w:rsidRDefault="00445B72" w:rsidP="00392788">
    <w:pPr>
      <w:pStyle w:val="Header"/>
      <w:ind w:right="360"/>
      <w:jc w:val="right"/>
      <w:rPr>
        <w:rFonts w:ascii="Arial" w:hAnsi="Arial" w:cs="Arial"/>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FAE4B" w14:textId="77777777" w:rsidR="00445B72" w:rsidRPr="00E1414B" w:rsidRDefault="00445B72" w:rsidP="004C3E7C">
    <w:pPr>
      <w:pStyle w:val="Header"/>
      <w:ind w:right="360"/>
      <w:jc w:val="right"/>
      <w:rPr>
        <w:rFonts w:ascii="Arial" w:hAnsi="Arial" w:cs="Arial"/>
        <w:sz w:val="20"/>
        <w:szCs w:val="20"/>
      </w:rPr>
    </w:pPr>
    <w:r w:rsidRPr="00E1414B">
      <w:rPr>
        <w:rFonts w:ascii="Arial" w:hAnsi="Arial" w:cs="Arial"/>
        <w:sz w:val="20"/>
        <w:szCs w:val="20"/>
      </w:rPr>
      <w:t xml:space="preserve">Economic evaluation of investigator-initiated clinical trials conducted by networks   </w:t>
    </w:r>
    <w:sdt>
      <w:sdtPr>
        <w:rPr>
          <w:rFonts w:ascii="Arial" w:hAnsi="Arial" w:cs="Arial"/>
          <w:sz w:val="20"/>
          <w:szCs w:val="20"/>
        </w:rPr>
        <w:id w:val="794867176"/>
        <w:docPartObj>
          <w:docPartGallery w:val="Page Numbers (Bottom of Page)"/>
          <w:docPartUnique/>
        </w:docPartObj>
      </w:sdtPr>
      <w:sdtEndPr>
        <w:rPr>
          <w:noProof/>
        </w:rPr>
      </w:sdtEndPr>
      <w:sdtContent>
        <w:r w:rsidRPr="00E1414B">
          <w:rPr>
            <w:rFonts w:ascii="Arial" w:hAnsi="Arial" w:cs="Arial"/>
            <w:sz w:val="20"/>
            <w:szCs w:val="20"/>
          </w:rPr>
          <w:fldChar w:fldCharType="begin"/>
        </w:r>
        <w:r w:rsidRPr="00E1414B">
          <w:rPr>
            <w:rFonts w:ascii="Arial" w:hAnsi="Arial" w:cs="Arial"/>
            <w:sz w:val="20"/>
            <w:szCs w:val="20"/>
          </w:rPr>
          <w:instrText xml:space="preserve"> PAGE   \* MERGEFORMAT </w:instrText>
        </w:r>
        <w:r w:rsidRPr="00E1414B">
          <w:rPr>
            <w:rFonts w:ascii="Arial" w:hAnsi="Arial" w:cs="Arial"/>
            <w:sz w:val="20"/>
            <w:szCs w:val="20"/>
          </w:rPr>
          <w:fldChar w:fldCharType="separate"/>
        </w:r>
        <w:r w:rsidR="00E43350">
          <w:rPr>
            <w:rFonts w:ascii="Arial" w:hAnsi="Arial" w:cs="Arial"/>
            <w:noProof/>
            <w:sz w:val="20"/>
            <w:szCs w:val="20"/>
          </w:rPr>
          <w:t>52</w:t>
        </w:r>
        <w:r w:rsidRPr="00E1414B">
          <w:rPr>
            <w:rFonts w:ascii="Arial" w:hAnsi="Arial" w:cs="Arial"/>
            <w:noProof/>
            <w:sz w:val="20"/>
            <w:szCs w:val="20"/>
          </w:rPr>
          <w:fldChar w:fldCharType="end"/>
        </w:r>
      </w:sdtContent>
    </w:sdt>
  </w:p>
  <w:p w14:paraId="583E5CD2" w14:textId="77777777" w:rsidR="00445B72" w:rsidRPr="00392788" w:rsidRDefault="00445B72" w:rsidP="00392788">
    <w:pPr>
      <w:pStyle w:val="Header"/>
      <w:ind w:right="360"/>
      <w:jc w:val="right"/>
      <w:rPr>
        <w:rFonts w:ascii="Arial" w:hAnsi="Arial" w:cs="Arial"/>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FF2D4" w14:textId="77777777" w:rsidR="00445B72" w:rsidRPr="00392788" w:rsidRDefault="00445B72" w:rsidP="00392788">
    <w:pPr>
      <w:pStyle w:val="Header"/>
      <w:ind w:right="360"/>
      <w:jc w:val="right"/>
      <w:rPr>
        <w:rFonts w:ascii="Arial" w:hAnsi="Arial" w:cs="Arial"/>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97B9C" w14:textId="700B6E03" w:rsidR="00445B72" w:rsidRPr="00F57148" w:rsidRDefault="00445B72" w:rsidP="00B212DF">
    <w:pPr>
      <w:pStyle w:val="Footer"/>
      <w:jc w:val="right"/>
    </w:pPr>
    <w:r>
      <w:tab/>
    </w:r>
    <w:r>
      <w:tab/>
    </w:r>
  </w:p>
  <w:p w14:paraId="4E77DD99" w14:textId="77777777" w:rsidR="00445B72" w:rsidRDefault="00445B72">
    <w:pPr>
      <w:pStyle w:val="Footer"/>
    </w:pPr>
  </w:p>
  <w:p w14:paraId="16A9C92C" w14:textId="77777777" w:rsidR="00445B72" w:rsidRDefault="00445B7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D71D" w14:textId="77777777" w:rsidR="00445B72" w:rsidRPr="006803BA" w:rsidRDefault="00445B72" w:rsidP="00B212DF">
    <w:r w:rsidRPr="006803BA">
      <w:t>Insert title</w:t>
    </w:r>
    <w:r>
      <w:tab/>
    </w:r>
    <w:r>
      <w:tab/>
    </w:r>
    <w:r w:rsidRPr="006803BA">
      <w:fldChar w:fldCharType="begin"/>
    </w:r>
    <w:r w:rsidRPr="006803BA">
      <w:instrText xml:space="preserve"> PAGE   \* MERGEFORMAT </w:instrText>
    </w:r>
    <w:r w:rsidRPr="006803BA">
      <w:fldChar w:fldCharType="separate"/>
    </w:r>
    <w:r>
      <w:rPr>
        <w:noProof/>
      </w:rPr>
      <w:t>0</w:t>
    </w:r>
    <w:r w:rsidRPr="006803BA">
      <w:rPr>
        <w:noProof/>
      </w:rPr>
      <w:fldChar w:fldCharType="end"/>
    </w:r>
  </w:p>
  <w:p w14:paraId="1B8652EC" w14:textId="77777777" w:rsidR="00445B72" w:rsidRDefault="00445B72" w:rsidP="00B212DF"/>
  <w:p w14:paraId="07F67510" w14:textId="77777777" w:rsidR="00445B72" w:rsidRDefault="00445B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8D27E" w14:textId="77777777" w:rsidR="00445B72" w:rsidRDefault="00445B72" w:rsidP="00806F6A">
      <w:pPr>
        <w:spacing w:before="0" w:after="0" w:line="240" w:lineRule="auto"/>
      </w:pPr>
      <w:r>
        <w:separator/>
      </w:r>
    </w:p>
    <w:p w14:paraId="32DFF2A8" w14:textId="77777777" w:rsidR="00445B72" w:rsidRDefault="00445B72"/>
  </w:footnote>
  <w:footnote w:type="continuationSeparator" w:id="0">
    <w:p w14:paraId="716A37CE" w14:textId="77777777" w:rsidR="00445B72" w:rsidRDefault="00445B72" w:rsidP="00806F6A">
      <w:pPr>
        <w:spacing w:before="0" w:after="0" w:line="240" w:lineRule="auto"/>
      </w:pPr>
      <w:r>
        <w:continuationSeparator/>
      </w:r>
    </w:p>
    <w:p w14:paraId="12EBBC5F" w14:textId="77777777" w:rsidR="00445B72" w:rsidRDefault="00445B72"/>
  </w:footnote>
  <w:footnote w:id="1">
    <w:p w14:paraId="3ABA3B29" w14:textId="2F44BBAF" w:rsidR="00445B72" w:rsidRPr="00085AE0" w:rsidRDefault="00445B72" w:rsidP="0084585C">
      <w:pPr>
        <w:pStyle w:val="FootnoteText"/>
        <w:rPr>
          <w:lang w:val="en-AU"/>
        </w:rPr>
      </w:pPr>
      <w:r>
        <w:rPr>
          <w:rStyle w:val="FootnoteReference"/>
        </w:rPr>
        <w:footnoteRef/>
      </w:r>
      <w:r>
        <w:t xml:space="preserve"> Australian Clinical Trials Alliance for the National Health and Medical Research Council (2015). </w:t>
      </w:r>
      <w:hyperlink r:id="rId1" w:history="1">
        <w:r w:rsidRPr="00BD6790">
          <w:rPr>
            <w:rStyle w:val="Hyperlink"/>
          </w:rPr>
          <w:t>Report on the Activities and Achievements of Clinical Trials Networks in Australia 2004-2014</w:t>
        </w:r>
      </w:hyperlink>
      <w:r>
        <w:t>. Melbourne.</w:t>
      </w:r>
    </w:p>
  </w:footnote>
  <w:footnote w:id="2">
    <w:p w14:paraId="08CEFB80" w14:textId="24E17149" w:rsidR="00445B72" w:rsidRPr="00D85C9B" w:rsidRDefault="00445B72" w:rsidP="00CF3F5E">
      <w:pPr>
        <w:pStyle w:val="FootnoteText"/>
        <w:rPr>
          <w:lang w:val="en-AU"/>
        </w:rPr>
      </w:pPr>
      <w:r>
        <w:rPr>
          <w:rStyle w:val="FootnoteReference"/>
        </w:rPr>
        <w:footnoteRef/>
      </w:r>
      <w:r>
        <w:t xml:space="preserve"> The hierarchy of evidence is a five level rating scale, with I and II being the highest. It rates likely best evidence, ranging from opinion of experts, to systemic reviews of multiple randomised controlled trials. More information on this system can be found at this link  </w:t>
      </w:r>
      <w:hyperlink r:id="rId2" w:history="1">
        <w:r w:rsidRPr="009238CA">
          <w:rPr>
            <w:rStyle w:val="Hyperlink"/>
          </w:rPr>
          <w:t>http://www.cebm.net/ocebm-levels-of-evidence/</w:t>
        </w:r>
      </w:hyperlink>
    </w:p>
  </w:footnote>
  <w:footnote w:id="3">
    <w:p w14:paraId="5F92EDED" w14:textId="2CAB92CE" w:rsidR="00445B72" w:rsidRPr="00D85C9B" w:rsidRDefault="00445B72">
      <w:pPr>
        <w:pStyle w:val="FootnoteText"/>
        <w:rPr>
          <w:lang w:val="en-AU"/>
        </w:rPr>
      </w:pPr>
      <w:r>
        <w:rPr>
          <w:rStyle w:val="FootnoteReference"/>
        </w:rPr>
        <w:footnoteRef/>
      </w:r>
      <w:r>
        <w:t xml:space="preserve"> Australian Clinical Trials Alliance for the National Health and Medical Research Council (2015). </w:t>
      </w:r>
      <w:hyperlink r:id="rId3" w:history="1">
        <w:r w:rsidRPr="00BD6790">
          <w:rPr>
            <w:rStyle w:val="Hyperlink"/>
          </w:rPr>
          <w:t>Report on the Activities and Achievements of Clinical Trials Networks in Australia 2004-2014</w:t>
        </w:r>
      </w:hyperlink>
      <w:r>
        <w:t>. Melbourne.</w:t>
      </w:r>
    </w:p>
  </w:footnote>
  <w:footnote w:id="4">
    <w:p w14:paraId="6B3129F7" w14:textId="60355BCE" w:rsidR="00445B72" w:rsidRPr="00352327" w:rsidRDefault="00445B72">
      <w:pPr>
        <w:pStyle w:val="FootnoteText"/>
      </w:pPr>
      <w:r w:rsidRPr="00352327">
        <w:rPr>
          <w:rStyle w:val="FootnoteReference"/>
        </w:rPr>
        <w:footnoteRef/>
      </w:r>
      <w:r w:rsidRPr="00352327">
        <w:t xml:space="preserve"> </w:t>
      </w:r>
      <w:r w:rsidRPr="001D63C8">
        <w:t>Lateral economics (2010)</w:t>
      </w:r>
      <w:r>
        <w:t>.</w:t>
      </w:r>
      <w:r w:rsidRPr="001D63C8">
        <w:t xml:space="preserve"> The economic value of Australia’s Investment in Health and Medical Research </w:t>
      </w:r>
      <w:hyperlink r:id="rId4" w:history="1">
        <w:r w:rsidRPr="0063747E">
          <w:rPr>
            <w:rStyle w:val="Hyperlink"/>
          </w:rPr>
          <w:t>https://lateraleconomics.com.au/wp-content/uploads/2014/02/The-Ec-Value-of-Austs-Invmt-in-Med-Research.pdf</w:t>
        </w:r>
      </w:hyperlink>
      <w:r>
        <w:t xml:space="preserve"> </w:t>
      </w:r>
    </w:p>
  </w:footnote>
  <w:footnote w:id="5">
    <w:p w14:paraId="07E9086E" w14:textId="4D2BBC61" w:rsidR="00445B72" w:rsidRPr="001D63C8" w:rsidRDefault="00445B72">
      <w:pPr>
        <w:pStyle w:val="FootnoteText"/>
      </w:pPr>
      <w:r w:rsidRPr="001D63C8">
        <w:rPr>
          <w:rStyle w:val="FootnoteReference"/>
        </w:rPr>
        <w:footnoteRef/>
      </w:r>
      <w:r w:rsidRPr="001D63C8">
        <w:t xml:space="preserve"> </w:t>
      </w:r>
      <w:r w:rsidRPr="001D63C8">
        <w:rPr>
          <w:lang w:val="en-AU"/>
        </w:rPr>
        <w:t xml:space="preserve">Deloitte Access Economics </w:t>
      </w:r>
      <w:r>
        <w:rPr>
          <w:lang w:val="en-AU"/>
        </w:rPr>
        <w:t>(</w:t>
      </w:r>
      <w:r w:rsidRPr="001D63C8">
        <w:rPr>
          <w:lang w:val="en-AU"/>
        </w:rPr>
        <w:t>2014</w:t>
      </w:r>
      <w:r>
        <w:rPr>
          <w:lang w:val="en-AU"/>
        </w:rPr>
        <w:t xml:space="preserve">). </w:t>
      </w:r>
      <w:r w:rsidRPr="001D63C8">
        <w:rPr>
          <w:lang w:val="en-AU"/>
        </w:rPr>
        <w:t xml:space="preserve">Extrapolated returns from investment in medical research future fund (MRFF)  </w:t>
      </w:r>
    </w:p>
  </w:footnote>
  <w:footnote w:id="6">
    <w:p w14:paraId="5935D233" w14:textId="6EDE4705" w:rsidR="00445B72" w:rsidRPr="001D63C8" w:rsidRDefault="00445B72">
      <w:pPr>
        <w:pStyle w:val="FootnoteText"/>
      </w:pPr>
      <w:r w:rsidRPr="001D63C8">
        <w:rPr>
          <w:rStyle w:val="FootnoteReference"/>
        </w:rPr>
        <w:footnoteRef/>
      </w:r>
      <w:r w:rsidRPr="001D63C8">
        <w:t xml:space="preserve"> </w:t>
      </w:r>
      <w:r w:rsidRPr="001D63C8">
        <w:rPr>
          <w:lang w:val="en-AU"/>
        </w:rPr>
        <w:t>Johnston SC et al. (2006)</w:t>
      </w:r>
      <w:r>
        <w:rPr>
          <w:lang w:val="en-AU"/>
        </w:rPr>
        <w:t>.</w:t>
      </w:r>
      <w:r w:rsidRPr="001D63C8">
        <w:rPr>
          <w:lang w:val="en-AU"/>
        </w:rPr>
        <w:t xml:space="preserve"> Effect of a US National Institutes of Health program of clinical trials on public health and costs. Lancet</w:t>
      </w:r>
      <w:r>
        <w:rPr>
          <w:lang w:val="en-AU"/>
        </w:rPr>
        <w:t xml:space="preserve">. </w:t>
      </w:r>
      <w:r w:rsidRPr="001D63C8">
        <w:rPr>
          <w:lang w:val="en-AU"/>
        </w:rPr>
        <w:t>367: 1319-27</w:t>
      </w:r>
    </w:p>
  </w:footnote>
  <w:footnote w:id="7">
    <w:p w14:paraId="377A0255" w14:textId="60578E2A" w:rsidR="00445B72" w:rsidRPr="00085AE0" w:rsidRDefault="00445B72">
      <w:pPr>
        <w:pStyle w:val="FootnoteText"/>
        <w:rPr>
          <w:lang w:val="en-AU"/>
        </w:rPr>
      </w:pPr>
      <w:r w:rsidRPr="00352327">
        <w:rPr>
          <w:rStyle w:val="FootnoteReference"/>
        </w:rPr>
        <w:footnoteRef/>
      </w:r>
      <w:r w:rsidRPr="00352327">
        <w:t xml:space="preserve"> Simes J (2016)</w:t>
      </w:r>
      <w:r>
        <w:t>.</w:t>
      </w:r>
      <w:r w:rsidRPr="00352327">
        <w:t xml:space="preserve"> Strategies for supporting trials of high value. ACTA 2016 Summit, Melbourne</w:t>
      </w:r>
      <w:r>
        <w:t>.</w:t>
      </w:r>
      <w:r w:rsidRPr="00352327">
        <w:t xml:space="preserve"> </w:t>
      </w:r>
      <w:hyperlink r:id="rId5" w:history="1">
        <w:r w:rsidRPr="0063747E">
          <w:rPr>
            <w:rStyle w:val="Hyperlink"/>
          </w:rPr>
          <w:t>http://www.clinicaltrialsalliance.org.au/wp-content/uploads/2016/12/1-ACTA2016_Simes.pdf</w:t>
        </w:r>
      </w:hyperlink>
      <w:r>
        <w:t xml:space="preserve"> </w:t>
      </w:r>
    </w:p>
  </w:footnote>
  <w:footnote w:id="8">
    <w:p w14:paraId="0045577F" w14:textId="66696D1A" w:rsidR="00445B72" w:rsidRPr="00915516" w:rsidRDefault="00445B72">
      <w:pPr>
        <w:pStyle w:val="FootnoteText"/>
        <w:rPr>
          <w:lang w:val="en-GB"/>
        </w:rPr>
      </w:pPr>
      <w:r>
        <w:rPr>
          <w:rStyle w:val="FootnoteReference"/>
        </w:rPr>
        <w:footnoteRef/>
      </w:r>
      <w:r w:rsidRPr="00915516">
        <w:rPr>
          <w:lang w:val="en-GB"/>
        </w:rPr>
        <w:t xml:space="preserve"> </w:t>
      </w:r>
      <w:r>
        <w:t xml:space="preserve">Australian Clinical Trials Alliance for the National Health and Medical Research Council (2015). </w:t>
      </w:r>
      <w:hyperlink r:id="rId6" w:history="1">
        <w:r w:rsidRPr="00BD6790">
          <w:rPr>
            <w:rStyle w:val="Hyperlink"/>
          </w:rPr>
          <w:t>Report on the Activities and Achievements of Clinical Trials Networks in Australia 2004-2014</w:t>
        </w:r>
      </w:hyperlink>
      <w:r>
        <w:t>. Melbourne..</w:t>
      </w:r>
    </w:p>
  </w:footnote>
  <w:footnote w:id="9">
    <w:p w14:paraId="14416502" w14:textId="024D2614" w:rsidR="00445B72" w:rsidRPr="00915516" w:rsidRDefault="00445B72">
      <w:pPr>
        <w:pStyle w:val="FootnoteText"/>
        <w:rPr>
          <w:lang w:val="en-GB"/>
        </w:rPr>
      </w:pPr>
      <w:r>
        <w:rPr>
          <w:rStyle w:val="FootnoteReference"/>
        </w:rPr>
        <w:footnoteRef/>
      </w:r>
      <w:r w:rsidRPr="00915516">
        <w:rPr>
          <w:lang w:val="en-GB"/>
        </w:rPr>
        <w:t xml:space="preserve"> </w:t>
      </w:r>
      <w:r>
        <w:t xml:space="preserve">Australian Clinical Trials Alliance for the National Health and Medical Research Council (2015). </w:t>
      </w:r>
      <w:hyperlink r:id="rId7" w:history="1">
        <w:r w:rsidRPr="00BD6790">
          <w:rPr>
            <w:rStyle w:val="Hyperlink"/>
          </w:rPr>
          <w:t>Report on the Activities and Achievements of Clinical Trials Networks in Australia 2004-2014</w:t>
        </w:r>
      </w:hyperlink>
      <w:r>
        <w:t>. Melbourne.</w:t>
      </w:r>
    </w:p>
  </w:footnote>
  <w:footnote w:id="10">
    <w:p w14:paraId="20746057" w14:textId="3E9A4E32" w:rsidR="00445B72" w:rsidRPr="00B27994" w:rsidRDefault="00445B72" w:rsidP="00D42E71">
      <w:pPr>
        <w:pStyle w:val="FootnoteText"/>
        <w:rPr>
          <w:lang w:val="en-AU"/>
        </w:rPr>
      </w:pPr>
      <w:r w:rsidRPr="00B27994">
        <w:rPr>
          <w:rStyle w:val="FootnoteReference"/>
        </w:rPr>
        <w:footnoteRef/>
      </w:r>
      <w:r w:rsidRPr="00B27994">
        <w:t xml:space="preserve"> B</w:t>
      </w:r>
      <w:r w:rsidRPr="00B27994">
        <w:rPr>
          <w:lang w:val="en-AU"/>
        </w:rPr>
        <w:t>ased on Victorian Prostate Cancer Registry data on guideline compliance for avoiding surgical intervention in low-risk patients</w:t>
      </w:r>
      <w:r>
        <w:rPr>
          <w:lang w:val="en-AU"/>
        </w:rPr>
        <w:t xml:space="preserve"> reported in t</w:t>
      </w:r>
      <w:r w:rsidRPr="005A2DB2">
        <w:rPr>
          <w:lang w:val="en-AU"/>
        </w:rPr>
        <w:t>he Australian Commission on Safety and Quality in Health Care</w:t>
      </w:r>
      <w:r>
        <w:rPr>
          <w:lang w:val="en-AU"/>
        </w:rPr>
        <w:t xml:space="preserve"> (2016)</w:t>
      </w:r>
      <w:r w:rsidRPr="005A2DB2">
        <w:rPr>
          <w:lang w:val="en-AU"/>
        </w:rPr>
        <w:t>. Economic evaluation of clinical quality registries: Final report. Sydney: ACSQHC</w:t>
      </w:r>
      <w:r>
        <w:rPr>
          <w:lang w:val="en-AU"/>
        </w:rPr>
        <w:t>.  V</w:t>
      </w:r>
      <w:r w:rsidRPr="00B27994">
        <w:rPr>
          <w:lang w:val="en-AU"/>
        </w:rPr>
        <w:t>alidation through interviews with investigators.</w:t>
      </w:r>
      <w:r>
        <w:rPr>
          <w:lang w:val="en-AU"/>
        </w:rPr>
        <w:t xml:space="preserve"> </w:t>
      </w:r>
      <w:r w:rsidRPr="00B27994">
        <w:rPr>
          <w:lang w:val="en-AU"/>
        </w:rPr>
        <w:t>Measuring true implementation is beyond the scope of this work.</w:t>
      </w:r>
      <w:r>
        <w:rPr>
          <w:lang w:val="en-AU"/>
        </w:rPr>
        <w:t xml:space="preserve"> </w:t>
      </w:r>
      <w:r w:rsidRPr="00B27994">
        <w:rPr>
          <w:lang w:val="en-AU"/>
        </w:rPr>
        <w:t>Sensitivity analyses show the estimated benefit under a range of scenarios.</w:t>
      </w:r>
      <w:r>
        <w:rPr>
          <w:lang w:val="en-AU"/>
        </w:rPr>
        <w:t xml:space="preserve"> </w:t>
      </w:r>
    </w:p>
  </w:footnote>
  <w:footnote w:id="11">
    <w:p w14:paraId="2BA0B50F" w14:textId="7F01777C" w:rsidR="00445B72" w:rsidRPr="00915516" w:rsidRDefault="00445B72" w:rsidP="00D42E71">
      <w:pPr>
        <w:pStyle w:val="FootnoteText"/>
        <w:rPr>
          <w:lang w:val="it-IT"/>
        </w:rPr>
      </w:pPr>
      <w:r>
        <w:rPr>
          <w:rStyle w:val="FootnoteReference"/>
        </w:rPr>
        <w:footnoteRef/>
      </w:r>
      <w:r>
        <w:t xml:space="preserve"> </w:t>
      </w:r>
      <w:r w:rsidRPr="002A2275">
        <w:t>Guthrie</w:t>
      </w:r>
      <w:r>
        <w:t xml:space="preserve"> S</w:t>
      </w:r>
      <w:r w:rsidRPr="002A2275">
        <w:t>, Hafner</w:t>
      </w:r>
      <w:r>
        <w:t xml:space="preserve"> M</w:t>
      </w:r>
      <w:r w:rsidRPr="002A2275">
        <w:t>, Bienkowska-Gibbs</w:t>
      </w:r>
      <w:r>
        <w:t xml:space="preserve"> T &amp; </w:t>
      </w:r>
      <w:r w:rsidRPr="002A2275">
        <w:t>Wooding</w:t>
      </w:r>
      <w:r>
        <w:t xml:space="preserve"> S (2015)</w:t>
      </w:r>
      <w:r w:rsidRPr="002A2275">
        <w:t xml:space="preserve">. Returns on research funded under the NIHR Health Technology Assessment (HTA) Programme: Economic analysis and case studies. </w:t>
      </w:r>
      <w:r w:rsidRPr="00046FCD">
        <w:rPr>
          <w:lang w:val="it-IT"/>
        </w:rPr>
        <w:t xml:space="preserve">Santa Monica, CA: RAND Corporation. </w:t>
      </w:r>
      <w:hyperlink r:id="rId8" w:history="1">
        <w:r w:rsidRPr="00046FCD">
          <w:rPr>
            <w:rStyle w:val="Hyperlink"/>
            <w:lang w:val="it-IT"/>
          </w:rPr>
          <w:t>http://www.rand.org/pubs/research_reports/RR666.html</w:t>
        </w:r>
      </w:hyperlink>
    </w:p>
  </w:footnote>
  <w:footnote w:id="12">
    <w:p w14:paraId="07DA98AE" w14:textId="2C62BACA" w:rsidR="00445B72" w:rsidRPr="00B27994" w:rsidRDefault="00445B72" w:rsidP="00AF6925">
      <w:pPr>
        <w:pStyle w:val="FootnoteText"/>
      </w:pPr>
      <w:r w:rsidRPr="00B27994">
        <w:rPr>
          <w:rStyle w:val="FootnoteReference"/>
        </w:rPr>
        <w:footnoteRef/>
      </w:r>
      <w:r w:rsidRPr="00B27994">
        <w:t xml:space="preserve"> December 2014, Best Practice Regulation Guidance Note Value of statistical life </w:t>
      </w:r>
      <w:hyperlink r:id="rId9" w:history="1">
        <w:r w:rsidRPr="005D0BAB">
          <w:rPr>
            <w:rStyle w:val="Hyperlink"/>
          </w:rPr>
          <w:t>https://www.dpmc.gov.au/sites/default/files/publications/Value_of_Statistical_Life_guidance_note.pdf</w:t>
        </w:r>
      </w:hyperlink>
      <w:r>
        <w:t xml:space="preserve"> </w:t>
      </w:r>
    </w:p>
  </w:footnote>
  <w:footnote w:id="13">
    <w:p w14:paraId="3220C0D1" w14:textId="28D1F76D" w:rsidR="00445B72" w:rsidRPr="00352327" w:rsidRDefault="00445B72">
      <w:pPr>
        <w:pStyle w:val="FootnoteText"/>
        <w:rPr>
          <w:lang w:val="fr-FR"/>
        </w:rPr>
      </w:pPr>
      <w:r>
        <w:rPr>
          <w:rStyle w:val="FootnoteReference"/>
        </w:rPr>
        <w:footnoteRef/>
      </w:r>
      <w:r>
        <w:t xml:space="preserve"> Department of Health Statistics and Information Systems, WHO (2013). Annex Table D, WHO methods and data sources for life tables 1990-2011. Global Health Estimates Technical Paper WHO/HIS/HSI/GHE/2013.1. Geneva: WHO. </w:t>
      </w:r>
      <w:hyperlink r:id="rId10" w:history="1">
        <w:r w:rsidRPr="00352327">
          <w:rPr>
            <w:rStyle w:val="Hyperlink"/>
            <w:lang w:val="fr-FR"/>
          </w:rPr>
          <w:t>http://www.who.int/healthinfo/statistics/GlobalDALYmethods_2000_2011.pdf</w:t>
        </w:r>
      </w:hyperlink>
      <w:r w:rsidRPr="00352327">
        <w:rPr>
          <w:lang w:val="fr-FR"/>
        </w:rPr>
        <w:t xml:space="preserve"> </w:t>
      </w:r>
    </w:p>
  </w:footnote>
  <w:footnote w:id="14">
    <w:p w14:paraId="1EA65FCA" w14:textId="64BA7533" w:rsidR="00445B72" w:rsidRPr="00344146" w:rsidRDefault="00445B72">
      <w:pPr>
        <w:pStyle w:val="FootnoteText"/>
        <w:rPr>
          <w:lang w:val="pt-BR"/>
        </w:rPr>
      </w:pPr>
      <w:r>
        <w:rPr>
          <w:rStyle w:val="FootnoteReference"/>
        </w:rPr>
        <w:footnoteRef/>
      </w:r>
      <w:r w:rsidRPr="00352327">
        <w:rPr>
          <w:lang w:val="fr-FR"/>
        </w:rPr>
        <w:t xml:space="preserve"> Mathers C, Vos T &amp; Stevenson C </w:t>
      </w:r>
      <w:r>
        <w:rPr>
          <w:lang w:val="fr-FR"/>
        </w:rPr>
        <w:t>(</w:t>
      </w:r>
      <w:r w:rsidRPr="00352327">
        <w:rPr>
          <w:lang w:val="fr-FR"/>
        </w:rPr>
        <w:t>1999</w:t>
      </w:r>
      <w:r>
        <w:rPr>
          <w:lang w:val="fr-FR"/>
        </w:rPr>
        <w:t>)</w:t>
      </w:r>
      <w:r w:rsidRPr="00352327">
        <w:rPr>
          <w:lang w:val="fr-FR"/>
        </w:rPr>
        <w:t xml:space="preserve">. </w:t>
      </w:r>
      <w:r>
        <w:t xml:space="preserve">Annex Table B, The burden of disease and injury in Australia. </w:t>
      </w:r>
      <w:r w:rsidRPr="00352327">
        <w:rPr>
          <w:lang w:val="pt-BR"/>
        </w:rPr>
        <w:t xml:space="preserve">Cat. no. PHE 17. Canberra: AIHW. </w:t>
      </w:r>
      <w:hyperlink r:id="rId11" w:history="1">
        <w:r w:rsidRPr="00344146">
          <w:rPr>
            <w:rStyle w:val="Hyperlink"/>
            <w:lang w:val="pt-BR"/>
          </w:rPr>
          <w:t>http://www.aihw.gov.au/WorkArea/DownloadAsset.aspx?id=6442459211</w:t>
        </w:r>
      </w:hyperlink>
      <w:r w:rsidRPr="00344146">
        <w:rPr>
          <w:lang w:val="pt-BR"/>
        </w:rPr>
        <w:t xml:space="preserve"> </w:t>
      </w:r>
    </w:p>
  </w:footnote>
  <w:footnote w:id="15">
    <w:p w14:paraId="16A42863" w14:textId="004B3A87" w:rsidR="00445B72" w:rsidRPr="00D750C7" w:rsidRDefault="00445B72" w:rsidP="009628B4">
      <w:pPr>
        <w:pStyle w:val="FootnoteText"/>
        <w:rPr>
          <w:lang w:val="en-AU"/>
        </w:rPr>
      </w:pPr>
      <w:r w:rsidRPr="00D750C7">
        <w:rPr>
          <w:rStyle w:val="FootnoteReference"/>
        </w:rPr>
        <w:footnoteRef/>
      </w:r>
      <w:r w:rsidRPr="00D750C7">
        <w:t xml:space="preserve"> </w:t>
      </w:r>
      <w:r w:rsidRPr="00352327">
        <w:rPr>
          <w:lang w:val="en-AU"/>
        </w:rPr>
        <w:t xml:space="preserve">Further information on </w:t>
      </w:r>
      <w:r w:rsidRPr="00545FFB">
        <w:rPr>
          <w:lang w:val="en-AU"/>
        </w:rPr>
        <w:t>A</w:t>
      </w:r>
      <w:r>
        <w:rPr>
          <w:lang w:val="en-AU"/>
        </w:rPr>
        <w:t>ustralian refined diagnosis-related group (AR-</w:t>
      </w:r>
      <w:r w:rsidRPr="00545FFB">
        <w:rPr>
          <w:lang w:val="en-AU"/>
        </w:rPr>
        <w:t>DRG</w:t>
      </w:r>
      <w:r>
        <w:rPr>
          <w:lang w:val="en-AU"/>
        </w:rPr>
        <w:t>)</w:t>
      </w:r>
      <w:r w:rsidRPr="00352327">
        <w:rPr>
          <w:lang w:val="en-AU"/>
        </w:rPr>
        <w:t xml:space="preserve"> costing is available at </w:t>
      </w:r>
      <w:hyperlink r:id="rId12" w:history="1">
        <w:r w:rsidRPr="00407D82">
          <w:rPr>
            <w:rStyle w:val="Hyperlink"/>
            <w:lang w:val="en-AU"/>
          </w:rPr>
          <w:t>https://www.ihpa.gov.au/what-we-do/nhcdc</w:t>
        </w:r>
      </w:hyperlink>
      <w:r>
        <w:rPr>
          <w:lang w:val="en-AU"/>
        </w:rPr>
        <w:t xml:space="preserve"> </w:t>
      </w:r>
    </w:p>
  </w:footnote>
  <w:footnote w:id="16">
    <w:p w14:paraId="2B7386A0" w14:textId="089DAD3E" w:rsidR="00445B72" w:rsidRPr="00352327" w:rsidRDefault="00445B72">
      <w:pPr>
        <w:pStyle w:val="FootnoteText"/>
        <w:rPr>
          <w:lang w:val="en-AU"/>
        </w:rPr>
      </w:pPr>
      <w:r>
        <w:rPr>
          <w:rStyle w:val="FootnoteReference"/>
        </w:rPr>
        <w:footnoteRef/>
      </w:r>
      <w:r>
        <w:t xml:space="preserve"> NHMRC Research funding statistics and data </w:t>
      </w:r>
      <w:hyperlink r:id="rId13" w:history="1">
        <w:r w:rsidRPr="001707A5">
          <w:rPr>
            <w:rStyle w:val="Hyperlink"/>
          </w:rPr>
          <w:t>https://www.nhmrc.gov.au/grants-funding/research-funding-statistics-and-data</w:t>
        </w:r>
      </w:hyperlink>
      <w:r>
        <w:t xml:space="preserve"> </w:t>
      </w:r>
    </w:p>
  </w:footnote>
  <w:footnote w:id="17">
    <w:p w14:paraId="01A28F10" w14:textId="1F33F59A" w:rsidR="00445B72" w:rsidRDefault="00445B72" w:rsidP="008E3877">
      <w:pPr>
        <w:pStyle w:val="FootnoteText"/>
      </w:pPr>
      <w:r>
        <w:rPr>
          <w:rStyle w:val="FootnoteReference"/>
        </w:rPr>
        <w:footnoteRef/>
      </w:r>
      <w:r>
        <w:t xml:space="preserve"> A fixed proportion of 30% of clinical trial funding was used to estimate trial coordination costs where these were not known, based on estimates provided by senior trial-coordinating centre staff.</w:t>
      </w:r>
    </w:p>
  </w:footnote>
  <w:footnote w:id="18">
    <w:p w14:paraId="3D1D1000" w14:textId="602F1E9D" w:rsidR="00445B72" w:rsidRPr="00A41A17" w:rsidRDefault="00445B72" w:rsidP="007A6725">
      <w:pPr>
        <w:pStyle w:val="FootnoteText"/>
        <w:rPr>
          <w:lang w:val="en-AU"/>
        </w:rPr>
      </w:pPr>
      <w:r w:rsidRPr="00A41A17">
        <w:rPr>
          <w:rStyle w:val="FootnoteReference"/>
        </w:rPr>
        <w:footnoteRef/>
      </w:r>
      <w:r w:rsidRPr="00A41A17">
        <w:rPr>
          <w:lang w:val="en-AU"/>
        </w:rPr>
        <w:t xml:space="preserve"> An alternate value of a year of life in perfect health can be estimated using a nation’s </w:t>
      </w:r>
      <w:r>
        <w:rPr>
          <w:lang w:val="en-AU"/>
        </w:rPr>
        <w:t>g</w:t>
      </w:r>
      <w:r w:rsidRPr="00A41A17">
        <w:rPr>
          <w:lang w:val="en-AU"/>
        </w:rPr>
        <w:t xml:space="preserve">ross </w:t>
      </w:r>
      <w:r>
        <w:rPr>
          <w:lang w:val="en-AU"/>
        </w:rPr>
        <w:t>d</w:t>
      </w:r>
      <w:r w:rsidRPr="00A41A17">
        <w:rPr>
          <w:lang w:val="en-AU"/>
        </w:rPr>
        <w:t xml:space="preserve">omestic </w:t>
      </w:r>
      <w:r>
        <w:rPr>
          <w:lang w:val="en-AU"/>
        </w:rPr>
        <w:t>p</w:t>
      </w:r>
      <w:r w:rsidRPr="00A41A17">
        <w:rPr>
          <w:lang w:val="en-AU"/>
        </w:rPr>
        <w:t>roduct (GDP) per capita. The 2014-</w:t>
      </w:r>
      <w:r>
        <w:rPr>
          <w:lang w:val="en-AU"/>
        </w:rPr>
        <w:t>201</w:t>
      </w:r>
      <w:r w:rsidRPr="00A41A17">
        <w:rPr>
          <w:lang w:val="en-AU"/>
        </w:rPr>
        <w:t>5 figure $83</w:t>
      </w:r>
      <w:r>
        <w:rPr>
          <w:lang w:val="en-AU"/>
        </w:rPr>
        <w:t>,</w:t>
      </w:r>
      <w:r w:rsidRPr="00A41A17">
        <w:rPr>
          <w:lang w:val="en-AU"/>
        </w:rPr>
        <w:t xml:space="preserve">000 was sourced from the World Bank. </w:t>
      </w:r>
    </w:p>
    <w:p w14:paraId="1EFBB7EE" w14:textId="77777777" w:rsidR="00445B72" w:rsidRPr="006B143A" w:rsidRDefault="00445B72" w:rsidP="007A6725">
      <w:pPr>
        <w:pStyle w:val="FootnoteText"/>
        <w:rPr>
          <w:lang w:val="en-AU"/>
        </w:rPr>
      </w:pPr>
    </w:p>
  </w:footnote>
  <w:footnote w:id="19">
    <w:p w14:paraId="0A32ACD5" w14:textId="6ED3496C" w:rsidR="00445B72" w:rsidRPr="00915516" w:rsidRDefault="00445B72" w:rsidP="00AC3BDA">
      <w:pPr>
        <w:pStyle w:val="FootnoteText"/>
        <w:rPr>
          <w:lang w:val="en-GB"/>
        </w:rPr>
      </w:pPr>
      <w:r w:rsidRPr="00B27994">
        <w:rPr>
          <w:rStyle w:val="FootnoteReference"/>
        </w:rPr>
        <w:footnoteRef/>
      </w:r>
      <w:r w:rsidRPr="00915516">
        <w:rPr>
          <w:lang w:val="en-GB"/>
        </w:rPr>
        <w:t xml:space="preserve"> Harrison M </w:t>
      </w:r>
      <w:r>
        <w:rPr>
          <w:lang w:val="en-GB"/>
        </w:rPr>
        <w:t>(</w:t>
      </w:r>
      <w:r w:rsidRPr="00915516">
        <w:rPr>
          <w:lang w:val="en-GB"/>
        </w:rPr>
        <w:t>2010</w:t>
      </w:r>
      <w:r>
        <w:rPr>
          <w:lang w:val="en-GB"/>
        </w:rPr>
        <w:t>).</w:t>
      </w:r>
      <w:r w:rsidRPr="00915516">
        <w:rPr>
          <w:lang w:val="en-GB"/>
        </w:rPr>
        <w:t xml:space="preserve"> </w:t>
      </w:r>
      <w:hyperlink r:id="rId14" w:history="1">
        <w:r w:rsidRPr="00915516">
          <w:rPr>
            <w:rStyle w:val="Hyperlink"/>
            <w:lang w:val="en-GB"/>
          </w:rPr>
          <w:t>Valuing the Future: the social discount rate in cost-benefit analysis, Visiting Researcher Paper, Productivity Commission</w:t>
        </w:r>
      </w:hyperlink>
      <w:r w:rsidRPr="00386F7E">
        <w:rPr>
          <w:lang w:val="en-GB"/>
        </w:rPr>
        <w:t>, Canberra</w:t>
      </w:r>
      <w:r>
        <w:rPr>
          <w:lang w:val="en-GB"/>
        </w:rPr>
        <w:t>.</w:t>
      </w:r>
      <w:r w:rsidRPr="00915516">
        <w:rPr>
          <w:lang w:val="en-GB"/>
        </w:rPr>
        <w:t xml:space="preserve"> </w:t>
      </w:r>
    </w:p>
  </w:footnote>
  <w:footnote w:id="20">
    <w:p w14:paraId="6DD46AF2" w14:textId="3DC0A95F" w:rsidR="00445B72" w:rsidRPr="00B76E4C" w:rsidRDefault="00445B72">
      <w:pPr>
        <w:pStyle w:val="FootnoteText"/>
      </w:pPr>
      <w:r>
        <w:rPr>
          <w:rStyle w:val="FootnoteReference"/>
        </w:rPr>
        <w:footnoteRef/>
      </w:r>
      <w:r>
        <w:t xml:space="preserve"> Australian Clinical Trials Alliance for the National Health and Medical Research Council (2015). </w:t>
      </w:r>
      <w:hyperlink r:id="rId15" w:history="1">
        <w:r w:rsidRPr="00BD6790">
          <w:rPr>
            <w:rStyle w:val="Hyperlink"/>
          </w:rPr>
          <w:t>Report on the Activities and Achievements of Clinical Trials Networks in Australia 2004-2014</w:t>
        </w:r>
      </w:hyperlink>
      <w:r>
        <w:t>. Melbourne.</w:t>
      </w:r>
    </w:p>
  </w:footnote>
  <w:footnote w:id="21">
    <w:p w14:paraId="524A07DB" w14:textId="4D857AF5" w:rsidR="00445B72" w:rsidRPr="00386F7E" w:rsidRDefault="00445B72" w:rsidP="00386F7E">
      <w:pPr>
        <w:pStyle w:val="FootnoteText"/>
        <w:rPr>
          <w:lang w:val="en-AU"/>
        </w:rPr>
      </w:pPr>
      <w:r w:rsidRPr="00B27994">
        <w:rPr>
          <w:rStyle w:val="FootnoteReference"/>
        </w:rPr>
        <w:footnoteRef/>
      </w:r>
      <w:r w:rsidRPr="00915516">
        <w:rPr>
          <w:lang w:val="en-AU"/>
        </w:rPr>
        <w:t xml:space="preserve"> </w:t>
      </w:r>
      <w:r>
        <w:rPr>
          <w:lang w:val="en-AU"/>
        </w:rPr>
        <w:t>Further results for individual trials results are presented in Supplementary Appendix B.</w:t>
      </w:r>
    </w:p>
  </w:footnote>
  <w:footnote w:id="22">
    <w:p w14:paraId="153F647C" w14:textId="2336F61D" w:rsidR="00445B72" w:rsidRPr="00472BE4" w:rsidRDefault="00445B72" w:rsidP="008A613E">
      <w:pPr>
        <w:pStyle w:val="FootnoteText"/>
      </w:pPr>
      <w:r w:rsidRPr="008A613E">
        <w:rPr>
          <w:rStyle w:val="FootnoteReference"/>
          <w:color w:val="000000" w:themeColor="text1"/>
        </w:rPr>
        <w:footnoteRef/>
      </w:r>
      <w:r w:rsidRPr="008A613E">
        <w:rPr>
          <w:color w:val="000000" w:themeColor="text1"/>
        </w:rPr>
        <w:t xml:space="preserve"> Sourced </w:t>
      </w:r>
      <w:r>
        <w:t xml:space="preserve">from the world bank converted to $AUD at the daily exchange rate rounded to the nearest thousand </w:t>
      </w:r>
      <w:hyperlink r:id="rId16" w:history="1">
        <w:r w:rsidRPr="001707A5">
          <w:rPr>
            <w:rStyle w:val="Hyperlink"/>
          </w:rPr>
          <w:t>http://data.worldbank.org/country/australia</w:t>
        </w:r>
      </w:hyperlink>
      <w:r>
        <w:t xml:space="preserve"> </w:t>
      </w:r>
    </w:p>
  </w:footnote>
  <w:footnote w:id="23">
    <w:p w14:paraId="7CE167F0" w14:textId="2399364E" w:rsidR="00445B72" w:rsidRPr="00472BE4" w:rsidRDefault="00445B72">
      <w:pPr>
        <w:pStyle w:val="FootnoteText"/>
        <w:rPr>
          <w:lang w:val="en-AU"/>
        </w:rPr>
      </w:pPr>
      <w:r>
        <w:rPr>
          <w:rStyle w:val="FootnoteReference"/>
        </w:rPr>
        <w:footnoteRef/>
      </w:r>
      <w:r>
        <w:t xml:space="preserve"> December 2014, Best Practice Regulation Guidance Note Value of statistical life </w:t>
      </w:r>
      <w:hyperlink r:id="rId17" w:history="1">
        <w:r w:rsidRPr="001707A5">
          <w:rPr>
            <w:rStyle w:val="Hyperlink"/>
          </w:rPr>
          <w:t>https://www.dpmc.gov.au/sites/default/files/publications/Value_of_Statistical_Life_guidance_note.pdf</w:t>
        </w:r>
      </w:hyperlink>
      <w:r>
        <w:t xml:space="preserve"> </w:t>
      </w:r>
    </w:p>
  </w:footnote>
  <w:footnote w:id="24">
    <w:p w14:paraId="6E0266EC" w14:textId="3934E826" w:rsidR="00445B72" w:rsidRPr="00915516" w:rsidRDefault="00445B72">
      <w:pPr>
        <w:pStyle w:val="FootnoteText"/>
        <w:rPr>
          <w:lang w:val="it-IT"/>
        </w:rPr>
      </w:pPr>
      <w:r w:rsidRPr="00915516">
        <w:rPr>
          <w:rStyle w:val="FootnoteReference"/>
        </w:rPr>
        <w:footnoteRef/>
      </w:r>
      <w:r w:rsidRPr="00915516">
        <w:rPr>
          <w:rStyle w:val="FootnoteReference"/>
          <w:lang w:val="en-AU"/>
        </w:rPr>
        <w:t xml:space="preserve"> </w:t>
      </w:r>
      <w:r w:rsidRPr="00386F7E">
        <w:t>Guthrie</w:t>
      </w:r>
      <w:r>
        <w:t xml:space="preserve"> S</w:t>
      </w:r>
      <w:r w:rsidRPr="002A2275">
        <w:t>, Hafner</w:t>
      </w:r>
      <w:r>
        <w:t xml:space="preserve"> M</w:t>
      </w:r>
      <w:r w:rsidRPr="002A2275">
        <w:t xml:space="preserve">, Bienkowska-Gibbs </w:t>
      </w:r>
      <w:r>
        <w:t xml:space="preserve">T &amp; </w:t>
      </w:r>
      <w:r w:rsidRPr="002A2275">
        <w:t>Wooding</w:t>
      </w:r>
      <w:r>
        <w:t xml:space="preserve"> S (2015)</w:t>
      </w:r>
      <w:r w:rsidRPr="002A2275">
        <w:t xml:space="preserve">. Returns on research funded under the NIHR Health Technology Assessment (HTA) Programme: Economic analysis and case studies. </w:t>
      </w:r>
      <w:r w:rsidRPr="00046FCD">
        <w:rPr>
          <w:lang w:val="it-IT"/>
        </w:rPr>
        <w:t xml:space="preserve">Santa Monica, CA: RAND Corporation. </w:t>
      </w:r>
      <w:hyperlink r:id="rId18" w:history="1">
        <w:r w:rsidRPr="00046FCD">
          <w:rPr>
            <w:rStyle w:val="Hyperlink"/>
            <w:lang w:val="it-IT"/>
          </w:rPr>
          <w:t>http://www.rand.org/pubs/research_reports/RR666.html</w:t>
        </w:r>
      </w:hyperlink>
    </w:p>
  </w:footnote>
  <w:footnote w:id="25">
    <w:p w14:paraId="73252AAD" w14:textId="161476D5" w:rsidR="00445B72" w:rsidRPr="00352327" w:rsidRDefault="00445B72">
      <w:pPr>
        <w:pStyle w:val="FootnoteText"/>
        <w:rPr>
          <w:lang w:val="en-GB"/>
        </w:rPr>
      </w:pPr>
      <w:r w:rsidRPr="00352327">
        <w:rPr>
          <w:rStyle w:val="FootnoteReference"/>
        </w:rPr>
        <w:footnoteRef/>
      </w:r>
      <w:r w:rsidRPr="00352327">
        <w:rPr>
          <w:lang w:val="en-GB"/>
        </w:rPr>
        <w:t xml:space="preserve"> Dawson et al</w:t>
      </w:r>
      <w:r>
        <w:rPr>
          <w:lang w:val="en-GB"/>
        </w:rPr>
        <w:t>.</w:t>
      </w:r>
      <w:r w:rsidRPr="00352327">
        <w:rPr>
          <w:lang w:val="en-GB"/>
        </w:rPr>
        <w:t xml:space="preserve"> (2016)</w:t>
      </w:r>
      <w:r>
        <w:rPr>
          <w:lang w:val="en-GB"/>
        </w:rPr>
        <w:t>.</w:t>
      </w:r>
      <w:r w:rsidRPr="00352327">
        <w:rPr>
          <w:lang w:val="en-GB"/>
        </w:rPr>
        <w:t xml:space="preserve"> Implementing caseload midwifery: Exploring the views of maternity managers in Australia - A national cross-sectional survey. Women Birth;</w:t>
      </w:r>
      <w:r>
        <w:rPr>
          <w:lang w:val="en-GB"/>
        </w:rPr>
        <w:t xml:space="preserve"> </w:t>
      </w:r>
      <w:r w:rsidRPr="00352327">
        <w:rPr>
          <w:lang w:val="en-GB"/>
        </w:rPr>
        <w:t>29(3):214-22.</w:t>
      </w:r>
      <w:r w:rsidRPr="00352327" w:rsidDel="00407D82">
        <w:rPr>
          <w:lang w:val="en-GB"/>
        </w:rPr>
        <w:t xml:space="preserve"> </w:t>
      </w:r>
      <w:r w:rsidRPr="00352327">
        <w:rPr>
          <w:lang w:val="en-GB"/>
        </w:rPr>
        <w:t xml:space="preserve"> </w:t>
      </w:r>
    </w:p>
  </w:footnote>
  <w:footnote w:id="26">
    <w:p w14:paraId="7B90D066" w14:textId="2FD75E1E" w:rsidR="00445B72" w:rsidRPr="00D750C7" w:rsidRDefault="00445B72" w:rsidP="0080616D">
      <w:pPr>
        <w:pStyle w:val="FootnoteText"/>
        <w:rPr>
          <w:lang w:val="en-AU"/>
        </w:rPr>
      </w:pPr>
      <w:r w:rsidRPr="00D750C7">
        <w:rPr>
          <w:rStyle w:val="FootnoteReference"/>
        </w:rPr>
        <w:footnoteRef/>
      </w:r>
      <w:r w:rsidRPr="00915516">
        <w:rPr>
          <w:lang w:val="en-GB"/>
        </w:rPr>
        <w:t xml:space="preserve"> Johnston </w:t>
      </w:r>
      <w:r>
        <w:rPr>
          <w:lang w:val="en-GB"/>
        </w:rPr>
        <w:t>S</w:t>
      </w:r>
      <w:r w:rsidRPr="00915516">
        <w:rPr>
          <w:lang w:val="en-GB"/>
        </w:rPr>
        <w:t xml:space="preserve">C et al. </w:t>
      </w:r>
      <w:r w:rsidRPr="00D750C7">
        <w:rPr>
          <w:lang w:val="en-AU"/>
        </w:rPr>
        <w:t>(2006)</w:t>
      </w:r>
      <w:r>
        <w:rPr>
          <w:lang w:val="en-AU"/>
        </w:rPr>
        <w:t>.</w:t>
      </w:r>
      <w:r w:rsidRPr="00D750C7">
        <w:rPr>
          <w:lang w:val="en-AU"/>
        </w:rPr>
        <w:t xml:space="preserve"> Effect of a US National Institutes of Health program of clinical trials on public health and costs.</w:t>
      </w:r>
      <w:r>
        <w:rPr>
          <w:lang w:val="en-AU"/>
        </w:rPr>
        <w:t xml:space="preserve"> </w:t>
      </w:r>
      <w:r w:rsidRPr="00D750C7">
        <w:rPr>
          <w:lang w:val="en-AU"/>
        </w:rPr>
        <w:t>Lancet 2006 367: 1319-27</w:t>
      </w:r>
      <w:r>
        <w:rPr>
          <w:lang w:val="en-AU"/>
        </w:rPr>
        <w:t>.</w:t>
      </w:r>
    </w:p>
  </w:footnote>
  <w:footnote w:id="27">
    <w:p w14:paraId="7D97E16C" w14:textId="54AFFAE0" w:rsidR="00445B72" w:rsidRPr="00915516" w:rsidRDefault="00445B72" w:rsidP="0080616D">
      <w:pPr>
        <w:pStyle w:val="FootnoteText"/>
        <w:rPr>
          <w:lang w:val="it-IT"/>
        </w:rPr>
      </w:pPr>
      <w:r w:rsidRPr="00D750C7">
        <w:rPr>
          <w:rStyle w:val="FootnoteReference"/>
        </w:rPr>
        <w:footnoteRef/>
      </w:r>
      <w:r w:rsidRPr="00D750C7">
        <w:t xml:space="preserve"> </w:t>
      </w:r>
      <w:r w:rsidRPr="002A2275">
        <w:t>Guthrie</w:t>
      </w:r>
      <w:r w:rsidR="000074DA">
        <w:t xml:space="preserve"> S</w:t>
      </w:r>
      <w:r w:rsidRPr="002A2275">
        <w:t>,  Hafner</w:t>
      </w:r>
      <w:r w:rsidR="000074DA">
        <w:t xml:space="preserve"> M</w:t>
      </w:r>
      <w:r w:rsidRPr="002A2275">
        <w:t xml:space="preserve">, Bienkowska-Gibbs </w:t>
      </w:r>
      <w:r w:rsidR="000074DA">
        <w:t xml:space="preserve">T &amp; </w:t>
      </w:r>
      <w:r w:rsidRPr="002A2275">
        <w:t>Wooding</w:t>
      </w:r>
      <w:r w:rsidR="000074DA">
        <w:t xml:space="preserve"> S (2015)</w:t>
      </w:r>
      <w:r w:rsidRPr="002A2275">
        <w:t xml:space="preserve">. Returns on research funded under the NIHR Health Technology Assessment (HTA) Programme: Economic analysis and case studies. </w:t>
      </w:r>
      <w:r w:rsidRPr="00915516">
        <w:rPr>
          <w:lang w:val="it-IT"/>
        </w:rPr>
        <w:t>Santa Monica, CA: RAND Corporation</w:t>
      </w:r>
      <w:r w:rsidR="000074DA">
        <w:rPr>
          <w:lang w:val="it-IT"/>
        </w:rPr>
        <w:t xml:space="preserve">. </w:t>
      </w:r>
      <w:hyperlink r:id="rId19" w:history="1">
        <w:r w:rsidRPr="00915516">
          <w:rPr>
            <w:rStyle w:val="Hyperlink"/>
            <w:lang w:val="it-IT"/>
          </w:rPr>
          <w:t>http://www.rand.org/p</w:t>
        </w:r>
        <w:r w:rsidRPr="00386F7E">
          <w:rPr>
            <w:rStyle w:val="Hyperlink"/>
            <w:lang w:val="it-IT"/>
          </w:rPr>
          <w:t>ubs/research_reports/RR666.html</w:t>
        </w:r>
      </w:hyperlink>
    </w:p>
  </w:footnote>
  <w:footnote w:id="28">
    <w:p w14:paraId="1D7C7515" w14:textId="1B778D16" w:rsidR="00445B72" w:rsidRPr="00915516" w:rsidRDefault="00445B72">
      <w:pPr>
        <w:pStyle w:val="FootnoteText"/>
        <w:rPr>
          <w:lang w:val="en-AU"/>
        </w:rPr>
      </w:pPr>
      <w:r w:rsidRPr="003A011A">
        <w:rPr>
          <w:rStyle w:val="FootnoteReference"/>
        </w:rPr>
        <w:footnoteRef/>
      </w:r>
      <w:r w:rsidRPr="003A011A">
        <w:t xml:space="preserve"> </w:t>
      </w:r>
      <w:r w:rsidRPr="00915516">
        <w:rPr>
          <w:szCs w:val="18"/>
          <w:lang w:val="en-GB"/>
        </w:rPr>
        <w:t>Kaukonen et al. (2013). Glycaemic control in Australia and New Zealand before and after the NICE-SUGAR trial: a translational study. Critical Care 17:R215.</w:t>
      </w:r>
    </w:p>
  </w:footnote>
  <w:footnote w:id="29">
    <w:p w14:paraId="3FE9E5FC" w14:textId="666A1AF4" w:rsidR="00445B72" w:rsidRPr="00915516" w:rsidRDefault="00445B72">
      <w:pPr>
        <w:pStyle w:val="FootnoteText"/>
        <w:rPr>
          <w:lang w:val="en-AU"/>
        </w:rPr>
      </w:pPr>
      <w:r>
        <w:rPr>
          <w:rStyle w:val="FootnoteReference"/>
        </w:rPr>
        <w:footnoteRef/>
      </w:r>
      <w:r>
        <w:t xml:space="preserve"> </w:t>
      </w:r>
      <w:r>
        <w:rPr>
          <w:lang w:val="en-AU"/>
        </w:rPr>
        <w:t>Based on interviews with investigators.</w:t>
      </w:r>
    </w:p>
  </w:footnote>
  <w:footnote w:id="30">
    <w:p w14:paraId="1CD6B5BA" w14:textId="77F00242" w:rsidR="00445B72" w:rsidRPr="003A12A2" w:rsidRDefault="00445B72" w:rsidP="00AB7B28">
      <w:pPr>
        <w:pStyle w:val="FootnoteText"/>
        <w:rPr>
          <w:szCs w:val="18"/>
        </w:rPr>
      </w:pPr>
      <w:r w:rsidRPr="003A12A2">
        <w:rPr>
          <w:rStyle w:val="FootnoteReference"/>
          <w:szCs w:val="18"/>
        </w:rPr>
        <w:footnoteRef/>
      </w:r>
      <w:r w:rsidRPr="003A12A2">
        <w:rPr>
          <w:szCs w:val="18"/>
        </w:rPr>
        <w:t xml:space="preserve"> Direct correspondence with Network Stakeholders, including Fiona Ellery.</w:t>
      </w:r>
    </w:p>
  </w:footnote>
  <w:footnote w:id="31">
    <w:p w14:paraId="740662F4" w14:textId="3740AFB4" w:rsidR="00445B72" w:rsidRPr="003A12A2" w:rsidRDefault="00445B72" w:rsidP="00744B29">
      <w:pPr>
        <w:pStyle w:val="FootnoteText"/>
        <w:rPr>
          <w:szCs w:val="18"/>
        </w:rPr>
      </w:pPr>
      <w:r w:rsidRPr="003A12A2">
        <w:rPr>
          <w:rStyle w:val="FootnoteReference"/>
          <w:szCs w:val="18"/>
        </w:rPr>
        <w:footnoteRef/>
      </w:r>
      <w:r w:rsidRPr="003A12A2">
        <w:rPr>
          <w:szCs w:val="18"/>
        </w:rPr>
        <w:t xml:space="preserve"> Based on 57% of </w:t>
      </w:r>
      <w:r>
        <w:rPr>
          <w:szCs w:val="18"/>
        </w:rPr>
        <w:t>late-phase</w:t>
      </w:r>
      <w:r w:rsidRPr="003A12A2">
        <w:rPr>
          <w:szCs w:val="18"/>
        </w:rPr>
        <w:t xml:space="preserve"> trials funding amounts being known (the remaining third is estimated based on average participant costs in the known group) **Servier (pharmaceutical industry) contributed significant unrestricted funding to the PROGRESS trial. If unrestricted commercial funding to the CHEST (ANZICS) and PROGRESS trials is included, consolidated </w:t>
      </w:r>
      <w:r>
        <w:rPr>
          <w:szCs w:val="18"/>
        </w:rPr>
        <w:t>b</w:t>
      </w:r>
      <w:r w:rsidRPr="003A12A2">
        <w:rPr>
          <w:szCs w:val="18"/>
        </w:rPr>
        <w:t>enefit</w:t>
      </w:r>
      <w:r>
        <w:rPr>
          <w:szCs w:val="18"/>
        </w:rPr>
        <w:t>-</w:t>
      </w:r>
      <w:r w:rsidRPr="003A12A2">
        <w:rPr>
          <w:szCs w:val="18"/>
        </w:rPr>
        <w:t>to</w:t>
      </w:r>
      <w:r>
        <w:rPr>
          <w:szCs w:val="18"/>
        </w:rPr>
        <w:t>-c</w:t>
      </w:r>
      <w:r w:rsidRPr="003A12A2">
        <w:rPr>
          <w:szCs w:val="18"/>
        </w:rPr>
        <w:t>ost ratio is 4.6</w:t>
      </w:r>
      <w:r>
        <w:rPr>
          <w:szCs w:val="18"/>
        </w:rPr>
        <w:t>:1.</w:t>
      </w:r>
      <w:r w:rsidRPr="003A12A2">
        <w:rPr>
          <w:szCs w:val="18"/>
        </w:rPr>
        <w:t xml:space="preserve"> </w:t>
      </w:r>
    </w:p>
  </w:footnote>
  <w:footnote w:id="32">
    <w:p w14:paraId="340F284C" w14:textId="77777777" w:rsidR="00445B72" w:rsidRDefault="00445B72" w:rsidP="00AB7B28">
      <w:pPr>
        <w:pStyle w:val="FootnoteText"/>
      </w:pPr>
      <w:r w:rsidRPr="003A12A2">
        <w:rPr>
          <w:rStyle w:val="FootnoteReference"/>
          <w:szCs w:val="18"/>
        </w:rPr>
        <w:footnoteRef/>
      </w:r>
      <w:r w:rsidRPr="003A12A2">
        <w:rPr>
          <w:szCs w:val="18"/>
        </w:rPr>
        <w:t xml:space="preserve"> Including early phase trials, pilot and feasibility trials and observation studies.</w:t>
      </w:r>
    </w:p>
  </w:footnote>
  <w:footnote w:id="33">
    <w:p w14:paraId="4FBEAB14" w14:textId="4F103989" w:rsidR="00445B72" w:rsidRPr="003A12A2" w:rsidRDefault="00445B72" w:rsidP="00AF6EB9">
      <w:pPr>
        <w:pStyle w:val="FootnoteText"/>
        <w:rPr>
          <w:szCs w:val="18"/>
        </w:rPr>
      </w:pPr>
      <w:r w:rsidRPr="003A12A2">
        <w:rPr>
          <w:rStyle w:val="FootnoteReference"/>
          <w:szCs w:val="18"/>
        </w:rPr>
        <w:footnoteRef/>
      </w:r>
      <w:r w:rsidRPr="003A12A2">
        <w:rPr>
          <w:szCs w:val="18"/>
        </w:rPr>
        <w:t xml:space="preserve"> Direct correspondence with Prof</w:t>
      </w:r>
      <w:r>
        <w:rPr>
          <w:szCs w:val="18"/>
        </w:rPr>
        <w:t>essor</w:t>
      </w:r>
      <w:r w:rsidRPr="003A12A2">
        <w:rPr>
          <w:szCs w:val="18"/>
        </w:rPr>
        <w:t xml:space="preserve"> Helen McLachlan.</w:t>
      </w:r>
    </w:p>
  </w:footnote>
  <w:footnote w:id="34">
    <w:p w14:paraId="722F780E" w14:textId="1E680077" w:rsidR="00445B72" w:rsidRPr="003A12A2" w:rsidRDefault="00445B72" w:rsidP="00AB7B28">
      <w:pPr>
        <w:pStyle w:val="FootnoteText"/>
        <w:rPr>
          <w:szCs w:val="18"/>
        </w:rPr>
      </w:pPr>
      <w:r w:rsidRPr="003A12A2">
        <w:rPr>
          <w:rStyle w:val="FootnoteReference"/>
          <w:szCs w:val="18"/>
        </w:rPr>
        <w:footnoteRef/>
      </w:r>
      <w:r w:rsidRPr="003A12A2">
        <w:rPr>
          <w:szCs w:val="18"/>
        </w:rPr>
        <w:t xml:space="preserve"> Direct correspondence with Prof</w:t>
      </w:r>
      <w:r>
        <w:rPr>
          <w:szCs w:val="18"/>
        </w:rPr>
        <w:t>essor</w:t>
      </w:r>
      <w:r w:rsidRPr="003A12A2">
        <w:rPr>
          <w:szCs w:val="18"/>
        </w:rPr>
        <w:t xml:space="preserve"> Vicki Flenady and Dr Katie Groom.</w:t>
      </w:r>
    </w:p>
  </w:footnote>
  <w:footnote w:id="35">
    <w:p w14:paraId="221D94D1" w14:textId="16E697D8" w:rsidR="00445B72" w:rsidRDefault="00445B72" w:rsidP="00AB7B28">
      <w:pPr>
        <w:pStyle w:val="FootnoteText"/>
      </w:pPr>
      <w:r w:rsidRPr="003A12A2">
        <w:rPr>
          <w:rStyle w:val="FootnoteReference"/>
          <w:szCs w:val="18"/>
        </w:rPr>
        <w:footnoteRef/>
      </w:r>
      <w:r w:rsidRPr="003A12A2">
        <w:rPr>
          <w:szCs w:val="18"/>
        </w:rPr>
        <w:t xml:space="preserve"> Direct correspondence with Prof</w:t>
      </w:r>
      <w:r>
        <w:rPr>
          <w:szCs w:val="18"/>
        </w:rPr>
        <w:t>essor</w:t>
      </w:r>
      <w:r w:rsidRPr="003A12A2">
        <w:rPr>
          <w:szCs w:val="18"/>
        </w:rPr>
        <w:t xml:space="preserve"> Caroline Crowther.</w:t>
      </w:r>
    </w:p>
  </w:footnote>
  <w:footnote w:id="36">
    <w:p w14:paraId="63E2E6C6" w14:textId="08817661" w:rsidR="00445B72" w:rsidRPr="003A12A2" w:rsidRDefault="00445B72" w:rsidP="00AB7B28">
      <w:pPr>
        <w:rPr>
          <w:sz w:val="18"/>
          <w:szCs w:val="18"/>
        </w:rPr>
      </w:pPr>
      <w:r w:rsidRPr="003A12A2">
        <w:rPr>
          <w:rStyle w:val="FootnoteReference"/>
          <w:sz w:val="18"/>
          <w:szCs w:val="18"/>
        </w:rPr>
        <w:footnoteRef/>
      </w:r>
      <w:r w:rsidRPr="003A12A2">
        <w:rPr>
          <w:sz w:val="18"/>
          <w:szCs w:val="18"/>
        </w:rPr>
        <w:t xml:space="preserve"> Based on 31% of </w:t>
      </w:r>
      <w:r>
        <w:rPr>
          <w:sz w:val="18"/>
          <w:szCs w:val="18"/>
        </w:rPr>
        <w:t>late-phase</w:t>
      </w:r>
      <w:r w:rsidRPr="003A12A2">
        <w:rPr>
          <w:sz w:val="18"/>
          <w:szCs w:val="18"/>
        </w:rPr>
        <w:t xml:space="preserve"> trials funding amounts being known (the remaining two thirds are estimated based on average participant costs in the known group). If unrestricted commercial funding to the CHEST (ANZICS) and PROGRESS (ASTN) trials is included consolidated Benefit to Cost ratio is 4.6</w:t>
      </w:r>
      <w:r>
        <w:rPr>
          <w:sz w:val="18"/>
          <w:szCs w:val="18"/>
        </w:rPr>
        <w:t>:1</w:t>
      </w:r>
      <w:r w:rsidR="007B3054">
        <w:rPr>
          <w:sz w:val="18"/>
          <w:szCs w:val="18"/>
        </w:rPr>
        <w:t>.</w:t>
      </w:r>
      <w:r w:rsidRPr="003A12A2">
        <w:rPr>
          <w:sz w:val="18"/>
          <w:szCs w:val="18"/>
        </w:rPr>
        <w:t xml:space="preserve"> </w:t>
      </w:r>
    </w:p>
    <w:p w14:paraId="12BC1366" w14:textId="77777777" w:rsidR="00445B72" w:rsidRDefault="00445B72" w:rsidP="00AB7B28">
      <w:pPr>
        <w:pStyle w:val="FootnoteText"/>
      </w:pPr>
    </w:p>
  </w:footnote>
  <w:footnote w:id="37">
    <w:p w14:paraId="5440DEE2" w14:textId="77777777" w:rsidR="00445B72" w:rsidRPr="003A12A2" w:rsidRDefault="00445B72" w:rsidP="00AB7B28">
      <w:pPr>
        <w:pStyle w:val="FootnoteText"/>
        <w:rPr>
          <w:szCs w:val="18"/>
        </w:rPr>
      </w:pPr>
      <w:r w:rsidRPr="003A12A2">
        <w:rPr>
          <w:rStyle w:val="FootnoteReference"/>
          <w:szCs w:val="18"/>
        </w:rPr>
        <w:footnoteRef/>
      </w:r>
      <w:r w:rsidRPr="003A12A2">
        <w:rPr>
          <w:szCs w:val="18"/>
        </w:rPr>
        <w:t xml:space="preserve"> Including early phase trials, pilot and feasibility trials and observation studies.</w:t>
      </w:r>
    </w:p>
  </w:footnote>
  <w:footnote w:id="38">
    <w:p w14:paraId="0F2C0ABA" w14:textId="4D9392DD" w:rsidR="00445B72" w:rsidRPr="003A12A2" w:rsidRDefault="00445B72" w:rsidP="00D00ADB">
      <w:pPr>
        <w:pStyle w:val="FootnoteText"/>
        <w:rPr>
          <w:szCs w:val="18"/>
          <w:lang w:val="en-GB"/>
        </w:rPr>
      </w:pPr>
      <w:r w:rsidRPr="003A12A2">
        <w:rPr>
          <w:rStyle w:val="FootnoteReference"/>
          <w:szCs w:val="18"/>
        </w:rPr>
        <w:footnoteRef/>
      </w:r>
      <w:r w:rsidRPr="003A12A2">
        <w:rPr>
          <w:szCs w:val="18"/>
          <w:lang w:val="en-GB"/>
        </w:rPr>
        <w:t xml:space="preserve"> Dawson et al</w:t>
      </w:r>
      <w:r>
        <w:rPr>
          <w:szCs w:val="18"/>
          <w:lang w:val="en-GB"/>
        </w:rPr>
        <w:t>.</w:t>
      </w:r>
      <w:r w:rsidRPr="003A12A2">
        <w:rPr>
          <w:szCs w:val="18"/>
          <w:lang w:val="en-GB"/>
        </w:rPr>
        <w:t xml:space="preserve"> (2016)</w:t>
      </w:r>
      <w:r w:rsidR="000074DA">
        <w:rPr>
          <w:szCs w:val="18"/>
          <w:lang w:val="en-GB"/>
        </w:rPr>
        <w:t>.</w:t>
      </w:r>
      <w:r w:rsidRPr="003A12A2">
        <w:rPr>
          <w:szCs w:val="18"/>
          <w:lang w:val="en-GB"/>
        </w:rPr>
        <w:t xml:space="preserve"> Implementing caseload midwifery: Exploring the views of maternity managers in Australia - A national cross-sectional survey. Women Birth; 2E(3):214-22.</w:t>
      </w:r>
      <w:r w:rsidRPr="003A12A2" w:rsidDel="00407D82">
        <w:rPr>
          <w:szCs w:val="18"/>
          <w:lang w:val="en-GB"/>
        </w:rPr>
        <w:t xml:space="preserve"> </w:t>
      </w:r>
      <w:r w:rsidRPr="003A12A2">
        <w:rPr>
          <w:szCs w:val="18"/>
          <w:lang w:val="en-GB"/>
        </w:rPr>
        <w:t xml:space="preserve"> </w:t>
      </w:r>
    </w:p>
  </w:footnote>
  <w:footnote w:id="39">
    <w:p w14:paraId="007EF13D" w14:textId="77777777" w:rsidR="00445B72" w:rsidRPr="003A12A2" w:rsidRDefault="00445B72" w:rsidP="00D62BA8">
      <w:pPr>
        <w:pStyle w:val="FootnoteText"/>
        <w:rPr>
          <w:szCs w:val="18"/>
        </w:rPr>
      </w:pPr>
      <w:r w:rsidRPr="003A12A2">
        <w:rPr>
          <w:rStyle w:val="FootnoteReference"/>
          <w:szCs w:val="18"/>
        </w:rPr>
        <w:footnoteRef/>
      </w:r>
      <w:r w:rsidRPr="003A12A2">
        <w:rPr>
          <w:szCs w:val="18"/>
        </w:rPr>
        <w:t xml:space="preserve"> Australian and New Zealand Intensive Care Society (ANZICS).</w:t>
      </w:r>
    </w:p>
  </w:footnote>
  <w:footnote w:id="40">
    <w:p w14:paraId="20F9635D" w14:textId="77777777" w:rsidR="00445B72" w:rsidRDefault="00445B72" w:rsidP="00D62BA8">
      <w:pPr>
        <w:pStyle w:val="FootnoteText"/>
      </w:pPr>
      <w:r w:rsidRPr="003A12A2">
        <w:rPr>
          <w:rStyle w:val="FootnoteReference"/>
          <w:szCs w:val="18"/>
        </w:rPr>
        <w:footnoteRef/>
      </w:r>
      <w:r w:rsidRPr="003A12A2">
        <w:rPr>
          <w:szCs w:val="18"/>
        </w:rPr>
        <w:t xml:space="preserve"> </w:t>
      </w:r>
      <w:hyperlink r:id="rId20" w:history="1">
        <w:r w:rsidRPr="003A12A2">
          <w:rPr>
            <w:rStyle w:val="Hyperlink"/>
            <w:szCs w:val="18"/>
          </w:rPr>
          <w:t>http://www.anzics.com.au/pages/CTG/about.aspx</w:t>
        </w:r>
      </w:hyperlink>
      <w:r>
        <w:rPr>
          <w:sz w:val="20"/>
        </w:rPr>
        <w:t xml:space="preserve"> </w:t>
      </w:r>
    </w:p>
  </w:footnote>
  <w:footnote w:id="41">
    <w:p w14:paraId="49D080AF" w14:textId="77777777" w:rsidR="00445B72" w:rsidRPr="003A12A2" w:rsidRDefault="00445B72" w:rsidP="00AB7B28">
      <w:pPr>
        <w:pStyle w:val="FootnoteText"/>
        <w:rPr>
          <w:szCs w:val="18"/>
        </w:rPr>
      </w:pPr>
      <w:r w:rsidRPr="003A12A2">
        <w:rPr>
          <w:rStyle w:val="FootnoteReference"/>
          <w:szCs w:val="18"/>
        </w:rPr>
        <w:footnoteRef/>
      </w:r>
      <w:r w:rsidRPr="003A12A2">
        <w:rPr>
          <w:szCs w:val="18"/>
        </w:rPr>
        <w:t xml:space="preserve"> Direct correspondence with Donna Goldsmith and other network stakeholders.</w:t>
      </w:r>
    </w:p>
  </w:footnote>
  <w:footnote w:id="42">
    <w:p w14:paraId="5EE59FDA" w14:textId="4C9C847B" w:rsidR="00445B72" w:rsidRPr="003A12A2" w:rsidRDefault="00445B72" w:rsidP="00AB7B28">
      <w:pPr>
        <w:pStyle w:val="FootnoteText"/>
        <w:rPr>
          <w:szCs w:val="18"/>
        </w:rPr>
      </w:pPr>
      <w:r w:rsidRPr="003A12A2">
        <w:rPr>
          <w:rStyle w:val="FootnoteReference"/>
          <w:szCs w:val="18"/>
        </w:rPr>
        <w:footnoteRef/>
      </w:r>
      <w:r w:rsidRPr="003A12A2">
        <w:rPr>
          <w:szCs w:val="18"/>
        </w:rPr>
        <w:t xml:space="preserve"> Direct correspondence with Lynette Murray.</w:t>
      </w:r>
    </w:p>
  </w:footnote>
  <w:footnote w:id="43">
    <w:p w14:paraId="65A936F3" w14:textId="134C6B99" w:rsidR="00445B72" w:rsidRPr="003A12A2" w:rsidRDefault="00445B72" w:rsidP="008F3D8A">
      <w:pPr>
        <w:rPr>
          <w:sz w:val="18"/>
          <w:szCs w:val="18"/>
        </w:rPr>
      </w:pPr>
      <w:r w:rsidRPr="003A12A2">
        <w:rPr>
          <w:rStyle w:val="FootnoteReference"/>
          <w:sz w:val="18"/>
          <w:szCs w:val="18"/>
        </w:rPr>
        <w:footnoteRef/>
      </w:r>
      <w:r w:rsidRPr="003A12A2">
        <w:rPr>
          <w:sz w:val="18"/>
          <w:szCs w:val="18"/>
        </w:rPr>
        <w:t xml:space="preserve"> Based on 77% of </w:t>
      </w:r>
      <w:r>
        <w:rPr>
          <w:sz w:val="18"/>
          <w:szCs w:val="18"/>
        </w:rPr>
        <w:t>late-phase</w:t>
      </w:r>
      <w:r w:rsidRPr="003A12A2">
        <w:rPr>
          <w:sz w:val="18"/>
          <w:szCs w:val="18"/>
        </w:rPr>
        <w:t xml:space="preserve"> trials funding amounts being known (the remaining third is estimated based on average participant costs in the known group) **Fresenius Kabi (pharmaceutical industry) contributed significant unrestricted funding to the CHEST trial. If unrestricted commercial funding to the CHEST and PROGRESS (ASTN) trials is included consolidated Benefit to Cost ratio is 4.6</w:t>
      </w:r>
      <w:r>
        <w:rPr>
          <w:sz w:val="18"/>
          <w:szCs w:val="18"/>
        </w:rPr>
        <w:t>:1</w:t>
      </w:r>
      <w:r w:rsidRPr="003A12A2">
        <w:rPr>
          <w:sz w:val="18"/>
          <w:szCs w:val="18"/>
        </w:rPr>
        <w:t xml:space="preserve"> </w:t>
      </w:r>
    </w:p>
  </w:footnote>
  <w:footnote w:id="44">
    <w:p w14:paraId="27ADEE55" w14:textId="77777777" w:rsidR="00445B72" w:rsidRPr="003A12A2" w:rsidRDefault="00445B72" w:rsidP="00AB7B28">
      <w:pPr>
        <w:pStyle w:val="FootnoteText"/>
        <w:rPr>
          <w:szCs w:val="18"/>
        </w:rPr>
      </w:pPr>
      <w:r w:rsidRPr="003A12A2">
        <w:rPr>
          <w:rStyle w:val="FootnoteReference"/>
          <w:szCs w:val="18"/>
        </w:rPr>
        <w:footnoteRef/>
      </w:r>
      <w:r w:rsidRPr="003A12A2">
        <w:rPr>
          <w:szCs w:val="18"/>
        </w:rPr>
        <w:t xml:space="preserve"> Including early phase trials, pilot and feasibility trials and observation studies.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CBF8D" w14:textId="7C122864" w:rsidR="00F112DA" w:rsidRPr="00F112DA" w:rsidRDefault="00F112DA" w:rsidP="00F112D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5CA97" w14:textId="77777777" w:rsidR="00445B72" w:rsidRDefault="00445B72" w:rsidP="00011DC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F3F61E" w14:textId="77777777" w:rsidR="00445B72" w:rsidRDefault="00445B72" w:rsidP="00915516">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A64E4" w14:textId="235D8AC5" w:rsidR="00445B72" w:rsidRPr="00D64194" w:rsidRDefault="00445B72" w:rsidP="00392788">
    <w:pPr>
      <w:pStyle w:val="Header"/>
      <w:ind w:right="360"/>
      <w:rPr>
        <w:rFonts w:asciiTheme="minorBidi" w:hAnsiTheme="minorBidi"/>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BDB7C" w14:textId="05408C90" w:rsidR="00445B72" w:rsidRDefault="00445B72" w:rsidP="00F074A5">
    <w:pPr>
      <w:pStyle w:val="Header"/>
      <w:ind w:right="360"/>
      <w:jc w:val="right"/>
      <w:rPr>
        <w:rFonts w:asciiTheme="minorBidi" w:hAnsiTheme="minorBid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7328AB2"/>
    <w:lvl w:ilvl="0">
      <w:start w:val="1"/>
      <w:numFmt w:val="decimal"/>
      <w:pStyle w:val="ListNumber3"/>
      <w:lvlText w:val="%1."/>
      <w:lvlJc w:val="left"/>
      <w:pPr>
        <w:tabs>
          <w:tab w:val="num" w:pos="926"/>
        </w:tabs>
        <w:ind w:left="926" w:hanging="360"/>
      </w:pPr>
      <w:rPr>
        <w:b w:val="0"/>
        <w:color w:val="auto"/>
        <w:sz w:val="24"/>
        <w:szCs w:val="24"/>
      </w:rPr>
    </w:lvl>
  </w:abstractNum>
  <w:abstractNum w:abstractNumId="1">
    <w:nsid w:val="FFFFFF7F"/>
    <w:multiLevelType w:val="singleLevel"/>
    <w:tmpl w:val="E4A8B5A6"/>
    <w:lvl w:ilvl="0">
      <w:start w:val="1"/>
      <w:numFmt w:val="decimal"/>
      <w:pStyle w:val="ListNumber2"/>
      <w:lvlText w:val="%1."/>
      <w:lvlJc w:val="left"/>
      <w:pPr>
        <w:tabs>
          <w:tab w:val="num" w:pos="643"/>
        </w:tabs>
        <w:ind w:left="643" w:hanging="360"/>
      </w:pPr>
    </w:lvl>
  </w:abstractNum>
  <w:abstractNum w:abstractNumId="2">
    <w:nsid w:val="FFFFFF82"/>
    <w:multiLevelType w:val="singleLevel"/>
    <w:tmpl w:val="CBB8D61A"/>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1A0816B0"/>
    <w:lvl w:ilvl="0">
      <w:start w:val="1"/>
      <w:numFmt w:val="bullet"/>
      <w:pStyle w:val="ListBullet2"/>
      <w:lvlText w:val=""/>
      <w:lvlJc w:val="left"/>
      <w:pPr>
        <w:ind w:left="643" w:hanging="360"/>
      </w:pPr>
      <w:rPr>
        <w:rFonts w:ascii="Symbol" w:hAnsi="Symbol" w:cs="Symbol" w:hint="default"/>
        <w:b/>
        <w:bCs/>
        <w:i w:val="0"/>
        <w:color w:val="FFFFFF" w:themeColor="background1"/>
        <w:sz w:val="40"/>
        <w:szCs w:val="40"/>
      </w:rPr>
    </w:lvl>
  </w:abstractNum>
  <w:abstractNum w:abstractNumId="4">
    <w:nsid w:val="FFFFFF88"/>
    <w:multiLevelType w:val="singleLevel"/>
    <w:tmpl w:val="93046A5E"/>
    <w:lvl w:ilvl="0">
      <w:start w:val="1"/>
      <w:numFmt w:val="decimal"/>
      <w:pStyle w:val="ListNumber"/>
      <w:lvlText w:val="%1."/>
      <w:lvlJc w:val="left"/>
      <w:pPr>
        <w:tabs>
          <w:tab w:val="num" w:pos="360"/>
        </w:tabs>
        <w:ind w:left="360" w:hanging="360"/>
      </w:pPr>
    </w:lvl>
  </w:abstractNum>
  <w:abstractNum w:abstractNumId="5">
    <w:nsid w:val="FFFFFF89"/>
    <w:multiLevelType w:val="singleLevel"/>
    <w:tmpl w:val="338CD9FE"/>
    <w:lvl w:ilvl="0">
      <w:start w:val="1"/>
      <w:numFmt w:val="bullet"/>
      <w:pStyle w:val="ListBullet"/>
      <w:lvlText w:val=""/>
      <w:lvlJc w:val="left"/>
      <w:pPr>
        <w:ind w:left="680" w:hanging="340"/>
      </w:pPr>
      <w:rPr>
        <w:rFonts w:ascii="Symbol" w:hAnsi="Symbol" w:cs="Symbol" w:hint="default"/>
        <w:b/>
        <w:bCs/>
        <w:i w:val="0"/>
        <w:color w:val="1F3864" w:themeColor="accent5" w:themeShade="80"/>
        <w:sz w:val="24"/>
        <w:szCs w:val="24"/>
      </w:rPr>
    </w:lvl>
  </w:abstractNum>
  <w:abstractNum w:abstractNumId="6">
    <w:nsid w:val="120A334D"/>
    <w:multiLevelType w:val="hybridMultilevel"/>
    <w:tmpl w:val="206668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04B4B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2375F26"/>
    <w:multiLevelType w:val="hybridMultilevel"/>
    <w:tmpl w:val="72BAC1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87417AC"/>
    <w:multiLevelType w:val="hybridMultilevel"/>
    <w:tmpl w:val="63ECB360"/>
    <w:lvl w:ilvl="0" w:tplc="073263CC">
      <w:start w:val="1"/>
      <w:numFmt w:val="upperRoman"/>
      <w:lvlText w:val="Phase %1"/>
      <w:lvlJc w:val="left"/>
      <w:pPr>
        <w:ind w:left="1588" w:hanging="1228"/>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5B070E"/>
    <w:multiLevelType w:val="multilevel"/>
    <w:tmpl w:val="B182709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i w:val="0"/>
        <w:iCs w:val="0"/>
      </w:rPr>
    </w:lvl>
    <w:lvl w:ilvl="2">
      <w:start w:val="1"/>
      <w:numFmt w:val="decimal"/>
      <w:pStyle w:val="Heading3"/>
      <w:lvlText w:val="%1.%2.%3"/>
      <w:lvlJc w:val="left"/>
      <w:pPr>
        <w:tabs>
          <w:tab w:val="num" w:pos="851"/>
        </w:tabs>
        <w:ind w:left="851" w:hanging="851"/>
      </w:pPr>
      <w:rPr>
        <w:rFonts w:hint="default"/>
        <w:b/>
        <w:bCs/>
        <w:color w:val="2F5496" w:themeColor="accent5" w:themeShade="BF"/>
        <w:sz w:val="28"/>
        <w:szCs w:val="24"/>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ind w:left="298" w:hanging="1008"/>
      </w:pPr>
      <w:rPr>
        <w:rFonts w:hint="default"/>
      </w:rPr>
    </w:lvl>
    <w:lvl w:ilvl="5">
      <w:start w:val="1"/>
      <w:numFmt w:val="decimal"/>
      <w:pStyle w:val="Heading6"/>
      <w:lvlText w:val="%1.%2.%3.%4.%5.%6"/>
      <w:lvlJc w:val="left"/>
      <w:pPr>
        <w:ind w:left="442" w:hanging="1152"/>
      </w:pPr>
      <w:rPr>
        <w:rFonts w:hint="default"/>
      </w:rPr>
    </w:lvl>
    <w:lvl w:ilvl="6">
      <w:start w:val="1"/>
      <w:numFmt w:val="decimal"/>
      <w:pStyle w:val="Heading7"/>
      <w:lvlText w:val="%1.%2.%3.%4.%5.%6.%7"/>
      <w:lvlJc w:val="left"/>
      <w:pPr>
        <w:ind w:left="586" w:hanging="1296"/>
      </w:pPr>
      <w:rPr>
        <w:rFonts w:hint="default"/>
      </w:rPr>
    </w:lvl>
    <w:lvl w:ilvl="7">
      <w:start w:val="1"/>
      <w:numFmt w:val="decimal"/>
      <w:pStyle w:val="Heading8"/>
      <w:lvlText w:val="%1.%2.%3.%4.%5.%6.%7.%8"/>
      <w:lvlJc w:val="left"/>
      <w:pPr>
        <w:ind w:left="730" w:hanging="1440"/>
      </w:pPr>
      <w:rPr>
        <w:rFonts w:hint="default"/>
      </w:rPr>
    </w:lvl>
    <w:lvl w:ilvl="8">
      <w:start w:val="1"/>
      <w:numFmt w:val="decimal"/>
      <w:pStyle w:val="Heading9"/>
      <w:lvlText w:val="%1.%2.%3.%4.%5.%6.%7.%8.%9"/>
      <w:lvlJc w:val="left"/>
      <w:pPr>
        <w:ind w:left="874" w:hanging="1584"/>
      </w:pPr>
      <w:rPr>
        <w:rFonts w:hint="default"/>
      </w:rPr>
    </w:lvl>
  </w:abstractNum>
  <w:abstractNum w:abstractNumId="11">
    <w:nsid w:val="73985732"/>
    <w:multiLevelType w:val="hybridMultilevel"/>
    <w:tmpl w:val="74B6FF76"/>
    <w:lvl w:ilvl="0" w:tplc="8BEA16C8">
      <w:start w:val="1"/>
      <w:numFmt w:val="upperRoman"/>
      <w:pStyle w:val="ListParagraph"/>
      <w:lvlText w:val="Phase %1"/>
      <w:lvlJc w:val="left"/>
      <w:pPr>
        <w:tabs>
          <w:tab w:val="num" w:pos="1151"/>
        </w:tabs>
        <w:ind w:left="1152" w:hanging="8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1A72B2"/>
    <w:multiLevelType w:val="hybridMultilevel"/>
    <w:tmpl w:val="54FCDAC2"/>
    <w:lvl w:ilvl="0" w:tplc="C708F5A8">
      <w:start w:val="1"/>
      <w:numFmt w:val="bullet"/>
      <w:pStyle w:val="Commission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4"/>
  </w:num>
  <w:num w:numId="5">
    <w:abstractNumId w:val="2"/>
  </w:num>
  <w:num w:numId="6">
    <w:abstractNumId w:val="3"/>
  </w:num>
  <w:num w:numId="7">
    <w:abstractNumId w:val="9"/>
  </w:num>
  <w:num w:numId="8">
    <w:abstractNumId w:val="10"/>
  </w:num>
  <w:num w:numId="9">
    <w:abstractNumId w:val="7"/>
  </w:num>
  <w:num w:numId="10">
    <w:abstractNumId w:val="6"/>
  </w:num>
  <w:num w:numId="11">
    <w:abstractNumId w:val="8"/>
  </w:num>
  <w:num w:numId="12">
    <w:abstractNumId w:val="5"/>
  </w:num>
  <w:num w:numId="13">
    <w:abstractNumId w:val="12"/>
  </w:num>
  <w:num w:numId="14">
    <w:abstractNumId w:val="4"/>
    <w:lvlOverride w:ilvl="0">
      <w:startOverride w:val="1"/>
    </w:lvlOverride>
  </w:num>
  <w:num w:numId="15">
    <w:abstractNumId w:val="4"/>
    <w:lvlOverride w:ilvl="0">
      <w:startOverride w:val="1"/>
    </w:lvlOverride>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fr-FR" w:vendorID="64" w:dllVersion="0" w:nlCheck="1" w:checkStyle="0"/>
  <w:activeWritingStyle w:appName="MSWord" w:lang="it-IT" w:vendorID="64" w:dllVersion="0" w:nlCheck="1" w:checkStyle="0"/>
  <w:activeWritingStyle w:appName="MSWord" w:lang="fr-FR" w:vendorID="64" w:dllVersion="6" w:nlCheck="1" w:checkStyle="1"/>
  <w:activeWritingStyle w:appName="MSWord" w:lang="pt-BR"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efaultTabStop w:val="720"/>
  <w:drawingGridHorizontalSpacing w:val="120"/>
  <w:drawingGridVerticalSpacing w:val="20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6A"/>
    <w:rsid w:val="0000030A"/>
    <w:rsid w:val="000013F1"/>
    <w:rsid w:val="00001CAE"/>
    <w:rsid w:val="0000479F"/>
    <w:rsid w:val="00004DA9"/>
    <w:rsid w:val="00005698"/>
    <w:rsid w:val="00006DC0"/>
    <w:rsid w:val="000074DA"/>
    <w:rsid w:val="00007B75"/>
    <w:rsid w:val="00011C6E"/>
    <w:rsid w:val="00011DC6"/>
    <w:rsid w:val="00013240"/>
    <w:rsid w:val="0001347C"/>
    <w:rsid w:val="00013AA3"/>
    <w:rsid w:val="00014CCF"/>
    <w:rsid w:val="000151C6"/>
    <w:rsid w:val="00015814"/>
    <w:rsid w:val="000162B4"/>
    <w:rsid w:val="000170DD"/>
    <w:rsid w:val="00017455"/>
    <w:rsid w:val="0002018A"/>
    <w:rsid w:val="00020332"/>
    <w:rsid w:val="0002337E"/>
    <w:rsid w:val="00023D90"/>
    <w:rsid w:val="00025B28"/>
    <w:rsid w:val="00025CC9"/>
    <w:rsid w:val="000316D0"/>
    <w:rsid w:val="00033076"/>
    <w:rsid w:val="00042437"/>
    <w:rsid w:val="00042EB7"/>
    <w:rsid w:val="000433AB"/>
    <w:rsid w:val="000438DA"/>
    <w:rsid w:val="000452E4"/>
    <w:rsid w:val="0004554B"/>
    <w:rsid w:val="00046AF3"/>
    <w:rsid w:val="00046EB8"/>
    <w:rsid w:val="0005146D"/>
    <w:rsid w:val="00053772"/>
    <w:rsid w:val="000540BB"/>
    <w:rsid w:val="0005443F"/>
    <w:rsid w:val="00060594"/>
    <w:rsid w:val="00062974"/>
    <w:rsid w:val="0006633F"/>
    <w:rsid w:val="00066799"/>
    <w:rsid w:val="000673D6"/>
    <w:rsid w:val="000707FB"/>
    <w:rsid w:val="00070BAA"/>
    <w:rsid w:val="00072FAA"/>
    <w:rsid w:val="00076A38"/>
    <w:rsid w:val="00077BB1"/>
    <w:rsid w:val="000819A1"/>
    <w:rsid w:val="00082A46"/>
    <w:rsid w:val="00083F47"/>
    <w:rsid w:val="00090F69"/>
    <w:rsid w:val="00092169"/>
    <w:rsid w:val="00095689"/>
    <w:rsid w:val="00095A7C"/>
    <w:rsid w:val="00095E5A"/>
    <w:rsid w:val="00096657"/>
    <w:rsid w:val="000A1344"/>
    <w:rsid w:val="000A5658"/>
    <w:rsid w:val="000A698D"/>
    <w:rsid w:val="000A7187"/>
    <w:rsid w:val="000A722C"/>
    <w:rsid w:val="000A74BD"/>
    <w:rsid w:val="000B2125"/>
    <w:rsid w:val="000B234B"/>
    <w:rsid w:val="000B2614"/>
    <w:rsid w:val="000B3ADE"/>
    <w:rsid w:val="000B5E8D"/>
    <w:rsid w:val="000B657D"/>
    <w:rsid w:val="000B737F"/>
    <w:rsid w:val="000B7575"/>
    <w:rsid w:val="000C0DD4"/>
    <w:rsid w:val="000C436F"/>
    <w:rsid w:val="000C4D02"/>
    <w:rsid w:val="000C501C"/>
    <w:rsid w:val="000C774A"/>
    <w:rsid w:val="000D19CC"/>
    <w:rsid w:val="000D21F3"/>
    <w:rsid w:val="000D2524"/>
    <w:rsid w:val="000D2FA0"/>
    <w:rsid w:val="000D32F7"/>
    <w:rsid w:val="000D3600"/>
    <w:rsid w:val="000D5E8C"/>
    <w:rsid w:val="000D6171"/>
    <w:rsid w:val="000D6946"/>
    <w:rsid w:val="000E0DB8"/>
    <w:rsid w:val="000E1487"/>
    <w:rsid w:val="000E22AC"/>
    <w:rsid w:val="000E3424"/>
    <w:rsid w:val="000E5EAA"/>
    <w:rsid w:val="000E6205"/>
    <w:rsid w:val="000E6831"/>
    <w:rsid w:val="000E789A"/>
    <w:rsid w:val="000E7975"/>
    <w:rsid w:val="000F19B8"/>
    <w:rsid w:val="000F476A"/>
    <w:rsid w:val="000F4E26"/>
    <w:rsid w:val="000F70F5"/>
    <w:rsid w:val="001004C4"/>
    <w:rsid w:val="00100AC8"/>
    <w:rsid w:val="001014F4"/>
    <w:rsid w:val="00103119"/>
    <w:rsid w:val="0010694C"/>
    <w:rsid w:val="001108AB"/>
    <w:rsid w:val="00113508"/>
    <w:rsid w:val="00113781"/>
    <w:rsid w:val="00113A28"/>
    <w:rsid w:val="00116D03"/>
    <w:rsid w:val="00116EB1"/>
    <w:rsid w:val="00121E39"/>
    <w:rsid w:val="00121FF1"/>
    <w:rsid w:val="001224B3"/>
    <w:rsid w:val="0012260B"/>
    <w:rsid w:val="001246B1"/>
    <w:rsid w:val="00124D6A"/>
    <w:rsid w:val="00126F94"/>
    <w:rsid w:val="001276F5"/>
    <w:rsid w:val="00131E99"/>
    <w:rsid w:val="001324BF"/>
    <w:rsid w:val="00137200"/>
    <w:rsid w:val="00140961"/>
    <w:rsid w:val="0014104D"/>
    <w:rsid w:val="00141777"/>
    <w:rsid w:val="00141BE4"/>
    <w:rsid w:val="00147728"/>
    <w:rsid w:val="0015055B"/>
    <w:rsid w:val="00153855"/>
    <w:rsid w:val="00154BCB"/>
    <w:rsid w:val="0016052B"/>
    <w:rsid w:val="00163850"/>
    <w:rsid w:val="00165168"/>
    <w:rsid w:val="00165976"/>
    <w:rsid w:val="00167E61"/>
    <w:rsid w:val="001728DD"/>
    <w:rsid w:val="00172A83"/>
    <w:rsid w:val="0017411F"/>
    <w:rsid w:val="00175DFB"/>
    <w:rsid w:val="00176192"/>
    <w:rsid w:val="00176EB8"/>
    <w:rsid w:val="00176EFE"/>
    <w:rsid w:val="00180869"/>
    <w:rsid w:val="0018166D"/>
    <w:rsid w:val="00181B30"/>
    <w:rsid w:val="00182E25"/>
    <w:rsid w:val="00184AEB"/>
    <w:rsid w:val="001850A6"/>
    <w:rsid w:val="0018555A"/>
    <w:rsid w:val="00185A5C"/>
    <w:rsid w:val="00190544"/>
    <w:rsid w:val="00193186"/>
    <w:rsid w:val="00195A87"/>
    <w:rsid w:val="00195DD5"/>
    <w:rsid w:val="001A063D"/>
    <w:rsid w:val="001A40E7"/>
    <w:rsid w:val="001A4144"/>
    <w:rsid w:val="001A43EB"/>
    <w:rsid w:val="001B2351"/>
    <w:rsid w:val="001B280B"/>
    <w:rsid w:val="001B339E"/>
    <w:rsid w:val="001B3836"/>
    <w:rsid w:val="001B3EF0"/>
    <w:rsid w:val="001B51C0"/>
    <w:rsid w:val="001B57FE"/>
    <w:rsid w:val="001B6E24"/>
    <w:rsid w:val="001C065C"/>
    <w:rsid w:val="001C0FE2"/>
    <w:rsid w:val="001C193E"/>
    <w:rsid w:val="001C30BA"/>
    <w:rsid w:val="001C3B4D"/>
    <w:rsid w:val="001C5B2A"/>
    <w:rsid w:val="001C7CC5"/>
    <w:rsid w:val="001D5D3F"/>
    <w:rsid w:val="001D63C8"/>
    <w:rsid w:val="001D72FA"/>
    <w:rsid w:val="001E13B8"/>
    <w:rsid w:val="001E1EB2"/>
    <w:rsid w:val="001E3DCD"/>
    <w:rsid w:val="001E4736"/>
    <w:rsid w:val="001E49DE"/>
    <w:rsid w:val="001E5988"/>
    <w:rsid w:val="001E5A18"/>
    <w:rsid w:val="001E711A"/>
    <w:rsid w:val="001F778A"/>
    <w:rsid w:val="00200C8A"/>
    <w:rsid w:val="00201441"/>
    <w:rsid w:val="00203289"/>
    <w:rsid w:val="0020467B"/>
    <w:rsid w:val="00206FA6"/>
    <w:rsid w:val="0020769B"/>
    <w:rsid w:val="0020787D"/>
    <w:rsid w:val="00210694"/>
    <w:rsid w:val="00210A4B"/>
    <w:rsid w:val="0021296B"/>
    <w:rsid w:val="00215153"/>
    <w:rsid w:val="00216BB5"/>
    <w:rsid w:val="002178F8"/>
    <w:rsid w:val="00220A88"/>
    <w:rsid w:val="00220EFF"/>
    <w:rsid w:val="00225024"/>
    <w:rsid w:val="0022527D"/>
    <w:rsid w:val="002253F0"/>
    <w:rsid w:val="00225535"/>
    <w:rsid w:val="0022746C"/>
    <w:rsid w:val="0023008E"/>
    <w:rsid w:val="00230E23"/>
    <w:rsid w:val="00233492"/>
    <w:rsid w:val="002359EE"/>
    <w:rsid w:val="00237A40"/>
    <w:rsid w:val="0024005C"/>
    <w:rsid w:val="00240097"/>
    <w:rsid w:val="002425D8"/>
    <w:rsid w:val="00242BEB"/>
    <w:rsid w:val="0024726C"/>
    <w:rsid w:val="00250E49"/>
    <w:rsid w:val="00252366"/>
    <w:rsid w:val="00252C86"/>
    <w:rsid w:val="0025728D"/>
    <w:rsid w:val="00257D81"/>
    <w:rsid w:val="0026005F"/>
    <w:rsid w:val="0026068C"/>
    <w:rsid w:val="00261164"/>
    <w:rsid w:val="0026326D"/>
    <w:rsid w:val="00263EA0"/>
    <w:rsid w:val="002643CD"/>
    <w:rsid w:val="00264DD0"/>
    <w:rsid w:val="00267419"/>
    <w:rsid w:val="00267DE0"/>
    <w:rsid w:val="00273F6B"/>
    <w:rsid w:val="00273FE5"/>
    <w:rsid w:val="00276A35"/>
    <w:rsid w:val="002776DD"/>
    <w:rsid w:val="00277AB3"/>
    <w:rsid w:val="00277C7D"/>
    <w:rsid w:val="00281888"/>
    <w:rsid w:val="00282B6E"/>
    <w:rsid w:val="00283BA6"/>
    <w:rsid w:val="00284BCF"/>
    <w:rsid w:val="002856FF"/>
    <w:rsid w:val="00287F8A"/>
    <w:rsid w:val="00292148"/>
    <w:rsid w:val="0029432B"/>
    <w:rsid w:val="00296028"/>
    <w:rsid w:val="002960EF"/>
    <w:rsid w:val="002972ED"/>
    <w:rsid w:val="00297AB0"/>
    <w:rsid w:val="002A2275"/>
    <w:rsid w:val="002A28B9"/>
    <w:rsid w:val="002A2CA8"/>
    <w:rsid w:val="002A3EB6"/>
    <w:rsid w:val="002A53B2"/>
    <w:rsid w:val="002A5BC1"/>
    <w:rsid w:val="002A6259"/>
    <w:rsid w:val="002A670C"/>
    <w:rsid w:val="002A77A4"/>
    <w:rsid w:val="002A7B5A"/>
    <w:rsid w:val="002B00AC"/>
    <w:rsid w:val="002B012D"/>
    <w:rsid w:val="002B0786"/>
    <w:rsid w:val="002B0BAC"/>
    <w:rsid w:val="002B0CFF"/>
    <w:rsid w:val="002B0E53"/>
    <w:rsid w:val="002B1336"/>
    <w:rsid w:val="002B2048"/>
    <w:rsid w:val="002B54C8"/>
    <w:rsid w:val="002B6499"/>
    <w:rsid w:val="002C00CA"/>
    <w:rsid w:val="002C2E86"/>
    <w:rsid w:val="002C4832"/>
    <w:rsid w:val="002C56D9"/>
    <w:rsid w:val="002C7808"/>
    <w:rsid w:val="002D2701"/>
    <w:rsid w:val="002D36A6"/>
    <w:rsid w:val="002D3BB9"/>
    <w:rsid w:val="002D447F"/>
    <w:rsid w:val="002E11B6"/>
    <w:rsid w:val="002E172B"/>
    <w:rsid w:val="002E29AE"/>
    <w:rsid w:val="002E360F"/>
    <w:rsid w:val="002E3834"/>
    <w:rsid w:val="002E483C"/>
    <w:rsid w:val="002E6A59"/>
    <w:rsid w:val="002F2745"/>
    <w:rsid w:val="002F280C"/>
    <w:rsid w:val="002F3071"/>
    <w:rsid w:val="002F38F6"/>
    <w:rsid w:val="002F511D"/>
    <w:rsid w:val="002F5AE9"/>
    <w:rsid w:val="002F5F44"/>
    <w:rsid w:val="00300B1A"/>
    <w:rsid w:val="0030113D"/>
    <w:rsid w:val="00301A31"/>
    <w:rsid w:val="00302030"/>
    <w:rsid w:val="00302954"/>
    <w:rsid w:val="003031E2"/>
    <w:rsid w:val="00306E57"/>
    <w:rsid w:val="00307B63"/>
    <w:rsid w:val="0031098A"/>
    <w:rsid w:val="00311257"/>
    <w:rsid w:val="00311A60"/>
    <w:rsid w:val="00311A86"/>
    <w:rsid w:val="0031236B"/>
    <w:rsid w:val="00312F79"/>
    <w:rsid w:val="00313B8E"/>
    <w:rsid w:val="00315C76"/>
    <w:rsid w:val="003164D0"/>
    <w:rsid w:val="0032239A"/>
    <w:rsid w:val="00322C07"/>
    <w:rsid w:val="00322DA8"/>
    <w:rsid w:val="00323A94"/>
    <w:rsid w:val="00323DA6"/>
    <w:rsid w:val="003249BE"/>
    <w:rsid w:val="003268B2"/>
    <w:rsid w:val="00326D16"/>
    <w:rsid w:val="00327E6F"/>
    <w:rsid w:val="00333B7F"/>
    <w:rsid w:val="0033482F"/>
    <w:rsid w:val="00337398"/>
    <w:rsid w:val="00337EEF"/>
    <w:rsid w:val="00343323"/>
    <w:rsid w:val="00344146"/>
    <w:rsid w:val="003455D2"/>
    <w:rsid w:val="00345D07"/>
    <w:rsid w:val="00345D10"/>
    <w:rsid w:val="00347561"/>
    <w:rsid w:val="00351BB7"/>
    <w:rsid w:val="00352327"/>
    <w:rsid w:val="0035254C"/>
    <w:rsid w:val="00354BDD"/>
    <w:rsid w:val="00356393"/>
    <w:rsid w:val="003600D8"/>
    <w:rsid w:val="00361111"/>
    <w:rsid w:val="0036274F"/>
    <w:rsid w:val="00362B9E"/>
    <w:rsid w:val="00363D26"/>
    <w:rsid w:val="003650B7"/>
    <w:rsid w:val="00365186"/>
    <w:rsid w:val="0037067F"/>
    <w:rsid w:val="003714DD"/>
    <w:rsid w:val="00371BA5"/>
    <w:rsid w:val="003722C9"/>
    <w:rsid w:val="00374904"/>
    <w:rsid w:val="0037687E"/>
    <w:rsid w:val="00377AB3"/>
    <w:rsid w:val="00377B7B"/>
    <w:rsid w:val="00382535"/>
    <w:rsid w:val="0038484E"/>
    <w:rsid w:val="003868ED"/>
    <w:rsid w:val="00386F7E"/>
    <w:rsid w:val="003905A0"/>
    <w:rsid w:val="00392524"/>
    <w:rsid w:val="00392788"/>
    <w:rsid w:val="00393052"/>
    <w:rsid w:val="00394D83"/>
    <w:rsid w:val="00395A04"/>
    <w:rsid w:val="003968B6"/>
    <w:rsid w:val="003A011A"/>
    <w:rsid w:val="003A12A2"/>
    <w:rsid w:val="003A24AF"/>
    <w:rsid w:val="003A3AFD"/>
    <w:rsid w:val="003A4BCF"/>
    <w:rsid w:val="003A4FF2"/>
    <w:rsid w:val="003B403B"/>
    <w:rsid w:val="003B55D7"/>
    <w:rsid w:val="003B6B05"/>
    <w:rsid w:val="003B753A"/>
    <w:rsid w:val="003B797C"/>
    <w:rsid w:val="003B7D6F"/>
    <w:rsid w:val="003C35B0"/>
    <w:rsid w:val="003C5D01"/>
    <w:rsid w:val="003C79C6"/>
    <w:rsid w:val="003D046F"/>
    <w:rsid w:val="003D2052"/>
    <w:rsid w:val="003D3D8E"/>
    <w:rsid w:val="003D3DAE"/>
    <w:rsid w:val="003D572D"/>
    <w:rsid w:val="003D5B83"/>
    <w:rsid w:val="003D6918"/>
    <w:rsid w:val="003D746B"/>
    <w:rsid w:val="003E2949"/>
    <w:rsid w:val="003E359A"/>
    <w:rsid w:val="003E4429"/>
    <w:rsid w:val="003E50C1"/>
    <w:rsid w:val="003F26BF"/>
    <w:rsid w:val="003F55DC"/>
    <w:rsid w:val="003F6762"/>
    <w:rsid w:val="00400863"/>
    <w:rsid w:val="00400DA8"/>
    <w:rsid w:val="00401A34"/>
    <w:rsid w:val="0040524D"/>
    <w:rsid w:val="00407D82"/>
    <w:rsid w:val="004108D1"/>
    <w:rsid w:val="004116F6"/>
    <w:rsid w:val="004145D7"/>
    <w:rsid w:val="00416BDB"/>
    <w:rsid w:val="0041770A"/>
    <w:rsid w:val="004216D5"/>
    <w:rsid w:val="00421972"/>
    <w:rsid w:val="00423112"/>
    <w:rsid w:val="004247DC"/>
    <w:rsid w:val="0042575E"/>
    <w:rsid w:val="004305F6"/>
    <w:rsid w:val="0043119E"/>
    <w:rsid w:val="00431346"/>
    <w:rsid w:val="004313FB"/>
    <w:rsid w:val="0043301D"/>
    <w:rsid w:val="00435A92"/>
    <w:rsid w:val="00442609"/>
    <w:rsid w:val="0044431A"/>
    <w:rsid w:val="00444F3E"/>
    <w:rsid w:val="00445B72"/>
    <w:rsid w:val="00451EA9"/>
    <w:rsid w:val="00452F23"/>
    <w:rsid w:val="00453716"/>
    <w:rsid w:val="00454852"/>
    <w:rsid w:val="0045559E"/>
    <w:rsid w:val="004559AF"/>
    <w:rsid w:val="00456445"/>
    <w:rsid w:val="00456CAD"/>
    <w:rsid w:val="004572DB"/>
    <w:rsid w:val="00457962"/>
    <w:rsid w:val="00460146"/>
    <w:rsid w:val="00460DE9"/>
    <w:rsid w:val="00463BB0"/>
    <w:rsid w:val="00464607"/>
    <w:rsid w:val="00465A09"/>
    <w:rsid w:val="00466185"/>
    <w:rsid w:val="00466BF7"/>
    <w:rsid w:val="00466D13"/>
    <w:rsid w:val="0047010B"/>
    <w:rsid w:val="00472BE4"/>
    <w:rsid w:val="0047360B"/>
    <w:rsid w:val="0047405E"/>
    <w:rsid w:val="00474690"/>
    <w:rsid w:val="00475DD3"/>
    <w:rsid w:val="00480F4A"/>
    <w:rsid w:val="004847D1"/>
    <w:rsid w:val="00486268"/>
    <w:rsid w:val="00487E4C"/>
    <w:rsid w:val="00491761"/>
    <w:rsid w:val="00491F18"/>
    <w:rsid w:val="004927D0"/>
    <w:rsid w:val="00493942"/>
    <w:rsid w:val="00495866"/>
    <w:rsid w:val="004971B7"/>
    <w:rsid w:val="004A04A1"/>
    <w:rsid w:val="004A0F63"/>
    <w:rsid w:val="004A4F09"/>
    <w:rsid w:val="004A5B34"/>
    <w:rsid w:val="004A6057"/>
    <w:rsid w:val="004A7E18"/>
    <w:rsid w:val="004A7FC7"/>
    <w:rsid w:val="004B1273"/>
    <w:rsid w:val="004B338A"/>
    <w:rsid w:val="004B49FC"/>
    <w:rsid w:val="004B69EE"/>
    <w:rsid w:val="004B6C24"/>
    <w:rsid w:val="004C06AA"/>
    <w:rsid w:val="004C21AC"/>
    <w:rsid w:val="004C295F"/>
    <w:rsid w:val="004C2FF8"/>
    <w:rsid w:val="004C3938"/>
    <w:rsid w:val="004C3E7C"/>
    <w:rsid w:val="004C4BF8"/>
    <w:rsid w:val="004D2BF5"/>
    <w:rsid w:val="004D3458"/>
    <w:rsid w:val="004D3788"/>
    <w:rsid w:val="004D3E34"/>
    <w:rsid w:val="004D5D1B"/>
    <w:rsid w:val="004D6142"/>
    <w:rsid w:val="004E2EBB"/>
    <w:rsid w:val="004E3502"/>
    <w:rsid w:val="004E5345"/>
    <w:rsid w:val="004E7D74"/>
    <w:rsid w:val="004F0E97"/>
    <w:rsid w:val="004F1985"/>
    <w:rsid w:val="004F1C0B"/>
    <w:rsid w:val="004F293B"/>
    <w:rsid w:val="004F2B61"/>
    <w:rsid w:val="004F2BBF"/>
    <w:rsid w:val="004F4852"/>
    <w:rsid w:val="004F7646"/>
    <w:rsid w:val="004F7984"/>
    <w:rsid w:val="005015C3"/>
    <w:rsid w:val="0050169B"/>
    <w:rsid w:val="00501919"/>
    <w:rsid w:val="00501B07"/>
    <w:rsid w:val="005020EB"/>
    <w:rsid w:val="005021F5"/>
    <w:rsid w:val="0050296E"/>
    <w:rsid w:val="00506D15"/>
    <w:rsid w:val="00507C5F"/>
    <w:rsid w:val="00510297"/>
    <w:rsid w:val="005103C6"/>
    <w:rsid w:val="00510A65"/>
    <w:rsid w:val="00510EB1"/>
    <w:rsid w:val="005114F1"/>
    <w:rsid w:val="00511E2C"/>
    <w:rsid w:val="005139B0"/>
    <w:rsid w:val="0051479A"/>
    <w:rsid w:val="00514AA1"/>
    <w:rsid w:val="00516930"/>
    <w:rsid w:val="00520672"/>
    <w:rsid w:val="005227C2"/>
    <w:rsid w:val="00524149"/>
    <w:rsid w:val="00524254"/>
    <w:rsid w:val="00524493"/>
    <w:rsid w:val="00524879"/>
    <w:rsid w:val="0052623D"/>
    <w:rsid w:val="0052715A"/>
    <w:rsid w:val="005320C6"/>
    <w:rsid w:val="00533FCD"/>
    <w:rsid w:val="00534056"/>
    <w:rsid w:val="00536309"/>
    <w:rsid w:val="00537312"/>
    <w:rsid w:val="00541284"/>
    <w:rsid w:val="00542269"/>
    <w:rsid w:val="005426D7"/>
    <w:rsid w:val="00543155"/>
    <w:rsid w:val="00543B5C"/>
    <w:rsid w:val="00544408"/>
    <w:rsid w:val="005456C7"/>
    <w:rsid w:val="00545FFB"/>
    <w:rsid w:val="00546F01"/>
    <w:rsid w:val="0054717A"/>
    <w:rsid w:val="005518CE"/>
    <w:rsid w:val="0055223B"/>
    <w:rsid w:val="00552393"/>
    <w:rsid w:val="005577B9"/>
    <w:rsid w:val="0056040D"/>
    <w:rsid w:val="00560597"/>
    <w:rsid w:val="0056161A"/>
    <w:rsid w:val="00564D2C"/>
    <w:rsid w:val="00567C81"/>
    <w:rsid w:val="0057048A"/>
    <w:rsid w:val="00571AAC"/>
    <w:rsid w:val="0057368D"/>
    <w:rsid w:val="00574973"/>
    <w:rsid w:val="00574DCA"/>
    <w:rsid w:val="005751CF"/>
    <w:rsid w:val="005776A2"/>
    <w:rsid w:val="00577856"/>
    <w:rsid w:val="00580181"/>
    <w:rsid w:val="005820A2"/>
    <w:rsid w:val="005828F8"/>
    <w:rsid w:val="0058294C"/>
    <w:rsid w:val="0058326A"/>
    <w:rsid w:val="00583812"/>
    <w:rsid w:val="00585E7C"/>
    <w:rsid w:val="00585EF0"/>
    <w:rsid w:val="00590822"/>
    <w:rsid w:val="005933C3"/>
    <w:rsid w:val="005947D0"/>
    <w:rsid w:val="00595394"/>
    <w:rsid w:val="0059543E"/>
    <w:rsid w:val="00596571"/>
    <w:rsid w:val="00596DF4"/>
    <w:rsid w:val="005A1C12"/>
    <w:rsid w:val="005A2827"/>
    <w:rsid w:val="005A296E"/>
    <w:rsid w:val="005A2DB2"/>
    <w:rsid w:val="005A2F65"/>
    <w:rsid w:val="005A453D"/>
    <w:rsid w:val="005A6152"/>
    <w:rsid w:val="005A6D3F"/>
    <w:rsid w:val="005B19FE"/>
    <w:rsid w:val="005B274F"/>
    <w:rsid w:val="005B3F18"/>
    <w:rsid w:val="005B44EE"/>
    <w:rsid w:val="005B4DD6"/>
    <w:rsid w:val="005B4E07"/>
    <w:rsid w:val="005B59E5"/>
    <w:rsid w:val="005B61D0"/>
    <w:rsid w:val="005B6722"/>
    <w:rsid w:val="005C2002"/>
    <w:rsid w:val="005C2181"/>
    <w:rsid w:val="005C3600"/>
    <w:rsid w:val="005C3A66"/>
    <w:rsid w:val="005C3A9D"/>
    <w:rsid w:val="005C66B3"/>
    <w:rsid w:val="005C7145"/>
    <w:rsid w:val="005C7D56"/>
    <w:rsid w:val="005D0EEF"/>
    <w:rsid w:val="005D12C5"/>
    <w:rsid w:val="005D4515"/>
    <w:rsid w:val="005D498B"/>
    <w:rsid w:val="005D5824"/>
    <w:rsid w:val="005D5D5B"/>
    <w:rsid w:val="005D770E"/>
    <w:rsid w:val="005E0069"/>
    <w:rsid w:val="005E2047"/>
    <w:rsid w:val="005E3FEE"/>
    <w:rsid w:val="005E4D9F"/>
    <w:rsid w:val="005F0DF9"/>
    <w:rsid w:val="005F1A34"/>
    <w:rsid w:val="005F435C"/>
    <w:rsid w:val="005F4BC8"/>
    <w:rsid w:val="005F729A"/>
    <w:rsid w:val="0060055A"/>
    <w:rsid w:val="00600638"/>
    <w:rsid w:val="006031B3"/>
    <w:rsid w:val="00604D8D"/>
    <w:rsid w:val="00605DA2"/>
    <w:rsid w:val="00606B98"/>
    <w:rsid w:val="00610BAF"/>
    <w:rsid w:val="0061155D"/>
    <w:rsid w:val="00612A45"/>
    <w:rsid w:val="006141BC"/>
    <w:rsid w:val="00615308"/>
    <w:rsid w:val="006155F6"/>
    <w:rsid w:val="00615DF0"/>
    <w:rsid w:val="006171CE"/>
    <w:rsid w:val="006175A9"/>
    <w:rsid w:val="0062014F"/>
    <w:rsid w:val="006216B1"/>
    <w:rsid w:val="006220D4"/>
    <w:rsid w:val="0062227B"/>
    <w:rsid w:val="0062291D"/>
    <w:rsid w:val="00623ACE"/>
    <w:rsid w:val="00627E2B"/>
    <w:rsid w:val="00630CF3"/>
    <w:rsid w:val="00631ACD"/>
    <w:rsid w:val="0063257E"/>
    <w:rsid w:val="0063277E"/>
    <w:rsid w:val="0063403D"/>
    <w:rsid w:val="00635A8A"/>
    <w:rsid w:val="00637138"/>
    <w:rsid w:val="0064009A"/>
    <w:rsid w:val="00642113"/>
    <w:rsid w:val="00643275"/>
    <w:rsid w:val="0064499A"/>
    <w:rsid w:val="00644BF9"/>
    <w:rsid w:val="00645BDF"/>
    <w:rsid w:val="00645E16"/>
    <w:rsid w:val="006529BE"/>
    <w:rsid w:val="00653534"/>
    <w:rsid w:val="00655E92"/>
    <w:rsid w:val="00657760"/>
    <w:rsid w:val="00657F18"/>
    <w:rsid w:val="006644EE"/>
    <w:rsid w:val="00667D77"/>
    <w:rsid w:val="006722AD"/>
    <w:rsid w:val="0067365A"/>
    <w:rsid w:val="00674E3F"/>
    <w:rsid w:val="00675272"/>
    <w:rsid w:val="0067558F"/>
    <w:rsid w:val="00675DC3"/>
    <w:rsid w:val="00676733"/>
    <w:rsid w:val="00677C10"/>
    <w:rsid w:val="006816F0"/>
    <w:rsid w:val="006843B1"/>
    <w:rsid w:val="00684A04"/>
    <w:rsid w:val="0068693A"/>
    <w:rsid w:val="0069000F"/>
    <w:rsid w:val="00690ACD"/>
    <w:rsid w:val="00691792"/>
    <w:rsid w:val="00691AE2"/>
    <w:rsid w:val="00692263"/>
    <w:rsid w:val="0069405C"/>
    <w:rsid w:val="00694E6A"/>
    <w:rsid w:val="006965FE"/>
    <w:rsid w:val="00697267"/>
    <w:rsid w:val="006979DF"/>
    <w:rsid w:val="006A21B0"/>
    <w:rsid w:val="006A27FF"/>
    <w:rsid w:val="006A3177"/>
    <w:rsid w:val="006A7340"/>
    <w:rsid w:val="006A7C5C"/>
    <w:rsid w:val="006B2D71"/>
    <w:rsid w:val="006B42F4"/>
    <w:rsid w:val="006B4AAB"/>
    <w:rsid w:val="006B5B33"/>
    <w:rsid w:val="006B685C"/>
    <w:rsid w:val="006B7861"/>
    <w:rsid w:val="006C45FF"/>
    <w:rsid w:val="006C7114"/>
    <w:rsid w:val="006D5CE5"/>
    <w:rsid w:val="006D7E9C"/>
    <w:rsid w:val="006E10BB"/>
    <w:rsid w:val="006E2AB2"/>
    <w:rsid w:val="006E4418"/>
    <w:rsid w:val="006E4B4B"/>
    <w:rsid w:val="006E50CA"/>
    <w:rsid w:val="006E54B9"/>
    <w:rsid w:val="006E759E"/>
    <w:rsid w:val="006E7DF2"/>
    <w:rsid w:val="006F0FA5"/>
    <w:rsid w:val="006F1796"/>
    <w:rsid w:val="006F1D4E"/>
    <w:rsid w:val="006F218D"/>
    <w:rsid w:val="006F22D7"/>
    <w:rsid w:val="006F27ED"/>
    <w:rsid w:val="006F30C8"/>
    <w:rsid w:val="006F4C8A"/>
    <w:rsid w:val="006F5E94"/>
    <w:rsid w:val="006F6116"/>
    <w:rsid w:val="00700642"/>
    <w:rsid w:val="00705285"/>
    <w:rsid w:val="00707465"/>
    <w:rsid w:val="00707A3F"/>
    <w:rsid w:val="00710534"/>
    <w:rsid w:val="00710ECB"/>
    <w:rsid w:val="00711405"/>
    <w:rsid w:val="007121E2"/>
    <w:rsid w:val="007137BA"/>
    <w:rsid w:val="0071458A"/>
    <w:rsid w:val="00716495"/>
    <w:rsid w:val="00722CAD"/>
    <w:rsid w:val="00722F9C"/>
    <w:rsid w:val="00723150"/>
    <w:rsid w:val="00723710"/>
    <w:rsid w:val="0072631A"/>
    <w:rsid w:val="00726366"/>
    <w:rsid w:val="00727ABE"/>
    <w:rsid w:val="00727D23"/>
    <w:rsid w:val="007301D0"/>
    <w:rsid w:val="00730756"/>
    <w:rsid w:val="007333B3"/>
    <w:rsid w:val="00735C42"/>
    <w:rsid w:val="007374E6"/>
    <w:rsid w:val="00737EA0"/>
    <w:rsid w:val="0074079C"/>
    <w:rsid w:val="00740C7B"/>
    <w:rsid w:val="00743887"/>
    <w:rsid w:val="00744B29"/>
    <w:rsid w:val="00744B8A"/>
    <w:rsid w:val="007511B7"/>
    <w:rsid w:val="00753699"/>
    <w:rsid w:val="00755928"/>
    <w:rsid w:val="00755C52"/>
    <w:rsid w:val="00756954"/>
    <w:rsid w:val="0075774C"/>
    <w:rsid w:val="00760755"/>
    <w:rsid w:val="00760B1C"/>
    <w:rsid w:val="0076142A"/>
    <w:rsid w:val="00762CC1"/>
    <w:rsid w:val="0076474A"/>
    <w:rsid w:val="0076631F"/>
    <w:rsid w:val="0076648D"/>
    <w:rsid w:val="007707FA"/>
    <w:rsid w:val="00773F36"/>
    <w:rsid w:val="00774558"/>
    <w:rsid w:val="0077524F"/>
    <w:rsid w:val="00775462"/>
    <w:rsid w:val="00776199"/>
    <w:rsid w:val="0077685A"/>
    <w:rsid w:val="00777B8F"/>
    <w:rsid w:val="00780055"/>
    <w:rsid w:val="007803A2"/>
    <w:rsid w:val="0078150B"/>
    <w:rsid w:val="007815A0"/>
    <w:rsid w:val="007847D9"/>
    <w:rsid w:val="00785268"/>
    <w:rsid w:val="0078672B"/>
    <w:rsid w:val="00786924"/>
    <w:rsid w:val="00786CBE"/>
    <w:rsid w:val="00791C8D"/>
    <w:rsid w:val="007921FA"/>
    <w:rsid w:val="00794456"/>
    <w:rsid w:val="007974DF"/>
    <w:rsid w:val="007A1926"/>
    <w:rsid w:val="007A1941"/>
    <w:rsid w:val="007A2B4D"/>
    <w:rsid w:val="007A3476"/>
    <w:rsid w:val="007A4D6B"/>
    <w:rsid w:val="007A527F"/>
    <w:rsid w:val="007A6725"/>
    <w:rsid w:val="007A7796"/>
    <w:rsid w:val="007B3054"/>
    <w:rsid w:val="007B34C9"/>
    <w:rsid w:val="007B47AB"/>
    <w:rsid w:val="007B4B33"/>
    <w:rsid w:val="007B58D8"/>
    <w:rsid w:val="007B6D18"/>
    <w:rsid w:val="007B7069"/>
    <w:rsid w:val="007B7F1D"/>
    <w:rsid w:val="007C4B52"/>
    <w:rsid w:val="007C57AF"/>
    <w:rsid w:val="007C7E9E"/>
    <w:rsid w:val="007D1631"/>
    <w:rsid w:val="007D22EC"/>
    <w:rsid w:val="007D4FAC"/>
    <w:rsid w:val="007D5E77"/>
    <w:rsid w:val="007E146D"/>
    <w:rsid w:val="007E1BFC"/>
    <w:rsid w:val="007E2CC9"/>
    <w:rsid w:val="007E44B7"/>
    <w:rsid w:val="007E76CF"/>
    <w:rsid w:val="007F535B"/>
    <w:rsid w:val="007F5472"/>
    <w:rsid w:val="007F551B"/>
    <w:rsid w:val="007F56FC"/>
    <w:rsid w:val="007F7652"/>
    <w:rsid w:val="007F7804"/>
    <w:rsid w:val="00800348"/>
    <w:rsid w:val="00800E5C"/>
    <w:rsid w:val="00800F5E"/>
    <w:rsid w:val="00803547"/>
    <w:rsid w:val="008039DD"/>
    <w:rsid w:val="0080456C"/>
    <w:rsid w:val="00804DD4"/>
    <w:rsid w:val="00805F30"/>
    <w:rsid w:val="0080616D"/>
    <w:rsid w:val="00806F6A"/>
    <w:rsid w:val="00806FD3"/>
    <w:rsid w:val="00807E0C"/>
    <w:rsid w:val="008119FF"/>
    <w:rsid w:val="00811C2A"/>
    <w:rsid w:val="008145CB"/>
    <w:rsid w:val="00814B85"/>
    <w:rsid w:val="00814EBD"/>
    <w:rsid w:val="00816257"/>
    <w:rsid w:val="00817997"/>
    <w:rsid w:val="0082094B"/>
    <w:rsid w:val="00823AB6"/>
    <w:rsid w:val="0082597D"/>
    <w:rsid w:val="00826430"/>
    <w:rsid w:val="008274BF"/>
    <w:rsid w:val="008302DB"/>
    <w:rsid w:val="00832AEA"/>
    <w:rsid w:val="00833FB7"/>
    <w:rsid w:val="008342A8"/>
    <w:rsid w:val="00834812"/>
    <w:rsid w:val="00835FF6"/>
    <w:rsid w:val="00836C72"/>
    <w:rsid w:val="008376FC"/>
    <w:rsid w:val="008408EC"/>
    <w:rsid w:val="008411C6"/>
    <w:rsid w:val="00841FC9"/>
    <w:rsid w:val="0084432A"/>
    <w:rsid w:val="008451E0"/>
    <w:rsid w:val="0084585C"/>
    <w:rsid w:val="00845A2B"/>
    <w:rsid w:val="008476A1"/>
    <w:rsid w:val="00850928"/>
    <w:rsid w:val="00851451"/>
    <w:rsid w:val="0085191A"/>
    <w:rsid w:val="008577A3"/>
    <w:rsid w:val="00863446"/>
    <w:rsid w:val="00864F2F"/>
    <w:rsid w:val="00870C33"/>
    <w:rsid w:val="008721D4"/>
    <w:rsid w:val="008726F9"/>
    <w:rsid w:val="00872878"/>
    <w:rsid w:val="0087314A"/>
    <w:rsid w:val="00873EE3"/>
    <w:rsid w:val="00874556"/>
    <w:rsid w:val="00874AD7"/>
    <w:rsid w:val="00875EBD"/>
    <w:rsid w:val="00881F12"/>
    <w:rsid w:val="00882240"/>
    <w:rsid w:val="00883741"/>
    <w:rsid w:val="008847FC"/>
    <w:rsid w:val="008869AC"/>
    <w:rsid w:val="00886F3D"/>
    <w:rsid w:val="00891ACF"/>
    <w:rsid w:val="00892195"/>
    <w:rsid w:val="0089392E"/>
    <w:rsid w:val="008948E4"/>
    <w:rsid w:val="00895237"/>
    <w:rsid w:val="008953B9"/>
    <w:rsid w:val="008953DF"/>
    <w:rsid w:val="008965B0"/>
    <w:rsid w:val="008A098F"/>
    <w:rsid w:val="008A2CFB"/>
    <w:rsid w:val="008A31E2"/>
    <w:rsid w:val="008A613E"/>
    <w:rsid w:val="008B0831"/>
    <w:rsid w:val="008B25F6"/>
    <w:rsid w:val="008B265D"/>
    <w:rsid w:val="008B4A59"/>
    <w:rsid w:val="008B6070"/>
    <w:rsid w:val="008B7731"/>
    <w:rsid w:val="008B77A5"/>
    <w:rsid w:val="008B7916"/>
    <w:rsid w:val="008C2A15"/>
    <w:rsid w:val="008C37FA"/>
    <w:rsid w:val="008C7EA4"/>
    <w:rsid w:val="008D00B8"/>
    <w:rsid w:val="008D3047"/>
    <w:rsid w:val="008D791B"/>
    <w:rsid w:val="008D7CBE"/>
    <w:rsid w:val="008E3877"/>
    <w:rsid w:val="008E4746"/>
    <w:rsid w:val="008E4AE3"/>
    <w:rsid w:val="008E5D89"/>
    <w:rsid w:val="008E6FD5"/>
    <w:rsid w:val="008E785A"/>
    <w:rsid w:val="008F07F1"/>
    <w:rsid w:val="008F254E"/>
    <w:rsid w:val="008F341D"/>
    <w:rsid w:val="008F3D8A"/>
    <w:rsid w:val="008F488B"/>
    <w:rsid w:val="008F50D4"/>
    <w:rsid w:val="00900671"/>
    <w:rsid w:val="00901AC7"/>
    <w:rsid w:val="00901EEB"/>
    <w:rsid w:val="00902372"/>
    <w:rsid w:val="009027C4"/>
    <w:rsid w:val="00903EF5"/>
    <w:rsid w:val="009045B3"/>
    <w:rsid w:val="0090473F"/>
    <w:rsid w:val="00904A85"/>
    <w:rsid w:val="00904EAA"/>
    <w:rsid w:val="00905F01"/>
    <w:rsid w:val="0090602D"/>
    <w:rsid w:val="00910CB9"/>
    <w:rsid w:val="00910F72"/>
    <w:rsid w:val="00911896"/>
    <w:rsid w:val="009118BB"/>
    <w:rsid w:val="0091381F"/>
    <w:rsid w:val="00913F6B"/>
    <w:rsid w:val="0091534F"/>
    <w:rsid w:val="00915516"/>
    <w:rsid w:val="0091644F"/>
    <w:rsid w:val="009206C9"/>
    <w:rsid w:val="00920AAC"/>
    <w:rsid w:val="00921852"/>
    <w:rsid w:val="0092289B"/>
    <w:rsid w:val="00925897"/>
    <w:rsid w:val="00927A36"/>
    <w:rsid w:val="0093070D"/>
    <w:rsid w:val="00930CCA"/>
    <w:rsid w:val="00930D10"/>
    <w:rsid w:val="00930F18"/>
    <w:rsid w:val="009324D4"/>
    <w:rsid w:val="009339A1"/>
    <w:rsid w:val="00934D34"/>
    <w:rsid w:val="00941CB8"/>
    <w:rsid w:val="00943BB9"/>
    <w:rsid w:val="009444BE"/>
    <w:rsid w:val="00944F27"/>
    <w:rsid w:val="00946374"/>
    <w:rsid w:val="0094788D"/>
    <w:rsid w:val="009502B1"/>
    <w:rsid w:val="009514C9"/>
    <w:rsid w:val="0095190D"/>
    <w:rsid w:val="0095558B"/>
    <w:rsid w:val="009561A7"/>
    <w:rsid w:val="009563F8"/>
    <w:rsid w:val="009616E4"/>
    <w:rsid w:val="0096241B"/>
    <w:rsid w:val="009628B4"/>
    <w:rsid w:val="00962DA7"/>
    <w:rsid w:val="0096636D"/>
    <w:rsid w:val="009664E7"/>
    <w:rsid w:val="00967079"/>
    <w:rsid w:val="00967B43"/>
    <w:rsid w:val="00970240"/>
    <w:rsid w:val="00970D80"/>
    <w:rsid w:val="009717EA"/>
    <w:rsid w:val="00971EB2"/>
    <w:rsid w:val="009723EA"/>
    <w:rsid w:val="00972A76"/>
    <w:rsid w:val="00972D14"/>
    <w:rsid w:val="00973F55"/>
    <w:rsid w:val="00976E3C"/>
    <w:rsid w:val="00977607"/>
    <w:rsid w:val="009806FF"/>
    <w:rsid w:val="00980B36"/>
    <w:rsid w:val="00981A50"/>
    <w:rsid w:val="00982E8F"/>
    <w:rsid w:val="00984941"/>
    <w:rsid w:val="009860E0"/>
    <w:rsid w:val="009901AA"/>
    <w:rsid w:val="009906F9"/>
    <w:rsid w:val="009911FD"/>
    <w:rsid w:val="00991C75"/>
    <w:rsid w:val="00991DE5"/>
    <w:rsid w:val="00992982"/>
    <w:rsid w:val="00993D61"/>
    <w:rsid w:val="00994D91"/>
    <w:rsid w:val="0099535D"/>
    <w:rsid w:val="0099580F"/>
    <w:rsid w:val="00996BE6"/>
    <w:rsid w:val="009A5B42"/>
    <w:rsid w:val="009A7E2E"/>
    <w:rsid w:val="009A7FC1"/>
    <w:rsid w:val="009B0325"/>
    <w:rsid w:val="009B1D76"/>
    <w:rsid w:val="009B48B4"/>
    <w:rsid w:val="009B4D69"/>
    <w:rsid w:val="009B4D99"/>
    <w:rsid w:val="009B79E5"/>
    <w:rsid w:val="009C19B6"/>
    <w:rsid w:val="009C2400"/>
    <w:rsid w:val="009C2C50"/>
    <w:rsid w:val="009C39F4"/>
    <w:rsid w:val="009C5063"/>
    <w:rsid w:val="009D00FA"/>
    <w:rsid w:val="009D084F"/>
    <w:rsid w:val="009D28B7"/>
    <w:rsid w:val="009E07C6"/>
    <w:rsid w:val="009E1B34"/>
    <w:rsid w:val="009E2184"/>
    <w:rsid w:val="009E2735"/>
    <w:rsid w:val="009E30A4"/>
    <w:rsid w:val="009E4B9D"/>
    <w:rsid w:val="009E4CDB"/>
    <w:rsid w:val="009E78E7"/>
    <w:rsid w:val="009F03B5"/>
    <w:rsid w:val="009F33F1"/>
    <w:rsid w:val="009F34D8"/>
    <w:rsid w:val="009F37B9"/>
    <w:rsid w:val="009F5153"/>
    <w:rsid w:val="009F5671"/>
    <w:rsid w:val="009F6C40"/>
    <w:rsid w:val="009F7E51"/>
    <w:rsid w:val="00A0006C"/>
    <w:rsid w:val="00A00E4C"/>
    <w:rsid w:val="00A024C8"/>
    <w:rsid w:val="00A029E2"/>
    <w:rsid w:val="00A035D9"/>
    <w:rsid w:val="00A037C8"/>
    <w:rsid w:val="00A06C2C"/>
    <w:rsid w:val="00A06D38"/>
    <w:rsid w:val="00A071DF"/>
    <w:rsid w:val="00A10702"/>
    <w:rsid w:val="00A117C5"/>
    <w:rsid w:val="00A12E0E"/>
    <w:rsid w:val="00A14460"/>
    <w:rsid w:val="00A149A2"/>
    <w:rsid w:val="00A14BEF"/>
    <w:rsid w:val="00A14E2E"/>
    <w:rsid w:val="00A155FE"/>
    <w:rsid w:val="00A15F3E"/>
    <w:rsid w:val="00A179A4"/>
    <w:rsid w:val="00A20CEC"/>
    <w:rsid w:val="00A20DAF"/>
    <w:rsid w:val="00A20EF7"/>
    <w:rsid w:val="00A21192"/>
    <w:rsid w:val="00A222E3"/>
    <w:rsid w:val="00A22D73"/>
    <w:rsid w:val="00A22FA1"/>
    <w:rsid w:val="00A246E8"/>
    <w:rsid w:val="00A24836"/>
    <w:rsid w:val="00A25F09"/>
    <w:rsid w:val="00A26535"/>
    <w:rsid w:val="00A26BF2"/>
    <w:rsid w:val="00A26EF9"/>
    <w:rsid w:val="00A31DD8"/>
    <w:rsid w:val="00A32016"/>
    <w:rsid w:val="00A33C8C"/>
    <w:rsid w:val="00A34277"/>
    <w:rsid w:val="00A346F6"/>
    <w:rsid w:val="00A35EB4"/>
    <w:rsid w:val="00A41A17"/>
    <w:rsid w:val="00A435EB"/>
    <w:rsid w:val="00A44159"/>
    <w:rsid w:val="00A45AF9"/>
    <w:rsid w:val="00A51180"/>
    <w:rsid w:val="00A5146B"/>
    <w:rsid w:val="00A523F5"/>
    <w:rsid w:val="00A532D6"/>
    <w:rsid w:val="00A534AF"/>
    <w:rsid w:val="00A54B4D"/>
    <w:rsid w:val="00A5657A"/>
    <w:rsid w:val="00A573AE"/>
    <w:rsid w:val="00A573E8"/>
    <w:rsid w:val="00A60544"/>
    <w:rsid w:val="00A612A0"/>
    <w:rsid w:val="00A61F57"/>
    <w:rsid w:val="00A64161"/>
    <w:rsid w:val="00A6432C"/>
    <w:rsid w:val="00A657FA"/>
    <w:rsid w:val="00A668F0"/>
    <w:rsid w:val="00A677D5"/>
    <w:rsid w:val="00A67A22"/>
    <w:rsid w:val="00A71B76"/>
    <w:rsid w:val="00A731FA"/>
    <w:rsid w:val="00A74633"/>
    <w:rsid w:val="00A7569F"/>
    <w:rsid w:val="00A75706"/>
    <w:rsid w:val="00A75AD1"/>
    <w:rsid w:val="00A7687B"/>
    <w:rsid w:val="00A76D8C"/>
    <w:rsid w:val="00A7729E"/>
    <w:rsid w:val="00A81405"/>
    <w:rsid w:val="00A82D64"/>
    <w:rsid w:val="00A8372C"/>
    <w:rsid w:val="00A85A6B"/>
    <w:rsid w:val="00A904B4"/>
    <w:rsid w:val="00A91EF0"/>
    <w:rsid w:val="00A9286B"/>
    <w:rsid w:val="00A93326"/>
    <w:rsid w:val="00A93D72"/>
    <w:rsid w:val="00A954FD"/>
    <w:rsid w:val="00A96AF0"/>
    <w:rsid w:val="00AA0769"/>
    <w:rsid w:val="00AA1470"/>
    <w:rsid w:val="00AA1B92"/>
    <w:rsid w:val="00AA2738"/>
    <w:rsid w:val="00AA43DB"/>
    <w:rsid w:val="00AA507C"/>
    <w:rsid w:val="00AA535C"/>
    <w:rsid w:val="00AA5BC2"/>
    <w:rsid w:val="00AA623A"/>
    <w:rsid w:val="00AA7FAB"/>
    <w:rsid w:val="00AB01B8"/>
    <w:rsid w:val="00AB0D10"/>
    <w:rsid w:val="00AB36F7"/>
    <w:rsid w:val="00AB3768"/>
    <w:rsid w:val="00AB4757"/>
    <w:rsid w:val="00AB5AF6"/>
    <w:rsid w:val="00AB65EB"/>
    <w:rsid w:val="00AB7B28"/>
    <w:rsid w:val="00AC0148"/>
    <w:rsid w:val="00AC20EE"/>
    <w:rsid w:val="00AC3BDA"/>
    <w:rsid w:val="00AC457A"/>
    <w:rsid w:val="00AC4667"/>
    <w:rsid w:val="00AC5BB1"/>
    <w:rsid w:val="00AC6022"/>
    <w:rsid w:val="00AD1848"/>
    <w:rsid w:val="00AD5DBF"/>
    <w:rsid w:val="00AD7C8F"/>
    <w:rsid w:val="00AE091A"/>
    <w:rsid w:val="00AE4617"/>
    <w:rsid w:val="00AE70BB"/>
    <w:rsid w:val="00AF0B7A"/>
    <w:rsid w:val="00AF49FD"/>
    <w:rsid w:val="00AF6925"/>
    <w:rsid w:val="00AF6DD0"/>
    <w:rsid w:val="00AF6EB9"/>
    <w:rsid w:val="00AF6F1A"/>
    <w:rsid w:val="00AF77E4"/>
    <w:rsid w:val="00B00F7B"/>
    <w:rsid w:val="00B02C6E"/>
    <w:rsid w:val="00B04337"/>
    <w:rsid w:val="00B04763"/>
    <w:rsid w:val="00B10E9A"/>
    <w:rsid w:val="00B11B74"/>
    <w:rsid w:val="00B12FC4"/>
    <w:rsid w:val="00B14474"/>
    <w:rsid w:val="00B15705"/>
    <w:rsid w:val="00B1576D"/>
    <w:rsid w:val="00B15D1A"/>
    <w:rsid w:val="00B16068"/>
    <w:rsid w:val="00B16594"/>
    <w:rsid w:val="00B17172"/>
    <w:rsid w:val="00B17924"/>
    <w:rsid w:val="00B20906"/>
    <w:rsid w:val="00B212DF"/>
    <w:rsid w:val="00B21B7B"/>
    <w:rsid w:val="00B23421"/>
    <w:rsid w:val="00B2351E"/>
    <w:rsid w:val="00B24FB0"/>
    <w:rsid w:val="00B304EC"/>
    <w:rsid w:val="00B3077B"/>
    <w:rsid w:val="00B31FD0"/>
    <w:rsid w:val="00B33BCE"/>
    <w:rsid w:val="00B350A8"/>
    <w:rsid w:val="00B35788"/>
    <w:rsid w:val="00B35B06"/>
    <w:rsid w:val="00B40694"/>
    <w:rsid w:val="00B4161D"/>
    <w:rsid w:val="00B425CD"/>
    <w:rsid w:val="00B4479A"/>
    <w:rsid w:val="00B450B1"/>
    <w:rsid w:val="00B47599"/>
    <w:rsid w:val="00B50F0A"/>
    <w:rsid w:val="00B519B8"/>
    <w:rsid w:val="00B52044"/>
    <w:rsid w:val="00B571FA"/>
    <w:rsid w:val="00B60623"/>
    <w:rsid w:val="00B60A14"/>
    <w:rsid w:val="00B61B0F"/>
    <w:rsid w:val="00B61D2C"/>
    <w:rsid w:val="00B64221"/>
    <w:rsid w:val="00B6683D"/>
    <w:rsid w:val="00B67FE2"/>
    <w:rsid w:val="00B708AF"/>
    <w:rsid w:val="00B733C6"/>
    <w:rsid w:val="00B733F9"/>
    <w:rsid w:val="00B74FDA"/>
    <w:rsid w:val="00B76AD2"/>
    <w:rsid w:val="00B76CC3"/>
    <w:rsid w:val="00B76E4C"/>
    <w:rsid w:val="00B77509"/>
    <w:rsid w:val="00B77B86"/>
    <w:rsid w:val="00B80B8B"/>
    <w:rsid w:val="00B80F08"/>
    <w:rsid w:val="00B852ED"/>
    <w:rsid w:val="00B85A49"/>
    <w:rsid w:val="00B90183"/>
    <w:rsid w:val="00B91E36"/>
    <w:rsid w:val="00B92465"/>
    <w:rsid w:val="00B92D40"/>
    <w:rsid w:val="00B956DC"/>
    <w:rsid w:val="00B97F97"/>
    <w:rsid w:val="00BA1D2B"/>
    <w:rsid w:val="00BA1E7E"/>
    <w:rsid w:val="00BA3374"/>
    <w:rsid w:val="00BA48BB"/>
    <w:rsid w:val="00BA4C19"/>
    <w:rsid w:val="00BA4D31"/>
    <w:rsid w:val="00BA5B21"/>
    <w:rsid w:val="00BB0515"/>
    <w:rsid w:val="00BB0CC2"/>
    <w:rsid w:val="00BB25D4"/>
    <w:rsid w:val="00BB2633"/>
    <w:rsid w:val="00BB409D"/>
    <w:rsid w:val="00BB4A77"/>
    <w:rsid w:val="00BB65E6"/>
    <w:rsid w:val="00BB75D4"/>
    <w:rsid w:val="00BC0A8C"/>
    <w:rsid w:val="00BC0B35"/>
    <w:rsid w:val="00BC1884"/>
    <w:rsid w:val="00BC3460"/>
    <w:rsid w:val="00BC49E9"/>
    <w:rsid w:val="00BC50D7"/>
    <w:rsid w:val="00BC568D"/>
    <w:rsid w:val="00BC6F54"/>
    <w:rsid w:val="00BD13F9"/>
    <w:rsid w:val="00BD258B"/>
    <w:rsid w:val="00BD3ED2"/>
    <w:rsid w:val="00BD6790"/>
    <w:rsid w:val="00BD68CF"/>
    <w:rsid w:val="00BD6933"/>
    <w:rsid w:val="00BE017A"/>
    <w:rsid w:val="00BE2174"/>
    <w:rsid w:val="00BE2298"/>
    <w:rsid w:val="00BE2A5A"/>
    <w:rsid w:val="00BE38C3"/>
    <w:rsid w:val="00BE3BD0"/>
    <w:rsid w:val="00BE404D"/>
    <w:rsid w:val="00BE5273"/>
    <w:rsid w:val="00BE612B"/>
    <w:rsid w:val="00BE638B"/>
    <w:rsid w:val="00BE7EE9"/>
    <w:rsid w:val="00BF1BE7"/>
    <w:rsid w:val="00BF220C"/>
    <w:rsid w:val="00BF26E9"/>
    <w:rsid w:val="00BF3ACE"/>
    <w:rsid w:val="00BF3BA9"/>
    <w:rsid w:val="00BF4C70"/>
    <w:rsid w:val="00BF4F11"/>
    <w:rsid w:val="00BF5D34"/>
    <w:rsid w:val="00BF7698"/>
    <w:rsid w:val="00BF7DD6"/>
    <w:rsid w:val="00BF7E55"/>
    <w:rsid w:val="00BF7E82"/>
    <w:rsid w:val="00BF7EAB"/>
    <w:rsid w:val="00C0079A"/>
    <w:rsid w:val="00C02567"/>
    <w:rsid w:val="00C047A2"/>
    <w:rsid w:val="00C04F48"/>
    <w:rsid w:val="00C050F3"/>
    <w:rsid w:val="00C0612B"/>
    <w:rsid w:val="00C0792E"/>
    <w:rsid w:val="00C1068A"/>
    <w:rsid w:val="00C1076F"/>
    <w:rsid w:val="00C132E7"/>
    <w:rsid w:val="00C1342D"/>
    <w:rsid w:val="00C13D76"/>
    <w:rsid w:val="00C16A6A"/>
    <w:rsid w:val="00C17040"/>
    <w:rsid w:val="00C2102E"/>
    <w:rsid w:val="00C21582"/>
    <w:rsid w:val="00C229CD"/>
    <w:rsid w:val="00C22C7B"/>
    <w:rsid w:val="00C239E4"/>
    <w:rsid w:val="00C270B2"/>
    <w:rsid w:val="00C2711E"/>
    <w:rsid w:val="00C3351D"/>
    <w:rsid w:val="00C34DD3"/>
    <w:rsid w:val="00C42FCD"/>
    <w:rsid w:val="00C4395B"/>
    <w:rsid w:val="00C43C46"/>
    <w:rsid w:val="00C446FC"/>
    <w:rsid w:val="00C46400"/>
    <w:rsid w:val="00C471B2"/>
    <w:rsid w:val="00C47C10"/>
    <w:rsid w:val="00C508C7"/>
    <w:rsid w:val="00C52843"/>
    <w:rsid w:val="00C53B88"/>
    <w:rsid w:val="00C54667"/>
    <w:rsid w:val="00C559B1"/>
    <w:rsid w:val="00C559F5"/>
    <w:rsid w:val="00C560D9"/>
    <w:rsid w:val="00C56223"/>
    <w:rsid w:val="00C6035D"/>
    <w:rsid w:val="00C628E1"/>
    <w:rsid w:val="00C642AC"/>
    <w:rsid w:val="00C65BE3"/>
    <w:rsid w:val="00C668DA"/>
    <w:rsid w:val="00C67AB0"/>
    <w:rsid w:val="00C71B59"/>
    <w:rsid w:val="00C73535"/>
    <w:rsid w:val="00C758E7"/>
    <w:rsid w:val="00C759A6"/>
    <w:rsid w:val="00C76C81"/>
    <w:rsid w:val="00C81B2A"/>
    <w:rsid w:val="00C82DF3"/>
    <w:rsid w:val="00C82FE4"/>
    <w:rsid w:val="00C8394C"/>
    <w:rsid w:val="00C905A2"/>
    <w:rsid w:val="00C93752"/>
    <w:rsid w:val="00C94772"/>
    <w:rsid w:val="00C954A3"/>
    <w:rsid w:val="00C9697A"/>
    <w:rsid w:val="00CB2615"/>
    <w:rsid w:val="00CB3873"/>
    <w:rsid w:val="00CB399C"/>
    <w:rsid w:val="00CB5EB3"/>
    <w:rsid w:val="00CB7104"/>
    <w:rsid w:val="00CB7C87"/>
    <w:rsid w:val="00CC06B3"/>
    <w:rsid w:val="00CC40C3"/>
    <w:rsid w:val="00CC54C1"/>
    <w:rsid w:val="00CC6641"/>
    <w:rsid w:val="00CC7CBD"/>
    <w:rsid w:val="00CD2605"/>
    <w:rsid w:val="00CD2DA4"/>
    <w:rsid w:val="00CD43D9"/>
    <w:rsid w:val="00CD7029"/>
    <w:rsid w:val="00CD7CE4"/>
    <w:rsid w:val="00CE3C24"/>
    <w:rsid w:val="00CE63CE"/>
    <w:rsid w:val="00CF0279"/>
    <w:rsid w:val="00CF0D99"/>
    <w:rsid w:val="00CF12D3"/>
    <w:rsid w:val="00CF1672"/>
    <w:rsid w:val="00CF1D36"/>
    <w:rsid w:val="00CF205A"/>
    <w:rsid w:val="00CF3F5E"/>
    <w:rsid w:val="00CF6A2F"/>
    <w:rsid w:val="00D00132"/>
    <w:rsid w:val="00D00ADB"/>
    <w:rsid w:val="00D01D0A"/>
    <w:rsid w:val="00D0229B"/>
    <w:rsid w:val="00D052F5"/>
    <w:rsid w:val="00D05771"/>
    <w:rsid w:val="00D115B5"/>
    <w:rsid w:val="00D11BBB"/>
    <w:rsid w:val="00D14B05"/>
    <w:rsid w:val="00D14D29"/>
    <w:rsid w:val="00D162F7"/>
    <w:rsid w:val="00D1769E"/>
    <w:rsid w:val="00D17A2A"/>
    <w:rsid w:val="00D2158A"/>
    <w:rsid w:val="00D26E5A"/>
    <w:rsid w:val="00D27321"/>
    <w:rsid w:val="00D31E80"/>
    <w:rsid w:val="00D32874"/>
    <w:rsid w:val="00D329E9"/>
    <w:rsid w:val="00D32D25"/>
    <w:rsid w:val="00D358D5"/>
    <w:rsid w:val="00D36095"/>
    <w:rsid w:val="00D36497"/>
    <w:rsid w:val="00D365ED"/>
    <w:rsid w:val="00D4110B"/>
    <w:rsid w:val="00D42E71"/>
    <w:rsid w:val="00D44B37"/>
    <w:rsid w:val="00D459DC"/>
    <w:rsid w:val="00D47256"/>
    <w:rsid w:val="00D51D39"/>
    <w:rsid w:val="00D51E6C"/>
    <w:rsid w:val="00D543C9"/>
    <w:rsid w:val="00D54F94"/>
    <w:rsid w:val="00D5553D"/>
    <w:rsid w:val="00D55829"/>
    <w:rsid w:val="00D56789"/>
    <w:rsid w:val="00D569E4"/>
    <w:rsid w:val="00D579FE"/>
    <w:rsid w:val="00D61D1A"/>
    <w:rsid w:val="00D62BA8"/>
    <w:rsid w:val="00D63885"/>
    <w:rsid w:val="00D63913"/>
    <w:rsid w:val="00D64194"/>
    <w:rsid w:val="00D646AC"/>
    <w:rsid w:val="00D6545A"/>
    <w:rsid w:val="00D6547F"/>
    <w:rsid w:val="00D705D8"/>
    <w:rsid w:val="00D71D06"/>
    <w:rsid w:val="00D7204C"/>
    <w:rsid w:val="00D7217E"/>
    <w:rsid w:val="00D72701"/>
    <w:rsid w:val="00D760C6"/>
    <w:rsid w:val="00D77CC8"/>
    <w:rsid w:val="00D8096C"/>
    <w:rsid w:val="00D8122B"/>
    <w:rsid w:val="00D81576"/>
    <w:rsid w:val="00D81B53"/>
    <w:rsid w:val="00D838EA"/>
    <w:rsid w:val="00D8406B"/>
    <w:rsid w:val="00D85369"/>
    <w:rsid w:val="00D85C9B"/>
    <w:rsid w:val="00D87844"/>
    <w:rsid w:val="00D87B93"/>
    <w:rsid w:val="00D92A04"/>
    <w:rsid w:val="00D9386E"/>
    <w:rsid w:val="00D946CC"/>
    <w:rsid w:val="00D94FDA"/>
    <w:rsid w:val="00D977EC"/>
    <w:rsid w:val="00D978C9"/>
    <w:rsid w:val="00DA1345"/>
    <w:rsid w:val="00DA1EFB"/>
    <w:rsid w:val="00DA37C9"/>
    <w:rsid w:val="00DA5E50"/>
    <w:rsid w:val="00DA5F09"/>
    <w:rsid w:val="00DA7E8D"/>
    <w:rsid w:val="00DB039E"/>
    <w:rsid w:val="00DB1906"/>
    <w:rsid w:val="00DB3476"/>
    <w:rsid w:val="00DB4A34"/>
    <w:rsid w:val="00DB5EF4"/>
    <w:rsid w:val="00DC0711"/>
    <w:rsid w:val="00DC12D1"/>
    <w:rsid w:val="00DC2004"/>
    <w:rsid w:val="00DC3295"/>
    <w:rsid w:val="00DC470B"/>
    <w:rsid w:val="00DC667E"/>
    <w:rsid w:val="00DC734A"/>
    <w:rsid w:val="00DC7412"/>
    <w:rsid w:val="00DC7D29"/>
    <w:rsid w:val="00DD0B97"/>
    <w:rsid w:val="00DD10AB"/>
    <w:rsid w:val="00DD1A12"/>
    <w:rsid w:val="00DD4F99"/>
    <w:rsid w:val="00DD5584"/>
    <w:rsid w:val="00DD6945"/>
    <w:rsid w:val="00DD76AE"/>
    <w:rsid w:val="00DE24C6"/>
    <w:rsid w:val="00DE6D9C"/>
    <w:rsid w:val="00DF02F3"/>
    <w:rsid w:val="00DF110B"/>
    <w:rsid w:val="00DF230D"/>
    <w:rsid w:val="00DF42DD"/>
    <w:rsid w:val="00DF4CB7"/>
    <w:rsid w:val="00DF5B67"/>
    <w:rsid w:val="00DF5E15"/>
    <w:rsid w:val="00DF60E2"/>
    <w:rsid w:val="00E03952"/>
    <w:rsid w:val="00E056F8"/>
    <w:rsid w:val="00E059DC"/>
    <w:rsid w:val="00E10336"/>
    <w:rsid w:val="00E1119C"/>
    <w:rsid w:val="00E11C81"/>
    <w:rsid w:val="00E20685"/>
    <w:rsid w:val="00E20C89"/>
    <w:rsid w:val="00E210C4"/>
    <w:rsid w:val="00E23352"/>
    <w:rsid w:val="00E24065"/>
    <w:rsid w:val="00E24221"/>
    <w:rsid w:val="00E25849"/>
    <w:rsid w:val="00E312B8"/>
    <w:rsid w:val="00E31C62"/>
    <w:rsid w:val="00E32885"/>
    <w:rsid w:val="00E33E5F"/>
    <w:rsid w:val="00E377B0"/>
    <w:rsid w:val="00E37B74"/>
    <w:rsid w:val="00E37C63"/>
    <w:rsid w:val="00E43350"/>
    <w:rsid w:val="00E44E82"/>
    <w:rsid w:val="00E44F9E"/>
    <w:rsid w:val="00E45576"/>
    <w:rsid w:val="00E50E8E"/>
    <w:rsid w:val="00E539E4"/>
    <w:rsid w:val="00E5707A"/>
    <w:rsid w:val="00E604E7"/>
    <w:rsid w:val="00E6124C"/>
    <w:rsid w:val="00E62C71"/>
    <w:rsid w:val="00E62DDA"/>
    <w:rsid w:val="00E64B41"/>
    <w:rsid w:val="00E64BD9"/>
    <w:rsid w:val="00E65329"/>
    <w:rsid w:val="00E70086"/>
    <w:rsid w:val="00E722B8"/>
    <w:rsid w:val="00E743AA"/>
    <w:rsid w:val="00E74D3F"/>
    <w:rsid w:val="00E75D4B"/>
    <w:rsid w:val="00E77A3A"/>
    <w:rsid w:val="00E80103"/>
    <w:rsid w:val="00E8012F"/>
    <w:rsid w:val="00E80F3D"/>
    <w:rsid w:val="00E817FC"/>
    <w:rsid w:val="00E8216F"/>
    <w:rsid w:val="00E82748"/>
    <w:rsid w:val="00E83C22"/>
    <w:rsid w:val="00E856BA"/>
    <w:rsid w:val="00E869D8"/>
    <w:rsid w:val="00E8701D"/>
    <w:rsid w:val="00E87709"/>
    <w:rsid w:val="00E911E3"/>
    <w:rsid w:val="00E9139B"/>
    <w:rsid w:val="00E940D3"/>
    <w:rsid w:val="00E956EF"/>
    <w:rsid w:val="00E96616"/>
    <w:rsid w:val="00E96800"/>
    <w:rsid w:val="00E96C1C"/>
    <w:rsid w:val="00EA00BA"/>
    <w:rsid w:val="00EA6833"/>
    <w:rsid w:val="00EB0FDB"/>
    <w:rsid w:val="00EB159B"/>
    <w:rsid w:val="00EB453D"/>
    <w:rsid w:val="00EB4979"/>
    <w:rsid w:val="00EB5CB2"/>
    <w:rsid w:val="00EB68FD"/>
    <w:rsid w:val="00EC12C4"/>
    <w:rsid w:val="00EC2039"/>
    <w:rsid w:val="00EC26BA"/>
    <w:rsid w:val="00EC458F"/>
    <w:rsid w:val="00EC65A8"/>
    <w:rsid w:val="00EC74BA"/>
    <w:rsid w:val="00EC794B"/>
    <w:rsid w:val="00ED1062"/>
    <w:rsid w:val="00ED5810"/>
    <w:rsid w:val="00ED5CA4"/>
    <w:rsid w:val="00EE0A07"/>
    <w:rsid w:val="00EE0A91"/>
    <w:rsid w:val="00EE1FBC"/>
    <w:rsid w:val="00EE40C6"/>
    <w:rsid w:val="00EE7152"/>
    <w:rsid w:val="00EE7FFE"/>
    <w:rsid w:val="00EF05E5"/>
    <w:rsid w:val="00EF0D50"/>
    <w:rsid w:val="00EF1CA1"/>
    <w:rsid w:val="00EF30C8"/>
    <w:rsid w:val="00EF3B07"/>
    <w:rsid w:val="00EF74BE"/>
    <w:rsid w:val="00F00158"/>
    <w:rsid w:val="00F0058E"/>
    <w:rsid w:val="00F009D8"/>
    <w:rsid w:val="00F0259A"/>
    <w:rsid w:val="00F025B4"/>
    <w:rsid w:val="00F03041"/>
    <w:rsid w:val="00F03AE1"/>
    <w:rsid w:val="00F0452B"/>
    <w:rsid w:val="00F06BBC"/>
    <w:rsid w:val="00F06CDB"/>
    <w:rsid w:val="00F074A5"/>
    <w:rsid w:val="00F10E73"/>
    <w:rsid w:val="00F112DA"/>
    <w:rsid w:val="00F1147B"/>
    <w:rsid w:val="00F11A54"/>
    <w:rsid w:val="00F13F6D"/>
    <w:rsid w:val="00F14489"/>
    <w:rsid w:val="00F14C51"/>
    <w:rsid w:val="00F1583B"/>
    <w:rsid w:val="00F15FC4"/>
    <w:rsid w:val="00F17C29"/>
    <w:rsid w:val="00F221E9"/>
    <w:rsid w:val="00F22B02"/>
    <w:rsid w:val="00F24563"/>
    <w:rsid w:val="00F25A0C"/>
    <w:rsid w:val="00F269C3"/>
    <w:rsid w:val="00F26FBD"/>
    <w:rsid w:val="00F27685"/>
    <w:rsid w:val="00F27C99"/>
    <w:rsid w:val="00F30DCE"/>
    <w:rsid w:val="00F3352F"/>
    <w:rsid w:val="00F35307"/>
    <w:rsid w:val="00F414F2"/>
    <w:rsid w:val="00F41FFB"/>
    <w:rsid w:val="00F420B9"/>
    <w:rsid w:val="00F431B9"/>
    <w:rsid w:val="00F43E2A"/>
    <w:rsid w:val="00F44019"/>
    <w:rsid w:val="00F4411D"/>
    <w:rsid w:val="00F44730"/>
    <w:rsid w:val="00F447F0"/>
    <w:rsid w:val="00F44CC1"/>
    <w:rsid w:val="00F45624"/>
    <w:rsid w:val="00F4739E"/>
    <w:rsid w:val="00F47BB4"/>
    <w:rsid w:val="00F47FC0"/>
    <w:rsid w:val="00F50B09"/>
    <w:rsid w:val="00F53235"/>
    <w:rsid w:val="00F56394"/>
    <w:rsid w:val="00F60274"/>
    <w:rsid w:val="00F609EF"/>
    <w:rsid w:val="00F62AA9"/>
    <w:rsid w:val="00F64140"/>
    <w:rsid w:val="00F6544D"/>
    <w:rsid w:val="00F678D8"/>
    <w:rsid w:val="00F7026A"/>
    <w:rsid w:val="00F70CA5"/>
    <w:rsid w:val="00F71233"/>
    <w:rsid w:val="00F72082"/>
    <w:rsid w:val="00F736AD"/>
    <w:rsid w:val="00F73A52"/>
    <w:rsid w:val="00F7442C"/>
    <w:rsid w:val="00F7716D"/>
    <w:rsid w:val="00F81662"/>
    <w:rsid w:val="00F82BFB"/>
    <w:rsid w:val="00F93841"/>
    <w:rsid w:val="00FA057F"/>
    <w:rsid w:val="00FA1ED2"/>
    <w:rsid w:val="00FA3FE8"/>
    <w:rsid w:val="00FA582E"/>
    <w:rsid w:val="00FA5DB7"/>
    <w:rsid w:val="00FA7A73"/>
    <w:rsid w:val="00FB0FF0"/>
    <w:rsid w:val="00FB34EE"/>
    <w:rsid w:val="00FB3F80"/>
    <w:rsid w:val="00FB49DB"/>
    <w:rsid w:val="00FB53EC"/>
    <w:rsid w:val="00FC0F13"/>
    <w:rsid w:val="00FC3603"/>
    <w:rsid w:val="00FC3DF1"/>
    <w:rsid w:val="00FC749F"/>
    <w:rsid w:val="00FC7C95"/>
    <w:rsid w:val="00FC7F32"/>
    <w:rsid w:val="00FD1504"/>
    <w:rsid w:val="00FD2812"/>
    <w:rsid w:val="00FD44D1"/>
    <w:rsid w:val="00FD4BBE"/>
    <w:rsid w:val="00FD566A"/>
    <w:rsid w:val="00FD5AD2"/>
    <w:rsid w:val="00FD6339"/>
    <w:rsid w:val="00FD63D7"/>
    <w:rsid w:val="00FE14DD"/>
    <w:rsid w:val="00FE2830"/>
    <w:rsid w:val="00FE6F6B"/>
    <w:rsid w:val="00FE7A63"/>
    <w:rsid w:val="00FE7D77"/>
    <w:rsid w:val="00FF2693"/>
    <w:rsid w:val="00FF2A01"/>
    <w:rsid w:val="00FF34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43E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191A"/>
    <w:pPr>
      <w:spacing w:before="240" w:after="240" w:line="300" w:lineRule="auto"/>
    </w:pPr>
    <w:rPr>
      <w:rFonts w:ascii="Arial" w:hAnsi="Arial"/>
    </w:rPr>
  </w:style>
  <w:style w:type="paragraph" w:styleId="Heading1">
    <w:name w:val="heading 1"/>
    <w:basedOn w:val="Normal"/>
    <w:next w:val="Normal"/>
    <w:link w:val="Heading1Char"/>
    <w:uiPriority w:val="9"/>
    <w:qFormat/>
    <w:rsid w:val="0085191A"/>
    <w:pPr>
      <w:keepLines/>
      <w:numPr>
        <w:numId w:val="8"/>
      </w:numPr>
      <w:spacing w:before="600" w:after="600" w:line="240" w:lineRule="auto"/>
      <w:outlineLvl w:val="0"/>
    </w:pPr>
    <w:rPr>
      <w:rFonts w:ascii="Franklin Gothic Heavy" w:eastAsiaTheme="majorEastAsia" w:hAnsi="Franklin Gothic Heavy" w:cstheme="majorBidi"/>
      <w:bCs/>
      <w:color w:val="2F5496" w:themeColor="accent5" w:themeShade="BF"/>
      <w:spacing w:val="20"/>
      <w:sz w:val="36"/>
      <w:szCs w:val="28"/>
    </w:rPr>
  </w:style>
  <w:style w:type="paragraph" w:styleId="Heading2">
    <w:name w:val="heading 2"/>
    <w:basedOn w:val="Normal"/>
    <w:next w:val="Normal"/>
    <w:link w:val="Heading2Char"/>
    <w:uiPriority w:val="9"/>
    <w:unhideWhenUsed/>
    <w:qFormat/>
    <w:rsid w:val="00001CAE"/>
    <w:pPr>
      <w:keepLines/>
      <w:numPr>
        <w:ilvl w:val="1"/>
        <w:numId w:val="8"/>
      </w:numPr>
      <w:spacing w:before="600" w:after="360" w:line="240" w:lineRule="auto"/>
      <w:outlineLvl w:val="1"/>
    </w:pPr>
    <w:rPr>
      <w:rFonts w:ascii="Franklin Gothic Medium" w:eastAsiaTheme="majorEastAsia" w:hAnsi="Franklin Gothic Medium" w:cstheme="majorBidi"/>
      <w:b/>
      <w:bCs/>
      <w:color w:val="2F5496" w:themeColor="accent5" w:themeShade="BF"/>
      <w:sz w:val="32"/>
      <w:szCs w:val="26"/>
    </w:rPr>
  </w:style>
  <w:style w:type="paragraph" w:styleId="Heading3">
    <w:name w:val="heading 3"/>
    <w:basedOn w:val="Normal"/>
    <w:next w:val="Normal"/>
    <w:link w:val="Heading3Char"/>
    <w:uiPriority w:val="9"/>
    <w:unhideWhenUsed/>
    <w:qFormat/>
    <w:rsid w:val="00001CAE"/>
    <w:pPr>
      <w:keepLines/>
      <w:numPr>
        <w:ilvl w:val="2"/>
        <w:numId w:val="8"/>
      </w:numPr>
      <w:spacing w:before="600" w:after="360" w:line="240" w:lineRule="auto"/>
      <w:outlineLvl w:val="2"/>
    </w:pPr>
    <w:rPr>
      <w:rFonts w:ascii="Franklin Gothic Medium" w:eastAsiaTheme="majorEastAsia" w:hAnsi="Franklin Gothic Medium" w:cstheme="majorBidi"/>
      <w:b/>
      <w:bCs/>
      <w:color w:val="2F5496" w:themeColor="accent5" w:themeShade="BF"/>
      <w:spacing w:val="14"/>
      <w:sz w:val="28"/>
    </w:rPr>
  </w:style>
  <w:style w:type="paragraph" w:styleId="Heading4">
    <w:name w:val="heading 4"/>
    <w:basedOn w:val="Normal"/>
    <w:next w:val="Normal"/>
    <w:link w:val="Heading4Char"/>
    <w:uiPriority w:val="9"/>
    <w:unhideWhenUsed/>
    <w:qFormat/>
    <w:rsid w:val="00001CAE"/>
    <w:pPr>
      <w:keepLines/>
      <w:numPr>
        <w:ilvl w:val="3"/>
        <w:numId w:val="8"/>
      </w:numPr>
      <w:spacing w:before="600" w:after="360" w:line="240" w:lineRule="auto"/>
      <w:outlineLvl w:val="3"/>
    </w:pPr>
    <w:rPr>
      <w:rFonts w:ascii="Franklin Gothic Medium" w:eastAsiaTheme="majorEastAsia" w:hAnsi="Franklin Gothic Medium" w:cstheme="majorBidi"/>
      <w:bCs/>
      <w:iCs/>
      <w:color w:val="2F5496" w:themeColor="accent5" w:themeShade="BF"/>
      <w:sz w:val="24"/>
    </w:rPr>
  </w:style>
  <w:style w:type="paragraph" w:styleId="Heading5">
    <w:name w:val="heading 5"/>
    <w:basedOn w:val="Normal"/>
    <w:next w:val="Normal"/>
    <w:link w:val="Heading5Char"/>
    <w:uiPriority w:val="9"/>
    <w:unhideWhenUsed/>
    <w:qFormat/>
    <w:rsid w:val="00400DA8"/>
    <w:pPr>
      <w:keepLines/>
      <w:numPr>
        <w:ilvl w:val="4"/>
        <w:numId w:val="8"/>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unhideWhenUsed/>
    <w:qFormat/>
    <w:rsid w:val="00400DA8"/>
    <w:pPr>
      <w:keepLines/>
      <w:numPr>
        <w:ilvl w:val="5"/>
        <w:numId w:val="8"/>
      </w:numPr>
      <w:spacing w:before="200" w:after="0"/>
      <w:outlineLvl w:val="5"/>
    </w:pPr>
    <w:rPr>
      <w:rFonts w:asciiTheme="majorHAnsi" w:eastAsiaTheme="majorEastAsia" w:hAnsiTheme="majorHAnsi" w:cstheme="majorBidi"/>
      <w:iCs/>
      <w:color w:val="5B9BD5" w:themeColor="accent1"/>
    </w:rPr>
  </w:style>
  <w:style w:type="paragraph" w:styleId="Heading7">
    <w:name w:val="heading 7"/>
    <w:basedOn w:val="Normal"/>
    <w:next w:val="Normal"/>
    <w:link w:val="Heading7Char"/>
    <w:uiPriority w:val="9"/>
    <w:unhideWhenUsed/>
    <w:qFormat/>
    <w:rsid w:val="00400DA8"/>
    <w:pPr>
      <w:keepLines/>
      <w:numPr>
        <w:ilvl w:val="6"/>
        <w:numId w:val="8"/>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400DA8"/>
    <w:pPr>
      <w:keepLines/>
      <w:numPr>
        <w:ilvl w:val="7"/>
        <w:numId w:val="8"/>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400DA8"/>
    <w:pPr>
      <w:keepLines/>
      <w:numPr>
        <w:ilvl w:val="8"/>
        <w:numId w:val="8"/>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91A"/>
    <w:rPr>
      <w:rFonts w:ascii="Franklin Gothic Heavy" w:eastAsiaTheme="majorEastAsia" w:hAnsi="Franklin Gothic Heavy" w:cstheme="majorBidi"/>
      <w:bCs/>
      <w:color w:val="2F5496" w:themeColor="accent5" w:themeShade="BF"/>
      <w:spacing w:val="20"/>
      <w:sz w:val="36"/>
      <w:szCs w:val="28"/>
    </w:rPr>
  </w:style>
  <w:style w:type="character" w:customStyle="1" w:styleId="Heading2Char">
    <w:name w:val="Heading 2 Char"/>
    <w:basedOn w:val="DefaultParagraphFont"/>
    <w:link w:val="Heading2"/>
    <w:uiPriority w:val="9"/>
    <w:rsid w:val="00001CAE"/>
    <w:rPr>
      <w:rFonts w:ascii="Franklin Gothic Medium" w:eastAsiaTheme="majorEastAsia" w:hAnsi="Franklin Gothic Medium" w:cstheme="majorBidi"/>
      <w:b/>
      <w:bCs/>
      <w:color w:val="2F5496" w:themeColor="accent5" w:themeShade="BF"/>
      <w:sz w:val="32"/>
      <w:szCs w:val="26"/>
    </w:rPr>
  </w:style>
  <w:style w:type="character" w:customStyle="1" w:styleId="Heading3Char">
    <w:name w:val="Heading 3 Char"/>
    <w:basedOn w:val="DefaultParagraphFont"/>
    <w:link w:val="Heading3"/>
    <w:uiPriority w:val="9"/>
    <w:rsid w:val="00001CAE"/>
    <w:rPr>
      <w:rFonts w:ascii="Franklin Gothic Medium" w:eastAsiaTheme="majorEastAsia" w:hAnsi="Franklin Gothic Medium" w:cstheme="majorBidi"/>
      <w:b/>
      <w:bCs/>
      <w:color w:val="2F5496" w:themeColor="accent5" w:themeShade="BF"/>
      <w:spacing w:val="14"/>
      <w:sz w:val="28"/>
    </w:rPr>
  </w:style>
  <w:style w:type="character" w:customStyle="1" w:styleId="Heading4Char">
    <w:name w:val="Heading 4 Char"/>
    <w:basedOn w:val="DefaultParagraphFont"/>
    <w:link w:val="Heading4"/>
    <w:uiPriority w:val="9"/>
    <w:rsid w:val="00001CAE"/>
    <w:rPr>
      <w:rFonts w:ascii="Franklin Gothic Medium" w:eastAsiaTheme="majorEastAsia" w:hAnsi="Franklin Gothic Medium" w:cstheme="majorBidi"/>
      <w:bCs/>
      <w:iCs/>
      <w:color w:val="2F5496" w:themeColor="accent5" w:themeShade="BF"/>
      <w:sz w:val="24"/>
    </w:rPr>
  </w:style>
  <w:style w:type="character" w:customStyle="1" w:styleId="Heading5Char">
    <w:name w:val="Heading 5 Char"/>
    <w:basedOn w:val="DefaultParagraphFont"/>
    <w:link w:val="Heading5"/>
    <w:uiPriority w:val="9"/>
    <w:rsid w:val="00806F6A"/>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rsid w:val="00806F6A"/>
    <w:rPr>
      <w:rFonts w:asciiTheme="majorHAnsi" w:eastAsiaTheme="majorEastAsia" w:hAnsiTheme="majorHAnsi" w:cstheme="majorBidi"/>
      <w:iCs/>
      <w:color w:val="5B9BD5" w:themeColor="accent1"/>
    </w:rPr>
  </w:style>
  <w:style w:type="character" w:customStyle="1" w:styleId="Heading7Char">
    <w:name w:val="Heading 7 Char"/>
    <w:basedOn w:val="DefaultParagraphFont"/>
    <w:link w:val="Heading7"/>
    <w:uiPriority w:val="9"/>
    <w:rsid w:val="00806F6A"/>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806F6A"/>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806F6A"/>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rsid w:val="002C7808"/>
    <w:pPr>
      <w:spacing w:line="240" w:lineRule="auto"/>
    </w:pPr>
    <w:rPr>
      <w:rFonts w:eastAsiaTheme="minorEastAsia"/>
      <w:b/>
      <w:bCs/>
      <w:color w:val="2F5496" w:themeColor="accent5" w:themeShade="BF"/>
      <w:spacing w:val="6"/>
      <w:szCs w:val="18"/>
      <w:lang w:bidi="hi-IN"/>
    </w:rPr>
  </w:style>
  <w:style w:type="paragraph" w:styleId="Title">
    <w:name w:val="Title"/>
    <w:basedOn w:val="Normal"/>
    <w:next w:val="Normal"/>
    <w:link w:val="TitleChar"/>
    <w:uiPriority w:val="10"/>
    <w:qFormat/>
    <w:rsid w:val="009B4D69"/>
    <w:pPr>
      <w:spacing w:before="2760" w:after="0" w:line="240" w:lineRule="auto"/>
    </w:pPr>
    <w:rPr>
      <w:rFonts w:ascii="Franklin Gothic Heavy" w:eastAsiaTheme="majorEastAsia" w:hAnsi="Franklin Gothic Heavy" w:cstheme="majorBidi"/>
      <w:color w:val="2F5496" w:themeColor="accent5" w:themeShade="BF"/>
      <w:spacing w:val="30"/>
      <w:kern w:val="28"/>
      <w:sz w:val="56"/>
      <w:szCs w:val="52"/>
    </w:rPr>
  </w:style>
  <w:style w:type="character" w:customStyle="1" w:styleId="TitleChar">
    <w:name w:val="Title Char"/>
    <w:basedOn w:val="DefaultParagraphFont"/>
    <w:link w:val="Title"/>
    <w:uiPriority w:val="10"/>
    <w:rsid w:val="009B4D69"/>
    <w:rPr>
      <w:rFonts w:ascii="Franklin Gothic Heavy" w:eastAsiaTheme="majorEastAsia" w:hAnsi="Franklin Gothic Heavy" w:cstheme="majorBidi"/>
      <w:color w:val="2F5496" w:themeColor="accent5" w:themeShade="BF"/>
      <w:spacing w:val="30"/>
      <w:kern w:val="28"/>
      <w:sz w:val="56"/>
      <w:szCs w:val="52"/>
    </w:rPr>
  </w:style>
  <w:style w:type="paragraph" w:styleId="Subtitle">
    <w:name w:val="Subtitle"/>
    <w:basedOn w:val="Normal"/>
    <w:next w:val="Normal"/>
    <w:link w:val="SubtitleChar"/>
    <w:uiPriority w:val="11"/>
    <w:qFormat/>
    <w:rsid w:val="00AB0D10"/>
    <w:pPr>
      <w:numPr>
        <w:ilvl w:val="1"/>
      </w:numPr>
      <w:spacing w:before="480" w:after="3240"/>
    </w:pPr>
    <w:rPr>
      <w:rFonts w:eastAsiaTheme="majorEastAsia" w:cstheme="majorBidi"/>
      <w:iCs/>
      <w:color w:val="E6418D"/>
      <w:sz w:val="40"/>
      <w:szCs w:val="24"/>
      <w:lang w:bidi="hi-IN"/>
    </w:rPr>
  </w:style>
  <w:style w:type="character" w:customStyle="1" w:styleId="SubtitleChar">
    <w:name w:val="Subtitle Char"/>
    <w:basedOn w:val="DefaultParagraphFont"/>
    <w:link w:val="Subtitle"/>
    <w:uiPriority w:val="11"/>
    <w:rsid w:val="00AB0D10"/>
    <w:rPr>
      <w:rFonts w:ascii="Arial" w:eastAsiaTheme="majorEastAsia" w:hAnsi="Arial" w:cstheme="majorBidi"/>
      <w:iCs/>
      <w:color w:val="E6418D"/>
      <w:sz w:val="40"/>
      <w:szCs w:val="24"/>
      <w:lang w:bidi="hi-IN"/>
    </w:rPr>
  </w:style>
  <w:style w:type="character" w:styleId="Strong">
    <w:name w:val="Strong"/>
    <w:basedOn w:val="DefaultParagraphFont"/>
    <w:uiPriority w:val="22"/>
    <w:qFormat/>
    <w:rsid w:val="00D64194"/>
    <w:rPr>
      <w:b/>
      <w:bCs/>
      <w:i w:val="0"/>
      <w:color w:val="000000" w:themeColor="text1"/>
      <w:sz w:val="22"/>
    </w:rPr>
  </w:style>
  <w:style w:type="character" w:styleId="Emphasis">
    <w:name w:val="Emphasis"/>
    <w:basedOn w:val="DefaultParagraphFont"/>
    <w:uiPriority w:val="20"/>
    <w:qFormat/>
    <w:rsid w:val="001C193E"/>
    <w:rPr>
      <w:rFonts w:ascii="Arial" w:hAnsi="Arial"/>
      <w:b/>
      <w:i w:val="0"/>
      <w:iCs/>
    </w:rPr>
  </w:style>
  <w:style w:type="paragraph" w:styleId="NoSpacing">
    <w:name w:val="No Spacing"/>
    <w:link w:val="NoSpacingChar"/>
    <w:uiPriority w:val="1"/>
    <w:qFormat/>
    <w:rsid w:val="00806F6A"/>
    <w:pPr>
      <w:spacing w:after="0" w:line="240" w:lineRule="auto"/>
    </w:pPr>
  </w:style>
  <w:style w:type="character" w:customStyle="1" w:styleId="NoSpacingChar">
    <w:name w:val="No Spacing Char"/>
    <w:basedOn w:val="DefaultParagraphFont"/>
    <w:link w:val="NoSpacing"/>
    <w:uiPriority w:val="1"/>
    <w:rsid w:val="00806F6A"/>
  </w:style>
  <w:style w:type="paragraph" w:styleId="ListParagraph">
    <w:name w:val="List Paragraph"/>
    <w:basedOn w:val="Normal"/>
    <w:link w:val="ListParagraphChar"/>
    <w:uiPriority w:val="34"/>
    <w:qFormat/>
    <w:rsid w:val="00684A04"/>
    <w:pPr>
      <w:numPr>
        <w:numId w:val="1"/>
      </w:numPr>
      <w:spacing w:line="240" w:lineRule="auto"/>
      <w:contextualSpacing/>
    </w:pPr>
    <w:rPr>
      <w:color w:val="000000" w:themeColor="text1"/>
    </w:rPr>
  </w:style>
  <w:style w:type="paragraph" w:styleId="Quote">
    <w:name w:val="Quote"/>
    <w:basedOn w:val="Normal"/>
    <w:next w:val="Normal"/>
    <w:link w:val="QuoteChar"/>
    <w:uiPriority w:val="29"/>
    <w:qFormat/>
    <w:rsid w:val="00806F6A"/>
    <w:pPr>
      <w:spacing w:after="0" w:line="360" w:lineRule="auto"/>
      <w:jc w:val="center"/>
    </w:pPr>
    <w:rPr>
      <w:rFonts w:eastAsiaTheme="minorEastAsia"/>
      <w:b/>
      <w:i/>
      <w:iCs/>
      <w:color w:val="5B9BD5" w:themeColor="accent1"/>
      <w:sz w:val="26"/>
      <w:lang w:bidi="hi-IN"/>
    </w:rPr>
  </w:style>
  <w:style w:type="character" w:customStyle="1" w:styleId="QuoteChar">
    <w:name w:val="Quote Char"/>
    <w:basedOn w:val="DefaultParagraphFont"/>
    <w:link w:val="Quote"/>
    <w:uiPriority w:val="29"/>
    <w:rsid w:val="00806F6A"/>
    <w:rPr>
      <w:rFonts w:eastAsiaTheme="minorEastAsia"/>
      <w:b/>
      <w:i/>
      <w:iCs/>
      <w:color w:val="5B9BD5" w:themeColor="accent1"/>
      <w:sz w:val="26"/>
      <w:lang w:bidi="hi-IN"/>
    </w:rPr>
  </w:style>
  <w:style w:type="paragraph" w:styleId="IntenseQuote">
    <w:name w:val="Intense Quote"/>
    <w:basedOn w:val="Normal"/>
    <w:next w:val="Normal"/>
    <w:link w:val="IntenseQuoteChar"/>
    <w:uiPriority w:val="30"/>
    <w:qFormat/>
    <w:rsid w:val="003D6918"/>
    <w:pPr>
      <w:pBdr>
        <w:top w:val="single" w:sz="48" w:space="2" w:color="2F5496" w:themeColor="accent5" w:themeShade="BF"/>
        <w:left w:val="single" w:sz="48" w:space="4" w:color="2F5496" w:themeColor="accent5" w:themeShade="BF"/>
        <w:bottom w:val="single" w:sz="48" w:space="2" w:color="2F5496" w:themeColor="accent5" w:themeShade="BF"/>
        <w:right w:val="single" w:sz="48" w:space="4" w:color="2F5496" w:themeColor="accent5" w:themeShade="BF"/>
      </w:pBdr>
      <w:shd w:val="clear" w:color="auto" w:fill="2F5496" w:themeFill="accent5" w:themeFillShade="BF"/>
      <w:spacing w:before="360" w:after="360"/>
      <w:ind w:right="261"/>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3D6918"/>
    <w:rPr>
      <w:rFonts w:asciiTheme="majorHAnsi" w:eastAsiaTheme="minorEastAsia" w:hAnsiTheme="majorHAnsi"/>
      <w:bCs/>
      <w:iCs/>
      <w:color w:val="FFFFFF" w:themeColor="background1"/>
      <w:sz w:val="28"/>
      <w:shd w:val="clear" w:color="auto" w:fill="2F5496" w:themeFill="accent5" w:themeFillShade="BF"/>
      <w:lang w:bidi="hi-IN"/>
    </w:rPr>
  </w:style>
  <w:style w:type="character" w:styleId="SubtleEmphasis">
    <w:name w:val="Subtle Emphasis"/>
    <w:basedOn w:val="DefaultParagraphFont"/>
    <w:uiPriority w:val="19"/>
    <w:qFormat/>
    <w:rsid w:val="00806F6A"/>
    <w:rPr>
      <w:i/>
      <w:iCs/>
      <w:color w:val="000000"/>
    </w:rPr>
  </w:style>
  <w:style w:type="character" w:styleId="IntenseEmphasis">
    <w:name w:val="Intense Emphasis"/>
    <w:basedOn w:val="DefaultParagraphFont"/>
    <w:uiPriority w:val="21"/>
    <w:qFormat/>
    <w:rsid w:val="00806F6A"/>
    <w:rPr>
      <w:b/>
      <w:bCs/>
      <w:i/>
      <w:iCs/>
      <w:color w:val="5B9BD5" w:themeColor="accent1"/>
    </w:rPr>
  </w:style>
  <w:style w:type="character" w:styleId="SubtleReference">
    <w:name w:val="Subtle Reference"/>
    <w:basedOn w:val="DefaultParagraphFont"/>
    <w:uiPriority w:val="31"/>
    <w:qFormat/>
    <w:rsid w:val="00806F6A"/>
    <w:rPr>
      <w:smallCaps/>
      <w:color w:val="000000"/>
      <w:u w:val="single"/>
    </w:rPr>
  </w:style>
  <w:style w:type="character" w:styleId="IntenseReference">
    <w:name w:val="Intense Reference"/>
    <w:basedOn w:val="DefaultParagraphFont"/>
    <w:uiPriority w:val="32"/>
    <w:qFormat/>
    <w:rsid w:val="00806F6A"/>
    <w:rPr>
      <w:b w:val="0"/>
      <w:bCs/>
      <w:smallCaps/>
      <w:color w:val="5B9BD5" w:themeColor="accent1"/>
      <w:spacing w:val="5"/>
      <w:u w:val="single"/>
    </w:rPr>
  </w:style>
  <w:style w:type="character" w:styleId="BookTitle">
    <w:name w:val="Book Title"/>
    <w:basedOn w:val="DefaultParagraphFont"/>
    <w:uiPriority w:val="33"/>
    <w:qFormat/>
    <w:rsid w:val="00806F6A"/>
    <w:rPr>
      <w:b/>
      <w:bCs/>
      <w:caps/>
      <w:smallCaps w:val="0"/>
      <w:color w:val="44546A" w:themeColor="text2"/>
      <w:spacing w:val="10"/>
    </w:rPr>
  </w:style>
  <w:style w:type="paragraph" w:styleId="TOCHeading">
    <w:name w:val="TOC Heading"/>
    <w:basedOn w:val="Heading1"/>
    <w:next w:val="Normal"/>
    <w:uiPriority w:val="39"/>
    <w:unhideWhenUsed/>
    <w:qFormat/>
    <w:rsid w:val="00046AF3"/>
    <w:pPr>
      <w:numPr>
        <w:numId w:val="0"/>
      </w:numPr>
      <w:spacing w:before="480" w:line="264" w:lineRule="auto"/>
      <w:outlineLvl w:val="9"/>
    </w:pPr>
    <w:rPr>
      <w:b/>
    </w:rPr>
  </w:style>
  <w:style w:type="paragraph" w:customStyle="1" w:styleId="PersonalName">
    <w:name w:val="Personal Name"/>
    <w:basedOn w:val="Title"/>
    <w:qFormat/>
    <w:rsid w:val="00AB0D10"/>
    <w:pPr>
      <w:spacing w:before="1800"/>
    </w:pPr>
    <w:rPr>
      <w:b/>
      <w:caps/>
      <w:color w:val="000000"/>
      <w:sz w:val="28"/>
      <w:szCs w:val="28"/>
    </w:rPr>
  </w:style>
  <w:style w:type="character" w:styleId="Hyperlink">
    <w:name w:val="Hyperlink"/>
    <w:basedOn w:val="DefaultParagraphFont"/>
    <w:uiPriority w:val="99"/>
    <w:unhideWhenUsed/>
    <w:rsid w:val="00806F6A"/>
    <w:rPr>
      <w:color w:val="0563C1" w:themeColor="hyperlink"/>
      <w:u w:val="single"/>
    </w:rPr>
  </w:style>
  <w:style w:type="paragraph" w:styleId="FootnoteText">
    <w:name w:val="footnote text"/>
    <w:basedOn w:val="Normal"/>
    <w:link w:val="FootnoteTextChar"/>
    <w:uiPriority w:val="99"/>
    <w:unhideWhenUsed/>
    <w:rsid w:val="00BA1D2B"/>
    <w:pPr>
      <w:spacing w:before="0" w:after="0" w:line="240" w:lineRule="auto"/>
    </w:pPr>
    <w:rPr>
      <w:sz w:val="18"/>
      <w:szCs w:val="24"/>
    </w:rPr>
  </w:style>
  <w:style w:type="character" w:customStyle="1" w:styleId="FootnoteTextChar">
    <w:name w:val="Footnote Text Char"/>
    <w:basedOn w:val="DefaultParagraphFont"/>
    <w:link w:val="FootnoteText"/>
    <w:uiPriority w:val="99"/>
    <w:rsid w:val="00BA1D2B"/>
    <w:rPr>
      <w:rFonts w:ascii="Arial" w:hAnsi="Arial"/>
      <w:sz w:val="18"/>
      <w:szCs w:val="24"/>
    </w:rPr>
  </w:style>
  <w:style w:type="character" w:styleId="FootnoteReference">
    <w:name w:val="footnote reference"/>
    <w:basedOn w:val="DefaultParagraphFont"/>
    <w:uiPriority w:val="99"/>
    <w:unhideWhenUsed/>
    <w:rsid w:val="00806F6A"/>
    <w:rPr>
      <w:vertAlign w:val="superscript"/>
    </w:rPr>
  </w:style>
  <w:style w:type="table" w:styleId="MediumShading1-Accent5">
    <w:name w:val="Medium Shading 1 Accent 5"/>
    <w:basedOn w:val="TableNormal"/>
    <w:uiPriority w:val="63"/>
    <w:unhideWhenUsed/>
    <w:rsid w:val="00B74FD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CommentText">
    <w:name w:val="annotation text"/>
    <w:basedOn w:val="Normal"/>
    <w:link w:val="CommentTextChar"/>
    <w:uiPriority w:val="99"/>
    <w:unhideWhenUsed/>
    <w:rsid w:val="00F27685"/>
    <w:pPr>
      <w:spacing w:line="240" w:lineRule="auto"/>
    </w:pPr>
    <w:rPr>
      <w:szCs w:val="24"/>
    </w:rPr>
  </w:style>
  <w:style w:type="character" w:customStyle="1" w:styleId="CommentTextChar">
    <w:name w:val="Comment Text Char"/>
    <w:basedOn w:val="DefaultParagraphFont"/>
    <w:link w:val="CommentText"/>
    <w:uiPriority w:val="99"/>
    <w:rsid w:val="00F27685"/>
    <w:rPr>
      <w:rFonts w:ascii="Arial" w:hAnsi="Arial"/>
      <w:sz w:val="24"/>
      <w:szCs w:val="24"/>
    </w:rPr>
  </w:style>
  <w:style w:type="character" w:styleId="CommentReference">
    <w:name w:val="annotation reference"/>
    <w:basedOn w:val="DefaultParagraphFont"/>
    <w:uiPriority w:val="99"/>
    <w:unhideWhenUsed/>
    <w:rsid w:val="00F27685"/>
    <w:rPr>
      <w:sz w:val="16"/>
      <w:szCs w:val="16"/>
    </w:rPr>
  </w:style>
  <w:style w:type="paragraph" w:styleId="BalloonText">
    <w:name w:val="Balloon Text"/>
    <w:basedOn w:val="Normal"/>
    <w:link w:val="BalloonTextChar"/>
    <w:uiPriority w:val="99"/>
    <w:semiHidden/>
    <w:unhideWhenUsed/>
    <w:rsid w:val="00F27685"/>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27685"/>
    <w:rPr>
      <w:rFonts w:ascii="Times New Roman" w:hAnsi="Times New Roman" w:cs="Times New Roman"/>
      <w:sz w:val="18"/>
      <w:szCs w:val="18"/>
    </w:rPr>
  </w:style>
  <w:style w:type="paragraph" w:styleId="List">
    <w:name w:val="List"/>
    <w:basedOn w:val="Normal"/>
    <w:uiPriority w:val="99"/>
    <w:unhideWhenUsed/>
    <w:rsid w:val="00DC734A"/>
    <w:pPr>
      <w:contextualSpacing/>
    </w:pPr>
  </w:style>
  <w:style w:type="character" w:styleId="PlaceholderText">
    <w:name w:val="Placeholder Text"/>
    <w:basedOn w:val="DefaultParagraphFont"/>
    <w:uiPriority w:val="99"/>
    <w:semiHidden/>
    <w:rsid w:val="0047360B"/>
    <w:rPr>
      <w:color w:val="808080"/>
    </w:rPr>
  </w:style>
  <w:style w:type="paragraph" w:styleId="CommentSubject">
    <w:name w:val="annotation subject"/>
    <w:basedOn w:val="CommentText"/>
    <w:next w:val="CommentText"/>
    <w:link w:val="CommentSubjectChar"/>
    <w:uiPriority w:val="99"/>
    <w:semiHidden/>
    <w:unhideWhenUsed/>
    <w:rsid w:val="0036274F"/>
    <w:rPr>
      <w:b/>
      <w:bCs/>
      <w:sz w:val="20"/>
      <w:szCs w:val="20"/>
    </w:rPr>
  </w:style>
  <w:style w:type="character" w:customStyle="1" w:styleId="CommentSubjectChar">
    <w:name w:val="Comment Subject Char"/>
    <w:basedOn w:val="CommentTextChar"/>
    <w:link w:val="CommentSubject"/>
    <w:uiPriority w:val="99"/>
    <w:semiHidden/>
    <w:rsid w:val="0036274F"/>
    <w:rPr>
      <w:rFonts w:ascii="Arial" w:hAnsi="Arial"/>
      <w:b/>
      <w:bCs/>
      <w:sz w:val="20"/>
      <w:szCs w:val="20"/>
    </w:rPr>
  </w:style>
  <w:style w:type="paragraph" w:styleId="NormalWeb">
    <w:name w:val="Normal (Web)"/>
    <w:basedOn w:val="Normal"/>
    <w:uiPriority w:val="99"/>
    <w:unhideWhenUsed/>
    <w:rsid w:val="00A45AF9"/>
    <w:pPr>
      <w:spacing w:before="100" w:beforeAutospacing="1" w:after="100" w:afterAutospacing="1" w:line="240" w:lineRule="auto"/>
    </w:pPr>
    <w:rPr>
      <w:rFonts w:ascii="Times New Roman" w:eastAsia="Times New Roman" w:hAnsi="Times New Roman" w:cs="Times New Roman"/>
      <w:szCs w:val="24"/>
      <w:lang w:eastAsia="en-US"/>
    </w:rPr>
  </w:style>
  <w:style w:type="paragraph" w:styleId="PlainText">
    <w:name w:val="Plain Text"/>
    <w:basedOn w:val="Normal"/>
    <w:link w:val="PlainTextChar"/>
    <w:uiPriority w:val="99"/>
    <w:unhideWhenUsed/>
    <w:rsid w:val="00A45AF9"/>
    <w:pPr>
      <w:spacing w:before="0" w:after="0" w:line="240" w:lineRule="auto"/>
    </w:pPr>
    <w:rPr>
      <w:rFonts w:ascii="Calibri" w:eastAsiaTheme="minorEastAsia" w:hAnsi="Calibri"/>
      <w:szCs w:val="21"/>
      <w:lang w:eastAsia="en-US"/>
    </w:rPr>
  </w:style>
  <w:style w:type="character" w:customStyle="1" w:styleId="PlainTextChar">
    <w:name w:val="Plain Text Char"/>
    <w:basedOn w:val="DefaultParagraphFont"/>
    <w:link w:val="PlainText"/>
    <w:uiPriority w:val="99"/>
    <w:rsid w:val="00A45AF9"/>
    <w:rPr>
      <w:rFonts w:ascii="Calibri" w:eastAsiaTheme="minorEastAsia" w:hAnsi="Calibri"/>
      <w:szCs w:val="21"/>
      <w:lang w:eastAsia="en-US"/>
    </w:rPr>
  </w:style>
  <w:style w:type="table" w:styleId="TableGrid">
    <w:name w:val="Table Grid"/>
    <w:basedOn w:val="TableNormal"/>
    <w:uiPriority w:val="39"/>
    <w:rsid w:val="00A45AF9"/>
    <w:pPr>
      <w:spacing w:after="0" w:line="240" w:lineRule="auto"/>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45AF9"/>
    <w:pPr>
      <w:tabs>
        <w:tab w:val="center" w:pos="4513"/>
        <w:tab w:val="right" w:pos="9026"/>
      </w:tabs>
      <w:spacing w:before="0" w:after="0" w:line="240" w:lineRule="auto"/>
    </w:pPr>
    <w:rPr>
      <w:rFonts w:asciiTheme="minorHAnsi" w:eastAsiaTheme="minorEastAsia" w:hAnsiTheme="minorHAnsi"/>
      <w:lang w:val="en-AU" w:eastAsia="en-US"/>
    </w:rPr>
  </w:style>
  <w:style w:type="character" w:customStyle="1" w:styleId="HeaderChar">
    <w:name w:val="Header Char"/>
    <w:basedOn w:val="DefaultParagraphFont"/>
    <w:link w:val="Header"/>
    <w:rsid w:val="00A45AF9"/>
    <w:rPr>
      <w:rFonts w:eastAsiaTheme="minorEastAsia"/>
      <w:lang w:val="en-AU" w:eastAsia="en-US"/>
    </w:rPr>
  </w:style>
  <w:style w:type="paragraph" w:styleId="Footer">
    <w:name w:val="footer"/>
    <w:basedOn w:val="Normal"/>
    <w:link w:val="FooterChar"/>
    <w:uiPriority w:val="99"/>
    <w:unhideWhenUsed/>
    <w:rsid w:val="00A45AF9"/>
    <w:pPr>
      <w:tabs>
        <w:tab w:val="center" w:pos="4513"/>
        <w:tab w:val="right" w:pos="9026"/>
      </w:tabs>
      <w:spacing w:before="0" w:after="0" w:line="240" w:lineRule="auto"/>
    </w:pPr>
    <w:rPr>
      <w:rFonts w:asciiTheme="minorHAnsi" w:eastAsiaTheme="minorEastAsia" w:hAnsiTheme="minorHAnsi"/>
      <w:lang w:val="en-AU" w:eastAsia="en-US"/>
    </w:rPr>
  </w:style>
  <w:style w:type="character" w:customStyle="1" w:styleId="FooterChar">
    <w:name w:val="Footer Char"/>
    <w:basedOn w:val="DefaultParagraphFont"/>
    <w:link w:val="Footer"/>
    <w:uiPriority w:val="99"/>
    <w:rsid w:val="00A45AF9"/>
    <w:rPr>
      <w:rFonts w:eastAsiaTheme="minorEastAsia"/>
      <w:lang w:val="en-AU" w:eastAsia="en-US"/>
    </w:rPr>
  </w:style>
  <w:style w:type="paragraph" w:styleId="TOC1">
    <w:name w:val="toc 1"/>
    <w:basedOn w:val="Normal"/>
    <w:next w:val="Normal"/>
    <w:autoRedefine/>
    <w:uiPriority w:val="39"/>
    <w:unhideWhenUsed/>
    <w:rsid w:val="005D770E"/>
    <w:pPr>
      <w:tabs>
        <w:tab w:val="right" w:leader="dot" w:pos="9730"/>
      </w:tabs>
      <w:spacing w:after="120"/>
    </w:pPr>
    <w:rPr>
      <w:b/>
      <w:bCs/>
      <w:color w:val="2F5496" w:themeColor="accent5" w:themeShade="BF"/>
      <w:sz w:val="28"/>
      <w:szCs w:val="24"/>
    </w:rPr>
  </w:style>
  <w:style w:type="paragraph" w:styleId="TOC2">
    <w:name w:val="toc 2"/>
    <w:basedOn w:val="Normal"/>
    <w:next w:val="Normal"/>
    <w:autoRedefine/>
    <w:uiPriority w:val="39"/>
    <w:unhideWhenUsed/>
    <w:rsid w:val="005D770E"/>
    <w:pPr>
      <w:tabs>
        <w:tab w:val="left" w:pos="960"/>
        <w:tab w:val="right" w:leader="dot" w:pos="9730"/>
      </w:tabs>
      <w:spacing w:before="0" w:after="0"/>
      <w:ind w:left="240"/>
    </w:pPr>
    <w:rPr>
      <w:bCs/>
    </w:rPr>
  </w:style>
  <w:style w:type="paragraph" w:styleId="TOC3">
    <w:name w:val="toc 3"/>
    <w:basedOn w:val="Normal"/>
    <w:next w:val="Normal"/>
    <w:autoRedefine/>
    <w:uiPriority w:val="39"/>
    <w:unhideWhenUsed/>
    <w:rsid w:val="00A45AF9"/>
    <w:pPr>
      <w:spacing w:before="0" w:after="0"/>
      <w:ind w:left="480"/>
    </w:pPr>
    <w:rPr>
      <w:rFonts w:asciiTheme="minorHAnsi" w:hAnsiTheme="minorHAnsi"/>
    </w:rPr>
  </w:style>
  <w:style w:type="character" w:styleId="FollowedHyperlink">
    <w:name w:val="FollowedHyperlink"/>
    <w:basedOn w:val="DefaultParagraphFont"/>
    <w:uiPriority w:val="99"/>
    <w:semiHidden/>
    <w:unhideWhenUsed/>
    <w:rsid w:val="00A45AF9"/>
    <w:rPr>
      <w:color w:val="954F72" w:themeColor="followedHyperlink"/>
      <w:u w:val="single"/>
    </w:rPr>
  </w:style>
  <w:style w:type="character" w:customStyle="1" w:styleId="highlight">
    <w:name w:val="highlight"/>
    <w:basedOn w:val="DefaultParagraphFont"/>
    <w:rsid w:val="00A45AF9"/>
  </w:style>
  <w:style w:type="character" w:customStyle="1" w:styleId="ui-ncbitoggler-master-text">
    <w:name w:val="ui-ncbitoggler-master-text"/>
    <w:basedOn w:val="DefaultParagraphFont"/>
    <w:rsid w:val="00A45AF9"/>
  </w:style>
  <w:style w:type="table" w:customStyle="1" w:styleId="GridTable1Light-Accent51">
    <w:name w:val="Grid Table 1 Light - Accent 51"/>
    <w:basedOn w:val="TableNormal"/>
    <w:uiPriority w:val="46"/>
    <w:rsid w:val="00A45AF9"/>
    <w:pPr>
      <w:spacing w:after="0" w:line="240" w:lineRule="auto"/>
    </w:pPr>
    <w:rPr>
      <w:rFonts w:eastAsiaTheme="minorEastAsia"/>
      <w:lang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A45AF9"/>
  </w:style>
  <w:style w:type="table" w:customStyle="1" w:styleId="ListTable6Colorful-Accent51">
    <w:name w:val="List Table 6 Colorful - Accent 51"/>
    <w:basedOn w:val="TableNormal"/>
    <w:uiPriority w:val="51"/>
    <w:rsid w:val="00A45AF9"/>
    <w:pPr>
      <w:spacing w:after="0" w:line="240" w:lineRule="auto"/>
    </w:pPr>
    <w:rPr>
      <w:rFonts w:eastAsiaTheme="minorEastAsia"/>
      <w:color w:val="2F5496" w:themeColor="accent5" w:themeShade="BF"/>
      <w:lang w:eastAsia="en-US"/>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tyle1">
    <w:name w:val="Style1"/>
    <w:basedOn w:val="NoSpacing"/>
    <w:qFormat/>
    <w:rsid w:val="00A45AF9"/>
    <w:pPr>
      <w:spacing w:before="40" w:after="560" w:line="216" w:lineRule="auto"/>
    </w:pPr>
    <w:rPr>
      <w:rFonts w:ascii="Avenir Book" w:eastAsiaTheme="minorEastAsia" w:hAnsi="Avenir Book"/>
      <w:b/>
      <w:color w:val="1F3864" w:themeColor="accent5" w:themeShade="80"/>
      <w:sz w:val="72"/>
      <w:szCs w:val="72"/>
      <w:lang w:eastAsia="en-US"/>
    </w:rPr>
  </w:style>
  <w:style w:type="table" w:customStyle="1" w:styleId="GridTable2-Accent51">
    <w:name w:val="Grid Table 2 - Accent 51"/>
    <w:basedOn w:val="TableNormal"/>
    <w:uiPriority w:val="47"/>
    <w:rsid w:val="00A45AF9"/>
    <w:pPr>
      <w:spacing w:after="0" w:line="240" w:lineRule="auto"/>
    </w:pPr>
    <w:rPr>
      <w:rFonts w:eastAsiaTheme="minorEastAsia"/>
      <w:lang w:eastAsia="en-US"/>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3-Accent31">
    <w:name w:val="Grid Table 3 - Accent 31"/>
    <w:basedOn w:val="TableNormal"/>
    <w:uiPriority w:val="48"/>
    <w:rsid w:val="00A45AF9"/>
    <w:pPr>
      <w:spacing w:after="0" w:line="240" w:lineRule="auto"/>
    </w:pPr>
    <w:rPr>
      <w:rFonts w:eastAsiaTheme="minorEastAsia"/>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5Dark-Accent31">
    <w:name w:val="Grid Table 5 Dark - Accent 31"/>
    <w:basedOn w:val="TableNormal"/>
    <w:uiPriority w:val="50"/>
    <w:rsid w:val="00A45AF9"/>
    <w:pPr>
      <w:spacing w:after="0" w:line="240" w:lineRule="auto"/>
    </w:pPr>
    <w:rPr>
      <w:rFonts w:eastAsiaTheme="minorEastAsi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A45AF9"/>
    <w:pPr>
      <w:spacing w:after="0" w:line="240" w:lineRule="auto"/>
    </w:pPr>
    <w:rPr>
      <w:rFonts w:eastAsiaTheme="minorEastAsi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31">
    <w:name w:val="Grid Table 4 - Accent 31"/>
    <w:basedOn w:val="TableNormal"/>
    <w:uiPriority w:val="49"/>
    <w:rsid w:val="00A45AF9"/>
    <w:pPr>
      <w:spacing w:after="0" w:line="240" w:lineRule="auto"/>
    </w:pPr>
    <w:rPr>
      <w:rFonts w:eastAsiaTheme="minorEastAsia"/>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1">
    <w:name w:val="Grid Table 41"/>
    <w:basedOn w:val="TableNormal"/>
    <w:uiPriority w:val="49"/>
    <w:rsid w:val="00A45AF9"/>
    <w:pPr>
      <w:spacing w:after="0" w:line="240" w:lineRule="auto"/>
    </w:pPr>
    <w:rPr>
      <w:rFonts w:eastAsiaTheme="minorEastAsia"/>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A45AF9"/>
    <w:pPr>
      <w:spacing w:after="0" w:line="240" w:lineRule="auto"/>
    </w:pPr>
    <w:rPr>
      <w:rFonts w:eastAsiaTheme="minorEastAsia"/>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41">
    <w:name w:val="Grid Table 4 - Accent 41"/>
    <w:basedOn w:val="TableNormal"/>
    <w:uiPriority w:val="49"/>
    <w:rsid w:val="00A45AF9"/>
    <w:pPr>
      <w:spacing w:after="0" w:line="240" w:lineRule="auto"/>
    </w:pPr>
    <w:rPr>
      <w:rFonts w:eastAsiaTheme="minorEastAsia"/>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PageNumber">
    <w:name w:val="page number"/>
    <w:basedOn w:val="DefaultParagraphFont"/>
    <w:uiPriority w:val="99"/>
    <w:semiHidden/>
    <w:unhideWhenUsed/>
    <w:rsid w:val="00A45AF9"/>
  </w:style>
  <w:style w:type="table" w:customStyle="1" w:styleId="ListTable4-Accent31">
    <w:name w:val="List Table 4 - Accent 31"/>
    <w:basedOn w:val="TableNormal"/>
    <w:uiPriority w:val="49"/>
    <w:rsid w:val="00A45AF9"/>
    <w:pPr>
      <w:spacing w:after="0" w:line="240" w:lineRule="auto"/>
    </w:pPr>
    <w:rPr>
      <w:rFonts w:eastAsiaTheme="minorEastAsia"/>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A45AF9"/>
    <w:pPr>
      <w:spacing w:after="0" w:line="240" w:lineRule="auto"/>
    </w:pPr>
    <w:rPr>
      <w:rFonts w:eastAsiaTheme="minorEastAsia"/>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A45AF9"/>
    <w:pPr>
      <w:spacing w:before="0" w:after="0"/>
      <w:ind w:left="720"/>
    </w:pPr>
    <w:rPr>
      <w:rFonts w:asciiTheme="minorHAnsi" w:hAnsiTheme="minorHAnsi"/>
      <w:sz w:val="20"/>
      <w:szCs w:val="20"/>
    </w:rPr>
  </w:style>
  <w:style w:type="paragraph" w:styleId="TOC5">
    <w:name w:val="toc 5"/>
    <w:basedOn w:val="Normal"/>
    <w:next w:val="Normal"/>
    <w:autoRedefine/>
    <w:uiPriority w:val="39"/>
    <w:unhideWhenUsed/>
    <w:rsid w:val="00A45AF9"/>
    <w:pPr>
      <w:spacing w:before="0" w:after="0"/>
      <w:ind w:left="960"/>
    </w:pPr>
    <w:rPr>
      <w:rFonts w:asciiTheme="minorHAnsi" w:hAnsiTheme="minorHAnsi"/>
      <w:sz w:val="20"/>
      <w:szCs w:val="20"/>
    </w:rPr>
  </w:style>
  <w:style w:type="paragraph" w:styleId="TOC6">
    <w:name w:val="toc 6"/>
    <w:basedOn w:val="Normal"/>
    <w:next w:val="Normal"/>
    <w:autoRedefine/>
    <w:uiPriority w:val="39"/>
    <w:unhideWhenUsed/>
    <w:rsid w:val="00A45AF9"/>
    <w:pPr>
      <w:spacing w:before="0" w:after="0"/>
      <w:ind w:left="1200"/>
    </w:pPr>
    <w:rPr>
      <w:rFonts w:asciiTheme="minorHAnsi" w:hAnsiTheme="minorHAnsi"/>
      <w:sz w:val="20"/>
      <w:szCs w:val="20"/>
    </w:rPr>
  </w:style>
  <w:style w:type="paragraph" w:styleId="TOC7">
    <w:name w:val="toc 7"/>
    <w:basedOn w:val="Normal"/>
    <w:next w:val="Normal"/>
    <w:autoRedefine/>
    <w:uiPriority w:val="39"/>
    <w:unhideWhenUsed/>
    <w:rsid w:val="00A45AF9"/>
    <w:pPr>
      <w:spacing w:before="0" w:after="0"/>
      <w:ind w:left="1440"/>
    </w:pPr>
    <w:rPr>
      <w:rFonts w:asciiTheme="minorHAnsi" w:hAnsiTheme="minorHAnsi"/>
      <w:sz w:val="20"/>
      <w:szCs w:val="20"/>
    </w:rPr>
  </w:style>
  <w:style w:type="paragraph" w:styleId="TOC8">
    <w:name w:val="toc 8"/>
    <w:basedOn w:val="Normal"/>
    <w:next w:val="Normal"/>
    <w:autoRedefine/>
    <w:uiPriority w:val="39"/>
    <w:unhideWhenUsed/>
    <w:rsid w:val="00A45AF9"/>
    <w:pPr>
      <w:spacing w:before="0" w:after="0"/>
      <w:ind w:left="1680"/>
    </w:pPr>
    <w:rPr>
      <w:rFonts w:asciiTheme="minorHAnsi" w:hAnsiTheme="minorHAnsi"/>
      <w:sz w:val="20"/>
      <w:szCs w:val="20"/>
    </w:rPr>
  </w:style>
  <w:style w:type="paragraph" w:styleId="TOC9">
    <w:name w:val="toc 9"/>
    <w:basedOn w:val="Normal"/>
    <w:next w:val="Normal"/>
    <w:autoRedefine/>
    <w:uiPriority w:val="39"/>
    <w:unhideWhenUsed/>
    <w:rsid w:val="00A45AF9"/>
    <w:pPr>
      <w:spacing w:before="0" w:after="0"/>
      <w:ind w:left="1920"/>
    </w:pPr>
    <w:rPr>
      <w:rFonts w:asciiTheme="minorHAnsi" w:hAnsiTheme="minorHAnsi"/>
      <w:sz w:val="20"/>
      <w:szCs w:val="20"/>
    </w:rPr>
  </w:style>
  <w:style w:type="table" w:customStyle="1" w:styleId="ListTable5Dark-Accent51">
    <w:name w:val="List Table 5 Dark - Accent 51"/>
    <w:basedOn w:val="TableNormal"/>
    <w:uiPriority w:val="50"/>
    <w:rsid w:val="00A45AF9"/>
    <w:pPr>
      <w:spacing w:after="0" w:line="240" w:lineRule="auto"/>
    </w:pPr>
    <w:rPr>
      <w:rFonts w:eastAsiaTheme="minorEastAsia"/>
      <w:color w:val="FFFFFF" w:themeColor="background1"/>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1Light-Accent31">
    <w:name w:val="List Table 1 Light - Accent 31"/>
    <w:basedOn w:val="TableNormal"/>
    <w:uiPriority w:val="46"/>
    <w:rsid w:val="00A45AF9"/>
    <w:pPr>
      <w:spacing w:after="0" w:line="240" w:lineRule="auto"/>
    </w:pPr>
    <w:rPr>
      <w:lang w:val="en-AU"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MediumList1-Accent3">
    <w:name w:val="Medium List 1 Accent 3"/>
    <w:basedOn w:val="TableNormal"/>
    <w:uiPriority w:val="65"/>
    <w:rsid w:val="00A45AF9"/>
    <w:pPr>
      <w:spacing w:after="0" w:line="240" w:lineRule="auto"/>
    </w:pPr>
    <w:rPr>
      <w:rFonts w:eastAsiaTheme="minorEastAsia"/>
      <w:color w:val="000000" w:themeColor="text1"/>
      <w:lang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GridTable4-Accent61">
    <w:name w:val="Grid Table 4 - Accent 61"/>
    <w:basedOn w:val="TableNormal"/>
    <w:uiPriority w:val="49"/>
    <w:rsid w:val="00A45AF9"/>
    <w:pPr>
      <w:spacing w:after="0" w:line="240" w:lineRule="auto"/>
    </w:pPr>
    <w:rPr>
      <w:lang w:val="en-AU"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ableofFigures">
    <w:name w:val="table of figures"/>
    <w:basedOn w:val="Normal"/>
    <w:next w:val="Normal"/>
    <w:uiPriority w:val="99"/>
    <w:unhideWhenUsed/>
    <w:rsid w:val="00A22FA1"/>
    <w:pPr>
      <w:spacing w:before="0" w:after="120" w:line="276" w:lineRule="auto"/>
    </w:pPr>
    <w:rPr>
      <w:rFonts w:asciiTheme="minorBidi" w:eastAsiaTheme="minorEastAsia" w:hAnsiTheme="minorBidi"/>
      <w:lang w:eastAsia="en-US"/>
    </w:rPr>
  </w:style>
  <w:style w:type="paragraph" w:styleId="BlockText">
    <w:name w:val="Block Text"/>
    <w:basedOn w:val="Normal"/>
    <w:uiPriority w:val="99"/>
    <w:unhideWhenUsed/>
    <w:rsid w:val="0014096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ListBullet">
    <w:name w:val="List Bullet"/>
    <w:basedOn w:val="Normal"/>
    <w:uiPriority w:val="99"/>
    <w:unhideWhenUsed/>
    <w:rsid w:val="00BA1D2B"/>
    <w:pPr>
      <w:numPr>
        <w:numId w:val="12"/>
      </w:numPr>
      <w:spacing w:before="120" w:after="120"/>
    </w:pPr>
    <w:rPr>
      <w:lang w:val="en-AU"/>
    </w:rPr>
  </w:style>
  <w:style w:type="paragraph" w:styleId="ListNumber">
    <w:name w:val="List Number"/>
    <w:basedOn w:val="Normal"/>
    <w:link w:val="ListNumberChar"/>
    <w:uiPriority w:val="99"/>
    <w:unhideWhenUsed/>
    <w:rsid w:val="00225535"/>
    <w:pPr>
      <w:numPr>
        <w:numId w:val="4"/>
      </w:numPr>
      <w:contextualSpacing/>
    </w:pPr>
  </w:style>
  <w:style w:type="paragraph" w:styleId="ListNumber2">
    <w:name w:val="List Number 2"/>
    <w:basedOn w:val="Normal"/>
    <w:uiPriority w:val="99"/>
    <w:unhideWhenUsed/>
    <w:rsid w:val="00225535"/>
    <w:pPr>
      <w:numPr>
        <w:numId w:val="3"/>
      </w:numPr>
      <w:contextualSpacing/>
    </w:pPr>
  </w:style>
  <w:style w:type="paragraph" w:styleId="ListNumber3">
    <w:name w:val="List Number 3"/>
    <w:basedOn w:val="Normal"/>
    <w:uiPriority w:val="99"/>
    <w:unhideWhenUsed/>
    <w:rsid w:val="00225535"/>
    <w:pPr>
      <w:numPr>
        <w:numId w:val="2"/>
      </w:numPr>
      <w:ind w:left="924" w:hanging="357"/>
    </w:pPr>
  </w:style>
  <w:style w:type="paragraph" w:styleId="ListBullet3">
    <w:name w:val="List Bullet 3"/>
    <w:basedOn w:val="Normal"/>
    <w:uiPriority w:val="99"/>
    <w:unhideWhenUsed/>
    <w:rsid w:val="00225535"/>
    <w:pPr>
      <w:numPr>
        <w:numId w:val="5"/>
      </w:numPr>
    </w:pPr>
  </w:style>
  <w:style w:type="paragraph" w:styleId="ListBullet2">
    <w:name w:val="List Bullet 2"/>
    <w:basedOn w:val="Normal"/>
    <w:uiPriority w:val="99"/>
    <w:unhideWhenUsed/>
    <w:rsid w:val="00DC7D29"/>
    <w:pPr>
      <w:numPr>
        <w:numId w:val="6"/>
      </w:numPr>
    </w:pPr>
    <w:rPr>
      <w:color w:val="FFFFFF" w:themeColor="background1"/>
      <w:sz w:val="28"/>
    </w:rPr>
  </w:style>
  <w:style w:type="paragraph" w:styleId="Revision">
    <w:name w:val="Revision"/>
    <w:hidden/>
    <w:uiPriority w:val="99"/>
    <w:semiHidden/>
    <w:rsid w:val="00874556"/>
    <w:pPr>
      <w:spacing w:after="0" w:line="240" w:lineRule="auto"/>
    </w:pPr>
    <w:rPr>
      <w:rFonts w:ascii="Arial" w:hAnsi="Arial"/>
      <w:sz w:val="24"/>
    </w:rPr>
  </w:style>
  <w:style w:type="table" w:customStyle="1" w:styleId="Economicareport">
    <w:name w:val="Economica report"/>
    <w:basedOn w:val="TableNormal"/>
    <w:uiPriority w:val="99"/>
    <w:rsid w:val="00EE40C6"/>
    <w:pPr>
      <w:spacing w:after="0" w:line="240" w:lineRule="auto"/>
    </w:pPr>
    <w:tblPr/>
  </w:style>
  <w:style w:type="paragraph" w:customStyle="1" w:styleId="Bulletlists">
    <w:name w:val="Bullet lists"/>
    <w:basedOn w:val="ListParagraph"/>
    <w:link w:val="BulletlistsChar"/>
    <w:rsid w:val="009A7FC1"/>
    <w:pPr>
      <w:numPr>
        <w:numId w:val="0"/>
      </w:numPr>
      <w:spacing w:before="0" w:after="200"/>
      <w:ind w:left="720" w:hanging="360"/>
    </w:pPr>
    <w:rPr>
      <w:rFonts w:eastAsia="Times New Roman" w:cs="Times New Roman"/>
      <w:lang w:eastAsia="en-AU"/>
    </w:rPr>
  </w:style>
  <w:style w:type="paragraph" w:customStyle="1" w:styleId="Commissionbodytext">
    <w:name w:val="Commission body text"/>
    <w:basedOn w:val="Normal"/>
    <w:link w:val="CommissionbodytextChar"/>
    <w:qFormat/>
    <w:rsid w:val="00A029E2"/>
    <w:pPr>
      <w:spacing w:before="0" w:after="0" w:line="276" w:lineRule="auto"/>
    </w:pPr>
    <w:rPr>
      <w:rFonts w:eastAsia="Times New Roman" w:cs="Arial"/>
      <w:lang w:val="en-AU" w:eastAsia="en-AU"/>
    </w:rPr>
  </w:style>
  <w:style w:type="character" w:customStyle="1" w:styleId="ListParagraphChar">
    <w:name w:val="List Paragraph Char"/>
    <w:basedOn w:val="DefaultParagraphFont"/>
    <w:link w:val="ListParagraph"/>
    <w:uiPriority w:val="34"/>
    <w:rsid w:val="009A7FC1"/>
    <w:rPr>
      <w:rFonts w:ascii="Arial" w:hAnsi="Arial"/>
      <w:color w:val="000000" w:themeColor="text1"/>
    </w:rPr>
  </w:style>
  <w:style w:type="character" w:customStyle="1" w:styleId="BulletlistsChar">
    <w:name w:val="Bullet lists Char"/>
    <w:basedOn w:val="ListParagraphChar"/>
    <w:link w:val="Bulletlists"/>
    <w:rsid w:val="009A7FC1"/>
    <w:rPr>
      <w:rFonts w:ascii="Arial" w:eastAsia="Times New Roman" w:hAnsi="Arial" w:cs="Times New Roman"/>
      <w:color w:val="000000" w:themeColor="text1"/>
      <w:lang w:eastAsia="en-AU"/>
    </w:rPr>
  </w:style>
  <w:style w:type="character" w:customStyle="1" w:styleId="CommissionbodytextChar">
    <w:name w:val="Commission body text Char"/>
    <w:basedOn w:val="DefaultParagraphFont"/>
    <w:link w:val="Commissionbodytext"/>
    <w:rsid w:val="00A029E2"/>
    <w:rPr>
      <w:rFonts w:ascii="Arial" w:eastAsia="Times New Roman" w:hAnsi="Arial" w:cs="Arial"/>
      <w:lang w:val="en-AU" w:eastAsia="en-AU"/>
    </w:rPr>
  </w:style>
  <w:style w:type="paragraph" w:customStyle="1" w:styleId="Commissionbullets">
    <w:name w:val="Commission bullets"/>
    <w:basedOn w:val="Commissionbodytext"/>
    <w:link w:val="CommissionbulletsChar"/>
    <w:qFormat/>
    <w:rsid w:val="007B47AB"/>
    <w:pPr>
      <w:numPr>
        <w:numId w:val="13"/>
      </w:numPr>
    </w:pPr>
  </w:style>
  <w:style w:type="paragraph" w:customStyle="1" w:styleId="Commissionnumberlists">
    <w:name w:val="Commission number lists"/>
    <w:basedOn w:val="ListNumber"/>
    <w:link w:val="CommissionnumberlistsChar"/>
    <w:qFormat/>
    <w:rsid w:val="005C2181"/>
    <w:pPr>
      <w:spacing w:before="0" w:after="0" w:line="276" w:lineRule="auto"/>
      <w:contextualSpacing w:val="0"/>
    </w:pPr>
    <w:rPr>
      <w:lang w:val="en-AU" w:eastAsia="en-AU"/>
    </w:rPr>
  </w:style>
  <w:style w:type="character" w:customStyle="1" w:styleId="CommissionbulletsChar">
    <w:name w:val="Commission bullets Char"/>
    <w:basedOn w:val="CommissionbodytextChar"/>
    <w:link w:val="Commissionbullets"/>
    <w:rsid w:val="007B47AB"/>
    <w:rPr>
      <w:rFonts w:ascii="Arial" w:eastAsia="Times New Roman" w:hAnsi="Arial" w:cs="Arial"/>
      <w:lang w:val="en-AU" w:eastAsia="en-AU"/>
    </w:rPr>
  </w:style>
  <w:style w:type="character" w:customStyle="1" w:styleId="ListNumberChar">
    <w:name w:val="List Number Char"/>
    <w:basedOn w:val="DefaultParagraphFont"/>
    <w:link w:val="ListNumber"/>
    <w:uiPriority w:val="99"/>
    <w:rsid w:val="005C2181"/>
    <w:rPr>
      <w:rFonts w:ascii="Arial" w:hAnsi="Arial"/>
    </w:rPr>
  </w:style>
  <w:style w:type="character" w:customStyle="1" w:styleId="CommissionnumberlistsChar">
    <w:name w:val="Commission number lists Char"/>
    <w:basedOn w:val="ListNumberChar"/>
    <w:link w:val="Commissionnumberlists"/>
    <w:rsid w:val="005C2181"/>
    <w:rPr>
      <w:rFonts w:ascii="Arial" w:hAnsi="Arial"/>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191A"/>
    <w:pPr>
      <w:spacing w:before="240" w:after="240" w:line="300" w:lineRule="auto"/>
    </w:pPr>
    <w:rPr>
      <w:rFonts w:ascii="Arial" w:hAnsi="Arial"/>
    </w:rPr>
  </w:style>
  <w:style w:type="paragraph" w:styleId="Heading1">
    <w:name w:val="heading 1"/>
    <w:basedOn w:val="Normal"/>
    <w:next w:val="Normal"/>
    <w:link w:val="Heading1Char"/>
    <w:uiPriority w:val="9"/>
    <w:qFormat/>
    <w:rsid w:val="0085191A"/>
    <w:pPr>
      <w:keepLines/>
      <w:numPr>
        <w:numId w:val="8"/>
      </w:numPr>
      <w:spacing w:before="600" w:after="600" w:line="240" w:lineRule="auto"/>
      <w:outlineLvl w:val="0"/>
    </w:pPr>
    <w:rPr>
      <w:rFonts w:ascii="Franklin Gothic Heavy" w:eastAsiaTheme="majorEastAsia" w:hAnsi="Franklin Gothic Heavy" w:cstheme="majorBidi"/>
      <w:bCs/>
      <w:color w:val="2F5496" w:themeColor="accent5" w:themeShade="BF"/>
      <w:spacing w:val="20"/>
      <w:sz w:val="36"/>
      <w:szCs w:val="28"/>
    </w:rPr>
  </w:style>
  <w:style w:type="paragraph" w:styleId="Heading2">
    <w:name w:val="heading 2"/>
    <w:basedOn w:val="Normal"/>
    <w:next w:val="Normal"/>
    <w:link w:val="Heading2Char"/>
    <w:uiPriority w:val="9"/>
    <w:unhideWhenUsed/>
    <w:qFormat/>
    <w:rsid w:val="00001CAE"/>
    <w:pPr>
      <w:keepLines/>
      <w:numPr>
        <w:ilvl w:val="1"/>
        <w:numId w:val="8"/>
      </w:numPr>
      <w:spacing w:before="600" w:after="360" w:line="240" w:lineRule="auto"/>
      <w:outlineLvl w:val="1"/>
    </w:pPr>
    <w:rPr>
      <w:rFonts w:ascii="Franklin Gothic Medium" w:eastAsiaTheme="majorEastAsia" w:hAnsi="Franklin Gothic Medium" w:cstheme="majorBidi"/>
      <w:b/>
      <w:bCs/>
      <w:color w:val="2F5496" w:themeColor="accent5" w:themeShade="BF"/>
      <w:sz w:val="32"/>
      <w:szCs w:val="26"/>
    </w:rPr>
  </w:style>
  <w:style w:type="paragraph" w:styleId="Heading3">
    <w:name w:val="heading 3"/>
    <w:basedOn w:val="Normal"/>
    <w:next w:val="Normal"/>
    <w:link w:val="Heading3Char"/>
    <w:uiPriority w:val="9"/>
    <w:unhideWhenUsed/>
    <w:qFormat/>
    <w:rsid w:val="00001CAE"/>
    <w:pPr>
      <w:keepLines/>
      <w:numPr>
        <w:ilvl w:val="2"/>
        <w:numId w:val="8"/>
      </w:numPr>
      <w:spacing w:before="600" w:after="360" w:line="240" w:lineRule="auto"/>
      <w:outlineLvl w:val="2"/>
    </w:pPr>
    <w:rPr>
      <w:rFonts w:ascii="Franklin Gothic Medium" w:eastAsiaTheme="majorEastAsia" w:hAnsi="Franklin Gothic Medium" w:cstheme="majorBidi"/>
      <w:b/>
      <w:bCs/>
      <w:color w:val="2F5496" w:themeColor="accent5" w:themeShade="BF"/>
      <w:spacing w:val="14"/>
      <w:sz w:val="28"/>
    </w:rPr>
  </w:style>
  <w:style w:type="paragraph" w:styleId="Heading4">
    <w:name w:val="heading 4"/>
    <w:basedOn w:val="Normal"/>
    <w:next w:val="Normal"/>
    <w:link w:val="Heading4Char"/>
    <w:uiPriority w:val="9"/>
    <w:unhideWhenUsed/>
    <w:qFormat/>
    <w:rsid w:val="00001CAE"/>
    <w:pPr>
      <w:keepLines/>
      <w:numPr>
        <w:ilvl w:val="3"/>
        <w:numId w:val="8"/>
      </w:numPr>
      <w:spacing w:before="600" w:after="360" w:line="240" w:lineRule="auto"/>
      <w:outlineLvl w:val="3"/>
    </w:pPr>
    <w:rPr>
      <w:rFonts w:ascii="Franklin Gothic Medium" w:eastAsiaTheme="majorEastAsia" w:hAnsi="Franklin Gothic Medium" w:cstheme="majorBidi"/>
      <w:bCs/>
      <w:iCs/>
      <w:color w:val="2F5496" w:themeColor="accent5" w:themeShade="BF"/>
      <w:sz w:val="24"/>
    </w:rPr>
  </w:style>
  <w:style w:type="paragraph" w:styleId="Heading5">
    <w:name w:val="heading 5"/>
    <w:basedOn w:val="Normal"/>
    <w:next w:val="Normal"/>
    <w:link w:val="Heading5Char"/>
    <w:uiPriority w:val="9"/>
    <w:unhideWhenUsed/>
    <w:qFormat/>
    <w:rsid w:val="00400DA8"/>
    <w:pPr>
      <w:keepLines/>
      <w:numPr>
        <w:ilvl w:val="4"/>
        <w:numId w:val="8"/>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unhideWhenUsed/>
    <w:qFormat/>
    <w:rsid w:val="00400DA8"/>
    <w:pPr>
      <w:keepLines/>
      <w:numPr>
        <w:ilvl w:val="5"/>
        <w:numId w:val="8"/>
      </w:numPr>
      <w:spacing w:before="200" w:after="0"/>
      <w:outlineLvl w:val="5"/>
    </w:pPr>
    <w:rPr>
      <w:rFonts w:asciiTheme="majorHAnsi" w:eastAsiaTheme="majorEastAsia" w:hAnsiTheme="majorHAnsi" w:cstheme="majorBidi"/>
      <w:iCs/>
      <w:color w:val="5B9BD5" w:themeColor="accent1"/>
    </w:rPr>
  </w:style>
  <w:style w:type="paragraph" w:styleId="Heading7">
    <w:name w:val="heading 7"/>
    <w:basedOn w:val="Normal"/>
    <w:next w:val="Normal"/>
    <w:link w:val="Heading7Char"/>
    <w:uiPriority w:val="9"/>
    <w:unhideWhenUsed/>
    <w:qFormat/>
    <w:rsid w:val="00400DA8"/>
    <w:pPr>
      <w:keepLines/>
      <w:numPr>
        <w:ilvl w:val="6"/>
        <w:numId w:val="8"/>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400DA8"/>
    <w:pPr>
      <w:keepLines/>
      <w:numPr>
        <w:ilvl w:val="7"/>
        <w:numId w:val="8"/>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400DA8"/>
    <w:pPr>
      <w:keepLines/>
      <w:numPr>
        <w:ilvl w:val="8"/>
        <w:numId w:val="8"/>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91A"/>
    <w:rPr>
      <w:rFonts w:ascii="Franklin Gothic Heavy" w:eastAsiaTheme="majorEastAsia" w:hAnsi="Franklin Gothic Heavy" w:cstheme="majorBidi"/>
      <w:bCs/>
      <w:color w:val="2F5496" w:themeColor="accent5" w:themeShade="BF"/>
      <w:spacing w:val="20"/>
      <w:sz w:val="36"/>
      <w:szCs w:val="28"/>
    </w:rPr>
  </w:style>
  <w:style w:type="character" w:customStyle="1" w:styleId="Heading2Char">
    <w:name w:val="Heading 2 Char"/>
    <w:basedOn w:val="DefaultParagraphFont"/>
    <w:link w:val="Heading2"/>
    <w:uiPriority w:val="9"/>
    <w:rsid w:val="00001CAE"/>
    <w:rPr>
      <w:rFonts w:ascii="Franklin Gothic Medium" w:eastAsiaTheme="majorEastAsia" w:hAnsi="Franklin Gothic Medium" w:cstheme="majorBidi"/>
      <w:b/>
      <w:bCs/>
      <w:color w:val="2F5496" w:themeColor="accent5" w:themeShade="BF"/>
      <w:sz w:val="32"/>
      <w:szCs w:val="26"/>
    </w:rPr>
  </w:style>
  <w:style w:type="character" w:customStyle="1" w:styleId="Heading3Char">
    <w:name w:val="Heading 3 Char"/>
    <w:basedOn w:val="DefaultParagraphFont"/>
    <w:link w:val="Heading3"/>
    <w:uiPriority w:val="9"/>
    <w:rsid w:val="00001CAE"/>
    <w:rPr>
      <w:rFonts w:ascii="Franklin Gothic Medium" w:eastAsiaTheme="majorEastAsia" w:hAnsi="Franklin Gothic Medium" w:cstheme="majorBidi"/>
      <w:b/>
      <w:bCs/>
      <w:color w:val="2F5496" w:themeColor="accent5" w:themeShade="BF"/>
      <w:spacing w:val="14"/>
      <w:sz w:val="28"/>
    </w:rPr>
  </w:style>
  <w:style w:type="character" w:customStyle="1" w:styleId="Heading4Char">
    <w:name w:val="Heading 4 Char"/>
    <w:basedOn w:val="DefaultParagraphFont"/>
    <w:link w:val="Heading4"/>
    <w:uiPriority w:val="9"/>
    <w:rsid w:val="00001CAE"/>
    <w:rPr>
      <w:rFonts w:ascii="Franklin Gothic Medium" w:eastAsiaTheme="majorEastAsia" w:hAnsi="Franklin Gothic Medium" w:cstheme="majorBidi"/>
      <w:bCs/>
      <w:iCs/>
      <w:color w:val="2F5496" w:themeColor="accent5" w:themeShade="BF"/>
      <w:sz w:val="24"/>
    </w:rPr>
  </w:style>
  <w:style w:type="character" w:customStyle="1" w:styleId="Heading5Char">
    <w:name w:val="Heading 5 Char"/>
    <w:basedOn w:val="DefaultParagraphFont"/>
    <w:link w:val="Heading5"/>
    <w:uiPriority w:val="9"/>
    <w:rsid w:val="00806F6A"/>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rsid w:val="00806F6A"/>
    <w:rPr>
      <w:rFonts w:asciiTheme="majorHAnsi" w:eastAsiaTheme="majorEastAsia" w:hAnsiTheme="majorHAnsi" w:cstheme="majorBidi"/>
      <w:iCs/>
      <w:color w:val="5B9BD5" w:themeColor="accent1"/>
    </w:rPr>
  </w:style>
  <w:style w:type="character" w:customStyle="1" w:styleId="Heading7Char">
    <w:name w:val="Heading 7 Char"/>
    <w:basedOn w:val="DefaultParagraphFont"/>
    <w:link w:val="Heading7"/>
    <w:uiPriority w:val="9"/>
    <w:rsid w:val="00806F6A"/>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806F6A"/>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806F6A"/>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rsid w:val="002C7808"/>
    <w:pPr>
      <w:spacing w:line="240" w:lineRule="auto"/>
    </w:pPr>
    <w:rPr>
      <w:rFonts w:eastAsiaTheme="minorEastAsia"/>
      <w:b/>
      <w:bCs/>
      <w:color w:val="2F5496" w:themeColor="accent5" w:themeShade="BF"/>
      <w:spacing w:val="6"/>
      <w:szCs w:val="18"/>
      <w:lang w:bidi="hi-IN"/>
    </w:rPr>
  </w:style>
  <w:style w:type="paragraph" w:styleId="Title">
    <w:name w:val="Title"/>
    <w:basedOn w:val="Normal"/>
    <w:next w:val="Normal"/>
    <w:link w:val="TitleChar"/>
    <w:uiPriority w:val="10"/>
    <w:qFormat/>
    <w:rsid w:val="009B4D69"/>
    <w:pPr>
      <w:spacing w:before="2760" w:after="0" w:line="240" w:lineRule="auto"/>
    </w:pPr>
    <w:rPr>
      <w:rFonts w:ascii="Franklin Gothic Heavy" w:eastAsiaTheme="majorEastAsia" w:hAnsi="Franklin Gothic Heavy" w:cstheme="majorBidi"/>
      <w:color w:val="2F5496" w:themeColor="accent5" w:themeShade="BF"/>
      <w:spacing w:val="30"/>
      <w:kern w:val="28"/>
      <w:sz w:val="56"/>
      <w:szCs w:val="52"/>
    </w:rPr>
  </w:style>
  <w:style w:type="character" w:customStyle="1" w:styleId="TitleChar">
    <w:name w:val="Title Char"/>
    <w:basedOn w:val="DefaultParagraphFont"/>
    <w:link w:val="Title"/>
    <w:uiPriority w:val="10"/>
    <w:rsid w:val="009B4D69"/>
    <w:rPr>
      <w:rFonts w:ascii="Franklin Gothic Heavy" w:eastAsiaTheme="majorEastAsia" w:hAnsi="Franklin Gothic Heavy" w:cstheme="majorBidi"/>
      <w:color w:val="2F5496" w:themeColor="accent5" w:themeShade="BF"/>
      <w:spacing w:val="30"/>
      <w:kern w:val="28"/>
      <w:sz w:val="56"/>
      <w:szCs w:val="52"/>
    </w:rPr>
  </w:style>
  <w:style w:type="paragraph" w:styleId="Subtitle">
    <w:name w:val="Subtitle"/>
    <w:basedOn w:val="Normal"/>
    <w:next w:val="Normal"/>
    <w:link w:val="SubtitleChar"/>
    <w:uiPriority w:val="11"/>
    <w:qFormat/>
    <w:rsid w:val="00AB0D10"/>
    <w:pPr>
      <w:numPr>
        <w:ilvl w:val="1"/>
      </w:numPr>
      <w:spacing w:before="480" w:after="3240"/>
    </w:pPr>
    <w:rPr>
      <w:rFonts w:eastAsiaTheme="majorEastAsia" w:cstheme="majorBidi"/>
      <w:iCs/>
      <w:color w:val="E6418D"/>
      <w:sz w:val="40"/>
      <w:szCs w:val="24"/>
      <w:lang w:bidi="hi-IN"/>
    </w:rPr>
  </w:style>
  <w:style w:type="character" w:customStyle="1" w:styleId="SubtitleChar">
    <w:name w:val="Subtitle Char"/>
    <w:basedOn w:val="DefaultParagraphFont"/>
    <w:link w:val="Subtitle"/>
    <w:uiPriority w:val="11"/>
    <w:rsid w:val="00AB0D10"/>
    <w:rPr>
      <w:rFonts w:ascii="Arial" w:eastAsiaTheme="majorEastAsia" w:hAnsi="Arial" w:cstheme="majorBidi"/>
      <w:iCs/>
      <w:color w:val="E6418D"/>
      <w:sz w:val="40"/>
      <w:szCs w:val="24"/>
      <w:lang w:bidi="hi-IN"/>
    </w:rPr>
  </w:style>
  <w:style w:type="character" w:styleId="Strong">
    <w:name w:val="Strong"/>
    <w:basedOn w:val="DefaultParagraphFont"/>
    <w:uiPriority w:val="22"/>
    <w:qFormat/>
    <w:rsid w:val="00D64194"/>
    <w:rPr>
      <w:b/>
      <w:bCs/>
      <w:i w:val="0"/>
      <w:color w:val="000000" w:themeColor="text1"/>
      <w:sz w:val="22"/>
    </w:rPr>
  </w:style>
  <w:style w:type="character" w:styleId="Emphasis">
    <w:name w:val="Emphasis"/>
    <w:basedOn w:val="DefaultParagraphFont"/>
    <w:uiPriority w:val="20"/>
    <w:qFormat/>
    <w:rsid w:val="001C193E"/>
    <w:rPr>
      <w:rFonts w:ascii="Arial" w:hAnsi="Arial"/>
      <w:b/>
      <w:i w:val="0"/>
      <w:iCs/>
    </w:rPr>
  </w:style>
  <w:style w:type="paragraph" w:styleId="NoSpacing">
    <w:name w:val="No Spacing"/>
    <w:link w:val="NoSpacingChar"/>
    <w:uiPriority w:val="1"/>
    <w:qFormat/>
    <w:rsid w:val="00806F6A"/>
    <w:pPr>
      <w:spacing w:after="0" w:line="240" w:lineRule="auto"/>
    </w:pPr>
  </w:style>
  <w:style w:type="character" w:customStyle="1" w:styleId="NoSpacingChar">
    <w:name w:val="No Spacing Char"/>
    <w:basedOn w:val="DefaultParagraphFont"/>
    <w:link w:val="NoSpacing"/>
    <w:uiPriority w:val="1"/>
    <w:rsid w:val="00806F6A"/>
  </w:style>
  <w:style w:type="paragraph" w:styleId="ListParagraph">
    <w:name w:val="List Paragraph"/>
    <w:basedOn w:val="Normal"/>
    <w:link w:val="ListParagraphChar"/>
    <w:uiPriority w:val="34"/>
    <w:qFormat/>
    <w:rsid w:val="00684A04"/>
    <w:pPr>
      <w:numPr>
        <w:numId w:val="1"/>
      </w:numPr>
      <w:spacing w:line="240" w:lineRule="auto"/>
      <w:contextualSpacing/>
    </w:pPr>
    <w:rPr>
      <w:color w:val="000000" w:themeColor="text1"/>
    </w:rPr>
  </w:style>
  <w:style w:type="paragraph" w:styleId="Quote">
    <w:name w:val="Quote"/>
    <w:basedOn w:val="Normal"/>
    <w:next w:val="Normal"/>
    <w:link w:val="QuoteChar"/>
    <w:uiPriority w:val="29"/>
    <w:qFormat/>
    <w:rsid w:val="00806F6A"/>
    <w:pPr>
      <w:spacing w:after="0" w:line="360" w:lineRule="auto"/>
      <w:jc w:val="center"/>
    </w:pPr>
    <w:rPr>
      <w:rFonts w:eastAsiaTheme="minorEastAsia"/>
      <w:b/>
      <w:i/>
      <w:iCs/>
      <w:color w:val="5B9BD5" w:themeColor="accent1"/>
      <w:sz w:val="26"/>
      <w:lang w:bidi="hi-IN"/>
    </w:rPr>
  </w:style>
  <w:style w:type="character" w:customStyle="1" w:styleId="QuoteChar">
    <w:name w:val="Quote Char"/>
    <w:basedOn w:val="DefaultParagraphFont"/>
    <w:link w:val="Quote"/>
    <w:uiPriority w:val="29"/>
    <w:rsid w:val="00806F6A"/>
    <w:rPr>
      <w:rFonts w:eastAsiaTheme="minorEastAsia"/>
      <w:b/>
      <w:i/>
      <w:iCs/>
      <w:color w:val="5B9BD5" w:themeColor="accent1"/>
      <w:sz w:val="26"/>
      <w:lang w:bidi="hi-IN"/>
    </w:rPr>
  </w:style>
  <w:style w:type="paragraph" w:styleId="IntenseQuote">
    <w:name w:val="Intense Quote"/>
    <w:basedOn w:val="Normal"/>
    <w:next w:val="Normal"/>
    <w:link w:val="IntenseQuoteChar"/>
    <w:uiPriority w:val="30"/>
    <w:qFormat/>
    <w:rsid w:val="003D6918"/>
    <w:pPr>
      <w:pBdr>
        <w:top w:val="single" w:sz="48" w:space="2" w:color="2F5496" w:themeColor="accent5" w:themeShade="BF"/>
        <w:left w:val="single" w:sz="48" w:space="4" w:color="2F5496" w:themeColor="accent5" w:themeShade="BF"/>
        <w:bottom w:val="single" w:sz="48" w:space="2" w:color="2F5496" w:themeColor="accent5" w:themeShade="BF"/>
        <w:right w:val="single" w:sz="48" w:space="4" w:color="2F5496" w:themeColor="accent5" w:themeShade="BF"/>
      </w:pBdr>
      <w:shd w:val="clear" w:color="auto" w:fill="2F5496" w:themeFill="accent5" w:themeFillShade="BF"/>
      <w:spacing w:before="360" w:after="360"/>
      <w:ind w:right="261"/>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3D6918"/>
    <w:rPr>
      <w:rFonts w:asciiTheme="majorHAnsi" w:eastAsiaTheme="minorEastAsia" w:hAnsiTheme="majorHAnsi"/>
      <w:bCs/>
      <w:iCs/>
      <w:color w:val="FFFFFF" w:themeColor="background1"/>
      <w:sz w:val="28"/>
      <w:shd w:val="clear" w:color="auto" w:fill="2F5496" w:themeFill="accent5" w:themeFillShade="BF"/>
      <w:lang w:bidi="hi-IN"/>
    </w:rPr>
  </w:style>
  <w:style w:type="character" w:styleId="SubtleEmphasis">
    <w:name w:val="Subtle Emphasis"/>
    <w:basedOn w:val="DefaultParagraphFont"/>
    <w:uiPriority w:val="19"/>
    <w:qFormat/>
    <w:rsid w:val="00806F6A"/>
    <w:rPr>
      <w:i/>
      <w:iCs/>
      <w:color w:val="000000"/>
    </w:rPr>
  </w:style>
  <w:style w:type="character" w:styleId="IntenseEmphasis">
    <w:name w:val="Intense Emphasis"/>
    <w:basedOn w:val="DefaultParagraphFont"/>
    <w:uiPriority w:val="21"/>
    <w:qFormat/>
    <w:rsid w:val="00806F6A"/>
    <w:rPr>
      <w:b/>
      <w:bCs/>
      <w:i/>
      <w:iCs/>
      <w:color w:val="5B9BD5" w:themeColor="accent1"/>
    </w:rPr>
  </w:style>
  <w:style w:type="character" w:styleId="SubtleReference">
    <w:name w:val="Subtle Reference"/>
    <w:basedOn w:val="DefaultParagraphFont"/>
    <w:uiPriority w:val="31"/>
    <w:qFormat/>
    <w:rsid w:val="00806F6A"/>
    <w:rPr>
      <w:smallCaps/>
      <w:color w:val="000000"/>
      <w:u w:val="single"/>
    </w:rPr>
  </w:style>
  <w:style w:type="character" w:styleId="IntenseReference">
    <w:name w:val="Intense Reference"/>
    <w:basedOn w:val="DefaultParagraphFont"/>
    <w:uiPriority w:val="32"/>
    <w:qFormat/>
    <w:rsid w:val="00806F6A"/>
    <w:rPr>
      <w:b w:val="0"/>
      <w:bCs/>
      <w:smallCaps/>
      <w:color w:val="5B9BD5" w:themeColor="accent1"/>
      <w:spacing w:val="5"/>
      <w:u w:val="single"/>
    </w:rPr>
  </w:style>
  <w:style w:type="character" w:styleId="BookTitle">
    <w:name w:val="Book Title"/>
    <w:basedOn w:val="DefaultParagraphFont"/>
    <w:uiPriority w:val="33"/>
    <w:qFormat/>
    <w:rsid w:val="00806F6A"/>
    <w:rPr>
      <w:b/>
      <w:bCs/>
      <w:caps/>
      <w:smallCaps w:val="0"/>
      <w:color w:val="44546A" w:themeColor="text2"/>
      <w:spacing w:val="10"/>
    </w:rPr>
  </w:style>
  <w:style w:type="paragraph" w:styleId="TOCHeading">
    <w:name w:val="TOC Heading"/>
    <w:basedOn w:val="Heading1"/>
    <w:next w:val="Normal"/>
    <w:uiPriority w:val="39"/>
    <w:unhideWhenUsed/>
    <w:qFormat/>
    <w:rsid w:val="00046AF3"/>
    <w:pPr>
      <w:numPr>
        <w:numId w:val="0"/>
      </w:numPr>
      <w:spacing w:before="480" w:line="264" w:lineRule="auto"/>
      <w:outlineLvl w:val="9"/>
    </w:pPr>
    <w:rPr>
      <w:b/>
    </w:rPr>
  </w:style>
  <w:style w:type="paragraph" w:customStyle="1" w:styleId="PersonalName">
    <w:name w:val="Personal Name"/>
    <w:basedOn w:val="Title"/>
    <w:qFormat/>
    <w:rsid w:val="00AB0D10"/>
    <w:pPr>
      <w:spacing w:before="1800"/>
    </w:pPr>
    <w:rPr>
      <w:b/>
      <w:caps/>
      <w:color w:val="000000"/>
      <w:sz w:val="28"/>
      <w:szCs w:val="28"/>
    </w:rPr>
  </w:style>
  <w:style w:type="character" w:styleId="Hyperlink">
    <w:name w:val="Hyperlink"/>
    <w:basedOn w:val="DefaultParagraphFont"/>
    <w:uiPriority w:val="99"/>
    <w:unhideWhenUsed/>
    <w:rsid w:val="00806F6A"/>
    <w:rPr>
      <w:color w:val="0563C1" w:themeColor="hyperlink"/>
      <w:u w:val="single"/>
    </w:rPr>
  </w:style>
  <w:style w:type="paragraph" w:styleId="FootnoteText">
    <w:name w:val="footnote text"/>
    <w:basedOn w:val="Normal"/>
    <w:link w:val="FootnoteTextChar"/>
    <w:uiPriority w:val="99"/>
    <w:unhideWhenUsed/>
    <w:rsid w:val="00BA1D2B"/>
    <w:pPr>
      <w:spacing w:before="0" w:after="0" w:line="240" w:lineRule="auto"/>
    </w:pPr>
    <w:rPr>
      <w:sz w:val="18"/>
      <w:szCs w:val="24"/>
    </w:rPr>
  </w:style>
  <w:style w:type="character" w:customStyle="1" w:styleId="FootnoteTextChar">
    <w:name w:val="Footnote Text Char"/>
    <w:basedOn w:val="DefaultParagraphFont"/>
    <w:link w:val="FootnoteText"/>
    <w:uiPriority w:val="99"/>
    <w:rsid w:val="00BA1D2B"/>
    <w:rPr>
      <w:rFonts w:ascii="Arial" w:hAnsi="Arial"/>
      <w:sz w:val="18"/>
      <w:szCs w:val="24"/>
    </w:rPr>
  </w:style>
  <w:style w:type="character" w:styleId="FootnoteReference">
    <w:name w:val="footnote reference"/>
    <w:basedOn w:val="DefaultParagraphFont"/>
    <w:uiPriority w:val="99"/>
    <w:unhideWhenUsed/>
    <w:rsid w:val="00806F6A"/>
    <w:rPr>
      <w:vertAlign w:val="superscript"/>
    </w:rPr>
  </w:style>
  <w:style w:type="table" w:styleId="MediumShading1-Accent5">
    <w:name w:val="Medium Shading 1 Accent 5"/>
    <w:basedOn w:val="TableNormal"/>
    <w:uiPriority w:val="63"/>
    <w:unhideWhenUsed/>
    <w:rsid w:val="00B74FD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CommentText">
    <w:name w:val="annotation text"/>
    <w:basedOn w:val="Normal"/>
    <w:link w:val="CommentTextChar"/>
    <w:uiPriority w:val="99"/>
    <w:unhideWhenUsed/>
    <w:rsid w:val="00F27685"/>
    <w:pPr>
      <w:spacing w:line="240" w:lineRule="auto"/>
    </w:pPr>
    <w:rPr>
      <w:szCs w:val="24"/>
    </w:rPr>
  </w:style>
  <w:style w:type="character" w:customStyle="1" w:styleId="CommentTextChar">
    <w:name w:val="Comment Text Char"/>
    <w:basedOn w:val="DefaultParagraphFont"/>
    <w:link w:val="CommentText"/>
    <w:uiPriority w:val="99"/>
    <w:rsid w:val="00F27685"/>
    <w:rPr>
      <w:rFonts w:ascii="Arial" w:hAnsi="Arial"/>
      <w:sz w:val="24"/>
      <w:szCs w:val="24"/>
    </w:rPr>
  </w:style>
  <w:style w:type="character" w:styleId="CommentReference">
    <w:name w:val="annotation reference"/>
    <w:basedOn w:val="DefaultParagraphFont"/>
    <w:uiPriority w:val="99"/>
    <w:unhideWhenUsed/>
    <w:rsid w:val="00F27685"/>
    <w:rPr>
      <w:sz w:val="16"/>
      <w:szCs w:val="16"/>
    </w:rPr>
  </w:style>
  <w:style w:type="paragraph" w:styleId="BalloonText">
    <w:name w:val="Balloon Text"/>
    <w:basedOn w:val="Normal"/>
    <w:link w:val="BalloonTextChar"/>
    <w:uiPriority w:val="99"/>
    <w:semiHidden/>
    <w:unhideWhenUsed/>
    <w:rsid w:val="00F27685"/>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27685"/>
    <w:rPr>
      <w:rFonts w:ascii="Times New Roman" w:hAnsi="Times New Roman" w:cs="Times New Roman"/>
      <w:sz w:val="18"/>
      <w:szCs w:val="18"/>
    </w:rPr>
  </w:style>
  <w:style w:type="paragraph" w:styleId="List">
    <w:name w:val="List"/>
    <w:basedOn w:val="Normal"/>
    <w:uiPriority w:val="99"/>
    <w:unhideWhenUsed/>
    <w:rsid w:val="00DC734A"/>
    <w:pPr>
      <w:contextualSpacing/>
    </w:pPr>
  </w:style>
  <w:style w:type="character" w:styleId="PlaceholderText">
    <w:name w:val="Placeholder Text"/>
    <w:basedOn w:val="DefaultParagraphFont"/>
    <w:uiPriority w:val="99"/>
    <w:semiHidden/>
    <w:rsid w:val="0047360B"/>
    <w:rPr>
      <w:color w:val="808080"/>
    </w:rPr>
  </w:style>
  <w:style w:type="paragraph" w:styleId="CommentSubject">
    <w:name w:val="annotation subject"/>
    <w:basedOn w:val="CommentText"/>
    <w:next w:val="CommentText"/>
    <w:link w:val="CommentSubjectChar"/>
    <w:uiPriority w:val="99"/>
    <w:semiHidden/>
    <w:unhideWhenUsed/>
    <w:rsid w:val="0036274F"/>
    <w:rPr>
      <w:b/>
      <w:bCs/>
      <w:sz w:val="20"/>
      <w:szCs w:val="20"/>
    </w:rPr>
  </w:style>
  <w:style w:type="character" w:customStyle="1" w:styleId="CommentSubjectChar">
    <w:name w:val="Comment Subject Char"/>
    <w:basedOn w:val="CommentTextChar"/>
    <w:link w:val="CommentSubject"/>
    <w:uiPriority w:val="99"/>
    <w:semiHidden/>
    <w:rsid w:val="0036274F"/>
    <w:rPr>
      <w:rFonts w:ascii="Arial" w:hAnsi="Arial"/>
      <w:b/>
      <w:bCs/>
      <w:sz w:val="20"/>
      <w:szCs w:val="20"/>
    </w:rPr>
  </w:style>
  <w:style w:type="paragraph" w:styleId="NormalWeb">
    <w:name w:val="Normal (Web)"/>
    <w:basedOn w:val="Normal"/>
    <w:uiPriority w:val="99"/>
    <w:unhideWhenUsed/>
    <w:rsid w:val="00A45AF9"/>
    <w:pPr>
      <w:spacing w:before="100" w:beforeAutospacing="1" w:after="100" w:afterAutospacing="1" w:line="240" w:lineRule="auto"/>
    </w:pPr>
    <w:rPr>
      <w:rFonts w:ascii="Times New Roman" w:eastAsia="Times New Roman" w:hAnsi="Times New Roman" w:cs="Times New Roman"/>
      <w:szCs w:val="24"/>
      <w:lang w:eastAsia="en-US"/>
    </w:rPr>
  </w:style>
  <w:style w:type="paragraph" w:styleId="PlainText">
    <w:name w:val="Plain Text"/>
    <w:basedOn w:val="Normal"/>
    <w:link w:val="PlainTextChar"/>
    <w:uiPriority w:val="99"/>
    <w:unhideWhenUsed/>
    <w:rsid w:val="00A45AF9"/>
    <w:pPr>
      <w:spacing w:before="0" w:after="0" w:line="240" w:lineRule="auto"/>
    </w:pPr>
    <w:rPr>
      <w:rFonts w:ascii="Calibri" w:eastAsiaTheme="minorEastAsia" w:hAnsi="Calibri"/>
      <w:szCs w:val="21"/>
      <w:lang w:eastAsia="en-US"/>
    </w:rPr>
  </w:style>
  <w:style w:type="character" w:customStyle="1" w:styleId="PlainTextChar">
    <w:name w:val="Plain Text Char"/>
    <w:basedOn w:val="DefaultParagraphFont"/>
    <w:link w:val="PlainText"/>
    <w:uiPriority w:val="99"/>
    <w:rsid w:val="00A45AF9"/>
    <w:rPr>
      <w:rFonts w:ascii="Calibri" w:eastAsiaTheme="minorEastAsia" w:hAnsi="Calibri"/>
      <w:szCs w:val="21"/>
      <w:lang w:eastAsia="en-US"/>
    </w:rPr>
  </w:style>
  <w:style w:type="table" w:styleId="TableGrid">
    <w:name w:val="Table Grid"/>
    <w:basedOn w:val="TableNormal"/>
    <w:uiPriority w:val="39"/>
    <w:rsid w:val="00A45AF9"/>
    <w:pPr>
      <w:spacing w:after="0" w:line="240" w:lineRule="auto"/>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45AF9"/>
    <w:pPr>
      <w:tabs>
        <w:tab w:val="center" w:pos="4513"/>
        <w:tab w:val="right" w:pos="9026"/>
      </w:tabs>
      <w:spacing w:before="0" w:after="0" w:line="240" w:lineRule="auto"/>
    </w:pPr>
    <w:rPr>
      <w:rFonts w:asciiTheme="minorHAnsi" w:eastAsiaTheme="minorEastAsia" w:hAnsiTheme="minorHAnsi"/>
      <w:lang w:val="en-AU" w:eastAsia="en-US"/>
    </w:rPr>
  </w:style>
  <w:style w:type="character" w:customStyle="1" w:styleId="HeaderChar">
    <w:name w:val="Header Char"/>
    <w:basedOn w:val="DefaultParagraphFont"/>
    <w:link w:val="Header"/>
    <w:rsid w:val="00A45AF9"/>
    <w:rPr>
      <w:rFonts w:eastAsiaTheme="minorEastAsia"/>
      <w:lang w:val="en-AU" w:eastAsia="en-US"/>
    </w:rPr>
  </w:style>
  <w:style w:type="paragraph" w:styleId="Footer">
    <w:name w:val="footer"/>
    <w:basedOn w:val="Normal"/>
    <w:link w:val="FooterChar"/>
    <w:uiPriority w:val="99"/>
    <w:unhideWhenUsed/>
    <w:rsid w:val="00A45AF9"/>
    <w:pPr>
      <w:tabs>
        <w:tab w:val="center" w:pos="4513"/>
        <w:tab w:val="right" w:pos="9026"/>
      </w:tabs>
      <w:spacing w:before="0" w:after="0" w:line="240" w:lineRule="auto"/>
    </w:pPr>
    <w:rPr>
      <w:rFonts w:asciiTheme="minorHAnsi" w:eastAsiaTheme="minorEastAsia" w:hAnsiTheme="minorHAnsi"/>
      <w:lang w:val="en-AU" w:eastAsia="en-US"/>
    </w:rPr>
  </w:style>
  <w:style w:type="character" w:customStyle="1" w:styleId="FooterChar">
    <w:name w:val="Footer Char"/>
    <w:basedOn w:val="DefaultParagraphFont"/>
    <w:link w:val="Footer"/>
    <w:uiPriority w:val="99"/>
    <w:rsid w:val="00A45AF9"/>
    <w:rPr>
      <w:rFonts w:eastAsiaTheme="minorEastAsia"/>
      <w:lang w:val="en-AU" w:eastAsia="en-US"/>
    </w:rPr>
  </w:style>
  <w:style w:type="paragraph" w:styleId="TOC1">
    <w:name w:val="toc 1"/>
    <w:basedOn w:val="Normal"/>
    <w:next w:val="Normal"/>
    <w:autoRedefine/>
    <w:uiPriority w:val="39"/>
    <w:unhideWhenUsed/>
    <w:rsid w:val="005D770E"/>
    <w:pPr>
      <w:tabs>
        <w:tab w:val="right" w:leader="dot" w:pos="9730"/>
      </w:tabs>
      <w:spacing w:after="120"/>
    </w:pPr>
    <w:rPr>
      <w:b/>
      <w:bCs/>
      <w:color w:val="2F5496" w:themeColor="accent5" w:themeShade="BF"/>
      <w:sz w:val="28"/>
      <w:szCs w:val="24"/>
    </w:rPr>
  </w:style>
  <w:style w:type="paragraph" w:styleId="TOC2">
    <w:name w:val="toc 2"/>
    <w:basedOn w:val="Normal"/>
    <w:next w:val="Normal"/>
    <w:autoRedefine/>
    <w:uiPriority w:val="39"/>
    <w:unhideWhenUsed/>
    <w:rsid w:val="005D770E"/>
    <w:pPr>
      <w:tabs>
        <w:tab w:val="left" w:pos="960"/>
        <w:tab w:val="right" w:leader="dot" w:pos="9730"/>
      </w:tabs>
      <w:spacing w:before="0" w:after="0"/>
      <w:ind w:left="240"/>
    </w:pPr>
    <w:rPr>
      <w:bCs/>
    </w:rPr>
  </w:style>
  <w:style w:type="paragraph" w:styleId="TOC3">
    <w:name w:val="toc 3"/>
    <w:basedOn w:val="Normal"/>
    <w:next w:val="Normal"/>
    <w:autoRedefine/>
    <w:uiPriority w:val="39"/>
    <w:unhideWhenUsed/>
    <w:rsid w:val="00A45AF9"/>
    <w:pPr>
      <w:spacing w:before="0" w:after="0"/>
      <w:ind w:left="480"/>
    </w:pPr>
    <w:rPr>
      <w:rFonts w:asciiTheme="minorHAnsi" w:hAnsiTheme="minorHAnsi"/>
    </w:rPr>
  </w:style>
  <w:style w:type="character" w:styleId="FollowedHyperlink">
    <w:name w:val="FollowedHyperlink"/>
    <w:basedOn w:val="DefaultParagraphFont"/>
    <w:uiPriority w:val="99"/>
    <w:semiHidden/>
    <w:unhideWhenUsed/>
    <w:rsid w:val="00A45AF9"/>
    <w:rPr>
      <w:color w:val="954F72" w:themeColor="followedHyperlink"/>
      <w:u w:val="single"/>
    </w:rPr>
  </w:style>
  <w:style w:type="character" w:customStyle="1" w:styleId="highlight">
    <w:name w:val="highlight"/>
    <w:basedOn w:val="DefaultParagraphFont"/>
    <w:rsid w:val="00A45AF9"/>
  </w:style>
  <w:style w:type="character" w:customStyle="1" w:styleId="ui-ncbitoggler-master-text">
    <w:name w:val="ui-ncbitoggler-master-text"/>
    <w:basedOn w:val="DefaultParagraphFont"/>
    <w:rsid w:val="00A45AF9"/>
  </w:style>
  <w:style w:type="table" w:customStyle="1" w:styleId="GridTable1Light-Accent51">
    <w:name w:val="Grid Table 1 Light - Accent 51"/>
    <w:basedOn w:val="TableNormal"/>
    <w:uiPriority w:val="46"/>
    <w:rsid w:val="00A45AF9"/>
    <w:pPr>
      <w:spacing w:after="0" w:line="240" w:lineRule="auto"/>
    </w:pPr>
    <w:rPr>
      <w:rFonts w:eastAsiaTheme="minorEastAsia"/>
      <w:lang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A45AF9"/>
  </w:style>
  <w:style w:type="table" w:customStyle="1" w:styleId="ListTable6Colorful-Accent51">
    <w:name w:val="List Table 6 Colorful - Accent 51"/>
    <w:basedOn w:val="TableNormal"/>
    <w:uiPriority w:val="51"/>
    <w:rsid w:val="00A45AF9"/>
    <w:pPr>
      <w:spacing w:after="0" w:line="240" w:lineRule="auto"/>
    </w:pPr>
    <w:rPr>
      <w:rFonts w:eastAsiaTheme="minorEastAsia"/>
      <w:color w:val="2F5496" w:themeColor="accent5" w:themeShade="BF"/>
      <w:lang w:eastAsia="en-US"/>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tyle1">
    <w:name w:val="Style1"/>
    <w:basedOn w:val="NoSpacing"/>
    <w:qFormat/>
    <w:rsid w:val="00A45AF9"/>
    <w:pPr>
      <w:spacing w:before="40" w:after="560" w:line="216" w:lineRule="auto"/>
    </w:pPr>
    <w:rPr>
      <w:rFonts w:ascii="Avenir Book" w:eastAsiaTheme="minorEastAsia" w:hAnsi="Avenir Book"/>
      <w:b/>
      <w:color w:val="1F3864" w:themeColor="accent5" w:themeShade="80"/>
      <w:sz w:val="72"/>
      <w:szCs w:val="72"/>
      <w:lang w:eastAsia="en-US"/>
    </w:rPr>
  </w:style>
  <w:style w:type="table" w:customStyle="1" w:styleId="GridTable2-Accent51">
    <w:name w:val="Grid Table 2 - Accent 51"/>
    <w:basedOn w:val="TableNormal"/>
    <w:uiPriority w:val="47"/>
    <w:rsid w:val="00A45AF9"/>
    <w:pPr>
      <w:spacing w:after="0" w:line="240" w:lineRule="auto"/>
    </w:pPr>
    <w:rPr>
      <w:rFonts w:eastAsiaTheme="minorEastAsia"/>
      <w:lang w:eastAsia="en-US"/>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3-Accent31">
    <w:name w:val="Grid Table 3 - Accent 31"/>
    <w:basedOn w:val="TableNormal"/>
    <w:uiPriority w:val="48"/>
    <w:rsid w:val="00A45AF9"/>
    <w:pPr>
      <w:spacing w:after="0" w:line="240" w:lineRule="auto"/>
    </w:pPr>
    <w:rPr>
      <w:rFonts w:eastAsiaTheme="minorEastAsia"/>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5Dark-Accent31">
    <w:name w:val="Grid Table 5 Dark - Accent 31"/>
    <w:basedOn w:val="TableNormal"/>
    <w:uiPriority w:val="50"/>
    <w:rsid w:val="00A45AF9"/>
    <w:pPr>
      <w:spacing w:after="0" w:line="240" w:lineRule="auto"/>
    </w:pPr>
    <w:rPr>
      <w:rFonts w:eastAsiaTheme="minorEastAsi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A45AF9"/>
    <w:pPr>
      <w:spacing w:after="0" w:line="240" w:lineRule="auto"/>
    </w:pPr>
    <w:rPr>
      <w:rFonts w:eastAsiaTheme="minorEastAsi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31">
    <w:name w:val="Grid Table 4 - Accent 31"/>
    <w:basedOn w:val="TableNormal"/>
    <w:uiPriority w:val="49"/>
    <w:rsid w:val="00A45AF9"/>
    <w:pPr>
      <w:spacing w:after="0" w:line="240" w:lineRule="auto"/>
    </w:pPr>
    <w:rPr>
      <w:rFonts w:eastAsiaTheme="minorEastAsia"/>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1">
    <w:name w:val="Grid Table 41"/>
    <w:basedOn w:val="TableNormal"/>
    <w:uiPriority w:val="49"/>
    <w:rsid w:val="00A45AF9"/>
    <w:pPr>
      <w:spacing w:after="0" w:line="240" w:lineRule="auto"/>
    </w:pPr>
    <w:rPr>
      <w:rFonts w:eastAsiaTheme="minorEastAsia"/>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A45AF9"/>
    <w:pPr>
      <w:spacing w:after="0" w:line="240" w:lineRule="auto"/>
    </w:pPr>
    <w:rPr>
      <w:rFonts w:eastAsiaTheme="minorEastAsia"/>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41">
    <w:name w:val="Grid Table 4 - Accent 41"/>
    <w:basedOn w:val="TableNormal"/>
    <w:uiPriority w:val="49"/>
    <w:rsid w:val="00A45AF9"/>
    <w:pPr>
      <w:spacing w:after="0" w:line="240" w:lineRule="auto"/>
    </w:pPr>
    <w:rPr>
      <w:rFonts w:eastAsiaTheme="minorEastAsia"/>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PageNumber">
    <w:name w:val="page number"/>
    <w:basedOn w:val="DefaultParagraphFont"/>
    <w:uiPriority w:val="99"/>
    <w:semiHidden/>
    <w:unhideWhenUsed/>
    <w:rsid w:val="00A45AF9"/>
  </w:style>
  <w:style w:type="table" w:customStyle="1" w:styleId="ListTable4-Accent31">
    <w:name w:val="List Table 4 - Accent 31"/>
    <w:basedOn w:val="TableNormal"/>
    <w:uiPriority w:val="49"/>
    <w:rsid w:val="00A45AF9"/>
    <w:pPr>
      <w:spacing w:after="0" w:line="240" w:lineRule="auto"/>
    </w:pPr>
    <w:rPr>
      <w:rFonts w:eastAsiaTheme="minorEastAsia"/>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A45AF9"/>
    <w:pPr>
      <w:spacing w:after="0" w:line="240" w:lineRule="auto"/>
    </w:pPr>
    <w:rPr>
      <w:rFonts w:eastAsiaTheme="minorEastAsia"/>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A45AF9"/>
    <w:pPr>
      <w:spacing w:before="0" w:after="0"/>
      <w:ind w:left="720"/>
    </w:pPr>
    <w:rPr>
      <w:rFonts w:asciiTheme="minorHAnsi" w:hAnsiTheme="minorHAnsi"/>
      <w:sz w:val="20"/>
      <w:szCs w:val="20"/>
    </w:rPr>
  </w:style>
  <w:style w:type="paragraph" w:styleId="TOC5">
    <w:name w:val="toc 5"/>
    <w:basedOn w:val="Normal"/>
    <w:next w:val="Normal"/>
    <w:autoRedefine/>
    <w:uiPriority w:val="39"/>
    <w:unhideWhenUsed/>
    <w:rsid w:val="00A45AF9"/>
    <w:pPr>
      <w:spacing w:before="0" w:after="0"/>
      <w:ind w:left="960"/>
    </w:pPr>
    <w:rPr>
      <w:rFonts w:asciiTheme="minorHAnsi" w:hAnsiTheme="minorHAnsi"/>
      <w:sz w:val="20"/>
      <w:szCs w:val="20"/>
    </w:rPr>
  </w:style>
  <w:style w:type="paragraph" w:styleId="TOC6">
    <w:name w:val="toc 6"/>
    <w:basedOn w:val="Normal"/>
    <w:next w:val="Normal"/>
    <w:autoRedefine/>
    <w:uiPriority w:val="39"/>
    <w:unhideWhenUsed/>
    <w:rsid w:val="00A45AF9"/>
    <w:pPr>
      <w:spacing w:before="0" w:after="0"/>
      <w:ind w:left="1200"/>
    </w:pPr>
    <w:rPr>
      <w:rFonts w:asciiTheme="minorHAnsi" w:hAnsiTheme="minorHAnsi"/>
      <w:sz w:val="20"/>
      <w:szCs w:val="20"/>
    </w:rPr>
  </w:style>
  <w:style w:type="paragraph" w:styleId="TOC7">
    <w:name w:val="toc 7"/>
    <w:basedOn w:val="Normal"/>
    <w:next w:val="Normal"/>
    <w:autoRedefine/>
    <w:uiPriority w:val="39"/>
    <w:unhideWhenUsed/>
    <w:rsid w:val="00A45AF9"/>
    <w:pPr>
      <w:spacing w:before="0" w:after="0"/>
      <w:ind w:left="1440"/>
    </w:pPr>
    <w:rPr>
      <w:rFonts w:asciiTheme="minorHAnsi" w:hAnsiTheme="minorHAnsi"/>
      <w:sz w:val="20"/>
      <w:szCs w:val="20"/>
    </w:rPr>
  </w:style>
  <w:style w:type="paragraph" w:styleId="TOC8">
    <w:name w:val="toc 8"/>
    <w:basedOn w:val="Normal"/>
    <w:next w:val="Normal"/>
    <w:autoRedefine/>
    <w:uiPriority w:val="39"/>
    <w:unhideWhenUsed/>
    <w:rsid w:val="00A45AF9"/>
    <w:pPr>
      <w:spacing w:before="0" w:after="0"/>
      <w:ind w:left="1680"/>
    </w:pPr>
    <w:rPr>
      <w:rFonts w:asciiTheme="minorHAnsi" w:hAnsiTheme="minorHAnsi"/>
      <w:sz w:val="20"/>
      <w:szCs w:val="20"/>
    </w:rPr>
  </w:style>
  <w:style w:type="paragraph" w:styleId="TOC9">
    <w:name w:val="toc 9"/>
    <w:basedOn w:val="Normal"/>
    <w:next w:val="Normal"/>
    <w:autoRedefine/>
    <w:uiPriority w:val="39"/>
    <w:unhideWhenUsed/>
    <w:rsid w:val="00A45AF9"/>
    <w:pPr>
      <w:spacing w:before="0" w:after="0"/>
      <w:ind w:left="1920"/>
    </w:pPr>
    <w:rPr>
      <w:rFonts w:asciiTheme="minorHAnsi" w:hAnsiTheme="minorHAnsi"/>
      <w:sz w:val="20"/>
      <w:szCs w:val="20"/>
    </w:rPr>
  </w:style>
  <w:style w:type="table" w:customStyle="1" w:styleId="ListTable5Dark-Accent51">
    <w:name w:val="List Table 5 Dark - Accent 51"/>
    <w:basedOn w:val="TableNormal"/>
    <w:uiPriority w:val="50"/>
    <w:rsid w:val="00A45AF9"/>
    <w:pPr>
      <w:spacing w:after="0" w:line="240" w:lineRule="auto"/>
    </w:pPr>
    <w:rPr>
      <w:rFonts w:eastAsiaTheme="minorEastAsia"/>
      <w:color w:val="FFFFFF" w:themeColor="background1"/>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1Light-Accent31">
    <w:name w:val="List Table 1 Light - Accent 31"/>
    <w:basedOn w:val="TableNormal"/>
    <w:uiPriority w:val="46"/>
    <w:rsid w:val="00A45AF9"/>
    <w:pPr>
      <w:spacing w:after="0" w:line="240" w:lineRule="auto"/>
    </w:pPr>
    <w:rPr>
      <w:lang w:val="en-AU"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MediumList1-Accent3">
    <w:name w:val="Medium List 1 Accent 3"/>
    <w:basedOn w:val="TableNormal"/>
    <w:uiPriority w:val="65"/>
    <w:rsid w:val="00A45AF9"/>
    <w:pPr>
      <w:spacing w:after="0" w:line="240" w:lineRule="auto"/>
    </w:pPr>
    <w:rPr>
      <w:rFonts w:eastAsiaTheme="minorEastAsia"/>
      <w:color w:val="000000" w:themeColor="text1"/>
      <w:lang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GridTable4-Accent61">
    <w:name w:val="Grid Table 4 - Accent 61"/>
    <w:basedOn w:val="TableNormal"/>
    <w:uiPriority w:val="49"/>
    <w:rsid w:val="00A45AF9"/>
    <w:pPr>
      <w:spacing w:after="0" w:line="240" w:lineRule="auto"/>
    </w:pPr>
    <w:rPr>
      <w:lang w:val="en-AU"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ableofFigures">
    <w:name w:val="table of figures"/>
    <w:basedOn w:val="Normal"/>
    <w:next w:val="Normal"/>
    <w:uiPriority w:val="99"/>
    <w:unhideWhenUsed/>
    <w:rsid w:val="00A22FA1"/>
    <w:pPr>
      <w:spacing w:before="0" w:after="120" w:line="276" w:lineRule="auto"/>
    </w:pPr>
    <w:rPr>
      <w:rFonts w:asciiTheme="minorBidi" w:eastAsiaTheme="minorEastAsia" w:hAnsiTheme="minorBidi"/>
      <w:lang w:eastAsia="en-US"/>
    </w:rPr>
  </w:style>
  <w:style w:type="paragraph" w:styleId="BlockText">
    <w:name w:val="Block Text"/>
    <w:basedOn w:val="Normal"/>
    <w:uiPriority w:val="99"/>
    <w:unhideWhenUsed/>
    <w:rsid w:val="0014096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ListBullet">
    <w:name w:val="List Bullet"/>
    <w:basedOn w:val="Normal"/>
    <w:uiPriority w:val="99"/>
    <w:unhideWhenUsed/>
    <w:rsid w:val="00BA1D2B"/>
    <w:pPr>
      <w:numPr>
        <w:numId w:val="12"/>
      </w:numPr>
      <w:spacing w:before="120" w:after="120"/>
    </w:pPr>
    <w:rPr>
      <w:lang w:val="en-AU"/>
    </w:rPr>
  </w:style>
  <w:style w:type="paragraph" w:styleId="ListNumber">
    <w:name w:val="List Number"/>
    <w:basedOn w:val="Normal"/>
    <w:link w:val="ListNumberChar"/>
    <w:uiPriority w:val="99"/>
    <w:unhideWhenUsed/>
    <w:rsid w:val="00225535"/>
    <w:pPr>
      <w:numPr>
        <w:numId w:val="4"/>
      </w:numPr>
      <w:contextualSpacing/>
    </w:pPr>
  </w:style>
  <w:style w:type="paragraph" w:styleId="ListNumber2">
    <w:name w:val="List Number 2"/>
    <w:basedOn w:val="Normal"/>
    <w:uiPriority w:val="99"/>
    <w:unhideWhenUsed/>
    <w:rsid w:val="00225535"/>
    <w:pPr>
      <w:numPr>
        <w:numId w:val="3"/>
      </w:numPr>
      <w:contextualSpacing/>
    </w:pPr>
  </w:style>
  <w:style w:type="paragraph" w:styleId="ListNumber3">
    <w:name w:val="List Number 3"/>
    <w:basedOn w:val="Normal"/>
    <w:uiPriority w:val="99"/>
    <w:unhideWhenUsed/>
    <w:rsid w:val="00225535"/>
    <w:pPr>
      <w:numPr>
        <w:numId w:val="2"/>
      </w:numPr>
      <w:ind w:left="924" w:hanging="357"/>
    </w:pPr>
  </w:style>
  <w:style w:type="paragraph" w:styleId="ListBullet3">
    <w:name w:val="List Bullet 3"/>
    <w:basedOn w:val="Normal"/>
    <w:uiPriority w:val="99"/>
    <w:unhideWhenUsed/>
    <w:rsid w:val="00225535"/>
    <w:pPr>
      <w:numPr>
        <w:numId w:val="5"/>
      </w:numPr>
    </w:pPr>
  </w:style>
  <w:style w:type="paragraph" w:styleId="ListBullet2">
    <w:name w:val="List Bullet 2"/>
    <w:basedOn w:val="Normal"/>
    <w:uiPriority w:val="99"/>
    <w:unhideWhenUsed/>
    <w:rsid w:val="00DC7D29"/>
    <w:pPr>
      <w:numPr>
        <w:numId w:val="6"/>
      </w:numPr>
    </w:pPr>
    <w:rPr>
      <w:color w:val="FFFFFF" w:themeColor="background1"/>
      <w:sz w:val="28"/>
    </w:rPr>
  </w:style>
  <w:style w:type="paragraph" w:styleId="Revision">
    <w:name w:val="Revision"/>
    <w:hidden/>
    <w:uiPriority w:val="99"/>
    <w:semiHidden/>
    <w:rsid w:val="00874556"/>
    <w:pPr>
      <w:spacing w:after="0" w:line="240" w:lineRule="auto"/>
    </w:pPr>
    <w:rPr>
      <w:rFonts w:ascii="Arial" w:hAnsi="Arial"/>
      <w:sz w:val="24"/>
    </w:rPr>
  </w:style>
  <w:style w:type="table" w:customStyle="1" w:styleId="Economicareport">
    <w:name w:val="Economica report"/>
    <w:basedOn w:val="TableNormal"/>
    <w:uiPriority w:val="99"/>
    <w:rsid w:val="00EE40C6"/>
    <w:pPr>
      <w:spacing w:after="0" w:line="240" w:lineRule="auto"/>
    </w:pPr>
    <w:tblPr/>
  </w:style>
  <w:style w:type="paragraph" w:customStyle="1" w:styleId="Bulletlists">
    <w:name w:val="Bullet lists"/>
    <w:basedOn w:val="ListParagraph"/>
    <w:link w:val="BulletlistsChar"/>
    <w:rsid w:val="009A7FC1"/>
    <w:pPr>
      <w:numPr>
        <w:numId w:val="0"/>
      </w:numPr>
      <w:spacing w:before="0" w:after="200"/>
      <w:ind w:left="720" w:hanging="360"/>
    </w:pPr>
    <w:rPr>
      <w:rFonts w:eastAsia="Times New Roman" w:cs="Times New Roman"/>
      <w:lang w:eastAsia="en-AU"/>
    </w:rPr>
  </w:style>
  <w:style w:type="paragraph" w:customStyle="1" w:styleId="Commissionbodytext">
    <w:name w:val="Commission body text"/>
    <w:basedOn w:val="Normal"/>
    <w:link w:val="CommissionbodytextChar"/>
    <w:qFormat/>
    <w:rsid w:val="00A029E2"/>
    <w:pPr>
      <w:spacing w:before="0" w:after="0" w:line="276" w:lineRule="auto"/>
    </w:pPr>
    <w:rPr>
      <w:rFonts w:eastAsia="Times New Roman" w:cs="Arial"/>
      <w:lang w:val="en-AU" w:eastAsia="en-AU"/>
    </w:rPr>
  </w:style>
  <w:style w:type="character" w:customStyle="1" w:styleId="ListParagraphChar">
    <w:name w:val="List Paragraph Char"/>
    <w:basedOn w:val="DefaultParagraphFont"/>
    <w:link w:val="ListParagraph"/>
    <w:uiPriority w:val="34"/>
    <w:rsid w:val="009A7FC1"/>
    <w:rPr>
      <w:rFonts w:ascii="Arial" w:hAnsi="Arial"/>
      <w:color w:val="000000" w:themeColor="text1"/>
    </w:rPr>
  </w:style>
  <w:style w:type="character" w:customStyle="1" w:styleId="BulletlistsChar">
    <w:name w:val="Bullet lists Char"/>
    <w:basedOn w:val="ListParagraphChar"/>
    <w:link w:val="Bulletlists"/>
    <w:rsid w:val="009A7FC1"/>
    <w:rPr>
      <w:rFonts w:ascii="Arial" w:eastAsia="Times New Roman" w:hAnsi="Arial" w:cs="Times New Roman"/>
      <w:color w:val="000000" w:themeColor="text1"/>
      <w:lang w:eastAsia="en-AU"/>
    </w:rPr>
  </w:style>
  <w:style w:type="character" w:customStyle="1" w:styleId="CommissionbodytextChar">
    <w:name w:val="Commission body text Char"/>
    <w:basedOn w:val="DefaultParagraphFont"/>
    <w:link w:val="Commissionbodytext"/>
    <w:rsid w:val="00A029E2"/>
    <w:rPr>
      <w:rFonts w:ascii="Arial" w:eastAsia="Times New Roman" w:hAnsi="Arial" w:cs="Arial"/>
      <w:lang w:val="en-AU" w:eastAsia="en-AU"/>
    </w:rPr>
  </w:style>
  <w:style w:type="paragraph" w:customStyle="1" w:styleId="Commissionbullets">
    <w:name w:val="Commission bullets"/>
    <w:basedOn w:val="Commissionbodytext"/>
    <w:link w:val="CommissionbulletsChar"/>
    <w:qFormat/>
    <w:rsid w:val="007B47AB"/>
    <w:pPr>
      <w:numPr>
        <w:numId w:val="13"/>
      </w:numPr>
    </w:pPr>
  </w:style>
  <w:style w:type="paragraph" w:customStyle="1" w:styleId="Commissionnumberlists">
    <w:name w:val="Commission number lists"/>
    <w:basedOn w:val="ListNumber"/>
    <w:link w:val="CommissionnumberlistsChar"/>
    <w:qFormat/>
    <w:rsid w:val="005C2181"/>
    <w:pPr>
      <w:spacing w:before="0" w:after="0" w:line="276" w:lineRule="auto"/>
      <w:contextualSpacing w:val="0"/>
    </w:pPr>
    <w:rPr>
      <w:lang w:val="en-AU" w:eastAsia="en-AU"/>
    </w:rPr>
  </w:style>
  <w:style w:type="character" w:customStyle="1" w:styleId="CommissionbulletsChar">
    <w:name w:val="Commission bullets Char"/>
    <w:basedOn w:val="CommissionbodytextChar"/>
    <w:link w:val="Commissionbullets"/>
    <w:rsid w:val="007B47AB"/>
    <w:rPr>
      <w:rFonts w:ascii="Arial" w:eastAsia="Times New Roman" w:hAnsi="Arial" w:cs="Arial"/>
      <w:lang w:val="en-AU" w:eastAsia="en-AU"/>
    </w:rPr>
  </w:style>
  <w:style w:type="character" w:customStyle="1" w:styleId="ListNumberChar">
    <w:name w:val="List Number Char"/>
    <w:basedOn w:val="DefaultParagraphFont"/>
    <w:link w:val="ListNumber"/>
    <w:uiPriority w:val="99"/>
    <w:rsid w:val="005C2181"/>
    <w:rPr>
      <w:rFonts w:ascii="Arial" w:hAnsi="Arial"/>
    </w:rPr>
  </w:style>
  <w:style w:type="character" w:customStyle="1" w:styleId="CommissionnumberlistsChar">
    <w:name w:val="Commission number lists Char"/>
    <w:basedOn w:val="ListNumberChar"/>
    <w:link w:val="Commissionnumberlists"/>
    <w:rsid w:val="005C2181"/>
    <w:rPr>
      <w:rFonts w:ascii="Arial" w:hAnsi="Arial"/>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473470">
      <w:bodyDiv w:val="1"/>
      <w:marLeft w:val="0"/>
      <w:marRight w:val="0"/>
      <w:marTop w:val="0"/>
      <w:marBottom w:val="0"/>
      <w:divBdr>
        <w:top w:val="none" w:sz="0" w:space="0" w:color="auto"/>
        <w:left w:val="none" w:sz="0" w:space="0" w:color="auto"/>
        <w:bottom w:val="none" w:sz="0" w:space="0" w:color="auto"/>
        <w:right w:val="none" w:sz="0" w:space="0" w:color="auto"/>
      </w:divBdr>
    </w:div>
    <w:div w:id="370032596">
      <w:bodyDiv w:val="1"/>
      <w:marLeft w:val="0"/>
      <w:marRight w:val="0"/>
      <w:marTop w:val="0"/>
      <w:marBottom w:val="0"/>
      <w:divBdr>
        <w:top w:val="none" w:sz="0" w:space="0" w:color="auto"/>
        <w:left w:val="none" w:sz="0" w:space="0" w:color="auto"/>
        <w:bottom w:val="none" w:sz="0" w:space="0" w:color="auto"/>
        <w:right w:val="none" w:sz="0" w:space="0" w:color="auto"/>
      </w:divBdr>
    </w:div>
    <w:div w:id="386296415">
      <w:bodyDiv w:val="1"/>
      <w:marLeft w:val="0"/>
      <w:marRight w:val="0"/>
      <w:marTop w:val="0"/>
      <w:marBottom w:val="0"/>
      <w:divBdr>
        <w:top w:val="none" w:sz="0" w:space="0" w:color="auto"/>
        <w:left w:val="none" w:sz="0" w:space="0" w:color="auto"/>
        <w:bottom w:val="none" w:sz="0" w:space="0" w:color="auto"/>
        <w:right w:val="none" w:sz="0" w:space="0" w:color="auto"/>
      </w:divBdr>
    </w:div>
    <w:div w:id="67032832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4">
          <w:marLeft w:val="446"/>
          <w:marRight w:val="0"/>
          <w:marTop w:val="0"/>
          <w:marBottom w:val="0"/>
          <w:divBdr>
            <w:top w:val="none" w:sz="0" w:space="0" w:color="auto"/>
            <w:left w:val="none" w:sz="0" w:space="0" w:color="auto"/>
            <w:bottom w:val="none" w:sz="0" w:space="0" w:color="auto"/>
            <w:right w:val="none" w:sz="0" w:space="0" w:color="auto"/>
          </w:divBdr>
        </w:div>
      </w:divsChild>
    </w:div>
    <w:div w:id="715588293">
      <w:bodyDiv w:val="1"/>
      <w:marLeft w:val="0"/>
      <w:marRight w:val="0"/>
      <w:marTop w:val="0"/>
      <w:marBottom w:val="0"/>
      <w:divBdr>
        <w:top w:val="none" w:sz="0" w:space="0" w:color="auto"/>
        <w:left w:val="none" w:sz="0" w:space="0" w:color="auto"/>
        <w:bottom w:val="none" w:sz="0" w:space="0" w:color="auto"/>
        <w:right w:val="none" w:sz="0" w:space="0" w:color="auto"/>
      </w:divBdr>
      <w:divsChild>
        <w:div w:id="716315344">
          <w:marLeft w:val="0"/>
          <w:marRight w:val="0"/>
          <w:marTop w:val="0"/>
          <w:marBottom w:val="0"/>
          <w:divBdr>
            <w:top w:val="none" w:sz="0" w:space="0" w:color="auto"/>
            <w:left w:val="none" w:sz="0" w:space="0" w:color="auto"/>
            <w:bottom w:val="none" w:sz="0" w:space="0" w:color="auto"/>
            <w:right w:val="none" w:sz="0" w:space="0" w:color="auto"/>
          </w:divBdr>
          <w:divsChild>
            <w:div w:id="1689716417">
              <w:marLeft w:val="0"/>
              <w:marRight w:val="0"/>
              <w:marTop w:val="0"/>
              <w:marBottom w:val="0"/>
              <w:divBdr>
                <w:top w:val="none" w:sz="0" w:space="0" w:color="auto"/>
                <w:left w:val="none" w:sz="0" w:space="0" w:color="auto"/>
                <w:bottom w:val="none" w:sz="0" w:space="0" w:color="auto"/>
                <w:right w:val="none" w:sz="0" w:space="0" w:color="auto"/>
              </w:divBdr>
              <w:divsChild>
                <w:div w:id="58290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77479">
      <w:bodyDiv w:val="1"/>
      <w:marLeft w:val="0"/>
      <w:marRight w:val="0"/>
      <w:marTop w:val="0"/>
      <w:marBottom w:val="0"/>
      <w:divBdr>
        <w:top w:val="none" w:sz="0" w:space="0" w:color="auto"/>
        <w:left w:val="none" w:sz="0" w:space="0" w:color="auto"/>
        <w:bottom w:val="none" w:sz="0" w:space="0" w:color="auto"/>
        <w:right w:val="none" w:sz="0" w:space="0" w:color="auto"/>
      </w:divBdr>
      <w:divsChild>
        <w:div w:id="2024478699">
          <w:marLeft w:val="446"/>
          <w:marRight w:val="0"/>
          <w:marTop w:val="0"/>
          <w:marBottom w:val="0"/>
          <w:divBdr>
            <w:top w:val="none" w:sz="0" w:space="0" w:color="auto"/>
            <w:left w:val="none" w:sz="0" w:space="0" w:color="auto"/>
            <w:bottom w:val="none" w:sz="0" w:space="0" w:color="auto"/>
            <w:right w:val="none" w:sz="0" w:space="0" w:color="auto"/>
          </w:divBdr>
        </w:div>
      </w:divsChild>
    </w:div>
    <w:div w:id="896207362">
      <w:bodyDiv w:val="1"/>
      <w:marLeft w:val="0"/>
      <w:marRight w:val="0"/>
      <w:marTop w:val="0"/>
      <w:marBottom w:val="0"/>
      <w:divBdr>
        <w:top w:val="none" w:sz="0" w:space="0" w:color="auto"/>
        <w:left w:val="none" w:sz="0" w:space="0" w:color="auto"/>
        <w:bottom w:val="none" w:sz="0" w:space="0" w:color="auto"/>
        <w:right w:val="none" w:sz="0" w:space="0" w:color="auto"/>
      </w:divBdr>
      <w:divsChild>
        <w:div w:id="42406202">
          <w:marLeft w:val="0"/>
          <w:marRight w:val="0"/>
          <w:marTop w:val="0"/>
          <w:marBottom w:val="0"/>
          <w:divBdr>
            <w:top w:val="none" w:sz="0" w:space="0" w:color="auto"/>
            <w:left w:val="none" w:sz="0" w:space="0" w:color="auto"/>
            <w:bottom w:val="none" w:sz="0" w:space="0" w:color="auto"/>
            <w:right w:val="none" w:sz="0" w:space="0" w:color="auto"/>
          </w:divBdr>
        </w:div>
        <w:div w:id="71978101">
          <w:marLeft w:val="0"/>
          <w:marRight w:val="0"/>
          <w:marTop w:val="0"/>
          <w:marBottom w:val="0"/>
          <w:divBdr>
            <w:top w:val="none" w:sz="0" w:space="0" w:color="auto"/>
            <w:left w:val="none" w:sz="0" w:space="0" w:color="auto"/>
            <w:bottom w:val="none" w:sz="0" w:space="0" w:color="auto"/>
            <w:right w:val="none" w:sz="0" w:space="0" w:color="auto"/>
          </w:divBdr>
        </w:div>
        <w:div w:id="130709503">
          <w:marLeft w:val="0"/>
          <w:marRight w:val="0"/>
          <w:marTop w:val="0"/>
          <w:marBottom w:val="0"/>
          <w:divBdr>
            <w:top w:val="none" w:sz="0" w:space="0" w:color="auto"/>
            <w:left w:val="none" w:sz="0" w:space="0" w:color="auto"/>
            <w:bottom w:val="none" w:sz="0" w:space="0" w:color="auto"/>
            <w:right w:val="none" w:sz="0" w:space="0" w:color="auto"/>
          </w:divBdr>
        </w:div>
        <w:div w:id="401567585">
          <w:marLeft w:val="0"/>
          <w:marRight w:val="0"/>
          <w:marTop w:val="0"/>
          <w:marBottom w:val="0"/>
          <w:divBdr>
            <w:top w:val="none" w:sz="0" w:space="0" w:color="auto"/>
            <w:left w:val="none" w:sz="0" w:space="0" w:color="auto"/>
            <w:bottom w:val="none" w:sz="0" w:space="0" w:color="auto"/>
            <w:right w:val="none" w:sz="0" w:space="0" w:color="auto"/>
          </w:divBdr>
        </w:div>
        <w:div w:id="421687328">
          <w:marLeft w:val="0"/>
          <w:marRight w:val="0"/>
          <w:marTop w:val="0"/>
          <w:marBottom w:val="0"/>
          <w:divBdr>
            <w:top w:val="none" w:sz="0" w:space="0" w:color="auto"/>
            <w:left w:val="none" w:sz="0" w:space="0" w:color="auto"/>
            <w:bottom w:val="none" w:sz="0" w:space="0" w:color="auto"/>
            <w:right w:val="none" w:sz="0" w:space="0" w:color="auto"/>
          </w:divBdr>
        </w:div>
        <w:div w:id="548106495">
          <w:marLeft w:val="0"/>
          <w:marRight w:val="0"/>
          <w:marTop w:val="0"/>
          <w:marBottom w:val="0"/>
          <w:divBdr>
            <w:top w:val="none" w:sz="0" w:space="0" w:color="auto"/>
            <w:left w:val="none" w:sz="0" w:space="0" w:color="auto"/>
            <w:bottom w:val="none" w:sz="0" w:space="0" w:color="auto"/>
            <w:right w:val="none" w:sz="0" w:space="0" w:color="auto"/>
          </w:divBdr>
        </w:div>
        <w:div w:id="596983984">
          <w:marLeft w:val="0"/>
          <w:marRight w:val="0"/>
          <w:marTop w:val="0"/>
          <w:marBottom w:val="0"/>
          <w:divBdr>
            <w:top w:val="none" w:sz="0" w:space="0" w:color="auto"/>
            <w:left w:val="none" w:sz="0" w:space="0" w:color="auto"/>
            <w:bottom w:val="none" w:sz="0" w:space="0" w:color="auto"/>
            <w:right w:val="none" w:sz="0" w:space="0" w:color="auto"/>
          </w:divBdr>
        </w:div>
        <w:div w:id="859011265">
          <w:marLeft w:val="0"/>
          <w:marRight w:val="0"/>
          <w:marTop w:val="0"/>
          <w:marBottom w:val="0"/>
          <w:divBdr>
            <w:top w:val="none" w:sz="0" w:space="0" w:color="auto"/>
            <w:left w:val="none" w:sz="0" w:space="0" w:color="auto"/>
            <w:bottom w:val="none" w:sz="0" w:space="0" w:color="auto"/>
            <w:right w:val="none" w:sz="0" w:space="0" w:color="auto"/>
          </w:divBdr>
        </w:div>
        <w:div w:id="1094205368">
          <w:marLeft w:val="0"/>
          <w:marRight w:val="0"/>
          <w:marTop w:val="0"/>
          <w:marBottom w:val="0"/>
          <w:divBdr>
            <w:top w:val="none" w:sz="0" w:space="0" w:color="auto"/>
            <w:left w:val="none" w:sz="0" w:space="0" w:color="auto"/>
            <w:bottom w:val="none" w:sz="0" w:space="0" w:color="auto"/>
            <w:right w:val="none" w:sz="0" w:space="0" w:color="auto"/>
          </w:divBdr>
        </w:div>
        <w:div w:id="1131561247">
          <w:marLeft w:val="0"/>
          <w:marRight w:val="0"/>
          <w:marTop w:val="0"/>
          <w:marBottom w:val="0"/>
          <w:divBdr>
            <w:top w:val="none" w:sz="0" w:space="0" w:color="auto"/>
            <w:left w:val="none" w:sz="0" w:space="0" w:color="auto"/>
            <w:bottom w:val="none" w:sz="0" w:space="0" w:color="auto"/>
            <w:right w:val="none" w:sz="0" w:space="0" w:color="auto"/>
          </w:divBdr>
        </w:div>
        <w:div w:id="1252664785">
          <w:marLeft w:val="0"/>
          <w:marRight w:val="0"/>
          <w:marTop w:val="0"/>
          <w:marBottom w:val="0"/>
          <w:divBdr>
            <w:top w:val="none" w:sz="0" w:space="0" w:color="auto"/>
            <w:left w:val="none" w:sz="0" w:space="0" w:color="auto"/>
            <w:bottom w:val="none" w:sz="0" w:space="0" w:color="auto"/>
            <w:right w:val="none" w:sz="0" w:space="0" w:color="auto"/>
          </w:divBdr>
        </w:div>
        <w:div w:id="1253856080">
          <w:marLeft w:val="0"/>
          <w:marRight w:val="0"/>
          <w:marTop w:val="0"/>
          <w:marBottom w:val="0"/>
          <w:divBdr>
            <w:top w:val="none" w:sz="0" w:space="0" w:color="auto"/>
            <w:left w:val="none" w:sz="0" w:space="0" w:color="auto"/>
            <w:bottom w:val="none" w:sz="0" w:space="0" w:color="auto"/>
            <w:right w:val="none" w:sz="0" w:space="0" w:color="auto"/>
          </w:divBdr>
        </w:div>
        <w:div w:id="1483160440">
          <w:marLeft w:val="0"/>
          <w:marRight w:val="0"/>
          <w:marTop w:val="0"/>
          <w:marBottom w:val="0"/>
          <w:divBdr>
            <w:top w:val="none" w:sz="0" w:space="0" w:color="auto"/>
            <w:left w:val="none" w:sz="0" w:space="0" w:color="auto"/>
            <w:bottom w:val="none" w:sz="0" w:space="0" w:color="auto"/>
            <w:right w:val="none" w:sz="0" w:space="0" w:color="auto"/>
          </w:divBdr>
        </w:div>
        <w:div w:id="1719278821">
          <w:marLeft w:val="0"/>
          <w:marRight w:val="0"/>
          <w:marTop w:val="0"/>
          <w:marBottom w:val="0"/>
          <w:divBdr>
            <w:top w:val="none" w:sz="0" w:space="0" w:color="auto"/>
            <w:left w:val="none" w:sz="0" w:space="0" w:color="auto"/>
            <w:bottom w:val="none" w:sz="0" w:space="0" w:color="auto"/>
            <w:right w:val="none" w:sz="0" w:space="0" w:color="auto"/>
          </w:divBdr>
        </w:div>
        <w:div w:id="1730305295">
          <w:marLeft w:val="0"/>
          <w:marRight w:val="0"/>
          <w:marTop w:val="0"/>
          <w:marBottom w:val="0"/>
          <w:divBdr>
            <w:top w:val="none" w:sz="0" w:space="0" w:color="auto"/>
            <w:left w:val="none" w:sz="0" w:space="0" w:color="auto"/>
            <w:bottom w:val="none" w:sz="0" w:space="0" w:color="auto"/>
            <w:right w:val="none" w:sz="0" w:space="0" w:color="auto"/>
          </w:divBdr>
        </w:div>
        <w:div w:id="2017415911">
          <w:marLeft w:val="0"/>
          <w:marRight w:val="0"/>
          <w:marTop w:val="0"/>
          <w:marBottom w:val="0"/>
          <w:divBdr>
            <w:top w:val="none" w:sz="0" w:space="0" w:color="auto"/>
            <w:left w:val="none" w:sz="0" w:space="0" w:color="auto"/>
            <w:bottom w:val="none" w:sz="0" w:space="0" w:color="auto"/>
            <w:right w:val="none" w:sz="0" w:space="0" w:color="auto"/>
          </w:divBdr>
        </w:div>
        <w:div w:id="2040620523">
          <w:marLeft w:val="0"/>
          <w:marRight w:val="0"/>
          <w:marTop w:val="0"/>
          <w:marBottom w:val="0"/>
          <w:divBdr>
            <w:top w:val="none" w:sz="0" w:space="0" w:color="auto"/>
            <w:left w:val="none" w:sz="0" w:space="0" w:color="auto"/>
            <w:bottom w:val="none" w:sz="0" w:space="0" w:color="auto"/>
            <w:right w:val="none" w:sz="0" w:space="0" w:color="auto"/>
          </w:divBdr>
        </w:div>
      </w:divsChild>
    </w:div>
    <w:div w:id="987366661">
      <w:bodyDiv w:val="1"/>
      <w:marLeft w:val="0"/>
      <w:marRight w:val="0"/>
      <w:marTop w:val="0"/>
      <w:marBottom w:val="0"/>
      <w:divBdr>
        <w:top w:val="none" w:sz="0" w:space="0" w:color="auto"/>
        <w:left w:val="none" w:sz="0" w:space="0" w:color="auto"/>
        <w:bottom w:val="none" w:sz="0" w:space="0" w:color="auto"/>
        <w:right w:val="none" w:sz="0" w:space="0" w:color="auto"/>
      </w:divBdr>
    </w:div>
    <w:div w:id="1129082665">
      <w:bodyDiv w:val="1"/>
      <w:marLeft w:val="0"/>
      <w:marRight w:val="0"/>
      <w:marTop w:val="0"/>
      <w:marBottom w:val="0"/>
      <w:divBdr>
        <w:top w:val="none" w:sz="0" w:space="0" w:color="auto"/>
        <w:left w:val="none" w:sz="0" w:space="0" w:color="auto"/>
        <w:bottom w:val="none" w:sz="0" w:space="0" w:color="auto"/>
        <w:right w:val="none" w:sz="0" w:space="0" w:color="auto"/>
      </w:divBdr>
    </w:div>
    <w:div w:id="1157457847">
      <w:bodyDiv w:val="1"/>
      <w:marLeft w:val="0"/>
      <w:marRight w:val="0"/>
      <w:marTop w:val="0"/>
      <w:marBottom w:val="0"/>
      <w:divBdr>
        <w:top w:val="none" w:sz="0" w:space="0" w:color="auto"/>
        <w:left w:val="none" w:sz="0" w:space="0" w:color="auto"/>
        <w:bottom w:val="none" w:sz="0" w:space="0" w:color="auto"/>
        <w:right w:val="none" w:sz="0" w:space="0" w:color="auto"/>
      </w:divBdr>
    </w:div>
    <w:div w:id="1341158476">
      <w:bodyDiv w:val="1"/>
      <w:marLeft w:val="0"/>
      <w:marRight w:val="0"/>
      <w:marTop w:val="0"/>
      <w:marBottom w:val="0"/>
      <w:divBdr>
        <w:top w:val="none" w:sz="0" w:space="0" w:color="auto"/>
        <w:left w:val="none" w:sz="0" w:space="0" w:color="auto"/>
        <w:bottom w:val="none" w:sz="0" w:space="0" w:color="auto"/>
        <w:right w:val="none" w:sz="0" w:space="0" w:color="auto"/>
      </w:divBdr>
    </w:div>
    <w:div w:id="1464805922">
      <w:bodyDiv w:val="1"/>
      <w:marLeft w:val="0"/>
      <w:marRight w:val="0"/>
      <w:marTop w:val="0"/>
      <w:marBottom w:val="0"/>
      <w:divBdr>
        <w:top w:val="none" w:sz="0" w:space="0" w:color="auto"/>
        <w:left w:val="none" w:sz="0" w:space="0" w:color="auto"/>
        <w:bottom w:val="none" w:sz="0" w:space="0" w:color="auto"/>
        <w:right w:val="none" w:sz="0" w:space="0" w:color="auto"/>
      </w:divBdr>
    </w:div>
    <w:div w:id="1629436969">
      <w:bodyDiv w:val="1"/>
      <w:marLeft w:val="0"/>
      <w:marRight w:val="0"/>
      <w:marTop w:val="0"/>
      <w:marBottom w:val="0"/>
      <w:divBdr>
        <w:top w:val="none" w:sz="0" w:space="0" w:color="auto"/>
        <w:left w:val="none" w:sz="0" w:space="0" w:color="auto"/>
        <w:bottom w:val="none" w:sz="0" w:space="0" w:color="auto"/>
        <w:right w:val="none" w:sz="0" w:space="0" w:color="auto"/>
      </w:divBdr>
    </w:div>
    <w:div w:id="1656493861">
      <w:bodyDiv w:val="1"/>
      <w:marLeft w:val="0"/>
      <w:marRight w:val="0"/>
      <w:marTop w:val="0"/>
      <w:marBottom w:val="0"/>
      <w:divBdr>
        <w:top w:val="none" w:sz="0" w:space="0" w:color="auto"/>
        <w:left w:val="none" w:sz="0" w:space="0" w:color="auto"/>
        <w:bottom w:val="none" w:sz="0" w:space="0" w:color="auto"/>
        <w:right w:val="none" w:sz="0" w:space="0" w:color="auto"/>
      </w:divBdr>
    </w:div>
    <w:div w:id="1731464881">
      <w:bodyDiv w:val="1"/>
      <w:marLeft w:val="0"/>
      <w:marRight w:val="0"/>
      <w:marTop w:val="0"/>
      <w:marBottom w:val="0"/>
      <w:divBdr>
        <w:top w:val="none" w:sz="0" w:space="0" w:color="auto"/>
        <w:left w:val="none" w:sz="0" w:space="0" w:color="auto"/>
        <w:bottom w:val="none" w:sz="0" w:space="0" w:color="auto"/>
        <w:right w:val="none" w:sz="0" w:space="0" w:color="auto"/>
      </w:divBdr>
      <w:divsChild>
        <w:div w:id="1071343456">
          <w:marLeft w:val="547"/>
          <w:marRight w:val="0"/>
          <w:marTop w:val="0"/>
          <w:marBottom w:val="0"/>
          <w:divBdr>
            <w:top w:val="none" w:sz="0" w:space="0" w:color="auto"/>
            <w:left w:val="none" w:sz="0" w:space="0" w:color="auto"/>
            <w:bottom w:val="none" w:sz="0" w:space="0" w:color="auto"/>
            <w:right w:val="none" w:sz="0" w:space="0" w:color="auto"/>
          </w:divBdr>
        </w:div>
      </w:divsChild>
    </w:div>
    <w:div w:id="1859079736">
      <w:bodyDiv w:val="1"/>
      <w:marLeft w:val="0"/>
      <w:marRight w:val="0"/>
      <w:marTop w:val="0"/>
      <w:marBottom w:val="0"/>
      <w:divBdr>
        <w:top w:val="none" w:sz="0" w:space="0" w:color="auto"/>
        <w:left w:val="none" w:sz="0" w:space="0" w:color="auto"/>
        <w:bottom w:val="none" w:sz="0" w:space="0" w:color="auto"/>
        <w:right w:val="none" w:sz="0" w:space="0" w:color="auto"/>
      </w:divBdr>
    </w:div>
    <w:div w:id="1880243832">
      <w:bodyDiv w:val="1"/>
      <w:marLeft w:val="0"/>
      <w:marRight w:val="0"/>
      <w:marTop w:val="0"/>
      <w:marBottom w:val="0"/>
      <w:divBdr>
        <w:top w:val="none" w:sz="0" w:space="0" w:color="auto"/>
        <w:left w:val="none" w:sz="0" w:space="0" w:color="auto"/>
        <w:bottom w:val="none" w:sz="0" w:space="0" w:color="auto"/>
        <w:right w:val="none" w:sz="0" w:space="0" w:color="auto"/>
      </w:divBdr>
      <w:divsChild>
        <w:div w:id="955910020">
          <w:marLeft w:val="446"/>
          <w:marRight w:val="0"/>
          <w:marTop w:val="0"/>
          <w:marBottom w:val="0"/>
          <w:divBdr>
            <w:top w:val="none" w:sz="0" w:space="0" w:color="auto"/>
            <w:left w:val="none" w:sz="0" w:space="0" w:color="auto"/>
            <w:bottom w:val="none" w:sz="0" w:space="0" w:color="auto"/>
            <w:right w:val="none" w:sz="0" w:space="0" w:color="auto"/>
          </w:divBdr>
        </w:div>
      </w:divsChild>
    </w:div>
    <w:div w:id="1901867865">
      <w:bodyDiv w:val="1"/>
      <w:marLeft w:val="0"/>
      <w:marRight w:val="0"/>
      <w:marTop w:val="0"/>
      <w:marBottom w:val="0"/>
      <w:divBdr>
        <w:top w:val="none" w:sz="0" w:space="0" w:color="auto"/>
        <w:left w:val="none" w:sz="0" w:space="0" w:color="auto"/>
        <w:bottom w:val="none" w:sz="0" w:space="0" w:color="auto"/>
        <w:right w:val="none" w:sz="0" w:space="0" w:color="auto"/>
      </w:divBdr>
    </w:div>
    <w:div w:id="2050914658">
      <w:bodyDiv w:val="1"/>
      <w:marLeft w:val="0"/>
      <w:marRight w:val="0"/>
      <w:marTop w:val="0"/>
      <w:marBottom w:val="0"/>
      <w:divBdr>
        <w:top w:val="none" w:sz="0" w:space="0" w:color="auto"/>
        <w:left w:val="none" w:sz="0" w:space="0" w:color="auto"/>
        <w:bottom w:val="none" w:sz="0" w:space="0" w:color="auto"/>
        <w:right w:val="none" w:sz="0" w:space="0" w:color="auto"/>
      </w:divBdr>
      <w:divsChild>
        <w:div w:id="240533158">
          <w:marLeft w:val="446"/>
          <w:marRight w:val="0"/>
          <w:marTop w:val="0"/>
          <w:marBottom w:val="0"/>
          <w:divBdr>
            <w:top w:val="none" w:sz="0" w:space="0" w:color="auto"/>
            <w:left w:val="none" w:sz="0" w:space="0" w:color="auto"/>
            <w:bottom w:val="none" w:sz="0" w:space="0" w:color="auto"/>
            <w:right w:val="none" w:sz="0" w:space="0" w:color="auto"/>
          </w:divBdr>
        </w:div>
      </w:divsChild>
    </w:div>
    <w:div w:id="2106993803">
      <w:bodyDiv w:val="1"/>
      <w:marLeft w:val="0"/>
      <w:marRight w:val="0"/>
      <w:marTop w:val="0"/>
      <w:marBottom w:val="0"/>
      <w:divBdr>
        <w:top w:val="none" w:sz="0" w:space="0" w:color="auto"/>
        <w:left w:val="none" w:sz="0" w:space="0" w:color="auto"/>
        <w:bottom w:val="none" w:sz="0" w:space="0" w:color="auto"/>
        <w:right w:val="none" w:sz="0" w:space="0" w:color="auto"/>
      </w:divBdr>
    </w:div>
    <w:div w:id="2145732727">
      <w:bodyDiv w:val="1"/>
      <w:marLeft w:val="0"/>
      <w:marRight w:val="0"/>
      <w:marTop w:val="0"/>
      <w:marBottom w:val="0"/>
      <w:divBdr>
        <w:top w:val="none" w:sz="0" w:space="0" w:color="auto"/>
        <w:left w:val="none" w:sz="0" w:space="0" w:color="auto"/>
        <w:bottom w:val="none" w:sz="0" w:space="0" w:color="auto"/>
        <w:right w:val="none" w:sz="0" w:space="0" w:color="auto"/>
      </w:divBdr>
      <w:divsChild>
        <w:div w:id="26221203">
          <w:marLeft w:val="446"/>
          <w:marRight w:val="0"/>
          <w:marTop w:val="0"/>
          <w:marBottom w:val="0"/>
          <w:divBdr>
            <w:top w:val="none" w:sz="0" w:space="0" w:color="auto"/>
            <w:left w:val="none" w:sz="0" w:space="0" w:color="auto"/>
            <w:bottom w:val="none" w:sz="0" w:space="0" w:color="auto"/>
            <w:right w:val="none" w:sz="0" w:space="0" w:color="auto"/>
          </w:divBdr>
        </w:div>
        <w:div w:id="895361355">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munications@safetyandquality.gov.au" TargetMode="External"/><Relationship Id="rId18" Type="http://schemas.openxmlformats.org/officeDocument/2006/relationships/footer" Target="footer2.xm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nd/4.0/" TargetMode="External"/><Relationship Id="rId24" Type="http://schemas.openxmlformats.org/officeDocument/2006/relationships/image" Target="media/image6.jpeg"/><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jpe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3.xm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image" Target="media/image4.jpg"/><Relationship Id="rId27" Type="http://schemas.openxmlformats.org/officeDocument/2006/relationships/image" Target="media/image8.png"/><Relationship Id="rId30" Type="http://schemas.openxmlformats.org/officeDocument/2006/relationships/hyperlink" Target="https://www.safetyandquality.gov.au/our-work/clinical-trials/" TargetMode="External"/><Relationship Id="rId35"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www.rand.org/pubs/research_reports/RR666.html" TargetMode="External"/><Relationship Id="rId13" Type="http://schemas.openxmlformats.org/officeDocument/2006/relationships/hyperlink" Target="https://www.nhmrc.gov.au/grants-funding/research-funding-statistics-and-data" TargetMode="External"/><Relationship Id="rId18" Type="http://schemas.openxmlformats.org/officeDocument/2006/relationships/hyperlink" Target="http://www.rand.org/pubs/research_reports/RR666.html" TargetMode="External"/><Relationship Id="rId3" Type="http://schemas.openxmlformats.org/officeDocument/2006/relationships/hyperlink" Target="http://www.clinicaltrialsalliance.org.au/wp-content/uploads/2015/12/ACTA_Networks_Report_2004-14_online.pdf" TargetMode="External"/><Relationship Id="rId7" Type="http://schemas.openxmlformats.org/officeDocument/2006/relationships/hyperlink" Target="http://www.clinicaltrialsalliance.org.au/wp-content/uploads/2015/12/ACTA_Networks_Report_2004-14_online.pdf" TargetMode="External"/><Relationship Id="rId12" Type="http://schemas.openxmlformats.org/officeDocument/2006/relationships/hyperlink" Target="https://www.ihpa.gov.au/what-we-do/nhcdc" TargetMode="External"/><Relationship Id="rId17" Type="http://schemas.openxmlformats.org/officeDocument/2006/relationships/hyperlink" Target="https://www.dpmc.gov.au/sites/default/files/publications/Value_of_Statistical_Life_guidance_note.pdf" TargetMode="External"/><Relationship Id="rId2" Type="http://schemas.openxmlformats.org/officeDocument/2006/relationships/hyperlink" Target="http://www.cebm.net/ocebm-levels-of-evidence/" TargetMode="External"/><Relationship Id="rId16" Type="http://schemas.openxmlformats.org/officeDocument/2006/relationships/hyperlink" Target="http://data.worldbank.org/country/australia" TargetMode="External"/><Relationship Id="rId20" Type="http://schemas.openxmlformats.org/officeDocument/2006/relationships/hyperlink" Target="http://www.anzics.com.au/pages/CTG/about.aspx" TargetMode="External"/><Relationship Id="rId1" Type="http://schemas.openxmlformats.org/officeDocument/2006/relationships/hyperlink" Target="http://www.clinicaltrialsalliance.org.au/wp-content/uploads/2015/12/ACTA_Networks_Report_2004-14_online.pdf" TargetMode="External"/><Relationship Id="rId6" Type="http://schemas.openxmlformats.org/officeDocument/2006/relationships/hyperlink" Target="http://www.clinicaltrialsalliance.org.au/wp-content/uploads/2015/12/ACTA_Networks_Report_2004-14_online.pdf" TargetMode="External"/><Relationship Id="rId11" Type="http://schemas.openxmlformats.org/officeDocument/2006/relationships/hyperlink" Target="http://www.aihw.gov.au/WorkArea/DownloadAsset.aspx?id=6442459211" TargetMode="External"/><Relationship Id="rId5" Type="http://schemas.openxmlformats.org/officeDocument/2006/relationships/hyperlink" Target="http://www.clinicaltrialsalliance.org.au/wp-content/uploads/2016/12/1-ACTA2016_Simes.pdf" TargetMode="External"/><Relationship Id="rId15" Type="http://schemas.openxmlformats.org/officeDocument/2006/relationships/hyperlink" Target="http://www.clinicaltrialsalliance.org.au/wp-content/uploads/2015/12/ACTA_Networks_Report_2004-14_online.pdf" TargetMode="External"/><Relationship Id="rId10" Type="http://schemas.openxmlformats.org/officeDocument/2006/relationships/hyperlink" Target="http://www.who.int/healthinfo/statistics/GlobalDALYmethods_2000_2011.pdf" TargetMode="External"/><Relationship Id="rId19" Type="http://schemas.openxmlformats.org/officeDocument/2006/relationships/hyperlink" Target="http://www.rand.org/pubs/research_reports/RR666.html" TargetMode="External"/><Relationship Id="rId4" Type="http://schemas.openxmlformats.org/officeDocument/2006/relationships/hyperlink" Target="https://lateraleconomics.com.au/wp-content/uploads/2014/02/The-Ec-Value-of-Austs-Invmt-in-Med-Research.pdf" TargetMode="External"/><Relationship Id="rId9" Type="http://schemas.openxmlformats.org/officeDocument/2006/relationships/hyperlink" Target="https://www.dpmc.gov.au/sites/default/files/publications/Value_of_Statistical_Life_guidance_note.pdf" TargetMode="External"/><Relationship Id="rId14" Type="http://schemas.openxmlformats.org/officeDocument/2006/relationships/hyperlink" Target="http://www.pc.gov.au/research/supporting/cost-benefit-discount/cost-benefit-discount.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66809246723401"/>
          <c:y val="3.5414735837446198E-2"/>
          <c:w val="0.85040586076822"/>
          <c:h val="0.90532403164568798"/>
        </c:manualLayout>
      </c:layout>
      <c:barChart>
        <c:barDir val="col"/>
        <c:grouping val="stacked"/>
        <c:varyColors val="0"/>
        <c:ser>
          <c:idx val="0"/>
          <c:order val="0"/>
          <c:tx>
            <c:strRef>
              <c:f>Sheet1!$B$1</c:f>
              <c:strCache>
                <c:ptCount val="1"/>
                <c:pt idx="0">
                  <c:v>Patient health outcomes</c:v>
                </c:pt>
              </c:strCache>
            </c:strRef>
          </c:tx>
          <c:spPr>
            <a:solidFill>
              <a:schemeClr val="accent5">
                <a:lumMod val="75000"/>
              </a:schemeClr>
            </a:solidFill>
          </c:spPr>
          <c:invertIfNegative val="0"/>
          <c:dLbls>
            <c:spPr>
              <a:noFill/>
              <a:ln>
                <a:noFill/>
              </a:ln>
              <a:effectLst/>
            </c:spPr>
            <c:txPr>
              <a:bodyPr/>
              <a:lstStyle/>
              <a:p>
                <a:pPr>
                  <a:defRPr b="0">
                    <a:solidFill>
                      <a:schemeClr val="bg1"/>
                    </a:solidFill>
                    <a:latin typeface="Arial" panose="020B0604020202020204" pitchFamily="34" charset="0"/>
                    <a:cs typeface="Arial" panose="020B0604020202020204" pitchFamily="34" charset="0"/>
                  </a:defRPr>
                </a:pPr>
                <a:endParaRPr lang="en-US"/>
              </a:p>
            </c:txPr>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Gross benefit</c:v>
                </c:pt>
                <c:pt idx="1">
                  <c:v>Cost</c:v>
                </c:pt>
                <c:pt idx="2">
                  <c:v>Net benefit</c:v>
                </c:pt>
              </c:strCache>
            </c:strRef>
          </c:cat>
          <c:val>
            <c:numRef>
              <c:f>Sheet1!$B$2:$B$4</c:f>
              <c:numCache>
                <c:formatCode>General</c:formatCode>
                <c:ptCount val="3"/>
                <c:pt idx="0" formatCode="[$$-C09]#,##0.0">
                  <c:v>1377000000</c:v>
                </c:pt>
              </c:numCache>
            </c:numRef>
          </c:val>
          <c:extLst xmlns:c16r2="http://schemas.microsoft.com/office/drawing/2015/06/chart">
            <c:ext xmlns:c16="http://schemas.microsoft.com/office/drawing/2014/chart" uri="{C3380CC4-5D6E-409C-BE32-E72D297353CC}">
              <c16:uniqueId val="{00000000-B807-448D-8180-2BECDE54F6EA}"/>
            </c:ext>
          </c:extLst>
        </c:ser>
        <c:ser>
          <c:idx val="1"/>
          <c:order val="1"/>
          <c:tx>
            <c:strRef>
              <c:f>Sheet1!$C$1</c:f>
              <c:strCache>
                <c:ptCount val="1"/>
                <c:pt idx="0">
                  <c:v>Direct health service costs avoided</c:v>
                </c:pt>
              </c:strCache>
            </c:strRef>
          </c:tx>
          <c:spPr>
            <a:solidFill>
              <a:schemeClr val="accent1"/>
            </a:solidFill>
          </c:spPr>
          <c:invertIfNegative val="0"/>
          <c:dLbls>
            <c:spPr>
              <a:noFill/>
              <a:ln>
                <a:noFill/>
              </a:ln>
              <a:effectLst/>
            </c:spPr>
            <c:txPr>
              <a:bodyPr/>
              <a:lstStyle/>
              <a:p>
                <a:pPr>
                  <a:defRPr b="0">
                    <a:solidFill>
                      <a:schemeClr val="bg1"/>
                    </a:solidFill>
                    <a:latin typeface="Arial" panose="020B0604020202020204" pitchFamily="34" charset="0"/>
                    <a:cs typeface="Arial" panose="020B0604020202020204" pitchFamily="34" charset="0"/>
                  </a:defRPr>
                </a:pPr>
                <a:endParaRPr lang="en-US"/>
              </a:p>
            </c:txPr>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Gross benefit</c:v>
                </c:pt>
                <c:pt idx="1">
                  <c:v>Cost</c:v>
                </c:pt>
                <c:pt idx="2">
                  <c:v>Net benefit</c:v>
                </c:pt>
              </c:strCache>
            </c:strRef>
          </c:cat>
          <c:val>
            <c:numRef>
              <c:f>Sheet1!$C$2:$C$4</c:f>
              <c:numCache>
                <c:formatCode>General</c:formatCode>
                <c:ptCount val="3"/>
                <c:pt idx="0" formatCode="[$$-C09]#,##0.0">
                  <c:v>600000000</c:v>
                </c:pt>
              </c:numCache>
            </c:numRef>
          </c:val>
          <c:extLst xmlns:c16r2="http://schemas.microsoft.com/office/drawing/2015/06/chart">
            <c:ext xmlns:c16="http://schemas.microsoft.com/office/drawing/2014/chart" uri="{C3380CC4-5D6E-409C-BE32-E72D297353CC}">
              <c16:uniqueId val="{00000001-B807-448D-8180-2BECDE54F6EA}"/>
            </c:ext>
          </c:extLst>
        </c:ser>
        <c:ser>
          <c:idx val="2"/>
          <c:order val="2"/>
          <c:tx>
            <c:strRef>
              <c:f>Sheet1!$D$1</c:f>
              <c:strCache>
                <c:ptCount val="1"/>
                <c:pt idx="0">
                  <c:v>Network and coordinating centre costs</c:v>
                </c:pt>
              </c:strCache>
            </c:strRef>
          </c:tx>
          <c:spPr>
            <a:solidFill>
              <a:schemeClr val="bg1">
                <a:lumMod val="50000"/>
              </a:schemeClr>
            </a:solidFill>
          </c:spPr>
          <c:invertIfNegative val="0"/>
          <c:dLbls>
            <c:dLbl>
              <c:idx val="1"/>
              <c:layout>
                <c:manualLayout>
                  <c:x val="2.1750951604132701E-3"/>
                  <c:y val="8.8597872634341795E-2"/>
                </c:manualLayout>
              </c:layout>
              <c:dLblPos val="ct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807-448D-8180-2BECDE54F6EA}"/>
                </c:ext>
              </c:extLst>
            </c:dLbl>
            <c:spPr>
              <a:noFill/>
              <a:ln>
                <a:noFill/>
              </a:ln>
              <a:effectLst/>
            </c:spPr>
            <c:txPr>
              <a:bodyPr/>
              <a:lstStyle/>
              <a:p>
                <a:pPr>
                  <a:defRPr b="0">
                    <a:latin typeface="Arial" panose="020B0604020202020204" pitchFamily="34" charset="0"/>
                    <a:cs typeface="Arial" panose="020B0604020202020204" pitchFamily="34" charset="0"/>
                  </a:defRPr>
                </a:pPr>
                <a:endParaRPr lang="en-US"/>
              </a:p>
            </c:txPr>
            <c:dLblPos val="inEnd"/>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Gross benefit</c:v>
                </c:pt>
                <c:pt idx="1">
                  <c:v>Cost</c:v>
                </c:pt>
                <c:pt idx="2">
                  <c:v>Net benefit</c:v>
                </c:pt>
              </c:strCache>
            </c:strRef>
          </c:cat>
          <c:val>
            <c:numRef>
              <c:f>Sheet1!$D$2:$D$4</c:f>
              <c:numCache>
                <c:formatCode>[$$-C09]#,##0.0</c:formatCode>
                <c:ptCount val="3"/>
                <c:pt idx="1">
                  <c:v>-92000000</c:v>
                </c:pt>
              </c:numCache>
            </c:numRef>
          </c:val>
          <c:extLst xmlns:c16r2="http://schemas.microsoft.com/office/drawing/2015/06/chart">
            <c:ext xmlns:c16="http://schemas.microsoft.com/office/drawing/2014/chart" uri="{C3380CC4-5D6E-409C-BE32-E72D297353CC}">
              <c16:uniqueId val="{00000003-B807-448D-8180-2BECDE54F6EA}"/>
            </c:ext>
          </c:extLst>
        </c:ser>
        <c:ser>
          <c:idx val="3"/>
          <c:order val="3"/>
          <c:tx>
            <c:strRef>
              <c:f>Sheet1!$E$1</c:f>
              <c:strCache>
                <c:ptCount val="1"/>
                <c:pt idx="0">
                  <c:v>Trial costs</c:v>
                </c:pt>
              </c:strCache>
            </c:strRef>
          </c:tx>
          <c:spPr>
            <a:solidFill>
              <a:schemeClr val="bg1">
                <a:lumMod val="75000"/>
              </a:schemeClr>
            </a:solidFill>
          </c:spPr>
          <c:invertIfNegative val="0"/>
          <c:dLbls>
            <c:dLbl>
              <c:idx val="1"/>
              <c:layout>
                <c:manualLayout>
                  <c:x val="2.1750951604132701E-3"/>
                  <c:y val="-2.0750731517412101E-2"/>
                </c:manualLayout>
              </c:layout>
              <c:dLblPos val="ct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807-448D-8180-2BECDE54F6EA}"/>
                </c:ext>
              </c:extLst>
            </c:dLbl>
            <c:spPr>
              <a:noFill/>
              <a:ln>
                <a:noFill/>
              </a:ln>
              <a:effectLst/>
            </c:spPr>
            <c:txPr>
              <a:bodyPr/>
              <a:lstStyle/>
              <a:p>
                <a:pPr>
                  <a:defRPr b="0">
                    <a:latin typeface="Arial" panose="020B0604020202020204" pitchFamily="34" charset="0"/>
                    <a:cs typeface="Arial" panose="020B0604020202020204" pitchFamily="34" charset="0"/>
                  </a:defRPr>
                </a:pPr>
                <a:endParaRPr lang="en-US"/>
              </a:p>
            </c:txPr>
            <c:dLblPos val="inBase"/>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Gross benefit</c:v>
                </c:pt>
                <c:pt idx="1">
                  <c:v>Cost</c:v>
                </c:pt>
                <c:pt idx="2">
                  <c:v>Net benefit</c:v>
                </c:pt>
              </c:strCache>
            </c:strRef>
          </c:cat>
          <c:val>
            <c:numRef>
              <c:f>Sheet1!$E$2:$E$4</c:f>
              <c:numCache>
                <c:formatCode>[$$-C09]#,##0.0</c:formatCode>
                <c:ptCount val="3"/>
                <c:pt idx="1">
                  <c:v>-243000000</c:v>
                </c:pt>
              </c:numCache>
            </c:numRef>
          </c:val>
          <c:extLst xmlns:c16r2="http://schemas.microsoft.com/office/drawing/2015/06/chart">
            <c:ext xmlns:c16="http://schemas.microsoft.com/office/drawing/2014/chart" uri="{C3380CC4-5D6E-409C-BE32-E72D297353CC}">
              <c16:uniqueId val="{00000005-B807-448D-8180-2BECDE54F6EA}"/>
            </c:ext>
          </c:extLst>
        </c:ser>
        <c:ser>
          <c:idx val="4"/>
          <c:order val="4"/>
          <c:tx>
            <c:strRef>
              <c:f>Sheet1!$F$1</c:f>
              <c:strCache>
                <c:ptCount val="1"/>
                <c:pt idx="0">
                  <c:v>Net benefit</c:v>
                </c:pt>
              </c:strCache>
            </c:strRef>
          </c:tx>
          <c:spPr>
            <a:solidFill>
              <a:srgbClr val="1AABC8"/>
            </a:solidFill>
          </c:spPr>
          <c:invertIfNegative val="0"/>
          <c:dPt>
            <c:idx val="2"/>
            <c:invertIfNegative val="0"/>
            <c:bubble3D val="0"/>
            <c:spPr>
              <a:solidFill>
                <a:srgbClr val="E6418D"/>
              </a:solidFill>
            </c:spPr>
            <c:extLst xmlns:c16r2="http://schemas.microsoft.com/office/drawing/2015/06/chart">
              <c:ext xmlns:c16="http://schemas.microsoft.com/office/drawing/2014/chart" uri="{C3380CC4-5D6E-409C-BE32-E72D297353CC}">
                <c16:uniqueId val="{00000007-B807-448D-8180-2BECDE54F6EA}"/>
              </c:ext>
            </c:extLst>
          </c:dPt>
          <c:dLbls>
            <c:spPr>
              <a:noFill/>
              <a:ln>
                <a:noFill/>
              </a:ln>
              <a:effectLst/>
            </c:spPr>
            <c:txPr>
              <a:bodyPr/>
              <a:lstStyle/>
              <a:p>
                <a:pPr>
                  <a:defRPr b="0">
                    <a:solidFill>
                      <a:schemeClr val="bg1"/>
                    </a:solidFill>
                    <a:latin typeface="Arial" panose="020B0604020202020204" pitchFamily="34" charset="0"/>
                    <a:cs typeface="Arial" panose="020B0604020202020204" pitchFamily="34" charset="0"/>
                  </a:defRPr>
                </a:pPr>
                <a:endParaRPr lang="en-US"/>
              </a:p>
            </c:txPr>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Gross benefit</c:v>
                </c:pt>
                <c:pt idx="1">
                  <c:v>Cost</c:v>
                </c:pt>
                <c:pt idx="2">
                  <c:v>Net benefit</c:v>
                </c:pt>
              </c:strCache>
            </c:strRef>
          </c:cat>
          <c:val>
            <c:numRef>
              <c:f>Sheet1!$F$2:$F$4</c:f>
              <c:numCache>
                <c:formatCode>General</c:formatCode>
                <c:ptCount val="3"/>
                <c:pt idx="2" formatCode="[$$-C09]#,##0.0">
                  <c:v>1600000000</c:v>
                </c:pt>
              </c:numCache>
            </c:numRef>
          </c:val>
          <c:extLst xmlns:c16r2="http://schemas.microsoft.com/office/drawing/2015/06/chart">
            <c:ext xmlns:c16="http://schemas.microsoft.com/office/drawing/2014/chart" uri="{C3380CC4-5D6E-409C-BE32-E72D297353CC}">
              <c16:uniqueId val="{00000008-B807-448D-8180-2BECDE54F6EA}"/>
            </c:ext>
          </c:extLst>
        </c:ser>
        <c:dLbls>
          <c:showLegendKey val="0"/>
          <c:showVal val="1"/>
          <c:showCatName val="0"/>
          <c:showSerName val="0"/>
          <c:showPercent val="0"/>
          <c:showBubbleSize val="0"/>
        </c:dLbls>
        <c:gapWidth val="0"/>
        <c:overlap val="100"/>
        <c:axId val="198453888"/>
        <c:axId val="198467968"/>
      </c:barChart>
      <c:catAx>
        <c:axId val="198453888"/>
        <c:scaling>
          <c:orientation val="minMax"/>
        </c:scaling>
        <c:delete val="0"/>
        <c:axPos val="b"/>
        <c:numFmt formatCode="General" sourceLinked="0"/>
        <c:majorTickMark val="out"/>
        <c:minorTickMark val="none"/>
        <c:tickLblPos val="low"/>
        <c:txPr>
          <a:bodyPr/>
          <a:lstStyle/>
          <a:p>
            <a:pPr>
              <a:defRPr>
                <a:latin typeface="Arial" panose="020B0604020202020204" pitchFamily="34" charset="0"/>
                <a:cs typeface="Arial" panose="020B0604020202020204" pitchFamily="34" charset="0"/>
              </a:defRPr>
            </a:pPr>
            <a:endParaRPr lang="en-US"/>
          </a:p>
        </c:txPr>
        <c:crossAx val="198467968"/>
        <c:crosses val="autoZero"/>
        <c:auto val="1"/>
        <c:lblAlgn val="ctr"/>
        <c:lblOffset val="100"/>
        <c:noMultiLvlLbl val="0"/>
      </c:catAx>
      <c:valAx>
        <c:axId val="198467968"/>
        <c:scaling>
          <c:orientation val="minMax"/>
        </c:scaling>
        <c:delete val="0"/>
        <c:axPos val="l"/>
        <c:majorGridlines>
          <c:spPr>
            <a:ln>
              <a:solidFill>
                <a:schemeClr val="bg1">
                  <a:lumMod val="75000"/>
                </a:schemeClr>
              </a:solidFill>
            </a:ln>
          </c:spPr>
        </c:majorGridlines>
        <c:numFmt formatCode="[$$-C09]#,##0.0"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98453888"/>
        <c:crosses val="autoZero"/>
        <c:crossBetween val="between"/>
        <c:dispUnits>
          <c:builtInUnit val="billions"/>
          <c:dispUnitsLbl>
            <c:layout>
              <c:manualLayout>
                <c:xMode val="edge"/>
                <c:yMode val="edge"/>
                <c:x val="1.85185185185185E-2"/>
                <c:y val="0.34167666541682301"/>
              </c:manualLayout>
            </c:layout>
            <c:txPr>
              <a:bodyPr/>
              <a:lstStyle/>
              <a:p>
                <a:pPr>
                  <a:defRPr b="0">
                    <a:latin typeface="Arial" panose="020B0604020202020204" pitchFamily="34" charset="0"/>
                    <a:cs typeface="Arial" panose="020B0604020202020204" pitchFamily="34" charset="0"/>
                  </a:defRPr>
                </a:pPr>
                <a:endParaRPr lang="en-US"/>
              </a:p>
            </c:txPr>
          </c:dispUnitsLbl>
        </c:dispUnits>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AC5CEC-2D9C-4506-974E-E2557B4F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74</Pages>
  <Words>17878</Words>
  <Characters>101908</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Peter MacCallum Cancer Centre</Company>
  <LinksUpToDate>false</LinksUpToDate>
  <CharactersWithSpaces>119547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BARNSLEY, Katherine</cp:lastModifiedBy>
  <cp:revision>22</cp:revision>
  <cp:lastPrinted>2017-07-24T04:00:00Z</cp:lastPrinted>
  <dcterms:created xsi:type="dcterms:W3CDTF">2017-07-24T01:12:00Z</dcterms:created>
  <dcterms:modified xsi:type="dcterms:W3CDTF">2017-07-31T02:08:00Z</dcterms:modified>
</cp:coreProperties>
</file>