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D5" w:rsidRDefault="008F285E" w:rsidP="00000864">
      <w:pPr>
        <w:tabs>
          <w:tab w:val="right" w:pos="9399"/>
        </w:tabs>
        <w:spacing w:before="120"/>
      </w:pPr>
      <w:bookmarkStart w:id="0" w:name="_GoBack"/>
      <w:r>
        <w:rPr>
          <w:noProof/>
          <w:lang w:val="en-AU" w:eastAsia="en-AU"/>
        </w:rPr>
        <w:drawing>
          <wp:anchor distT="0" distB="0" distL="114300" distR="114300" simplePos="0" relativeHeight="251665408" behindDoc="1" locked="0" layoutInCell="1" allowOverlap="1" wp14:anchorId="0F8CB65D" wp14:editId="243CC35C">
            <wp:simplePos x="0" y="0"/>
            <wp:positionH relativeFrom="column">
              <wp:posOffset>-881743</wp:posOffset>
            </wp:positionH>
            <wp:positionV relativeFrom="paragraph">
              <wp:posOffset>-1077686</wp:posOffset>
            </wp:positionV>
            <wp:extent cx="7782625" cy="10842172"/>
            <wp:effectExtent l="0" t="0" r="8890" b="0"/>
            <wp:wrapNone/>
            <wp:docPr id="1" name="Picture 1" descr=" Logo for Australian Commission on Safety and Quality in Health care" title="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9"/>
                    <a:stretch>
                      <a:fillRect/>
                    </a:stretch>
                  </pic:blipFill>
                  <pic:spPr>
                    <a:xfrm>
                      <a:off x="0" y="0"/>
                      <a:ext cx="7782560" cy="1084208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bookmarkEnd w:id="0"/>
      <w:r w:rsidR="00C323F4">
        <w:rPr>
          <w:noProof/>
          <w:lang w:val="en-AU" w:eastAsia="en-AU"/>
        </w:rPr>
        <w:drawing>
          <wp:anchor distT="0" distB="0" distL="114300" distR="114300" simplePos="0" relativeHeight="251667456" behindDoc="1" locked="0" layoutInCell="1" allowOverlap="1" wp14:anchorId="180C0B22" wp14:editId="2113CC2E">
            <wp:simplePos x="0" y="0"/>
            <wp:positionH relativeFrom="column">
              <wp:posOffset>7232488</wp:posOffset>
            </wp:positionH>
            <wp:positionV relativeFrom="paragraph">
              <wp:posOffset>-786765</wp:posOffset>
            </wp:positionV>
            <wp:extent cx="7559040" cy="1407795"/>
            <wp:effectExtent l="0" t="0" r="0" b="0"/>
            <wp:wrapNone/>
            <wp:docPr id="13" name="Picture 13" descr="Clinical Care Standards logo" title="Clinical Care Standard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0">
                      <a:extLst>
                        <a:ext uri="{28A0092B-C50C-407E-A947-70E740481C1C}">
                          <a14:useLocalDpi xmlns:a14="http://schemas.microsoft.com/office/drawing/2010/main" val="0"/>
                        </a:ext>
                      </a:extLst>
                    </a:blip>
                    <a:stretch>
                      <a:fillRect/>
                    </a:stretch>
                  </pic:blipFill>
                  <pic:spPr>
                    <a:xfrm>
                      <a:off x="0" y="0"/>
                      <a:ext cx="7559040" cy="14077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000864">
        <w:tab/>
      </w:r>
    </w:p>
    <w:p w:rsidR="009821D5" w:rsidRDefault="009821D5" w:rsidP="009821D5">
      <w:pPr>
        <w:spacing w:before="120"/>
      </w:pPr>
    </w:p>
    <w:p w:rsidR="003A03FB" w:rsidRDefault="008F285E">
      <w:r>
        <w:rPr>
          <w:noProof/>
          <w:lang w:val="en-AU" w:eastAsia="en-AU"/>
        </w:rPr>
        <mc:AlternateContent>
          <mc:Choice Requires="wps">
            <w:drawing>
              <wp:anchor distT="0" distB="0" distL="114300" distR="114300" simplePos="0" relativeHeight="251668480" behindDoc="1" locked="0" layoutInCell="1" allowOverlap="1" wp14:anchorId="53B3099E" wp14:editId="1684D621">
                <wp:simplePos x="0" y="0"/>
                <wp:positionH relativeFrom="column">
                  <wp:posOffset>2655570</wp:posOffset>
                </wp:positionH>
                <wp:positionV relativeFrom="paragraph">
                  <wp:posOffset>3187065</wp:posOffset>
                </wp:positionV>
                <wp:extent cx="3926840" cy="1697990"/>
                <wp:effectExtent l="0" t="0" r="0" b="0"/>
                <wp:wrapThrough wrapText="bothSides">
                  <wp:wrapPolygon edited="0">
                    <wp:start x="0" y="0"/>
                    <wp:lineTo x="0" y="21600"/>
                    <wp:lineTo x="21600" y="21600"/>
                    <wp:lineTo x="2160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840" cy="1697990"/>
                        </a:xfrm>
                        <a:prstGeom prst="rect">
                          <a:avLst/>
                        </a:prstGeom>
                        <a:solidFill>
                          <a:srgbClr val="FFFFFF">
                            <a:alpha val="0"/>
                          </a:srgbClr>
                        </a:solidFill>
                        <a:ln w="9525">
                          <a:noFill/>
                          <a:miter lim="800000"/>
                          <a:headEnd/>
                          <a:tailEnd/>
                        </a:ln>
                      </wps:spPr>
                      <wps:txbx>
                        <w:txbxContent>
                          <w:p w:rsidR="008F285E" w:rsidRPr="0032413B" w:rsidRDefault="008F285E" w:rsidP="008F285E">
                            <w:pPr>
                              <w:jc w:val="right"/>
                              <w:rPr>
                                <w:rFonts w:ascii="Arial" w:hAnsi="Arial" w:cs="Arial"/>
                                <w:color w:val="808080" w:themeColor="background1" w:themeShade="80"/>
                                <w:sz w:val="48"/>
                                <w:szCs w:val="48"/>
                                <w:lang w:val="en-AU"/>
                              </w:rPr>
                            </w:pPr>
                            <w:r w:rsidRPr="0032413B">
                              <w:rPr>
                                <w:rFonts w:ascii="Arial" w:hAnsi="Arial" w:cs="Arial"/>
                                <w:color w:val="808080" w:themeColor="background1" w:themeShade="80"/>
                                <w:sz w:val="48"/>
                                <w:szCs w:val="48"/>
                                <w:lang w:val="en-AU"/>
                              </w:rPr>
                              <w:t>Evidence Sources</w:t>
                            </w:r>
                          </w:p>
                          <w:p w:rsidR="008F285E" w:rsidRPr="0032413B" w:rsidRDefault="008F285E" w:rsidP="008F285E">
                            <w:pPr>
                              <w:jc w:val="right"/>
                              <w:rPr>
                                <w:rFonts w:ascii="Arial" w:hAnsi="Arial" w:cs="Arial"/>
                                <w:b/>
                                <w:bCs/>
                                <w:color w:val="808080" w:themeColor="background1" w:themeShade="80"/>
                                <w:sz w:val="48"/>
                                <w:szCs w:val="48"/>
                                <w:lang w:val="en-AU"/>
                              </w:rPr>
                            </w:pPr>
                            <w:r w:rsidRPr="0032413B">
                              <w:rPr>
                                <w:rFonts w:ascii="Arial" w:hAnsi="Arial" w:cs="Arial"/>
                                <w:b/>
                                <w:bCs/>
                                <w:color w:val="808080" w:themeColor="background1" w:themeShade="80"/>
                                <w:sz w:val="48"/>
                                <w:szCs w:val="48"/>
                                <w:lang w:val="en-AU"/>
                              </w:rPr>
                              <w:t>Delirium</w:t>
                            </w:r>
                            <w:r w:rsidRPr="0032413B">
                              <w:rPr>
                                <w:rFonts w:ascii="Arial" w:hAnsi="Arial" w:cs="Arial"/>
                                <w:b/>
                                <w:bCs/>
                                <w:color w:val="808080" w:themeColor="background1" w:themeShade="80"/>
                                <w:sz w:val="48"/>
                                <w:szCs w:val="48"/>
                                <w:lang w:val="en-AU"/>
                              </w:rPr>
                              <w:br/>
                              <w:t>Clinical Care Standard</w:t>
                            </w:r>
                          </w:p>
                          <w:p w:rsidR="002D0657" w:rsidRPr="002D0657" w:rsidRDefault="002D0657" w:rsidP="008F285E">
                            <w:pPr>
                              <w:jc w:val="right"/>
                              <w:rPr>
                                <w:rFonts w:ascii="Arial" w:hAnsi="Arial" w:cs="Arial"/>
                                <w:bCs/>
                                <w:color w:val="808080" w:themeColor="background1" w:themeShade="80"/>
                                <w:sz w:val="40"/>
                                <w:szCs w:val="40"/>
                                <w:lang w:val="en-AU"/>
                              </w:rPr>
                            </w:pPr>
                            <w:r w:rsidRPr="002D0657">
                              <w:rPr>
                                <w:rFonts w:ascii="Arial" w:hAnsi="Arial" w:cs="Arial"/>
                                <w:bCs/>
                                <w:color w:val="808080" w:themeColor="background1" w:themeShade="80"/>
                                <w:sz w:val="40"/>
                                <w:szCs w:val="40"/>
                                <w:lang w:val="en-AU"/>
                              </w:rPr>
                              <w:t>July 2016</w:t>
                            </w:r>
                          </w:p>
                          <w:p w:rsidR="008F285E" w:rsidRDefault="008F28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9.1pt;margin-top:250.95pt;width:309.2pt;height:13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" stroked="f">
                <v:fill opacity="0"/>
                <v:textbox>
                  <w:txbxContent>
                    <w:p w:rsidR="008F285E" w:rsidRPr="0032413B" w:rsidRDefault="008F285E" w:rsidP="008F285E">
                      <w:pPr>
                        <w:jc w:val="right"/>
                        <w:rPr>
                          <w:rFonts w:ascii="Arial" w:hAnsi="Arial" w:cs="Arial"/>
                          <w:color w:val="808080" w:themeColor="background1" w:themeShade="80"/>
                          <w:sz w:val="48"/>
                          <w:szCs w:val="48"/>
                          <w:lang w:val="en-AU"/>
                        </w:rPr>
                      </w:pPr>
                      <w:r w:rsidRPr="0032413B">
                        <w:rPr>
                          <w:rFonts w:ascii="Arial" w:hAnsi="Arial" w:cs="Arial"/>
                          <w:color w:val="808080" w:themeColor="background1" w:themeShade="80"/>
                          <w:sz w:val="48"/>
                          <w:szCs w:val="48"/>
                          <w:lang w:val="en-AU"/>
                        </w:rPr>
                        <w:t>Evidence Sources</w:t>
                      </w:r>
                    </w:p>
                    <w:p w:rsidR="008F285E" w:rsidRPr="0032413B" w:rsidRDefault="008F285E" w:rsidP="008F285E">
                      <w:pPr>
                        <w:jc w:val="right"/>
                        <w:rPr>
                          <w:rFonts w:ascii="Arial" w:hAnsi="Arial" w:cs="Arial"/>
                          <w:b/>
                          <w:bCs/>
                          <w:color w:val="808080" w:themeColor="background1" w:themeShade="80"/>
                          <w:sz w:val="48"/>
                          <w:szCs w:val="48"/>
                          <w:lang w:val="en-AU"/>
                        </w:rPr>
                      </w:pPr>
                      <w:r w:rsidRPr="0032413B">
                        <w:rPr>
                          <w:rFonts w:ascii="Arial" w:hAnsi="Arial" w:cs="Arial"/>
                          <w:b/>
                          <w:bCs/>
                          <w:color w:val="808080" w:themeColor="background1" w:themeShade="80"/>
                          <w:sz w:val="48"/>
                          <w:szCs w:val="48"/>
                          <w:lang w:val="en-AU"/>
                        </w:rPr>
                        <w:t>Delirium</w:t>
                      </w:r>
                      <w:r w:rsidRPr="0032413B">
                        <w:rPr>
                          <w:rFonts w:ascii="Arial" w:hAnsi="Arial" w:cs="Arial"/>
                          <w:b/>
                          <w:bCs/>
                          <w:color w:val="808080" w:themeColor="background1" w:themeShade="80"/>
                          <w:sz w:val="48"/>
                          <w:szCs w:val="48"/>
                          <w:lang w:val="en-AU"/>
                        </w:rPr>
                        <w:br/>
                        <w:t>Clinical Care Standard</w:t>
                      </w:r>
                    </w:p>
                    <w:p w:rsidR="002D0657" w:rsidRPr="002D0657" w:rsidRDefault="002D0657" w:rsidP="008F285E">
                      <w:pPr>
                        <w:jc w:val="right"/>
                        <w:rPr>
                          <w:rFonts w:ascii="Arial" w:hAnsi="Arial" w:cs="Arial"/>
                          <w:bCs/>
                          <w:color w:val="808080" w:themeColor="background1" w:themeShade="80"/>
                          <w:sz w:val="40"/>
                          <w:szCs w:val="40"/>
                          <w:lang w:val="en-AU"/>
                        </w:rPr>
                      </w:pPr>
                      <w:r w:rsidRPr="002D0657">
                        <w:rPr>
                          <w:rFonts w:ascii="Arial" w:hAnsi="Arial" w:cs="Arial"/>
                          <w:bCs/>
                          <w:color w:val="808080" w:themeColor="background1" w:themeShade="80"/>
                          <w:sz w:val="40"/>
                          <w:szCs w:val="40"/>
                          <w:lang w:val="en-AU"/>
                        </w:rPr>
                        <w:t>July 2016</w:t>
                      </w:r>
                    </w:p>
                    <w:p w:rsidR="008F285E" w:rsidRDefault="008F285E"/>
                  </w:txbxContent>
                </v:textbox>
                <w10:wrap type="through"/>
              </v:shape>
            </w:pict>
          </mc:Fallback>
        </mc:AlternateContent>
      </w:r>
      <w:r w:rsidR="003A03FB">
        <w:br w:type="page"/>
      </w:r>
    </w:p>
    <w:p w:rsidR="00B001D2" w:rsidRDefault="00B001D2" w:rsidP="00B001D2">
      <w:pPr>
        <w:pStyle w:val="x05-citation"/>
        <w:spacing w:before="4440" w:after="100" w:afterAutospacing="1" w:line="1100" w:lineRule="atLeast"/>
        <w:rPr>
          <w:rFonts w:cs="Times New Roman"/>
        </w:rPr>
      </w:pPr>
    </w:p>
    <w:p w:rsidR="004116C0" w:rsidRDefault="00DF1E8A" w:rsidP="00B001D2">
      <w:pPr>
        <w:pStyle w:val="x05-citation"/>
        <w:spacing w:before="4440" w:after="100" w:afterAutospacing="1" w:line="1100" w:lineRule="atLeast"/>
        <w:rPr>
          <w:rFonts w:cs="Times New Roman"/>
        </w:rPr>
      </w:pPr>
      <w:r>
        <w:rPr>
          <w:rFonts w:cs="Times New Roman"/>
        </w:rPr>
        <w:t>© Commonwealth of Australia 201</w:t>
      </w:r>
      <w:r w:rsidR="00AF1413">
        <w:rPr>
          <w:rFonts w:cs="Times New Roman"/>
        </w:rPr>
        <w:t>6</w:t>
      </w:r>
    </w:p>
    <w:p w:rsidR="004116C0" w:rsidRDefault="004116C0" w:rsidP="004116C0">
      <w:pPr>
        <w:pStyle w:val="x05-citation"/>
        <w:rPr>
          <w:rFonts w:cs="Times New Roman"/>
        </w:rPr>
      </w:pPr>
      <w:r>
        <w:rPr>
          <w:rFonts w:cs="Times New Roman"/>
        </w:rPr>
        <w:t xml:space="preserve">This work is copyright. It may be reproduced in whole or in part for study or training purposes subject to the inclusion of an acknowledgment of the source. Requests and inquiries concerning reproduction and rights for purposes other than those indicated above require the written permission of the Australian Commission on Safety and Quality in Health Care, GPO Box 5480 Sydney NSW 2001 or </w:t>
      </w:r>
      <w:hyperlink r:id="rId11" w:history="1">
        <w:r w:rsidRPr="00C960E1">
          <w:rPr>
            <w:rStyle w:val="x03-web-hyperlink"/>
          </w:rPr>
          <w:t>mail@safetyandquality.gov.au</w:t>
        </w:r>
      </w:hyperlink>
      <w:r w:rsidRPr="00C960E1">
        <w:rPr>
          <w:rStyle w:val="x03-web-hyperlink"/>
        </w:rPr>
        <w:t>.</w:t>
      </w:r>
    </w:p>
    <w:p w:rsidR="00A56474" w:rsidRDefault="00AF1413" w:rsidP="004116C0">
      <w:pPr>
        <w:pStyle w:val="x05-citation-heading"/>
        <w:rPr>
          <w:rFonts w:cs="Times New Roman"/>
          <w:b w:val="0"/>
          <w:bCs w:val="0"/>
          <w:sz w:val="18"/>
          <w:szCs w:val="18"/>
          <w:lang w:val="en-US"/>
        </w:rPr>
      </w:pPr>
      <w:r w:rsidRPr="00A56474">
        <w:rPr>
          <w:rFonts w:cs="Times New Roman"/>
          <w:b w:val="0"/>
          <w:bCs w:val="0"/>
          <w:sz w:val="18"/>
          <w:szCs w:val="18"/>
          <w:lang w:val="en-US"/>
        </w:rPr>
        <w:t xml:space="preserve">ISBN </w:t>
      </w:r>
      <w:r w:rsidR="00A56474" w:rsidRPr="00A56474">
        <w:rPr>
          <w:rFonts w:cs="Times New Roman"/>
          <w:b w:val="0"/>
          <w:bCs w:val="0"/>
          <w:sz w:val="18"/>
          <w:szCs w:val="18"/>
          <w:lang w:val="en-US"/>
        </w:rPr>
        <w:t>978-1-925224-51-1</w:t>
      </w:r>
    </w:p>
    <w:p w:rsidR="004116C0" w:rsidRDefault="004116C0" w:rsidP="004116C0">
      <w:pPr>
        <w:pStyle w:val="x05-citation-heading"/>
        <w:rPr>
          <w:rFonts w:cs="Times New Roman"/>
        </w:rPr>
      </w:pPr>
      <w:r w:rsidRPr="003126CA">
        <w:rPr>
          <w:rFonts w:cs="Times New Roman"/>
        </w:rPr>
        <w:t>Suggested</w:t>
      </w:r>
      <w:r>
        <w:rPr>
          <w:rFonts w:cs="Times New Roman"/>
        </w:rPr>
        <w:t xml:space="preserve"> citation</w:t>
      </w:r>
    </w:p>
    <w:p w:rsidR="004116C0" w:rsidRDefault="004116C0" w:rsidP="004116C0">
      <w:pPr>
        <w:pStyle w:val="x05-citation"/>
        <w:rPr>
          <w:rFonts w:cs="Times New Roman"/>
        </w:rPr>
      </w:pPr>
      <w:r>
        <w:rPr>
          <w:rFonts w:cs="Times New Roman"/>
        </w:rPr>
        <w:t xml:space="preserve">Australian Commission on Safety and Quality in Health Care. </w:t>
      </w:r>
      <w:proofErr w:type="gramStart"/>
      <w:r>
        <w:rPr>
          <w:rFonts w:cs="Times New Roman"/>
        </w:rPr>
        <w:t>Evidence So</w:t>
      </w:r>
      <w:r w:rsidR="00FE5004">
        <w:rPr>
          <w:rFonts w:cs="Times New Roman"/>
        </w:rPr>
        <w:t xml:space="preserve">urces: </w:t>
      </w:r>
      <w:r w:rsidR="00AF1413">
        <w:rPr>
          <w:rFonts w:cs="Times New Roman"/>
        </w:rPr>
        <w:t>Delirium</w:t>
      </w:r>
      <w:r>
        <w:rPr>
          <w:rFonts w:cs="Times New Roman"/>
        </w:rPr>
        <w:t xml:space="preserve"> Clinical Car</w:t>
      </w:r>
      <w:r w:rsidR="00FE5004">
        <w:rPr>
          <w:rFonts w:cs="Times New Roman"/>
        </w:rPr>
        <w:t>e Standard.</w:t>
      </w:r>
      <w:proofErr w:type="gramEnd"/>
      <w:r w:rsidR="00FE5004">
        <w:rPr>
          <w:rFonts w:cs="Times New Roman"/>
        </w:rPr>
        <w:t xml:space="preserve"> Sydney: ACSQHC, 201</w:t>
      </w:r>
      <w:r w:rsidR="00AF1413">
        <w:rPr>
          <w:rFonts w:cs="Times New Roman"/>
        </w:rPr>
        <w:t>6</w:t>
      </w:r>
      <w:r>
        <w:rPr>
          <w:rFonts w:cs="Times New Roman"/>
        </w:rPr>
        <w:t>.</w:t>
      </w:r>
    </w:p>
    <w:p w:rsidR="00DF16E6" w:rsidRDefault="00DF16E6" w:rsidP="004116C0">
      <w:pPr>
        <w:pStyle w:val="x05-citation"/>
        <w:rPr>
          <w:rFonts w:cs="Times New Roman"/>
          <w:b/>
          <w:bCs/>
          <w:sz w:val="20"/>
          <w:szCs w:val="20"/>
        </w:rPr>
      </w:pPr>
      <w:r w:rsidRPr="00DF16E6">
        <w:rPr>
          <w:rFonts w:cs="Times New Roman"/>
          <w:b/>
          <w:bCs/>
          <w:sz w:val="20"/>
          <w:szCs w:val="20"/>
        </w:rPr>
        <w:t xml:space="preserve">Acknowledgements </w:t>
      </w:r>
    </w:p>
    <w:p w:rsidR="00865A4D" w:rsidRPr="00865A4D" w:rsidRDefault="00865A4D" w:rsidP="00865A4D">
      <w:pPr>
        <w:pStyle w:val="x05-citation-heading"/>
        <w:spacing w:line="240" w:lineRule="auto"/>
        <w:rPr>
          <w:b w:val="0"/>
          <w:sz w:val="18"/>
          <w:szCs w:val="18"/>
        </w:rPr>
      </w:pPr>
      <w:r w:rsidRPr="00865A4D">
        <w:rPr>
          <w:b w:val="0"/>
          <w:sz w:val="18"/>
          <w:szCs w:val="18"/>
        </w:rPr>
        <w:t xml:space="preserve">Many individuals and organisations have freely given their time and expertise in the development of this paper. In particular, the Commission wishes to thank the Delirium Clinical Care Standard Topic Working Group and other key experts who have given their time and advice. The involvement and willingness of all concerned to share their experience and expertise </w:t>
      </w:r>
      <w:proofErr w:type="gramStart"/>
      <w:r w:rsidRPr="00865A4D">
        <w:rPr>
          <w:b w:val="0"/>
          <w:sz w:val="18"/>
          <w:szCs w:val="18"/>
        </w:rPr>
        <w:t>is greatly appreciated</w:t>
      </w:r>
      <w:proofErr w:type="gramEnd"/>
      <w:r w:rsidRPr="00865A4D">
        <w:rPr>
          <w:b w:val="0"/>
          <w:sz w:val="18"/>
          <w:szCs w:val="18"/>
        </w:rPr>
        <w:t>.</w:t>
      </w:r>
    </w:p>
    <w:p w:rsidR="00865A4D" w:rsidRPr="00865A4D" w:rsidRDefault="00865A4D" w:rsidP="00865A4D">
      <w:pPr>
        <w:pStyle w:val="x05-citation-heading"/>
        <w:spacing w:line="240" w:lineRule="auto"/>
        <w:rPr>
          <w:b w:val="0"/>
          <w:sz w:val="18"/>
          <w:szCs w:val="18"/>
        </w:rPr>
      </w:pPr>
      <w:r w:rsidRPr="00865A4D">
        <w:rPr>
          <w:b w:val="0"/>
          <w:sz w:val="18"/>
          <w:szCs w:val="18"/>
        </w:rPr>
        <w:t xml:space="preserve">Members of the Delirium Clinical Care Standard Topic Working Group include Dr Glenn Arendts, Associate Professor Simon Bell, Associate Professor Ravi Bhat, Professor John Botha, Associate Professor Gideon Caplan, Dr Judy McCrow, Associate Professor Laurie Grealish, Ms Jacinta George, Ms Joan Jackman, Associate Professor Dina LoGiudice, Ms Anne Moehead, Ms Joy Pettingell, Dr Judith Silberberg and Associate Professor Brendan </w:t>
      </w:r>
      <w:proofErr w:type="spellStart"/>
      <w:r w:rsidRPr="00865A4D">
        <w:rPr>
          <w:b w:val="0"/>
          <w:sz w:val="18"/>
          <w:szCs w:val="18"/>
        </w:rPr>
        <w:t>Silbert</w:t>
      </w:r>
      <w:proofErr w:type="spellEnd"/>
      <w:r w:rsidRPr="00865A4D">
        <w:rPr>
          <w:b w:val="0"/>
          <w:sz w:val="18"/>
          <w:szCs w:val="18"/>
        </w:rPr>
        <w:t>.</w:t>
      </w:r>
    </w:p>
    <w:p w:rsidR="004116C0" w:rsidRDefault="004116C0" w:rsidP="004116C0">
      <w:pPr>
        <w:pStyle w:val="x05-citation-heading"/>
        <w:rPr>
          <w:rFonts w:cs="Times New Roman"/>
        </w:rPr>
      </w:pPr>
      <w:r>
        <w:rPr>
          <w:rFonts w:cs="Times New Roman"/>
        </w:rPr>
        <w:t>Disclaimer</w:t>
      </w:r>
    </w:p>
    <w:p w:rsidR="003A03FB" w:rsidRDefault="00230EBC" w:rsidP="009821D5">
      <w:pPr>
        <w:rPr>
          <w:rFonts w:ascii="Arial" w:eastAsiaTheme="minorEastAsia" w:hAnsi="Arial"/>
          <w:color w:val="4D4F4D"/>
          <w:sz w:val="18"/>
          <w:szCs w:val="18"/>
          <w:lang w:val="en-AU"/>
        </w:rPr>
      </w:pPr>
      <w:r w:rsidRPr="00230EBC">
        <w:rPr>
          <w:rFonts w:ascii="Arial" w:eastAsiaTheme="minorEastAsia" w:hAnsi="Arial"/>
          <w:color w:val="4D4F4D"/>
          <w:sz w:val="18"/>
          <w:szCs w:val="18"/>
          <w:lang w:val="en-AU"/>
        </w:rPr>
        <w:t xml:space="preserve">The Australian Commission on Safety and Quality in Health Care has produced this </w:t>
      </w:r>
      <w:r>
        <w:rPr>
          <w:rFonts w:ascii="Arial" w:eastAsiaTheme="minorEastAsia" w:hAnsi="Arial"/>
          <w:color w:val="4D4F4D"/>
          <w:sz w:val="18"/>
          <w:szCs w:val="18"/>
          <w:lang w:val="en-AU"/>
        </w:rPr>
        <w:t>Evidence Sources document</w:t>
      </w:r>
      <w:r w:rsidRPr="00230EBC">
        <w:rPr>
          <w:rFonts w:ascii="Arial" w:eastAsiaTheme="minorEastAsia" w:hAnsi="Arial"/>
          <w:color w:val="4D4F4D"/>
          <w:sz w:val="18"/>
          <w:szCs w:val="18"/>
          <w:lang w:val="en-AU"/>
        </w:rPr>
        <w:t xml:space="preserve"> to support the corresponding Clinical Care Standard. The Clinical Care Standard support</w:t>
      </w:r>
      <w:r w:rsidR="00A43257">
        <w:rPr>
          <w:rFonts w:ascii="Arial" w:eastAsiaTheme="minorEastAsia" w:hAnsi="Arial"/>
          <w:color w:val="4D4F4D"/>
          <w:sz w:val="18"/>
          <w:szCs w:val="18"/>
          <w:lang w:val="en-AU"/>
        </w:rPr>
        <w:t>s</w:t>
      </w:r>
      <w:r w:rsidRPr="00230EBC">
        <w:rPr>
          <w:rFonts w:ascii="Arial" w:eastAsiaTheme="minorEastAsia" w:hAnsi="Arial"/>
          <w:color w:val="4D4F4D"/>
          <w:sz w:val="18"/>
          <w:szCs w:val="18"/>
          <w:lang w:val="en-AU"/>
        </w:rPr>
        <w:t xml:space="preserve"> the delivery of appropriate care for a defined clinical condition and </w:t>
      </w:r>
      <w:r w:rsidR="00A43257">
        <w:rPr>
          <w:rFonts w:ascii="Arial" w:eastAsiaTheme="minorEastAsia" w:hAnsi="Arial"/>
          <w:color w:val="4D4F4D"/>
          <w:sz w:val="18"/>
          <w:szCs w:val="18"/>
          <w:lang w:val="en-AU"/>
        </w:rPr>
        <w:t>is</w:t>
      </w:r>
      <w:r w:rsidRPr="00230EBC">
        <w:rPr>
          <w:rFonts w:ascii="Arial" w:eastAsiaTheme="minorEastAsia" w:hAnsi="Arial"/>
          <w:color w:val="4D4F4D"/>
          <w:sz w:val="18"/>
          <w:szCs w:val="18"/>
          <w:lang w:val="en-AU"/>
        </w:rPr>
        <w:t xml:space="preserve">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r w:rsidR="003A03FB">
        <w:rPr>
          <w:rFonts w:ascii="Arial" w:eastAsiaTheme="minorEastAsia" w:hAnsi="Arial"/>
          <w:color w:val="4D4F4D"/>
          <w:sz w:val="18"/>
          <w:szCs w:val="18"/>
          <w:lang w:val="en-AU"/>
        </w:rPr>
        <w:t>.</w:t>
      </w:r>
      <w:r w:rsidR="003A03FB">
        <w:rPr>
          <w:rFonts w:ascii="Arial" w:eastAsiaTheme="minorEastAsia" w:hAnsi="Arial"/>
          <w:color w:val="4D4F4D"/>
          <w:sz w:val="18"/>
          <w:szCs w:val="18"/>
          <w:lang w:val="en-AU"/>
        </w:rPr>
        <w:br w:type="page"/>
      </w:r>
    </w:p>
    <w:p w:rsidR="008F285E" w:rsidRPr="008F285E" w:rsidRDefault="009821D5" w:rsidP="00C323F4">
      <w:pPr>
        <w:pStyle w:val="Heading1"/>
        <w:spacing w:before="0" w:after="0"/>
        <w:rPr>
          <w:rFonts w:eastAsiaTheme="minorEastAsia" w:cs="Times New Roman"/>
          <w:b w:val="0"/>
          <w:color w:val="00988E"/>
          <w:kern w:val="0"/>
          <w:sz w:val="40"/>
          <w:szCs w:val="40"/>
          <w:lang w:val="en-AU"/>
        </w:rPr>
      </w:pPr>
      <w:r w:rsidRPr="008F285E">
        <w:rPr>
          <w:rFonts w:eastAsiaTheme="minorEastAsia" w:cs="Times New Roman"/>
          <w:b w:val="0"/>
          <w:color w:val="00988E"/>
          <w:kern w:val="0"/>
          <w:sz w:val="40"/>
          <w:szCs w:val="40"/>
          <w:lang w:val="en-AU"/>
        </w:rPr>
        <w:lastRenderedPageBreak/>
        <w:t>E</w:t>
      </w:r>
      <w:r w:rsidR="00FE5004" w:rsidRPr="008F285E">
        <w:rPr>
          <w:rFonts w:eastAsiaTheme="minorEastAsia" w:cs="Times New Roman"/>
          <w:b w:val="0"/>
          <w:color w:val="00988E"/>
          <w:kern w:val="0"/>
          <w:sz w:val="40"/>
          <w:szCs w:val="40"/>
          <w:lang w:val="en-AU"/>
        </w:rPr>
        <w:t>vidence Sources</w:t>
      </w:r>
    </w:p>
    <w:p w:rsidR="009821D5" w:rsidRPr="008F285E" w:rsidRDefault="00865A4D" w:rsidP="00C323F4">
      <w:pPr>
        <w:pStyle w:val="Heading1"/>
        <w:spacing w:before="0" w:after="0"/>
        <w:rPr>
          <w:rFonts w:eastAsiaTheme="minorEastAsia" w:cs="Times New Roman"/>
          <w:color w:val="00988E"/>
          <w:kern w:val="0"/>
          <w:sz w:val="40"/>
          <w:szCs w:val="40"/>
          <w:lang w:val="en-AU"/>
        </w:rPr>
      </w:pPr>
      <w:r w:rsidRPr="008F285E">
        <w:rPr>
          <w:rFonts w:eastAsiaTheme="minorEastAsia" w:cs="Times New Roman"/>
          <w:color w:val="00988E"/>
          <w:kern w:val="0"/>
          <w:sz w:val="40"/>
          <w:szCs w:val="40"/>
          <w:lang w:val="en-AU"/>
        </w:rPr>
        <w:t>Delirium</w:t>
      </w:r>
      <w:r w:rsidR="00DF16E6" w:rsidRPr="008F285E">
        <w:rPr>
          <w:rFonts w:eastAsiaTheme="minorEastAsia" w:cs="Times New Roman"/>
          <w:color w:val="00988E"/>
          <w:kern w:val="0"/>
          <w:sz w:val="40"/>
          <w:szCs w:val="40"/>
          <w:lang w:val="en-AU"/>
        </w:rPr>
        <w:t xml:space="preserve"> Clinical Care </w:t>
      </w:r>
      <w:r w:rsidR="0016462B" w:rsidRPr="008F285E">
        <w:rPr>
          <w:rFonts w:eastAsiaTheme="minorEastAsia" w:cs="Times New Roman"/>
          <w:color w:val="00988E"/>
          <w:kern w:val="0"/>
          <w:sz w:val="40"/>
          <w:szCs w:val="40"/>
          <w:lang w:val="en-AU"/>
        </w:rPr>
        <w:t>Standard</w:t>
      </w:r>
    </w:p>
    <w:p w:rsidR="009821D5" w:rsidRPr="00DF16E6" w:rsidRDefault="009821D5" w:rsidP="00C323F4">
      <w:pPr>
        <w:rPr>
          <w:rFonts w:ascii="Arial" w:hAnsi="Arial" w:cs="Arial"/>
          <w:sz w:val="20"/>
          <w:szCs w:val="20"/>
        </w:rPr>
      </w:pPr>
    </w:p>
    <w:p w:rsidR="00865A4D" w:rsidRPr="00DF16E6" w:rsidRDefault="00865A4D" w:rsidP="00865A4D">
      <w:pPr>
        <w:rPr>
          <w:rFonts w:ascii="Arial" w:eastAsia="MS Mincho" w:hAnsi="Arial" w:cs="Arial"/>
          <w:color w:val="000000"/>
          <w:sz w:val="20"/>
          <w:szCs w:val="20"/>
          <w:lang w:val="en-AU" w:eastAsia="en-AU"/>
        </w:rPr>
      </w:pPr>
      <w:r w:rsidRPr="00DF16E6">
        <w:rPr>
          <w:rFonts w:ascii="Arial" w:eastAsia="MS Mincho" w:hAnsi="Arial" w:cs="Arial"/>
          <w:color w:val="000000"/>
          <w:sz w:val="20"/>
          <w:szCs w:val="20"/>
          <w:lang w:val="en-AU" w:eastAsia="en-AU"/>
        </w:rPr>
        <w:t xml:space="preserve">The quality statements for the </w:t>
      </w:r>
      <w:r>
        <w:rPr>
          <w:rFonts w:ascii="Arial" w:eastAsia="MS Mincho" w:hAnsi="Arial" w:cs="Arial"/>
          <w:color w:val="000000"/>
          <w:sz w:val="20"/>
          <w:szCs w:val="20"/>
          <w:lang w:val="en-AU" w:eastAsia="en-AU"/>
        </w:rPr>
        <w:t>Delirium</w:t>
      </w:r>
      <w:r w:rsidRPr="00DF16E6">
        <w:rPr>
          <w:rFonts w:ascii="Arial" w:eastAsia="MS Mincho" w:hAnsi="Arial" w:cs="Arial"/>
          <w:color w:val="000000"/>
          <w:sz w:val="20"/>
          <w:szCs w:val="20"/>
          <w:lang w:val="en-AU" w:eastAsia="en-AU"/>
        </w:rPr>
        <w:t xml:space="preserve"> Clinical Care Standard </w:t>
      </w:r>
      <w:proofErr w:type="gramStart"/>
      <w:r w:rsidRPr="00DF16E6">
        <w:rPr>
          <w:rFonts w:ascii="Arial" w:eastAsia="MS Mincho" w:hAnsi="Arial" w:cs="Arial"/>
          <w:color w:val="000000"/>
          <w:sz w:val="20"/>
          <w:szCs w:val="20"/>
          <w:lang w:val="en-AU" w:eastAsia="en-AU"/>
        </w:rPr>
        <w:t>were</w:t>
      </w:r>
      <w:r>
        <w:rPr>
          <w:rFonts w:ascii="Arial" w:eastAsia="MS Mincho" w:hAnsi="Arial" w:cs="Arial"/>
          <w:color w:val="000000"/>
          <w:sz w:val="20"/>
          <w:szCs w:val="20"/>
          <w:lang w:val="en-AU" w:eastAsia="en-AU"/>
        </w:rPr>
        <w:t xml:space="preserve"> </w:t>
      </w:r>
      <w:r w:rsidRPr="00DF16E6">
        <w:rPr>
          <w:rFonts w:ascii="Arial" w:eastAsia="MS Mincho" w:hAnsi="Arial" w:cs="Arial"/>
          <w:color w:val="000000"/>
          <w:sz w:val="20"/>
          <w:szCs w:val="20"/>
          <w:lang w:val="en-AU" w:eastAsia="en-AU"/>
        </w:rPr>
        <w:t>developed</w:t>
      </w:r>
      <w:proofErr w:type="gramEnd"/>
      <w:r w:rsidRPr="00DF16E6">
        <w:rPr>
          <w:rFonts w:ascii="Arial" w:eastAsia="MS Mincho" w:hAnsi="Arial" w:cs="Arial"/>
          <w:color w:val="000000"/>
          <w:sz w:val="20"/>
          <w:szCs w:val="20"/>
          <w:lang w:val="en-AU" w:eastAsia="en-AU"/>
        </w:rPr>
        <w:t xml:space="preserve"> in collaboration with the </w:t>
      </w:r>
      <w:r>
        <w:rPr>
          <w:rFonts w:ascii="Arial" w:eastAsia="MS Mincho" w:hAnsi="Arial" w:cs="Arial"/>
          <w:color w:val="000000"/>
          <w:sz w:val="20"/>
          <w:szCs w:val="20"/>
          <w:lang w:val="en-AU" w:eastAsia="en-AU"/>
        </w:rPr>
        <w:t>Delirium</w:t>
      </w:r>
      <w:r w:rsidRPr="00DF16E6">
        <w:rPr>
          <w:rFonts w:ascii="Arial" w:eastAsia="MS Mincho" w:hAnsi="Arial" w:cs="Arial"/>
          <w:color w:val="000000"/>
          <w:sz w:val="20"/>
          <w:szCs w:val="20"/>
          <w:lang w:val="en-AU" w:eastAsia="en-AU"/>
        </w:rPr>
        <w:t xml:space="preserve"> Clinical Care Standard Topic Working Group and are based on best available evidence</w:t>
      </w:r>
      <w:r>
        <w:rPr>
          <w:rFonts w:ascii="Arial" w:eastAsia="MS Mincho" w:hAnsi="Arial" w:cs="Arial"/>
          <w:color w:val="000000"/>
          <w:sz w:val="20"/>
          <w:szCs w:val="20"/>
          <w:lang w:val="en-AU" w:eastAsia="en-AU"/>
        </w:rPr>
        <w:t xml:space="preserve"> at the time of development.</w:t>
      </w:r>
      <w:r w:rsidRPr="00DF16E6">
        <w:rPr>
          <w:rFonts w:ascii="Arial" w:eastAsia="MS Mincho" w:hAnsi="Arial" w:cs="Arial"/>
          <w:color w:val="000000"/>
          <w:sz w:val="20"/>
          <w:szCs w:val="20"/>
          <w:lang w:val="en-AU" w:eastAsia="en-AU"/>
        </w:rPr>
        <w:t xml:space="preserve"> </w:t>
      </w:r>
    </w:p>
    <w:p w:rsidR="00865A4D" w:rsidRPr="00DF16E6" w:rsidRDefault="00865A4D" w:rsidP="00865A4D">
      <w:pPr>
        <w:rPr>
          <w:rFonts w:ascii="Arial" w:eastAsia="MS Mincho" w:hAnsi="Arial" w:cs="Arial"/>
          <w:color w:val="000000"/>
          <w:sz w:val="20"/>
          <w:szCs w:val="20"/>
          <w:lang w:val="en-AU" w:eastAsia="en-AU"/>
        </w:rPr>
      </w:pPr>
    </w:p>
    <w:p w:rsidR="00865A4D" w:rsidRDefault="00865A4D" w:rsidP="00865A4D">
      <w:pPr>
        <w:rPr>
          <w:rFonts w:ascii="Arial" w:eastAsia="MS Mincho" w:hAnsi="Arial" w:cs="Arial"/>
          <w:color w:val="000000"/>
          <w:sz w:val="20"/>
          <w:szCs w:val="20"/>
          <w:lang w:val="en-AU" w:eastAsia="en-AU"/>
        </w:rPr>
      </w:pPr>
      <w:proofErr w:type="gramStart"/>
      <w:r w:rsidRPr="00DF16E6">
        <w:rPr>
          <w:rFonts w:ascii="Arial" w:eastAsia="MS Mincho" w:hAnsi="Arial" w:cs="Arial"/>
          <w:color w:val="000000"/>
          <w:sz w:val="20"/>
          <w:szCs w:val="20"/>
          <w:lang w:val="en-AU" w:eastAsia="en-AU"/>
        </w:rPr>
        <w:t xml:space="preserve">Literature searches </w:t>
      </w:r>
      <w:r>
        <w:rPr>
          <w:rFonts w:ascii="Arial" w:eastAsia="MS Mincho" w:hAnsi="Arial" w:cs="Arial"/>
          <w:color w:val="000000"/>
          <w:sz w:val="20"/>
          <w:szCs w:val="20"/>
          <w:lang w:val="en-AU" w:eastAsia="en-AU"/>
        </w:rPr>
        <w:t>are</w:t>
      </w:r>
      <w:r w:rsidRPr="00DF16E6">
        <w:rPr>
          <w:rFonts w:ascii="Arial" w:eastAsia="MS Mincho" w:hAnsi="Arial" w:cs="Arial"/>
          <w:color w:val="000000"/>
          <w:sz w:val="20"/>
          <w:szCs w:val="20"/>
          <w:lang w:val="en-AU" w:eastAsia="en-AU"/>
        </w:rPr>
        <w:t xml:space="preserve"> conducted by Commission staff</w:t>
      </w:r>
      <w:proofErr w:type="gramEnd"/>
      <w:r w:rsidRPr="00DF16E6">
        <w:rPr>
          <w:rFonts w:ascii="Arial" w:eastAsia="MS Mincho" w:hAnsi="Arial" w:cs="Arial"/>
          <w:color w:val="000000"/>
          <w:sz w:val="20"/>
          <w:szCs w:val="20"/>
          <w:lang w:val="en-AU" w:eastAsia="en-AU"/>
        </w:rPr>
        <w:t xml:space="preserve"> at different stages of development of </w:t>
      </w:r>
      <w:r>
        <w:rPr>
          <w:rFonts w:ascii="Arial" w:eastAsia="MS Mincho" w:hAnsi="Arial" w:cs="Arial"/>
          <w:color w:val="000000"/>
          <w:sz w:val="20"/>
          <w:szCs w:val="20"/>
          <w:lang w:val="en-AU" w:eastAsia="en-AU"/>
        </w:rPr>
        <w:t xml:space="preserve">a </w:t>
      </w:r>
      <w:r w:rsidRPr="00DF16E6">
        <w:rPr>
          <w:rFonts w:ascii="Arial" w:eastAsia="MS Mincho" w:hAnsi="Arial" w:cs="Arial"/>
          <w:color w:val="000000"/>
          <w:sz w:val="20"/>
          <w:szCs w:val="20"/>
          <w:lang w:val="en-AU" w:eastAsia="en-AU"/>
        </w:rPr>
        <w:t xml:space="preserve">Clinical Care Standard. The initial search </w:t>
      </w:r>
      <w:r>
        <w:rPr>
          <w:rFonts w:ascii="Arial" w:eastAsia="MS Mincho" w:hAnsi="Arial" w:cs="Arial"/>
          <w:color w:val="000000"/>
          <w:sz w:val="20"/>
          <w:szCs w:val="20"/>
          <w:lang w:val="en-AU" w:eastAsia="en-AU"/>
        </w:rPr>
        <w:t xml:space="preserve">for this Clinical Care Standard </w:t>
      </w:r>
      <w:r w:rsidRPr="00DF16E6">
        <w:rPr>
          <w:rFonts w:ascii="Arial" w:eastAsia="MS Mincho" w:hAnsi="Arial" w:cs="Arial"/>
          <w:color w:val="000000"/>
          <w:sz w:val="20"/>
          <w:szCs w:val="20"/>
          <w:lang w:val="en-AU" w:eastAsia="en-AU"/>
        </w:rPr>
        <w:t>took place between June 201</w:t>
      </w:r>
      <w:r>
        <w:rPr>
          <w:rFonts w:ascii="Arial" w:eastAsia="MS Mincho" w:hAnsi="Arial" w:cs="Arial"/>
          <w:color w:val="000000"/>
          <w:sz w:val="20"/>
          <w:szCs w:val="20"/>
          <w:lang w:val="en-AU" w:eastAsia="en-AU"/>
        </w:rPr>
        <w:t>4</w:t>
      </w:r>
      <w:r w:rsidRPr="00DF16E6">
        <w:rPr>
          <w:rFonts w:ascii="Arial" w:eastAsia="MS Mincho" w:hAnsi="Arial" w:cs="Arial"/>
          <w:color w:val="000000"/>
          <w:sz w:val="20"/>
          <w:szCs w:val="20"/>
          <w:lang w:val="en-AU" w:eastAsia="en-AU"/>
        </w:rPr>
        <w:t xml:space="preserve"> and August 201</w:t>
      </w:r>
      <w:r>
        <w:rPr>
          <w:rFonts w:ascii="Arial" w:eastAsia="MS Mincho" w:hAnsi="Arial" w:cs="Arial"/>
          <w:color w:val="000000"/>
          <w:sz w:val="20"/>
          <w:szCs w:val="20"/>
          <w:lang w:val="en-AU" w:eastAsia="en-AU"/>
        </w:rPr>
        <w:t xml:space="preserve">4. </w:t>
      </w:r>
      <w:r w:rsidRPr="00DF16E6">
        <w:rPr>
          <w:rFonts w:ascii="Arial" w:eastAsia="MS Mincho" w:hAnsi="Arial" w:cs="Arial"/>
          <w:color w:val="000000"/>
          <w:sz w:val="20"/>
          <w:szCs w:val="20"/>
          <w:lang w:val="en-AU" w:eastAsia="en-AU"/>
        </w:rPr>
        <w:t>A draft evidence summa</w:t>
      </w:r>
      <w:r>
        <w:rPr>
          <w:rFonts w:ascii="Arial" w:eastAsia="MS Mincho" w:hAnsi="Arial" w:cs="Arial"/>
          <w:color w:val="000000"/>
          <w:sz w:val="20"/>
          <w:szCs w:val="20"/>
          <w:lang w:val="en-AU" w:eastAsia="en-AU"/>
        </w:rPr>
        <w:t xml:space="preserve">ry was prepared which </w:t>
      </w:r>
      <w:proofErr w:type="gramStart"/>
      <w:r>
        <w:rPr>
          <w:rFonts w:ascii="Arial" w:eastAsia="MS Mincho" w:hAnsi="Arial" w:cs="Arial"/>
          <w:color w:val="000000"/>
          <w:sz w:val="20"/>
          <w:szCs w:val="20"/>
          <w:lang w:val="en-AU" w:eastAsia="en-AU"/>
        </w:rPr>
        <w:t xml:space="preserve">was </w:t>
      </w:r>
      <w:r w:rsidRPr="00DF16E6">
        <w:rPr>
          <w:rFonts w:ascii="Arial" w:eastAsia="MS Mincho" w:hAnsi="Arial" w:cs="Arial"/>
          <w:color w:val="000000"/>
          <w:sz w:val="20"/>
          <w:szCs w:val="20"/>
          <w:lang w:val="en-AU" w:eastAsia="en-AU"/>
        </w:rPr>
        <w:t xml:space="preserve">reviewed for completeness by the </w:t>
      </w:r>
      <w:r>
        <w:rPr>
          <w:rFonts w:ascii="Arial" w:eastAsia="MS Mincho" w:hAnsi="Arial" w:cs="Arial"/>
          <w:color w:val="000000"/>
          <w:sz w:val="20"/>
          <w:szCs w:val="20"/>
          <w:lang w:val="en-AU" w:eastAsia="en-AU"/>
        </w:rPr>
        <w:t>Delirium</w:t>
      </w:r>
      <w:r w:rsidRPr="00DF16E6">
        <w:rPr>
          <w:rFonts w:ascii="Arial" w:eastAsia="MS Mincho" w:hAnsi="Arial" w:cs="Arial"/>
          <w:color w:val="000000"/>
          <w:sz w:val="20"/>
          <w:szCs w:val="20"/>
          <w:lang w:val="en-AU" w:eastAsia="en-AU"/>
        </w:rPr>
        <w:t xml:space="preserve"> Clinical Care Standard Topic Working Group</w:t>
      </w:r>
      <w:proofErr w:type="gramEnd"/>
      <w:r>
        <w:rPr>
          <w:rFonts w:ascii="Arial" w:eastAsia="MS Mincho" w:hAnsi="Arial" w:cs="Arial"/>
          <w:color w:val="000000"/>
          <w:sz w:val="20"/>
          <w:szCs w:val="20"/>
          <w:lang w:val="en-AU" w:eastAsia="en-AU"/>
        </w:rPr>
        <w:t xml:space="preserve">. Subsequent searches </w:t>
      </w:r>
      <w:proofErr w:type="gramStart"/>
      <w:r>
        <w:rPr>
          <w:rFonts w:ascii="Arial" w:eastAsia="MS Mincho" w:hAnsi="Arial" w:cs="Arial"/>
          <w:color w:val="000000"/>
          <w:sz w:val="20"/>
          <w:szCs w:val="20"/>
          <w:lang w:val="en-AU" w:eastAsia="en-AU"/>
        </w:rPr>
        <w:t>are conducted</w:t>
      </w:r>
      <w:proofErr w:type="gramEnd"/>
      <w:r>
        <w:rPr>
          <w:rFonts w:ascii="Arial" w:eastAsia="MS Mincho" w:hAnsi="Arial" w:cs="Arial"/>
          <w:color w:val="000000"/>
          <w:sz w:val="20"/>
          <w:szCs w:val="20"/>
          <w:lang w:val="en-AU" w:eastAsia="en-AU"/>
        </w:rPr>
        <w:t xml:space="preserve"> as the Clinical Care Standard is developed.</w:t>
      </w:r>
    </w:p>
    <w:p w:rsidR="00865A4D" w:rsidRDefault="00865A4D" w:rsidP="00865A4D">
      <w:pPr>
        <w:rPr>
          <w:rFonts w:ascii="Arial" w:eastAsia="MS Mincho" w:hAnsi="Arial" w:cs="Arial"/>
          <w:color w:val="000000"/>
          <w:sz w:val="20"/>
          <w:szCs w:val="20"/>
          <w:lang w:val="en-AU" w:eastAsia="en-AU"/>
        </w:rPr>
      </w:pPr>
    </w:p>
    <w:p w:rsidR="00865A4D" w:rsidRPr="00DF16E6" w:rsidRDefault="00865A4D" w:rsidP="00865A4D">
      <w:pPr>
        <w:rPr>
          <w:rFonts w:ascii="Arial" w:eastAsia="MS Mincho" w:hAnsi="Arial" w:cs="Arial"/>
          <w:color w:val="000000"/>
          <w:sz w:val="20"/>
          <w:szCs w:val="20"/>
          <w:lang w:val="en-AU" w:eastAsia="en-AU"/>
        </w:rPr>
      </w:pPr>
      <w:r w:rsidRPr="00DF16E6">
        <w:rPr>
          <w:rFonts w:ascii="Arial" w:eastAsia="MS Mincho" w:hAnsi="Arial" w:cs="Arial"/>
          <w:color w:val="000000"/>
          <w:sz w:val="20"/>
          <w:szCs w:val="20"/>
          <w:lang w:val="en-AU" w:eastAsia="en-AU"/>
        </w:rPr>
        <w:t xml:space="preserve">The search </w:t>
      </w:r>
      <w:proofErr w:type="gramStart"/>
      <w:r w:rsidRPr="00DF16E6">
        <w:rPr>
          <w:rFonts w:ascii="Arial" w:eastAsia="MS Mincho" w:hAnsi="Arial" w:cs="Arial"/>
          <w:color w:val="000000"/>
          <w:sz w:val="20"/>
          <w:szCs w:val="20"/>
          <w:lang w:val="en-AU" w:eastAsia="en-AU"/>
        </w:rPr>
        <w:t>was aimed</w:t>
      </w:r>
      <w:proofErr w:type="gramEnd"/>
      <w:r w:rsidRPr="00DF16E6">
        <w:rPr>
          <w:rFonts w:ascii="Arial" w:eastAsia="MS Mincho" w:hAnsi="Arial" w:cs="Arial"/>
          <w:color w:val="000000"/>
          <w:sz w:val="20"/>
          <w:szCs w:val="20"/>
          <w:lang w:val="en-AU" w:eastAsia="en-AU"/>
        </w:rPr>
        <w:t xml:space="preserve"> at reviewing the evidence-base for each potential quality statement. As set out below, several steps were involved. The first step was to locate national clinical practice guidelines; if relevant, current, based on available evidence developed using systematic methods and endorsed by organisations, they would be the key sources of evidence.  The second step was to locate other Australian guidelines, standards, policies, protocols, and international guidelines and standards. The third step was to identify high-level evidence published after the release of the national clinical practice guidelines.</w:t>
      </w:r>
    </w:p>
    <w:p w:rsidR="00865A4D" w:rsidRPr="00DF16E6" w:rsidRDefault="00865A4D" w:rsidP="00865A4D">
      <w:pPr>
        <w:rPr>
          <w:rFonts w:ascii="Arial" w:eastAsia="MS Mincho" w:hAnsi="Arial" w:cs="Arial"/>
          <w:color w:val="000000"/>
          <w:sz w:val="20"/>
          <w:szCs w:val="20"/>
          <w:lang w:val="en-AU" w:eastAsia="en-AU"/>
        </w:rPr>
      </w:pPr>
    </w:p>
    <w:p w:rsidR="00865A4D" w:rsidRPr="00DF16E6" w:rsidRDefault="00865A4D" w:rsidP="00865A4D">
      <w:pPr>
        <w:spacing w:after="120"/>
        <w:rPr>
          <w:rFonts w:ascii="Arial" w:eastAsia="MS Mincho" w:hAnsi="Arial" w:cs="Arial"/>
          <w:sz w:val="20"/>
          <w:szCs w:val="20"/>
          <w:lang w:eastAsia="ja-JP"/>
        </w:rPr>
      </w:pPr>
      <w:r w:rsidRPr="00DF16E6">
        <w:rPr>
          <w:rFonts w:ascii="Arial" w:eastAsia="MS Mincho" w:hAnsi="Arial" w:cs="Arial"/>
          <w:sz w:val="20"/>
          <w:szCs w:val="20"/>
          <w:lang w:eastAsia="ja-JP"/>
        </w:rPr>
        <w:t>Australian clinical practice guidelines, standards a</w:t>
      </w:r>
      <w:r>
        <w:rPr>
          <w:rFonts w:ascii="Arial" w:eastAsia="MS Mincho" w:hAnsi="Arial" w:cs="Arial"/>
          <w:sz w:val="20"/>
          <w:szCs w:val="20"/>
          <w:lang w:eastAsia="ja-JP"/>
        </w:rPr>
        <w:t xml:space="preserve">nd policies </w:t>
      </w:r>
      <w:proofErr w:type="gramStart"/>
      <w:r>
        <w:rPr>
          <w:rFonts w:ascii="Arial" w:eastAsia="MS Mincho" w:hAnsi="Arial" w:cs="Arial"/>
          <w:sz w:val="20"/>
          <w:szCs w:val="20"/>
          <w:lang w:eastAsia="ja-JP"/>
        </w:rPr>
        <w:t>were identified</w:t>
      </w:r>
      <w:proofErr w:type="gramEnd"/>
      <w:r>
        <w:rPr>
          <w:rFonts w:ascii="Arial" w:eastAsia="MS Mincho" w:hAnsi="Arial" w:cs="Arial"/>
          <w:sz w:val="20"/>
          <w:szCs w:val="20"/>
          <w:lang w:eastAsia="ja-JP"/>
        </w:rPr>
        <w:t xml:space="preserve"> by searching</w:t>
      </w:r>
      <w:r w:rsidRPr="00DF16E6">
        <w:rPr>
          <w:rFonts w:ascii="Arial" w:eastAsia="MS Mincho" w:hAnsi="Arial" w:cs="Arial"/>
          <w:sz w:val="20"/>
          <w:szCs w:val="20"/>
          <w:lang w:eastAsia="ja-JP"/>
        </w:rPr>
        <w:t>:</w:t>
      </w:r>
    </w:p>
    <w:p w:rsidR="00865A4D" w:rsidRPr="00DF16E6" w:rsidRDefault="00865A4D" w:rsidP="00865A4D">
      <w:pPr>
        <w:numPr>
          <w:ilvl w:val="0"/>
          <w:numId w:val="6"/>
        </w:numPr>
        <w:spacing w:after="120"/>
        <w:rPr>
          <w:rFonts w:ascii="Arial" w:eastAsia="MS Mincho" w:hAnsi="Arial" w:cs="Arial"/>
          <w:sz w:val="20"/>
          <w:szCs w:val="20"/>
          <w:lang w:eastAsia="ja-JP"/>
        </w:rPr>
      </w:pPr>
      <w:r w:rsidRPr="00DF16E6">
        <w:rPr>
          <w:rFonts w:ascii="Arial" w:eastAsia="MS Mincho" w:hAnsi="Arial" w:cs="Arial"/>
          <w:sz w:val="20"/>
          <w:szCs w:val="20"/>
          <w:lang w:eastAsia="ja-JP"/>
        </w:rPr>
        <w:t xml:space="preserve">the clinical practice guideline portal of the </w:t>
      </w:r>
      <w:r w:rsidRPr="00DF16E6">
        <w:rPr>
          <w:rFonts w:ascii="Arial" w:eastAsia="MS Mincho" w:hAnsi="Arial" w:cs="Arial"/>
          <w:sz w:val="20"/>
          <w:szCs w:val="20"/>
          <w:lang w:val="en" w:eastAsia="ja-JP"/>
        </w:rPr>
        <w:t>National Health and Medical Research Council (NHMRC)</w:t>
      </w:r>
    </w:p>
    <w:p w:rsidR="00865A4D" w:rsidRPr="00DF16E6" w:rsidRDefault="00865A4D" w:rsidP="00865A4D">
      <w:pPr>
        <w:numPr>
          <w:ilvl w:val="0"/>
          <w:numId w:val="6"/>
        </w:numPr>
        <w:spacing w:after="120"/>
        <w:rPr>
          <w:rFonts w:ascii="Arial" w:eastAsia="MS Mincho" w:hAnsi="Arial" w:cs="Arial"/>
          <w:sz w:val="20"/>
          <w:szCs w:val="20"/>
          <w:lang w:eastAsia="ja-JP"/>
        </w:rPr>
      </w:pPr>
      <w:r w:rsidRPr="00DF16E6">
        <w:rPr>
          <w:rFonts w:ascii="Arial" w:eastAsia="MS Mincho" w:hAnsi="Arial" w:cs="Arial"/>
          <w:sz w:val="20"/>
          <w:szCs w:val="20"/>
          <w:lang w:val="en" w:eastAsia="ja-JP"/>
        </w:rPr>
        <w:t xml:space="preserve">websites of professional colleges and </w:t>
      </w:r>
      <w:proofErr w:type="spellStart"/>
      <w:r w:rsidRPr="00DF16E6">
        <w:rPr>
          <w:rFonts w:ascii="Arial" w:eastAsia="MS Mincho" w:hAnsi="Arial" w:cs="Arial"/>
          <w:sz w:val="20"/>
          <w:szCs w:val="20"/>
          <w:lang w:val="en" w:eastAsia="ja-JP"/>
        </w:rPr>
        <w:t>organisations</w:t>
      </w:r>
      <w:proofErr w:type="spellEnd"/>
    </w:p>
    <w:p w:rsidR="00865A4D" w:rsidRPr="00DF16E6" w:rsidRDefault="00865A4D" w:rsidP="00865A4D">
      <w:pPr>
        <w:numPr>
          <w:ilvl w:val="0"/>
          <w:numId w:val="6"/>
        </w:numPr>
        <w:spacing w:after="120"/>
        <w:rPr>
          <w:rFonts w:ascii="Arial" w:eastAsia="MS Mincho" w:hAnsi="Arial" w:cs="Arial"/>
          <w:sz w:val="20"/>
          <w:szCs w:val="20"/>
          <w:lang w:eastAsia="ja-JP"/>
        </w:rPr>
      </w:pPr>
      <w:r w:rsidRPr="00DF16E6">
        <w:rPr>
          <w:rFonts w:ascii="Arial" w:eastAsia="MS Mincho" w:hAnsi="Arial" w:cs="Arial"/>
          <w:sz w:val="20"/>
          <w:szCs w:val="20"/>
          <w:lang w:val="en" w:eastAsia="ja-JP"/>
        </w:rPr>
        <w:t>websites of state and territory health departments and agencies</w:t>
      </w:r>
    </w:p>
    <w:p w:rsidR="00865A4D" w:rsidRPr="00DF16E6" w:rsidRDefault="00865A4D" w:rsidP="00865A4D">
      <w:pPr>
        <w:numPr>
          <w:ilvl w:val="0"/>
          <w:numId w:val="6"/>
        </w:numPr>
        <w:spacing w:after="120"/>
        <w:rPr>
          <w:rFonts w:ascii="Arial" w:eastAsia="MS Mincho" w:hAnsi="Arial" w:cs="Arial"/>
          <w:sz w:val="20"/>
          <w:szCs w:val="20"/>
          <w:lang w:eastAsia="ja-JP"/>
        </w:rPr>
      </w:pPr>
      <w:proofErr w:type="gramStart"/>
      <w:r w:rsidRPr="00DF16E6">
        <w:rPr>
          <w:rFonts w:ascii="Arial" w:eastAsia="MS Mincho" w:hAnsi="Arial" w:cs="Arial"/>
          <w:sz w:val="20"/>
          <w:szCs w:val="20"/>
          <w:lang w:val="en" w:eastAsia="ja-JP"/>
        </w:rPr>
        <w:t>internet</w:t>
      </w:r>
      <w:proofErr w:type="gramEnd"/>
      <w:r w:rsidRPr="00DF16E6">
        <w:rPr>
          <w:rFonts w:ascii="Arial" w:eastAsia="MS Mincho" w:hAnsi="Arial" w:cs="Arial"/>
          <w:sz w:val="20"/>
          <w:szCs w:val="20"/>
          <w:lang w:val="en" w:eastAsia="ja-JP"/>
        </w:rPr>
        <w:t xml:space="preserve"> search using various search engines</w:t>
      </w:r>
      <w:r>
        <w:rPr>
          <w:rFonts w:ascii="Arial" w:eastAsia="MS Mincho" w:hAnsi="Arial" w:cs="Arial"/>
          <w:sz w:val="20"/>
          <w:szCs w:val="20"/>
          <w:lang w:val="en" w:eastAsia="ja-JP"/>
        </w:rPr>
        <w:t>.</w:t>
      </w:r>
    </w:p>
    <w:p w:rsidR="00865A4D" w:rsidRPr="00DF16E6" w:rsidRDefault="00865A4D" w:rsidP="00865A4D">
      <w:pPr>
        <w:spacing w:after="120"/>
        <w:rPr>
          <w:rFonts w:ascii="Arial" w:eastAsia="MS Mincho" w:hAnsi="Arial" w:cs="Arial"/>
          <w:sz w:val="20"/>
          <w:szCs w:val="20"/>
          <w:lang w:eastAsia="ja-JP"/>
        </w:rPr>
      </w:pPr>
      <w:r w:rsidRPr="00DF16E6">
        <w:rPr>
          <w:rFonts w:ascii="Arial" w:eastAsia="MS Mincho" w:hAnsi="Arial" w:cs="Arial"/>
          <w:sz w:val="20"/>
          <w:szCs w:val="20"/>
          <w:lang w:eastAsia="ja-JP"/>
        </w:rPr>
        <w:t xml:space="preserve">International clinical practice guidelines </w:t>
      </w:r>
      <w:proofErr w:type="gramStart"/>
      <w:r w:rsidRPr="00DF16E6">
        <w:rPr>
          <w:rFonts w:ascii="Arial" w:eastAsia="MS Mincho" w:hAnsi="Arial" w:cs="Arial"/>
          <w:sz w:val="20"/>
          <w:szCs w:val="20"/>
          <w:lang w:eastAsia="ja-JP"/>
        </w:rPr>
        <w:t>were identified</w:t>
      </w:r>
      <w:proofErr w:type="gramEnd"/>
      <w:r w:rsidRPr="00DF16E6">
        <w:rPr>
          <w:rFonts w:ascii="Arial" w:eastAsia="MS Mincho" w:hAnsi="Arial" w:cs="Arial"/>
          <w:sz w:val="20"/>
          <w:szCs w:val="20"/>
          <w:lang w:eastAsia="ja-JP"/>
        </w:rPr>
        <w:t xml:space="preserve"> by searching:</w:t>
      </w:r>
    </w:p>
    <w:p w:rsidR="00865A4D" w:rsidRPr="00DF16E6" w:rsidRDefault="00865A4D" w:rsidP="00865A4D">
      <w:pPr>
        <w:numPr>
          <w:ilvl w:val="0"/>
          <w:numId w:val="5"/>
        </w:numPr>
        <w:spacing w:after="100"/>
        <w:rPr>
          <w:rFonts w:ascii="Arial" w:hAnsi="Arial" w:cs="Arial"/>
          <w:color w:val="000000"/>
          <w:sz w:val="20"/>
          <w:szCs w:val="20"/>
          <w:lang w:val="en" w:eastAsia="en-AU"/>
        </w:rPr>
      </w:pPr>
      <w:r w:rsidRPr="00DF16E6">
        <w:rPr>
          <w:rFonts w:ascii="Arial" w:hAnsi="Arial" w:cs="Arial"/>
          <w:color w:val="000000"/>
          <w:sz w:val="20"/>
          <w:szCs w:val="20"/>
          <w:lang w:val="en-AU" w:eastAsia="en-AU"/>
        </w:rPr>
        <w:t xml:space="preserve">guideline clearing houses such as the Agency for Healthcare Research and Quality </w:t>
      </w:r>
      <w:r w:rsidRPr="00DF16E6">
        <w:rPr>
          <w:rFonts w:ascii="Arial" w:hAnsi="Arial" w:cs="Arial"/>
          <w:color w:val="000000"/>
          <w:sz w:val="20"/>
          <w:szCs w:val="20"/>
          <w:lang w:val="en" w:eastAsia="en-AU"/>
        </w:rPr>
        <w:t xml:space="preserve">(AHRQ), and Guidelines International Network (GIN) </w:t>
      </w:r>
    </w:p>
    <w:p w:rsidR="00865A4D" w:rsidRPr="00DF16E6" w:rsidRDefault="00865A4D" w:rsidP="00865A4D">
      <w:pPr>
        <w:numPr>
          <w:ilvl w:val="0"/>
          <w:numId w:val="5"/>
        </w:numPr>
        <w:spacing w:after="100"/>
        <w:rPr>
          <w:rFonts w:ascii="Arial" w:hAnsi="Arial" w:cs="Arial"/>
          <w:color w:val="000000"/>
          <w:sz w:val="20"/>
          <w:szCs w:val="20"/>
          <w:lang w:val="en" w:eastAsia="en-AU"/>
        </w:rPr>
      </w:pPr>
      <w:proofErr w:type="gramStart"/>
      <w:r w:rsidRPr="00DF16E6">
        <w:rPr>
          <w:rFonts w:ascii="Arial" w:hAnsi="Arial" w:cs="Arial"/>
          <w:color w:val="000000"/>
          <w:sz w:val="20"/>
          <w:szCs w:val="20"/>
          <w:lang w:val="en" w:eastAsia="en-AU"/>
        </w:rPr>
        <w:t>websites</w:t>
      </w:r>
      <w:proofErr w:type="gramEnd"/>
      <w:r w:rsidRPr="00DF16E6">
        <w:rPr>
          <w:rFonts w:ascii="Arial" w:hAnsi="Arial" w:cs="Arial"/>
          <w:color w:val="000000"/>
          <w:sz w:val="20"/>
          <w:szCs w:val="20"/>
          <w:lang w:val="en" w:eastAsia="en-AU"/>
        </w:rPr>
        <w:t xml:space="preserve"> of guideline developers, such as the UK’s National Institute for Health and Care Excellence (NICE), Scottish Intercollegiate Guideline Network (SIGN)</w:t>
      </w:r>
      <w:r>
        <w:rPr>
          <w:rFonts w:ascii="Arial" w:hAnsi="Arial" w:cs="Arial"/>
          <w:color w:val="000000"/>
          <w:sz w:val="20"/>
          <w:szCs w:val="20"/>
          <w:lang w:val="en" w:eastAsia="en-AU"/>
        </w:rPr>
        <w:t>.</w:t>
      </w:r>
    </w:p>
    <w:p w:rsidR="00865A4D" w:rsidRPr="00DF16E6" w:rsidRDefault="00865A4D" w:rsidP="00865A4D">
      <w:pPr>
        <w:spacing w:after="100"/>
        <w:rPr>
          <w:rFonts w:ascii="Arial" w:hAnsi="Arial" w:cs="Arial"/>
          <w:color w:val="000000"/>
          <w:sz w:val="20"/>
          <w:szCs w:val="20"/>
          <w:lang w:val="en" w:eastAsia="en-AU"/>
        </w:rPr>
      </w:pPr>
      <w:r w:rsidRPr="00DF16E6">
        <w:rPr>
          <w:rFonts w:ascii="Arial" w:hAnsi="Arial" w:cs="Arial"/>
          <w:color w:val="000000"/>
          <w:sz w:val="20"/>
          <w:szCs w:val="20"/>
          <w:lang w:val="en" w:eastAsia="en-AU"/>
        </w:rPr>
        <w:t xml:space="preserve">Other high-level evidence </w:t>
      </w:r>
      <w:proofErr w:type="gramStart"/>
      <w:r w:rsidRPr="00DF16E6">
        <w:rPr>
          <w:rFonts w:ascii="Arial" w:hAnsi="Arial" w:cs="Arial"/>
          <w:color w:val="000000"/>
          <w:sz w:val="20"/>
          <w:szCs w:val="20"/>
          <w:lang w:val="en" w:eastAsia="en-AU"/>
        </w:rPr>
        <w:t>was identified</w:t>
      </w:r>
      <w:proofErr w:type="gramEnd"/>
      <w:r w:rsidRPr="00DF16E6">
        <w:rPr>
          <w:rFonts w:ascii="Arial" w:hAnsi="Arial" w:cs="Arial"/>
          <w:color w:val="000000"/>
          <w:sz w:val="20"/>
          <w:szCs w:val="20"/>
          <w:lang w:val="en" w:eastAsia="en-AU"/>
        </w:rPr>
        <w:t xml:space="preserve"> by searching:</w:t>
      </w:r>
    </w:p>
    <w:p w:rsidR="00865A4D" w:rsidRPr="00DF16E6" w:rsidRDefault="00865A4D" w:rsidP="00865A4D">
      <w:pPr>
        <w:numPr>
          <w:ilvl w:val="0"/>
          <w:numId w:val="5"/>
        </w:numPr>
        <w:spacing w:after="100"/>
        <w:rPr>
          <w:rFonts w:ascii="Arial" w:hAnsi="Arial" w:cs="Arial"/>
          <w:color w:val="000000"/>
          <w:sz w:val="20"/>
          <w:szCs w:val="20"/>
          <w:lang w:val="en" w:eastAsia="en-AU"/>
        </w:rPr>
      </w:pPr>
      <w:r w:rsidRPr="00DF16E6">
        <w:rPr>
          <w:rFonts w:ascii="Arial" w:hAnsi="Arial" w:cs="Arial"/>
          <w:color w:val="000000"/>
          <w:sz w:val="20"/>
          <w:szCs w:val="20"/>
          <w:lang w:val="en" w:eastAsia="en-AU"/>
        </w:rPr>
        <w:t>the Cochrane Collaboration for systematic literature reviews and meta analyses</w:t>
      </w:r>
    </w:p>
    <w:p w:rsidR="00865A4D" w:rsidRPr="00DF16E6" w:rsidRDefault="00865A4D" w:rsidP="00865A4D">
      <w:pPr>
        <w:numPr>
          <w:ilvl w:val="0"/>
          <w:numId w:val="5"/>
        </w:numPr>
        <w:spacing w:after="100"/>
        <w:rPr>
          <w:rFonts w:ascii="Arial" w:hAnsi="Arial" w:cs="Arial"/>
          <w:color w:val="000000"/>
          <w:sz w:val="20"/>
          <w:szCs w:val="20"/>
          <w:lang w:val="en" w:eastAsia="en-AU"/>
        </w:rPr>
      </w:pPr>
      <w:proofErr w:type="gramStart"/>
      <w:r w:rsidRPr="00DF16E6">
        <w:rPr>
          <w:rFonts w:ascii="Arial" w:hAnsi="Arial" w:cs="Arial"/>
          <w:color w:val="000000"/>
          <w:sz w:val="20"/>
          <w:szCs w:val="20"/>
          <w:lang w:val="en" w:eastAsia="en-AU"/>
        </w:rPr>
        <w:t>medical</w:t>
      </w:r>
      <w:proofErr w:type="gramEnd"/>
      <w:r w:rsidRPr="00DF16E6">
        <w:rPr>
          <w:rFonts w:ascii="Arial" w:hAnsi="Arial" w:cs="Arial"/>
          <w:color w:val="000000"/>
          <w:sz w:val="20"/>
          <w:szCs w:val="20"/>
          <w:lang w:val="en" w:eastAsia="en-AU"/>
        </w:rPr>
        <w:t xml:space="preserve"> literature databases (Medline, </w:t>
      </w:r>
      <w:proofErr w:type="spellStart"/>
      <w:r w:rsidRPr="00DF16E6">
        <w:rPr>
          <w:rFonts w:ascii="Arial" w:hAnsi="Arial" w:cs="Arial"/>
          <w:color w:val="000000"/>
          <w:sz w:val="20"/>
          <w:szCs w:val="20"/>
          <w:lang w:val="en" w:eastAsia="en-AU"/>
        </w:rPr>
        <w:t>Embase</w:t>
      </w:r>
      <w:proofErr w:type="spellEnd"/>
      <w:r w:rsidRPr="00DF16E6">
        <w:rPr>
          <w:rFonts w:ascii="Arial" w:hAnsi="Arial" w:cs="Arial"/>
          <w:color w:val="000000"/>
          <w:sz w:val="20"/>
          <w:szCs w:val="20"/>
          <w:lang w:val="en" w:eastAsia="en-AU"/>
        </w:rPr>
        <w:t>) for systematic reviews and meta-analyses</w:t>
      </w:r>
      <w:r>
        <w:rPr>
          <w:rFonts w:ascii="Arial" w:hAnsi="Arial" w:cs="Arial"/>
          <w:color w:val="000000"/>
          <w:sz w:val="20"/>
          <w:szCs w:val="20"/>
          <w:lang w:val="en" w:eastAsia="en-AU"/>
        </w:rPr>
        <w:t>.</w:t>
      </w:r>
    </w:p>
    <w:p w:rsidR="00865A4D" w:rsidRPr="00DF16E6" w:rsidRDefault="00865A4D" w:rsidP="00865A4D">
      <w:pPr>
        <w:spacing w:after="100"/>
        <w:rPr>
          <w:rFonts w:ascii="Arial" w:hAnsi="Arial" w:cs="Arial"/>
          <w:color w:val="000000"/>
          <w:sz w:val="20"/>
          <w:szCs w:val="20"/>
          <w:lang w:val="en-AU" w:eastAsia="en-AU"/>
        </w:rPr>
      </w:pPr>
    </w:p>
    <w:p w:rsidR="00EB3C2A" w:rsidRPr="00EB3C2A" w:rsidRDefault="00865A4D" w:rsidP="00865A4D">
      <w:pPr>
        <w:spacing w:after="100"/>
        <w:ind w:right="-894"/>
        <w:rPr>
          <w:rFonts w:ascii="Arial" w:hAnsi="Arial" w:cs="Arial"/>
          <w:color w:val="000000"/>
          <w:sz w:val="20"/>
          <w:szCs w:val="20"/>
          <w:lang w:val="en-AU" w:eastAsia="en-AU"/>
        </w:rPr>
      </w:pPr>
      <w:r w:rsidRPr="00750BEE">
        <w:rPr>
          <w:rFonts w:ascii="Arial" w:hAnsi="Arial" w:cs="Arial"/>
          <w:color w:val="000000"/>
          <w:sz w:val="20"/>
          <w:szCs w:val="20"/>
          <w:lang w:val="en-AU" w:eastAsia="en-AU"/>
        </w:rPr>
        <w:t xml:space="preserve">A summary of evidence sources for each draft quality statement </w:t>
      </w:r>
      <w:proofErr w:type="gramStart"/>
      <w:r w:rsidRPr="00750BEE">
        <w:rPr>
          <w:rFonts w:ascii="Arial" w:hAnsi="Arial" w:cs="Arial"/>
          <w:color w:val="000000"/>
          <w:sz w:val="20"/>
          <w:szCs w:val="20"/>
          <w:lang w:val="en-AU" w:eastAsia="en-AU"/>
        </w:rPr>
        <w:t>is attached</w:t>
      </w:r>
      <w:proofErr w:type="gramEnd"/>
      <w:r>
        <w:rPr>
          <w:rFonts w:ascii="Arial" w:hAnsi="Arial" w:cs="Arial"/>
          <w:color w:val="000000"/>
          <w:sz w:val="20"/>
          <w:szCs w:val="20"/>
          <w:lang w:val="en-AU" w:eastAsia="en-AU"/>
        </w:rPr>
        <w:t>.</w:t>
      </w:r>
    </w:p>
    <w:p w:rsidR="00EB3C2A" w:rsidRPr="00EB3C2A" w:rsidRDefault="00EB3C2A" w:rsidP="00EB3C2A">
      <w:pPr>
        <w:spacing w:after="100"/>
        <w:ind w:right="-894"/>
        <w:rPr>
          <w:rFonts w:ascii="Arial" w:hAnsi="Arial" w:cs="Arial"/>
          <w:color w:val="000000"/>
          <w:sz w:val="20"/>
          <w:szCs w:val="20"/>
          <w:lang w:val="en-AU" w:eastAsia="en-AU"/>
        </w:rPr>
      </w:pPr>
    </w:p>
    <w:p w:rsidR="009821D5" w:rsidRDefault="009821D5" w:rsidP="00C323F4">
      <w:pPr>
        <w:rPr>
          <w:rFonts w:ascii="Calibri" w:hAnsi="Calibri" w:cs="Arial"/>
          <w:sz w:val="22"/>
          <w:szCs w:val="22"/>
        </w:rPr>
        <w:sectPr w:rsidR="009821D5" w:rsidSect="00C323F4">
          <w:footerReference w:type="even" r:id="rId12"/>
          <w:footerReference w:type="default" r:id="rId13"/>
          <w:pgSz w:w="11906" w:h="16838"/>
          <w:pgMar w:top="1440" w:right="1080" w:bottom="1440" w:left="1080" w:header="709" w:footer="709" w:gutter="0"/>
          <w:pgNumType w:start="1"/>
          <w:cols w:space="708"/>
          <w:docGrid w:linePitch="360"/>
        </w:sectPr>
      </w:pPr>
    </w:p>
    <w:tbl>
      <w:tblPr>
        <w:tblpPr w:leftFromText="180" w:rightFromText="180" w:vertAnchor="page" w:horzAnchor="margin" w:tblpY="1606"/>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1"/>
        <w:gridCol w:w="10074"/>
      </w:tblGrid>
      <w:tr w:rsidR="00865A4D" w:rsidRPr="00865A4D" w:rsidTr="00CA0311">
        <w:trPr>
          <w:trHeight w:val="687"/>
          <w:tblHeader/>
        </w:trPr>
        <w:tc>
          <w:tcPr>
            <w:tcW w:w="3501" w:type="dxa"/>
            <w:tcBorders>
              <w:top w:val="single" w:sz="4" w:space="0" w:color="auto"/>
              <w:left w:val="single" w:sz="4" w:space="0" w:color="auto"/>
              <w:bottom w:val="single" w:sz="4" w:space="0" w:color="auto"/>
              <w:right w:val="single" w:sz="4" w:space="0" w:color="auto"/>
            </w:tcBorders>
            <w:shd w:val="clear" w:color="auto" w:fill="00988E"/>
          </w:tcPr>
          <w:p w:rsidR="00865A4D" w:rsidRPr="00865A4D" w:rsidRDefault="00865A4D" w:rsidP="00865A4D">
            <w:pPr>
              <w:rPr>
                <w:rFonts w:ascii="Arial" w:hAnsi="Arial" w:cs="Arial"/>
                <w:color w:val="FFFFFF"/>
                <w:sz w:val="32"/>
                <w:szCs w:val="32"/>
              </w:rPr>
            </w:pPr>
            <w:r w:rsidRPr="00865A4D">
              <w:rPr>
                <w:rFonts w:ascii="Arial" w:hAnsi="Arial" w:cs="Arial"/>
                <w:b/>
                <w:bCs/>
                <w:color w:val="FFFFFF"/>
                <w:sz w:val="32"/>
                <w:szCs w:val="32"/>
              </w:rPr>
              <w:lastRenderedPageBreak/>
              <w:t>Quality Statement 1</w:t>
            </w:r>
          </w:p>
        </w:tc>
        <w:tc>
          <w:tcPr>
            <w:tcW w:w="10074" w:type="dxa"/>
            <w:tcBorders>
              <w:top w:val="single" w:sz="4" w:space="0" w:color="auto"/>
              <w:left w:val="single" w:sz="4" w:space="0" w:color="auto"/>
              <w:bottom w:val="single" w:sz="4" w:space="0" w:color="auto"/>
              <w:right w:val="single" w:sz="4" w:space="0" w:color="auto"/>
            </w:tcBorders>
          </w:tcPr>
          <w:p w:rsidR="00865A4D" w:rsidRPr="00865A4D" w:rsidRDefault="00A01682" w:rsidP="00865A4D">
            <w:pPr>
              <w:rPr>
                <w:rFonts w:ascii="Arial" w:hAnsi="Arial" w:cs="Arial"/>
                <w:b/>
                <w:sz w:val="22"/>
                <w:szCs w:val="22"/>
              </w:rPr>
            </w:pPr>
            <w:r w:rsidRPr="00A01682">
              <w:rPr>
                <w:rFonts w:ascii="Arial" w:hAnsi="Arial" w:cs="Arial"/>
                <w:b/>
                <w:iCs/>
                <w:sz w:val="22"/>
                <w:szCs w:val="22"/>
                <w:lang w:val="en-AU"/>
              </w:rPr>
              <w:t xml:space="preserve">A patient presenting to hospital with one or more key risk factors for delirium receives cognitive screening using a validated test. In addition, the patient and their carer </w:t>
            </w:r>
            <w:proofErr w:type="gramStart"/>
            <w:r w:rsidRPr="00A01682">
              <w:rPr>
                <w:rFonts w:ascii="Arial" w:hAnsi="Arial" w:cs="Arial"/>
                <w:b/>
                <w:iCs/>
                <w:sz w:val="22"/>
                <w:szCs w:val="22"/>
                <w:lang w:val="en-AU"/>
              </w:rPr>
              <w:t>are asked</w:t>
            </w:r>
            <w:proofErr w:type="gramEnd"/>
            <w:r w:rsidRPr="00A01682">
              <w:rPr>
                <w:rFonts w:ascii="Arial" w:hAnsi="Arial" w:cs="Arial"/>
                <w:b/>
                <w:iCs/>
                <w:sz w:val="22"/>
                <w:szCs w:val="22"/>
                <w:lang w:val="en-AU"/>
              </w:rPr>
              <w:t xml:space="preserve"> about any recent changes (within hours or days) in the patient’s behaviour or thinking.</w:t>
            </w:r>
          </w:p>
        </w:tc>
      </w:tr>
      <w:tr w:rsidR="00865A4D" w:rsidRPr="00865A4D" w:rsidTr="00CA0311">
        <w:trPr>
          <w:trHeight w:val="374"/>
          <w:tblHeader/>
        </w:trPr>
        <w:tc>
          <w:tcPr>
            <w:tcW w:w="13575" w:type="dxa"/>
            <w:gridSpan w:val="2"/>
            <w:tcBorders>
              <w:top w:val="single" w:sz="4" w:space="0" w:color="auto"/>
              <w:left w:val="single" w:sz="4" w:space="0" w:color="auto"/>
              <w:bottom w:val="single" w:sz="4" w:space="0" w:color="auto"/>
              <w:right w:val="single" w:sz="4" w:space="0" w:color="auto"/>
            </w:tcBorders>
            <w:shd w:val="clear" w:color="auto" w:fill="auto"/>
          </w:tcPr>
          <w:p w:rsidR="00865A4D" w:rsidRPr="00865A4D" w:rsidRDefault="00865A4D" w:rsidP="00865A4D">
            <w:pPr>
              <w:rPr>
                <w:rFonts w:ascii="Arial" w:hAnsi="Arial" w:cs="Arial"/>
                <w:b/>
              </w:rPr>
            </w:pPr>
            <w:r w:rsidRPr="00865A4D">
              <w:rPr>
                <w:rFonts w:ascii="Arial" w:hAnsi="Arial" w:cs="Arial"/>
                <w:b/>
              </w:rPr>
              <w:t xml:space="preserve">EVIDENCE SOURCES </w:t>
            </w:r>
          </w:p>
        </w:tc>
      </w:tr>
      <w:tr w:rsidR="00865A4D" w:rsidRPr="00865A4D" w:rsidTr="00CA0311">
        <w:trPr>
          <w:trHeight w:val="124"/>
          <w:tblHeader/>
        </w:trPr>
        <w:tc>
          <w:tcPr>
            <w:tcW w:w="13575" w:type="dxa"/>
            <w:gridSpan w:val="2"/>
            <w:tcBorders>
              <w:top w:val="single" w:sz="4" w:space="0" w:color="auto"/>
              <w:left w:val="single" w:sz="4" w:space="0" w:color="auto"/>
              <w:bottom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 xml:space="preserve">Australian Guidelines </w:t>
            </w:r>
          </w:p>
        </w:tc>
      </w:tr>
      <w:tr w:rsidR="00865A4D" w:rsidRPr="00865A4D" w:rsidTr="00CA0311">
        <w:trPr>
          <w:cantSplit/>
          <w:trHeight w:val="124"/>
        </w:trPr>
        <w:tc>
          <w:tcPr>
            <w:tcW w:w="13575"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25"/>
              </w:numPr>
              <w:autoSpaceDE w:val="0"/>
              <w:autoSpaceDN w:val="0"/>
              <w:adjustRightInd w:val="0"/>
              <w:ind w:left="709"/>
              <w:contextualSpacing/>
              <w:rPr>
                <w:rFonts w:ascii="Arial" w:hAnsi="Arial" w:cs="Arial"/>
                <w:sz w:val="20"/>
                <w:szCs w:val="20"/>
                <w:lang w:val="en-AU"/>
              </w:rPr>
            </w:pPr>
            <w:proofErr w:type="gramStart"/>
            <w:r w:rsidRPr="00865A4D">
              <w:rPr>
                <w:rFonts w:ascii="Arial" w:hAnsi="Arial" w:cs="Arial"/>
                <w:sz w:val="20"/>
                <w:szCs w:val="20"/>
                <w:lang w:val="en-AU" w:eastAsia="en-AU"/>
              </w:rPr>
              <w:t>Clinical Epidemiology and Health Service Evaluation Unit, Melbourne Health, Delirium Clinical Guidelines Expert Working Group.</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Clinical Practice Guidelines for the Management of Delirium in Older People.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2006</w:t>
            </w:r>
            <w:proofErr w:type="gramEnd"/>
            <w:r w:rsidRPr="00865A4D">
              <w:rPr>
                <w:rFonts w:ascii="Arial" w:hAnsi="Arial" w:cs="Arial"/>
                <w:sz w:val="20"/>
                <w:szCs w:val="20"/>
                <w:lang w:val="en-AU" w:eastAsia="en-AU"/>
              </w:rPr>
              <w:t xml:space="preserve"> (pp. 32, 37, 40, 43). </w:t>
            </w:r>
            <w:proofErr w:type="gramStart"/>
            <w:r w:rsidRPr="00865A4D">
              <w:rPr>
                <w:rFonts w:ascii="Arial" w:hAnsi="Arial" w:cs="Arial"/>
                <w:sz w:val="20"/>
                <w:szCs w:val="20"/>
                <w:lang w:val="en-AU" w:eastAsia="en-AU"/>
              </w:rPr>
              <w:t>Accessed May 2015 at:</w:t>
            </w:r>
            <w:r w:rsidRPr="00865A4D">
              <w:rPr>
                <w:lang w:val="en-AU"/>
              </w:rPr>
              <w:t xml:space="preserve"> </w:t>
            </w:r>
            <w:hyperlink r:id="rId14" w:history="1">
              <w:r w:rsidRPr="00865A4D">
                <w:rPr>
                  <w:rFonts w:ascii="Arial" w:hAnsi="Arial" w:cs="Arial"/>
                  <w:color w:val="0000FF"/>
                  <w:sz w:val="20"/>
                  <w:szCs w:val="20"/>
                  <w:u w:val="single"/>
                  <w:lang w:val="en-AU" w:eastAsia="en-AU"/>
                </w:rPr>
                <w:t>http://docs.health.vic.gov.au/docs/doc/Clinical-Practice-Guidelines-for-the-Management-of-Delirium-in-Older-People---October-2006</w:t>
              </w:r>
            </w:hyperlink>
            <w:r w:rsidRPr="00865A4D">
              <w:rPr>
                <w:rFonts w:ascii="Arial" w:hAnsi="Arial" w:cs="Arial"/>
                <w:sz w:val="20"/>
                <w:szCs w:val="20"/>
                <w:lang w:val="en-AU" w:eastAsia="en-AU"/>
              </w:rPr>
              <w:t>.</w:t>
            </w:r>
            <w:proofErr w:type="gramEnd"/>
          </w:p>
        </w:tc>
      </w:tr>
      <w:tr w:rsidR="00865A4D" w:rsidRPr="00865A4D" w:rsidTr="00CA0311">
        <w:trPr>
          <w:cantSplit/>
          <w:trHeight w:val="124"/>
        </w:trPr>
        <w:tc>
          <w:tcPr>
            <w:tcW w:w="13575"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autoSpaceDE w:val="0"/>
              <w:autoSpaceDN w:val="0"/>
              <w:adjustRightInd w:val="0"/>
              <w:rPr>
                <w:rFonts w:ascii="Arial" w:hAnsi="Arial" w:cs="Arial"/>
                <w:b/>
                <w:sz w:val="20"/>
                <w:szCs w:val="20"/>
              </w:rPr>
            </w:pPr>
            <w:r w:rsidRPr="00865A4D">
              <w:rPr>
                <w:rFonts w:ascii="Arial" w:hAnsi="Arial" w:cs="Arial"/>
                <w:b/>
                <w:sz w:val="20"/>
                <w:szCs w:val="20"/>
              </w:rPr>
              <w:t>International Guidelines</w:t>
            </w:r>
          </w:p>
        </w:tc>
      </w:tr>
      <w:tr w:rsidR="00865A4D" w:rsidRPr="00865A4D" w:rsidTr="00CA0311">
        <w:trPr>
          <w:cantSplit/>
          <w:trHeight w:val="422"/>
        </w:trPr>
        <w:tc>
          <w:tcPr>
            <w:tcW w:w="13575"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26"/>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National Institute for Health and Clinical Excellence.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diagnosis, prevention and management; Clinical Guideline 103.</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London: NICE, 2010 (pp.56).</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Accessed May 2015 at:</w:t>
            </w:r>
            <w:r w:rsidRPr="00865A4D">
              <w:rPr>
                <w:lang w:val="en-AU"/>
              </w:rPr>
              <w:t xml:space="preserve"> </w:t>
            </w:r>
            <w:hyperlink r:id="rId15" w:history="1">
              <w:r w:rsidRPr="00865A4D">
                <w:rPr>
                  <w:rFonts w:ascii="Arial" w:hAnsi="Arial" w:cs="Arial"/>
                  <w:color w:val="0000FF"/>
                  <w:sz w:val="20"/>
                  <w:szCs w:val="20"/>
                  <w:u w:val="single"/>
                  <w:lang w:val="en-AU" w:eastAsia="en-AU"/>
                </w:rPr>
                <w:t>https://www.nice.org.uk/guidance/cg103</w:t>
              </w:r>
            </w:hyperlink>
            <w:r w:rsidRPr="00865A4D">
              <w:rPr>
                <w:rFonts w:ascii="Arial" w:hAnsi="Arial" w:cs="Arial"/>
                <w:sz w:val="20"/>
                <w:szCs w:val="20"/>
                <w:lang w:val="en-AU" w:eastAsia="en-AU"/>
              </w:rPr>
              <w:t>.</w:t>
            </w:r>
            <w:proofErr w:type="gramEnd"/>
          </w:p>
        </w:tc>
      </w:tr>
      <w:tr w:rsidR="00865A4D" w:rsidRPr="00865A4D" w:rsidTr="00CA0311">
        <w:trPr>
          <w:cantSplit/>
          <w:trHeight w:val="124"/>
        </w:trPr>
        <w:tc>
          <w:tcPr>
            <w:tcW w:w="13575"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Additional Sources</w:t>
            </w:r>
          </w:p>
        </w:tc>
      </w:tr>
      <w:tr w:rsidR="00865A4D" w:rsidRPr="00865A4D" w:rsidTr="00CA0311">
        <w:trPr>
          <w:cantSplit/>
          <w:trHeight w:val="124"/>
        </w:trPr>
        <w:tc>
          <w:tcPr>
            <w:tcW w:w="13575" w:type="dxa"/>
            <w:gridSpan w:val="2"/>
            <w:tcBorders>
              <w:top w:val="single" w:sz="4" w:space="0" w:color="auto"/>
              <w:left w:val="single" w:sz="4" w:space="0" w:color="auto"/>
              <w:right w:val="single" w:sz="4" w:space="0" w:color="auto"/>
            </w:tcBorders>
          </w:tcPr>
          <w:p w:rsidR="00865A4D" w:rsidRPr="00865A4D" w:rsidRDefault="00865A4D" w:rsidP="00E93845">
            <w:pPr>
              <w:numPr>
                <w:ilvl w:val="0"/>
                <w:numId w:val="7"/>
              </w:numPr>
              <w:autoSpaceDE w:val="0"/>
              <w:autoSpaceDN w:val="0"/>
              <w:adjustRightInd w:val="0"/>
              <w:contextualSpacing/>
              <w:rPr>
                <w:rFonts w:ascii="Arial" w:hAnsi="Arial" w:cs="Arial"/>
                <w:sz w:val="20"/>
                <w:szCs w:val="20"/>
                <w:lang w:val="en-AU" w:eastAsia="en-AU"/>
              </w:rPr>
            </w:pPr>
            <w:r w:rsidRPr="00865A4D">
              <w:rPr>
                <w:rFonts w:ascii="Arial" w:hAnsi="Arial" w:cs="Arial"/>
                <w:sz w:val="20"/>
                <w:szCs w:val="20"/>
                <w:lang w:val="en-AU" w:eastAsia="en-AU"/>
              </w:rPr>
              <w:t xml:space="preserve">Australian Commission on Safety and Quality </w:t>
            </w:r>
            <w:proofErr w:type="gramStart"/>
            <w:r w:rsidRPr="00865A4D">
              <w:rPr>
                <w:rFonts w:ascii="Arial" w:hAnsi="Arial" w:cs="Arial"/>
                <w:sz w:val="20"/>
                <w:szCs w:val="20"/>
                <w:lang w:val="en-AU" w:eastAsia="en-AU"/>
              </w:rPr>
              <w:t>In</w:t>
            </w:r>
            <w:proofErr w:type="gramEnd"/>
            <w:r w:rsidRPr="00865A4D">
              <w:rPr>
                <w:rFonts w:ascii="Arial" w:hAnsi="Arial" w:cs="Arial"/>
                <w:sz w:val="20"/>
                <w:szCs w:val="20"/>
                <w:lang w:val="en-AU" w:eastAsia="en-AU"/>
              </w:rPr>
              <w:t xml:space="preserve"> Health Care. A better way to care: Safe and </w:t>
            </w:r>
            <w:proofErr w:type="gramStart"/>
            <w:r w:rsidRPr="00865A4D">
              <w:rPr>
                <w:rFonts w:ascii="Arial" w:hAnsi="Arial" w:cs="Arial"/>
                <w:sz w:val="20"/>
                <w:szCs w:val="20"/>
                <w:lang w:val="en-AU" w:eastAsia="en-AU"/>
              </w:rPr>
              <w:t>high-quality</w:t>
            </w:r>
            <w:proofErr w:type="gramEnd"/>
            <w:r w:rsidRPr="00865A4D">
              <w:rPr>
                <w:rFonts w:ascii="Arial" w:hAnsi="Arial" w:cs="Arial"/>
                <w:sz w:val="20"/>
                <w:szCs w:val="20"/>
                <w:lang w:val="en-AU" w:eastAsia="en-AU"/>
              </w:rPr>
              <w:t xml:space="preserve"> care for patients with cognitive impairment (dementia and delirium) in hospital - Actions for health service managers. </w:t>
            </w:r>
            <w:proofErr w:type="gramStart"/>
            <w:r w:rsidRPr="00865A4D">
              <w:rPr>
                <w:rFonts w:ascii="Arial" w:hAnsi="Arial" w:cs="Arial"/>
                <w:sz w:val="20"/>
                <w:szCs w:val="20"/>
                <w:lang w:val="en-AU" w:eastAsia="en-AU"/>
              </w:rPr>
              <w:t>Sydney: ACSQHC; 2014 (pp.14).</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 xml:space="preserve">Accessed May 2015 at: </w:t>
            </w:r>
            <w:r w:rsidRPr="00865A4D">
              <w:rPr>
                <w:lang w:val="en-AU"/>
              </w:rPr>
              <w:t xml:space="preserve"> </w:t>
            </w:r>
            <w:hyperlink r:id="rId16" w:history="1">
              <w:r w:rsidRPr="00865A4D">
                <w:rPr>
                  <w:rFonts w:ascii="Arial" w:hAnsi="Arial" w:cs="Arial"/>
                  <w:color w:val="0000FF"/>
                  <w:sz w:val="20"/>
                  <w:szCs w:val="20"/>
                  <w:u w:val="single"/>
                  <w:lang w:val="en-AU" w:eastAsia="en-AU"/>
                </w:rPr>
                <w:t>http://www.safetyandquality.gov.au/our-work/cognitive-impairment/better-way-to-care/</w:t>
              </w:r>
            </w:hyperlink>
            <w:r w:rsidRPr="00865A4D">
              <w:rPr>
                <w:rFonts w:ascii="Arial" w:hAnsi="Arial" w:cs="Arial"/>
                <w:sz w:val="20"/>
                <w:szCs w:val="20"/>
                <w:lang w:val="en-AU" w:eastAsia="en-AU"/>
              </w:rPr>
              <w:t>.</w:t>
            </w:r>
            <w:proofErr w:type="gramEnd"/>
          </w:p>
          <w:p w:rsidR="00865A4D" w:rsidRPr="00865A4D" w:rsidRDefault="00865A4D" w:rsidP="00E93845">
            <w:pPr>
              <w:numPr>
                <w:ilvl w:val="0"/>
                <w:numId w:val="7"/>
              </w:numPr>
              <w:contextualSpacing/>
              <w:rPr>
                <w:rFonts w:ascii="Arial" w:hAnsi="Arial" w:cs="Arial"/>
                <w:sz w:val="20"/>
                <w:szCs w:val="20"/>
                <w:lang w:val="en-AU"/>
              </w:rPr>
            </w:pPr>
            <w:r w:rsidRPr="00865A4D">
              <w:rPr>
                <w:rFonts w:ascii="Arial" w:hAnsi="Arial" w:cs="Arial"/>
                <w:sz w:val="20"/>
                <w:szCs w:val="20"/>
                <w:lang w:val="en-AU"/>
              </w:rPr>
              <w:t xml:space="preserve">ACI Aged Health Network. </w:t>
            </w:r>
            <w:proofErr w:type="gramStart"/>
            <w:r w:rsidRPr="00865A4D">
              <w:rPr>
                <w:rFonts w:ascii="Arial" w:hAnsi="Arial" w:cs="Arial"/>
                <w:sz w:val="20"/>
                <w:szCs w:val="20"/>
                <w:lang w:val="en-AU"/>
              </w:rPr>
              <w:t>Key principles for care of Confused Hospitalised Older Persons.</w:t>
            </w:r>
            <w:proofErr w:type="gramEnd"/>
            <w:r w:rsidRPr="00865A4D">
              <w:rPr>
                <w:rFonts w:ascii="Arial" w:hAnsi="Arial" w:cs="Arial"/>
                <w:sz w:val="20"/>
                <w:szCs w:val="20"/>
                <w:lang w:val="en-AU"/>
              </w:rPr>
              <w:t xml:space="preserve"> Agency for Clinical Innovation; 2014 (pp 7</w:t>
            </w:r>
            <w:proofErr w:type="gramStart"/>
            <w:r w:rsidRPr="00865A4D">
              <w:rPr>
                <w:rFonts w:ascii="Arial" w:hAnsi="Arial" w:cs="Arial"/>
                <w:sz w:val="20"/>
                <w:szCs w:val="20"/>
                <w:lang w:val="en-AU"/>
              </w:rPr>
              <w:t>,10</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 xml:space="preserve">Accessed May 2015 at: </w:t>
            </w:r>
            <w:hyperlink r:id="rId17" w:history="1">
              <w:r w:rsidRPr="00865A4D">
                <w:rPr>
                  <w:rFonts w:ascii="Arial" w:hAnsi="Arial" w:cs="Arial"/>
                  <w:color w:val="0000FF"/>
                  <w:sz w:val="20"/>
                  <w:szCs w:val="20"/>
                  <w:u w:val="single"/>
                  <w:lang w:val="en-AU"/>
                </w:rPr>
                <w:t>http://www.aci.health.nsw.gov.au/__data/assets/pdf_file/0006/249171/CHOPS-key-principles_2014.pdf</w:t>
              </w:r>
            </w:hyperlink>
            <w:r w:rsidRPr="00865A4D">
              <w:rPr>
                <w:rFonts w:ascii="Arial" w:hAnsi="Arial" w:cs="Arial"/>
                <w:sz w:val="20"/>
                <w:szCs w:val="20"/>
                <w:lang w:val="en-AU"/>
              </w:rPr>
              <w:t>.</w:t>
            </w:r>
            <w:proofErr w:type="gramEnd"/>
          </w:p>
          <w:p w:rsidR="00865A4D" w:rsidRPr="00865A4D" w:rsidRDefault="00865A4D" w:rsidP="00E93845">
            <w:pPr>
              <w:numPr>
                <w:ilvl w:val="0"/>
                <w:numId w:val="7"/>
              </w:numPr>
              <w:contextualSpacing/>
              <w:rPr>
                <w:rFonts w:ascii="Arial" w:hAnsi="Arial" w:cs="Arial"/>
                <w:sz w:val="20"/>
                <w:szCs w:val="20"/>
                <w:lang w:val="en-AU"/>
              </w:rPr>
            </w:pPr>
            <w:r w:rsidRPr="00865A4D">
              <w:rPr>
                <w:rFonts w:ascii="Arial" w:hAnsi="Arial" w:cs="Arial"/>
                <w:sz w:val="20"/>
                <w:szCs w:val="20"/>
                <w:lang w:val="en-AU"/>
              </w:rPr>
              <w:t xml:space="preserve">Inouye S, </w:t>
            </w:r>
            <w:proofErr w:type="spellStart"/>
            <w:r w:rsidRPr="00865A4D">
              <w:rPr>
                <w:rFonts w:ascii="Arial" w:hAnsi="Arial" w:cs="Arial"/>
                <w:sz w:val="20"/>
                <w:szCs w:val="20"/>
                <w:lang w:val="en-AU"/>
              </w:rPr>
              <w:t>Westendorp</w:t>
            </w:r>
            <w:proofErr w:type="spellEnd"/>
            <w:r w:rsidRPr="00865A4D">
              <w:rPr>
                <w:rFonts w:ascii="Arial" w:hAnsi="Arial" w:cs="Arial"/>
                <w:sz w:val="20"/>
                <w:szCs w:val="20"/>
                <w:lang w:val="en-AU"/>
              </w:rPr>
              <w:t xml:space="preserve"> R, </w:t>
            </w:r>
            <w:proofErr w:type="spellStart"/>
            <w:r w:rsidRPr="00865A4D">
              <w:rPr>
                <w:rFonts w:ascii="Arial" w:hAnsi="Arial" w:cs="Arial"/>
                <w:sz w:val="20"/>
                <w:szCs w:val="20"/>
                <w:lang w:val="en-AU"/>
              </w:rPr>
              <w:t>Saczynski</w:t>
            </w:r>
            <w:proofErr w:type="spellEnd"/>
            <w:r w:rsidRPr="00865A4D">
              <w:rPr>
                <w:rFonts w:ascii="Arial" w:hAnsi="Arial" w:cs="Arial"/>
                <w:sz w:val="20"/>
                <w:szCs w:val="20"/>
                <w:lang w:val="en-AU"/>
              </w:rPr>
              <w:t xml:space="preserve"> J. Delirium in elderly people. </w:t>
            </w:r>
            <w:proofErr w:type="gramStart"/>
            <w:r w:rsidRPr="00865A4D">
              <w:rPr>
                <w:rFonts w:ascii="Arial" w:hAnsi="Arial" w:cs="Arial"/>
                <w:sz w:val="20"/>
                <w:szCs w:val="20"/>
                <w:lang w:val="en-AU"/>
              </w:rPr>
              <w:t>The Lancet.</w:t>
            </w:r>
            <w:proofErr w:type="gramEnd"/>
            <w:r w:rsidRPr="00865A4D">
              <w:rPr>
                <w:rFonts w:ascii="Arial" w:hAnsi="Arial" w:cs="Arial"/>
                <w:sz w:val="20"/>
                <w:szCs w:val="20"/>
                <w:lang w:val="en-AU"/>
              </w:rPr>
              <w:t xml:space="preserve"> 2014</w:t>
            </w:r>
            <w:proofErr w:type="gramStart"/>
            <w:r w:rsidRPr="00865A4D">
              <w:rPr>
                <w:rFonts w:ascii="Arial" w:hAnsi="Arial" w:cs="Arial"/>
                <w:sz w:val="20"/>
                <w:szCs w:val="20"/>
                <w:lang w:val="en-AU"/>
              </w:rPr>
              <w:t>;383</w:t>
            </w:r>
            <w:proofErr w:type="gramEnd"/>
            <w:r w:rsidRPr="00865A4D">
              <w:rPr>
                <w:rFonts w:ascii="Arial" w:hAnsi="Arial" w:cs="Arial"/>
                <w:sz w:val="20"/>
                <w:szCs w:val="20"/>
                <w:lang w:val="en-AU"/>
              </w:rPr>
              <w:t xml:space="preserve">(9920):911-22: </w:t>
            </w:r>
            <w:hyperlink r:id="rId18" w:history="1">
              <w:r w:rsidRPr="00865A4D">
                <w:rPr>
                  <w:rFonts w:ascii="Arial" w:hAnsi="Arial" w:cs="Arial"/>
                  <w:color w:val="0000FF"/>
                  <w:sz w:val="20"/>
                  <w:szCs w:val="20"/>
                  <w:u w:val="single"/>
                  <w:lang w:val="en-AU"/>
                </w:rPr>
                <w:t>http://www.ncbi.nlm.nih.gov/pubmed/23992774</w:t>
              </w:r>
            </w:hyperlink>
            <w:r w:rsidRPr="00865A4D">
              <w:rPr>
                <w:rFonts w:ascii="Arial" w:hAnsi="Arial" w:cs="Arial"/>
                <w:sz w:val="20"/>
                <w:szCs w:val="20"/>
                <w:lang w:val="en-AU"/>
              </w:rPr>
              <w:t>.</w:t>
            </w:r>
          </w:p>
          <w:p w:rsidR="00865A4D" w:rsidRPr="00865A4D" w:rsidRDefault="00865A4D" w:rsidP="00E93845">
            <w:pPr>
              <w:numPr>
                <w:ilvl w:val="0"/>
                <w:numId w:val="7"/>
              </w:numPr>
              <w:contextualSpacing/>
              <w:rPr>
                <w:rFonts w:ascii="Arial" w:hAnsi="Arial" w:cs="Arial"/>
                <w:sz w:val="20"/>
                <w:szCs w:val="20"/>
                <w:lang w:val="en-AU"/>
              </w:rPr>
            </w:pPr>
            <w:r w:rsidRPr="00865A4D">
              <w:rPr>
                <w:rFonts w:ascii="Arial" w:hAnsi="Arial" w:cs="Arial"/>
                <w:sz w:val="20"/>
                <w:szCs w:val="20"/>
                <w:lang w:val="en-AU"/>
              </w:rPr>
              <w:t xml:space="preserve">Flicker L, </w:t>
            </w:r>
            <w:proofErr w:type="spellStart"/>
            <w:r w:rsidRPr="00865A4D">
              <w:rPr>
                <w:rFonts w:ascii="Arial" w:hAnsi="Arial" w:cs="Arial"/>
                <w:sz w:val="20"/>
                <w:szCs w:val="20"/>
                <w:lang w:val="en-AU"/>
              </w:rPr>
              <w:t>Holdsworth</w:t>
            </w:r>
            <w:proofErr w:type="spellEnd"/>
            <w:r w:rsidRPr="00865A4D">
              <w:rPr>
                <w:rFonts w:ascii="Arial" w:hAnsi="Arial" w:cs="Arial"/>
                <w:sz w:val="20"/>
                <w:szCs w:val="20"/>
                <w:lang w:val="en-AU"/>
              </w:rPr>
              <w:t xml:space="preserve"> K. Aboriginal and Torres Strait Islander People and Dementia: A review of the research. </w:t>
            </w:r>
            <w:proofErr w:type="gramStart"/>
            <w:r w:rsidRPr="00865A4D">
              <w:rPr>
                <w:rFonts w:ascii="Arial" w:hAnsi="Arial" w:cs="Arial"/>
                <w:sz w:val="20"/>
                <w:szCs w:val="20"/>
                <w:lang w:val="en-AU"/>
              </w:rPr>
              <w:t>A report for Alzheimer's Australia.</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Alzheimer's Australia Inc.; 2014; 41 (pp 15).</w:t>
            </w:r>
            <w:proofErr w:type="gramEnd"/>
            <w:r w:rsidRPr="00865A4D">
              <w:rPr>
                <w:rFonts w:ascii="Arial" w:hAnsi="Arial" w:cs="Arial"/>
                <w:sz w:val="20"/>
                <w:szCs w:val="20"/>
                <w:lang w:val="en-AU"/>
              </w:rPr>
              <w:t xml:space="preserve"> Accessed May 2015 at: </w:t>
            </w:r>
            <w:hyperlink r:id="rId19" w:history="1">
              <w:r w:rsidRPr="00865A4D">
                <w:rPr>
                  <w:rFonts w:ascii="Arial" w:hAnsi="Arial" w:cs="Arial"/>
                  <w:color w:val="0000FF"/>
                  <w:sz w:val="20"/>
                  <w:szCs w:val="20"/>
                  <w:u w:val="single"/>
                  <w:lang w:val="en-AU"/>
                </w:rPr>
                <w:t>https://fightdementia.org.au/sites/default/files/Alzheimers_Australia_Numbered_Publication_41.pdf</w:t>
              </w:r>
            </w:hyperlink>
          </w:p>
          <w:p w:rsidR="00865A4D" w:rsidRPr="00865A4D" w:rsidRDefault="00865A4D" w:rsidP="00E93845">
            <w:pPr>
              <w:numPr>
                <w:ilvl w:val="0"/>
                <w:numId w:val="7"/>
              </w:numPr>
              <w:contextualSpacing/>
              <w:rPr>
                <w:rFonts w:ascii="Arial" w:hAnsi="Arial" w:cs="Arial"/>
                <w:sz w:val="20"/>
                <w:szCs w:val="20"/>
                <w:lang w:val="en-AU"/>
              </w:rPr>
            </w:pPr>
            <w:proofErr w:type="spellStart"/>
            <w:r w:rsidRPr="00865A4D">
              <w:rPr>
                <w:rFonts w:ascii="Arial" w:hAnsi="Arial" w:cs="Arial"/>
                <w:sz w:val="20"/>
                <w:szCs w:val="20"/>
                <w:lang w:val="en-AU"/>
              </w:rPr>
              <w:t>Jitapunkul</w:t>
            </w:r>
            <w:proofErr w:type="spellEnd"/>
            <w:r w:rsidRPr="00865A4D">
              <w:rPr>
                <w:rFonts w:ascii="Arial" w:hAnsi="Arial" w:cs="Arial"/>
                <w:sz w:val="20"/>
                <w:szCs w:val="20"/>
                <w:lang w:val="en-AU"/>
              </w:rPr>
              <w:t xml:space="preserve"> S, </w:t>
            </w:r>
            <w:proofErr w:type="spellStart"/>
            <w:r w:rsidRPr="00865A4D">
              <w:rPr>
                <w:rFonts w:ascii="Arial" w:hAnsi="Arial" w:cs="Arial"/>
                <w:sz w:val="20"/>
                <w:szCs w:val="20"/>
                <w:lang w:val="en-AU"/>
              </w:rPr>
              <w:t>Pillay</w:t>
            </w:r>
            <w:proofErr w:type="spellEnd"/>
            <w:r w:rsidRPr="00865A4D">
              <w:rPr>
                <w:rFonts w:ascii="Arial" w:hAnsi="Arial" w:cs="Arial"/>
                <w:sz w:val="20"/>
                <w:szCs w:val="20"/>
                <w:lang w:val="en-AU"/>
              </w:rPr>
              <w:t xml:space="preserve"> I, </w:t>
            </w:r>
            <w:proofErr w:type="spellStart"/>
            <w:r w:rsidRPr="00865A4D">
              <w:rPr>
                <w:rFonts w:ascii="Arial" w:hAnsi="Arial" w:cs="Arial"/>
                <w:sz w:val="20"/>
                <w:szCs w:val="20"/>
                <w:lang w:val="en-AU"/>
              </w:rPr>
              <w:t>Ebrahim</w:t>
            </w:r>
            <w:proofErr w:type="spellEnd"/>
            <w:r w:rsidRPr="00865A4D">
              <w:rPr>
                <w:rFonts w:ascii="Arial" w:hAnsi="Arial" w:cs="Arial"/>
                <w:sz w:val="20"/>
                <w:szCs w:val="20"/>
                <w:lang w:val="en-AU"/>
              </w:rPr>
              <w:t xml:space="preserve"> S. Delirium in newly admitted elderly patients: a prospective study. </w:t>
            </w:r>
            <w:proofErr w:type="gramStart"/>
            <w:r w:rsidRPr="00865A4D">
              <w:rPr>
                <w:rFonts w:ascii="Arial" w:hAnsi="Arial" w:cs="Arial"/>
                <w:sz w:val="20"/>
                <w:szCs w:val="20"/>
                <w:lang w:val="en-AU"/>
              </w:rPr>
              <w:t>The Quarterly Journal of Medicine.</w:t>
            </w:r>
            <w:proofErr w:type="gramEnd"/>
            <w:r w:rsidRPr="00865A4D">
              <w:rPr>
                <w:rFonts w:ascii="Arial" w:hAnsi="Arial" w:cs="Arial"/>
                <w:sz w:val="20"/>
                <w:szCs w:val="20"/>
                <w:lang w:val="en-AU"/>
              </w:rPr>
              <w:t xml:space="preserve"> 1992</w:t>
            </w:r>
            <w:proofErr w:type="gramStart"/>
            <w:r w:rsidRPr="00865A4D">
              <w:rPr>
                <w:rFonts w:ascii="Arial" w:hAnsi="Arial" w:cs="Arial"/>
                <w:sz w:val="20"/>
                <w:szCs w:val="20"/>
                <w:lang w:val="en-AU"/>
              </w:rPr>
              <w:t>;83</w:t>
            </w:r>
            <w:proofErr w:type="gramEnd"/>
            <w:r w:rsidRPr="00865A4D">
              <w:rPr>
                <w:rFonts w:ascii="Arial" w:hAnsi="Arial" w:cs="Arial"/>
                <w:sz w:val="20"/>
                <w:szCs w:val="20"/>
                <w:lang w:val="en-AU"/>
              </w:rPr>
              <w:t xml:space="preserve">(300):307-14: </w:t>
            </w:r>
            <w:hyperlink r:id="rId20" w:history="1">
              <w:r w:rsidRPr="00865A4D">
                <w:rPr>
                  <w:rFonts w:ascii="Arial" w:hAnsi="Arial" w:cs="Arial"/>
                  <w:color w:val="0000FF"/>
                  <w:sz w:val="20"/>
                  <w:szCs w:val="20"/>
                  <w:u w:val="single"/>
                </w:rPr>
                <w:t>http://www.ncbi.nlm.nih.gov/pubmed/1631262</w:t>
              </w:r>
            </w:hyperlink>
            <w:r w:rsidRPr="00865A4D">
              <w:rPr>
                <w:rFonts w:ascii="Arial" w:hAnsi="Arial" w:cs="Arial"/>
                <w:color w:val="0000FF"/>
                <w:sz w:val="20"/>
                <w:szCs w:val="20"/>
                <w:u w:val="single"/>
              </w:rPr>
              <w:t>.</w:t>
            </w:r>
          </w:p>
          <w:p w:rsidR="00865A4D" w:rsidRPr="00865A4D" w:rsidRDefault="00865A4D" w:rsidP="00E93845">
            <w:pPr>
              <w:numPr>
                <w:ilvl w:val="0"/>
                <w:numId w:val="7"/>
              </w:numPr>
              <w:contextualSpacing/>
              <w:rPr>
                <w:rFonts w:ascii="Arial" w:hAnsi="Arial" w:cs="Arial"/>
                <w:sz w:val="20"/>
                <w:szCs w:val="20"/>
                <w:lang w:val="en-AU"/>
              </w:rPr>
            </w:pPr>
            <w:r w:rsidRPr="00865A4D">
              <w:rPr>
                <w:rFonts w:ascii="Arial" w:hAnsi="Arial" w:cs="Arial"/>
                <w:sz w:val="20"/>
                <w:szCs w:val="20"/>
                <w:lang w:val="en-AU"/>
              </w:rPr>
              <w:t xml:space="preserve">O'Keeffe ST, </w:t>
            </w:r>
            <w:proofErr w:type="spellStart"/>
            <w:r w:rsidRPr="00865A4D">
              <w:rPr>
                <w:rFonts w:ascii="Arial" w:hAnsi="Arial" w:cs="Arial"/>
                <w:sz w:val="20"/>
                <w:szCs w:val="20"/>
                <w:lang w:val="en-AU"/>
              </w:rPr>
              <w:t>Mulkerrin</w:t>
            </w:r>
            <w:proofErr w:type="spellEnd"/>
            <w:r w:rsidRPr="00865A4D">
              <w:rPr>
                <w:rFonts w:ascii="Arial" w:hAnsi="Arial" w:cs="Arial"/>
                <w:sz w:val="20"/>
                <w:szCs w:val="20"/>
                <w:lang w:val="en-AU"/>
              </w:rPr>
              <w:t xml:space="preserve"> EC, </w:t>
            </w:r>
            <w:proofErr w:type="spellStart"/>
            <w:r w:rsidRPr="00865A4D">
              <w:rPr>
                <w:rFonts w:ascii="Arial" w:hAnsi="Arial" w:cs="Arial"/>
                <w:sz w:val="20"/>
                <w:szCs w:val="20"/>
                <w:lang w:val="en-AU"/>
              </w:rPr>
              <w:t>Nayeem</w:t>
            </w:r>
            <w:proofErr w:type="spellEnd"/>
            <w:r w:rsidRPr="00865A4D">
              <w:rPr>
                <w:rFonts w:ascii="Arial" w:hAnsi="Arial" w:cs="Arial"/>
                <w:sz w:val="20"/>
                <w:szCs w:val="20"/>
                <w:lang w:val="en-AU"/>
              </w:rPr>
              <w:t xml:space="preserve"> K </w:t>
            </w:r>
            <w:proofErr w:type="gramStart"/>
            <w:r w:rsidRPr="00865A4D">
              <w:rPr>
                <w:rFonts w:ascii="Arial" w:hAnsi="Arial" w:cs="Arial"/>
                <w:sz w:val="20"/>
                <w:szCs w:val="20"/>
                <w:lang w:val="en-AU"/>
              </w:rPr>
              <w:t>et</w:t>
            </w:r>
            <w:proofErr w:type="gramEnd"/>
            <w:r w:rsidRPr="00865A4D">
              <w:rPr>
                <w:rFonts w:ascii="Arial" w:hAnsi="Arial" w:cs="Arial"/>
                <w:sz w:val="20"/>
                <w:szCs w:val="20"/>
                <w:lang w:val="en-AU"/>
              </w:rPr>
              <w:t xml:space="preserve"> </w:t>
            </w:r>
            <w:proofErr w:type="spellStart"/>
            <w:r w:rsidRPr="00865A4D">
              <w:rPr>
                <w:rFonts w:ascii="Arial" w:hAnsi="Arial" w:cs="Arial"/>
                <w:sz w:val="20"/>
                <w:szCs w:val="20"/>
                <w:lang w:val="en-AU"/>
              </w:rPr>
              <w:t>aI</w:t>
            </w:r>
            <w:proofErr w:type="spellEnd"/>
            <w:r w:rsidRPr="00865A4D">
              <w:rPr>
                <w:rFonts w:ascii="Arial" w:hAnsi="Arial" w:cs="Arial"/>
                <w:sz w:val="20"/>
                <w:szCs w:val="20"/>
                <w:lang w:val="en-AU"/>
              </w:rPr>
              <w:t xml:space="preserve">. </w:t>
            </w:r>
            <w:proofErr w:type="gramStart"/>
            <w:r w:rsidRPr="00865A4D">
              <w:rPr>
                <w:rFonts w:ascii="Arial" w:hAnsi="Arial" w:cs="Arial"/>
                <w:sz w:val="20"/>
                <w:szCs w:val="20"/>
                <w:lang w:val="en-AU"/>
              </w:rPr>
              <w:t>Use of serial Mini-Mental State Examinations to diagnose and monitor delirium in elderly hospital patients.</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Journal of the American Geriatrics Society.</w:t>
            </w:r>
            <w:proofErr w:type="gramEnd"/>
            <w:r w:rsidRPr="00865A4D">
              <w:rPr>
                <w:rFonts w:ascii="Arial" w:hAnsi="Arial" w:cs="Arial"/>
                <w:sz w:val="20"/>
                <w:szCs w:val="20"/>
                <w:lang w:val="en-AU"/>
              </w:rPr>
              <w:t xml:space="preserve"> 2005</w:t>
            </w:r>
            <w:proofErr w:type="gramStart"/>
            <w:r w:rsidRPr="00865A4D">
              <w:rPr>
                <w:rFonts w:ascii="Arial" w:hAnsi="Arial" w:cs="Arial"/>
                <w:sz w:val="20"/>
                <w:szCs w:val="20"/>
                <w:lang w:val="en-AU"/>
              </w:rPr>
              <w:t>;53</w:t>
            </w:r>
            <w:proofErr w:type="gramEnd"/>
            <w:r w:rsidRPr="00865A4D">
              <w:rPr>
                <w:rFonts w:ascii="Arial" w:hAnsi="Arial" w:cs="Arial"/>
                <w:sz w:val="20"/>
                <w:szCs w:val="20"/>
                <w:lang w:val="en-AU"/>
              </w:rPr>
              <w:t>(5):867-70:</w:t>
            </w:r>
            <w:hyperlink r:id="rId21" w:history="1">
              <w:r w:rsidRPr="00865A4D">
                <w:rPr>
                  <w:rFonts w:ascii="Arial" w:hAnsi="Arial" w:cs="Arial"/>
                  <w:color w:val="0000FF"/>
                  <w:sz w:val="20"/>
                  <w:szCs w:val="20"/>
                  <w:u w:val="single"/>
                  <w:lang w:val="en-AU"/>
                </w:rPr>
                <w:t>http://www.ncbi.nlm.nih.gov/pubmed/15877566</w:t>
              </w:r>
            </w:hyperlink>
            <w:r w:rsidRPr="00865A4D">
              <w:rPr>
                <w:rFonts w:ascii="Arial" w:hAnsi="Arial" w:cs="Arial"/>
                <w:sz w:val="20"/>
                <w:szCs w:val="20"/>
                <w:lang w:val="en-AU"/>
              </w:rPr>
              <w:t>.</w:t>
            </w:r>
          </w:p>
          <w:p w:rsidR="00865A4D" w:rsidRPr="00865A4D" w:rsidRDefault="00865A4D" w:rsidP="00E93845">
            <w:pPr>
              <w:numPr>
                <w:ilvl w:val="0"/>
                <w:numId w:val="7"/>
              </w:numPr>
              <w:autoSpaceDE w:val="0"/>
              <w:autoSpaceDN w:val="0"/>
              <w:adjustRightInd w:val="0"/>
              <w:contextualSpacing/>
              <w:rPr>
                <w:rFonts w:ascii="Arial" w:hAnsi="Arial" w:cs="Arial"/>
                <w:sz w:val="20"/>
                <w:szCs w:val="20"/>
                <w:lang w:val="en-AU" w:eastAsia="en-AU"/>
              </w:rPr>
            </w:pPr>
            <w:r w:rsidRPr="00865A4D">
              <w:rPr>
                <w:rFonts w:ascii="Arial" w:hAnsi="Arial" w:cs="Arial"/>
                <w:sz w:val="20"/>
                <w:szCs w:val="20"/>
                <w:lang w:val="en-AU" w:eastAsia="en-AU"/>
              </w:rPr>
              <w:t xml:space="preserve">Hodkinson HM. Evaluation of a mental test </w:t>
            </w:r>
            <w:proofErr w:type="gramStart"/>
            <w:r w:rsidRPr="00865A4D">
              <w:rPr>
                <w:rFonts w:ascii="Arial" w:hAnsi="Arial" w:cs="Arial"/>
                <w:sz w:val="20"/>
                <w:szCs w:val="20"/>
                <w:lang w:val="en-AU" w:eastAsia="en-AU"/>
              </w:rPr>
              <w:t>score</w:t>
            </w:r>
            <w:proofErr w:type="gramEnd"/>
            <w:r w:rsidRPr="00865A4D">
              <w:rPr>
                <w:rFonts w:ascii="Arial" w:hAnsi="Arial" w:cs="Arial"/>
                <w:sz w:val="20"/>
                <w:szCs w:val="20"/>
                <w:lang w:val="en-AU" w:eastAsia="en-AU"/>
              </w:rPr>
              <w:t xml:space="preserve"> for assessment of mental impairment in the elderly. Age and Ageing. 1972</w:t>
            </w:r>
            <w:proofErr w:type="gramStart"/>
            <w:r w:rsidRPr="00865A4D">
              <w:rPr>
                <w:rFonts w:ascii="Arial" w:hAnsi="Arial" w:cs="Arial"/>
                <w:sz w:val="20"/>
                <w:szCs w:val="20"/>
                <w:lang w:val="en-AU" w:eastAsia="en-AU"/>
              </w:rPr>
              <w:t>;1</w:t>
            </w:r>
            <w:proofErr w:type="gramEnd"/>
            <w:r w:rsidRPr="00865A4D">
              <w:rPr>
                <w:rFonts w:ascii="Arial" w:hAnsi="Arial" w:cs="Arial"/>
                <w:sz w:val="20"/>
                <w:szCs w:val="20"/>
                <w:lang w:val="en-AU" w:eastAsia="en-AU"/>
              </w:rPr>
              <w:t xml:space="preserve">(4):233-8: </w:t>
            </w:r>
            <w:hyperlink r:id="rId22" w:history="1">
              <w:r w:rsidRPr="00865A4D">
                <w:rPr>
                  <w:rFonts w:ascii="Arial" w:hAnsi="Arial" w:cs="Arial"/>
                  <w:color w:val="0000FF"/>
                  <w:sz w:val="20"/>
                  <w:szCs w:val="20"/>
                  <w:u w:val="single"/>
                  <w:lang w:val="en-AU" w:eastAsia="en-AU"/>
                </w:rPr>
                <w:t>http://www.ncbi.nlm.nih.gov/pubmed/4669880</w:t>
              </w:r>
            </w:hyperlink>
            <w:r w:rsidRPr="00865A4D">
              <w:rPr>
                <w:rFonts w:ascii="Arial" w:hAnsi="Arial" w:cs="Arial"/>
                <w:sz w:val="20"/>
                <w:szCs w:val="20"/>
                <w:lang w:val="en-AU" w:eastAsia="en-AU"/>
              </w:rPr>
              <w:t>.</w:t>
            </w:r>
          </w:p>
          <w:p w:rsidR="00865A4D" w:rsidRPr="00865A4D" w:rsidRDefault="00865A4D" w:rsidP="00E93845">
            <w:pPr>
              <w:numPr>
                <w:ilvl w:val="0"/>
                <w:numId w:val="7"/>
              </w:numPr>
              <w:autoSpaceDE w:val="0"/>
              <w:autoSpaceDN w:val="0"/>
              <w:adjustRightInd w:val="0"/>
              <w:contextualSpacing/>
              <w:rPr>
                <w:rFonts w:ascii="Arial" w:hAnsi="Arial" w:cs="Arial"/>
                <w:sz w:val="20"/>
                <w:szCs w:val="20"/>
                <w:lang w:val="en-AU" w:eastAsia="en-AU"/>
              </w:rPr>
            </w:pPr>
            <w:r w:rsidRPr="00865A4D">
              <w:rPr>
                <w:rFonts w:ascii="Arial" w:hAnsi="Arial" w:cs="Arial"/>
                <w:sz w:val="20"/>
                <w:szCs w:val="20"/>
                <w:lang w:val="en-AU" w:eastAsia="en-AU"/>
              </w:rPr>
              <w:t xml:space="preserve">Molloy DW, Standish TI. </w:t>
            </w:r>
            <w:proofErr w:type="gramStart"/>
            <w:r w:rsidRPr="00865A4D">
              <w:rPr>
                <w:rFonts w:ascii="Arial" w:hAnsi="Arial" w:cs="Arial"/>
                <w:sz w:val="20"/>
                <w:szCs w:val="20"/>
                <w:lang w:val="en-AU" w:eastAsia="en-AU"/>
              </w:rPr>
              <w:t>A guide to the standardized Mini-Mental State Examination.</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 xml:space="preserve">International </w:t>
            </w:r>
            <w:proofErr w:type="spellStart"/>
            <w:r w:rsidRPr="00865A4D">
              <w:rPr>
                <w:rFonts w:ascii="Arial" w:hAnsi="Arial" w:cs="Arial"/>
                <w:sz w:val="20"/>
                <w:szCs w:val="20"/>
                <w:lang w:val="en-AU" w:eastAsia="en-AU"/>
              </w:rPr>
              <w:t>psychogeriatrics</w:t>
            </w:r>
            <w:proofErr w:type="spellEnd"/>
            <w:r w:rsidRPr="00865A4D">
              <w:rPr>
                <w:rFonts w:ascii="Arial" w:hAnsi="Arial" w:cs="Arial"/>
                <w:sz w:val="20"/>
                <w:szCs w:val="20"/>
                <w:lang w:val="en-AU" w:eastAsia="en-AU"/>
              </w:rPr>
              <w:t xml:space="preserve"> / IPA.</w:t>
            </w:r>
            <w:proofErr w:type="gramEnd"/>
            <w:r w:rsidRPr="00865A4D">
              <w:rPr>
                <w:rFonts w:ascii="Arial" w:hAnsi="Arial" w:cs="Arial"/>
                <w:sz w:val="20"/>
                <w:szCs w:val="20"/>
                <w:lang w:val="en-AU" w:eastAsia="en-AU"/>
              </w:rPr>
              <w:t xml:space="preserve"> 1997</w:t>
            </w:r>
            <w:proofErr w:type="gramStart"/>
            <w:r w:rsidRPr="00865A4D">
              <w:rPr>
                <w:rFonts w:ascii="Arial" w:hAnsi="Arial" w:cs="Arial"/>
                <w:sz w:val="20"/>
                <w:szCs w:val="20"/>
                <w:lang w:val="en-AU" w:eastAsia="en-AU"/>
              </w:rPr>
              <w:t>;9</w:t>
            </w:r>
            <w:proofErr w:type="gramEnd"/>
            <w:r w:rsidRPr="00865A4D">
              <w:rPr>
                <w:rFonts w:ascii="Arial" w:hAnsi="Arial" w:cs="Arial"/>
                <w:sz w:val="20"/>
                <w:szCs w:val="20"/>
                <w:lang w:val="en-AU" w:eastAsia="en-AU"/>
              </w:rPr>
              <w:t xml:space="preserve"> </w:t>
            </w:r>
            <w:proofErr w:type="spellStart"/>
            <w:r w:rsidRPr="00865A4D">
              <w:rPr>
                <w:rFonts w:ascii="Arial" w:hAnsi="Arial" w:cs="Arial"/>
                <w:sz w:val="20"/>
                <w:szCs w:val="20"/>
                <w:lang w:val="en-AU" w:eastAsia="en-AU"/>
              </w:rPr>
              <w:t>Suppl</w:t>
            </w:r>
            <w:proofErr w:type="spellEnd"/>
            <w:r w:rsidRPr="00865A4D">
              <w:rPr>
                <w:rFonts w:ascii="Arial" w:hAnsi="Arial" w:cs="Arial"/>
                <w:sz w:val="20"/>
                <w:szCs w:val="20"/>
                <w:lang w:val="en-AU" w:eastAsia="en-AU"/>
              </w:rPr>
              <w:t xml:space="preserve"> 1:87-94; discussion 143-50:</w:t>
            </w:r>
            <w:r w:rsidRPr="00865A4D">
              <w:rPr>
                <w:lang w:val="en-AU"/>
              </w:rPr>
              <w:t xml:space="preserve"> </w:t>
            </w:r>
            <w:hyperlink r:id="rId23" w:history="1">
              <w:r w:rsidRPr="00865A4D">
                <w:rPr>
                  <w:rFonts w:ascii="Arial" w:hAnsi="Arial" w:cs="Arial"/>
                  <w:color w:val="0000FF"/>
                  <w:sz w:val="20"/>
                  <w:szCs w:val="20"/>
                  <w:u w:val="single"/>
                  <w:lang w:val="en-AU" w:eastAsia="en-AU"/>
                </w:rPr>
                <w:t>http://www.ncbi.nlm.nih.gov/pubmed/9447431</w:t>
              </w:r>
            </w:hyperlink>
            <w:r w:rsidRPr="00865A4D">
              <w:rPr>
                <w:rFonts w:ascii="Arial" w:hAnsi="Arial" w:cs="Arial"/>
                <w:sz w:val="20"/>
                <w:szCs w:val="20"/>
                <w:lang w:val="en-AU" w:eastAsia="en-AU"/>
              </w:rPr>
              <w:t>.</w:t>
            </w:r>
          </w:p>
          <w:p w:rsidR="00865A4D" w:rsidRPr="00865A4D" w:rsidRDefault="00865A4D" w:rsidP="00E93845">
            <w:pPr>
              <w:numPr>
                <w:ilvl w:val="0"/>
                <w:numId w:val="7"/>
              </w:numPr>
              <w:autoSpaceDE w:val="0"/>
              <w:autoSpaceDN w:val="0"/>
              <w:adjustRightInd w:val="0"/>
              <w:contextualSpacing/>
              <w:rPr>
                <w:rFonts w:ascii="Arial" w:hAnsi="Arial" w:cs="Arial"/>
                <w:sz w:val="20"/>
                <w:szCs w:val="20"/>
                <w:lang w:val="en-AU" w:eastAsia="en-AU"/>
              </w:rPr>
            </w:pPr>
            <w:proofErr w:type="spellStart"/>
            <w:r w:rsidRPr="00865A4D">
              <w:rPr>
                <w:rFonts w:ascii="Arial" w:hAnsi="Arial" w:cs="Arial"/>
                <w:sz w:val="20"/>
                <w:szCs w:val="20"/>
                <w:lang w:val="en-AU" w:eastAsia="en-AU"/>
              </w:rPr>
              <w:t>Bellelli</w:t>
            </w:r>
            <w:proofErr w:type="spellEnd"/>
            <w:r w:rsidRPr="00865A4D">
              <w:rPr>
                <w:rFonts w:ascii="Arial" w:hAnsi="Arial" w:cs="Arial"/>
                <w:sz w:val="20"/>
                <w:szCs w:val="20"/>
                <w:lang w:val="en-AU" w:eastAsia="en-AU"/>
              </w:rPr>
              <w:t xml:space="preserve"> G, </w:t>
            </w:r>
            <w:proofErr w:type="spellStart"/>
            <w:r w:rsidRPr="00865A4D">
              <w:rPr>
                <w:rFonts w:ascii="Arial" w:hAnsi="Arial" w:cs="Arial"/>
                <w:sz w:val="20"/>
                <w:szCs w:val="20"/>
                <w:lang w:val="en-AU" w:eastAsia="en-AU"/>
              </w:rPr>
              <w:t>Morandi</w:t>
            </w:r>
            <w:proofErr w:type="spellEnd"/>
            <w:r w:rsidRPr="00865A4D">
              <w:rPr>
                <w:rFonts w:ascii="Arial" w:hAnsi="Arial" w:cs="Arial"/>
                <w:sz w:val="20"/>
                <w:szCs w:val="20"/>
                <w:lang w:val="en-AU" w:eastAsia="en-AU"/>
              </w:rPr>
              <w:t xml:space="preserve"> A, </w:t>
            </w:r>
            <w:proofErr w:type="gramStart"/>
            <w:r w:rsidRPr="00865A4D">
              <w:rPr>
                <w:rFonts w:ascii="Arial" w:hAnsi="Arial" w:cs="Arial"/>
                <w:sz w:val="20"/>
                <w:szCs w:val="20"/>
                <w:lang w:val="en-AU" w:eastAsia="en-AU"/>
              </w:rPr>
              <w:t>Davis</w:t>
            </w:r>
            <w:proofErr w:type="gramEnd"/>
            <w:r w:rsidRPr="00865A4D">
              <w:rPr>
                <w:rFonts w:ascii="Arial" w:hAnsi="Arial" w:cs="Arial"/>
                <w:sz w:val="20"/>
                <w:szCs w:val="20"/>
                <w:lang w:val="en-AU" w:eastAsia="en-AU"/>
              </w:rPr>
              <w:t xml:space="preserve"> DH et al. </w:t>
            </w:r>
            <w:proofErr w:type="spellStart"/>
            <w:r w:rsidRPr="00865A4D">
              <w:rPr>
                <w:rFonts w:ascii="Arial" w:hAnsi="Arial" w:cs="Arial"/>
                <w:sz w:val="20"/>
                <w:szCs w:val="20"/>
                <w:lang w:val="en-AU" w:eastAsia="en-AU"/>
              </w:rPr>
              <w:t>Validaion</w:t>
            </w:r>
            <w:proofErr w:type="spellEnd"/>
            <w:r w:rsidRPr="00865A4D">
              <w:rPr>
                <w:rFonts w:ascii="Arial" w:hAnsi="Arial" w:cs="Arial"/>
                <w:sz w:val="20"/>
                <w:szCs w:val="20"/>
                <w:lang w:val="en-AU" w:eastAsia="en-AU"/>
              </w:rPr>
              <w:t xml:space="preserve"> of the 4AT, a new instrument for rapid delirium screening: a study in 234 hospitalised older people. Age and Ageing. 2014</w:t>
            </w:r>
            <w:proofErr w:type="gramStart"/>
            <w:r w:rsidRPr="00865A4D">
              <w:rPr>
                <w:rFonts w:ascii="Arial" w:hAnsi="Arial" w:cs="Arial"/>
                <w:sz w:val="20"/>
                <w:szCs w:val="20"/>
                <w:lang w:val="en-AU" w:eastAsia="en-AU"/>
              </w:rPr>
              <w:t>;43</w:t>
            </w:r>
            <w:proofErr w:type="gramEnd"/>
            <w:r w:rsidRPr="00865A4D">
              <w:rPr>
                <w:rFonts w:ascii="Arial" w:hAnsi="Arial" w:cs="Arial"/>
                <w:sz w:val="20"/>
                <w:szCs w:val="20"/>
                <w:lang w:val="en-AU" w:eastAsia="en-AU"/>
              </w:rPr>
              <w:t xml:space="preserve">(4):496-502: </w:t>
            </w:r>
            <w:hyperlink r:id="rId24" w:history="1">
              <w:r w:rsidRPr="00865A4D">
                <w:rPr>
                  <w:rFonts w:ascii="Arial" w:hAnsi="Arial" w:cs="Arial"/>
                  <w:color w:val="0000FF"/>
                  <w:sz w:val="20"/>
                  <w:szCs w:val="20"/>
                  <w:u w:val="single"/>
                  <w:lang w:val="en-AU" w:eastAsia="en-AU"/>
                </w:rPr>
                <w:t>http://www.ncbi.nlm.nih.gov/pubmed/24590568</w:t>
              </w:r>
            </w:hyperlink>
            <w:r w:rsidRPr="00865A4D">
              <w:rPr>
                <w:rFonts w:ascii="Arial" w:hAnsi="Arial" w:cs="Arial"/>
                <w:sz w:val="20"/>
                <w:szCs w:val="20"/>
                <w:lang w:val="en-AU" w:eastAsia="en-AU"/>
              </w:rPr>
              <w:t>.</w:t>
            </w:r>
          </w:p>
          <w:p w:rsidR="00865A4D" w:rsidRDefault="00865A4D" w:rsidP="00E93845">
            <w:pPr>
              <w:numPr>
                <w:ilvl w:val="0"/>
                <w:numId w:val="7"/>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Storey JE, Rowland JT, Basic D et al.</w:t>
            </w:r>
            <w:proofErr w:type="gramEnd"/>
            <w:r w:rsidRPr="00865A4D">
              <w:rPr>
                <w:rFonts w:ascii="Arial" w:hAnsi="Arial" w:cs="Arial"/>
                <w:sz w:val="20"/>
                <w:szCs w:val="20"/>
                <w:lang w:val="en-AU" w:eastAsia="en-AU"/>
              </w:rPr>
              <w:t xml:space="preserve"> The Rowland Universal Dementia Assessment Scale (RUDAS): a multicultural cognitive assessment scale. </w:t>
            </w:r>
            <w:proofErr w:type="gramStart"/>
            <w:r w:rsidRPr="00865A4D">
              <w:rPr>
                <w:rFonts w:ascii="Arial" w:hAnsi="Arial" w:cs="Arial"/>
                <w:sz w:val="20"/>
                <w:szCs w:val="20"/>
                <w:lang w:val="en-AU" w:eastAsia="en-AU"/>
              </w:rPr>
              <w:t xml:space="preserve">International </w:t>
            </w:r>
            <w:proofErr w:type="spellStart"/>
            <w:r w:rsidRPr="00865A4D">
              <w:rPr>
                <w:rFonts w:ascii="Arial" w:hAnsi="Arial" w:cs="Arial"/>
                <w:sz w:val="20"/>
                <w:szCs w:val="20"/>
                <w:lang w:val="en-AU" w:eastAsia="en-AU"/>
              </w:rPr>
              <w:t>Psychogeriatrics</w:t>
            </w:r>
            <w:proofErr w:type="spellEnd"/>
            <w:r w:rsidRPr="00865A4D">
              <w:rPr>
                <w:rFonts w:ascii="Arial" w:hAnsi="Arial" w:cs="Arial"/>
                <w:sz w:val="20"/>
                <w:szCs w:val="20"/>
                <w:lang w:val="en-AU" w:eastAsia="en-AU"/>
              </w:rPr>
              <w:t xml:space="preserve"> / IPA.</w:t>
            </w:r>
            <w:proofErr w:type="gramEnd"/>
            <w:r w:rsidRPr="00865A4D">
              <w:rPr>
                <w:rFonts w:ascii="Arial" w:hAnsi="Arial" w:cs="Arial"/>
                <w:sz w:val="20"/>
                <w:szCs w:val="20"/>
                <w:lang w:val="en-AU" w:eastAsia="en-AU"/>
              </w:rPr>
              <w:t xml:space="preserve"> 2004</w:t>
            </w:r>
            <w:proofErr w:type="gramStart"/>
            <w:r w:rsidRPr="00865A4D">
              <w:rPr>
                <w:rFonts w:ascii="Arial" w:hAnsi="Arial" w:cs="Arial"/>
                <w:sz w:val="20"/>
                <w:szCs w:val="20"/>
                <w:lang w:val="en-AU" w:eastAsia="en-AU"/>
              </w:rPr>
              <w:t>;16</w:t>
            </w:r>
            <w:proofErr w:type="gramEnd"/>
            <w:r w:rsidRPr="00865A4D">
              <w:rPr>
                <w:rFonts w:ascii="Arial" w:hAnsi="Arial" w:cs="Arial"/>
                <w:sz w:val="20"/>
                <w:szCs w:val="20"/>
                <w:lang w:val="en-AU" w:eastAsia="en-AU"/>
              </w:rPr>
              <w:t xml:space="preserve">(1):13-31: </w:t>
            </w:r>
            <w:hyperlink r:id="rId25" w:history="1">
              <w:r w:rsidRPr="00865A4D">
                <w:rPr>
                  <w:rFonts w:ascii="Arial" w:hAnsi="Arial" w:cs="Arial"/>
                  <w:color w:val="0000FF"/>
                  <w:sz w:val="20"/>
                  <w:szCs w:val="20"/>
                  <w:u w:val="single"/>
                  <w:lang w:val="en-AU" w:eastAsia="en-AU"/>
                </w:rPr>
                <w:t>http://www.ncbi.nlm.nih.gov/pubmed/15190994</w:t>
              </w:r>
            </w:hyperlink>
            <w:r w:rsidRPr="00865A4D">
              <w:rPr>
                <w:rFonts w:ascii="Arial" w:hAnsi="Arial" w:cs="Arial"/>
                <w:sz w:val="20"/>
                <w:szCs w:val="20"/>
                <w:lang w:val="en-AU" w:eastAsia="en-AU"/>
              </w:rPr>
              <w:t>.</w:t>
            </w:r>
          </w:p>
          <w:p w:rsidR="00F42A83" w:rsidRPr="00865A4D" w:rsidRDefault="00E93845" w:rsidP="00E93845">
            <w:pPr>
              <w:numPr>
                <w:ilvl w:val="0"/>
                <w:numId w:val="7"/>
              </w:numPr>
              <w:autoSpaceDE w:val="0"/>
              <w:autoSpaceDN w:val="0"/>
              <w:adjustRightInd w:val="0"/>
              <w:contextualSpacing/>
              <w:rPr>
                <w:rFonts w:ascii="Arial" w:hAnsi="Arial" w:cs="Arial"/>
                <w:sz w:val="20"/>
                <w:szCs w:val="20"/>
                <w:lang w:val="en-AU" w:eastAsia="en-AU"/>
              </w:rPr>
            </w:pPr>
            <w:proofErr w:type="gramStart"/>
            <w:r w:rsidRPr="00E93845">
              <w:rPr>
                <w:rFonts w:ascii="Arial" w:hAnsi="Arial" w:cs="Arial"/>
                <w:sz w:val="20"/>
                <w:szCs w:val="20"/>
                <w:lang w:val="en-AU" w:eastAsia="en-AU"/>
              </w:rPr>
              <w:t xml:space="preserve">LoGiudice D, Smith K, Thomas J, </w:t>
            </w:r>
            <w:proofErr w:type="spellStart"/>
            <w:r w:rsidRPr="00E93845">
              <w:rPr>
                <w:rFonts w:ascii="Arial" w:hAnsi="Arial" w:cs="Arial"/>
                <w:sz w:val="20"/>
                <w:szCs w:val="20"/>
                <w:lang w:val="en-AU" w:eastAsia="en-AU"/>
              </w:rPr>
              <w:t>Lautenschlager</w:t>
            </w:r>
            <w:proofErr w:type="spellEnd"/>
            <w:r w:rsidRPr="00E93845">
              <w:rPr>
                <w:rFonts w:ascii="Arial" w:hAnsi="Arial" w:cs="Arial"/>
                <w:sz w:val="20"/>
                <w:szCs w:val="20"/>
                <w:lang w:val="en-AU" w:eastAsia="en-AU"/>
              </w:rPr>
              <w:t xml:space="preserve"> NT, Almeida OP, Atkinson D, et al. Kimberley Indigenous Cognitive Assessment tool (KICA): development of a cognitive assessment tool for older indigenous Australians.</w:t>
            </w:r>
            <w:proofErr w:type="gramEnd"/>
            <w:r w:rsidRPr="00E93845">
              <w:rPr>
                <w:rFonts w:ascii="Arial" w:hAnsi="Arial" w:cs="Arial"/>
                <w:sz w:val="20"/>
                <w:szCs w:val="20"/>
                <w:lang w:val="en-AU" w:eastAsia="en-AU"/>
              </w:rPr>
              <w:t xml:space="preserve"> </w:t>
            </w:r>
            <w:proofErr w:type="spellStart"/>
            <w:r w:rsidRPr="00E93845">
              <w:rPr>
                <w:rFonts w:ascii="Arial" w:hAnsi="Arial" w:cs="Arial"/>
                <w:sz w:val="20"/>
                <w:szCs w:val="20"/>
                <w:lang w:val="en-AU" w:eastAsia="en-AU"/>
              </w:rPr>
              <w:t>Int</w:t>
            </w:r>
            <w:proofErr w:type="spellEnd"/>
            <w:r w:rsidRPr="00E93845">
              <w:rPr>
                <w:rFonts w:ascii="Arial" w:hAnsi="Arial" w:cs="Arial"/>
                <w:sz w:val="20"/>
                <w:szCs w:val="20"/>
                <w:lang w:val="en-AU" w:eastAsia="en-AU"/>
              </w:rPr>
              <w:t xml:space="preserve"> </w:t>
            </w:r>
            <w:proofErr w:type="spellStart"/>
            <w:r w:rsidRPr="00E93845">
              <w:rPr>
                <w:rFonts w:ascii="Arial" w:hAnsi="Arial" w:cs="Arial"/>
                <w:sz w:val="20"/>
                <w:szCs w:val="20"/>
                <w:lang w:val="en-AU" w:eastAsia="en-AU"/>
              </w:rPr>
              <w:t>Psychogeriatr</w:t>
            </w:r>
            <w:proofErr w:type="spellEnd"/>
            <w:r w:rsidRPr="00E93845">
              <w:rPr>
                <w:rFonts w:ascii="Arial" w:hAnsi="Arial" w:cs="Arial"/>
                <w:sz w:val="20"/>
                <w:szCs w:val="20"/>
                <w:lang w:val="en-AU" w:eastAsia="en-AU"/>
              </w:rPr>
              <w:t xml:space="preserve"> 2006</w:t>
            </w:r>
            <w:proofErr w:type="gramStart"/>
            <w:r w:rsidRPr="00E93845">
              <w:rPr>
                <w:rFonts w:ascii="Arial" w:hAnsi="Arial" w:cs="Arial"/>
                <w:sz w:val="20"/>
                <w:szCs w:val="20"/>
                <w:lang w:val="en-AU" w:eastAsia="en-AU"/>
              </w:rPr>
              <w:t>;18</w:t>
            </w:r>
            <w:proofErr w:type="gramEnd"/>
            <w:r w:rsidRPr="00E93845">
              <w:rPr>
                <w:rFonts w:ascii="Arial" w:hAnsi="Arial" w:cs="Arial"/>
                <w:sz w:val="20"/>
                <w:szCs w:val="20"/>
                <w:lang w:val="en-AU" w:eastAsia="en-AU"/>
              </w:rPr>
              <w:t xml:space="preserve">(2):269- 80. </w:t>
            </w:r>
            <w:proofErr w:type="spellStart"/>
            <w:proofErr w:type="gramStart"/>
            <w:r w:rsidRPr="00E93845">
              <w:rPr>
                <w:rFonts w:ascii="Arial" w:hAnsi="Arial" w:cs="Arial"/>
                <w:sz w:val="20"/>
                <w:szCs w:val="20"/>
                <w:lang w:val="en-AU" w:eastAsia="en-AU"/>
              </w:rPr>
              <w:t>Epub</w:t>
            </w:r>
            <w:proofErr w:type="spellEnd"/>
            <w:r w:rsidRPr="00E93845">
              <w:rPr>
                <w:rFonts w:ascii="Arial" w:hAnsi="Arial" w:cs="Arial"/>
                <w:sz w:val="20"/>
                <w:szCs w:val="20"/>
                <w:lang w:val="en-AU" w:eastAsia="en-AU"/>
              </w:rPr>
              <w:t xml:space="preserve"> 2006/01/13.</w:t>
            </w:r>
            <w:proofErr w:type="gramEnd"/>
          </w:p>
        </w:tc>
      </w:tr>
    </w:tbl>
    <w:p w:rsidR="00865A4D" w:rsidRPr="00865A4D" w:rsidRDefault="00865A4D" w:rsidP="00865A4D">
      <w:pPr>
        <w:spacing w:after="160" w:line="259" w:lineRule="auto"/>
        <w:sectPr w:rsidR="00865A4D" w:rsidRPr="00865A4D" w:rsidSect="00C768B6">
          <w:pgSz w:w="16838" w:h="11906" w:orient="landscape"/>
          <w:pgMar w:top="1440" w:right="1440" w:bottom="1440" w:left="1440" w:header="708" w:footer="708" w:gutter="0"/>
          <w:cols w:space="708"/>
          <w:docGrid w:linePitch="360"/>
        </w:sectPr>
      </w:pPr>
    </w:p>
    <w:tbl>
      <w:tblPr>
        <w:tblpPr w:leftFromText="180" w:rightFromText="180" w:horzAnchor="margin" w:tblpY="-422"/>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0381"/>
      </w:tblGrid>
      <w:tr w:rsidR="00865A4D" w:rsidRPr="00865A4D" w:rsidTr="00CA0311">
        <w:trPr>
          <w:tblHeader/>
        </w:trPr>
        <w:tc>
          <w:tcPr>
            <w:tcW w:w="3227" w:type="dxa"/>
            <w:tcBorders>
              <w:top w:val="single" w:sz="4" w:space="0" w:color="auto"/>
              <w:left w:val="single" w:sz="4" w:space="0" w:color="auto"/>
              <w:bottom w:val="single" w:sz="4" w:space="0" w:color="auto"/>
              <w:right w:val="single" w:sz="4" w:space="0" w:color="auto"/>
            </w:tcBorders>
            <w:shd w:val="clear" w:color="auto" w:fill="00988E"/>
          </w:tcPr>
          <w:p w:rsidR="00865A4D" w:rsidRPr="00865A4D" w:rsidRDefault="00865A4D" w:rsidP="00865A4D">
            <w:pPr>
              <w:rPr>
                <w:rFonts w:ascii="Arial" w:hAnsi="Arial" w:cs="Arial"/>
                <w:color w:val="FFFFFF"/>
                <w:sz w:val="32"/>
                <w:szCs w:val="32"/>
              </w:rPr>
            </w:pPr>
            <w:r w:rsidRPr="00865A4D">
              <w:rPr>
                <w:rFonts w:ascii="Arial" w:hAnsi="Arial" w:cs="Arial"/>
                <w:b/>
                <w:bCs/>
                <w:color w:val="FFFFFF"/>
                <w:sz w:val="32"/>
                <w:szCs w:val="32"/>
              </w:rPr>
              <w:lastRenderedPageBreak/>
              <w:t>Quality Statement 2</w:t>
            </w:r>
          </w:p>
        </w:tc>
        <w:tc>
          <w:tcPr>
            <w:tcW w:w="10381" w:type="dxa"/>
            <w:tcBorders>
              <w:top w:val="single" w:sz="4" w:space="0" w:color="auto"/>
              <w:left w:val="single" w:sz="4" w:space="0" w:color="auto"/>
              <w:bottom w:val="single" w:sz="4" w:space="0" w:color="auto"/>
              <w:right w:val="single" w:sz="4" w:space="0" w:color="auto"/>
            </w:tcBorders>
          </w:tcPr>
          <w:p w:rsidR="00865A4D" w:rsidRPr="00865A4D" w:rsidRDefault="00A01682" w:rsidP="00865A4D">
            <w:pPr>
              <w:rPr>
                <w:rFonts w:ascii="Arial" w:hAnsi="Arial" w:cs="Arial"/>
                <w:b/>
                <w:sz w:val="22"/>
                <w:szCs w:val="22"/>
              </w:rPr>
            </w:pPr>
            <w:r w:rsidRPr="00A01682">
              <w:rPr>
                <w:rFonts w:ascii="Arial" w:hAnsi="Arial" w:cs="Arial"/>
                <w:b/>
                <w:sz w:val="22"/>
                <w:szCs w:val="22"/>
                <w:lang w:val="en-AU"/>
              </w:rPr>
              <w:t xml:space="preserve">A patient with cognitive impairment on presentation to hospital, or who has an acute change in behaviour or cognitive function during a hospital stay, </w:t>
            </w:r>
            <w:proofErr w:type="gramStart"/>
            <w:r w:rsidRPr="00A01682">
              <w:rPr>
                <w:rFonts w:ascii="Arial" w:hAnsi="Arial" w:cs="Arial"/>
                <w:b/>
                <w:sz w:val="22"/>
                <w:szCs w:val="22"/>
                <w:lang w:val="en-AU"/>
              </w:rPr>
              <w:t>is promptly assessed</w:t>
            </w:r>
            <w:proofErr w:type="gramEnd"/>
            <w:r w:rsidRPr="00A01682">
              <w:rPr>
                <w:rFonts w:ascii="Arial" w:hAnsi="Arial" w:cs="Arial"/>
                <w:b/>
                <w:sz w:val="22"/>
                <w:szCs w:val="22"/>
                <w:lang w:val="en-AU"/>
              </w:rPr>
              <w:t xml:space="preserve"> for delirium by a clinician trained and competent in delirium diagnosis and in the use of a validated diagnostic tool. The patient and their carer </w:t>
            </w:r>
            <w:proofErr w:type="gramStart"/>
            <w:r w:rsidRPr="00A01682">
              <w:rPr>
                <w:rFonts w:ascii="Arial" w:hAnsi="Arial" w:cs="Arial"/>
                <w:b/>
                <w:sz w:val="22"/>
                <w:szCs w:val="22"/>
                <w:lang w:val="en-AU"/>
              </w:rPr>
              <w:t>are asked</w:t>
            </w:r>
            <w:proofErr w:type="gramEnd"/>
            <w:r w:rsidRPr="00A01682">
              <w:rPr>
                <w:rFonts w:ascii="Arial" w:hAnsi="Arial" w:cs="Arial"/>
                <w:b/>
                <w:sz w:val="22"/>
                <w:szCs w:val="22"/>
                <w:lang w:val="en-AU"/>
              </w:rPr>
              <w:t xml:space="preserve"> about any recent changes in the patient’s behaviour or thinking. The patient’s diagnosis </w:t>
            </w:r>
            <w:proofErr w:type="gramStart"/>
            <w:r w:rsidRPr="00A01682">
              <w:rPr>
                <w:rFonts w:ascii="Arial" w:hAnsi="Arial" w:cs="Arial"/>
                <w:b/>
                <w:sz w:val="22"/>
                <w:szCs w:val="22"/>
                <w:lang w:val="en-AU"/>
              </w:rPr>
              <w:t>is discussed</w:t>
            </w:r>
            <w:proofErr w:type="gramEnd"/>
            <w:r w:rsidRPr="00A01682">
              <w:rPr>
                <w:rFonts w:ascii="Arial" w:hAnsi="Arial" w:cs="Arial"/>
                <w:b/>
                <w:sz w:val="22"/>
                <w:szCs w:val="22"/>
                <w:lang w:val="en-AU"/>
              </w:rPr>
              <w:t xml:space="preserve"> with them and is documented.</w:t>
            </w:r>
          </w:p>
        </w:tc>
      </w:tr>
      <w:tr w:rsidR="00865A4D" w:rsidRPr="00865A4D" w:rsidTr="00CA0311">
        <w:trPr>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rsidR="00865A4D" w:rsidRPr="00865A4D" w:rsidRDefault="00865A4D" w:rsidP="00865A4D">
            <w:pPr>
              <w:rPr>
                <w:rFonts w:ascii="Arial" w:hAnsi="Arial" w:cs="Arial"/>
                <w:b/>
              </w:rPr>
            </w:pPr>
            <w:r w:rsidRPr="00865A4D">
              <w:rPr>
                <w:rFonts w:ascii="Arial" w:hAnsi="Arial" w:cs="Arial"/>
                <w:b/>
              </w:rPr>
              <w:t xml:space="preserve">EVIDENCE SOURCES </w:t>
            </w:r>
          </w:p>
        </w:tc>
      </w:tr>
      <w:tr w:rsidR="00865A4D" w:rsidRPr="00865A4D" w:rsidTr="00CA0311">
        <w:trPr>
          <w:trHeight w:val="90"/>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 xml:space="preserve">Australian Guidelines </w:t>
            </w:r>
          </w:p>
        </w:tc>
      </w:tr>
      <w:tr w:rsidR="00865A4D" w:rsidRPr="00865A4D" w:rsidTr="00CA0311">
        <w:trPr>
          <w:cantSplit/>
          <w:trHeight w:val="90"/>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8"/>
              </w:numPr>
              <w:autoSpaceDE w:val="0"/>
              <w:autoSpaceDN w:val="0"/>
              <w:adjustRightInd w:val="0"/>
              <w:spacing w:after="120"/>
              <w:contextualSpacing/>
              <w:rPr>
                <w:rFonts w:ascii="Arial" w:hAnsi="Arial" w:cs="Arial"/>
                <w:sz w:val="20"/>
                <w:szCs w:val="20"/>
                <w:lang w:val="en-AU"/>
              </w:rPr>
            </w:pPr>
            <w:proofErr w:type="gramStart"/>
            <w:r w:rsidRPr="00865A4D">
              <w:rPr>
                <w:rFonts w:ascii="Arial" w:hAnsi="Arial" w:cs="Arial"/>
                <w:sz w:val="20"/>
                <w:szCs w:val="20"/>
                <w:lang w:val="en-AU" w:eastAsia="en-AU"/>
              </w:rPr>
              <w:t>Clinical Epidemiology and Health Service Evaluation Unit, Melbourne Health, Delirium Clinical Guidelines Expert Working Group.</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Clinical Practice Guidelines for the Management of Delirium in Older People.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2006</w:t>
            </w:r>
            <w:proofErr w:type="gramEnd"/>
            <w:r w:rsidRPr="00865A4D">
              <w:rPr>
                <w:rFonts w:ascii="Arial" w:hAnsi="Arial" w:cs="Arial"/>
                <w:sz w:val="20"/>
                <w:szCs w:val="20"/>
                <w:lang w:val="en-AU" w:eastAsia="en-AU"/>
              </w:rPr>
              <w:t xml:space="preserve"> (pp.36-38). </w:t>
            </w:r>
            <w:proofErr w:type="gramStart"/>
            <w:r w:rsidRPr="00865A4D">
              <w:rPr>
                <w:rFonts w:ascii="Arial" w:hAnsi="Arial" w:cs="Arial"/>
                <w:sz w:val="20"/>
                <w:szCs w:val="20"/>
                <w:lang w:val="en-AU" w:eastAsia="en-AU"/>
              </w:rPr>
              <w:t>Accessed</w:t>
            </w:r>
            <w:r w:rsidRPr="00865A4D">
              <w:rPr>
                <w:rFonts w:ascii="Arial" w:hAnsi="Arial" w:cs="Arial"/>
                <w:sz w:val="20"/>
                <w:szCs w:val="20"/>
                <w:lang w:eastAsia="en-AU"/>
              </w:rPr>
              <w:t xml:space="preserve"> May 2015 at: </w:t>
            </w:r>
            <w:hyperlink r:id="rId26" w:history="1">
              <w:r w:rsidRPr="00865A4D">
                <w:rPr>
                  <w:rFonts w:ascii="Arial" w:hAnsi="Arial" w:cs="Arial"/>
                  <w:color w:val="0000FF"/>
                  <w:sz w:val="20"/>
                  <w:szCs w:val="20"/>
                  <w:u w:val="single"/>
                  <w:lang w:eastAsia="en-AU"/>
                </w:rPr>
                <w:t>http://docs.health.vic.gov.au/docs/doc/Clinical-Practice-Guidelines-for-the-Management-of-Delirium-in-Older-People---October-2006</w:t>
              </w:r>
            </w:hyperlink>
            <w:r w:rsidRPr="00865A4D">
              <w:rPr>
                <w:rFonts w:ascii="Arial" w:hAnsi="Arial" w:cs="Arial"/>
                <w:color w:val="0000FF"/>
                <w:sz w:val="20"/>
                <w:szCs w:val="20"/>
                <w:u w:val="single"/>
                <w:lang w:eastAsia="en-AU"/>
              </w:rPr>
              <w:t>.</w:t>
            </w:r>
            <w:proofErr w:type="gramEnd"/>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autoSpaceDE w:val="0"/>
              <w:autoSpaceDN w:val="0"/>
              <w:adjustRightInd w:val="0"/>
              <w:rPr>
                <w:rFonts w:ascii="Arial" w:hAnsi="Arial" w:cs="Arial"/>
                <w:b/>
                <w:sz w:val="20"/>
                <w:szCs w:val="20"/>
              </w:rPr>
            </w:pPr>
            <w:r w:rsidRPr="00865A4D">
              <w:rPr>
                <w:rFonts w:ascii="Arial" w:hAnsi="Arial" w:cs="Arial"/>
                <w:b/>
                <w:sz w:val="20"/>
                <w:szCs w:val="20"/>
              </w:rPr>
              <w:t>International Guidelines</w:t>
            </w:r>
          </w:p>
        </w:tc>
      </w:tr>
      <w:tr w:rsidR="00865A4D" w:rsidRPr="00865A4D" w:rsidTr="00CA0311">
        <w:trPr>
          <w:cantSplit/>
          <w:trHeight w:val="527"/>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8"/>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National Institute for Health and Clinical Excellence.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diagnosis, prevention and management; Clinical Guideline 103.</w:t>
            </w:r>
            <w:proofErr w:type="gramEnd"/>
            <w:r w:rsidRPr="00865A4D">
              <w:rPr>
                <w:rFonts w:ascii="Arial" w:hAnsi="Arial" w:cs="Arial"/>
                <w:sz w:val="20"/>
                <w:szCs w:val="20"/>
                <w:lang w:val="en-AU" w:eastAsia="en-AU"/>
              </w:rPr>
              <w:t xml:space="preserve"> London: NICE, 2010 (pp 57-58). </w:t>
            </w:r>
            <w:proofErr w:type="gramStart"/>
            <w:r w:rsidRPr="00865A4D">
              <w:rPr>
                <w:rFonts w:ascii="Arial" w:hAnsi="Arial" w:cs="Arial"/>
                <w:sz w:val="20"/>
                <w:szCs w:val="20"/>
                <w:lang w:val="en-AU" w:eastAsia="en-AU"/>
              </w:rPr>
              <w:t>Accessed May 2015 at:</w:t>
            </w:r>
            <w:r w:rsidRPr="00865A4D">
              <w:rPr>
                <w:lang w:val="en-AU"/>
              </w:rPr>
              <w:t xml:space="preserve"> </w:t>
            </w:r>
            <w:hyperlink r:id="rId27" w:history="1">
              <w:r w:rsidRPr="00865A4D">
                <w:rPr>
                  <w:rFonts w:ascii="Arial" w:hAnsi="Arial" w:cs="Arial"/>
                  <w:color w:val="0000FF"/>
                  <w:sz w:val="20"/>
                  <w:szCs w:val="20"/>
                  <w:u w:val="single"/>
                  <w:lang w:val="en-AU" w:eastAsia="en-AU"/>
                </w:rPr>
                <w:t>https://www.nice.org.uk/guidance/cg103</w:t>
              </w:r>
            </w:hyperlink>
            <w:r w:rsidRPr="00865A4D">
              <w:rPr>
                <w:rFonts w:ascii="Arial" w:hAnsi="Arial" w:cs="Arial"/>
                <w:sz w:val="20"/>
                <w:szCs w:val="20"/>
                <w:lang w:val="en-AU" w:eastAsia="en-AU"/>
              </w:rPr>
              <w:t>.</w:t>
            </w:r>
            <w:proofErr w:type="gramEnd"/>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Additional Sources</w:t>
            </w:r>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tcPr>
          <w:p w:rsidR="00865A4D" w:rsidRPr="00865A4D" w:rsidRDefault="00865A4D" w:rsidP="00865A4D">
            <w:pPr>
              <w:numPr>
                <w:ilvl w:val="0"/>
                <w:numId w:val="9"/>
              </w:numPr>
              <w:contextualSpacing/>
              <w:rPr>
                <w:rFonts w:ascii="Arial" w:hAnsi="Arial" w:cs="Arial"/>
                <w:sz w:val="20"/>
                <w:szCs w:val="20"/>
                <w:lang w:val="en-AU"/>
              </w:rPr>
            </w:pPr>
            <w:r w:rsidRPr="00865A4D">
              <w:rPr>
                <w:rFonts w:ascii="Arial" w:hAnsi="Arial" w:cs="Arial"/>
                <w:sz w:val="20"/>
                <w:szCs w:val="20"/>
                <w:lang w:val="en-AU"/>
              </w:rPr>
              <w:t xml:space="preserve">ACI Aged Health Network. </w:t>
            </w:r>
            <w:proofErr w:type="gramStart"/>
            <w:r w:rsidRPr="00865A4D">
              <w:rPr>
                <w:rFonts w:ascii="Arial" w:hAnsi="Arial" w:cs="Arial"/>
                <w:sz w:val="20"/>
                <w:szCs w:val="20"/>
                <w:lang w:val="en-AU"/>
              </w:rPr>
              <w:t>Key principles for care of Confused Hospitalised Older Persons.</w:t>
            </w:r>
            <w:proofErr w:type="gramEnd"/>
            <w:r w:rsidRPr="00865A4D">
              <w:rPr>
                <w:rFonts w:ascii="Arial" w:hAnsi="Arial" w:cs="Arial"/>
                <w:sz w:val="20"/>
                <w:szCs w:val="20"/>
                <w:lang w:val="en-AU"/>
              </w:rPr>
              <w:t xml:space="preserve"> Agency for Clinical Innovation; 2014 (pp. 15). Accessed May 2015 at</w:t>
            </w:r>
            <w:proofErr w:type="gramStart"/>
            <w:r w:rsidRPr="00865A4D">
              <w:rPr>
                <w:rFonts w:ascii="Arial" w:hAnsi="Arial" w:cs="Arial"/>
                <w:sz w:val="20"/>
                <w:szCs w:val="20"/>
                <w:lang w:val="en-AU"/>
              </w:rPr>
              <w:t>:.</w:t>
            </w:r>
            <w:proofErr w:type="gramEnd"/>
            <w:r w:rsidRPr="00865A4D">
              <w:rPr>
                <w:rFonts w:ascii="Arial" w:hAnsi="Arial" w:cs="Arial"/>
                <w:sz w:val="20"/>
                <w:szCs w:val="20"/>
                <w:lang w:val="en-AU"/>
              </w:rPr>
              <w:fldChar w:fldCharType="begin"/>
            </w:r>
            <w:r w:rsidRPr="00865A4D">
              <w:rPr>
                <w:rFonts w:ascii="Arial" w:hAnsi="Arial" w:cs="Arial"/>
                <w:sz w:val="20"/>
                <w:szCs w:val="20"/>
                <w:lang w:val="en-AU"/>
              </w:rPr>
              <w:instrText xml:space="preserve"> HYPERLINK "http://www.aci.health.nsw.gov.au/__data/assets/pdf_file/0006/249171/CHOPS-key-principles_2014.pdf" </w:instrText>
            </w:r>
            <w:r w:rsidRPr="00865A4D">
              <w:rPr>
                <w:rFonts w:ascii="Arial" w:hAnsi="Arial" w:cs="Arial"/>
                <w:sz w:val="20"/>
                <w:szCs w:val="20"/>
                <w:lang w:val="en-AU"/>
              </w:rPr>
              <w:fldChar w:fldCharType="separate"/>
            </w:r>
            <w:r w:rsidRPr="00865A4D">
              <w:rPr>
                <w:rFonts w:ascii="Arial" w:hAnsi="Arial" w:cs="Arial"/>
                <w:color w:val="0000FF"/>
                <w:sz w:val="20"/>
                <w:szCs w:val="20"/>
                <w:u w:val="single"/>
                <w:lang w:val="en-AU"/>
              </w:rPr>
              <w:t>http://www.aci.health.nsw.gov.au/__data/assets/pdf_file/0006/249171/CHOPS-key-principles_2014.pdf</w:t>
            </w:r>
            <w:r w:rsidRPr="00865A4D">
              <w:rPr>
                <w:rFonts w:ascii="Arial" w:hAnsi="Arial" w:cs="Arial"/>
                <w:sz w:val="20"/>
                <w:szCs w:val="20"/>
                <w:lang w:val="en-AU"/>
              </w:rPr>
              <w:fldChar w:fldCharType="end"/>
            </w:r>
          </w:p>
          <w:p w:rsidR="00865A4D" w:rsidRPr="00865A4D" w:rsidRDefault="00865A4D" w:rsidP="00865A4D">
            <w:pPr>
              <w:numPr>
                <w:ilvl w:val="0"/>
                <w:numId w:val="9"/>
              </w:numPr>
              <w:contextualSpacing/>
              <w:rPr>
                <w:rFonts w:ascii="Arial" w:hAnsi="Arial" w:cs="Arial"/>
                <w:sz w:val="20"/>
                <w:szCs w:val="20"/>
                <w:lang w:val="en-AU"/>
              </w:rPr>
            </w:pPr>
            <w:proofErr w:type="gramStart"/>
            <w:r w:rsidRPr="00865A4D">
              <w:rPr>
                <w:rFonts w:ascii="Arial" w:hAnsi="Arial" w:cs="Arial"/>
                <w:sz w:val="20"/>
                <w:szCs w:val="20"/>
                <w:lang w:val="en-AU"/>
              </w:rPr>
              <w:t>Wei LA, Fearing MA, Sternberg EJ, Inouye SK.</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The Confusion Assessment Method: a systematic review of current usage.</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Journal of the American Geriatrics Society.</w:t>
            </w:r>
            <w:proofErr w:type="gramEnd"/>
            <w:r w:rsidRPr="00865A4D">
              <w:rPr>
                <w:rFonts w:ascii="Arial" w:hAnsi="Arial" w:cs="Arial"/>
                <w:sz w:val="20"/>
                <w:szCs w:val="20"/>
                <w:lang w:val="en-AU"/>
              </w:rPr>
              <w:t xml:space="preserve"> 2008</w:t>
            </w:r>
            <w:proofErr w:type="gramStart"/>
            <w:r w:rsidRPr="00865A4D">
              <w:rPr>
                <w:rFonts w:ascii="Arial" w:hAnsi="Arial" w:cs="Arial"/>
                <w:sz w:val="20"/>
                <w:szCs w:val="20"/>
                <w:lang w:val="en-AU"/>
              </w:rPr>
              <w:t>;56</w:t>
            </w:r>
            <w:proofErr w:type="gramEnd"/>
            <w:r w:rsidRPr="00865A4D">
              <w:rPr>
                <w:rFonts w:ascii="Arial" w:hAnsi="Arial" w:cs="Arial"/>
                <w:sz w:val="20"/>
                <w:szCs w:val="20"/>
                <w:lang w:val="en-AU"/>
              </w:rPr>
              <w:t xml:space="preserve">(5):823-30: </w:t>
            </w:r>
            <w:hyperlink r:id="rId28" w:history="1">
              <w:r w:rsidRPr="00865A4D">
                <w:rPr>
                  <w:rFonts w:ascii="Arial" w:hAnsi="Arial" w:cs="Arial"/>
                  <w:color w:val="0000FF"/>
                  <w:sz w:val="20"/>
                  <w:szCs w:val="20"/>
                  <w:u w:val="single"/>
                </w:rPr>
                <w:t>http://www.ncbi.nlm.nih.gov/pubmed/18384586</w:t>
              </w:r>
            </w:hyperlink>
            <w:r w:rsidRPr="00865A4D">
              <w:rPr>
                <w:rFonts w:ascii="Arial" w:hAnsi="Arial" w:cs="Arial"/>
                <w:sz w:val="20"/>
                <w:szCs w:val="20"/>
              </w:rPr>
              <w:t>.</w:t>
            </w:r>
          </w:p>
          <w:p w:rsidR="00865A4D" w:rsidRPr="00865A4D" w:rsidRDefault="00865A4D" w:rsidP="00865A4D">
            <w:pPr>
              <w:numPr>
                <w:ilvl w:val="0"/>
                <w:numId w:val="9"/>
              </w:numPr>
              <w:contextualSpacing/>
              <w:rPr>
                <w:rFonts w:ascii="Arial" w:hAnsi="Arial" w:cs="Arial"/>
                <w:sz w:val="20"/>
                <w:szCs w:val="20"/>
                <w:lang w:val="en-AU"/>
              </w:rPr>
            </w:pPr>
            <w:r w:rsidRPr="00865A4D">
              <w:rPr>
                <w:rFonts w:ascii="Arial" w:hAnsi="Arial" w:cs="Arial"/>
                <w:sz w:val="20"/>
                <w:szCs w:val="20"/>
                <w:lang w:val="en-AU"/>
              </w:rPr>
              <w:t xml:space="preserve">Inouye SK, van </w:t>
            </w:r>
            <w:proofErr w:type="spellStart"/>
            <w:r w:rsidRPr="00865A4D">
              <w:rPr>
                <w:rFonts w:ascii="Arial" w:hAnsi="Arial" w:cs="Arial"/>
                <w:sz w:val="20"/>
                <w:szCs w:val="20"/>
                <w:lang w:val="en-AU"/>
              </w:rPr>
              <w:t>Dyck</w:t>
            </w:r>
            <w:proofErr w:type="spellEnd"/>
            <w:r w:rsidRPr="00865A4D">
              <w:rPr>
                <w:rFonts w:ascii="Arial" w:hAnsi="Arial" w:cs="Arial"/>
                <w:sz w:val="20"/>
                <w:szCs w:val="20"/>
                <w:lang w:val="en-AU"/>
              </w:rPr>
              <w:t xml:space="preserve"> CH, </w:t>
            </w:r>
            <w:proofErr w:type="spellStart"/>
            <w:r w:rsidRPr="00865A4D">
              <w:rPr>
                <w:rFonts w:ascii="Arial" w:hAnsi="Arial" w:cs="Arial"/>
                <w:sz w:val="20"/>
                <w:szCs w:val="20"/>
                <w:lang w:val="en-AU"/>
              </w:rPr>
              <w:t>Alessi</w:t>
            </w:r>
            <w:proofErr w:type="spellEnd"/>
            <w:r w:rsidRPr="00865A4D">
              <w:rPr>
                <w:rFonts w:ascii="Arial" w:hAnsi="Arial" w:cs="Arial"/>
                <w:sz w:val="20"/>
                <w:szCs w:val="20"/>
                <w:lang w:val="en-AU"/>
              </w:rPr>
              <w:t xml:space="preserve"> CA et al. </w:t>
            </w:r>
            <w:proofErr w:type="gramStart"/>
            <w:r w:rsidRPr="00865A4D">
              <w:rPr>
                <w:rFonts w:ascii="Arial" w:hAnsi="Arial" w:cs="Arial"/>
                <w:sz w:val="20"/>
                <w:szCs w:val="20"/>
                <w:lang w:val="en-AU"/>
              </w:rPr>
              <w:t>Clarifying</w:t>
            </w:r>
            <w:proofErr w:type="gramEnd"/>
            <w:r w:rsidRPr="00865A4D">
              <w:rPr>
                <w:rFonts w:ascii="Arial" w:hAnsi="Arial" w:cs="Arial"/>
                <w:sz w:val="20"/>
                <w:szCs w:val="20"/>
                <w:lang w:val="en-AU"/>
              </w:rPr>
              <w:t xml:space="preserve"> confusion: the confusion assessment method. </w:t>
            </w:r>
            <w:proofErr w:type="gramStart"/>
            <w:r w:rsidRPr="00865A4D">
              <w:rPr>
                <w:rFonts w:ascii="Arial" w:hAnsi="Arial" w:cs="Arial"/>
                <w:sz w:val="20"/>
                <w:szCs w:val="20"/>
                <w:lang w:val="en-AU"/>
              </w:rPr>
              <w:t>A new method for detection of delirium.</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Annals of Internal Medicine.</w:t>
            </w:r>
            <w:proofErr w:type="gramEnd"/>
            <w:r w:rsidRPr="00865A4D">
              <w:rPr>
                <w:rFonts w:ascii="Arial" w:hAnsi="Arial" w:cs="Arial"/>
                <w:sz w:val="20"/>
                <w:szCs w:val="20"/>
                <w:lang w:val="en-AU"/>
              </w:rPr>
              <w:t xml:space="preserve"> 1990</w:t>
            </w:r>
            <w:proofErr w:type="gramStart"/>
            <w:r w:rsidRPr="00865A4D">
              <w:rPr>
                <w:rFonts w:ascii="Arial" w:hAnsi="Arial" w:cs="Arial"/>
                <w:sz w:val="20"/>
                <w:szCs w:val="20"/>
                <w:lang w:val="en-AU"/>
              </w:rPr>
              <w:t>;113</w:t>
            </w:r>
            <w:proofErr w:type="gramEnd"/>
            <w:r w:rsidRPr="00865A4D">
              <w:rPr>
                <w:rFonts w:ascii="Arial" w:hAnsi="Arial" w:cs="Arial"/>
                <w:sz w:val="20"/>
                <w:szCs w:val="20"/>
                <w:lang w:val="en-AU"/>
              </w:rPr>
              <w:t xml:space="preserve">(12):941-8: </w:t>
            </w:r>
            <w:hyperlink r:id="rId29" w:history="1">
              <w:r w:rsidRPr="00865A4D">
                <w:rPr>
                  <w:rFonts w:ascii="Arial" w:hAnsi="Arial" w:cs="Arial"/>
                  <w:color w:val="0000FF"/>
                  <w:sz w:val="20"/>
                  <w:szCs w:val="20"/>
                  <w:u w:val="single"/>
                  <w:lang w:val="en-AU"/>
                </w:rPr>
                <w:t>http://www.ncbi.nlm.nih.gov/pubmed/2240918</w:t>
              </w:r>
            </w:hyperlink>
            <w:r w:rsidRPr="00865A4D">
              <w:rPr>
                <w:rFonts w:ascii="Arial" w:hAnsi="Arial" w:cs="Arial"/>
                <w:sz w:val="20"/>
                <w:szCs w:val="20"/>
                <w:lang w:val="en-AU"/>
              </w:rPr>
              <w:t>.</w:t>
            </w:r>
          </w:p>
          <w:p w:rsidR="00865A4D" w:rsidRPr="00865A4D" w:rsidRDefault="00865A4D" w:rsidP="00865A4D">
            <w:pPr>
              <w:numPr>
                <w:ilvl w:val="0"/>
                <w:numId w:val="9"/>
              </w:numPr>
              <w:contextualSpacing/>
              <w:rPr>
                <w:rFonts w:ascii="Arial" w:hAnsi="Arial" w:cs="Arial"/>
                <w:sz w:val="20"/>
                <w:szCs w:val="20"/>
                <w:lang w:val="en-AU"/>
              </w:rPr>
            </w:pPr>
            <w:r w:rsidRPr="00865A4D">
              <w:rPr>
                <w:rFonts w:ascii="Arial" w:hAnsi="Arial" w:cs="Arial"/>
                <w:sz w:val="20"/>
                <w:szCs w:val="20"/>
                <w:lang w:val="en-AU"/>
              </w:rPr>
              <w:t xml:space="preserve">Shi Q, Warren L, </w:t>
            </w:r>
            <w:proofErr w:type="spellStart"/>
            <w:r w:rsidRPr="00865A4D">
              <w:rPr>
                <w:rFonts w:ascii="Arial" w:hAnsi="Arial" w:cs="Arial"/>
                <w:sz w:val="20"/>
                <w:szCs w:val="20"/>
                <w:lang w:val="en-AU"/>
              </w:rPr>
              <w:t>Saposnik</w:t>
            </w:r>
            <w:proofErr w:type="spellEnd"/>
            <w:r w:rsidRPr="00865A4D">
              <w:rPr>
                <w:rFonts w:ascii="Arial" w:hAnsi="Arial" w:cs="Arial"/>
                <w:sz w:val="20"/>
                <w:szCs w:val="20"/>
                <w:lang w:val="en-AU"/>
              </w:rPr>
              <w:t xml:space="preserve"> G, </w:t>
            </w:r>
            <w:proofErr w:type="spellStart"/>
            <w:r w:rsidRPr="00865A4D">
              <w:rPr>
                <w:rFonts w:ascii="Arial" w:hAnsi="Arial" w:cs="Arial"/>
                <w:sz w:val="20"/>
                <w:szCs w:val="20"/>
                <w:lang w:val="en-AU"/>
              </w:rPr>
              <w:t>Macdermid</w:t>
            </w:r>
            <w:proofErr w:type="spellEnd"/>
            <w:r w:rsidRPr="00865A4D">
              <w:rPr>
                <w:rFonts w:ascii="Arial" w:hAnsi="Arial" w:cs="Arial"/>
                <w:sz w:val="20"/>
                <w:szCs w:val="20"/>
                <w:lang w:val="en-AU"/>
              </w:rPr>
              <w:t xml:space="preserve"> JC. </w:t>
            </w:r>
            <w:proofErr w:type="gramStart"/>
            <w:r w:rsidRPr="00865A4D">
              <w:rPr>
                <w:rFonts w:ascii="Arial" w:hAnsi="Arial" w:cs="Arial"/>
                <w:sz w:val="20"/>
                <w:szCs w:val="20"/>
                <w:lang w:val="en-AU"/>
              </w:rPr>
              <w:t>Confusion assessment method: a systematic review and meta-analysis of diagnostic accuracy.</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Neuropsychiatric disease and treatment.</w:t>
            </w:r>
            <w:proofErr w:type="gramEnd"/>
            <w:r w:rsidRPr="00865A4D">
              <w:rPr>
                <w:rFonts w:ascii="Arial" w:hAnsi="Arial" w:cs="Arial"/>
                <w:sz w:val="20"/>
                <w:szCs w:val="20"/>
                <w:lang w:val="en-AU"/>
              </w:rPr>
              <w:t xml:space="preserve"> 2013</w:t>
            </w:r>
            <w:proofErr w:type="gramStart"/>
            <w:r w:rsidRPr="00865A4D">
              <w:rPr>
                <w:rFonts w:ascii="Arial" w:hAnsi="Arial" w:cs="Arial"/>
                <w:sz w:val="20"/>
                <w:szCs w:val="20"/>
                <w:lang w:val="en-AU"/>
              </w:rPr>
              <w:t>;9:1359</w:t>
            </w:r>
            <w:proofErr w:type="gramEnd"/>
            <w:r w:rsidRPr="00865A4D">
              <w:rPr>
                <w:rFonts w:ascii="Arial" w:hAnsi="Arial" w:cs="Arial"/>
                <w:sz w:val="20"/>
                <w:szCs w:val="20"/>
                <w:lang w:val="en-AU"/>
              </w:rPr>
              <w:t xml:space="preserve">-70: </w:t>
            </w:r>
            <w:hyperlink r:id="rId30" w:history="1">
              <w:r w:rsidRPr="00865A4D">
                <w:rPr>
                  <w:rFonts w:ascii="Arial" w:hAnsi="Arial" w:cs="Arial"/>
                  <w:color w:val="0000FF"/>
                  <w:sz w:val="20"/>
                  <w:szCs w:val="20"/>
                  <w:u w:val="single"/>
                  <w:lang w:val="en-AU"/>
                </w:rPr>
                <w:t>http://www.ncbi.nlm.nih.gov/pubmed/24092976</w:t>
              </w:r>
            </w:hyperlink>
            <w:r w:rsidRPr="00865A4D">
              <w:rPr>
                <w:rFonts w:ascii="Arial" w:hAnsi="Arial" w:cs="Arial"/>
                <w:sz w:val="20"/>
                <w:szCs w:val="20"/>
                <w:lang w:val="en-AU"/>
              </w:rPr>
              <w:t>.</w:t>
            </w:r>
          </w:p>
          <w:p w:rsidR="00865A4D" w:rsidRPr="00865A4D" w:rsidRDefault="00865A4D" w:rsidP="00865A4D">
            <w:pPr>
              <w:numPr>
                <w:ilvl w:val="0"/>
                <w:numId w:val="9"/>
              </w:numPr>
              <w:contextualSpacing/>
              <w:rPr>
                <w:rFonts w:ascii="Arial" w:hAnsi="Arial" w:cs="Arial"/>
                <w:sz w:val="20"/>
                <w:szCs w:val="20"/>
                <w:lang w:val="en-AU"/>
              </w:rPr>
            </w:pPr>
            <w:r w:rsidRPr="00865A4D">
              <w:rPr>
                <w:rFonts w:ascii="Arial" w:hAnsi="Arial" w:cs="Arial"/>
                <w:sz w:val="20"/>
                <w:szCs w:val="20"/>
                <w:lang w:val="en-AU"/>
              </w:rPr>
              <w:t xml:space="preserve">Ely EW, </w:t>
            </w:r>
            <w:proofErr w:type="spellStart"/>
            <w:r w:rsidRPr="00865A4D">
              <w:rPr>
                <w:rFonts w:ascii="Arial" w:hAnsi="Arial" w:cs="Arial"/>
                <w:sz w:val="20"/>
                <w:szCs w:val="20"/>
                <w:lang w:val="en-AU"/>
              </w:rPr>
              <w:t>Margolin</w:t>
            </w:r>
            <w:proofErr w:type="spellEnd"/>
            <w:r w:rsidRPr="00865A4D">
              <w:rPr>
                <w:rFonts w:ascii="Arial" w:hAnsi="Arial" w:cs="Arial"/>
                <w:sz w:val="20"/>
                <w:szCs w:val="20"/>
                <w:lang w:val="en-AU"/>
              </w:rPr>
              <w:t xml:space="preserve"> R, Francis J et al. Evaluation of delirium in critically ill patients: validation of the Confusion Assessment Method for the Intensive Care Unit (CAM-ICU).Critical Care Medicine 2001</w:t>
            </w:r>
            <w:proofErr w:type="gramStart"/>
            <w:r w:rsidRPr="00865A4D">
              <w:rPr>
                <w:rFonts w:ascii="Arial" w:hAnsi="Arial" w:cs="Arial"/>
                <w:sz w:val="20"/>
                <w:szCs w:val="20"/>
                <w:lang w:val="en-AU"/>
              </w:rPr>
              <w:t>;29</w:t>
            </w:r>
            <w:proofErr w:type="gramEnd"/>
            <w:r w:rsidRPr="00865A4D">
              <w:rPr>
                <w:rFonts w:ascii="Arial" w:hAnsi="Arial" w:cs="Arial"/>
                <w:sz w:val="20"/>
                <w:szCs w:val="20"/>
                <w:lang w:val="en-AU"/>
              </w:rPr>
              <w:t xml:space="preserve">(7):1370-9: </w:t>
            </w:r>
            <w:hyperlink r:id="rId31" w:history="1">
              <w:r w:rsidRPr="00865A4D">
                <w:rPr>
                  <w:rFonts w:ascii="Arial" w:hAnsi="Arial" w:cs="Arial"/>
                  <w:color w:val="0000FF"/>
                  <w:sz w:val="20"/>
                  <w:szCs w:val="20"/>
                  <w:u w:val="single"/>
                  <w:lang w:val="en-AU"/>
                </w:rPr>
                <w:t>http://www.ncbi.nlm.nih.gov/pubmed/11445689</w:t>
              </w:r>
            </w:hyperlink>
            <w:r w:rsidRPr="00865A4D">
              <w:rPr>
                <w:rFonts w:ascii="Arial" w:hAnsi="Arial" w:cs="Arial"/>
                <w:sz w:val="20"/>
                <w:szCs w:val="20"/>
                <w:lang w:val="en-AU"/>
              </w:rPr>
              <w:t>.</w:t>
            </w:r>
          </w:p>
          <w:p w:rsidR="00865A4D" w:rsidRDefault="00865A4D" w:rsidP="00865A4D">
            <w:pPr>
              <w:numPr>
                <w:ilvl w:val="0"/>
                <w:numId w:val="9"/>
              </w:numPr>
              <w:contextualSpacing/>
              <w:rPr>
                <w:rFonts w:ascii="Arial" w:hAnsi="Arial" w:cs="Arial"/>
                <w:sz w:val="20"/>
                <w:szCs w:val="20"/>
                <w:lang w:val="en-AU"/>
              </w:rPr>
            </w:pPr>
            <w:proofErr w:type="spellStart"/>
            <w:r w:rsidRPr="00865A4D">
              <w:rPr>
                <w:rFonts w:ascii="Arial" w:hAnsi="Arial" w:cs="Arial"/>
                <w:sz w:val="20"/>
                <w:szCs w:val="20"/>
                <w:lang w:val="en-AU"/>
              </w:rPr>
              <w:t>Marcantonio</w:t>
            </w:r>
            <w:proofErr w:type="spellEnd"/>
            <w:r w:rsidRPr="00865A4D">
              <w:rPr>
                <w:rFonts w:ascii="Arial" w:hAnsi="Arial" w:cs="Arial"/>
                <w:sz w:val="20"/>
                <w:szCs w:val="20"/>
                <w:lang w:val="en-AU"/>
              </w:rPr>
              <w:t xml:space="preserve"> ER, Ngo LH, O'Connor M et al. 3D-CAM: derivation and validation of a 3-minute diagnostic interview for CAM-defined delirium: a cross-sectional diagnostic test study. </w:t>
            </w:r>
            <w:proofErr w:type="gramStart"/>
            <w:r w:rsidRPr="00865A4D">
              <w:rPr>
                <w:rFonts w:ascii="Arial" w:hAnsi="Arial" w:cs="Arial"/>
                <w:sz w:val="20"/>
                <w:szCs w:val="20"/>
                <w:lang w:val="en-AU"/>
              </w:rPr>
              <w:t>Annals of Internal Medicine.</w:t>
            </w:r>
            <w:proofErr w:type="gramEnd"/>
            <w:r w:rsidRPr="00865A4D">
              <w:rPr>
                <w:rFonts w:ascii="Arial" w:hAnsi="Arial" w:cs="Arial"/>
                <w:sz w:val="20"/>
                <w:szCs w:val="20"/>
                <w:lang w:val="en-AU"/>
              </w:rPr>
              <w:t xml:space="preserve"> 2014</w:t>
            </w:r>
            <w:proofErr w:type="gramStart"/>
            <w:r w:rsidRPr="00865A4D">
              <w:rPr>
                <w:rFonts w:ascii="Arial" w:hAnsi="Arial" w:cs="Arial"/>
                <w:sz w:val="20"/>
                <w:szCs w:val="20"/>
                <w:lang w:val="en-AU"/>
              </w:rPr>
              <w:t>;161</w:t>
            </w:r>
            <w:proofErr w:type="gramEnd"/>
            <w:r w:rsidRPr="00865A4D">
              <w:rPr>
                <w:rFonts w:ascii="Arial" w:hAnsi="Arial" w:cs="Arial"/>
                <w:sz w:val="20"/>
                <w:szCs w:val="20"/>
                <w:lang w:val="en-AU"/>
              </w:rPr>
              <w:t xml:space="preserve">(8):554-61: </w:t>
            </w:r>
            <w:hyperlink r:id="rId32" w:history="1">
              <w:r w:rsidRPr="00865A4D">
                <w:rPr>
                  <w:rFonts w:ascii="Arial" w:hAnsi="Arial" w:cs="Arial"/>
                  <w:color w:val="0000FF"/>
                  <w:sz w:val="20"/>
                  <w:szCs w:val="20"/>
                  <w:u w:val="single"/>
                  <w:lang w:val="en-AU"/>
                </w:rPr>
                <w:t>http://www.ncbi.nlm.nih.gov/pubmed/25329203</w:t>
              </w:r>
            </w:hyperlink>
            <w:r w:rsidRPr="00865A4D">
              <w:rPr>
                <w:rFonts w:ascii="Arial" w:hAnsi="Arial" w:cs="Arial"/>
                <w:sz w:val="20"/>
                <w:szCs w:val="20"/>
                <w:lang w:val="en-AU"/>
              </w:rPr>
              <w:t>.</w:t>
            </w:r>
          </w:p>
          <w:p w:rsidR="00E93845" w:rsidRPr="00865A4D" w:rsidRDefault="00E93845" w:rsidP="00865A4D">
            <w:pPr>
              <w:numPr>
                <w:ilvl w:val="0"/>
                <w:numId w:val="9"/>
              </w:numPr>
              <w:contextualSpacing/>
              <w:rPr>
                <w:rFonts w:ascii="Arial" w:hAnsi="Arial" w:cs="Arial"/>
                <w:sz w:val="20"/>
                <w:szCs w:val="20"/>
                <w:lang w:val="en-AU"/>
              </w:rPr>
            </w:pPr>
            <w:proofErr w:type="gramStart"/>
            <w:r w:rsidRPr="00E93845">
              <w:rPr>
                <w:rFonts w:ascii="Arial" w:hAnsi="Arial" w:cs="Arial"/>
                <w:sz w:val="20"/>
                <w:szCs w:val="20"/>
                <w:lang w:val="en-AU"/>
              </w:rPr>
              <w:t>American Psychiatric Association.</w:t>
            </w:r>
            <w:proofErr w:type="gramEnd"/>
            <w:r w:rsidRPr="00E93845">
              <w:rPr>
                <w:rFonts w:ascii="Arial" w:hAnsi="Arial" w:cs="Arial"/>
                <w:sz w:val="20"/>
                <w:szCs w:val="20"/>
                <w:lang w:val="en-AU"/>
              </w:rPr>
              <w:t xml:space="preserve"> </w:t>
            </w:r>
            <w:proofErr w:type="gramStart"/>
            <w:r w:rsidRPr="00E93845">
              <w:rPr>
                <w:rFonts w:ascii="Arial" w:hAnsi="Arial" w:cs="Arial"/>
                <w:sz w:val="20"/>
                <w:szCs w:val="20"/>
                <w:lang w:val="en-AU"/>
              </w:rPr>
              <w:t>Diagnostic and Statistical Manual of Mental Disorders, Fifth Edition.</w:t>
            </w:r>
            <w:proofErr w:type="gramEnd"/>
            <w:r w:rsidRPr="00E93845">
              <w:rPr>
                <w:rFonts w:ascii="Arial" w:hAnsi="Arial" w:cs="Arial"/>
                <w:sz w:val="20"/>
                <w:szCs w:val="20"/>
                <w:lang w:val="en-AU"/>
              </w:rPr>
              <w:t xml:space="preserve"> Washington, DC: American Psychiatric Association; 2013</w:t>
            </w:r>
          </w:p>
          <w:p w:rsidR="00865A4D" w:rsidRPr="00865A4D" w:rsidRDefault="00865A4D" w:rsidP="00865A4D">
            <w:pPr>
              <w:autoSpaceDE w:val="0"/>
              <w:autoSpaceDN w:val="0"/>
              <w:adjustRightInd w:val="0"/>
              <w:rPr>
                <w:rFonts w:ascii="Arial" w:hAnsi="Arial" w:cs="Arial"/>
                <w:sz w:val="20"/>
                <w:szCs w:val="20"/>
                <w:lang w:val="en-AU" w:eastAsia="en-AU"/>
              </w:rPr>
            </w:pPr>
          </w:p>
        </w:tc>
      </w:tr>
    </w:tbl>
    <w:p w:rsidR="00865A4D" w:rsidRPr="00865A4D" w:rsidRDefault="00865A4D" w:rsidP="00865A4D"/>
    <w:p w:rsidR="00865A4D" w:rsidRPr="00865A4D" w:rsidRDefault="00865A4D" w:rsidP="00865A4D">
      <w:pPr>
        <w:ind w:firstLine="720"/>
        <w:sectPr w:rsidR="00865A4D" w:rsidRPr="00865A4D" w:rsidSect="00C768B6">
          <w:pgSz w:w="16838" w:h="11906" w:orient="landscape"/>
          <w:pgMar w:top="1440" w:right="1440" w:bottom="1440" w:left="1440" w:header="708" w:footer="708" w:gutter="0"/>
          <w:cols w:space="708"/>
          <w:docGrid w:linePitch="360"/>
        </w:sectPr>
      </w:pPr>
    </w:p>
    <w:tbl>
      <w:tblPr>
        <w:tblpPr w:leftFromText="180" w:rightFromText="180" w:horzAnchor="margin" w:tblpY="-422"/>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0381"/>
      </w:tblGrid>
      <w:tr w:rsidR="00865A4D" w:rsidRPr="00865A4D" w:rsidTr="00CA0311">
        <w:trPr>
          <w:tblHeader/>
        </w:trPr>
        <w:tc>
          <w:tcPr>
            <w:tcW w:w="3227" w:type="dxa"/>
            <w:tcBorders>
              <w:top w:val="single" w:sz="4" w:space="0" w:color="auto"/>
              <w:left w:val="single" w:sz="4" w:space="0" w:color="auto"/>
              <w:bottom w:val="single" w:sz="4" w:space="0" w:color="auto"/>
              <w:right w:val="single" w:sz="4" w:space="0" w:color="auto"/>
            </w:tcBorders>
            <w:shd w:val="clear" w:color="auto" w:fill="00988E"/>
          </w:tcPr>
          <w:p w:rsidR="00865A4D" w:rsidRPr="00865A4D" w:rsidRDefault="00865A4D" w:rsidP="00865A4D">
            <w:pPr>
              <w:rPr>
                <w:rFonts w:ascii="Arial" w:hAnsi="Arial" w:cs="Arial"/>
                <w:color w:val="FFFFFF"/>
                <w:sz w:val="32"/>
                <w:szCs w:val="32"/>
              </w:rPr>
            </w:pPr>
            <w:r w:rsidRPr="00865A4D">
              <w:rPr>
                <w:rFonts w:ascii="Arial" w:hAnsi="Arial" w:cs="Arial"/>
                <w:b/>
                <w:bCs/>
                <w:color w:val="FFFFFF"/>
                <w:sz w:val="32"/>
                <w:szCs w:val="32"/>
              </w:rPr>
              <w:lastRenderedPageBreak/>
              <w:t>Quality Statement 3</w:t>
            </w:r>
          </w:p>
        </w:tc>
        <w:tc>
          <w:tcPr>
            <w:tcW w:w="10381" w:type="dxa"/>
            <w:tcBorders>
              <w:top w:val="single" w:sz="4" w:space="0" w:color="auto"/>
              <w:left w:val="single" w:sz="4" w:space="0" w:color="auto"/>
              <w:bottom w:val="single" w:sz="4" w:space="0" w:color="auto"/>
              <w:right w:val="single" w:sz="4" w:space="0" w:color="auto"/>
            </w:tcBorders>
          </w:tcPr>
          <w:p w:rsidR="00865A4D" w:rsidRPr="00865A4D" w:rsidRDefault="00A01682" w:rsidP="00865A4D">
            <w:pPr>
              <w:rPr>
                <w:rFonts w:ascii="Arial" w:hAnsi="Arial" w:cs="Arial"/>
                <w:b/>
                <w:sz w:val="22"/>
                <w:szCs w:val="22"/>
                <w:lang w:val="en-AU"/>
              </w:rPr>
            </w:pPr>
            <w:r w:rsidRPr="00A01682">
              <w:rPr>
                <w:rFonts w:ascii="Arial" w:hAnsi="Arial" w:cs="Arial"/>
                <w:b/>
                <w:sz w:val="22"/>
                <w:szCs w:val="22"/>
                <w:lang w:val="en-AU"/>
              </w:rPr>
              <w:t xml:space="preserve">A patient at risk of delirium </w:t>
            </w:r>
            <w:proofErr w:type="gramStart"/>
            <w:r w:rsidRPr="00A01682">
              <w:rPr>
                <w:rFonts w:ascii="Arial" w:hAnsi="Arial" w:cs="Arial"/>
                <w:b/>
                <w:sz w:val="22"/>
                <w:szCs w:val="22"/>
                <w:lang w:val="en-AU"/>
              </w:rPr>
              <w:t>is offered</w:t>
            </w:r>
            <w:proofErr w:type="gramEnd"/>
            <w:r w:rsidRPr="00A01682">
              <w:rPr>
                <w:rFonts w:ascii="Arial" w:hAnsi="Arial" w:cs="Arial"/>
                <w:b/>
                <w:sz w:val="22"/>
                <w:szCs w:val="22"/>
                <w:lang w:val="en-AU"/>
              </w:rPr>
              <w:t xml:space="preserve"> a set of interventions to prevent delirium and regular monitoring for changes in behaviour, cognition and physical condition.</w:t>
            </w:r>
          </w:p>
        </w:tc>
      </w:tr>
      <w:tr w:rsidR="00865A4D" w:rsidRPr="00865A4D" w:rsidTr="00CA0311">
        <w:trPr>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rsidR="00865A4D" w:rsidRPr="00865A4D" w:rsidRDefault="00865A4D" w:rsidP="00865A4D">
            <w:pPr>
              <w:rPr>
                <w:rFonts w:ascii="Arial" w:hAnsi="Arial" w:cs="Arial"/>
                <w:b/>
              </w:rPr>
            </w:pPr>
            <w:r w:rsidRPr="00865A4D">
              <w:rPr>
                <w:rFonts w:ascii="Arial" w:hAnsi="Arial" w:cs="Arial"/>
                <w:b/>
              </w:rPr>
              <w:t xml:space="preserve">EVIDENCE SOURCES </w:t>
            </w:r>
          </w:p>
        </w:tc>
      </w:tr>
      <w:tr w:rsidR="00865A4D" w:rsidRPr="00865A4D" w:rsidTr="00CA0311">
        <w:trPr>
          <w:trHeight w:val="90"/>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 xml:space="preserve">Australian Guidelines </w:t>
            </w:r>
          </w:p>
        </w:tc>
      </w:tr>
      <w:tr w:rsidR="00865A4D" w:rsidRPr="00865A4D" w:rsidTr="00CA0311">
        <w:trPr>
          <w:cantSplit/>
          <w:trHeight w:val="90"/>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0"/>
              </w:numPr>
              <w:autoSpaceDE w:val="0"/>
              <w:autoSpaceDN w:val="0"/>
              <w:adjustRightInd w:val="0"/>
              <w:spacing w:after="120"/>
              <w:contextualSpacing/>
              <w:rPr>
                <w:rFonts w:ascii="Arial" w:hAnsi="Arial" w:cs="Arial"/>
                <w:sz w:val="20"/>
                <w:szCs w:val="20"/>
                <w:lang w:val="en-AU"/>
              </w:rPr>
            </w:pPr>
            <w:proofErr w:type="gramStart"/>
            <w:r w:rsidRPr="00865A4D">
              <w:rPr>
                <w:rFonts w:ascii="Arial" w:hAnsi="Arial" w:cs="Arial"/>
                <w:sz w:val="20"/>
                <w:szCs w:val="20"/>
                <w:lang w:val="en-AU"/>
              </w:rPr>
              <w:t>Clinical Epidemiology and Health Service Evaluation Unit, Melbourne Health, Delirium Clinical Guidelines Expert Working Group.</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Clinical Practice Guidelines for the Management of Delirium in Older People.</w:t>
            </w:r>
            <w:proofErr w:type="gramEnd"/>
            <w:r w:rsidRPr="00865A4D">
              <w:rPr>
                <w:rFonts w:ascii="Arial" w:hAnsi="Arial" w:cs="Arial"/>
                <w:sz w:val="20"/>
                <w:szCs w:val="20"/>
                <w:lang w:val="en-AU"/>
              </w:rPr>
              <w:t xml:space="preserve"> </w:t>
            </w:r>
            <w:proofErr w:type="gramStart"/>
            <w:r w:rsidRPr="00865A4D">
              <w:rPr>
                <w:rFonts w:ascii="Arial" w:hAnsi="Arial" w:cs="Arial"/>
                <w:sz w:val="20"/>
                <w:szCs w:val="20"/>
                <w:lang w:val="en-AU"/>
              </w:rPr>
              <w:t>2006</w:t>
            </w:r>
            <w:proofErr w:type="gramEnd"/>
            <w:r w:rsidRPr="00865A4D">
              <w:rPr>
                <w:rFonts w:ascii="Arial" w:hAnsi="Arial" w:cs="Arial"/>
                <w:sz w:val="20"/>
                <w:szCs w:val="20"/>
                <w:lang w:val="en-AU"/>
              </w:rPr>
              <w:t xml:space="preserve"> (pp. 50). Accessed May 2015 at: </w:t>
            </w:r>
            <w:hyperlink r:id="rId33" w:history="1">
              <w:r w:rsidRPr="00865A4D">
                <w:rPr>
                  <w:rFonts w:ascii="Arial" w:hAnsi="Arial" w:cs="Arial"/>
                  <w:color w:val="0000FF"/>
                  <w:sz w:val="20"/>
                  <w:szCs w:val="20"/>
                  <w:u w:val="single"/>
                  <w:lang w:val="en-AU"/>
                </w:rPr>
                <w:t>http://docs.health.vic.gov.au/docs/doc/Clinical-Practice-Guidelines-for-the-Management-of-Delirium-in-Older-People---October-2006</w:t>
              </w:r>
            </w:hyperlink>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autoSpaceDE w:val="0"/>
              <w:autoSpaceDN w:val="0"/>
              <w:adjustRightInd w:val="0"/>
              <w:rPr>
                <w:rFonts w:ascii="Arial" w:hAnsi="Arial" w:cs="Arial"/>
                <w:b/>
                <w:sz w:val="20"/>
                <w:szCs w:val="20"/>
              </w:rPr>
            </w:pPr>
            <w:r w:rsidRPr="00865A4D">
              <w:rPr>
                <w:rFonts w:ascii="Arial" w:hAnsi="Arial" w:cs="Arial"/>
                <w:b/>
                <w:sz w:val="20"/>
                <w:szCs w:val="20"/>
              </w:rPr>
              <w:t>International Guidelines</w:t>
            </w:r>
          </w:p>
        </w:tc>
      </w:tr>
      <w:tr w:rsidR="00865A4D" w:rsidRPr="00865A4D" w:rsidTr="00CA0311">
        <w:trPr>
          <w:cantSplit/>
          <w:trHeight w:val="571"/>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1"/>
              </w:numPr>
              <w:autoSpaceDE w:val="0"/>
              <w:autoSpaceDN w:val="0"/>
              <w:adjustRightInd w:val="0"/>
              <w:ind w:left="709"/>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National Institute for Health and Clinical Excellence.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diagnosis, prevention and management; Clinical Guideline 103.</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London: NICE, 2010 (pp. 57-58, 289).</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Accessed May 2015 at:</w:t>
            </w:r>
            <w:r w:rsidRPr="00865A4D">
              <w:rPr>
                <w:lang w:val="en-AU"/>
              </w:rPr>
              <w:t xml:space="preserve"> </w:t>
            </w:r>
            <w:hyperlink r:id="rId34" w:history="1">
              <w:r w:rsidRPr="00865A4D">
                <w:rPr>
                  <w:rFonts w:ascii="Arial" w:hAnsi="Arial" w:cs="Arial"/>
                  <w:color w:val="0000FF"/>
                  <w:sz w:val="20"/>
                  <w:szCs w:val="20"/>
                  <w:u w:val="single"/>
                  <w:lang w:val="en-AU" w:eastAsia="en-AU"/>
                </w:rPr>
                <w:t>https://www.nice.org.uk/guidance/cg103</w:t>
              </w:r>
            </w:hyperlink>
            <w:r w:rsidRPr="00865A4D">
              <w:rPr>
                <w:rFonts w:ascii="Arial" w:hAnsi="Arial" w:cs="Arial"/>
                <w:sz w:val="20"/>
                <w:szCs w:val="20"/>
                <w:lang w:val="en-AU" w:eastAsia="en-AU"/>
              </w:rPr>
              <w:t>.</w:t>
            </w:r>
            <w:proofErr w:type="gramEnd"/>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Additional Sources</w:t>
            </w:r>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tcPr>
          <w:p w:rsidR="00865A4D" w:rsidRPr="00792F48" w:rsidRDefault="00865A4D" w:rsidP="00865A4D">
            <w:pPr>
              <w:numPr>
                <w:ilvl w:val="0"/>
                <w:numId w:val="12"/>
              </w:numPr>
              <w:autoSpaceDE w:val="0"/>
              <w:autoSpaceDN w:val="0"/>
              <w:adjustRightInd w:val="0"/>
              <w:contextualSpacing/>
              <w:rPr>
                <w:rFonts w:ascii="Arial" w:hAnsi="Arial" w:cs="Arial"/>
                <w:sz w:val="20"/>
                <w:szCs w:val="20"/>
                <w:lang w:val="en-AU" w:eastAsia="en-AU"/>
              </w:rPr>
            </w:pPr>
            <w:proofErr w:type="spellStart"/>
            <w:r w:rsidRPr="00865A4D">
              <w:rPr>
                <w:rFonts w:ascii="Arial" w:hAnsi="Arial" w:cs="Arial"/>
                <w:sz w:val="20"/>
                <w:szCs w:val="20"/>
                <w:lang w:val="en-AU" w:eastAsia="en-AU"/>
              </w:rPr>
              <w:t>Hshieh</w:t>
            </w:r>
            <w:proofErr w:type="spellEnd"/>
            <w:r w:rsidRPr="00865A4D">
              <w:rPr>
                <w:rFonts w:ascii="Arial" w:hAnsi="Arial" w:cs="Arial"/>
                <w:sz w:val="20"/>
                <w:szCs w:val="20"/>
                <w:lang w:val="en-AU" w:eastAsia="en-AU"/>
              </w:rPr>
              <w:t xml:space="preserve"> TT, Yue J, Oh E, </w:t>
            </w:r>
            <w:proofErr w:type="spellStart"/>
            <w:r w:rsidRPr="00865A4D">
              <w:rPr>
                <w:rFonts w:ascii="Arial" w:hAnsi="Arial" w:cs="Arial"/>
                <w:sz w:val="20"/>
                <w:szCs w:val="20"/>
                <w:lang w:val="en-AU" w:eastAsia="en-AU"/>
              </w:rPr>
              <w:t>Puelle</w:t>
            </w:r>
            <w:proofErr w:type="spellEnd"/>
            <w:r w:rsidRPr="00865A4D">
              <w:rPr>
                <w:rFonts w:ascii="Arial" w:hAnsi="Arial" w:cs="Arial"/>
                <w:sz w:val="20"/>
                <w:szCs w:val="20"/>
                <w:lang w:val="en-AU" w:eastAsia="en-AU"/>
              </w:rPr>
              <w:t xml:space="preserve"> M, </w:t>
            </w:r>
            <w:proofErr w:type="spellStart"/>
            <w:r w:rsidRPr="00865A4D">
              <w:rPr>
                <w:rFonts w:ascii="Arial" w:hAnsi="Arial" w:cs="Arial"/>
                <w:sz w:val="20"/>
                <w:szCs w:val="20"/>
                <w:lang w:val="en-AU" w:eastAsia="en-AU"/>
              </w:rPr>
              <w:t>Dowal</w:t>
            </w:r>
            <w:proofErr w:type="spellEnd"/>
            <w:r w:rsidRPr="00865A4D">
              <w:rPr>
                <w:rFonts w:ascii="Arial" w:hAnsi="Arial" w:cs="Arial"/>
                <w:sz w:val="20"/>
                <w:szCs w:val="20"/>
                <w:lang w:val="en-AU" w:eastAsia="en-AU"/>
              </w:rPr>
              <w:t xml:space="preserve"> S, </w:t>
            </w:r>
            <w:proofErr w:type="spellStart"/>
            <w:r w:rsidRPr="00865A4D">
              <w:rPr>
                <w:rFonts w:ascii="Arial" w:hAnsi="Arial" w:cs="Arial"/>
                <w:sz w:val="20"/>
                <w:szCs w:val="20"/>
                <w:lang w:val="en-AU" w:eastAsia="en-AU"/>
              </w:rPr>
              <w:t>Travison</w:t>
            </w:r>
            <w:proofErr w:type="spellEnd"/>
            <w:r w:rsidRPr="00865A4D">
              <w:rPr>
                <w:rFonts w:ascii="Arial" w:hAnsi="Arial" w:cs="Arial"/>
                <w:sz w:val="20"/>
                <w:szCs w:val="20"/>
                <w:lang w:val="en-AU" w:eastAsia="en-AU"/>
              </w:rPr>
              <w:t xml:space="preserve"> T, et al. Effectiveness of Multicomponent </w:t>
            </w:r>
            <w:proofErr w:type="spellStart"/>
            <w:r w:rsidRPr="00865A4D">
              <w:rPr>
                <w:rFonts w:ascii="Arial" w:hAnsi="Arial" w:cs="Arial"/>
                <w:sz w:val="20"/>
                <w:szCs w:val="20"/>
                <w:lang w:val="en-AU" w:eastAsia="en-AU"/>
              </w:rPr>
              <w:t>Nonpharmacological</w:t>
            </w:r>
            <w:proofErr w:type="spellEnd"/>
            <w:r w:rsidRPr="00865A4D">
              <w:rPr>
                <w:rFonts w:ascii="Arial" w:hAnsi="Arial" w:cs="Arial"/>
                <w:sz w:val="20"/>
                <w:szCs w:val="20"/>
                <w:lang w:val="en-AU" w:eastAsia="en-AU"/>
              </w:rPr>
              <w:t xml:space="preserve"> Delirium Interventions: A Meta-analysis. </w:t>
            </w:r>
            <w:proofErr w:type="gramStart"/>
            <w:r w:rsidRPr="00865A4D">
              <w:rPr>
                <w:rFonts w:ascii="Arial" w:hAnsi="Arial" w:cs="Arial"/>
                <w:sz w:val="20"/>
                <w:szCs w:val="20"/>
                <w:lang w:val="en-AU" w:eastAsia="en-AU"/>
              </w:rPr>
              <w:t xml:space="preserve">JAMA Intern Med. 2015: </w:t>
            </w:r>
            <w:hyperlink r:id="rId35" w:history="1">
              <w:r w:rsidRPr="00865A4D">
                <w:rPr>
                  <w:rFonts w:ascii="Arial" w:hAnsi="Arial" w:cs="Arial"/>
                  <w:color w:val="0000FF"/>
                  <w:sz w:val="20"/>
                  <w:szCs w:val="20"/>
                  <w:u w:val="single"/>
                  <w:lang w:eastAsia="en-AU"/>
                </w:rPr>
                <w:t>http://www.ncbi.nlm.nih.gov/pubmed/25643002</w:t>
              </w:r>
            </w:hyperlink>
            <w:r w:rsidRPr="00865A4D">
              <w:rPr>
                <w:rFonts w:ascii="Arial" w:hAnsi="Arial" w:cs="Arial"/>
                <w:color w:val="0000FF"/>
                <w:sz w:val="20"/>
                <w:szCs w:val="20"/>
                <w:lang w:eastAsia="en-AU"/>
              </w:rPr>
              <w:t>.</w:t>
            </w:r>
            <w:proofErr w:type="gramEnd"/>
            <w:r w:rsidRPr="00865A4D">
              <w:rPr>
                <w:rFonts w:ascii="Arial" w:hAnsi="Arial" w:cs="Arial"/>
                <w:color w:val="0000FF"/>
                <w:sz w:val="20"/>
                <w:szCs w:val="20"/>
                <w:u w:val="single"/>
                <w:lang w:eastAsia="en-AU"/>
              </w:rPr>
              <w:t xml:space="preserve"> </w:t>
            </w:r>
          </w:p>
          <w:p w:rsidR="00792F48" w:rsidRDefault="00792F48" w:rsidP="00865A4D">
            <w:pPr>
              <w:numPr>
                <w:ilvl w:val="0"/>
                <w:numId w:val="12"/>
              </w:numPr>
              <w:autoSpaceDE w:val="0"/>
              <w:autoSpaceDN w:val="0"/>
              <w:adjustRightInd w:val="0"/>
              <w:contextualSpacing/>
              <w:rPr>
                <w:rFonts w:ascii="Arial" w:hAnsi="Arial" w:cs="Arial"/>
                <w:sz w:val="20"/>
                <w:szCs w:val="20"/>
                <w:lang w:val="en-AU" w:eastAsia="en-AU"/>
              </w:rPr>
            </w:pPr>
            <w:proofErr w:type="gramStart"/>
            <w:r w:rsidRPr="00792F48">
              <w:rPr>
                <w:rFonts w:ascii="Arial" w:hAnsi="Arial" w:cs="Arial"/>
                <w:sz w:val="20"/>
                <w:szCs w:val="20"/>
                <w:lang w:val="en-AU" w:eastAsia="en-AU"/>
              </w:rPr>
              <w:t xml:space="preserve">Siddiqi N, Harrison JK, Clegg A, </w:t>
            </w:r>
            <w:proofErr w:type="spellStart"/>
            <w:r w:rsidRPr="00792F48">
              <w:rPr>
                <w:rFonts w:ascii="Arial" w:hAnsi="Arial" w:cs="Arial"/>
                <w:sz w:val="20"/>
                <w:szCs w:val="20"/>
                <w:lang w:val="en-AU" w:eastAsia="en-AU"/>
              </w:rPr>
              <w:t>Teale</w:t>
            </w:r>
            <w:proofErr w:type="spellEnd"/>
            <w:r w:rsidRPr="00792F48">
              <w:rPr>
                <w:rFonts w:ascii="Arial" w:hAnsi="Arial" w:cs="Arial"/>
                <w:sz w:val="20"/>
                <w:szCs w:val="20"/>
                <w:lang w:val="en-AU" w:eastAsia="en-AU"/>
              </w:rPr>
              <w:t xml:space="preserve"> EA, Young J, Taylor J, et al. Interventions for preventing delirium in hospitalised non-ICU patients.</w:t>
            </w:r>
            <w:proofErr w:type="gramEnd"/>
            <w:r w:rsidRPr="00792F48">
              <w:rPr>
                <w:rFonts w:ascii="Arial" w:hAnsi="Arial" w:cs="Arial"/>
                <w:sz w:val="20"/>
                <w:szCs w:val="20"/>
                <w:lang w:val="en-AU" w:eastAsia="en-AU"/>
              </w:rPr>
              <w:t xml:space="preserve"> </w:t>
            </w:r>
            <w:proofErr w:type="gramStart"/>
            <w:r w:rsidRPr="00792F48">
              <w:rPr>
                <w:rFonts w:ascii="Arial" w:hAnsi="Arial" w:cs="Arial"/>
                <w:sz w:val="20"/>
                <w:szCs w:val="20"/>
                <w:lang w:val="en-AU" w:eastAsia="en-AU"/>
              </w:rPr>
              <w:t xml:space="preserve">The Cochrane </w:t>
            </w:r>
            <w:r>
              <w:rPr>
                <w:rFonts w:ascii="Arial" w:hAnsi="Arial" w:cs="Arial"/>
                <w:sz w:val="20"/>
                <w:szCs w:val="20"/>
                <w:lang w:val="en-AU" w:eastAsia="en-AU"/>
              </w:rPr>
              <w:t>D</w:t>
            </w:r>
            <w:r w:rsidRPr="00792F48">
              <w:rPr>
                <w:rFonts w:ascii="Arial" w:hAnsi="Arial" w:cs="Arial"/>
                <w:sz w:val="20"/>
                <w:szCs w:val="20"/>
                <w:lang w:val="en-AU" w:eastAsia="en-AU"/>
              </w:rPr>
              <w:t>atabase of Systematic Reviews.</w:t>
            </w:r>
            <w:proofErr w:type="gramEnd"/>
            <w:r w:rsidRPr="00792F48">
              <w:rPr>
                <w:rFonts w:ascii="Arial" w:hAnsi="Arial" w:cs="Arial"/>
                <w:sz w:val="20"/>
                <w:szCs w:val="20"/>
                <w:lang w:val="en-AU" w:eastAsia="en-AU"/>
              </w:rPr>
              <w:t xml:space="preserve"> 2016</w:t>
            </w:r>
            <w:proofErr w:type="gramStart"/>
            <w:r w:rsidRPr="00792F48">
              <w:rPr>
                <w:rFonts w:ascii="Arial" w:hAnsi="Arial" w:cs="Arial"/>
                <w:sz w:val="20"/>
                <w:szCs w:val="20"/>
                <w:lang w:val="en-AU" w:eastAsia="en-AU"/>
              </w:rPr>
              <w:t>;3:CD005563</w:t>
            </w:r>
            <w:proofErr w:type="gramEnd"/>
            <w:r w:rsidRPr="00792F48">
              <w:rPr>
                <w:rFonts w:ascii="Arial" w:hAnsi="Arial" w:cs="Arial"/>
                <w:sz w:val="20"/>
                <w:szCs w:val="20"/>
                <w:lang w:val="en-AU" w:eastAsia="en-AU"/>
              </w:rPr>
              <w:t xml:space="preserve">. </w:t>
            </w:r>
            <w:proofErr w:type="spellStart"/>
            <w:r w:rsidRPr="00792F48">
              <w:rPr>
                <w:rFonts w:ascii="Arial" w:hAnsi="Arial" w:cs="Arial"/>
                <w:sz w:val="20"/>
                <w:szCs w:val="20"/>
                <w:lang w:val="en-AU" w:eastAsia="en-AU"/>
              </w:rPr>
              <w:t>Epub</w:t>
            </w:r>
            <w:proofErr w:type="spellEnd"/>
            <w:r w:rsidRPr="00792F48">
              <w:rPr>
                <w:rFonts w:ascii="Arial" w:hAnsi="Arial" w:cs="Arial"/>
                <w:sz w:val="20"/>
                <w:szCs w:val="20"/>
                <w:lang w:val="en-AU" w:eastAsia="en-AU"/>
              </w:rPr>
              <w:t xml:space="preserve"> 2016/03/12</w:t>
            </w:r>
            <w:r>
              <w:rPr>
                <w:rFonts w:ascii="Arial" w:hAnsi="Arial" w:cs="Arial"/>
                <w:sz w:val="20"/>
                <w:szCs w:val="20"/>
                <w:lang w:val="en-AU" w:eastAsia="en-AU"/>
              </w:rPr>
              <w:t xml:space="preserve"> </w:t>
            </w:r>
            <w:hyperlink r:id="rId36" w:history="1">
              <w:r w:rsidRPr="00D31F86">
                <w:rPr>
                  <w:rStyle w:val="Hyperlink"/>
                  <w:rFonts w:ascii="Arial" w:hAnsi="Arial" w:cs="Arial"/>
                  <w:sz w:val="20"/>
                  <w:szCs w:val="20"/>
                  <w:lang w:val="en-AU" w:eastAsia="en-AU"/>
                </w:rPr>
                <w:t>http://www.ncbi.nlm.nih.gov/pubmed/26967259</w:t>
              </w:r>
            </w:hyperlink>
          </w:p>
          <w:p w:rsidR="00792F48" w:rsidRPr="00865A4D" w:rsidRDefault="00792F48" w:rsidP="00792F48">
            <w:pPr>
              <w:autoSpaceDE w:val="0"/>
              <w:autoSpaceDN w:val="0"/>
              <w:adjustRightInd w:val="0"/>
              <w:ind w:left="720"/>
              <w:contextualSpacing/>
              <w:rPr>
                <w:rFonts w:ascii="Arial" w:hAnsi="Arial" w:cs="Arial"/>
                <w:sz w:val="20"/>
                <w:szCs w:val="20"/>
                <w:lang w:val="en-AU" w:eastAsia="en-AU"/>
              </w:rPr>
            </w:pPr>
          </w:p>
        </w:tc>
      </w:tr>
    </w:tbl>
    <w:p w:rsidR="00865A4D" w:rsidRPr="00865A4D" w:rsidRDefault="00865A4D" w:rsidP="00865A4D">
      <w:pPr>
        <w:ind w:firstLine="720"/>
      </w:pPr>
    </w:p>
    <w:p w:rsidR="00865A4D" w:rsidRPr="00865A4D" w:rsidRDefault="00865A4D" w:rsidP="00865A4D"/>
    <w:p w:rsidR="00865A4D" w:rsidRPr="00865A4D" w:rsidRDefault="00865A4D" w:rsidP="00865A4D">
      <w:pPr>
        <w:tabs>
          <w:tab w:val="left" w:pos="2175"/>
        </w:tabs>
        <w:sectPr w:rsidR="00865A4D" w:rsidRPr="00865A4D" w:rsidSect="00C768B6">
          <w:pgSz w:w="16838" w:h="11906" w:orient="landscape"/>
          <w:pgMar w:top="1440" w:right="1440" w:bottom="1440" w:left="1440" w:header="708" w:footer="708" w:gutter="0"/>
          <w:cols w:space="708"/>
          <w:docGrid w:linePitch="360"/>
        </w:sectPr>
      </w:pPr>
      <w:r w:rsidRPr="00865A4D">
        <w:tab/>
      </w:r>
    </w:p>
    <w:tbl>
      <w:tblPr>
        <w:tblpPr w:leftFromText="180" w:rightFromText="180" w:horzAnchor="margin" w:tblpY="-422"/>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0381"/>
      </w:tblGrid>
      <w:tr w:rsidR="00865A4D" w:rsidRPr="00865A4D" w:rsidTr="00CA0311">
        <w:trPr>
          <w:tblHeader/>
        </w:trPr>
        <w:tc>
          <w:tcPr>
            <w:tcW w:w="3227" w:type="dxa"/>
            <w:tcBorders>
              <w:top w:val="single" w:sz="4" w:space="0" w:color="auto"/>
              <w:left w:val="single" w:sz="4" w:space="0" w:color="auto"/>
              <w:bottom w:val="single" w:sz="4" w:space="0" w:color="auto"/>
              <w:right w:val="single" w:sz="4" w:space="0" w:color="auto"/>
            </w:tcBorders>
            <w:shd w:val="clear" w:color="auto" w:fill="00988E"/>
          </w:tcPr>
          <w:p w:rsidR="00865A4D" w:rsidRPr="00865A4D" w:rsidRDefault="00865A4D" w:rsidP="00865A4D">
            <w:pPr>
              <w:rPr>
                <w:rFonts w:ascii="Arial" w:hAnsi="Arial" w:cs="Arial"/>
                <w:color w:val="FFFFFF"/>
                <w:sz w:val="32"/>
                <w:szCs w:val="32"/>
              </w:rPr>
            </w:pPr>
            <w:r w:rsidRPr="00865A4D">
              <w:rPr>
                <w:rFonts w:ascii="Arial" w:hAnsi="Arial" w:cs="Arial"/>
                <w:b/>
                <w:bCs/>
                <w:color w:val="FFFFFF"/>
                <w:sz w:val="32"/>
                <w:szCs w:val="32"/>
              </w:rPr>
              <w:lastRenderedPageBreak/>
              <w:t>Quality Statement 4</w:t>
            </w:r>
          </w:p>
        </w:tc>
        <w:tc>
          <w:tcPr>
            <w:tcW w:w="10381" w:type="dxa"/>
            <w:tcBorders>
              <w:top w:val="single" w:sz="4" w:space="0" w:color="auto"/>
              <w:left w:val="single" w:sz="4" w:space="0" w:color="auto"/>
              <w:bottom w:val="single" w:sz="4" w:space="0" w:color="auto"/>
              <w:right w:val="single" w:sz="4" w:space="0" w:color="auto"/>
            </w:tcBorders>
          </w:tcPr>
          <w:p w:rsidR="00865A4D" w:rsidRPr="00865A4D" w:rsidRDefault="00A01682" w:rsidP="00865A4D">
            <w:pPr>
              <w:rPr>
                <w:rFonts w:ascii="Arial" w:hAnsi="Arial" w:cs="Arial"/>
                <w:b/>
                <w:sz w:val="22"/>
                <w:szCs w:val="22"/>
              </w:rPr>
            </w:pPr>
            <w:r w:rsidRPr="00A01682">
              <w:rPr>
                <w:rFonts w:ascii="Arial" w:hAnsi="Arial" w:cs="Arial"/>
                <w:b/>
                <w:sz w:val="22"/>
                <w:szCs w:val="22"/>
                <w:lang w:val="en-AU"/>
              </w:rPr>
              <w:t xml:space="preserve">A patient with delirium </w:t>
            </w:r>
            <w:proofErr w:type="gramStart"/>
            <w:r w:rsidRPr="00A01682">
              <w:rPr>
                <w:rFonts w:ascii="Arial" w:hAnsi="Arial" w:cs="Arial"/>
                <w:b/>
                <w:sz w:val="22"/>
                <w:szCs w:val="22"/>
                <w:lang w:val="en-AU"/>
              </w:rPr>
              <w:t>is offered</w:t>
            </w:r>
            <w:proofErr w:type="gramEnd"/>
            <w:r w:rsidRPr="00A01682">
              <w:rPr>
                <w:rFonts w:ascii="Arial" w:hAnsi="Arial" w:cs="Arial"/>
                <w:b/>
                <w:sz w:val="22"/>
                <w:szCs w:val="22"/>
                <w:lang w:val="en-AU"/>
              </w:rPr>
              <w:t xml:space="preserve"> a set of interventions to treat the causes of delirium, based on a comprehensive assessment.</w:t>
            </w:r>
          </w:p>
        </w:tc>
      </w:tr>
      <w:tr w:rsidR="00865A4D" w:rsidRPr="00865A4D" w:rsidTr="00CA0311">
        <w:trPr>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rsidR="00865A4D" w:rsidRPr="00865A4D" w:rsidRDefault="00865A4D" w:rsidP="00865A4D">
            <w:pPr>
              <w:rPr>
                <w:rFonts w:ascii="Arial" w:hAnsi="Arial" w:cs="Arial"/>
                <w:b/>
              </w:rPr>
            </w:pPr>
            <w:r w:rsidRPr="00865A4D">
              <w:rPr>
                <w:rFonts w:ascii="Arial" w:hAnsi="Arial" w:cs="Arial"/>
                <w:b/>
              </w:rPr>
              <w:t xml:space="preserve">EVIDENCE SOURCES </w:t>
            </w:r>
          </w:p>
        </w:tc>
      </w:tr>
      <w:tr w:rsidR="00865A4D" w:rsidRPr="00865A4D" w:rsidTr="00CA0311">
        <w:trPr>
          <w:trHeight w:val="90"/>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 xml:space="preserve">Australian Guidelines </w:t>
            </w:r>
          </w:p>
        </w:tc>
      </w:tr>
      <w:tr w:rsidR="00865A4D" w:rsidRPr="00865A4D" w:rsidTr="00CA0311">
        <w:trPr>
          <w:cantSplit/>
          <w:trHeight w:val="941"/>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3"/>
              </w:numPr>
              <w:autoSpaceDE w:val="0"/>
              <w:autoSpaceDN w:val="0"/>
              <w:adjustRightInd w:val="0"/>
              <w:spacing w:after="120"/>
              <w:contextualSpacing/>
              <w:rPr>
                <w:rFonts w:ascii="Arial" w:hAnsi="Arial" w:cs="Arial"/>
                <w:sz w:val="20"/>
                <w:szCs w:val="20"/>
                <w:lang w:val="en-AU"/>
              </w:rPr>
            </w:pPr>
            <w:proofErr w:type="gramStart"/>
            <w:r w:rsidRPr="00865A4D">
              <w:rPr>
                <w:rFonts w:ascii="Arial" w:hAnsi="Arial" w:cs="Arial"/>
                <w:sz w:val="20"/>
                <w:szCs w:val="20"/>
                <w:lang w:val="en-AU" w:eastAsia="en-AU"/>
              </w:rPr>
              <w:t>Clinical Epidemiology and Health Service Evaluation Unit, Melbourne Health, Delirium Clinical Guidelines Expert Working Group.</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Clinical Practice Guidelines for the Management of Delirium in Older People.</w:t>
            </w:r>
            <w:proofErr w:type="gramEnd"/>
            <w:r w:rsidRPr="00865A4D">
              <w:rPr>
                <w:rFonts w:ascii="Arial" w:hAnsi="Arial" w:cs="Arial"/>
                <w:sz w:val="20"/>
                <w:szCs w:val="20"/>
                <w:lang w:val="en-AU" w:eastAsia="en-AU"/>
              </w:rPr>
              <w:t xml:space="preserve"> 2006 (pp. 64</w:t>
            </w:r>
            <w:proofErr w:type="gramStart"/>
            <w:r w:rsidRPr="00865A4D">
              <w:rPr>
                <w:rFonts w:ascii="Arial" w:hAnsi="Arial" w:cs="Arial"/>
                <w:sz w:val="20"/>
                <w:szCs w:val="20"/>
                <w:lang w:val="en-AU" w:eastAsia="en-AU"/>
              </w:rPr>
              <w:t>,65</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Accessed May 2015 at:</w:t>
            </w:r>
            <w:r w:rsidRPr="00865A4D">
              <w:rPr>
                <w:lang w:val="en-AU"/>
              </w:rPr>
              <w:t xml:space="preserve"> </w:t>
            </w:r>
            <w:hyperlink r:id="rId37" w:history="1">
              <w:r w:rsidRPr="00865A4D">
                <w:rPr>
                  <w:rFonts w:ascii="Arial" w:hAnsi="Arial" w:cs="Arial"/>
                  <w:color w:val="0000FF"/>
                  <w:sz w:val="20"/>
                  <w:szCs w:val="20"/>
                  <w:u w:val="single"/>
                  <w:lang w:val="en-AU" w:eastAsia="en-AU"/>
                </w:rPr>
                <w:t>http://docs.health.vic.gov.au/docs/doc/Clinical-Practice-Guidelines-for-the-Management-of-Delirium-in-Older-People---October-2006</w:t>
              </w:r>
            </w:hyperlink>
            <w:r w:rsidRPr="00865A4D">
              <w:rPr>
                <w:rFonts w:ascii="Arial" w:hAnsi="Arial" w:cs="Arial"/>
                <w:sz w:val="20"/>
                <w:szCs w:val="20"/>
                <w:lang w:val="en-AU" w:eastAsia="en-AU"/>
              </w:rPr>
              <w:t>.</w:t>
            </w:r>
            <w:proofErr w:type="gramEnd"/>
          </w:p>
          <w:p w:rsidR="00865A4D" w:rsidRPr="00865A4D" w:rsidRDefault="00865A4D" w:rsidP="00865A4D">
            <w:pPr>
              <w:numPr>
                <w:ilvl w:val="0"/>
                <w:numId w:val="13"/>
              </w:numPr>
              <w:autoSpaceDE w:val="0"/>
              <w:autoSpaceDN w:val="0"/>
              <w:adjustRightInd w:val="0"/>
              <w:spacing w:after="120"/>
              <w:contextualSpacing/>
              <w:rPr>
                <w:rFonts w:ascii="Arial" w:hAnsi="Arial" w:cs="Arial"/>
                <w:sz w:val="20"/>
                <w:szCs w:val="20"/>
                <w:lang w:val="en-AU"/>
              </w:rPr>
            </w:pPr>
            <w:r w:rsidRPr="00865A4D">
              <w:rPr>
                <w:rFonts w:ascii="Arial" w:hAnsi="Arial" w:cs="Arial"/>
                <w:sz w:val="20"/>
                <w:szCs w:val="20"/>
                <w:lang w:val="en-AU"/>
              </w:rPr>
              <w:t xml:space="preserve">Psychotropic Expert Group. </w:t>
            </w:r>
            <w:proofErr w:type="gramStart"/>
            <w:r w:rsidRPr="00865A4D">
              <w:rPr>
                <w:rFonts w:ascii="Arial" w:hAnsi="Arial" w:cs="Arial"/>
                <w:sz w:val="20"/>
                <w:szCs w:val="20"/>
                <w:lang w:val="en-AU"/>
              </w:rPr>
              <w:t>Therapeutic Guidelines: Psychotropic.</w:t>
            </w:r>
            <w:proofErr w:type="gramEnd"/>
            <w:r w:rsidRPr="00865A4D">
              <w:rPr>
                <w:rFonts w:ascii="Arial" w:hAnsi="Arial" w:cs="Arial"/>
                <w:sz w:val="20"/>
                <w:szCs w:val="20"/>
                <w:lang w:val="en-AU"/>
              </w:rPr>
              <w:t xml:space="preserve"> Melbourne: Therapeutic Guidelines Limited, 2013</w:t>
            </w:r>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autoSpaceDE w:val="0"/>
              <w:autoSpaceDN w:val="0"/>
              <w:adjustRightInd w:val="0"/>
              <w:rPr>
                <w:rFonts w:ascii="Arial" w:hAnsi="Arial" w:cs="Arial"/>
                <w:b/>
                <w:sz w:val="20"/>
                <w:szCs w:val="20"/>
              </w:rPr>
            </w:pPr>
            <w:r w:rsidRPr="00865A4D">
              <w:rPr>
                <w:rFonts w:ascii="Arial" w:hAnsi="Arial" w:cs="Arial"/>
                <w:b/>
                <w:sz w:val="20"/>
                <w:szCs w:val="20"/>
              </w:rPr>
              <w:t>International Guidelines</w:t>
            </w:r>
          </w:p>
        </w:tc>
      </w:tr>
      <w:tr w:rsidR="00865A4D" w:rsidRPr="00865A4D" w:rsidTr="00CA0311">
        <w:trPr>
          <w:cantSplit/>
          <w:trHeight w:val="663"/>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4"/>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National Institute for Health and Clinical Excellence.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diagnosis, prevention and management; Clinical Guideline 103.</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London: NICE, 2010 (pp. 58, 344).</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Accessed May 2015 at:</w:t>
            </w:r>
            <w:r w:rsidRPr="00865A4D">
              <w:rPr>
                <w:lang w:val="en-AU"/>
              </w:rPr>
              <w:t xml:space="preserve"> </w:t>
            </w:r>
            <w:hyperlink r:id="rId38" w:history="1">
              <w:r w:rsidRPr="00865A4D">
                <w:rPr>
                  <w:rFonts w:ascii="Arial" w:hAnsi="Arial" w:cs="Arial"/>
                  <w:color w:val="0000FF"/>
                  <w:sz w:val="20"/>
                  <w:szCs w:val="20"/>
                  <w:u w:val="single"/>
                  <w:lang w:val="en-AU" w:eastAsia="en-AU"/>
                </w:rPr>
                <w:t>https://www.nice.org.uk/guidance/cg103</w:t>
              </w:r>
            </w:hyperlink>
            <w:r w:rsidRPr="00865A4D">
              <w:rPr>
                <w:rFonts w:ascii="Arial" w:hAnsi="Arial" w:cs="Arial"/>
                <w:sz w:val="20"/>
                <w:szCs w:val="20"/>
                <w:lang w:val="en-AU" w:eastAsia="en-AU"/>
              </w:rPr>
              <w:t>.</w:t>
            </w:r>
            <w:proofErr w:type="gramEnd"/>
          </w:p>
        </w:tc>
      </w:tr>
    </w:tbl>
    <w:p w:rsidR="00865A4D" w:rsidRPr="00865A4D" w:rsidRDefault="00865A4D" w:rsidP="00865A4D">
      <w:pPr>
        <w:tabs>
          <w:tab w:val="left" w:pos="2175"/>
        </w:tabs>
      </w:pPr>
    </w:p>
    <w:p w:rsidR="00865A4D" w:rsidRPr="00865A4D" w:rsidRDefault="00865A4D" w:rsidP="00865A4D">
      <w:pPr>
        <w:tabs>
          <w:tab w:val="left" w:pos="2175"/>
        </w:tabs>
        <w:sectPr w:rsidR="00865A4D" w:rsidRPr="00865A4D" w:rsidSect="00C768B6">
          <w:pgSz w:w="16838" w:h="11906" w:orient="landscape"/>
          <w:pgMar w:top="1440" w:right="1440" w:bottom="1440" w:left="1440" w:header="708" w:footer="708" w:gutter="0"/>
          <w:cols w:space="708"/>
          <w:docGrid w:linePitch="360"/>
        </w:sectPr>
      </w:pPr>
    </w:p>
    <w:tbl>
      <w:tblPr>
        <w:tblpPr w:leftFromText="180" w:rightFromText="180" w:horzAnchor="margin" w:tblpY="-422"/>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0381"/>
      </w:tblGrid>
      <w:tr w:rsidR="00865A4D" w:rsidRPr="00865A4D" w:rsidTr="00CA0311">
        <w:trPr>
          <w:tblHeader/>
        </w:trPr>
        <w:tc>
          <w:tcPr>
            <w:tcW w:w="3227" w:type="dxa"/>
            <w:tcBorders>
              <w:top w:val="single" w:sz="4" w:space="0" w:color="auto"/>
              <w:left w:val="single" w:sz="4" w:space="0" w:color="auto"/>
              <w:bottom w:val="single" w:sz="4" w:space="0" w:color="auto"/>
              <w:right w:val="single" w:sz="4" w:space="0" w:color="auto"/>
            </w:tcBorders>
            <w:shd w:val="clear" w:color="auto" w:fill="00988E"/>
          </w:tcPr>
          <w:p w:rsidR="00865A4D" w:rsidRPr="00865A4D" w:rsidRDefault="00865A4D" w:rsidP="00865A4D">
            <w:pPr>
              <w:rPr>
                <w:rFonts w:ascii="Arial" w:hAnsi="Arial" w:cs="Arial"/>
                <w:color w:val="FFFFFF"/>
                <w:sz w:val="32"/>
                <w:szCs w:val="32"/>
              </w:rPr>
            </w:pPr>
            <w:r w:rsidRPr="00865A4D">
              <w:rPr>
                <w:rFonts w:ascii="Arial" w:hAnsi="Arial" w:cs="Arial"/>
                <w:b/>
                <w:bCs/>
                <w:color w:val="FFFFFF"/>
                <w:sz w:val="32"/>
                <w:szCs w:val="32"/>
              </w:rPr>
              <w:lastRenderedPageBreak/>
              <w:t>Quality Statement 5</w:t>
            </w:r>
          </w:p>
        </w:tc>
        <w:tc>
          <w:tcPr>
            <w:tcW w:w="10381" w:type="dxa"/>
            <w:tcBorders>
              <w:top w:val="single" w:sz="4" w:space="0" w:color="auto"/>
              <w:left w:val="single" w:sz="4" w:space="0" w:color="auto"/>
              <w:bottom w:val="single" w:sz="4" w:space="0" w:color="auto"/>
              <w:right w:val="single" w:sz="4" w:space="0" w:color="auto"/>
            </w:tcBorders>
          </w:tcPr>
          <w:p w:rsidR="00865A4D" w:rsidRPr="00865A4D" w:rsidRDefault="00A01682" w:rsidP="00865A4D">
            <w:pPr>
              <w:rPr>
                <w:rFonts w:ascii="Arial" w:hAnsi="Arial" w:cs="Arial"/>
                <w:b/>
                <w:sz w:val="22"/>
                <w:szCs w:val="22"/>
              </w:rPr>
            </w:pPr>
            <w:r w:rsidRPr="00A01682">
              <w:rPr>
                <w:rFonts w:ascii="Arial" w:hAnsi="Arial" w:cs="Arial"/>
                <w:b/>
                <w:sz w:val="22"/>
                <w:szCs w:val="22"/>
                <w:lang w:val="en-AU"/>
              </w:rPr>
              <w:t>A patient with delirium receives care based on their risk of falls and pressure injuries.</w:t>
            </w:r>
          </w:p>
        </w:tc>
      </w:tr>
      <w:tr w:rsidR="00865A4D" w:rsidRPr="00865A4D" w:rsidTr="00CA0311">
        <w:trPr>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rsidR="00865A4D" w:rsidRPr="00865A4D" w:rsidRDefault="00865A4D" w:rsidP="00865A4D">
            <w:pPr>
              <w:rPr>
                <w:rFonts w:ascii="Arial" w:hAnsi="Arial" w:cs="Arial"/>
                <w:b/>
              </w:rPr>
            </w:pPr>
            <w:r w:rsidRPr="00865A4D">
              <w:rPr>
                <w:rFonts w:ascii="Arial" w:hAnsi="Arial" w:cs="Arial"/>
                <w:b/>
              </w:rPr>
              <w:t xml:space="preserve">EVIDENCE SOURCES </w:t>
            </w:r>
          </w:p>
        </w:tc>
      </w:tr>
      <w:tr w:rsidR="00865A4D" w:rsidRPr="00865A4D" w:rsidTr="00CA0311">
        <w:trPr>
          <w:trHeight w:val="90"/>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 xml:space="preserve">Australian Guidelines </w:t>
            </w:r>
          </w:p>
        </w:tc>
      </w:tr>
      <w:tr w:rsidR="00865A4D" w:rsidRPr="00865A4D" w:rsidTr="00CA0311">
        <w:trPr>
          <w:cantSplit/>
          <w:trHeight w:val="90"/>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5"/>
              </w:numPr>
              <w:autoSpaceDE w:val="0"/>
              <w:autoSpaceDN w:val="0"/>
              <w:adjustRightInd w:val="0"/>
              <w:spacing w:after="120"/>
              <w:contextualSpacing/>
              <w:rPr>
                <w:rFonts w:ascii="Arial" w:hAnsi="Arial" w:cs="Arial"/>
                <w:sz w:val="20"/>
                <w:szCs w:val="20"/>
                <w:lang w:val="en-AU"/>
              </w:rPr>
            </w:pPr>
            <w:proofErr w:type="gramStart"/>
            <w:r w:rsidRPr="00865A4D">
              <w:rPr>
                <w:rFonts w:ascii="Arial" w:hAnsi="Arial" w:cs="Arial"/>
                <w:sz w:val="20"/>
                <w:szCs w:val="20"/>
                <w:lang w:val="en-AU" w:eastAsia="en-AU"/>
              </w:rPr>
              <w:t>Clinical Epidemiology and Health Service Evaluation Unit, Melbourne Health, Delirium Clinical Guidelines Expert Working Group.</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Clinical Practice Guidelines for the Management of Delirium in Older People.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2006</w:t>
            </w:r>
            <w:proofErr w:type="gramEnd"/>
            <w:r w:rsidRPr="00865A4D">
              <w:rPr>
                <w:rFonts w:ascii="Arial" w:hAnsi="Arial" w:cs="Arial"/>
                <w:sz w:val="20"/>
                <w:szCs w:val="20"/>
                <w:lang w:val="en-AU" w:eastAsia="en-AU"/>
              </w:rPr>
              <w:t xml:space="preserve"> (pp.61). Accessed May 2015 at:</w:t>
            </w:r>
            <w:r w:rsidRPr="00865A4D">
              <w:rPr>
                <w:lang w:val="en-AU"/>
              </w:rPr>
              <w:t xml:space="preserve"> </w:t>
            </w:r>
            <w:hyperlink r:id="rId39" w:history="1">
              <w:r w:rsidRPr="00865A4D">
                <w:rPr>
                  <w:rFonts w:ascii="Arial" w:hAnsi="Arial" w:cs="Arial"/>
                  <w:color w:val="0000FF"/>
                  <w:sz w:val="20"/>
                  <w:szCs w:val="20"/>
                  <w:u w:val="single"/>
                  <w:lang w:val="en-AU" w:eastAsia="en-AU"/>
                </w:rPr>
                <w:t>http://docs.health.vic.gov.au/docs/doc/Clinical-Practice-Guidelines-for-the-Management-of-Delirium-in-Older-People---October-2006</w:t>
              </w:r>
            </w:hyperlink>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autoSpaceDE w:val="0"/>
              <w:autoSpaceDN w:val="0"/>
              <w:adjustRightInd w:val="0"/>
              <w:rPr>
                <w:rFonts w:ascii="Arial" w:hAnsi="Arial" w:cs="Arial"/>
                <w:b/>
                <w:sz w:val="20"/>
                <w:szCs w:val="20"/>
              </w:rPr>
            </w:pPr>
            <w:r w:rsidRPr="00865A4D">
              <w:rPr>
                <w:rFonts w:ascii="Arial" w:hAnsi="Arial" w:cs="Arial"/>
                <w:b/>
                <w:sz w:val="20"/>
                <w:szCs w:val="20"/>
              </w:rPr>
              <w:t>International Guidelines</w:t>
            </w:r>
          </w:p>
        </w:tc>
      </w:tr>
      <w:tr w:rsidR="00865A4D" w:rsidRPr="00865A4D" w:rsidTr="00CA0311">
        <w:trPr>
          <w:cantSplit/>
          <w:trHeight w:val="571"/>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6"/>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National Institute for Health and Clinical Excellence.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diagnosis, prevention and management; Clinical Guideline 103.</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London: NICE, 2010 (pp.241).</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 xml:space="preserve">Accessed May 2015 at: </w:t>
            </w:r>
            <w:r w:rsidRPr="00865A4D">
              <w:rPr>
                <w:lang w:val="en-AU"/>
              </w:rPr>
              <w:t xml:space="preserve"> </w:t>
            </w:r>
            <w:hyperlink r:id="rId40" w:history="1">
              <w:r w:rsidRPr="00865A4D">
                <w:rPr>
                  <w:rFonts w:ascii="Arial" w:hAnsi="Arial" w:cs="Arial"/>
                  <w:color w:val="0000FF"/>
                  <w:sz w:val="20"/>
                  <w:szCs w:val="20"/>
                  <w:u w:val="single"/>
                  <w:lang w:val="en-AU" w:eastAsia="en-AU"/>
                </w:rPr>
                <w:t>https://www.nice.org.uk/guidance/cg103</w:t>
              </w:r>
            </w:hyperlink>
            <w:r w:rsidRPr="00865A4D">
              <w:rPr>
                <w:rFonts w:ascii="Arial" w:hAnsi="Arial" w:cs="Arial"/>
                <w:sz w:val="20"/>
                <w:szCs w:val="20"/>
                <w:lang w:val="en-AU" w:eastAsia="en-AU"/>
              </w:rPr>
              <w:t>.</w:t>
            </w:r>
            <w:proofErr w:type="gramEnd"/>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Additional Sources</w:t>
            </w:r>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tcPr>
          <w:p w:rsidR="00865A4D" w:rsidRPr="00865A4D" w:rsidRDefault="00865A4D" w:rsidP="00865A4D">
            <w:pPr>
              <w:numPr>
                <w:ilvl w:val="0"/>
                <w:numId w:val="17"/>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Australian and New Zealand Society for Geriatric Medicine.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in Older People: Position Statement 13.</w:t>
            </w:r>
            <w:proofErr w:type="gramEnd"/>
            <w:r w:rsidRPr="00865A4D">
              <w:rPr>
                <w:rFonts w:ascii="Arial" w:hAnsi="Arial" w:cs="Arial"/>
                <w:sz w:val="20"/>
                <w:szCs w:val="20"/>
                <w:lang w:val="en-AU" w:eastAsia="en-AU"/>
              </w:rPr>
              <w:t xml:space="preserve"> 2012. Accessed May 2015 at:</w:t>
            </w:r>
            <w:r w:rsidRPr="00865A4D">
              <w:rPr>
                <w:lang w:val="en-AU"/>
              </w:rPr>
              <w:t xml:space="preserve"> </w:t>
            </w:r>
            <w:hyperlink r:id="rId41" w:history="1">
              <w:r w:rsidRPr="00865A4D">
                <w:rPr>
                  <w:rFonts w:ascii="Arial" w:hAnsi="Arial" w:cs="Arial"/>
                  <w:color w:val="0000FF"/>
                  <w:sz w:val="20"/>
                  <w:szCs w:val="20"/>
                  <w:u w:val="single"/>
                  <w:lang w:val="en-AU" w:eastAsia="en-AU"/>
                </w:rPr>
                <w:t>http://www.anzsgm.org/documents/PS13DeliriumstatementRevision2012.pdf</w:t>
              </w:r>
            </w:hyperlink>
          </w:p>
          <w:p w:rsidR="00865A4D" w:rsidRPr="00865A4D" w:rsidRDefault="00865A4D" w:rsidP="00865A4D">
            <w:pPr>
              <w:numPr>
                <w:ilvl w:val="0"/>
                <w:numId w:val="17"/>
              </w:numPr>
              <w:autoSpaceDE w:val="0"/>
              <w:autoSpaceDN w:val="0"/>
              <w:adjustRightInd w:val="0"/>
              <w:contextualSpacing/>
              <w:rPr>
                <w:rFonts w:ascii="Arial" w:hAnsi="Arial" w:cs="Arial"/>
                <w:sz w:val="20"/>
                <w:szCs w:val="20"/>
                <w:lang w:val="en-AU" w:eastAsia="en-AU"/>
              </w:rPr>
            </w:pPr>
            <w:r w:rsidRPr="00865A4D">
              <w:rPr>
                <w:rFonts w:ascii="Arial" w:hAnsi="Arial" w:cs="Arial"/>
                <w:sz w:val="20"/>
                <w:szCs w:val="20"/>
                <w:lang w:val="en-AU" w:eastAsia="en-AU"/>
              </w:rPr>
              <w:t xml:space="preserve">O'Keeffe S, </w:t>
            </w:r>
            <w:proofErr w:type="spellStart"/>
            <w:r w:rsidRPr="00865A4D">
              <w:rPr>
                <w:rFonts w:ascii="Arial" w:hAnsi="Arial" w:cs="Arial"/>
                <w:sz w:val="20"/>
                <w:szCs w:val="20"/>
                <w:lang w:val="en-AU" w:eastAsia="en-AU"/>
              </w:rPr>
              <w:t>Lavan</w:t>
            </w:r>
            <w:proofErr w:type="spellEnd"/>
            <w:r w:rsidRPr="00865A4D">
              <w:rPr>
                <w:rFonts w:ascii="Arial" w:hAnsi="Arial" w:cs="Arial"/>
                <w:sz w:val="20"/>
                <w:szCs w:val="20"/>
                <w:lang w:val="en-AU" w:eastAsia="en-AU"/>
              </w:rPr>
              <w:t xml:space="preserve"> J. </w:t>
            </w:r>
            <w:proofErr w:type="gramStart"/>
            <w:r w:rsidRPr="00865A4D">
              <w:rPr>
                <w:rFonts w:ascii="Arial" w:hAnsi="Arial" w:cs="Arial"/>
                <w:sz w:val="20"/>
                <w:szCs w:val="20"/>
                <w:lang w:val="en-AU" w:eastAsia="en-AU"/>
              </w:rPr>
              <w:t>The prognostic significance of delirium in older hospital patients.</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Journal of the American Geriatrics Society.</w:t>
            </w:r>
            <w:proofErr w:type="gramEnd"/>
            <w:r w:rsidRPr="00865A4D">
              <w:rPr>
                <w:rFonts w:ascii="Arial" w:hAnsi="Arial" w:cs="Arial"/>
                <w:sz w:val="20"/>
                <w:szCs w:val="20"/>
                <w:lang w:val="en-AU" w:eastAsia="en-AU"/>
              </w:rPr>
              <w:t xml:space="preserve"> 1997</w:t>
            </w:r>
            <w:proofErr w:type="gramStart"/>
            <w:r w:rsidRPr="00865A4D">
              <w:rPr>
                <w:rFonts w:ascii="Arial" w:hAnsi="Arial" w:cs="Arial"/>
                <w:sz w:val="20"/>
                <w:szCs w:val="20"/>
                <w:lang w:val="en-AU" w:eastAsia="en-AU"/>
              </w:rPr>
              <w:t>;45</w:t>
            </w:r>
            <w:proofErr w:type="gramEnd"/>
            <w:r w:rsidRPr="00865A4D">
              <w:rPr>
                <w:rFonts w:ascii="Arial" w:hAnsi="Arial" w:cs="Arial"/>
                <w:sz w:val="20"/>
                <w:szCs w:val="20"/>
                <w:lang w:val="en-AU" w:eastAsia="en-AU"/>
              </w:rPr>
              <w:t xml:space="preserve">(2):174-8: </w:t>
            </w:r>
            <w:hyperlink r:id="rId42" w:history="1">
              <w:r w:rsidRPr="00865A4D">
                <w:rPr>
                  <w:rFonts w:ascii="Arial" w:hAnsi="Arial" w:cs="Arial"/>
                  <w:color w:val="0000FF"/>
                  <w:sz w:val="20"/>
                  <w:szCs w:val="20"/>
                  <w:u w:val="single"/>
                  <w:lang w:val="en-AU" w:eastAsia="en-AU"/>
                </w:rPr>
                <w:t>http://www.ncbi.nlm.nih.gov/pubmed/9033515</w:t>
              </w:r>
            </w:hyperlink>
            <w:r w:rsidRPr="00865A4D">
              <w:rPr>
                <w:rFonts w:ascii="Arial" w:hAnsi="Arial" w:cs="Arial"/>
                <w:sz w:val="20"/>
                <w:szCs w:val="20"/>
                <w:lang w:val="en-AU" w:eastAsia="en-AU"/>
              </w:rPr>
              <w:t>.</w:t>
            </w:r>
          </w:p>
          <w:p w:rsidR="00865A4D" w:rsidRPr="00865A4D" w:rsidRDefault="00865A4D" w:rsidP="00865A4D">
            <w:pPr>
              <w:numPr>
                <w:ilvl w:val="0"/>
                <w:numId w:val="17"/>
              </w:numPr>
              <w:autoSpaceDE w:val="0"/>
              <w:autoSpaceDN w:val="0"/>
              <w:adjustRightInd w:val="0"/>
              <w:ind w:left="709"/>
              <w:contextualSpacing/>
              <w:rPr>
                <w:rFonts w:ascii="Arial" w:hAnsi="Arial" w:cs="Arial"/>
                <w:sz w:val="20"/>
                <w:szCs w:val="20"/>
                <w:lang w:val="en-AU" w:eastAsia="en-AU"/>
              </w:rPr>
            </w:pPr>
            <w:r w:rsidRPr="00865A4D">
              <w:rPr>
                <w:rFonts w:ascii="Arial" w:hAnsi="Arial" w:cs="Arial"/>
                <w:sz w:val="20"/>
                <w:szCs w:val="20"/>
                <w:lang w:val="en-AU" w:eastAsia="en-AU"/>
              </w:rPr>
              <w:t xml:space="preserve">Travers C, Byrne G, </w:t>
            </w:r>
            <w:proofErr w:type="spellStart"/>
            <w:r w:rsidRPr="00865A4D">
              <w:rPr>
                <w:rFonts w:ascii="Arial" w:hAnsi="Arial" w:cs="Arial"/>
                <w:sz w:val="20"/>
                <w:szCs w:val="20"/>
                <w:lang w:val="en-AU" w:eastAsia="en-AU"/>
              </w:rPr>
              <w:t>Pachana</w:t>
            </w:r>
            <w:proofErr w:type="spellEnd"/>
            <w:r w:rsidRPr="00865A4D">
              <w:rPr>
                <w:rFonts w:ascii="Arial" w:hAnsi="Arial" w:cs="Arial"/>
                <w:sz w:val="20"/>
                <w:szCs w:val="20"/>
                <w:lang w:val="en-AU" w:eastAsia="en-AU"/>
              </w:rPr>
              <w:t xml:space="preserve"> N, Klein K, </w:t>
            </w:r>
            <w:proofErr w:type="spellStart"/>
            <w:r w:rsidRPr="00865A4D">
              <w:rPr>
                <w:rFonts w:ascii="Arial" w:hAnsi="Arial" w:cs="Arial"/>
                <w:sz w:val="20"/>
                <w:szCs w:val="20"/>
                <w:lang w:val="en-AU" w:eastAsia="en-AU"/>
              </w:rPr>
              <w:t>Gray</w:t>
            </w:r>
            <w:proofErr w:type="spellEnd"/>
            <w:r w:rsidRPr="00865A4D">
              <w:rPr>
                <w:rFonts w:ascii="Arial" w:hAnsi="Arial" w:cs="Arial"/>
                <w:sz w:val="20"/>
                <w:szCs w:val="20"/>
                <w:lang w:val="en-AU" w:eastAsia="en-AU"/>
              </w:rPr>
              <w:t xml:space="preserve"> L. Delirium in Australian hospitals: a prospective study. </w:t>
            </w:r>
            <w:proofErr w:type="gramStart"/>
            <w:r w:rsidRPr="00865A4D">
              <w:rPr>
                <w:rFonts w:ascii="Arial" w:hAnsi="Arial" w:cs="Arial"/>
                <w:sz w:val="20"/>
                <w:szCs w:val="20"/>
                <w:lang w:val="en-AU" w:eastAsia="en-AU"/>
              </w:rPr>
              <w:t>Current Gerontology and Geriatrics Research.</w:t>
            </w:r>
            <w:proofErr w:type="gramEnd"/>
            <w:r w:rsidRPr="00865A4D">
              <w:rPr>
                <w:rFonts w:ascii="Arial" w:hAnsi="Arial" w:cs="Arial"/>
                <w:sz w:val="20"/>
                <w:szCs w:val="20"/>
                <w:lang w:val="en-AU" w:eastAsia="en-AU"/>
              </w:rPr>
              <w:t xml:space="preserve"> 2013</w:t>
            </w:r>
            <w:proofErr w:type="gramStart"/>
            <w:r w:rsidRPr="00865A4D">
              <w:rPr>
                <w:rFonts w:ascii="Arial" w:hAnsi="Arial" w:cs="Arial"/>
                <w:sz w:val="20"/>
                <w:szCs w:val="20"/>
                <w:lang w:val="en-AU" w:eastAsia="en-AU"/>
              </w:rPr>
              <w:t>;2013:ID284780</w:t>
            </w:r>
            <w:proofErr w:type="gramEnd"/>
            <w:r w:rsidRPr="00865A4D">
              <w:rPr>
                <w:rFonts w:ascii="Arial" w:hAnsi="Arial" w:cs="Arial"/>
                <w:sz w:val="20"/>
                <w:szCs w:val="20"/>
                <w:lang w:val="en-AU" w:eastAsia="en-AU"/>
              </w:rPr>
              <w:t>:</w:t>
            </w:r>
            <w:r w:rsidRPr="00865A4D">
              <w:rPr>
                <w:lang w:val="en-AU"/>
              </w:rPr>
              <w:t xml:space="preserve"> </w:t>
            </w:r>
            <w:hyperlink r:id="rId43" w:history="1">
              <w:r w:rsidRPr="00865A4D">
                <w:rPr>
                  <w:rFonts w:ascii="Arial" w:hAnsi="Arial" w:cs="Arial"/>
                  <w:color w:val="0000FF"/>
                  <w:sz w:val="20"/>
                  <w:szCs w:val="20"/>
                  <w:u w:val="single"/>
                  <w:lang w:val="en-AU" w:eastAsia="en-AU"/>
                </w:rPr>
                <w:t>http://www.hindawi.com/journals/cggr/2013/284780/</w:t>
              </w:r>
            </w:hyperlink>
            <w:r w:rsidRPr="00865A4D">
              <w:rPr>
                <w:rFonts w:ascii="Arial" w:hAnsi="Arial" w:cs="Arial"/>
                <w:sz w:val="20"/>
                <w:szCs w:val="20"/>
                <w:lang w:val="en-AU" w:eastAsia="en-AU"/>
              </w:rPr>
              <w:t>.</w:t>
            </w:r>
          </w:p>
          <w:p w:rsidR="00865A4D" w:rsidRPr="00865A4D" w:rsidRDefault="00865A4D" w:rsidP="00865A4D">
            <w:pPr>
              <w:numPr>
                <w:ilvl w:val="0"/>
                <w:numId w:val="17"/>
              </w:numPr>
              <w:autoSpaceDE w:val="0"/>
              <w:autoSpaceDN w:val="0"/>
              <w:adjustRightInd w:val="0"/>
              <w:contextualSpacing/>
              <w:rPr>
                <w:rFonts w:ascii="Arial" w:hAnsi="Arial" w:cs="Arial"/>
                <w:sz w:val="20"/>
                <w:szCs w:val="20"/>
                <w:lang w:val="en-AU" w:eastAsia="en-AU"/>
              </w:rPr>
            </w:pPr>
            <w:r w:rsidRPr="00865A4D">
              <w:rPr>
                <w:rFonts w:ascii="Arial" w:hAnsi="Arial" w:cs="Arial"/>
                <w:sz w:val="20"/>
                <w:szCs w:val="20"/>
                <w:lang w:val="en-AU" w:eastAsia="en-AU"/>
              </w:rPr>
              <w:t xml:space="preserve">Watkin L, Blanchard MR, </w:t>
            </w:r>
            <w:proofErr w:type="spellStart"/>
            <w:r w:rsidRPr="00865A4D">
              <w:rPr>
                <w:rFonts w:ascii="Arial" w:hAnsi="Arial" w:cs="Arial"/>
                <w:sz w:val="20"/>
                <w:szCs w:val="20"/>
                <w:lang w:val="en-AU" w:eastAsia="en-AU"/>
              </w:rPr>
              <w:t>Tookman</w:t>
            </w:r>
            <w:proofErr w:type="spellEnd"/>
            <w:r w:rsidRPr="00865A4D">
              <w:rPr>
                <w:rFonts w:ascii="Arial" w:hAnsi="Arial" w:cs="Arial"/>
                <w:sz w:val="20"/>
                <w:szCs w:val="20"/>
                <w:lang w:val="en-AU" w:eastAsia="en-AU"/>
              </w:rPr>
              <w:t xml:space="preserve"> A, Sampson EL. Prospective cohort study of adverse events in older people admitted to the acute general hospital: risk factors and the impact of dementia. </w:t>
            </w:r>
            <w:proofErr w:type="spellStart"/>
            <w:r w:rsidRPr="00865A4D">
              <w:rPr>
                <w:rFonts w:ascii="Arial" w:hAnsi="Arial" w:cs="Arial"/>
                <w:sz w:val="20"/>
                <w:szCs w:val="20"/>
                <w:lang w:val="en-AU" w:eastAsia="en-AU"/>
              </w:rPr>
              <w:t>Int</w:t>
            </w:r>
            <w:proofErr w:type="spellEnd"/>
            <w:r w:rsidRPr="00865A4D">
              <w:rPr>
                <w:rFonts w:ascii="Arial" w:hAnsi="Arial" w:cs="Arial"/>
                <w:sz w:val="20"/>
                <w:szCs w:val="20"/>
                <w:lang w:val="en-AU" w:eastAsia="en-AU"/>
              </w:rPr>
              <w:t xml:space="preserve"> J </w:t>
            </w:r>
            <w:proofErr w:type="spellStart"/>
            <w:r w:rsidRPr="00865A4D">
              <w:rPr>
                <w:rFonts w:ascii="Arial" w:hAnsi="Arial" w:cs="Arial"/>
                <w:sz w:val="20"/>
                <w:szCs w:val="20"/>
                <w:lang w:val="en-AU" w:eastAsia="en-AU"/>
              </w:rPr>
              <w:t>Geriatr</w:t>
            </w:r>
            <w:proofErr w:type="spellEnd"/>
            <w:r w:rsidRPr="00865A4D">
              <w:rPr>
                <w:rFonts w:ascii="Arial" w:hAnsi="Arial" w:cs="Arial"/>
                <w:sz w:val="20"/>
                <w:szCs w:val="20"/>
                <w:lang w:val="en-AU" w:eastAsia="en-AU"/>
              </w:rPr>
              <w:t xml:space="preserve"> Psychiatry. 2012</w:t>
            </w:r>
            <w:proofErr w:type="gramStart"/>
            <w:r w:rsidRPr="00865A4D">
              <w:rPr>
                <w:rFonts w:ascii="Arial" w:hAnsi="Arial" w:cs="Arial"/>
                <w:sz w:val="20"/>
                <w:szCs w:val="20"/>
                <w:lang w:val="en-AU" w:eastAsia="en-AU"/>
              </w:rPr>
              <w:t>;27</w:t>
            </w:r>
            <w:proofErr w:type="gramEnd"/>
            <w:r w:rsidRPr="00865A4D">
              <w:rPr>
                <w:rFonts w:ascii="Arial" w:hAnsi="Arial" w:cs="Arial"/>
                <w:sz w:val="20"/>
                <w:szCs w:val="20"/>
                <w:lang w:val="en-AU" w:eastAsia="en-AU"/>
              </w:rPr>
              <w:t>(1):76-82.</w:t>
            </w:r>
            <w:hyperlink r:id="rId44" w:history="1">
              <w:r w:rsidRPr="00865A4D">
                <w:rPr>
                  <w:rFonts w:ascii="Arial" w:hAnsi="Arial" w:cs="Arial"/>
                  <w:color w:val="0000FF"/>
                  <w:sz w:val="20"/>
                  <w:szCs w:val="20"/>
                  <w:u w:val="single"/>
                  <w:lang w:eastAsia="en-AU"/>
                </w:rPr>
                <w:t>http://www.ncbi.nlm.nih.gov/pubmed/21360591</w:t>
              </w:r>
            </w:hyperlink>
            <w:r w:rsidRPr="00865A4D">
              <w:rPr>
                <w:rFonts w:ascii="Arial" w:hAnsi="Arial" w:cs="Arial"/>
                <w:sz w:val="20"/>
                <w:szCs w:val="20"/>
                <w:lang w:eastAsia="en-AU"/>
              </w:rPr>
              <w:t>.</w:t>
            </w:r>
            <w:r w:rsidRPr="00865A4D">
              <w:rPr>
                <w:lang w:val="en-AU"/>
              </w:rPr>
              <w:t xml:space="preserve"> </w:t>
            </w:r>
          </w:p>
        </w:tc>
      </w:tr>
    </w:tbl>
    <w:p w:rsidR="00865A4D" w:rsidRPr="00865A4D" w:rsidRDefault="00865A4D" w:rsidP="00865A4D">
      <w:pPr>
        <w:tabs>
          <w:tab w:val="left" w:pos="2175"/>
        </w:tabs>
      </w:pPr>
    </w:p>
    <w:p w:rsidR="00865A4D" w:rsidRPr="00865A4D" w:rsidRDefault="00865A4D" w:rsidP="00865A4D"/>
    <w:p w:rsidR="00865A4D" w:rsidRPr="00865A4D" w:rsidRDefault="00865A4D" w:rsidP="00865A4D"/>
    <w:p w:rsidR="00865A4D" w:rsidRPr="00865A4D" w:rsidRDefault="00865A4D" w:rsidP="00865A4D">
      <w:pPr>
        <w:ind w:firstLine="720"/>
        <w:sectPr w:rsidR="00865A4D" w:rsidRPr="00865A4D" w:rsidSect="00C768B6">
          <w:pgSz w:w="16838" w:h="11906" w:orient="landscape"/>
          <w:pgMar w:top="1440" w:right="1440" w:bottom="1440" w:left="1440" w:header="708" w:footer="708" w:gutter="0"/>
          <w:cols w:space="708"/>
          <w:docGrid w:linePitch="360"/>
        </w:sectPr>
      </w:pPr>
    </w:p>
    <w:tbl>
      <w:tblPr>
        <w:tblpPr w:leftFromText="180" w:rightFromText="180" w:horzAnchor="margin" w:tblpY="-422"/>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0381"/>
      </w:tblGrid>
      <w:tr w:rsidR="00865A4D" w:rsidRPr="00865A4D" w:rsidTr="00CA0311">
        <w:trPr>
          <w:tblHeader/>
        </w:trPr>
        <w:tc>
          <w:tcPr>
            <w:tcW w:w="3227" w:type="dxa"/>
            <w:tcBorders>
              <w:top w:val="single" w:sz="4" w:space="0" w:color="auto"/>
              <w:left w:val="single" w:sz="4" w:space="0" w:color="auto"/>
              <w:bottom w:val="single" w:sz="4" w:space="0" w:color="auto"/>
              <w:right w:val="single" w:sz="4" w:space="0" w:color="auto"/>
            </w:tcBorders>
            <w:shd w:val="clear" w:color="auto" w:fill="00988E"/>
          </w:tcPr>
          <w:p w:rsidR="00865A4D" w:rsidRPr="00865A4D" w:rsidRDefault="00865A4D" w:rsidP="00865A4D">
            <w:pPr>
              <w:rPr>
                <w:rFonts w:ascii="Arial" w:hAnsi="Arial" w:cs="Arial"/>
                <w:color w:val="FFFFFF"/>
                <w:sz w:val="32"/>
                <w:szCs w:val="32"/>
              </w:rPr>
            </w:pPr>
            <w:r w:rsidRPr="00865A4D">
              <w:rPr>
                <w:rFonts w:ascii="Arial" w:hAnsi="Arial" w:cs="Arial"/>
                <w:b/>
                <w:bCs/>
                <w:color w:val="FFFFFF"/>
                <w:sz w:val="32"/>
                <w:szCs w:val="32"/>
              </w:rPr>
              <w:lastRenderedPageBreak/>
              <w:t>Quality Statement 6</w:t>
            </w:r>
          </w:p>
        </w:tc>
        <w:tc>
          <w:tcPr>
            <w:tcW w:w="10381" w:type="dxa"/>
            <w:tcBorders>
              <w:top w:val="single" w:sz="4" w:space="0" w:color="auto"/>
              <w:left w:val="single" w:sz="4" w:space="0" w:color="auto"/>
              <w:bottom w:val="single" w:sz="4" w:space="0" w:color="auto"/>
              <w:right w:val="single" w:sz="4" w:space="0" w:color="auto"/>
            </w:tcBorders>
          </w:tcPr>
          <w:p w:rsidR="00865A4D" w:rsidRPr="00865A4D" w:rsidRDefault="00A01682" w:rsidP="00865A4D">
            <w:pPr>
              <w:rPr>
                <w:rFonts w:ascii="Arial" w:hAnsi="Arial" w:cs="Arial"/>
                <w:b/>
                <w:sz w:val="22"/>
                <w:szCs w:val="22"/>
              </w:rPr>
            </w:pPr>
            <w:r w:rsidRPr="00A01682">
              <w:rPr>
                <w:rFonts w:ascii="Arial" w:hAnsi="Arial" w:cs="Arial"/>
                <w:b/>
                <w:sz w:val="22"/>
                <w:szCs w:val="22"/>
                <w:lang w:val="en-AU"/>
              </w:rPr>
              <w:t xml:space="preserve">Treatment with an antipsychotic medicine is only considered if a patient with delirium is </w:t>
            </w:r>
            <w:proofErr w:type="gramStart"/>
            <w:r w:rsidRPr="00A01682">
              <w:rPr>
                <w:rFonts w:ascii="Arial" w:hAnsi="Arial" w:cs="Arial"/>
                <w:b/>
                <w:sz w:val="22"/>
                <w:szCs w:val="22"/>
                <w:lang w:val="en-AU"/>
              </w:rPr>
              <w:t>distressed and the cause of their distress cannot be addressed</w:t>
            </w:r>
            <w:proofErr w:type="gramEnd"/>
            <w:r w:rsidRPr="00A01682">
              <w:rPr>
                <w:rFonts w:ascii="Arial" w:hAnsi="Arial" w:cs="Arial"/>
                <w:b/>
                <w:sz w:val="22"/>
                <w:szCs w:val="22"/>
                <w:lang w:val="en-AU"/>
              </w:rPr>
              <w:t xml:space="preserve"> and non-drug strategies have failed to ease their symptoms.</w:t>
            </w:r>
          </w:p>
        </w:tc>
      </w:tr>
      <w:tr w:rsidR="00865A4D" w:rsidRPr="00865A4D" w:rsidTr="00CA0311">
        <w:trPr>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rsidR="00865A4D" w:rsidRPr="00865A4D" w:rsidRDefault="00865A4D" w:rsidP="00865A4D">
            <w:pPr>
              <w:rPr>
                <w:rFonts w:ascii="Arial" w:hAnsi="Arial" w:cs="Arial"/>
                <w:b/>
              </w:rPr>
            </w:pPr>
            <w:r w:rsidRPr="00865A4D">
              <w:rPr>
                <w:rFonts w:ascii="Arial" w:hAnsi="Arial" w:cs="Arial"/>
                <w:b/>
              </w:rPr>
              <w:t xml:space="preserve">EVIDENCE SOURCES </w:t>
            </w:r>
          </w:p>
        </w:tc>
      </w:tr>
      <w:tr w:rsidR="00865A4D" w:rsidRPr="00865A4D" w:rsidTr="00CA0311">
        <w:trPr>
          <w:trHeight w:val="90"/>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 xml:space="preserve">Australian Guidelines </w:t>
            </w:r>
          </w:p>
        </w:tc>
      </w:tr>
      <w:tr w:rsidR="00865A4D" w:rsidRPr="00865A4D" w:rsidTr="00CA0311">
        <w:trPr>
          <w:cantSplit/>
          <w:trHeight w:val="90"/>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19"/>
              </w:numPr>
              <w:autoSpaceDE w:val="0"/>
              <w:autoSpaceDN w:val="0"/>
              <w:adjustRightInd w:val="0"/>
              <w:spacing w:after="120"/>
              <w:contextualSpacing/>
              <w:rPr>
                <w:rFonts w:ascii="Arial" w:hAnsi="Arial" w:cs="Arial"/>
                <w:sz w:val="20"/>
                <w:szCs w:val="20"/>
                <w:lang w:val="en-AU"/>
              </w:rPr>
            </w:pPr>
            <w:proofErr w:type="gramStart"/>
            <w:r w:rsidRPr="00865A4D">
              <w:rPr>
                <w:rFonts w:ascii="Arial" w:hAnsi="Arial" w:cs="Arial"/>
                <w:sz w:val="20"/>
                <w:szCs w:val="20"/>
                <w:lang w:val="en-AU" w:eastAsia="en-AU"/>
              </w:rPr>
              <w:t>Clinical Epidemiology and Health Service Evaluation Unit, Melbourne Health, Delirium Clinical Guidelines Expert Working Group.</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Clinical Practice Guidelines for the Management of Delirium in Older People.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2006</w:t>
            </w:r>
            <w:proofErr w:type="gramEnd"/>
            <w:r w:rsidRPr="00865A4D">
              <w:rPr>
                <w:rFonts w:ascii="Arial" w:hAnsi="Arial" w:cs="Arial"/>
                <w:sz w:val="20"/>
                <w:szCs w:val="20"/>
                <w:lang w:val="en-AU" w:eastAsia="en-AU"/>
              </w:rPr>
              <w:t xml:space="preserve"> (pp.64-5). </w:t>
            </w:r>
            <w:proofErr w:type="gramStart"/>
            <w:r w:rsidRPr="00865A4D">
              <w:rPr>
                <w:rFonts w:ascii="Arial" w:hAnsi="Arial" w:cs="Arial"/>
                <w:sz w:val="20"/>
                <w:szCs w:val="20"/>
                <w:lang w:val="en-AU" w:eastAsia="en-AU"/>
              </w:rPr>
              <w:t>Accessed May 2015 at</w:t>
            </w:r>
            <w:r w:rsidRPr="00865A4D">
              <w:rPr>
                <w:lang w:val="en-AU"/>
              </w:rPr>
              <w:t xml:space="preserve"> </w:t>
            </w:r>
            <w:hyperlink r:id="rId45" w:history="1">
              <w:r w:rsidRPr="00865A4D">
                <w:rPr>
                  <w:rFonts w:ascii="Arial" w:hAnsi="Arial" w:cs="Arial"/>
                  <w:color w:val="0000FF"/>
                  <w:sz w:val="20"/>
                  <w:szCs w:val="20"/>
                  <w:u w:val="single"/>
                  <w:lang w:val="en-AU" w:eastAsia="en-AU"/>
                </w:rPr>
                <w:t>http://docs.health.vic.gov.au/docs/doc/Clinical-Practice-Guidelines-for-the-Management-of-Delirium-in-Older-People---October-2006</w:t>
              </w:r>
            </w:hyperlink>
            <w:r w:rsidRPr="00865A4D">
              <w:rPr>
                <w:rFonts w:ascii="Arial" w:hAnsi="Arial" w:cs="Arial"/>
                <w:sz w:val="20"/>
                <w:szCs w:val="20"/>
                <w:lang w:val="en-AU" w:eastAsia="en-AU"/>
              </w:rPr>
              <w:t>.</w:t>
            </w:r>
            <w:proofErr w:type="gramEnd"/>
          </w:p>
          <w:p w:rsidR="00865A4D" w:rsidRPr="00865A4D" w:rsidRDefault="00865A4D" w:rsidP="00865A4D">
            <w:pPr>
              <w:numPr>
                <w:ilvl w:val="0"/>
                <w:numId w:val="14"/>
              </w:numPr>
              <w:autoSpaceDE w:val="0"/>
              <w:autoSpaceDN w:val="0"/>
              <w:adjustRightInd w:val="0"/>
              <w:spacing w:after="120"/>
              <w:contextualSpacing/>
              <w:rPr>
                <w:rFonts w:ascii="Arial" w:hAnsi="Arial" w:cs="Arial"/>
                <w:sz w:val="20"/>
                <w:szCs w:val="20"/>
                <w:lang w:val="en-AU"/>
              </w:rPr>
            </w:pPr>
            <w:r w:rsidRPr="00865A4D">
              <w:rPr>
                <w:rFonts w:ascii="Arial" w:hAnsi="Arial" w:cs="Arial"/>
                <w:sz w:val="20"/>
                <w:szCs w:val="20"/>
                <w:lang w:val="en-AU"/>
              </w:rPr>
              <w:t xml:space="preserve">Psychotropic Expert Group. </w:t>
            </w:r>
            <w:proofErr w:type="gramStart"/>
            <w:r w:rsidRPr="00865A4D">
              <w:rPr>
                <w:rFonts w:ascii="Arial" w:hAnsi="Arial" w:cs="Arial"/>
                <w:sz w:val="20"/>
                <w:szCs w:val="20"/>
                <w:lang w:val="en-AU"/>
              </w:rPr>
              <w:t>Therapeutic Guidelines: Psychotropic.</w:t>
            </w:r>
            <w:proofErr w:type="gramEnd"/>
            <w:r w:rsidRPr="00865A4D">
              <w:rPr>
                <w:rFonts w:ascii="Arial" w:hAnsi="Arial" w:cs="Arial"/>
                <w:sz w:val="20"/>
                <w:szCs w:val="20"/>
                <w:lang w:val="en-AU"/>
              </w:rPr>
              <w:t xml:space="preserve"> Melbourne: Therapeutic Guidelines Limited, 2013</w:t>
            </w:r>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autoSpaceDE w:val="0"/>
              <w:autoSpaceDN w:val="0"/>
              <w:adjustRightInd w:val="0"/>
              <w:rPr>
                <w:rFonts w:ascii="Arial" w:hAnsi="Arial" w:cs="Arial"/>
                <w:b/>
                <w:sz w:val="20"/>
                <w:szCs w:val="20"/>
              </w:rPr>
            </w:pPr>
            <w:r w:rsidRPr="00865A4D">
              <w:rPr>
                <w:rFonts w:ascii="Arial" w:hAnsi="Arial" w:cs="Arial"/>
                <w:b/>
                <w:sz w:val="20"/>
                <w:szCs w:val="20"/>
              </w:rPr>
              <w:t>International Guidelines</w:t>
            </w:r>
          </w:p>
        </w:tc>
      </w:tr>
      <w:tr w:rsidR="00865A4D" w:rsidRPr="00865A4D" w:rsidTr="00CA0311">
        <w:trPr>
          <w:cantSplit/>
          <w:trHeight w:val="523"/>
        </w:trPr>
        <w:tc>
          <w:tcPr>
            <w:tcW w:w="13608" w:type="dxa"/>
            <w:gridSpan w:val="2"/>
            <w:tcBorders>
              <w:top w:val="single" w:sz="4" w:space="0" w:color="auto"/>
              <w:left w:val="single" w:sz="4" w:space="0" w:color="auto"/>
              <w:bottom w:val="single" w:sz="4" w:space="0" w:color="auto"/>
              <w:right w:val="single" w:sz="4" w:space="0" w:color="auto"/>
            </w:tcBorders>
          </w:tcPr>
          <w:p w:rsidR="00865A4D" w:rsidRPr="00865A4D" w:rsidRDefault="00865A4D" w:rsidP="00865A4D">
            <w:pPr>
              <w:numPr>
                <w:ilvl w:val="0"/>
                <w:numId w:val="21"/>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National Institute for Health and Clinical Excellence.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diagnosis, prevention and management; Clinical Guideline 103.</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London: NICE, 2010 (pp.68, 364).</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 xml:space="preserve">Accessed May 2015 at:  </w:t>
            </w:r>
            <w:hyperlink r:id="rId46" w:history="1">
              <w:r w:rsidRPr="00865A4D">
                <w:rPr>
                  <w:rFonts w:ascii="Arial" w:hAnsi="Arial" w:cs="Arial"/>
                  <w:color w:val="0000FF"/>
                  <w:sz w:val="20"/>
                  <w:szCs w:val="20"/>
                  <w:u w:val="single"/>
                  <w:lang w:val="en-AU" w:eastAsia="en-AU"/>
                </w:rPr>
                <w:t>https://www.nice.org.uk/guidance/cg103</w:t>
              </w:r>
            </w:hyperlink>
            <w:r w:rsidRPr="00865A4D">
              <w:rPr>
                <w:rFonts w:ascii="Arial" w:hAnsi="Arial" w:cs="Arial"/>
                <w:sz w:val="20"/>
                <w:szCs w:val="20"/>
                <w:lang w:val="en-AU" w:eastAsia="en-AU"/>
              </w:rPr>
              <w:t>.</w:t>
            </w:r>
            <w:proofErr w:type="gramEnd"/>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865A4D" w:rsidRPr="00865A4D" w:rsidRDefault="00865A4D" w:rsidP="00865A4D">
            <w:pPr>
              <w:rPr>
                <w:rFonts w:ascii="Arial" w:hAnsi="Arial" w:cs="Arial"/>
                <w:b/>
                <w:sz w:val="20"/>
                <w:szCs w:val="20"/>
              </w:rPr>
            </w:pPr>
            <w:r w:rsidRPr="00865A4D">
              <w:rPr>
                <w:rFonts w:ascii="Arial" w:hAnsi="Arial" w:cs="Arial"/>
                <w:b/>
                <w:sz w:val="20"/>
                <w:szCs w:val="20"/>
              </w:rPr>
              <w:t>Additional Sources</w:t>
            </w:r>
          </w:p>
        </w:tc>
      </w:tr>
      <w:tr w:rsidR="00865A4D" w:rsidRPr="00865A4D" w:rsidTr="00CA0311">
        <w:trPr>
          <w:cantSplit/>
          <w:trHeight w:val="90"/>
        </w:trPr>
        <w:tc>
          <w:tcPr>
            <w:tcW w:w="13608" w:type="dxa"/>
            <w:gridSpan w:val="2"/>
            <w:tcBorders>
              <w:top w:val="single" w:sz="4" w:space="0" w:color="auto"/>
              <w:left w:val="single" w:sz="4" w:space="0" w:color="auto"/>
              <w:right w:val="single" w:sz="4" w:space="0" w:color="auto"/>
            </w:tcBorders>
          </w:tcPr>
          <w:p w:rsidR="00865A4D" w:rsidRDefault="00865A4D" w:rsidP="00865A4D">
            <w:pPr>
              <w:numPr>
                <w:ilvl w:val="0"/>
                <w:numId w:val="20"/>
              </w:numPr>
              <w:autoSpaceDE w:val="0"/>
              <w:autoSpaceDN w:val="0"/>
              <w:adjustRightInd w:val="0"/>
              <w:contextualSpacing/>
              <w:rPr>
                <w:rFonts w:ascii="Arial" w:hAnsi="Arial" w:cs="Arial"/>
                <w:sz w:val="20"/>
                <w:szCs w:val="20"/>
                <w:lang w:val="en-AU" w:eastAsia="en-AU"/>
              </w:rPr>
            </w:pPr>
            <w:r w:rsidRPr="00865A4D">
              <w:rPr>
                <w:rFonts w:ascii="Arial" w:hAnsi="Arial" w:cs="Arial"/>
                <w:sz w:val="20"/>
                <w:szCs w:val="20"/>
                <w:lang w:val="en-AU" w:eastAsia="en-AU"/>
              </w:rPr>
              <w:t>AMH Aged Care Companion. Adelaide: Australian Medicines Handbook Pty Ltd; 2014.</w:t>
            </w:r>
          </w:p>
          <w:p w:rsidR="00844FF7" w:rsidRDefault="00844FF7" w:rsidP="00844FF7">
            <w:pPr>
              <w:pStyle w:val="ListParagraph"/>
              <w:numPr>
                <w:ilvl w:val="0"/>
                <w:numId w:val="20"/>
              </w:numPr>
              <w:rPr>
                <w:rFonts w:ascii="Arial" w:hAnsi="Arial" w:cs="Arial"/>
                <w:sz w:val="20"/>
                <w:szCs w:val="20"/>
                <w:lang w:val="en-AU" w:eastAsia="en-AU"/>
              </w:rPr>
            </w:pPr>
            <w:proofErr w:type="gramStart"/>
            <w:r w:rsidRPr="00844FF7">
              <w:rPr>
                <w:rFonts w:ascii="Arial" w:hAnsi="Arial" w:cs="Arial"/>
                <w:sz w:val="20"/>
                <w:szCs w:val="20"/>
                <w:lang w:val="en-AU" w:eastAsia="en-AU"/>
              </w:rPr>
              <w:t>NSW Department of Health.</w:t>
            </w:r>
            <w:proofErr w:type="gramEnd"/>
            <w:r w:rsidRPr="00844FF7">
              <w:rPr>
                <w:rFonts w:ascii="Arial" w:hAnsi="Arial" w:cs="Arial"/>
                <w:sz w:val="20"/>
                <w:szCs w:val="20"/>
                <w:lang w:val="en-AU" w:eastAsia="en-AU"/>
              </w:rPr>
              <w:t xml:space="preserve"> </w:t>
            </w:r>
            <w:proofErr w:type="gramStart"/>
            <w:r w:rsidRPr="00844FF7">
              <w:rPr>
                <w:rFonts w:ascii="Arial" w:hAnsi="Arial" w:cs="Arial"/>
                <w:sz w:val="20"/>
                <w:szCs w:val="20"/>
                <w:lang w:val="en-AU" w:eastAsia="en-AU"/>
              </w:rPr>
              <w:t>Guidelines for working with people with challenging behaviours in residential aged care facilities - using appropriate interventions and minimising restraint.</w:t>
            </w:r>
            <w:proofErr w:type="gramEnd"/>
            <w:r w:rsidRPr="00844FF7">
              <w:rPr>
                <w:rFonts w:ascii="Arial" w:hAnsi="Arial" w:cs="Arial"/>
                <w:sz w:val="20"/>
                <w:szCs w:val="20"/>
                <w:lang w:val="en-AU" w:eastAsia="en-AU"/>
              </w:rPr>
              <w:t xml:space="preserve"> Sydney: NSW Department of Health; 2006 [cited December 2015]. Available from </w:t>
            </w:r>
            <w:hyperlink r:id="rId47" w:history="1">
              <w:r w:rsidRPr="00D31F86">
                <w:rPr>
                  <w:rStyle w:val="Hyperlink"/>
                  <w:rFonts w:ascii="Arial" w:hAnsi="Arial" w:cs="Arial"/>
                  <w:sz w:val="20"/>
                  <w:szCs w:val="20"/>
                  <w:lang w:val="en-AU" w:eastAsia="en-AU"/>
                </w:rPr>
                <w:t>http://www.health.nsw.gov.au/policies/gl/2006/pdf/GL2006_014.pdf</w:t>
              </w:r>
            </w:hyperlink>
          </w:p>
          <w:p w:rsidR="00844FF7" w:rsidRPr="00844FF7" w:rsidRDefault="00844FF7" w:rsidP="00844FF7">
            <w:pPr>
              <w:pStyle w:val="ListParagraph"/>
              <w:numPr>
                <w:ilvl w:val="0"/>
                <w:numId w:val="20"/>
              </w:numPr>
              <w:rPr>
                <w:rFonts w:ascii="Arial" w:hAnsi="Arial" w:cs="Arial"/>
                <w:sz w:val="20"/>
                <w:szCs w:val="20"/>
                <w:lang w:val="en-AU" w:eastAsia="en-AU"/>
              </w:rPr>
            </w:pPr>
            <w:proofErr w:type="spellStart"/>
            <w:r w:rsidRPr="00844FF7">
              <w:rPr>
                <w:rFonts w:ascii="Arial" w:hAnsi="Arial" w:cs="Arial"/>
                <w:sz w:val="20"/>
                <w:szCs w:val="20"/>
                <w:lang w:val="en-AU" w:eastAsia="en-AU"/>
              </w:rPr>
              <w:t>Peisah</w:t>
            </w:r>
            <w:proofErr w:type="spellEnd"/>
            <w:r w:rsidRPr="00844FF7">
              <w:rPr>
                <w:rFonts w:ascii="Arial" w:hAnsi="Arial" w:cs="Arial"/>
                <w:sz w:val="20"/>
                <w:szCs w:val="20"/>
                <w:lang w:val="en-AU" w:eastAsia="en-AU"/>
              </w:rPr>
              <w:t xml:space="preserve"> C, Chan DK, McKay R, </w:t>
            </w:r>
            <w:proofErr w:type="spellStart"/>
            <w:r w:rsidRPr="00844FF7">
              <w:rPr>
                <w:rFonts w:ascii="Arial" w:hAnsi="Arial" w:cs="Arial"/>
                <w:sz w:val="20"/>
                <w:szCs w:val="20"/>
                <w:lang w:val="en-AU" w:eastAsia="en-AU"/>
              </w:rPr>
              <w:t>Kurrle</w:t>
            </w:r>
            <w:proofErr w:type="spellEnd"/>
            <w:r w:rsidRPr="00844FF7">
              <w:rPr>
                <w:rFonts w:ascii="Arial" w:hAnsi="Arial" w:cs="Arial"/>
                <w:sz w:val="20"/>
                <w:szCs w:val="20"/>
                <w:lang w:val="en-AU" w:eastAsia="en-AU"/>
              </w:rPr>
              <w:t xml:space="preserve"> SE, </w:t>
            </w:r>
            <w:proofErr w:type="spellStart"/>
            <w:r w:rsidRPr="00844FF7">
              <w:rPr>
                <w:rFonts w:ascii="Arial" w:hAnsi="Arial" w:cs="Arial"/>
                <w:sz w:val="20"/>
                <w:szCs w:val="20"/>
                <w:lang w:val="en-AU" w:eastAsia="en-AU"/>
              </w:rPr>
              <w:t>Reutens</w:t>
            </w:r>
            <w:proofErr w:type="spellEnd"/>
            <w:r w:rsidRPr="00844FF7">
              <w:rPr>
                <w:rFonts w:ascii="Arial" w:hAnsi="Arial" w:cs="Arial"/>
                <w:sz w:val="20"/>
                <w:szCs w:val="20"/>
                <w:lang w:val="en-AU" w:eastAsia="en-AU"/>
              </w:rPr>
              <w:t xml:space="preserve"> SG. </w:t>
            </w:r>
            <w:proofErr w:type="gramStart"/>
            <w:r w:rsidRPr="00844FF7">
              <w:rPr>
                <w:rFonts w:ascii="Arial" w:hAnsi="Arial" w:cs="Arial"/>
                <w:sz w:val="20"/>
                <w:szCs w:val="20"/>
                <w:lang w:val="en-AU" w:eastAsia="en-AU"/>
              </w:rPr>
              <w:t>Practical guidelines for the acute emergency sedation of the severely agitated older patient.</w:t>
            </w:r>
            <w:proofErr w:type="gramEnd"/>
            <w:r w:rsidRPr="00844FF7">
              <w:rPr>
                <w:rFonts w:ascii="Arial" w:hAnsi="Arial" w:cs="Arial"/>
                <w:sz w:val="20"/>
                <w:szCs w:val="20"/>
                <w:lang w:val="en-AU" w:eastAsia="en-AU"/>
              </w:rPr>
              <w:t xml:space="preserve"> Intern Med J. 2011</w:t>
            </w:r>
            <w:proofErr w:type="gramStart"/>
            <w:r w:rsidRPr="00844FF7">
              <w:rPr>
                <w:rFonts w:ascii="Arial" w:hAnsi="Arial" w:cs="Arial"/>
                <w:sz w:val="20"/>
                <w:szCs w:val="20"/>
                <w:lang w:val="en-AU" w:eastAsia="en-AU"/>
              </w:rPr>
              <w:t>;41</w:t>
            </w:r>
            <w:proofErr w:type="gramEnd"/>
            <w:r w:rsidRPr="00844FF7">
              <w:rPr>
                <w:rFonts w:ascii="Arial" w:hAnsi="Arial" w:cs="Arial"/>
                <w:sz w:val="20"/>
                <w:szCs w:val="20"/>
                <w:lang w:val="en-AU" w:eastAsia="en-AU"/>
              </w:rPr>
              <w:t xml:space="preserve">(9):651-7. </w:t>
            </w:r>
            <w:proofErr w:type="spellStart"/>
            <w:r w:rsidRPr="00844FF7">
              <w:rPr>
                <w:rFonts w:ascii="Arial" w:hAnsi="Arial" w:cs="Arial"/>
                <w:sz w:val="20"/>
                <w:szCs w:val="20"/>
                <w:lang w:val="en-AU" w:eastAsia="en-AU"/>
              </w:rPr>
              <w:t>Epub</w:t>
            </w:r>
            <w:proofErr w:type="spellEnd"/>
            <w:r w:rsidRPr="00844FF7">
              <w:rPr>
                <w:rFonts w:ascii="Arial" w:hAnsi="Arial" w:cs="Arial"/>
                <w:sz w:val="20"/>
                <w:szCs w:val="20"/>
                <w:lang w:val="en-AU" w:eastAsia="en-AU"/>
              </w:rPr>
              <w:t xml:space="preserve"> 2011/09/09</w:t>
            </w:r>
          </w:p>
          <w:p w:rsidR="00844FF7" w:rsidRPr="00844FF7" w:rsidRDefault="00844FF7" w:rsidP="00844FF7">
            <w:pPr>
              <w:pStyle w:val="ListParagraph"/>
              <w:numPr>
                <w:ilvl w:val="0"/>
                <w:numId w:val="20"/>
              </w:numPr>
              <w:rPr>
                <w:rFonts w:ascii="Arial" w:hAnsi="Arial" w:cs="Arial"/>
                <w:sz w:val="20"/>
                <w:szCs w:val="20"/>
                <w:lang w:val="en-AU" w:eastAsia="en-AU"/>
              </w:rPr>
            </w:pPr>
            <w:proofErr w:type="gramStart"/>
            <w:r w:rsidRPr="00844FF7">
              <w:rPr>
                <w:rFonts w:ascii="Arial" w:hAnsi="Arial" w:cs="Arial"/>
                <w:sz w:val="20"/>
                <w:szCs w:val="20"/>
                <w:lang w:val="en-AU" w:eastAsia="en-AU"/>
              </w:rPr>
              <w:t>Australian and New Zealand Society for Geriatric Medicine.</w:t>
            </w:r>
            <w:proofErr w:type="gramEnd"/>
            <w:r w:rsidRPr="00844FF7">
              <w:rPr>
                <w:rFonts w:ascii="Arial" w:hAnsi="Arial" w:cs="Arial"/>
                <w:sz w:val="20"/>
                <w:szCs w:val="20"/>
                <w:lang w:val="en-AU" w:eastAsia="en-AU"/>
              </w:rPr>
              <w:t xml:space="preserve"> </w:t>
            </w:r>
            <w:proofErr w:type="gramStart"/>
            <w:r w:rsidRPr="00844FF7">
              <w:rPr>
                <w:rFonts w:ascii="Arial" w:hAnsi="Arial" w:cs="Arial"/>
                <w:sz w:val="20"/>
                <w:szCs w:val="20"/>
                <w:lang w:val="en-AU" w:eastAsia="en-AU"/>
              </w:rPr>
              <w:t>Delirium in older people: position statement 13.</w:t>
            </w:r>
            <w:proofErr w:type="gramEnd"/>
            <w:r w:rsidRPr="00844FF7">
              <w:rPr>
                <w:rFonts w:ascii="Arial" w:hAnsi="Arial" w:cs="Arial"/>
                <w:sz w:val="20"/>
                <w:szCs w:val="20"/>
                <w:lang w:val="en-AU" w:eastAsia="en-AU"/>
              </w:rPr>
              <w:t xml:space="preserve"> 2012 [cited December 2015]; Available from: http://www.anzsgm.org/documents/PS13DeliriumstatementRevision2012.pdf</w:t>
            </w:r>
          </w:p>
          <w:p w:rsidR="00844FF7" w:rsidRPr="00844FF7" w:rsidRDefault="00844FF7" w:rsidP="00844FF7">
            <w:pPr>
              <w:pStyle w:val="ListParagraph"/>
              <w:numPr>
                <w:ilvl w:val="0"/>
                <w:numId w:val="20"/>
              </w:numPr>
              <w:rPr>
                <w:rFonts w:ascii="Arial" w:hAnsi="Arial" w:cs="Arial"/>
                <w:sz w:val="20"/>
                <w:szCs w:val="20"/>
                <w:lang w:val="en-AU" w:eastAsia="en-AU"/>
              </w:rPr>
            </w:pPr>
            <w:proofErr w:type="gramStart"/>
            <w:r w:rsidRPr="00844FF7">
              <w:rPr>
                <w:rFonts w:ascii="Arial" w:hAnsi="Arial" w:cs="Arial"/>
                <w:sz w:val="20"/>
                <w:szCs w:val="20"/>
                <w:lang w:val="en-AU" w:eastAsia="en-AU"/>
              </w:rPr>
              <w:t>Australian Commission on Safety and Quality in Health Care.</w:t>
            </w:r>
            <w:proofErr w:type="gramEnd"/>
            <w:r w:rsidRPr="00844FF7">
              <w:rPr>
                <w:rFonts w:ascii="Arial" w:hAnsi="Arial" w:cs="Arial"/>
                <w:sz w:val="20"/>
                <w:szCs w:val="20"/>
                <w:lang w:val="en-AU" w:eastAsia="en-AU"/>
              </w:rPr>
              <w:t xml:space="preserve"> Preventing falls and harm from falls in older people. Best practice guidelines for Australian hospitals. Sydney: ACSQHC, 2009.</w:t>
            </w:r>
          </w:p>
          <w:p w:rsidR="00844FF7" w:rsidRPr="00844FF7" w:rsidRDefault="00844FF7" w:rsidP="00844FF7">
            <w:pPr>
              <w:pStyle w:val="ListParagraph"/>
              <w:numPr>
                <w:ilvl w:val="0"/>
                <w:numId w:val="20"/>
              </w:numPr>
              <w:rPr>
                <w:rFonts w:ascii="Arial" w:hAnsi="Arial" w:cs="Arial"/>
                <w:sz w:val="20"/>
                <w:szCs w:val="20"/>
                <w:lang w:val="en-AU" w:eastAsia="en-AU"/>
              </w:rPr>
            </w:pPr>
            <w:proofErr w:type="gramStart"/>
            <w:r w:rsidRPr="00844FF7">
              <w:rPr>
                <w:rFonts w:ascii="Arial" w:hAnsi="Arial" w:cs="Arial"/>
                <w:sz w:val="20"/>
                <w:szCs w:val="20"/>
                <w:lang w:val="en-AU" w:eastAsia="en-AU"/>
              </w:rPr>
              <w:t>Department of Health WA.</w:t>
            </w:r>
            <w:proofErr w:type="gramEnd"/>
            <w:r w:rsidRPr="00844FF7">
              <w:rPr>
                <w:rFonts w:ascii="Arial" w:hAnsi="Arial" w:cs="Arial"/>
                <w:sz w:val="20"/>
                <w:szCs w:val="20"/>
                <w:lang w:val="en-AU" w:eastAsia="en-AU"/>
              </w:rPr>
              <w:t xml:space="preserve"> </w:t>
            </w:r>
            <w:proofErr w:type="gramStart"/>
            <w:r w:rsidRPr="00844FF7">
              <w:rPr>
                <w:rFonts w:ascii="Arial" w:hAnsi="Arial" w:cs="Arial"/>
                <w:sz w:val="20"/>
                <w:szCs w:val="20"/>
                <w:lang w:val="en-AU" w:eastAsia="en-AU"/>
              </w:rPr>
              <w:t>Delirium model of care.</w:t>
            </w:r>
            <w:proofErr w:type="gramEnd"/>
            <w:r w:rsidRPr="00844FF7">
              <w:rPr>
                <w:rFonts w:ascii="Arial" w:hAnsi="Arial" w:cs="Arial"/>
                <w:sz w:val="20"/>
                <w:szCs w:val="20"/>
                <w:lang w:val="en-AU" w:eastAsia="en-AU"/>
              </w:rPr>
              <w:t xml:space="preserve"> </w:t>
            </w:r>
            <w:proofErr w:type="gramStart"/>
            <w:r w:rsidRPr="00844FF7">
              <w:rPr>
                <w:rFonts w:ascii="Arial" w:hAnsi="Arial" w:cs="Arial"/>
                <w:sz w:val="20"/>
                <w:szCs w:val="20"/>
                <w:lang w:val="en-AU" w:eastAsia="en-AU"/>
              </w:rPr>
              <w:t>Perth: Aged Care Network, Department of Health, Western Australia; 2008; Available from: http://www.healthnetworks.health.</w:t>
            </w:r>
            <w:proofErr w:type="gramEnd"/>
            <w:r w:rsidRPr="00844FF7">
              <w:rPr>
                <w:rFonts w:ascii="Arial" w:hAnsi="Arial" w:cs="Arial"/>
                <w:sz w:val="20"/>
                <w:szCs w:val="20"/>
                <w:lang w:val="en-AU" w:eastAsia="en-AU"/>
              </w:rPr>
              <w:t xml:space="preserve"> wa.gov.au/</w:t>
            </w:r>
            <w:proofErr w:type="spellStart"/>
            <w:r w:rsidRPr="00844FF7">
              <w:rPr>
                <w:rFonts w:ascii="Arial" w:hAnsi="Arial" w:cs="Arial"/>
                <w:sz w:val="20"/>
                <w:szCs w:val="20"/>
                <w:lang w:val="en-AU" w:eastAsia="en-AU"/>
              </w:rPr>
              <w:t>modelsofcare</w:t>
            </w:r>
            <w:proofErr w:type="spellEnd"/>
            <w:r w:rsidRPr="00844FF7">
              <w:rPr>
                <w:rFonts w:ascii="Arial" w:hAnsi="Arial" w:cs="Arial"/>
                <w:sz w:val="20"/>
                <w:szCs w:val="20"/>
                <w:lang w:val="en-AU" w:eastAsia="en-AU"/>
              </w:rPr>
              <w:t>/docs/Delirium_Model_of_Care.pdf</w:t>
            </w:r>
          </w:p>
          <w:p w:rsidR="00844FF7" w:rsidRPr="00865A4D" w:rsidRDefault="00844FF7" w:rsidP="00F11AD8">
            <w:pPr>
              <w:autoSpaceDE w:val="0"/>
              <w:autoSpaceDN w:val="0"/>
              <w:adjustRightInd w:val="0"/>
              <w:ind w:left="720"/>
              <w:contextualSpacing/>
              <w:rPr>
                <w:rFonts w:ascii="Arial" w:hAnsi="Arial" w:cs="Arial"/>
                <w:sz w:val="20"/>
                <w:szCs w:val="20"/>
                <w:lang w:val="en-AU" w:eastAsia="en-AU"/>
              </w:rPr>
            </w:pPr>
          </w:p>
        </w:tc>
      </w:tr>
    </w:tbl>
    <w:p w:rsidR="00865A4D" w:rsidRPr="00865A4D" w:rsidRDefault="00865A4D" w:rsidP="00865A4D">
      <w:pPr>
        <w:ind w:firstLine="720"/>
      </w:pPr>
    </w:p>
    <w:p w:rsidR="00865A4D" w:rsidRPr="00865A4D" w:rsidRDefault="00865A4D" w:rsidP="00865A4D"/>
    <w:p w:rsidR="006F531E" w:rsidRDefault="006F531E" w:rsidP="00865A4D">
      <w:pPr>
        <w:tabs>
          <w:tab w:val="left" w:pos="915"/>
        </w:tabs>
      </w:pPr>
    </w:p>
    <w:p w:rsidR="006F531E" w:rsidRDefault="006F531E">
      <w:r>
        <w:br w:type="page"/>
      </w:r>
    </w:p>
    <w:tbl>
      <w:tblPr>
        <w:tblpPr w:leftFromText="180" w:rightFromText="180" w:horzAnchor="margin" w:tblpY="-422"/>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0381"/>
      </w:tblGrid>
      <w:tr w:rsidR="006F531E" w:rsidRPr="00865A4D" w:rsidTr="00F00A1C">
        <w:trPr>
          <w:tblHeader/>
        </w:trPr>
        <w:tc>
          <w:tcPr>
            <w:tcW w:w="3227" w:type="dxa"/>
            <w:tcBorders>
              <w:top w:val="single" w:sz="4" w:space="0" w:color="auto"/>
              <w:left w:val="single" w:sz="4" w:space="0" w:color="auto"/>
              <w:bottom w:val="single" w:sz="4" w:space="0" w:color="auto"/>
              <w:right w:val="single" w:sz="4" w:space="0" w:color="auto"/>
            </w:tcBorders>
            <w:shd w:val="clear" w:color="auto" w:fill="00988E"/>
          </w:tcPr>
          <w:p w:rsidR="006F531E" w:rsidRPr="00865A4D" w:rsidRDefault="006F531E" w:rsidP="00F00A1C">
            <w:pPr>
              <w:rPr>
                <w:rFonts w:ascii="Arial" w:hAnsi="Arial" w:cs="Arial"/>
                <w:color w:val="FFFFFF"/>
                <w:sz w:val="32"/>
                <w:szCs w:val="32"/>
              </w:rPr>
            </w:pPr>
            <w:r w:rsidRPr="00865A4D">
              <w:rPr>
                <w:rFonts w:ascii="Arial" w:hAnsi="Arial" w:cs="Arial"/>
                <w:b/>
                <w:bCs/>
                <w:color w:val="FFFFFF"/>
                <w:sz w:val="32"/>
                <w:szCs w:val="32"/>
              </w:rPr>
              <w:lastRenderedPageBreak/>
              <w:t>Quality Statement 7</w:t>
            </w:r>
          </w:p>
        </w:tc>
        <w:tc>
          <w:tcPr>
            <w:tcW w:w="10381" w:type="dxa"/>
            <w:tcBorders>
              <w:top w:val="single" w:sz="4" w:space="0" w:color="auto"/>
              <w:left w:val="single" w:sz="4" w:space="0" w:color="auto"/>
              <w:bottom w:val="single" w:sz="4" w:space="0" w:color="auto"/>
              <w:right w:val="single" w:sz="4" w:space="0" w:color="auto"/>
            </w:tcBorders>
          </w:tcPr>
          <w:p w:rsidR="006F531E" w:rsidRPr="00865A4D" w:rsidRDefault="006F531E" w:rsidP="00F00A1C">
            <w:pPr>
              <w:rPr>
                <w:rFonts w:ascii="Arial" w:hAnsi="Arial" w:cs="Arial"/>
                <w:b/>
                <w:sz w:val="22"/>
                <w:szCs w:val="22"/>
              </w:rPr>
            </w:pPr>
            <w:r w:rsidRPr="00A01682">
              <w:rPr>
                <w:rFonts w:ascii="Arial" w:hAnsi="Arial" w:cs="Arial"/>
                <w:b/>
                <w:sz w:val="22"/>
                <w:szCs w:val="22"/>
                <w:lang w:val="en-AU"/>
              </w:rPr>
              <w:t xml:space="preserve">Before a patient with current or resolved delirium leaves hospital, the patient and their carer are involved in the development of an individualised care plan and </w:t>
            </w:r>
            <w:proofErr w:type="gramStart"/>
            <w:r w:rsidRPr="00A01682">
              <w:rPr>
                <w:rFonts w:ascii="Arial" w:hAnsi="Arial" w:cs="Arial"/>
                <w:b/>
                <w:sz w:val="22"/>
                <w:szCs w:val="22"/>
                <w:lang w:val="en-AU"/>
              </w:rPr>
              <w:t>are provided</w:t>
            </w:r>
            <w:proofErr w:type="gramEnd"/>
            <w:r w:rsidRPr="00A01682">
              <w:rPr>
                <w:rFonts w:ascii="Arial" w:hAnsi="Arial" w:cs="Arial"/>
                <w:b/>
                <w:sz w:val="22"/>
                <w:szCs w:val="22"/>
                <w:lang w:val="en-AU"/>
              </w:rPr>
              <w:t xml:space="preserve"> with information about delirium. The plan </w:t>
            </w:r>
            <w:proofErr w:type="gramStart"/>
            <w:r w:rsidRPr="00A01682">
              <w:rPr>
                <w:rFonts w:ascii="Arial" w:hAnsi="Arial" w:cs="Arial"/>
                <w:b/>
                <w:sz w:val="22"/>
                <w:szCs w:val="22"/>
                <w:lang w:val="en-AU"/>
              </w:rPr>
              <w:t>is developed</w:t>
            </w:r>
            <w:proofErr w:type="gramEnd"/>
            <w:r w:rsidRPr="00A01682">
              <w:rPr>
                <w:rFonts w:ascii="Arial" w:hAnsi="Arial" w:cs="Arial"/>
                <w:b/>
                <w:sz w:val="22"/>
                <w:szCs w:val="22"/>
                <w:lang w:val="en-AU"/>
              </w:rPr>
              <w:t xml:space="preserve"> collaboratively with the patient’s general practitioner and describes the ongoing care that the patient will require after they leave hospital. It includes a summary of any changes in medicines, strategies to help reduce the risk of delirium and prevent complications from it, and any other ongoing treatments. This plan </w:t>
            </w:r>
            <w:proofErr w:type="gramStart"/>
            <w:r w:rsidRPr="00A01682">
              <w:rPr>
                <w:rFonts w:ascii="Arial" w:hAnsi="Arial" w:cs="Arial"/>
                <w:b/>
                <w:sz w:val="22"/>
                <w:szCs w:val="22"/>
                <w:lang w:val="en-AU"/>
              </w:rPr>
              <w:t>is provided</w:t>
            </w:r>
            <w:proofErr w:type="gramEnd"/>
            <w:r w:rsidRPr="00A01682">
              <w:rPr>
                <w:rFonts w:ascii="Arial" w:hAnsi="Arial" w:cs="Arial"/>
                <w:b/>
                <w:sz w:val="22"/>
                <w:szCs w:val="22"/>
                <w:lang w:val="en-AU"/>
              </w:rPr>
              <w:t xml:space="preserve"> to the patient and their carer before discharge, and to their general practitioner and other ongoing clinical providers within 48 hours of discharge.</w:t>
            </w:r>
          </w:p>
        </w:tc>
      </w:tr>
      <w:tr w:rsidR="006F531E" w:rsidRPr="00865A4D" w:rsidTr="00F00A1C">
        <w:trPr>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auto"/>
          </w:tcPr>
          <w:p w:rsidR="006F531E" w:rsidRPr="00865A4D" w:rsidRDefault="006F531E" w:rsidP="00F00A1C">
            <w:pPr>
              <w:rPr>
                <w:rFonts w:ascii="Arial" w:hAnsi="Arial" w:cs="Arial"/>
                <w:b/>
              </w:rPr>
            </w:pPr>
            <w:r w:rsidRPr="00865A4D">
              <w:rPr>
                <w:rFonts w:ascii="Arial" w:hAnsi="Arial" w:cs="Arial"/>
                <w:b/>
              </w:rPr>
              <w:t xml:space="preserve">EVIDENCE SOURCES </w:t>
            </w:r>
          </w:p>
        </w:tc>
      </w:tr>
      <w:tr w:rsidR="006F531E" w:rsidRPr="00865A4D" w:rsidTr="00F00A1C">
        <w:trPr>
          <w:trHeight w:val="90"/>
          <w:tblHeader/>
        </w:trPr>
        <w:tc>
          <w:tcPr>
            <w:tcW w:w="13608" w:type="dxa"/>
            <w:gridSpan w:val="2"/>
            <w:tcBorders>
              <w:top w:val="single" w:sz="4" w:space="0" w:color="auto"/>
              <w:left w:val="single" w:sz="4" w:space="0" w:color="auto"/>
              <w:bottom w:val="single" w:sz="4" w:space="0" w:color="auto"/>
              <w:right w:val="single" w:sz="4" w:space="0" w:color="auto"/>
            </w:tcBorders>
            <w:shd w:val="clear" w:color="auto" w:fill="DCF1F6"/>
          </w:tcPr>
          <w:p w:rsidR="006F531E" w:rsidRPr="00865A4D" w:rsidRDefault="006F531E" w:rsidP="00F00A1C">
            <w:pPr>
              <w:rPr>
                <w:rFonts w:ascii="Arial" w:hAnsi="Arial" w:cs="Arial"/>
                <w:b/>
                <w:sz w:val="20"/>
                <w:szCs w:val="20"/>
              </w:rPr>
            </w:pPr>
            <w:r w:rsidRPr="00865A4D">
              <w:rPr>
                <w:rFonts w:ascii="Arial" w:hAnsi="Arial" w:cs="Arial"/>
                <w:b/>
                <w:sz w:val="20"/>
                <w:szCs w:val="20"/>
              </w:rPr>
              <w:t xml:space="preserve">Australian Guidelines </w:t>
            </w:r>
          </w:p>
        </w:tc>
      </w:tr>
      <w:tr w:rsidR="006F531E" w:rsidRPr="00865A4D" w:rsidTr="00F00A1C">
        <w:trPr>
          <w:cantSplit/>
          <w:trHeight w:val="90"/>
        </w:trPr>
        <w:tc>
          <w:tcPr>
            <w:tcW w:w="13608" w:type="dxa"/>
            <w:gridSpan w:val="2"/>
            <w:tcBorders>
              <w:top w:val="single" w:sz="4" w:space="0" w:color="auto"/>
              <w:left w:val="single" w:sz="4" w:space="0" w:color="auto"/>
              <w:bottom w:val="single" w:sz="4" w:space="0" w:color="auto"/>
              <w:right w:val="single" w:sz="4" w:space="0" w:color="auto"/>
            </w:tcBorders>
          </w:tcPr>
          <w:p w:rsidR="006F531E" w:rsidRPr="00865A4D" w:rsidRDefault="006F531E" w:rsidP="00F00A1C">
            <w:pPr>
              <w:numPr>
                <w:ilvl w:val="0"/>
                <w:numId w:val="22"/>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Clinical Epidemiology and Health Service Evaluation Unit, Melbourne Health, Delirium Clinical Guidelines Expert Working Group.</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Clinical Practice Guidelines for the Management of Delirium in Older People.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2006</w:t>
            </w:r>
            <w:proofErr w:type="gramEnd"/>
            <w:r w:rsidRPr="00865A4D">
              <w:rPr>
                <w:rFonts w:ascii="Arial" w:hAnsi="Arial" w:cs="Arial"/>
                <w:sz w:val="20"/>
                <w:szCs w:val="20"/>
                <w:lang w:val="en-AU" w:eastAsia="en-AU"/>
              </w:rPr>
              <w:t xml:space="preserve"> (pp 66). Accessed May 2015 at:</w:t>
            </w:r>
            <w:r w:rsidRPr="00865A4D">
              <w:rPr>
                <w:lang w:val="en-AU"/>
              </w:rPr>
              <w:t xml:space="preserve"> </w:t>
            </w:r>
            <w:hyperlink r:id="rId48" w:history="1">
              <w:r w:rsidRPr="00865A4D">
                <w:rPr>
                  <w:rFonts w:ascii="Arial" w:hAnsi="Arial" w:cs="Arial"/>
                  <w:color w:val="0000FF"/>
                  <w:sz w:val="20"/>
                  <w:szCs w:val="20"/>
                  <w:u w:val="single"/>
                  <w:lang w:val="en-AU" w:eastAsia="en-AU"/>
                </w:rPr>
                <w:t>http://docs.health.vic.gov.au/docs/doc/Clinical-Practice-Guidelines-for-the-Management-of-Delirium-in-Older-People---October-2006</w:t>
              </w:r>
            </w:hyperlink>
          </w:p>
          <w:p w:rsidR="006F531E" w:rsidRPr="00865A4D" w:rsidRDefault="006F531E" w:rsidP="00F00A1C">
            <w:pPr>
              <w:numPr>
                <w:ilvl w:val="0"/>
                <w:numId w:val="22"/>
              </w:numPr>
              <w:autoSpaceDE w:val="0"/>
              <w:autoSpaceDN w:val="0"/>
              <w:adjustRightInd w:val="0"/>
              <w:contextualSpacing/>
              <w:rPr>
                <w:rFonts w:ascii="Arial" w:hAnsi="Arial" w:cs="Arial"/>
                <w:sz w:val="20"/>
                <w:szCs w:val="20"/>
                <w:lang w:val="en-AU"/>
              </w:rPr>
            </w:pPr>
            <w:r w:rsidRPr="00865A4D">
              <w:rPr>
                <w:rFonts w:ascii="Arial" w:hAnsi="Arial" w:cs="Arial"/>
                <w:sz w:val="20"/>
                <w:szCs w:val="20"/>
                <w:lang w:val="en-AU" w:eastAsia="en-AU"/>
              </w:rPr>
              <w:t xml:space="preserve">Psychotropic Expert Group. </w:t>
            </w:r>
            <w:proofErr w:type="gramStart"/>
            <w:r w:rsidRPr="00865A4D">
              <w:rPr>
                <w:rFonts w:ascii="Arial" w:hAnsi="Arial" w:cs="Arial"/>
                <w:sz w:val="20"/>
                <w:szCs w:val="20"/>
                <w:lang w:val="en-AU" w:eastAsia="en-AU"/>
              </w:rPr>
              <w:t>Therapeutic Guidelines: Psychotropic.</w:t>
            </w:r>
            <w:proofErr w:type="gramEnd"/>
            <w:r w:rsidRPr="00865A4D">
              <w:rPr>
                <w:rFonts w:ascii="Arial" w:hAnsi="Arial" w:cs="Arial"/>
                <w:sz w:val="20"/>
                <w:szCs w:val="20"/>
                <w:lang w:val="en-AU" w:eastAsia="en-AU"/>
              </w:rPr>
              <w:t xml:space="preserve"> Melbourne: Therapeutic Guidelines Limited, 2013</w:t>
            </w:r>
          </w:p>
        </w:tc>
      </w:tr>
      <w:tr w:rsidR="006F531E" w:rsidRPr="00865A4D" w:rsidTr="00F00A1C">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6F531E" w:rsidRPr="00865A4D" w:rsidRDefault="006F531E" w:rsidP="00F00A1C">
            <w:pPr>
              <w:autoSpaceDE w:val="0"/>
              <w:autoSpaceDN w:val="0"/>
              <w:adjustRightInd w:val="0"/>
              <w:rPr>
                <w:rFonts w:ascii="Arial" w:hAnsi="Arial" w:cs="Arial"/>
                <w:b/>
                <w:sz w:val="20"/>
                <w:szCs w:val="20"/>
              </w:rPr>
            </w:pPr>
            <w:r w:rsidRPr="00865A4D">
              <w:rPr>
                <w:rFonts w:ascii="Arial" w:hAnsi="Arial" w:cs="Arial"/>
                <w:b/>
                <w:sz w:val="20"/>
                <w:szCs w:val="20"/>
              </w:rPr>
              <w:t>International Guidelines</w:t>
            </w:r>
          </w:p>
        </w:tc>
      </w:tr>
      <w:tr w:rsidR="006F531E" w:rsidRPr="00865A4D" w:rsidTr="00F00A1C">
        <w:trPr>
          <w:cantSplit/>
          <w:trHeight w:val="599"/>
        </w:trPr>
        <w:tc>
          <w:tcPr>
            <w:tcW w:w="13608" w:type="dxa"/>
            <w:gridSpan w:val="2"/>
            <w:tcBorders>
              <w:top w:val="single" w:sz="4" w:space="0" w:color="auto"/>
              <w:left w:val="single" w:sz="4" w:space="0" w:color="auto"/>
              <w:bottom w:val="single" w:sz="4" w:space="0" w:color="auto"/>
              <w:right w:val="single" w:sz="4" w:space="0" w:color="auto"/>
            </w:tcBorders>
          </w:tcPr>
          <w:p w:rsidR="006F531E" w:rsidRPr="00865A4D" w:rsidRDefault="006F531E" w:rsidP="00F00A1C">
            <w:pPr>
              <w:numPr>
                <w:ilvl w:val="0"/>
                <w:numId w:val="23"/>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eastAsia="en-AU"/>
              </w:rPr>
              <w:t>National Institute for Health and Clinical Excellence.</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Delirium: diagnosis, prevention and management; Clinical Guideline 103.</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London: NICE, 2010 (pp.68).</w:t>
            </w:r>
            <w:proofErr w:type="gramEnd"/>
            <w:r w:rsidRPr="00865A4D">
              <w:rPr>
                <w:rFonts w:ascii="Arial" w:hAnsi="Arial" w:cs="Arial"/>
                <w:sz w:val="20"/>
                <w:szCs w:val="20"/>
                <w:lang w:val="en-AU" w:eastAsia="en-AU"/>
              </w:rPr>
              <w:t xml:space="preserve"> </w:t>
            </w:r>
            <w:proofErr w:type="gramStart"/>
            <w:r w:rsidRPr="00865A4D">
              <w:rPr>
                <w:rFonts w:ascii="Arial" w:hAnsi="Arial" w:cs="Arial"/>
                <w:sz w:val="20"/>
                <w:szCs w:val="20"/>
                <w:lang w:val="en-AU" w:eastAsia="en-AU"/>
              </w:rPr>
              <w:t xml:space="preserve">Accessed May 2015 at:  </w:t>
            </w:r>
            <w:hyperlink r:id="rId49" w:history="1">
              <w:r w:rsidRPr="00865A4D">
                <w:rPr>
                  <w:rFonts w:ascii="Arial" w:hAnsi="Arial" w:cs="Arial"/>
                  <w:color w:val="0000FF"/>
                  <w:sz w:val="20"/>
                  <w:szCs w:val="20"/>
                  <w:u w:val="single"/>
                  <w:lang w:val="en-AU" w:eastAsia="en-AU"/>
                </w:rPr>
                <w:t>https://www.nice.org.uk/guidance/cg103</w:t>
              </w:r>
            </w:hyperlink>
            <w:r w:rsidRPr="00865A4D">
              <w:rPr>
                <w:rFonts w:ascii="Arial" w:hAnsi="Arial" w:cs="Arial"/>
                <w:sz w:val="20"/>
                <w:szCs w:val="20"/>
                <w:lang w:val="en-AU" w:eastAsia="en-AU"/>
              </w:rPr>
              <w:t>.</w:t>
            </w:r>
            <w:proofErr w:type="gramEnd"/>
          </w:p>
        </w:tc>
      </w:tr>
      <w:tr w:rsidR="006F531E" w:rsidRPr="00865A4D" w:rsidTr="00F00A1C">
        <w:trPr>
          <w:cantSplit/>
          <w:trHeight w:val="90"/>
        </w:trPr>
        <w:tc>
          <w:tcPr>
            <w:tcW w:w="13608" w:type="dxa"/>
            <w:gridSpan w:val="2"/>
            <w:tcBorders>
              <w:top w:val="single" w:sz="4" w:space="0" w:color="auto"/>
              <w:left w:val="single" w:sz="4" w:space="0" w:color="auto"/>
              <w:right w:val="single" w:sz="4" w:space="0" w:color="auto"/>
            </w:tcBorders>
            <w:shd w:val="clear" w:color="auto" w:fill="DCF1F6"/>
          </w:tcPr>
          <w:p w:rsidR="006F531E" w:rsidRPr="00865A4D" w:rsidRDefault="006F531E" w:rsidP="00F00A1C">
            <w:pPr>
              <w:rPr>
                <w:rFonts w:ascii="Arial" w:hAnsi="Arial" w:cs="Arial"/>
                <w:b/>
                <w:sz w:val="20"/>
                <w:szCs w:val="20"/>
              </w:rPr>
            </w:pPr>
            <w:r w:rsidRPr="00865A4D">
              <w:rPr>
                <w:rFonts w:ascii="Arial" w:hAnsi="Arial" w:cs="Arial"/>
                <w:b/>
                <w:sz w:val="20"/>
                <w:szCs w:val="20"/>
              </w:rPr>
              <w:t>Additional Sources</w:t>
            </w:r>
          </w:p>
        </w:tc>
      </w:tr>
      <w:tr w:rsidR="006F531E" w:rsidRPr="00865A4D" w:rsidTr="00F00A1C">
        <w:trPr>
          <w:cantSplit/>
          <w:trHeight w:val="90"/>
        </w:trPr>
        <w:tc>
          <w:tcPr>
            <w:tcW w:w="13608" w:type="dxa"/>
            <w:gridSpan w:val="2"/>
            <w:tcBorders>
              <w:top w:val="single" w:sz="4" w:space="0" w:color="auto"/>
              <w:left w:val="single" w:sz="4" w:space="0" w:color="auto"/>
              <w:right w:val="single" w:sz="4" w:space="0" w:color="auto"/>
            </w:tcBorders>
          </w:tcPr>
          <w:p w:rsidR="006F531E" w:rsidRPr="00865A4D" w:rsidRDefault="006F531E" w:rsidP="00F00A1C">
            <w:pPr>
              <w:numPr>
                <w:ilvl w:val="0"/>
                <w:numId w:val="24"/>
              </w:numPr>
              <w:autoSpaceDE w:val="0"/>
              <w:autoSpaceDN w:val="0"/>
              <w:adjustRightInd w:val="0"/>
              <w:contextualSpacing/>
              <w:rPr>
                <w:rFonts w:ascii="Arial" w:hAnsi="Arial" w:cs="Arial"/>
                <w:sz w:val="20"/>
                <w:szCs w:val="20"/>
                <w:lang w:val="en-AU" w:eastAsia="en-AU"/>
              </w:rPr>
            </w:pPr>
            <w:proofErr w:type="gramStart"/>
            <w:r w:rsidRPr="00865A4D">
              <w:rPr>
                <w:rFonts w:ascii="Arial" w:hAnsi="Arial" w:cs="Arial"/>
                <w:sz w:val="20"/>
                <w:szCs w:val="20"/>
                <w:lang w:val="en-AU"/>
              </w:rPr>
              <w:t>UK NHS.</w:t>
            </w:r>
            <w:proofErr w:type="gramEnd"/>
            <w:r w:rsidRPr="00865A4D">
              <w:rPr>
                <w:rFonts w:ascii="Arial" w:hAnsi="Arial" w:cs="Arial"/>
                <w:sz w:val="20"/>
                <w:szCs w:val="20"/>
                <w:lang w:val="en-AU"/>
              </w:rPr>
              <w:t xml:space="preserve"> What is a care plan? </w:t>
            </w:r>
            <w:proofErr w:type="gramStart"/>
            <w:r w:rsidRPr="00865A4D">
              <w:rPr>
                <w:rFonts w:ascii="Arial" w:hAnsi="Arial" w:cs="Arial"/>
                <w:sz w:val="20"/>
                <w:szCs w:val="20"/>
                <w:lang w:val="en-AU"/>
              </w:rPr>
              <w:t xml:space="preserve">Accessed May 2015 at: </w:t>
            </w:r>
            <w:hyperlink r:id="rId50" w:history="1">
              <w:r w:rsidRPr="00865A4D">
                <w:rPr>
                  <w:rFonts w:ascii="Arial" w:hAnsi="Arial" w:cs="Arial"/>
                  <w:color w:val="0000FF"/>
                  <w:sz w:val="20"/>
                  <w:szCs w:val="20"/>
                  <w:u w:val="single"/>
                  <w:lang w:val="en-AU"/>
                </w:rPr>
                <w:t>http://www.nhs.uk/Planners/Yourhealth/Pages/Careplan.aspx</w:t>
              </w:r>
            </w:hyperlink>
            <w:r w:rsidRPr="00865A4D">
              <w:rPr>
                <w:rFonts w:ascii="Arial" w:hAnsi="Arial" w:cs="Arial"/>
                <w:sz w:val="20"/>
                <w:szCs w:val="20"/>
                <w:lang w:val="en-AU"/>
              </w:rPr>
              <w:t>.</w:t>
            </w:r>
            <w:proofErr w:type="gramEnd"/>
            <w:r w:rsidRPr="00865A4D">
              <w:rPr>
                <w:rFonts w:ascii="Arial" w:hAnsi="Arial" w:cs="Arial"/>
                <w:sz w:val="20"/>
                <w:szCs w:val="20"/>
                <w:lang w:val="en-AU"/>
              </w:rPr>
              <w:t xml:space="preserve"> </w:t>
            </w:r>
          </w:p>
        </w:tc>
      </w:tr>
    </w:tbl>
    <w:p w:rsidR="006F531E" w:rsidRDefault="006F531E" w:rsidP="00865A4D">
      <w:pPr>
        <w:tabs>
          <w:tab w:val="left" w:pos="915"/>
        </w:tabs>
      </w:pPr>
    </w:p>
    <w:p w:rsidR="00865A4D" w:rsidRDefault="00865A4D" w:rsidP="00865A4D">
      <w:pPr>
        <w:tabs>
          <w:tab w:val="left" w:pos="915"/>
        </w:tabs>
      </w:pPr>
    </w:p>
    <w:p w:rsidR="006F531E" w:rsidRDefault="006F531E" w:rsidP="00865A4D">
      <w:pPr>
        <w:tabs>
          <w:tab w:val="left" w:pos="915"/>
        </w:tabs>
      </w:pPr>
    </w:p>
    <w:sectPr w:rsidR="006F531E" w:rsidSect="006F531E">
      <w:footerReference w:type="default" r:id="rId5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E6" w:rsidRDefault="000C41E6">
      <w:r>
        <w:separator/>
      </w:r>
    </w:p>
  </w:endnote>
  <w:endnote w:type="continuationSeparator" w:id="0">
    <w:p w:rsidR="000C41E6" w:rsidRDefault="000C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AB" w:rsidRDefault="003B4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49AB" w:rsidRDefault="003B49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50"/>
      <w:docPartObj>
        <w:docPartGallery w:val="Page Numbers (Bottom of Page)"/>
        <w:docPartUnique/>
      </w:docPartObj>
    </w:sdtPr>
    <w:sdtEndPr>
      <w:rPr>
        <w:rFonts w:ascii="Arial" w:hAnsi="Arial" w:cs="Arial"/>
        <w:noProof/>
        <w:sz w:val="18"/>
        <w:szCs w:val="18"/>
      </w:rPr>
    </w:sdtEndPr>
    <w:sdtContent>
      <w:p w:rsidR="003B49AB" w:rsidRPr="00CC178F" w:rsidRDefault="003B49AB">
        <w:pPr>
          <w:pStyle w:val="Footer"/>
          <w:jc w:val="right"/>
          <w:rPr>
            <w:rFonts w:ascii="Arial" w:hAnsi="Arial" w:cs="Arial"/>
            <w:sz w:val="18"/>
            <w:szCs w:val="18"/>
          </w:rPr>
        </w:pPr>
        <w:r w:rsidRPr="00CC178F">
          <w:rPr>
            <w:rFonts w:ascii="Arial" w:hAnsi="Arial" w:cs="Arial"/>
            <w:sz w:val="18"/>
            <w:szCs w:val="18"/>
          </w:rPr>
          <w:fldChar w:fldCharType="begin"/>
        </w:r>
        <w:r w:rsidRPr="00CC178F">
          <w:rPr>
            <w:rFonts w:ascii="Arial" w:hAnsi="Arial" w:cs="Arial"/>
            <w:sz w:val="18"/>
            <w:szCs w:val="18"/>
          </w:rPr>
          <w:instrText xml:space="preserve"> PAGE   \* MERGEFORMAT </w:instrText>
        </w:r>
        <w:r w:rsidRPr="00CC178F">
          <w:rPr>
            <w:rFonts w:ascii="Arial" w:hAnsi="Arial" w:cs="Arial"/>
            <w:sz w:val="18"/>
            <w:szCs w:val="18"/>
          </w:rPr>
          <w:fldChar w:fldCharType="separate"/>
        </w:r>
        <w:r w:rsidR="00F15498">
          <w:rPr>
            <w:rFonts w:ascii="Arial" w:hAnsi="Arial" w:cs="Arial"/>
            <w:noProof/>
            <w:sz w:val="18"/>
            <w:szCs w:val="18"/>
          </w:rPr>
          <w:t>2</w:t>
        </w:r>
        <w:r w:rsidRPr="00CC178F">
          <w:rPr>
            <w:rFonts w:ascii="Arial" w:hAnsi="Arial" w:cs="Arial"/>
            <w:noProof/>
            <w:sz w:val="18"/>
            <w:szCs w:val="18"/>
          </w:rPr>
          <w:fldChar w:fldCharType="end"/>
        </w:r>
      </w:p>
    </w:sdtContent>
  </w:sdt>
  <w:p w:rsidR="003B49AB" w:rsidRPr="00FE3400" w:rsidRDefault="003B49AB">
    <w:pPr>
      <w:pStyle w:val="Footer"/>
      <w:ind w:right="360"/>
      <w:rPr>
        <w:rFonts w:ascii="Arial" w:hAnsi="Arial" w:cs="Arial"/>
        <w:sz w:val="18"/>
        <w:szCs w:val="18"/>
      </w:rPr>
    </w:pPr>
    <w:r>
      <w:rPr>
        <w:rFonts w:ascii="Arial" w:hAnsi="Arial" w:cs="Arial"/>
        <w:sz w:val="18"/>
        <w:szCs w:val="18"/>
      </w:rPr>
      <w:t xml:space="preserve">Evidence Sources: </w:t>
    </w:r>
    <w:r w:rsidR="00865A4D">
      <w:rPr>
        <w:rFonts w:ascii="Arial" w:hAnsi="Arial" w:cs="Arial"/>
        <w:sz w:val="18"/>
        <w:szCs w:val="18"/>
      </w:rPr>
      <w:t>Delirium</w:t>
    </w:r>
    <w:r>
      <w:rPr>
        <w:rFonts w:ascii="Arial" w:hAnsi="Arial" w:cs="Arial"/>
        <w:sz w:val="18"/>
        <w:szCs w:val="18"/>
      </w:rPr>
      <w:t xml:space="preserve"> Clinical Care Standard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952525"/>
      <w:docPartObj>
        <w:docPartGallery w:val="Page Numbers (Bottom of Page)"/>
        <w:docPartUnique/>
      </w:docPartObj>
    </w:sdtPr>
    <w:sdtEndPr>
      <w:rPr>
        <w:rFonts w:ascii="Arial" w:hAnsi="Arial" w:cs="Arial"/>
        <w:noProof/>
        <w:sz w:val="18"/>
        <w:szCs w:val="18"/>
      </w:rPr>
    </w:sdtEndPr>
    <w:sdtContent>
      <w:p w:rsidR="003B49AB" w:rsidRPr="00CB69D9" w:rsidRDefault="003B49AB">
        <w:pPr>
          <w:pStyle w:val="Footer"/>
          <w:jc w:val="right"/>
          <w:rPr>
            <w:rFonts w:ascii="Arial" w:hAnsi="Arial" w:cs="Arial"/>
            <w:sz w:val="18"/>
            <w:szCs w:val="18"/>
          </w:rPr>
        </w:pPr>
        <w:r w:rsidRPr="00CB69D9">
          <w:rPr>
            <w:rFonts w:ascii="Arial" w:hAnsi="Arial" w:cs="Arial"/>
            <w:sz w:val="18"/>
            <w:szCs w:val="18"/>
          </w:rPr>
          <w:fldChar w:fldCharType="begin"/>
        </w:r>
        <w:r w:rsidRPr="00CB69D9">
          <w:rPr>
            <w:rFonts w:ascii="Arial" w:hAnsi="Arial" w:cs="Arial"/>
            <w:sz w:val="18"/>
            <w:szCs w:val="18"/>
          </w:rPr>
          <w:instrText xml:space="preserve"> PAGE   \* MERGEFORMAT </w:instrText>
        </w:r>
        <w:r w:rsidRPr="00CB69D9">
          <w:rPr>
            <w:rFonts w:ascii="Arial" w:hAnsi="Arial" w:cs="Arial"/>
            <w:sz w:val="18"/>
            <w:szCs w:val="18"/>
          </w:rPr>
          <w:fldChar w:fldCharType="separate"/>
        </w:r>
        <w:r w:rsidR="00F15498">
          <w:rPr>
            <w:rFonts w:ascii="Arial" w:hAnsi="Arial" w:cs="Arial"/>
            <w:noProof/>
            <w:sz w:val="18"/>
            <w:szCs w:val="18"/>
          </w:rPr>
          <w:t>9</w:t>
        </w:r>
        <w:r w:rsidRPr="00CB69D9">
          <w:rPr>
            <w:rFonts w:ascii="Arial" w:hAnsi="Arial" w:cs="Arial"/>
            <w:noProof/>
            <w:sz w:val="18"/>
            <w:szCs w:val="18"/>
          </w:rPr>
          <w:fldChar w:fldCharType="end"/>
        </w:r>
      </w:p>
    </w:sdtContent>
  </w:sdt>
  <w:p w:rsidR="003B49AB" w:rsidRPr="00FE3400" w:rsidRDefault="003B49AB" w:rsidP="00CC178F">
    <w:pPr>
      <w:pStyle w:val="Footer"/>
      <w:ind w:right="360"/>
      <w:rPr>
        <w:rFonts w:ascii="Arial" w:hAnsi="Arial" w:cs="Arial"/>
        <w:sz w:val="18"/>
        <w:szCs w:val="18"/>
      </w:rPr>
    </w:pPr>
    <w:r>
      <w:rPr>
        <w:rFonts w:ascii="Arial" w:hAnsi="Arial" w:cs="Arial"/>
        <w:sz w:val="18"/>
        <w:szCs w:val="18"/>
      </w:rPr>
      <w:t xml:space="preserve">Evidence Sources: </w:t>
    </w:r>
    <w:r w:rsidR="00F15498">
      <w:rPr>
        <w:rFonts w:ascii="Arial" w:hAnsi="Arial" w:cs="Arial"/>
        <w:sz w:val="18"/>
        <w:szCs w:val="18"/>
      </w:rPr>
      <w:t>Delirium</w:t>
    </w:r>
    <w:r>
      <w:rPr>
        <w:rFonts w:ascii="Arial" w:hAnsi="Arial" w:cs="Arial"/>
        <w:sz w:val="18"/>
        <w:szCs w:val="18"/>
      </w:rPr>
      <w:t xml:space="preserve"> Clinical Care Standard </w:t>
    </w:r>
  </w:p>
  <w:p w:rsidR="003B49AB" w:rsidRPr="002A5AD5" w:rsidRDefault="003B49AB">
    <w:pPr>
      <w:pStyle w:val="Footer"/>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E6" w:rsidRDefault="000C41E6">
      <w:r>
        <w:separator/>
      </w:r>
    </w:p>
  </w:footnote>
  <w:footnote w:type="continuationSeparator" w:id="0">
    <w:p w:rsidR="000C41E6" w:rsidRDefault="000C4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E91"/>
    <w:multiLevelType w:val="hybridMultilevel"/>
    <w:tmpl w:val="B1BABAEE"/>
    <w:lvl w:ilvl="0" w:tplc="A2D409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2171A1"/>
    <w:multiLevelType w:val="hybridMultilevel"/>
    <w:tmpl w:val="9394F8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2A0E03"/>
    <w:multiLevelType w:val="hybridMultilevel"/>
    <w:tmpl w:val="82543B3A"/>
    <w:lvl w:ilvl="0" w:tplc="139213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1A25F1"/>
    <w:multiLevelType w:val="hybridMultilevel"/>
    <w:tmpl w:val="72DCD3DC"/>
    <w:lvl w:ilvl="0" w:tplc="DEC604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8A1C1D"/>
    <w:multiLevelType w:val="hybridMultilevel"/>
    <w:tmpl w:val="5C2463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AE0CC9"/>
    <w:multiLevelType w:val="hybridMultilevel"/>
    <w:tmpl w:val="4CC235EC"/>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nsid w:val="1C3A14EF"/>
    <w:multiLevelType w:val="hybridMultilevel"/>
    <w:tmpl w:val="21422EB0"/>
    <w:lvl w:ilvl="0" w:tplc="602A973A">
      <w:start w:val="1"/>
      <w:numFmt w:val="decimal"/>
      <w:lvlText w:val="%1."/>
      <w:lvlJc w:val="left"/>
      <w:pPr>
        <w:ind w:left="786"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5080C"/>
    <w:multiLevelType w:val="hybridMultilevel"/>
    <w:tmpl w:val="EB3602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33E30A2"/>
    <w:multiLevelType w:val="hybridMultilevel"/>
    <w:tmpl w:val="147AFB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5572E71"/>
    <w:multiLevelType w:val="hybridMultilevel"/>
    <w:tmpl w:val="B39CD856"/>
    <w:lvl w:ilvl="0" w:tplc="ED2C2F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6734CE5"/>
    <w:multiLevelType w:val="hybridMultilevel"/>
    <w:tmpl w:val="388E26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42D6357"/>
    <w:multiLevelType w:val="hybridMultilevel"/>
    <w:tmpl w:val="2794D6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34705A8D"/>
    <w:multiLevelType w:val="hybridMultilevel"/>
    <w:tmpl w:val="18CA7472"/>
    <w:lvl w:ilvl="0" w:tplc="1392132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9CB571D"/>
    <w:multiLevelType w:val="hybridMultilevel"/>
    <w:tmpl w:val="5E8C9A9E"/>
    <w:lvl w:ilvl="0" w:tplc="FB5A43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CD90604"/>
    <w:multiLevelType w:val="hybridMultilevel"/>
    <w:tmpl w:val="FB267F54"/>
    <w:lvl w:ilvl="0" w:tplc="ED2C2F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EDC3201"/>
    <w:multiLevelType w:val="hybridMultilevel"/>
    <w:tmpl w:val="13CA70F2"/>
    <w:lvl w:ilvl="0" w:tplc="3FEA6B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3BF2CA0"/>
    <w:multiLevelType w:val="hybridMultilevel"/>
    <w:tmpl w:val="63400F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94A71F3"/>
    <w:multiLevelType w:val="hybridMultilevel"/>
    <w:tmpl w:val="AE80E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9EF2C2E"/>
    <w:multiLevelType w:val="hybridMultilevel"/>
    <w:tmpl w:val="16CE4A6C"/>
    <w:lvl w:ilvl="0" w:tplc="45EE3D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3E77942"/>
    <w:multiLevelType w:val="hybridMultilevel"/>
    <w:tmpl w:val="36BE603A"/>
    <w:lvl w:ilvl="0" w:tplc="139213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8C4E10"/>
    <w:multiLevelType w:val="hybridMultilevel"/>
    <w:tmpl w:val="DF66D9CA"/>
    <w:lvl w:ilvl="0" w:tplc="139213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E518D9"/>
    <w:multiLevelType w:val="hybridMultilevel"/>
    <w:tmpl w:val="D2A46A26"/>
    <w:lvl w:ilvl="0" w:tplc="ED4ABB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8F07C94"/>
    <w:multiLevelType w:val="hybridMultilevel"/>
    <w:tmpl w:val="AC0481EE"/>
    <w:lvl w:ilvl="0" w:tplc="169601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B7A7E7F"/>
    <w:multiLevelType w:val="hybridMultilevel"/>
    <w:tmpl w:val="5666E35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nsid w:val="7D265C20"/>
    <w:multiLevelType w:val="hybridMultilevel"/>
    <w:tmpl w:val="24589B12"/>
    <w:lvl w:ilvl="0" w:tplc="139213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CE78C5"/>
    <w:multiLevelType w:val="hybridMultilevel"/>
    <w:tmpl w:val="215043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F9138FE"/>
    <w:multiLevelType w:val="hybridMultilevel"/>
    <w:tmpl w:val="A2B2F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0"/>
  </w:num>
  <w:num w:numId="3">
    <w:abstractNumId w:val="19"/>
  </w:num>
  <w:num w:numId="4">
    <w:abstractNumId w:val="24"/>
  </w:num>
  <w:num w:numId="5">
    <w:abstractNumId w:val="12"/>
  </w:num>
  <w:num w:numId="6">
    <w:abstractNumId w:val="23"/>
  </w:num>
  <w:num w:numId="7">
    <w:abstractNumId w:val="4"/>
  </w:num>
  <w:num w:numId="8">
    <w:abstractNumId w:val="10"/>
  </w:num>
  <w:num w:numId="9">
    <w:abstractNumId w:val="26"/>
  </w:num>
  <w:num w:numId="10">
    <w:abstractNumId w:val="17"/>
  </w:num>
  <w:num w:numId="11">
    <w:abstractNumId w:val="7"/>
  </w:num>
  <w:num w:numId="12">
    <w:abstractNumId w:val="22"/>
  </w:num>
  <w:num w:numId="13">
    <w:abstractNumId w:val="11"/>
  </w:num>
  <w:num w:numId="14">
    <w:abstractNumId w:val="8"/>
  </w:num>
  <w:num w:numId="15">
    <w:abstractNumId w:val="15"/>
  </w:num>
  <w:num w:numId="16">
    <w:abstractNumId w:val="3"/>
  </w:num>
  <w:num w:numId="17">
    <w:abstractNumId w:val="21"/>
  </w:num>
  <w:num w:numId="18">
    <w:abstractNumId w:val="13"/>
  </w:num>
  <w:num w:numId="19">
    <w:abstractNumId w:val="14"/>
  </w:num>
  <w:num w:numId="20">
    <w:abstractNumId w:val="9"/>
  </w:num>
  <w:num w:numId="21">
    <w:abstractNumId w:val="0"/>
  </w:num>
  <w:num w:numId="22">
    <w:abstractNumId w:val="16"/>
  </w:num>
  <w:num w:numId="23">
    <w:abstractNumId w:val="1"/>
  </w:num>
  <w:num w:numId="24">
    <w:abstractNumId w:val="18"/>
  </w:num>
  <w:num w:numId="25">
    <w:abstractNumId w:val="5"/>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D5"/>
    <w:rsid w:val="00000864"/>
    <w:rsid w:val="00003743"/>
    <w:rsid w:val="00013FB5"/>
    <w:rsid w:val="00016DB8"/>
    <w:rsid w:val="00023DF1"/>
    <w:rsid w:val="0002660F"/>
    <w:rsid w:val="00044070"/>
    <w:rsid w:val="00044655"/>
    <w:rsid w:val="00045147"/>
    <w:rsid w:val="00067456"/>
    <w:rsid w:val="0007259C"/>
    <w:rsid w:val="00081ACA"/>
    <w:rsid w:val="000A5D9E"/>
    <w:rsid w:val="000C41E6"/>
    <w:rsid w:val="000D008E"/>
    <w:rsid w:val="000D7485"/>
    <w:rsid w:val="000E434E"/>
    <w:rsid w:val="000E731D"/>
    <w:rsid w:val="000F12E0"/>
    <w:rsid w:val="000F4A15"/>
    <w:rsid w:val="000F57ED"/>
    <w:rsid w:val="00100E10"/>
    <w:rsid w:val="00105619"/>
    <w:rsid w:val="00110255"/>
    <w:rsid w:val="00113BDC"/>
    <w:rsid w:val="00113E64"/>
    <w:rsid w:val="00132D37"/>
    <w:rsid w:val="00136A9A"/>
    <w:rsid w:val="00145290"/>
    <w:rsid w:val="00150089"/>
    <w:rsid w:val="00154167"/>
    <w:rsid w:val="0016462B"/>
    <w:rsid w:val="0017220A"/>
    <w:rsid w:val="0017646B"/>
    <w:rsid w:val="0018756A"/>
    <w:rsid w:val="001A1510"/>
    <w:rsid w:val="001B3443"/>
    <w:rsid w:val="001C2CD0"/>
    <w:rsid w:val="00226380"/>
    <w:rsid w:val="00230EBC"/>
    <w:rsid w:val="00231880"/>
    <w:rsid w:val="00275972"/>
    <w:rsid w:val="002A2FCA"/>
    <w:rsid w:val="002A5AD5"/>
    <w:rsid w:val="002D0657"/>
    <w:rsid w:val="002E16E4"/>
    <w:rsid w:val="002E3BB5"/>
    <w:rsid w:val="002F38DD"/>
    <w:rsid w:val="00300A55"/>
    <w:rsid w:val="00302A00"/>
    <w:rsid w:val="0030786C"/>
    <w:rsid w:val="003111C2"/>
    <w:rsid w:val="0032413B"/>
    <w:rsid w:val="00350786"/>
    <w:rsid w:val="00370A93"/>
    <w:rsid w:val="00382369"/>
    <w:rsid w:val="00382FE2"/>
    <w:rsid w:val="003A03FB"/>
    <w:rsid w:val="003A1432"/>
    <w:rsid w:val="003A5661"/>
    <w:rsid w:val="003B1E82"/>
    <w:rsid w:val="003B2295"/>
    <w:rsid w:val="003B49AB"/>
    <w:rsid w:val="003B60EA"/>
    <w:rsid w:val="003D17F9"/>
    <w:rsid w:val="003F32DF"/>
    <w:rsid w:val="004116C0"/>
    <w:rsid w:val="00414097"/>
    <w:rsid w:val="00420AAC"/>
    <w:rsid w:val="00455D6D"/>
    <w:rsid w:val="004867E2"/>
    <w:rsid w:val="0049758E"/>
    <w:rsid w:val="004B1AFC"/>
    <w:rsid w:val="004E6854"/>
    <w:rsid w:val="004F2DD3"/>
    <w:rsid w:val="00554425"/>
    <w:rsid w:val="00563C15"/>
    <w:rsid w:val="005C2A14"/>
    <w:rsid w:val="005E04C6"/>
    <w:rsid w:val="005E34F1"/>
    <w:rsid w:val="0060309A"/>
    <w:rsid w:val="0062325D"/>
    <w:rsid w:val="006400CD"/>
    <w:rsid w:val="00650C4B"/>
    <w:rsid w:val="0065506F"/>
    <w:rsid w:val="00667E62"/>
    <w:rsid w:val="0067052C"/>
    <w:rsid w:val="00681545"/>
    <w:rsid w:val="00682E48"/>
    <w:rsid w:val="006D3FF5"/>
    <w:rsid w:val="006F14A2"/>
    <w:rsid w:val="006F531E"/>
    <w:rsid w:val="00731750"/>
    <w:rsid w:val="00733FDD"/>
    <w:rsid w:val="00754949"/>
    <w:rsid w:val="007753EA"/>
    <w:rsid w:val="00792F48"/>
    <w:rsid w:val="007A733B"/>
    <w:rsid w:val="007B1CE5"/>
    <w:rsid w:val="007B6CFC"/>
    <w:rsid w:val="007C1E16"/>
    <w:rsid w:val="007C6FEE"/>
    <w:rsid w:val="007D0E65"/>
    <w:rsid w:val="007D3EAC"/>
    <w:rsid w:val="007F442F"/>
    <w:rsid w:val="00802713"/>
    <w:rsid w:val="00805117"/>
    <w:rsid w:val="00817430"/>
    <w:rsid w:val="00825E61"/>
    <w:rsid w:val="008264EB"/>
    <w:rsid w:val="00831595"/>
    <w:rsid w:val="00844FF7"/>
    <w:rsid w:val="00865A4D"/>
    <w:rsid w:val="00880C61"/>
    <w:rsid w:val="008902C5"/>
    <w:rsid w:val="00890CA4"/>
    <w:rsid w:val="008C0394"/>
    <w:rsid w:val="008E2B28"/>
    <w:rsid w:val="008F285E"/>
    <w:rsid w:val="0091295D"/>
    <w:rsid w:val="00942F03"/>
    <w:rsid w:val="00974E53"/>
    <w:rsid w:val="009821D5"/>
    <w:rsid w:val="009A7C78"/>
    <w:rsid w:val="009B6AA0"/>
    <w:rsid w:val="009C7EB1"/>
    <w:rsid w:val="009F6B70"/>
    <w:rsid w:val="00A01214"/>
    <w:rsid w:val="00A01682"/>
    <w:rsid w:val="00A12600"/>
    <w:rsid w:val="00A43257"/>
    <w:rsid w:val="00A4512D"/>
    <w:rsid w:val="00A56474"/>
    <w:rsid w:val="00A705AF"/>
    <w:rsid w:val="00A717AA"/>
    <w:rsid w:val="00A8284E"/>
    <w:rsid w:val="00A859D8"/>
    <w:rsid w:val="00A97004"/>
    <w:rsid w:val="00AD1175"/>
    <w:rsid w:val="00AF1413"/>
    <w:rsid w:val="00AF2B12"/>
    <w:rsid w:val="00B001D2"/>
    <w:rsid w:val="00B04890"/>
    <w:rsid w:val="00B07902"/>
    <w:rsid w:val="00B14360"/>
    <w:rsid w:val="00B256C6"/>
    <w:rsid w:val="00B2596E"/>
    <w:rsid w:val="00B42851"/>
    <w:rsid w:val="00B464EA"/>
    <w:rsid w:val="00B71B77"/>
    <w:rsid w:val="00B95A28"/>
    <w:rsid w:val="00BC4371"/>
    <w:rsid w:val="00BD43B1"/>
    <w:rsid w:val="00BE22E5"/>
    <w:rsid w:val="00BE6FC6"/>
    <w:rsid w:val="00C048D5"/>
    <w:rsid w:val="00C323F4"/>
    <w:rsid w:val="00C6013B"/>
    <w:rsid w:val="00CA6D1F"/>
    <w:rsid w:val="00CA6EEA"/>
    <w:rsid w:val="00CB020A"/>
    <w:rsid w:val="00CB5B1A"/>
    <w:rsid w:val="00CB69D9"/>
    <w:rsid w:val="00CC178F"/>
    <w:rsid w:val="00CC2585"/>
    <w:rsid w:val="00CC3E95"/>
    <w:rsid w:val="00CC773F"/>
    <w:rsid w:val="00CD6D57"/>
    <w:rsid w:val="00D015F9"/>
    <w:rsid w:val="00D05266"/>
    <w:rsid w:val="00D1737E"/>
    <w:rsid w:val="00D365A0"/>
    <w:rsid w:val="00D45C02"/>
    <w:rsid w:val="00D65AC1"/>
    <w:rsid w:val="00D90BEA"/>
    <w:rsid w:val="00D91E1B"/>
    <w:rsid w:val="00DB097C"/>
    <w:rsid w:val="00DF16E6"/>
    <w:rsid w:val="00DF1E8A"/>
    <w:rsid w:val="00E0627A"/>
    <w:rsid w:val="00E116A5"/>
    <w:rsid w:val="00E163E4"/>
    <w:rsid w:val="00E175CD"/>
    <w:rsid w:val="00E34BFC"/>
    <w:rsid w:val="00E707D0"/>
    <w:rsid w:val="00E93845"/>
    <w:rsid w:val="00EB20FA"/>
    <w:rsid w:val="00EB3C2A"/>
    <w:rsid w:val="00ED4B6C"/>
    <w:rsid w:val="00F11AD8"/>
    <w:rsid w:val="00F14441"/>
    <w:rsid w:val="00F15498"/>
    <w:rsid w:val="00F2213D"/>
    <w:rsid w:val="00F42A83"/>
    <w:rsid w:val="00F97DCF"/>
    <w:rsid w:val="00FB04E8"/>
    <w:rsid w:val="00FD1988"/>
    <w:rsid w:val="00FE3400"/>
    <w:rsid w:val="00FE5004"/>
    <w:rsid w:val="00FF001F"/>
    <w:rsid w:val="00FF0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619"/>
    <w:rPr>
      <w:sz w:val="24"/>
      <w:szCs w:val="24"/>
      <w:lang w:val="en-US"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qFormat/>
    <w:rsid w:val="00A4512D"/>
    <w:pPr>
      <w:ind w:left="720"/>
      <w:contextualSpacing/>
    </w:pPr>
  </w:style>
  <w:style w:type="character" w:styleId="Hyperlink">
    <w:name w:val="Hyperlink"/>
    <w:basedOn w:val="DefaultParagraphFont"/>
    <w:rsid w:val="009821D5"/>
    <w:rPr>
      <w:color w:val="0000FF"/>
      <w:u w:val="single"/>
    </w:rPr>
  </w:style>
  <w:style w:type="paragraph" w:customStyle="1" w:styleId="Heading2a">
    <w:name w:val="Heading 2a"/>
    <w:basedOn w:val="Heading2"/>
    <w:next w:val="Normal"/>
    <w:rsid w:val="009821D5"/>
    <w:pPr>
      <w:spacing w:after="240"/>
      <w:outlineLvl w:val="9"/>
    </w:pPr>
    <w:rPr>
      <w:rFonts w:ascii="Calibri" w:hAnsi="Calibri"/>
      <w:i w:val="0"/>
      <w:color w:val="000000"/>
      <w:sz w:val="28"/>
      <w:lang w:eastAsia="en-AU"/>
    </w:rPr>
  </w:style>
  <w:style w:type="paragraph" w:styleId="Footer">
    <w:name w:val="footer"/>
    <w:basedOn w:val="Normal"/>
    <w:link w:val="FooterChar"/>
    <w:uiPriority w:val="99"/>
    <w:rsid w:val="009821D5"/>
    <w:pPr>
      <w:tabs>
        <w:tab w:val="center" w:pos="4153"/>
        <w:tab w:val="right" w:pos="8306"/>
      </w:tabs>
    </w:pPr>
    <w:rPr>
      <w:rFonts w:eastAsia="MS Mincho"/>
      <w:lang w:eastAsia="ja-JP"/>
    </w:rPr>
  </w:style>
  <w:style w:type="character" w:customStyle="1" w:styleId="FooterChar">
    <w:name w:val="Footer Char"/>
    <w:basedOn w:val="DefaultParagraphFont"/>
    <w:link w:val="Footer"/>
    <w:uiPriority w:val="99"/>
    <w:rsid w:val="009821D5"/>
    <w:rPr>
      <w:rFonts w:eastAsia="MS Mincho"/>
      <w:sz w:val="24"/>
      <w:szCs w:val="24"/>
      <w:lang w:val="en-US" w:eastAsia="ja-JP"/>
    </w:rPr>
  </w:style>
  <w:style w:type="character" w:styleId="PageNumber">
    <w:name w:val="page number"/>
    <w:basedOn w:val="DefaultParagraphFont"/>
    <w:rsid w:val="009821D5"/>
  </w:style>
  <w:style w:type="paragraph" w:styleId="Header">
    <w:name w:val="header"/>
    <w:basedOn w:val="Normal"/>
    <w:link w:val="HeaderChar"/>
    <w:rsid w:val="009821D5"/>
    <w:pPr>
      <w:tabs>
        <w:tab w:val="center" w:pos="4153"/>
        <w:tab w:val="right" w:pos="8306"/>
      </w:tabs>
    </w:pPr>
    <w:rPr>
      <w:rFonts w:eastAsia="MS Mincho"/>
      <w:lang w:eastAsia="ja-JP"/>
    </w:rPr>
  </w:style>
  <w:style w:type="character" w:customStyle="1" w:styleId="HeaderChar">
    <w:name w:val="Header Char"/>
    <w:basedOn w:val="DefaultParagraphFont"/>
    <w:link w:val="Header"/>
    <w:rsid w:val="009821D5"/>
    <w:rPr>
      <w:rFonts w:eastAsia="MS Mincho"/>
      <w:sz w:val="24"/>
      <w:szCs w:val="24"/>
      <w:lang w:val="en-US" w:eastAsia="ja-JP"/>
    </w:rPr>
  </w:style>
  <w:style w:type="paragraph" w:customStyle="1" w:styleId="Bullet">
    <w:name w:val="Bullet"/>
    <w:basedOn w:val="Normal"/>
    <w:qFormat/>
    <w:rsid w:val="009821D5"/>
    <w:pPr>
      <w:spacing w:after="120"/>
    </w:pPr>
    <w:rPr>
      <w:rFonts w:ascii="Calibri" w:hAnsi="Calibri"/>
      <w:color w:val="000000"/>
      <w:sz w:val="22"/>
      <w:szCs w:val="20"/>
      <w:lang w:val="en-AU" w:eastAsia="en-AU"/>
    </w:rPr>
  </w:style>
  <w:style w:type="paragraph" w:styleId="BalloonText">
    <w:name w:val="Balloon Text"/>
    <w:basedOn w:val="Normal"/>
    <w:link w:val="BalloonTextChar"/>
    <w:rsid w:val="009821D5"/>
    <w:rPr>
      <w:rFonts w:ascii="Tahoma" w:hAnsi="Tahoma" w:cs="Tahoma"/>
      <w:sz w:val="16"/>
      <w:szCs w:val="16"/>
    </w:rPr>
  </w:style>
  <w:style w:type="character" w:customStyle="1" w:styleId="BalloonTextChar">
    <w:name w:val="Balloon Text Char"/>
    <w:basedOn w:val="DefaultParagraphFont"/>
    <w:link w:val="BalloonText"/>
    <w:rsid w:val="009821D5"/>
    <w:rPr>
      <w:rFonts w:ascii="Tahoma" w:hAnsi="Tahoma" w:cs="Tahoma"/>
      <w:sz w:val="16"/>
      <w:szCs w:val="16"/>
      <w:lang w:val="en-US" w:eastAsia="en-US"/>
    </w:rPr>
  </w:style>
  <w:style w:type="character" w:styleId="CommentReference">
    <w:name w:val="annotation reference"/>
    <w:rsid w:val="0016462B"/>
    <w:rPr>
      <w:sz w:val="16"/>
      <w:szCs w:val="16"/>
    </w:rPr>
  </w:style>
  <w:style w:type="paragraph" w:styleId="CommentText">
    <w:name w:val="annotation text"/>
    <w:basedOn w:val="Normal"/>
    <w:link w:val="CommentTextChar"/>
    <w:rsid w:val="0016462B"/>
    <w:rPr>
      <w:rFonts w:eastAsia="MS Mincho"/>
      <w:sz w:val="20"/>
      <w:szCs w:val="20"/>
      <w:lang w:eastAsia="ja-JP"/>
    </w:rPr>
  </w:style>
  <w:style w:type="character" w:customStyle="1" w:styleId="CommentTextChar">
    <w:name w:val="Comment Text Char"/>
    <w:basedOn w:val="DefaultParagraphFont"/>
    <w:link w:val="CommentText"/>
    <w:rsid w:val="0016462B"/>
    <w:rPr>
      <w:rFonts w:eastAsia="MS Mincho"/>
      <w:lang w:val="en-US" w:eastAsia="ja-JP"/>
    </w:rPr>
  </w:style>
  <w:style w:type="character" w:styleId="FollowedHyperlink">
    <w:name w:val="FollowedHyperlink"/>
    <w:basedOn w:val="DefaultParagraphFont"/>
    <w:rsid w:val="00974E53"/>
    <w:rPr>
      <w:color w:val="800080" w:themeColor="followedHyperlink"/>
      <w:u w:val="single"/>
    </w:rPr>
  </w:style>
  <w:style w:type="paragraph" w:customStyle="1" w:styleId="x05-citation">
    <w:name w:val="x05-citation"/>
    <w:basedOn w:val="Normal"/>
    <w:rsid w:val="004116C0"/>
    <w:pPr>
      <w:spacing w:after="120" w:line="200" w:lineRule="atLeast"/>
    </w:pPr>
    <w:rPr>
      <w:rFonts w:ascii="Arial" w:eastAsiaTheme="minorEastAsia" w:hAnsi="Arial" w:cstheme="minorBidi"/>
      <w:color w:val="4D4F4D"/>
      <w:sz w:val="18"/>
      <w:szCs w:val="18"/>
      <w:lang w:val="en-AU"/>
    </w:rPr>
  </w:style>
  <w:style w:type="paragraph" w:customStyle="1" w:styleId="x05-citation-heading">
    <w:name w:val="x05-citation-heading"/>
    <w:basedOn w:val="Normal"/>
    <w:rsid w:val="004116C0"/>
    <w:pPr>
      <w:spacing w:after="120" w:line="280" w:lineRule="atLeast"/>
    </w:pPr>
    <w:rPr>
      <w:rFonts w:ascii="Arial" w:eastAsiaTheme="minorEastAsia" w:hAnsi="Arial" w:cstheme="minorBidi"/>
      <w:b/>
      <w:bCs/>
      <w:color w:val="4D4F4D"/>
      <w:sz w:val="20"/>
      <w:szCs w:val="20"/>
      <w:lang w:val="en-AU"/>
    </w:rPr>
  </w:style>
  <w:style w:type="character" w:customStyle="1" w:styleId="x03-web-hyperlink">
    <w:name w:val="x03-web-hyperlink"/>
    <w:basedOn w:val="DefaultParagraphFont"/>
    <w:rsid w:val="004116C0"/>
    <w:rPr>
      <w:rFonts w:ascii="Arial" w:hAnsi="Arial"/>
      <w:b/>
      <w:bCs/>
      <w:color w:val="00988E"/>
    </w:rPr>
  </w:style>
  <w:style w:type="paragraph" w:customStyle="1" w:styleId="x00-cover-h0">
    <w:name w:val="x00-cover-h0"/>
    <w:basedOn w:val="Normal"/>
    <w:rsid w:val="00B71B77"/>
    <w:pPr>
      <w:jc w:val="right"/>
    </w:pPr>
    <w:rPr>
      <w:rFonts w:ascii="Arial" w:eastAsiaTheme="minorEastAsia" w:hAnsi="Arial" w:cstheme="minorBidi"/>
      <w:color w:val="716F6E"/>
      <w:sz w:val="56"/>
      <w:szCs w:val="56"/>
      <w:lang w:val="en-AU"/>
    </w:rPr>
  </w:style>
  <w:style w:type="paragraph" w:customStyle="1" w:styleId="x00-cover-head-">
    <w:name w:val="x00-cover-head-"/>
    <w:basedOn w:val="Normal"/>
    <w:rsid w:val="00B71B77"/>
    <w:pPr>
      <w:jc w:val="right"/>
    </w:pPr>
    <w:rPr>
      <w:rFonts w:ascii="Arial" w:eastAsiaTheme="minorEastAsia" w:hAnsi="Arial"/>
      <w:b/>
      <w:bCs/>
      <w:color w:val="716F6E"/>
      <w:sz w:val="48"/>
      <w:szCs w:val="4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619"/>
    <w:rPr>
      <w:sz w:val="24"/>
      <w:szCs w:val="24"/>
      <w:lang w:val="en-US"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qFormat/>
    <w:rsid w:val="00A4512D"/>
    <w:pPr>
      <w:ind w:left="720"/>
      <w:contextualSpacing/>
    </w:pPr>
  </w:style>
  <w:style w:type="character" w:styleId="Hyperlink">
    <w:name w:val="Hyperlink"/>
    <w:basedOn w:val="DefaultParagraphFont"/>
    <w:rsid w:val="009821D5"/>
    <w:rPr>
      <w:color w:val="0000FF"/>
      <w:u w:val="single"/>
    </w:rPr>
  </w:style>
  <w:style w:type="paragraph" w:customStyle="1" w:styleId="Heading2a">
    <w:name w:val="Heading 2a"/>
    <w:basedOn w:val="Heading2"/>
    <w:next w:val="Normal"/>
    <w:rsid w:val="009821D5"/>
    <w:pPr>
      <w:spacing w:after="240"/>
      <w:outlineLvl w:val="9"/>
    </w:pPr>
    <w:rPr>
      <w:rFonts w:ascii="Calibri" w:hAnsi="Calibri"/>
      <w:i w:val="0"/>
      <w:color w:val="000000"/>
      <w:sz w:val="28"/>
      <w:lang w:eastAsia="en-AU"/>
    </w:rPr>
  </w:style>
  <w:style w:type="paragraph" w:styleId="Footer">
    <w:name w:val="footer"/>
    <w:basedOn w:val="Normal"/>
    <w:link w:val="FooterChar"/>
    <w:uiPriority w:val="99"/>
    <w:rsid w:val="009821D5"/>
    <w:pPr>
      <w:tabs>
        <w:tab w:val="center" w:pos="4153"/>
        <w:tab w:val="right" w:pos="8306"/>
      </w:tabs>
    </w:pPr>
    <w:rPr>
      <w:rFonts w:eastAsia="MS Mincho"/>
      <w:lang w:eastAsia="ja-JP"/>
    </w:rPr>
  </w:style>
  <w:style w:type="character" w:customStyle="1" w:styleId="FooterChar">
    <w:name w:val="Footer Char"/>
    <w:basedOn w:val="DefaultParagraphFont"/>
    <w:link w:val="Footer"/>
    <w:uiPriority w:val="99"/>
    <w:rsid w:val="009821D5"/>
    <w:rPr>
      <w:rFonts w:eastAsia="MS Mincho"/>
      <w:sz w:val="24"/>
      <w:szCs w:val="24"/>
      <w:lang w:val="en-US" w:eastAsia="ja-JP"/>
    </w:rPr>
  </w:style>
  <w:style w:type="character" w:styleId="PageNumber">
    <w:name w:val="page number"/>
    <w:basedOn w:val="DefaultParagraphFont"/>
    <w:rsid w:val="009821D5"/>
  </w:style>
  <w:style w:type="paragraph" w:styleId="Header">
    <w:name w:val="header"/>
    <w:basedOn w:val="Normal"/>
    <w:link w:val="HeaderChar"/>
    <w:rsid w:val="009821D5"/>
    <w:pPr>
      <w:tabs>
        <w:tab w:val="center" w:pos="4153"/>
        <w:tab w:val="right" w:pos="8306"/>
      </w:tabs>
    </w:pPr>
    <w:rPr>
      <w:rFonts w:eastAsia="MS Mincho"/>
      <w:lang w:eastAsia="ja-JP"/>
    </w:rPr>
  </w:style>
  <w:style w:type="character" w:customStyle="1" w:styleId="HeaderChar">
    <w:name w:val="Header Char"/>
    <w:basedOn w:val="DefaultParagraphFont"/>
    <w:link w:val="Header"/>
    <w:rsid w:val="009821D5"/>
    <w:rPr>
      <w:rFonts w:eastAsia="MS Mincho"/>
      <w:sz w:val="24"/>
      <w:szCs w:val="24"/>
      <w:lang w:val="en-US" w:eastAsia="ja-JP"/>
    </w:rPr>
  </w:style>
  <w:style w:type="paragraph" w:customStyle="1" w:styleId="Bullet">
    <w:name w:val="Bullet"/>
    <w:basedOn w:val="Normal"/>
    <w:qFormat/>
    <w:rsid w:val="009821D5"/>
    <w:pPr>
      <w:spacing w:after="120"/>
    </w:pPr>
    <w:rPr>
      <w:rFonts w:ascii="Calibri" w:hAnsi="Calibri"/>
      <w:color w:val="000000"/>
      <w:sz w:val="22"/>
      <w:szCs w:val="20"/>
      <w:lang w:val="en-AU" w:eastAsia="en-AU"/>
    </w:rPr>
  </w:style>
  <w:style w:type="paragraph" w:styleId="BalloonText">
    <w:name w:val="Balloon Text"/>
    <w:basedOn w:val="Normal"/>
    <w:link w:val="BalloonTextChar"/>
    <w:rsid w:val="009821D5"/>
    <w:rPr>
      <w:rFonts w:ascii="Tahoma" w:hAnsi="Tahoma" w:cs="Tahoma"/>
      <w:sz w:val="16"/>
      <w:szCs w:val="16"/>
    </w:rPr>
  </w:style>
  <w:style w:type="character" w:customStyle="1" w:styleId="BalloonTextChar">
    <w:name w:val="Balloon Text Char"/>
    <w:basedOn w:val="DefaultParagraphFont"/>
    <w:link w:val="BalloonText"/>
    <w:rsid w:val="009821D5"/>
    <w:rPr>
      <w:rFonts w:ascii="Tahoma" w:hAnsi="Tahoma" w:cs="Tahoma"/>
      <w:sz w:val="16"/>
      <w:szCs w:val="16"/>
      <w:lang w:val="en-US" w:eastAsia="en-US"/>
    </w:rPr>
  </w:style>
  <w:style w:type="character" w:styleId="CommentReference">
    <w:name w:val="annotation reference"/>
    <w:rsid w:val="0016462B"/>
    <w:rPr>
      <w:sz w:val="16"/>
      <w:szCs w:val="16"/>
    </w:rPr>
  </w:style>
  <w:style w:type="paragraph" w:styleId="CommentText">
    <w:name w:val="annotation text"/>
    <w:basedOn w:val="Normal"/>
    <w:link w:val="CommentTextChar"/>
    <w:rsid w:val="0016462B"/>
    <w:rPr>
      <w:rFonts w:eastAsia="MS Mincho"/>
      <w:sz w:val="20"/>
      <w:szCs w:val="20"/>
      <w:lang w:eastAsia="ja-JP"/>
    </w:rPr>
  </w:style>
  <w:style w:type="character" w:customStyle="1" w:styleId="CommentTextChar">
    <w:name w:val="Comment Text Char"/>
    <w:basedOn w:val="DefaultParagraphFont"/>
    <w:link w:val="CommentText"/>
    <w:rsid w:val="0016462B"/>
    <w:rPr>
      <w:rFonts w:eastAsia="MS Mincho"/>
      <w:lang w:val="en-US" w:eastAsia="ja-JP"/>
    </w:rPr>
  </w:style>
  <w:style w:type="character" w:styleId="FollowedHyperlink">
    <w:name w:val="FollowedHyperlink"/>
    <w:basedOn w:val="DefaultParagraphFont"/>
    <w:rsid w:val="00974E53"/>
    <w:rPr>
      <w:color w:val="800080" w:themeColor="followedHyperlink"/>
      <w:u w:val="single"/>
    </w:rPr>
  </w:style>
  <w:style w:type="paragraph" w:customStyle="1" w:styleId="x05-citation">
    <w:name w:val="x05-citation"/>
    <w:basedOn w:val="Normal"/>
    <w:rsid w:val="004116C0"/>
    <w:pPr>
      <w:spacing w:after="120" w:line="200" w:lineRule="atLeast"/>
    </w:pPr>
    <w:rPr>
      <w:rFonts w:ascii="Arial" w:eastAsiaTheme="minorEastAsia" w:hAnsi="Arial" w:cstheme="minorBidi"/>
      <w:color w:val="4D4F4D"/>
      <w:sz w:val="18"/>
      <w:szCs w:val="18"/>
      <w:lang w:val="en-AU"/>
    </w:rPr>
  </w:style>
  <w:style w:type="paragraph" w:customStyle="1" w:styleId="x05-citation-heading">
    <w:name w:val="x05-citation-heading"/>
    <w:basedOn w:val="Normal"/>
    <w:rsid w:val="004116C0"/>
    <w:pPr>
      <w:spacing w:after="120" w:line="280" w:lineRule="atLeast"/>
    </w:pPr>
    <w:rPr>
      <w:rFonts w:ascii="Arial" w:eastAsiaTheme="minorEastAsia" w:hAnsi="Arial" w:cstheme="minorBidi"/>
      <w:b/>
      <w:bCs/>
      <w:color w:val="4D4F4D"/>
      <w:sz w:val="20"/>
      <w:szCs w:val="20"/>
      <w:lang w:val="en-AU"/>
    </w:rPr>
  </w:style>
  <w:style w:type="character" w:customStyle="1" w:styleId="x03-web-hyperlink">
    <w:name w:val="x03-web-hyperlink"/>
    <w:basedOn w:val="DefaultParagraphFont"/>
    <w:rsid w:val="004116C0"/>
    <w:rPr>
      <w:rFonts w:ascii="Arial" w:hAnsi="Arial"/>
      <w:b/>
      <w:bCs/>
      <w:color w:val="00988E"/>
    </w:rPr>
  </w:style>
  <w:style w:type="paragraph" w:customStyle="1" w:styleId="x00-cover-h0">
    <w:name w:val="x00-cover-h0"/>
    <w:basedOn w:val="Normal"/>
    <w:rsid w:val="00B71B77"/>
    <w:pPr>
      <w:jc w:val="right"/>
    </w:pPr>
    <w:rPr>
      <w:rFonts w:ascii="Arial" w:eastAsiaTheme="minorEastAsia" w:hAnsi="Arial" w:cstheme="minorBidi"/>
      <w:color w:val="716F6E"/>
      <w:sz w:val="56"/>
      <w:szCs w:val="56"/>
      <w:lang w:val="en-AU"/>
    </w:rPr>
  </w:style>
  <w:style w:type="paragraph" w:customStyle="1" w:styleId="x00-cover-head-">
    <w:name w:val="x00-cover-head-"/>
    <w:basedOn w:val="Normal"/>
    <w:rsid w:val="00B71B77"/>
    <w:pPr>
      <w:jc w:val="right"/>
    </w:pPr>
    <w:rPr>
      <w:rFonts w:ascii="Arial" w:eastAsiaTheme="minorEastAsia" w:hAnsi="Arial"/>
      <w:b/>
      <w:bCs/>
      <w:color w:val="716F6E"/>
      <w:sz w:val="48"/>
      <w:szCs w:val="4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ncbi.nlm.nih.gov/pubmed/23992774" TargetMode="External"/><Relationship Id="rId26" Type="http://schemas.openxmlformats.org/officeDocument/2006/relationships/hyperlink" Target="http://docs.health.vic.gov.au/docs/doc/Clinical-Practice-Guidelines-for-the-Management-of-Delirium-in-Older-People---October-2006" TargetMode="External"/><Relationship Id="rId39" Type="http://schemas.openxmlformats.org/officeDocument/2006/relationships/hyperlink" Target="http://docs.health.vic.gov.au/docs/doc/Clinical-Practice-Guidelines-for-the-Management-of-Delirium-in-Older-People---October-2006" TargetMode="External"/><Relationship Id="rId3" Type="http://schemas.openxmlformats.org/officeDocument/2006/relationships/styles" Target="styles.xml"/><Relationship Id="rId21" Type="http://schemas.openxmlformats.org/officeDocument/2006/relationships/hyperlink" Target="http://www.ncbi.nlm.nih.gov/pubmed/15877566" TargetMode="External"/><Relationship Id="rId34" Type="http://schemas.openxmlformats.org/officeDocument/2006/relationships/hyperlink" Target="https://www.nice.org.uk/guidance/cg103" TargetMode="External"/><Relationship Id="rId42" Type="http://schemas.openxmlformats.org/officeDocument/2006/relationships/hyperlink" Target="http://www.ncbi.nlm.nih.gov/pubmed/9033515" TargetMode="External"/><Relationship Id="rId47" Type="http://schemas.openxmlformats.org/officeDocument/2006/relationships/hyperlink" Target="http://www.health.nsw.gov.au/policies/gl/2006/pdf/GL2006_014.pdf" TargetMode="External"/><Relationship Id="rId50" Type="http://schemas.openxmlformats.org/officeDocument/2006/relationships/hyperlink" Target="http://www.nhs.uk/Planners/Yourhealth/Pages/Careplan.aspx"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ci.health.nsw.gov.au/__data/assets/pdf_file/0006/249171/CHOPS-key-principles_2014.pdf" TargetMode="External"/><Relationship Id="rId25" Type="http://schemas.openxmlformats.org/officeDocument/2006/relationships/hyperlink" Target="http://www.ncbi.nlm.nih.gov/pubmed/15190994" TargetMode="External"/><Relationship Id="rId33" Type="http://schemas.openxmlformats.org/officeDocument/2006/relationships/hyperlink" Target="http://docs.health.vic.gov.au/docs/doc/Clinical-Practice-Guidelines-for-the-Management-of-Delirium-in-Older-People---October-2006" TargetMode="External"/><Relationship Id="rId38" Type="http://schemas.openxmlformats.org/officeDocument/2006/relationships/hyperlink" Target="https://www.nice.org.uk/guidance/cg103" TargetMode="External"/><Relationship Id="rId46" Type="http://schemas.openxmlformats.org/officeDocument/2006/relationships/hyperlink" Target="https://www.nice.org.uk/guidance/cg103" TargetMode="External"/><Relationship Id="rId2" Type="http://schemas.openxmlformats.org/officeDocument/2006/relationships/numbering" Target="numbering.xml"/><Relationship Id="rId16" Type="http://schemas.openxmlformats.org/officeDocument/2006/relationships/hyperlink" Target="http://www.safetyandquality.gov.au/our-work/cognitive-impairment/better-way-to-care/" TargetMode="External"/><Relationship Id="rId20" Type="http://schemas.openxmlformats.org/officeDocument/2006/relationships/hyperlink" Target="http://www.ncbi.nlm.nih.gov/pubmed/1631262" TargetMode="External"/><Relationship Id="rId29" Type="http://schemas.openxmlformats.org/officeDocument/2006/relationships/hyperlink" Target="http://www.ncbi.nlm.nih.gov/pubmed/2240918" TargetMode="External"/><Relationship Id="rId41" Type="http://schemas.openxmlformats.org/officeDocument/2006/relationships/hyperlink" Target="http://www.anzsgm.org/documents/PS13DeliriumstatementRevision2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l@safetyandquality.gov.au" TargetMode="External"/><Relationship Id="rId24" Type="http://schemas.openxmlformats.org/officeDocument/2006/relationships/hyperlink" Target="http://www.ncbi.nlm.nih.gov/pubmed/24590568" TargetMode="External"/><Relationship Id="rId32" Type="http://schemas.openxmlformats.org/officeDocument/2006/relationships/hyperlink" Target="http://www.ncbi.nlm.nih.gov/pubmed/25329203" TargetMode="External"/><Relationship Id="rId37" Type="http://schemas.openxmlformats.org/officeDocument/2006/relationships/hyperlink" Target="http://docs.health.vic.gov.au/docs/doc/Clinical-Practice-Guidelines-for-the-Management-of-Delirium-in-Older-People---October-2006" TargetMode="External"/><Relationship Id="rId40" Type="http://schemas.openxmlformats.org/officeDocument/2006/relationships/hyperlink" Target="https://www.nice.org.uk/guidance/cg103" TargetMode="External"/><Relationship Id="rId45" Type="http://schemas.openxmlformats.org/officeDocument/2006/relationships/hyperlink" Target="http://docs.health.vic.gov.au/docs/doc/Clinical-Practice-Guidelines-for-the-Management-of-Delirium-in-Older-People---October-2006"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ice.org.uk/guidance/cg103" TargetMode="External"/><Relationship Id="rId23" Type="http://schemas.openxmlformats.org/officeDocument/2006/relationships/hyperlink" Target="http://www.ncbi.nlm.nih.gov/pubmed/9447431" TargetMode="External"/><Relationship Id="rId28" Type="http://schemas.openxmlformats.org/officeDocument/2006/relationships/hyperlink" Target="http://www.ncbi.nlm.nih.gov/pubmed/18384586" TargetMode="External"/><Relationship Id="rId36" Type="http://schemas.openxmlformats.org/officeDocument/2006/relationships/hyperlink" Target="http://www.ncbi.nlm.nih.gov/pubmed/26967259" TargetMode="External"/><Relationship Id="rId49" Type="http://schemas.openxmlformats.org/officeDocument/2006/relationships/hyperlink" Target="https://www.nice.org.uk/guidance/cg103" TargetMode="External"/><Relationship Id="rId10" Type="http://schemas.openxmlformats.org/officeDocument/2006/relationships/image" Target="media/image2.png"/><Relationship Id="rId19" Type="http://schemas.openxmlformats.org/officeDocument/2006/relationships/hyperlink" Target="https://fightdementia.org.au/sites/default/files/Alzheimers_Australia_Numbered_Publication_41.pdf" TargetMode="External"/><Relationship Id="rId31" Type="http://schemas.openxmlformats.org/officeDocument/2006/relationships/hyperlink" Target="http://www.ncbi.nlm.nih.gov/pubmed/11445689" TargetMode="External"/><Relationship Id="rId44" Type="http://schemas.openxmlformats.org/officeDocument/2006/relationships/hyperlink" Target="http://www.ncbi.nlm.nih.gov/pubmed/21360591"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health.vic.gov.au/docs/doc/Clinical-Practice-Guidelines-for-the-Management-of-Delirium-in-Older-People---October-2006" TargetMode="External"/><Relationship Id="rId22" Type="http://schemas.openxmlformats.org/officeDocument/2006/relationships/hyperlink" Target="http://www.ncbi.nlm.nih.gov/pubmed/4669880" TargetMode="External"/><Relationship Id="rId27" Type="http://schemas.openxmlformats.org/officeDocument/2006/relationships/hyperlink" Target="https://www.nice.org.uk/guidance/cg103" TargetMode="External"/><Relationship Id="rId30" Type="http://schemas.openxmlformats.org/officeDocument/2006/relationships/hyperlink" Target="http://www.ncbi.nlm.nih.gov/pubmed/24092976" TargetMode="External"/><Relationship Id="rId35" Type="http://schemas.openxmlformats.org/officeDocument/2006/relationships/hyperlink" Target="http://www.ncbi.nlm.nih.gov/pubmed/25643002" TargetMode="External"/><Relationship Id="rId43" Type="http://schemas.openxmlformats.org/officeDocument/2006/relationships/hyperlink" Target="http://www.hindawi.com/journals/cggr/2013/284780/" TargetMode="External"/><Relationship Id="rId48" Type="http://schemas.openxmlformats.org/officeDocument/2006/relationships/hyperlink" Target="http://docs.health.vic.gov.au/docs/doc/Clinical-Practice-Guidelines-for-the-Management-of-Delirium-in-Older-People---October-2006" TargetMode="External"/><Relationship Id="rId8" Type="http://schemas.openxmlformats.org/officeDocument/2006/relationships/endnotes" Target="endnote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FF65-941C-47F7-B9D2-A8959FF0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10</Pages>
  <Words>2361</Words>
  <Characters>19828</Characters>
  <Application>Microsoft Office Word</Application>
  <DocSecurity>0</DocSecurity>
  <Lines>295</Lines>
  <Paragraphs>153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Templonuevo Joas</dc:creator>
  <cp:lastModifiedBy>Page Meredith</cp:lastModifiedBy>
  <cp:revision>8</cp:revision>
  <cp:lastPrinted>2015-06-01T03:26:00Z</cp:lastPrinted>
  <dcterms:created xsi:type="dcterms:W3CDTF">2016-07-12T01:04:00Z</dcterms:created>
  <dcterms:modified xsi:type="dcterms:W3CDTF">2016-07-12T05:10:00Z</dcterms:modified>
</cp:coreProperties>
</file>