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506D" w14:textId="7172ECC3" w:rsidR="002B10DB" w:rsidRDefault="002B10DB" w:rsidP="002B10DB">
      <w:pPr>
        <w:pStyle w:val="Title"/>
      </w:pPr>
      <w:bookmarkStart w:id="0" w:name="_Toc476822632"/>
      <w:bookmarkStart w:id="1" w:name="_Toc476822653"/>
      <w:r w:rsidRPr="002B10DB">
        <w:t>Heavy menstrual bleeding – HealthPathways checklist for clinical editors</w:t>
      </w:r>
      <w:bookmarkEnd w:id="0"/>
      <w:bookmarkEnd w:id="1"/>
    </w:p>
    <w:p w14:paraId="62143C70" w14:textId="77777777" w:rsidR="002B10DB" w:rsidRDefault="002B10DB" w:rsidP="002B10DB">
      <w:pPr>
        <w:pStyle w:val="Intro"/>
      </w:pPr>
      <w:r>
        <w:t xml:space="preserve">This resource is designed to assist HealthPathways clinical editors to align local pathways with the revised </w:t>
      </w:r>
      <w:hyperlink r:id="rId8" w:history="1">
        <w:r>
          <w:rPr>
            <w:rStyle w:val="BoldItalicGreen"/>
            <w:b/>
            <w:bCs/>
          </w:rPr>
          <w:t>Heavy Menstrual Bleeding Clinical Care Standard</w:t>
        </w:r>
      </w:hyperlink>
      <w:r>
        <w:t xml:space="preserve"> (the Standard).</w:t>
      </w:r>
    </w:p>
    <w:p w14:paraId="3D5F8288" w14:textId="77777777" w:rsidR="002B10DB" w:rsidRDefault="002B10DB" w:rsidP="00EE595E">
      <w:pPr>
        <w:spacing w:after="240"/>
      </w:pPr>
      <w:r>
        <w:rPr>
          <w:rStyle w:val="Strong"/>
        </w:rPr>
        <w:t>The Checklist</w:t>
      </w:r>
      <w:r>
        <w:t xml:space="preserve"> itemises key components of high</w:t>
      </w:r>
      <w:r>
        <w:rPr>
          <w:rFonts w:ascii="Cambria Math" w:hAnsi="Cambria Math" w:cs="Cambria Math"/>
        </w:rPr>
        <w:t>‑</w:t>
      </w:r>
      <w:r>
        <w:t xml:space="preserve">quality care described in the Standard for clinicians. Editors can use the checklist as a guide when developing new pathways or reviewing existing pathways. The checklist is not intended to be an exhaustive list of content for inclusion in a pathway, but summarises key aspects of the Standard relevant to a general practitioner (GP) consultation. </w:t>
      </w:r>
    </w:p>
    <w:p w14:paraId="141F8030" w14:textId="5EDB7F9E" w:rsidR="002B10DB" w:rsidRDefault="002B10DB" w:rsidP="00682416">
      <w:pPr>
        <w:pStyle w:val="GreenBoxNormal"/>
        <w:spacing w:after="240"/>
      </w:pPr>
      <w:r>
        <w:rPr>
          <w:rStyle w:val="Strong"/>
        </w:rPr>
        <w:t>The Standard</w:t>
      </w:r>
      <w:r>
        <w:t xml:space="preserve"> aims to ensure that women with heavy menstrual bleeding (HMB) are offered the least invasive and most effective treatment appropriate to their clinical needs and preferences, and are able to make an informed choice from the range of treatments suitable to their individual situation.</w:t>
      </w:r>
    </w:p>
    <w:tbl>
      <w:tblPr>
        <w:tblStyle w:val="CCSChecklisttable"/>
        <w:tblW w:w="5000" w:type="pct"/>
        <w:tblLook w:val="0620" w:firstRow="1" w:lastRow="0" w:firstColumn="0" w:lastColumn="0" w:noHBand="1" w:noVBand="1"/>
      </w:tblPr>
      <w:tblGrid>
        <w:gridCol w:w="9638"/>
      </w:tblGrid>
      <w:tr w:rsidR="002B10DB" w14:paraId="46D67B6F" w14:textId="77777777" w:rsidTr="00FD6E3E">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7540825F" w14:textId="77777777" w:rsidR="002B10DB" w:rsidRDefault="002B10DB" w:rsidP="00FD6E3E">
            <w:r w:rsidRPr="00FD6E3E">
              <w:t>General</w:t>
            </w:r>
          </w:p>
        </w:tc>
      </w:tr>
      <w:tr w:rsidR="002B10DB" w14:paraId="41BC7BC1" w14:textId="77777777" w:rsidTr="00FD6E3E">
        <w:trPr>
          <w:trHeight w:val="60"/>
        </w:trPr>
        <w:tc>
          <w:tcPr>
            <w:tcW w:w="5000" w:type="pct"/>
          </w:tcPr>
          <w:p w14:paraId="2D4A3428" w14:textId="77777777" w:rsidR="002B10DB" w:rsidRDefault="002B10DB" w:rsidP="008632A5">
            <w:r>
              <w:t>Does the pathway clearly convey the following points?</w:t>
            </w:r>
          </w:p>
          <w:p w14:paraId="12BFAC6A" w14:textId="239847BD" w:rsidR="002B10DB" w:rsidRDefault="006674F4" w:rsidP="007D7440">
            <w:pPr>
              <w:pStyle w:val="ChecklistBox"/>
            </w:pPr>
            <w:r w:rsidRPr="006674F4">
              <w:rPr>
                <w:vertAlign w:val="subscript"/>
              </w:rPr>
              <w:fldChar w:fldCharType="begin">
                <w:ffData>
                  <w:name w:val="Check2"/>
                  <w:enabled/>
                  <w:calcOnExit w:val="0"/>
                  <w:checkBox>
                    <w:size w:val="22"/>
                    <w:default w:val="0"/>
                  </w:checkBox>
                </w:ffData>
              </w:fldChar>
            </w:r>
            <w:bookmarkStart w:id="2" w:name="Check2"/>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bookmarkEnd w:id="2"/>
            <w:r>
              <w:tab/>
            </w:r>
            <w:r w:rsidR="002B10DB">
              <w:t xml:space="preserve">That post-coital, intermenstrual </w:t>
            </w:r>
            <w:r w:rsidR="002B10DB" w:rsidRPr="001108D6">
              <w:t>and</w:t>
            </w:r>
            <w:r w:rsidR="002B10DB">
              <w:t xml:space="preserve"> postmenopausal bleeding require specific </w:t>
            </w:r>
            <w:r w:rsidR="002B10DB" w:rsidRPr="00636F0B">
              <w:t>investigation</w:t>
            </w:r>
            <w:r w:rsidR="002B10DB">
              <w:t>.</w:t>
            </w:r>
          </w:p>
          <w:p w14:paraId="5E4615BA" w14:textId="4D3EF142" w:rsidR="002B10DB" w:rsidRDefault="006674F4"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tab/>
            </w:r>
            <w:r w:rsidR="002B10DB">
              <w:t xml:space="preserve">The importance of informed </w:t>
            </w:r>
            <w:r w:rsidR="002B10DB" w:rsidRPr="006674F4">
              <w:t>choice</w:t>
            </w:r>
            <w:r w:rsidR="002B10DB">
              <w:t xml:space="preserve"> and shared decision making based on an understanding of treatment options, and the woman’s preferences, priorities and clinical</w:t>
            </w:r>
            <w:r w:rsidR="00D2223C">
              <w:t> </w:t>
            </w:r>
            <w:r w:rsidR="002B10DB">
              <w:t>situation.</w:t>
            </w:r>
          </w:p>
        </w:tc>
      </w:tr>
    </w:tbl>
    <w:p w14:paraId="76E46643" w14:textId="77777777" w:rsidR="002B10DB" w:rsidRPr="00FD6E3E" w:rsidRDefault="002B10DB" w:rsidP="00FD5B63">
      <w:pPr>
        <w:spacing w:before="0" w:after="0"/>
      </w:pPr>
    </w:p>
    <w:tbl>
      <w:tblPr>
        <w:tblStyle w:val="CCSChecklisttable"/>
        <w:tblW w:w="5000" w:type="pct"/>
        <w:tblLook w:val="0620" w:firstRow="1" w:lastRow="0" w:firstColumn="0" w:lastColumn="0" w:noHBand="1" w:noVBand="1"/>
      </w:tblPr>
      <w:tblGrid>
        <w:gridCol w:w="9638"/>
      </w:tblGrid>
      <w:tr w:rsidR="002B10DB" w14:paraId="71AF7207" w14:textId="77777777" w:rsidTr="00FD6E3E">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33341FA9" w14:textId="77777777" w:rsidR="002B10DB" w:rsidRDefault="002B10DB" w:rsidP="00FD6E3E">
            <w:r w:rsidRPr="00FD6E3E">
              <w:lastRenderedPageBreak/>
              <w:t>Background</w:t>
            </w:r>
          </w:p>
        </w:tc>
      </w:tr>
      <w:tr w:rsidR="002B10DB" w14:paraId="24CF0763" w14:textId="77777777" w:rsidTr="00FD6E3E">
        <w:trPr>
          <w:trHeight w:val="60"/>
        </w:trPr>
        <w:tc>
          <w:tcPr>
            <w:tcW w:w="5000" w:type="pct"/>
          </w:tcPr>
          <w:p w14:paraId="72B67C5D" w14:textId="77777777" w:rsidR="002B10DB" w:rsidRDefault="002B10DB" w:rsidP="008632A5">
            <w:r>
              <w:t>Does the pathway provide relevant contextual information such as the following examples?</w:t>
            </w:r>
          </w:p>
          <w:p w14:paraId="5DCDE582" w14:textId="2585C0D3" w:rsidR="002B10DB" w:rsidRDefault="00503C37"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 xml:space="preserve">An ‘About heavy menstrual bleeding’ section that conveys that: </w:t>
            </w:r>
          </w:p>
          <w:p w14:paraId="3EEA9174" w14:textId="77777777" w:rsidR="002B10DB" w:rsidRDefault="002B10DB" w:rsidP="008632A5">
            <w:pPr>
              <w:pStyle w:val="ListParagraph"/>
            </w:pPr>
            <w:r>
              <w:t>HMB is defined as excessive menstrual blood loss that interferes with the woman’s physical, social, or emotional well-being and can occur alone or with other symptoms, such as pain</w:t>
            </w:r>
          </w:p>
          <w:p w14:paraId="47DAF831" w14:textId="77777777" w:rsidR="002B10DB" w:rsidRDefault="002B10DB" w:rsidP="008632A5">
            <w:pPr>
              <w:pStyle w:val="ListParagraph"/>
            </w:pPr>
            <w:r>
              <w:t>HMB affects 25% of women of reproductive age</w:t>
            </w:r>
          </w:p>
          <w:p w14:paraId="36703C9A" w14:textId="77777777" w:rsidR="002B10DB" w:rsidRDefault="002B10DB" w:rsidP="008632A5">
            <w:pPr>
              <w:pStyle w:val="ListParagraph"/>
              <w:rPr>
                <w:rStyle w:val="DesignerNotes"/>
              </w:rPr>
            </w:pPr>
            <w:r>
              <w:t>Around 50% of women with HMB do not seek medical care despite the detrimental effect on their quality of life</w:t>
            </w:r>
          </w:p>
          <w:p w14:paraId="0AD1C0C2" w14:textId="77777777" w:rsidR="002B10DB" w:rsidRDefault="002B10DB" w:rsidP="008632A5">
            <w:pPr>
              <w:pStyle w:val="ListParagraph"/>
              <w:rPr>
                <w:rStyle w:val="DesignerNotes"/>
              </w:rPr>
            </w:pPr>
            <w:r>
              <w:t>Many women who have always had heavy periods may consider their bleeding pattern to be normal</w:t>
            </w:r>
          </w:p>
          <w:p w14:paraId="2BDC79AA" w14:textId="77777777" w:rsidR="002B10DB" w:rsidRDefault="002B10DB" w:rsidP="008632A5">
            <w:pPr>
              <w:pStyle w:val="ListParagraph"/>
            </w:pPr>
            <w:r>
              <w:t>The </w:t>
            </w:r>
            <w:hyperlink r:id="rId9" w:history="1">
              <w:r>
                <w:rPr>
                  <w:rStyle w:val="Hyperlinkitalics"/>
                </w:rPr>
                <w:t>Heavy Menstrual Bleeding Clinical Care Standard</w:t>
              </w:r>
            </w:hyperlink>
            <w:r>
              <w:t xml:space="preserve"> defines eight key areas of high quality care for women with HMB and includes guidance and resources for clinicians, healthcare services and patients. </w:t>
            </w:r>
          </w:p>
          <w:p w14:paraId="44344886" w14:textId="19E82EBF" w:rsidR="002B10DB" w:rsidRDefault="00D2223C"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 xml:space="preserve">Local data for your PHN on rates of hysterectomy and/or </w:t>
            </w:r>
            <w:r w:rsidR="002B10DB" w:rsidRPr="00D2223C">
              <w:t>endometrial</w:t>
            </w:r>
            <w:r w:rsidR="002B10DB">
              <w:t xml:space="preserve"> ablation (available in the </w:t>
            </w:r>
            <w:hyperlink r:id="rId10" w:history="1">
              <w:r w:rsidR="002B10DB">
                <w:rPr>
                  <w:rStyle w:val="Hyperlinkitalics"/>
                </w:rPr>
                <w:t>Women’s Health Focus Report</w:t>
              </w:r>
            </w:hyperlink>
            <w:r w:rsidR="002B10DB">
              <w:t>). Consider linking to the Report and highlighting relevant data. For example, this might involve comparison of local hysterectomy or endometrial ablation rates with national, state/territory, or PHN level data. It might also involve examination of local data over time.</w:t>
            </w:r>
            <w:r w:rsidR="002B10DB">
              <w:rPr>
                <w:lang w:val="en-GB"/>
              </w:rPr>
              <w:t xml:space="preserve"> </w:t>
            </w:r>
          </w:p>
        </w:tc>
      </w:tr>
    </w:tbl>
    <w:p w14:paraId="355B181D" w14:textId="77777777" w:rsidR="002B10DB" w:rsidRPr="00235A60" w:rsidRDefault="002B10DB" w:rsidP="00235A60">
      <w:pPr>
        <w:spacing w:before="0" w:after="0"/>
      </w:pPr>
    </w:p>
    <w:tbl>
      <w:tblPr>
        <w:tblStyle w:val="CCSChecklisttable"/>
        <w:tblW w:w="5000" w:type="pct"/>
        <w:tblLook w:val="0620" w:firstRow="1" w:lastRow="0" w:firstColumn="0" w:lastColumn="0" w:noHBand="1" w:noVBand="1"/>
      </w:tblPr>
      <w:tblGrid>
        <w:gridCol w:w="9638"/>
      </w:tblGrid>
      <w:tr w:rsidR="002B10DB" w14:paraId="09384B3E" w14:textId="77777777" w:rsidTr="00D2223C">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02B8DE64" w14:textId="77777777" w:rsidR="002B10DB" w:rsidRDefault="002B10DB" w:rsidP="00D2223C">
            <w:r w:rsidRPr="00D2223C">
              <w:lastRenderedPageBreak/>
              <w:t>Assessment</w:t>
            </w:r>
          </w:p>
        </w:tc>
      </w:tr>
      <w:tr w:rsidR="007D7440" w14:paraId="264C1C5A" w14:textId="77777777" w:rsidTr="00BB01DC">
        <w:trPr>
          <w:trHeight w:val="10484"/>
        </w:trPr>
        <w:tc>
          <w:tcPr>
            <w:tcW w:w="5000" w:type="pct"/>
          </w:tcPr>
          <w:p w14:paraId="4FAB43BF" w14:textId="77777777" w:rsidR="007D7440" w:rsidRDefault="007D7440" w:rsidP="008632A5">
            <w:r>
              <w:t>Are the following aspects of assessment included in the pathway?</w:t>
            </w:r>
          </w:p>
          <w:p w14:paraId="7852C606" w14:textId="36872D8F" w:rsidR="007D7440" w:rsidRDefault="007D7440"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tab/>
              <w:t>Consider the diverse possible causes of HMB as per the PALM-COIEN classification system</w:t>
            </w:r>
            <w:r>
              <w:rPr>
                <w:rStyle w:val="Superscript"/>
              </w:rPr>
              <w:t>1</w:t>
            </w:r>
            <w:r>
              <w:t xml:space="preserve">, and other possible diagnoses such as </w:t>
            </w:r>
            <w:r>
              <w:rPr>
                <w:rStyle w:val="Strong"/>
              </w:rPr>
              <w:t>endometriosis</w:t>
            </w:r>
            <w:r>
              <w:t xml:space="preserve"> or </w:t>
            </w:r>
            <w:r>
              <w:rPr>
                <w:rStyle w:val="Strong"/>
              </w:rPr>
              <w:t>miscarriage</w:t>
            </w:r>
            <w:r>
              <w:t>.</w:t>
            </w:r>
          </w:p>
          <w:p w14:paraId="1A83C852" w14:textId="77777777" w:rsidR="007D7440" w:rsidRDefault="007D7440" w:rsidP="007D7440">
            <w:pPr>
              <w:pStyle w:val="ChecklistBox"/>
            </w:pPr>
            <w:r>
              <w:tab/>
              <w:t xml:space="preserve">Take a detailed history including: </w:t>
            </w:r>
          </w:p>
          <w:p w14:paraId="4CA8BA3F" w14:textId="77777777" w:rsidR="007D7440" w:rsidRDefault="007D7440" w:rsidP="00D2223C">
            <w:pPr>
              <w:pStyle w:val="ListParagraph"/>
              <w:numPr>
                <w:ilvl w:val="0"/>
                <w:numId w:val="52"/>
              </w:numPr>
            </w:pPr>
            <w:r>
              <w:rPr>
                <w:rStyle w:val="Strong"/>
              </w:rPr>
              <w:t>Nature of bleeding</w:t>
            </w:r>
            <w:r>
              <w:t xml:space="preserve">: including duration, frequency, heaviness and pattern (regular or irregular) </w:t>
            </w:r>
          </w:p>
          <w:p w14:paraId="7FFDCF29" w14:textId="77777777" w:rsidR="007D7440" w:rsidRDefault="007D7440" w:rsidP="00D2223C">
            <w:pPr>
              <w:pStyle w:val="ListParagraph"/>
              <w:numPr>
                <w:ilvl w:val="0"/>
                <w:numId w:val="52"/>
              </w:numPr>
            </w:pPr>
            <w:r>
              <w:rPr>
                <w:rStyle w:val="Strong"/>
              </w:rPr>
              <w:t>Impact on quality of life</w:t>
            </w:r>
            <w:r>
              <w:t>: including impact on mental health and limitations on work, exercise and social functioning</w:t>
            </w:r>
          </w:p>
          <w:p w14:paraId="470154A6" w14:textId="77777777" w:rsidR="007D7440" w:rsidRDefault="007D7440" w:rsidP="00D2223C">
            <w:pPr>
              <w:pStyle w:val="ListParagraph"/>
              <w:numPr>
                <w:ilvl w:val="0"/>
                <w:numId w:val="52"/>
              </w:numPr>
            </w:pPr>
            <w:r>
              <w:rPr>
                <w:rStyle w:val="Strong"/>
              </w:rPr>
              <w:t>Related symptoms</w:t>
            </w:r>
            <w:r>
              <w:t>: such as pelvic pain or pressure</w:t>
            </w:r>
          </w:p>
          <w:p w14:paraId="19194EC8" w14:textId="4EB951E2" w:rsidR="007D7440" w:rsidRPr="00D2223C" w:rsidRDefault="007D7440" w:rsidP="00D2223C">
            <w:pPr>
              <w:pStyle w:val="ListParagraph"/>
              <w:numPr>
                <w:ilvl w:val="0"/>
                <w:numId w:val="52"/>
              </w:numPr>
            </w:pPr>
            <w:r>
              <w:rPr>
                <w:rStyle w:val="Strong"/>
              </w:rPr>
              <w:t xml:space="preserve">Symptoms suggestive of iron deficiency, with or without anaemia </w:t>
            </w:r>
          </w:p>
          <w:p w14:paraId="7AF00666" w14:textId="77777777" w:rsidR="007D7440" w:rsidRDefault="007D7440" w:rsidP="00D2223C">
            <w:pPr>
              <w:pStyle w:val="ListParagraph"/>
              <w:numPr>
                <w:ilvl w:val="0"/>
                <w:numId w:val="52"/>
              </w:numPr>
            </w:pPr>
            <w:r>
              <w:rPr>
                <w:rStyle w:val="Strong"/>
              </w:rPr>
              <w:t>Sexual and reproductive health</w:t>
            </w:r>
            <w:r>
              <w:t xml:space="preserve">: including parity, desire for future </w:t>
            </w:r>
            <w:r w:rsidRPr="00D2223C">
              <w:t>fertility</w:t>
            </w:r>
            <w:r>
              <w:t xml:space="preserve">, contraception use, likelihood of pregnancy or miscarriage, risk of sexually transmitted </w:t>
            </w:r>
            <w:r w:rsidRPr="00D2223C">
              <w:t>infection</w:t>
            </w:r>
            <w:r>
              <w:t xml:space="preserve"> and cervical screening status</w:t>
            </w:r>
          </w:p>
          <w:p w14:paraId="65327CA6" w14:textId="77777777" w:rsidR="007D7440" w:rsidRDefault="007D7440" w:rsidP="00D2223C">
            <w:pPr>
              <w:pStyle w:val="ListParagraph"/>
              <w:numPr>
                <w:ilvl w:val="0"/>
                <w:numId w:val="52"/>
              </w:numPr>
            </w:pPr>
            <w:r>
              <w:rPr>
                <w:rStyle w:val="Strong"/>
              </w:rPr>
              <w:t>History or symptoms suggestive of systemic causes of bleeding</w:t>
            </w:r>
            <w:r>
              <w:t>: such as a bleeding disorder, polycystic ovary syndrome or thyroid disease</w:t>
            </w:r>
          </w:p>
          <w:p w14:paraId="5CE4E769" w14:textId="77777777" w:rsidR="007D7440" w:rsidRDefault="007D7440" w:rsidP="00D2223C">
            <w:pPr>
              <w:pStyle w:val="ListParagraph"/>
              <w:numPr>
                <w:ilvl w:val="0"/>
                <w:numId w:val="52"/>
              </w:numPr>
            </w:pPr>
            <w:r>
              <w:rPr>
                <w:rStyle w:val="Strong"/>
              </w:rPr>
              <w:t>Relevant family history</w:t>
            </w:r>
            <w:r>
              <w:t>: such as history of bleeding disorders, endometriosis or endometrial or colorectal cancer</w:t>
            </w:r>
          </w:p>
          <w:p w14:paraId="548E91B1" w14:textId="77777777" w:rsidR="007D7440" w:rsidRDefault="007D7440" w:rsidP="00D2223C">
            <w:pPr>
              <w:pStyle w:val="ListParagraph"/>
              <w:numPr>
                <w:ilvl w:val="0"/>
                <w:numId w:val="52"/>
              </w:numPr>
            </w:pPr>
            <w:r>
              <w:rPr>
                <w:rStyle w:val="Strong"/>
              </w:rPr>
              <w:t>Current medications and use of over-the-counter supplements</w:t>
            </w:r>
            <w:r>
              <w:t xml:space="preserve"> that may be associated </w:t>
            </w:r>
            <w:r w:rsidRPr="00D2223C">
              <w:t>with</w:t>
            </w:r>
            <w:r>
              <w:t xml:space="preserve"> ovulation or bleeding</w:t>
            </w:r>
          </w:p>
          <w:p w14:paraId="5E9E606A" w14:textId="77777777" w:rsidR="007D7440" w:rsidRDefault="007D7440" w:rsidP="00B26EC9">
            <w:pPr>
              <w:pStyle w:val="ListParagraph"/>
              <w:numPr>
                <w:ilvl w:val="0"/>
                <w:numId w:val="52"/>
              </w:numPr>
              <w:ind w:left="714" w:hanging="357"/>
            </w:pPr>
            <w:r>
              <w:rPr>
                <w:rStyle w:val="Strong"/>
              </w:rPr>
              <w:t>Other factors that may affect treatment options</w:t>
            </w:r>
            <w:r>
              <w:t>: such as comorbidities or previous treatments for HMB.</w:t>
            </w:r>
          </w:p>
          <w:p w14:paraId="7CE5B392" w14:textId="0473A84A" w:rsidR="007D7440" w:rsidRDefault="007D7440"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tab/>
              <w:t xml:space="preserve">Conduct a </w:t>
            </w:r>
            <w:r>
              <w:rPr>
                <w:rStyle w:val="Strong"/>
              </w:rPr>
              <w:t>physical examination</w:t>
            </w:r>
            <w:r>
              <w:t xml:space="preserve"> including speculum and bimanual pelvic examination if appropriate and with consent. Pelvic examination may not be appropriate for women and adolescents who are not sexually active, or for women who have been sexually assaulted in the past, who have experienced birth trauma, or who decline for cultural reasons. </w:t>
            </w:r>
          </w:p>
          <w:p w14:paraId="1326EBEA" w14:textId="5372A9AB" w:rsidR="007D7440" w:rsidRDefault="007D7440"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tab/>
              <w:t xml:space="preserve">Exclude pregnancy with a urinary beta HCG if indicated. </w:t>
            </w:r>
          </w:p>
          <w:p w14:paraId="57353DDB" w14:textId="20499A0E" w:rsidR="007D7440" w:rsidRDefault="007D7440"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tab/>
              <w:t xml:space="preserve">Routinely evaluate iron deficiency and anaemia with serum </w:t>
            </w:r>
            <w:r w:rsidRPr="007D7440">
              <w:t>ferritin</w:t>
            </w:r>
            <w:r>
              <w:t xml:space="preserve"> and a full blood count.</w:t>
            </w:r>
          </w:p>
          <w:p w14:paraId="3092F033" w14:textId="77777777" w:rsidR="007D7440" w:rsidRDefault="007D7440" w:rsidP="007D7440">
            <w:pPr>
              <w:pStyle w:val="ChecklistBox"/>
            </w:pPr>
            <w:r>
              <w:tab/>
              <w:t xml:space="preserve">Arrange </w:t>
            </w:r>
            <w:r>
              <w:rPr>
                <w:rStyle w:val="Strong"/>
              </w:rPr>
              <w:t>pelvic ultrasound</w:t>
            </w:r>
            <w:r>
              <w:t xml:space="preserve"> (preferably transvaginal) to be performed </w:t>
            </w:r>
            <w:r>
              <w:rPr>
                <w:rStyle w:val="Strong"/>
              </w:rPr>
              <w:t>if indicated</w:t>
            </w:r>
            <w:r>
              <w:t xml:space="preserve">, ideally in days 5–10 of the menstrual cycle, such as in patients with: </w:t>
            </w:r>
          </w:p>
          <w:p w14:paraId="10158EC0" w14:textId="77777777" w:rsidR="007D7440" w:rsidRDefault="007D7440" w:rsidP="008632A5">
            <w:pPr>
              <w:pStyle w:val="ListParagraph"/>
            </w:pPr>
            <w:r>
              <w:t>Increased risk of malignancy based on history</w:t>
            </w:r>
          </w:p>
          <w:p w14:paraId="26121466" w14:textId="77777777" w:rsidR="007D7440" w:rsidRDefault="007D7440" w:rsidP="008632A5">
            <w:pPr>
              <w:pStyle w:val="ListParagraph"/>
            </w:pPr>
            <w:r>
              <w:t>Features suggestive of pathology on examination (for example, enlarged or irregular uterus suggesting fibroids)</w:t>
            </w:r>
          </w:p>
          <w:p w14:paraId="1EA54CD2" w14:textId="77777777" w:rsidR="007D7440" w:rsidRDefault="007D7440" w:rsidP="008632A5">
            <w:pPr>
              <w:pStyle w:val="ListParagraph"/>
            </w:pPr>
            <w:r>
              <w:t>Symptoms such as deep dyspareunia, severe dysmenorrhoea</w:t>
            </w:r>
            <w:r>
              <w:rPr>
                <w:rStyle w:val="CommentReference"/>
              </w:rPr>
              <w:t xml:space="preserve"> </w:t>
            </w:r>
            <w:r>
              <w:t>or secondary HMB</w:t>
            </w:r>
          </w:p>
          <w:p w14:paraId="4680DDDE" w14:textId="77777777" w:rsidR="007D7440" w:rsidRDefault="007D7440" w:rsidP="008632A5">
            <w:pPr>
              <w:pStyle w:val="ListParagraph"/>
            </w:pPr>
            <w:r>
              <w:t>No response to a reasonable duration of medical management.</w:t>
            </w:r>
          </w:p>
          <w:p w14:paraId="7C781860" w14:textId="33EED0BA" w:rsidR="007D7440" w:rsidRDefault="00FE5B9C"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7D7440">
              <w:tab/>
              <w:t xml:space="preserve">Arrange other investigations as required. Based on history and presentation these might include testing for </w:t>
            </w:r>
            <w:r w:rsidR="007D7440">
              <w:rPr>
                <w:rStyle w:val="Strong"/>
              </w:rPr>
              <w:t>bleeding disorders</w:t>
            </w:r>
            <w:r w:rsidR="007D7440">
              <w:t xml:space="preserve"> or </w:t>
            </w:r>
            <w:r w:rsidR="007D7440">
              <w:rPr>
                <w:rStyle w:val="Strong"/>
              </w:rPr>
              <w:t>thyroid dysfunction</w:t>
            </w:r>
            <w:r w:rsidR="007D7440">
              <w:t xml:space="preserve">, a </w:t>
            </w:r>
            <w:r w:rsidR="007D7440">
              <w:rPr>
                <w:rStyle w:val="Strong"/>
              </w:rPr>
              <w:t>cervical screening test</w:t>
            </w:r>
            <w:r w:rsidR="007D7440">
              <w:t xml:space="preserve"> or </w:t>
            </w:r>
            <w:r w:rsidR="007D7440">
              <w:rPr>
                <w:rStyle w:val="Strong"/>
              </w:rPr>
              <w:t>genital swab</w:t>
            </w:r>
            <w:r w:rsidR="007D7440">
              <w:t>.</w:t>
            </w:r>
          </w:p>
        </w:tc>
      </w:tr>
    </w:tbl>
    <w:p w14:paraId="119DC342" w14:textId="77777777" w:rsidR="002B10DB" w:rsidRPr="00235A60" w:rsidRDefault="002B10DB" w:rsidP="00235A60">
      <w:pPr>
        <w:spacing w:before="0" w:after="0"/>
      </w:pPr>
    </w:p>
    <w:tbl>
      <w:tblPr>
        <w:tblStyle w:val="CCSChecklisttable"/>
        <w:tblW w:w="5000" w:type="pct"/>
        <w:tblLook w:val="0620" w:firstRow="1" w:lastRow="0" w:firstColumn="0" w:lastColumn="0" w:noHBand="1" w:noVBand="1"/>
      </w:tblPr>
      <w:tblGrid>
        <w:gridCol w:w="9638"/>
      </w:tblGrid>
      <w:tr w:rsidR="002B10DB" w14:paraId="19ABB1A2" w14:textId="77777777" w:rsidTr="00B25CA7">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6C587C76" w14:textId="77777777" w:rsidR="002B10DB" w:rsidRDefault="002B10DB" w:rsidP="002D098F">
            <w:r w:rsidRPr="002D098F">
              <w:lastRenderedPageBreak/>
              <w:t>Management</w:t>
            </w:r>
          </w:p>
        </w:tc>
      </w:tr>
      <w:tr w:rsidR="002B10DB" w14:paraId="420277DA" w14:textId="77777777" w:rsidTr="00B25CA7">
        <w:trPr>
          <w:trHeight w:val="60"/>
        </w:trPr>
        <w:tc>
          <w:tcPr>
            <w:tcW w:w="5000" w:type="pct"/>
          </w:tcPr>
          <w:p w14:paraId="6ACA4394" w14:textId="77777777" w:rsidR="002B10DB" w:rsidRDefault="002B10DB" w:rsidP="008632A5">
            <w:r>
              <w:t>Are the following aspects of clinical management included in the pathway?</w:t>
            </w:r>
          </w:p>
          <w:p w14:paraId="6C8F79A7" w14:textId="1AB2F970" w:rsidR="002B10DB" w:rsidRDefault="002D098F"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 xml:space="preserve">Offer early referral to </w:t>
            </w:r>
            <w:r w:rsidR="002B10DB">
              <w:rPr>
                <w:rStyle w:val="Strong"/>
              </w:rPr>
              <w:t>appropriate specialist care</w:t>
            </w:r>
            <w:r w:rsidR="002B10DB">
              <w:t xml:space="preserve"> for patients with suspicious clinical findings on assessment or ultrasound. </w:t>
            </w:r>
          </w:p>
          <w:p w14:paraId="573AE34B" w14:textId="77777777" w:rsidR="002B10DB" w:rsidRDefault="002B10DB" w:rsidP="007D7440">
            <w:pPr>
              <w:pStyle w:val="ChecklistBox"/>
            </w:pPr>
            <w:r>
              <w:tab/>
              <w:t xml:space="preserve">Consider </w:t>
            </w:r>
            <w:r>
              <w:rPr>
                <w:rStyle w:val="Strong"/>
              </w:rPr>
              <w:t>risk factors</w:t>
            </w:r>
            <w:r>
              <w:t xml:space="preserve"> for endometrial cancer such as</w:t>
            </w:r>
            <w:r>
              <w:rPr>
                <w:rStyle w:val="Superscript"/>
              </w:rPr>
              <w:t>2</w:t>
            </w:r>
            <w:r>
              <w:t xml:space="preserve">: </w:t>
            </w:r>
          </w:p>
          <w:p w14:paraId="092E962E" w14:textId="77777777" w:rsidR="002B10DB" w:rsidRDefault="002B10DB" w:rsidP="008632A5">
            <w:pPr>
              <w:pStyle w:val="ListParagraph"/>
            </w:pPr>
            <w:r>
              <w:t>Age, with increased suspicion warranted in a woman aged over 45 years</w:t>
            </w:r>
          </w:p>
          <w:p w14:paraId="5B4425B2" w14:textId="77777777" w:rsidR="002B10DB" w:rsidRDefault="002B10DB" w:rsidP="008632A5">
            <w:pPr>
              <w:pStyle w:val="ListParagraph"/>
            </w:pPr>
            <w:r>
              <w:t>Personal or family history of endometrial cancer or colorectal cancer</w:t>
            </w:r>
          </w:p>
          <w:p w14:paraId="60670656" w14:textId="77777777" w:rsidR="002B10DB" w:rsidRDefault="002B10DB" w:rsidP="008632A5">
            <w:pPr>
              <w:pStyle w:val="ListParagraph"/>
            </w:pPr>
            <w:r>
              <w:t>Use of unopposed oestrogen or tamoxifen</w:t>
            </w:r>
          </w:p>
          <w:p w14:paraId="6B6B07ED" w14:textId="77777777" w:rsidR="002B10DB" w:rsidRDefault="002B10DB" w:rsidP="008632A5">
            <w:pPr>
              <w:pStyle w:val="ListParagraph"/>
            </w:pPr>
            <w:r>
              <w:t>Obesity</w:t>
            </w:r>
          </w:p>
          <w:p w14:paraId="041C0484" w14:textId="77777777" w:rsidR="002B10DB" w:rsidRDefault="002B10DB" w:rsidP="008632A5">
            <w:pPr>
              <w:pStyle w:val="ListParagraph"/>
            </w:pPr>
            <w:r>
              <w:t xml:space="preserve">Young age at menarche or older age at menopause </w:t>
            </w:r>
          </w:p>
          <w:p w14:paraId="41E5E158" w14:textId="77777777" w:rsidR="002B10DB" w:rsidRDefault="002B10DB" w:rsidP="008632A5">
            <w:pPr>
              <w:pStyle w:val="ListParagraph"/>
            </w:pPr>
            <w:r>
              <w:t>Nulliparity</w:t>
            </w:r>
          </w:p>
          <w:p w14:paraId="2B02B8F3" w14:textId="77777777" w:rsidR="002B10DB" w:rsidRDefault="002B10DB" w:rsidP="008632A5">
            <w:pPr>
              <w:pStyle w:val="ListParagraph"/>
            </w:pPr>
            <w:r>
              <w:t xml:space="preserve">Diabetes </w:t>
            </w:r>
          </w:p>
          <w:p w14:paraId="227DFCCC" w14:textId="77777777" w:rsidR="002B10DB" w:rsidRDefault="002B10DB" w:rsidP="008632A5">
            <w:pPr>
              <w:pStyle w:val="ListParagraph"/>
            </w:pPr>
            <w:r>
              <w:t>Endometrial hyperplasia.</w:t>
            </w:r>
          </w:p>
          <w:p w14:paraId="5657F2A1" w14:textId="2F35AEE9" w:rsidR="002B10DB" w:rsidRDefault="002D098F"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 xml:space="preserve">Offer early referral to </w:t>
            </w:r>
            <w:r w:rsidR="002B10DB">
              <w:rPr>
                <w:rStyle w:val="Strong"/>
              </w:rPr>
              <w:t>appropriate specialist care</w:t>
            </w:r>
            <w:r w:rsidR="002B10DB">
              <w:t xml:space="preserve"> for patients with </w:t>
            </w:r>
            <w:r w:rsidR="002B10DB">
              <w:rPr>
                <w:rStyle w:val="Strong"/>
              </w:rPr>
              <w:t>significant pelvic pathology</w:t>
            </w:r>
            <w:r w:rsidR="002B10DB">
              <w:t xml:space="preserve"> on ultrasound such as large fibroids or endometrial polyps, or with severe symptoms at initial presentation.</w:t>
            </w:r>
          </w:p>
          <w:p w14:paraId="0703E023" w14:textId="77777777" w:rsidR="002B10DB" w:rsidRDefault="002B10DB" w:rsidP="007D7440">
            <w:pPr>
              <w:pStyle w:val="ChecklistBox"/>
              <w:rPr>
                <w:rStyle w:val="EndnoteReference"/>
              </w:rPr>
            </w:pPr>
            <w:r>
              <w:tab/>
              <w:t xml:space="preserve">Consider </w:t>
            </w:r>
            <w:r>
              <w:rPr>
                <w:rStyle w:val="Strong"/>
              </w:rPr>
              <w:t>medical management</w:t>
            </w:r>
            <w:r>
              <w:t xml:space="preserve"> before more invasive options</w:t>
            </w:r>
            <w:r>
              <w:rPr>
                <w:rStyle w:val="Superscript"/>
              </w:rPr>
              <w:t>3,4,5</w:t>
            </w:r>
            <w:r>
              <w:t>, such as:</w:t>
            </w:r>
          </w:p>
          <w:p w14:paraId="3ABA436E" w14:textId="77777777" w:rsidR="002B10DB" w:rsidRDefault="002B10DB" w:rsidP="008632A5">
            <w:pPr>
              <w:pStyle w:val="ListParagraph"/>
            </w:pPr>
            <w:r>
              <w:t>Non-hormonal options include tranexamic acid and non-steroidal anti-inflammatory drugs (NSAIDs)</w:t>
            </w:r>
          </w:p>
          <w:p w14:paraId="16B9ACF4" w14:textId="77777777" w:rsidR="002B10DB" w:rsidRDefault="002B10DB" w:rsidP="008632A5">
            <w:pPr>
              <w:pStyle w:val="ListParagraph"/>
            </w:pPr>
            <w:r>
              <w:t xml:space="preserve">The 52 mg levonorgestrel-releasing intrauterine device (LNG-IUD), which is currently the most effective medical therapy for HMB in women without significant pathology; refer for </w:t>
            </w:r>
            <w:r>
              <w:rPr>
                <w:rStyle w:val="Strong"/>
              </w:rPr>
              <w:t>intrauterine device (IUD) insertion</w:t>
            </w:r>
            <w:r>
              <w:t xml:space="preserve"> as required</w:t>
            </w:r>
          </w:p>
          <w:p w14:paraId="6C2CC5E2" w14:textId="77777777" w:rsidR="002B10DB" w:rsidRDefault="002B10DB" w:rsidP="008632A5">
            <w:pPr>
              <w:pStyle w:val="ListParagraph"/>
            </w:pPr>
            <w:r>
              <w:t xml:space="preserve">Other hormonal options such as </w:t>
            </w:r>
          </w:p>
          <w:p w14:paraId="0CB0669E" w14:textId="77777777" w:rsidR="002B10DB" w:rsidRDefault="002B10DB" w:rsidP="008632A5">
            <w:pPr>
              <w:pStyle w:val="ListParagraph"/>
            </w:pPr>
            <w:r>
              <w:t xml:space="preserve">combined oral contraceptives </w:t>
            </w:r>
          </w:p>
          <w:p w14:paraId="665D6415" w14:textId="77777777" w:rsidR="002B10DB" w:rsidRDefault="002B10DB" w:rsidP="008632A5">
            <w:pPr>
              <w:pStyle w:val="ListParagraph"/>
            </w:pPr>
            <w:r>
              <w:t>oral progestogens or depot medroxyprogesterone.</w:t>
            </w:r>
          </w:p>
          <w:p w14:paraId="27D56BAC" w14:textId="7CB383FE" w:rsidR="002B10DB" w:rsidRDefault="002D098F"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Where clinically appropriate, offer initial oral treatment such as tranexamic acid and/or NSAIDs for symptom relief if waiting for investigations or preferred treatment.</w:t>
            </w:r>
          </w:p>
          <w:p w14:paraId="41906A7E" w14:textId="4B719D13" w:rsidR="002B10DB" w:rsidRDefault="002D098F"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 xml:space="preserve">Discuss </w:t>
            </w:r>
            <w:r w:rsidR="002B10DB">
              <w:rPr>
                <w:rStyle w:val="Strong"/>
              </w:rPr>
              <w:t>treatment options</w:t>
            </w:r>
            <w:r w:rsidR="002B10DB">
              <w:t xml:space="preserve"> including their benefits, risks and likely outcomes including the possibility of treatment failure.  </w:t>
            </w:r>
          </w:p>
          <w:p w14:paraId="5C5248C6" w14:textId="45E0315C" w:rsidR="002B10DB" w:rsidRDefault="002D098F"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 xml:space="preserve">Where medical management is unsuitable or ineffective, treatment options include procedures that leave the uterus in place, such as endometrial ablation, uterine artery embolisation or surgical removal of pathology, or hysterectomy. Offer referral to </w:t>
            </w:r>
            <w:r w:rsidR="002B10DB">
              <w:rPr>
                <w:rStyle w:val="Strong"/>
              </w:rPr>
              <w:t>appropriate specialist care</w:t>
            </w:r>
            <w:r w:rsidR="002B10DB">
              <w:t>.</w:t>
            </w:r>
          </w:p>
          <w:p w14:paraId="5BBECE70" w14:textId="13EC7333" w:rsidR="002B10DB" w:rsidRDefault="002D098F"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 xml:space="preserve">Advise patients to return for review if their chosen treatment option is unsatisfactory. Offer referral to </w:t>
            </w:r>
            <w:r w:rsidR="002B10DB">
              <w:rPr>
                <w:rStyle w:val="Strong"/>
              </w:rPr>
              <w:t>appropriate specialist care</w:t>
            </w:r>
            <w:r w:rsidR="002B10DB">
              <w:t xml:space="preserve"> for patients who have not responded to medical management.</w:t>
            </w:r>
          </w:p>
        </w:tc>
      </w:tr>
    </w:tbl>
    <w:p w14:paraId="73BCC5E0" w14:textId="77777777" w:rsidR="002B10DB" w:rsidRPr="00235A60" w:rsidRDefault="002B10DB" w:rsidP="00235A60">
      <w:pPr>
        <w:spacing w:before="0" w:after="0"/>
      </w:pPr>
    </w:p>
    <w:tbl>
      <w:tblPr>
        <w:tblStyle w:val="CCSChecklisttable"/>
        <w:tblW w:w="5000" w:type="pct"/>
        <w:tblLook w:val="0620" w:firstRow="1" w:lastRow="0" w:firstColumn="0" w:lastColumn="0" w:noHBand="1" w:noVBand="1"/>
      </w:tblPr>
      <w:tblGrid>
        <w:gridCol w:w="9638"/>
      </w:tblGrid>
      <w:tr w:rsidR="002B10DB" w14:paraId="1BF93C6A" w14:textId="77777777" w:rsidTr="00B25CA7">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2C0020DB" w14:textId="77777777" w:rsidR="002B10DB" w:rsidRDefault="002B10DB" w:rsidP="002D098F">
            <w:r>
              <w:lastRenderedPageBreak/>
              <w:t>Request/</w:t>
            </w:r>
            <w:r w:rsidRPr="002D098F">
              <w:t>referral</w:t>
            </w:r>
          </w:p>
        </w:tc>
      </w:tr>
      <w:tr w:rsidR="002B10DB" w14:paraId="4648A52C" w14:textId="77777777" w:rsidTr="00B25CA7">
        <w:trPr>
          <w:trHeight w:val="60"/>
        </w:trPr>
        <w:tc>
          <w:tcPr>
            <w:tcW w:w="5000" w:type="pct"/>
          </w:tcPr>
          <w:p w14:paraId="438F7398" w14:textId="77777777" w:rsidR="002B10DB" w:rsidRDefault="002B10DB" w:rsidP="008632A5">
            <w:r>
              <w:t>In addition to information on Gynaecology requests/referrals, is the following request information available and incorporated into the pathway?</w:t>
            </w:r>
          </w:p>
          <w:p w14:paraId="715253D3" w14:textId="12F49385" w:rsidR="002B10DB" w:rsidRDefault="002D098F"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Pelvic ultrasound – with referral information that identifies the ideal timing as days 5–10 of the menstrual cycle.</w:t>
            </w:r>
          </w:p>
          <w:p w14:paraId="7E66BC09" w14:textId="5447D454" w:rsidR="002B10DB" w:rsidRDefault="002D098F"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Intrauterine device (IUD) insertion – with comprehensive information on local providers (including whether there will be out-of-pocket costs). Potential providers may include GP colleagues, sexual health or family planning clinics, public and private gynaecology clinics/services.</w:t>
            </w:r>
          </w:p>
        </w:tc>
      </w:tr>
    </w:tbl>
    <w:p w14:paraId="6BF56538" w14:textId="77777777" w:rsidR="002B10DB" w:rsidRPr="0052793A" w:rsidRDefault="002B10DB" w:rsidP="0052793A">
      <w:pPr>
        <w:spacing w:before="0" w:after="0"/>
      </w:pPr>
    </w:p>
    <w:tbl>
      <w:tblPr>
        <w:tblStyle w:val="CCSChecklisttable"/>
        <w:tblW w:w="5000" w:type="pct"/>
        <w:tblLook w:val="0620" w:firstRow="1" w:lastRow="0" w:firstColumn="0" w:lastColumn="0" w:noHBand="1" w:noVBand="1"/>
      </w:tblPr>
      <w:tblGrid>
        <w:gridCol w:w="4819"/>
        <w:gridCol w:w="4819"/>
      </w:tblGrid>
      <w:tr w:rsidR="002B10DB" w14:paraId="68A5C7F3" w14:textId="77777777" w:rsidTr="00B25CA7">
        <w:trPr>
          <w:cnfStyle w:val="100000000000" w:firstRow="1" w:lastRow="0" w:firstColumn="0" w:lastColumn="0" w:oddVBand="0" w:evenVBand="0" w:oddHBand="0" w:evenHBand="0" w:firstRowFirstColumn="0" w:firstRowLastColumn="0" w:lastRowFirstColumn="0" w:lastRowLastColumn="0"/>
          <w:trHeight w:val="60"/>
        </w:trPr>
        <w:tc>
          <w:tcPr>
            <w:tcW w:w="2500" w:type="pct"/>
          </w:tcPr>
          <w:p w14:paraId="40390630" w14:textId="77777777" w:rsidR="002B10DB" w:rsidRPr="00A402EC" w:rsidRDefault="002B10DB" w:rsidP="00A402EC">
            <w:r>
              <w:t xml:space="preserve">Information </w:t>
            </w:r>
          </w:p>
        </w:tc>
        <w:tc>
          <w:tcPr>
            <w:tcW w:w="2500" w:type="pct"/>
          </w:tcPr>
          <w:p w14:paraId="66AF2831" w14:textId="77777777" w:rsidR="002B10DB" w:rsidRDefault="002B10DB" w:rsidP="008632A5">
            <w:pPr>
              <w:pStyle w:val="NoParagraphStyle"/>
              <w:spacing w:line="240" w:lineRule="auto"/>
              <w:textAlignment w:val="auto"/>
              <w:rPr>
                <w:rFonts w:ascii="Arial" w:hAnsi="Arial" w:cs="Arial"/>
                <w:color w:val="auto"/>
              </w:rPr>
            </w:pPr>
          </w:p>
        </w:tc>
      </w:tr>
      <w:tr w:rsidR="002B10DB" w14:paraId="64AB5462" w14:textId="77777777" w:rsidTr="00B25CA7">
        <w:trPr>
          <w:trHeight w:val="60"/>
        </w:trPr>
        <w:tc>
          <w:tcPr>
            <w:tcW w:w="5000" w:type="pct"/>
            <w:gridSpan w:val="2"/>
          </w:tcPr>
          <w:p w14:paraId="3AF4A18D" w14:textId="77777777" w:rsidR="002B10DB" w:rsidRDefault="002B10DB" w:rsidP="008632A5">
            <w:r>
              <w:t xml:space="preserve">Are links to the following key resources included? </w:t>
            </w:r>
          </w:p>
          <w:p w14:paraId="55E663C1" w14:textId="77777777" w:rsidR="002B10DB" w:rsidRPr="004A38A8" w:rsidRDefault="002B10DB" w:rsidP="00F910D8">
            <w:pPr>
              <w:spacing w:before="180"/>
              <w:rPr>
                <w:rStyle w:val="Strong"/>
              </w:rPr>
            </w:pPr>
            <w:r w:rsidRPr="004A38A8">
              <w:rPr>
                <w:rStyle w:val="Strong"/>
              </w:rPr>
              <w:t>For clinicians:</w:t>
            </w:r>
          </w:p>
          <w:p w14:paraId="028DD289" w14:textId="04B8FA28" w:rsidR="002B10DB" w:rsidRDefault="00A402EC" w:rsidP="007D7440">
            <w:pPr>
              <w:pStyle w:val="ChecklistBox"/>
              <w:rPr>
                <w:rStyle w:val="Hyperlink"/>
              </w:rPr>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r>
            <w:hyperlink r:id="rId11" w:history="1">
              <w:r w:rsidR="002B10DB">
                <w:rPr>
                  <w:rStyle w:val="Hyperlinkitalics"/>
                </w:rPr>
                <w:t>Heavy Menstrual Bleeding Clinical Care Standard</w:t>
              </w:r>
            </w:hyperlink>
            <w:r w:rsidR="002B10DB">
              <w:t>.</w:t>
            </w:r>
          </w:p>
          <w:p w14:paraId="15D28912" w14:textId="77777777" w:rsidR="002B10DB" w:rsidRPr="004A38A8" w:rsidRDefault="002B10DB" w:rsidP="004A38A8">
            <w:pPr>
              <w:spacing w:before="240"/>
              <w:rPr>
                <w:rStyle w:val="Strong"/>
              </w:rPr>
            </w:pPr>
            <w:r w:rsidRPr="004A38A8">
              <w:rPr>
                <w:rStyle w:val="Strong"/>
              </w:rPr>
              <w:t>For consumers:</w:t>
            </w:r>
          </w:p>
          <w:p w14:paraId="48E12CF7" w14:textId="62A088B5" w:rsidR="002B10DB" w:rsidRDefault="00A402EC" w:rsidP="007D7440">
            <w:pPr>
              <w:pStyle w:val="ChecklistBox"/>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r>
            <w:hyperlink r:id="rId12" w:history="1">
              <w:r w:rsidR="002B10DB">
                <w:rPr>
                  <w:rStyle w:val="Hyperlinkitalics"/>
                </w:rPr>
                <w:t>Heavy menstrual bleeding treatment options</w:t>
              </w:r>
            </w:hyperlink>
            <w:r w:rsidR="002B10DB">
              <w:t xml:space="preserve"> – A tool to support healthcare providers and patients to discuss their treatment options.</w:t>
            </w:r>
          </w:p>
          <w:p w14:paraId="0186DDC5" w14:textId="2585F553" w:rsidR="002B10DB" w:rsidRDefault="00A402EC" w:rsidP="007D7440">
            <w:pPr>
              <w:pStyle w:val="ChecklistBox"/>
              <w:rPr>
                <w:lang w:val="en-GB"/>
              </w:rPr>
            </w:pPr>
            <w:r w:rsidRPr="006674F4">
              <w:rPr>
                <w:vertAlign w:val="subscript"/>
              </w:rPr>
              <w:fldChar w:fldCharType="begin">
                <w:ffData>
                  <w:name w:val="Check2"/>
                  <w:enabled/>
                  <w:calcOnExit w:val="0"/>
                  <w:checkBox>
                    <w:size w:val="22"/>
                    <w:default w:val="0"/>
                  </w:checkBox>
                </w:ffData>
              </w:fldChar>
            </w:r>
            <w:r w:rsidRPr="006674F4">
              <w:rPr>
                <w:vertAlign w:val="subscript"/>
              </w:rPr>
              <w:instrText xml:space="preserve"> FORMCHECKBOX </w:instrText>
            </w:r>
            <w:r w:rsidR="00000000">
              <w:rPr>
                <w:vertAlign w:val="subscript"/>
              </w:rPr>
            </w:r>
            <w:r w:rsidR="00000000">
              <w:rPr>
                <w:vertAlign w:val="subscript"/>
              </w:rPr>
              <w:fldChar w:fldCharType="separate"/>
            </w:r>
            <w:r w:rsidRPr="006674F4">
              <w:rPr>
                <w:vertAlign w:val="subscript"/>
              </w:rPr>
              <w:fldChar w:fldCharType="end"/>
            </w:r>
            <w:r w:rsidR="002B10DB">
              <w:tab/>
              <w:t xml:space="preserve">Jean Hailes for Women’s Health </w:t>
            </w:r>
            <w:hyperlink r:id="rId13" w:history="1">
              <w:r w:rsidR="002B10DB">
                <w:rPr>
                  <w:rStyle w:val="Hyperlink"/>
                </w:rPr>
                <w:t>Heavy Periods Fact Sheet</w:t>
              </w:r>
            </w:hyperlink>
            <w:r w:rsidR="002B10DB">
              <w:t>.</w:t>
            </w:r>
          </w:p>
          <w:p w14:paraId="2DF68078" w14:textId="77777777" w:rsidR="002B10DB" w:rsidRDefault="002B10DB" w:rsidP="007D7440">
            <w:pPr>
              <w:pStyle w:val="ChecklistBox"/>
            </w:pPr>
          </w:p>
        </w:tc>
      </w:tr>
    </w:tbl>
    <w:p w14:paraId="1C1965A1" w14:textId="4C764BAE" w:rsidR="00F24C1A" w:rsidRDefault="00F24C1A" w:rsidP="00253701">
      <w:pPr>
        <w:pStyle w:val="GreenBoxHeading"/>
        <w:spacing w:before="360"/>
      </w:pPr>
      <w:r w:rsidRPr="00F24C1A">
        <w:t>Background information on the Commission’s Clinical Care Standards</w:t>
      </w:r>
    </w:p>
    <w:p w14:paraId="37CC4A36" w14:textId="55042C04" w:rsidR="002B10DB" w:rsidRDefault="002B10DB" w:rsidP="00697474">
      <w:pPr>
        <w:pStyle w:val="GreenBoxNormal"/>
      </w:pPr>
      <w:r>
        <w:t xml:space="preserve">The Australian Commission on Safety and Quality in Health Care (the Commission) develops </w:t>
      </w:r>
      <w:hyperlink r:id="rId14" w:history="1">
        <w:r>
          <w:rPr>
            <w:rStyle w:val="Hyperlink"/>
          </w:rPr>
          <w:t>Clinical Care Standards</w:t>
        </w:r>
      </w:hyperlink>
      <w:r>
        <w:t xml:space="preserve"> to support clinical quality improvement in areas of unwarranted clinical variation. Each clinical care standard contains a small number of evidence-based quality statements which describe the care that patients should be offered by clinicians or healthcare services for a specific clinical condition or procedure. They include a set of indicators to enable local monitoring for quality improvement. </w:t>
      </w:r>
    </w:p>
    <w:p w14:paraId="3347D255" w14:textId="77777777" w:rsidR="002B10DB" w:rsidRDefault="002B10DB" w:rsidP="00697474">
      <w:pPr>
        <w:pStyle w:val="GreenBoxNormal"/>
      </w:pPr>
      <w:r>
        <w:t>Clinical care standards are developed with the guidance and advice of a topic working group comprising expert clinicians, researchers and consumers. The group uses the most current evidence from guidelines, information about gaps between evidence and practice, expertise and knowledge of the issues affecting the appropriate delivery of care, and consideration of issues that are important to consumers. A public consultation process is conducted on each draft clinical care standard.</w:t>
      </w:r>
    </w:p>
    <w:p w14:paraId="655CE31D" w14:textId="77777777" w:rsidR="002B10DB" w:rsidRDefault="002B10DB" w:rsidP="00697474">
      <w:pPr>
        <w:pStyle w:val="GreenBoxNormal"/>
      </w:pPr>
      <w:r>
        <w:t xml:space="preserve">See the Commission’s website for more information on the Clinical Care Standard </w:t>
      </w:r>
      <w:hyperlink r:id="rId15" w:anchor="development-and-consultation" w:history="1">
        <w:r>
          <w:rPr>
            <w:rStyle w:val="Hyperlink"/>
          </w:rPr>
          <w:t>development process</w:t>
        </w:r>
      </w:hyperlink>
      <w:r>
        <w:t xml:space="preserve">, and the </w:t>
      </w:r>
      <w:hyperlink r:id="rId16" w:history="1">
        <w:r>
          <w:rPr>
            <w:rStyle w:val="Hyperlink"/>
          </w:rPr>
          <w:t>Australian Atlas of Healthcare Variation series</w:t>
        </w:r>
      </w:hyperlink>
      <w:r>
        <w:t>.</w:t>
      </w:r>
    </w:p>
    <w:p w14:paraId="3781C061" w14:textId="77777777" w:rsidR="002B10DB" w:rsidRDefault="002B10DB" w:rsidP="00344BBB">
      <w:pPr>
        <w:pStyle w:val="Heading2"/>
      </w:pPr>
      <w:r>
        <w:lastRenderedPageBreak/>
        <w:t xml:space="preserve">For more information </w:t>
      </w:r>
    </w:p>
    <w:p w14:paraId="06F6A2E3" w14:textId="77777777" w:rsidR="00BE21E4" w:rsidRDefault="00BE21E4" w:rsidP="00BE21E4">
      <w:r w:rsidRPr="00526C79">
        <w:rPr>
          <w:noProof/>
        </w:rPr>
        <w:drawing>
          <wp:inline distT="0" distB="0" distL="0" distR="0" wp14:anchorId="3ED38667" wp14:editId="53D7F023">
            <wp:extent cx="914400" cy="914400"/>
            <wp:effectExtent l="0" t="0" r="0" b="0"/>
            <wp:docPr id="1309309263"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09263" name="Picture 1" descr="QR code"/>
                    <pic:cNvPicPr/>
                  </pic:nvPicPr>
                  <pic:blipFill>
                    <a:blip r:embed="rId17"/>
                    <a:stretch>
                      <a:fillRect/>
                    </a:stretch>
                  </pic:blipFill>
                  <pic:spPr>
                    <a:xfrm>
                      <a:off x="0" y="0"/>
                      <a:ext cx="914400" cy="914400"/>
                    </a:xfrm>
                    <a:prstGeom prst="rect">
                      <a:avLst/>
                    </a:prstGeom>
                  </pic:spPr>
                </pic:pic>
              </a:graphicData>
            </a:graphic>
          </wp:inline>
        </w:drawing>
      </w:r>
    </w:p>
    <w:p w14:paraId="07BE11D9" w14:textId="2959EC8F" w:rsidR="002B10DB" w:rsidRDefault="002B10DB" w:rsidP="00344BBB">
      <w:r>
        <w:t xml:space="preserve">Further </w:t>
      </w:r>
      <w:r w:rsidRPr="00344BBB">
        <w:t>information</w:t>
      </w:r>
      <w:r>
        <w:t xml:space="preserve"> and links to relevant resources, including the </w:t>
      </w:r>
      <w:r w:rsidRPr="00344BBB">
        <w:rPr>
          <w:rStyle w:val="Emphasis"/>
        </w:rPr>
        <w:t>Heavy Menstrual Bleeding Clinical Care Standard</w:t>
      </w:r>
      <w:r>
        <w:t xml:space="preserve">, are available on the Australian Commission on Safety and Quality in Health Care </w:t>
      </w:r>
      <w:hyperlink r:id="rId18" w:history="1">
        <w:r w:rsidRPr="00344BBB">
          <w:rPr>
            <w:rStyle w:val="Hyperlink"/>
          </w:rPr>
          <w:t>website</w:t>
        </w:r>
      </w:hyperlink>
      <w:r>
        <w:t xml:space="preserve">. </w:t>
      </w:r>
    </w:p>
    <w:p w14:paraId="46ACB8B9" w14:textId="77777777" w:rsidR="002B10DB" w:rsidRPr="00C85A0A" w:rsidRDefault="002B10DB" w:rsidP="00C85A0A">
      <w:pPr>
        <w:spacing w:before="240"/>
        <w:rPr>
          <w:rStyle w:val="Strong"/>
        </w:rPr>
      </w:pPr>
      <w:r w:rsidRPr="00C85A0A">
        <w:rPr>
          <w:rStyle w:val="Strong"/>
        </w:rPr>
        <w:t>References</w:t>
      </w:r>
    </w:p>
    <w:p w14:paraId="6B377C5A" w14:textId="77777777" w:rsidR="002B10DB" w:rsidRPr="00C85A0A" w:rsidRDefault="002B10DB" w:rsidP="00C85A0A">
      <w:pPr>
        <w:pStyle w:val="FootnoteText"/>
        <w:ind w:left="284" w:hanging="284"/>
      </w:pPr>
      <w:r w:rsidRPr="00C85A0A">
        <w:t>1.</w:t>
      </w:r>
      <w:r w:rsidRPr="00C85A0A">
        <w:tab/>
        <w:t>Munro MG, Critchley HOD, Fraser IS. The two FIGO systems for normal and abnormal uterine bleeding symptoms and classification of causes of abnormal uterine bleeding in the reproductive years: 2018 revisions. Int J Gynaecol Obstet 2018.</w:t>
      </w:r>
    </w:p>
    <w:p w14:paraId="4AAA7F28" w14:textId="77777777" w:rsidR="002B10DB" w:rsidRPr="00C85A0A" w:rsidRDefault="002B10DB" w:rsidP="00C85A0A">
      <w:pPr>
        <w:pStyle w:val="FootnoteText"/>
        <w:ind w:left="284" w:hanging="284"/>
      </w:pPr>
      <w:r w:rsidRPr="00C85A0A">
        <w:t>2.</w:t>
      </w:r>
      <w:r w:rsidRPr="00C85A0A">
        <w:tab/>
        <w:t>Cancer Australia. Risk factors for endometrial cancer: a review of the evidence. Sydney: Cancer Australia; 2019.</w:t>
      </w:r>
    </w:p>
    <w:p w14:paraId="09DD021E" w14:textId="77777777" w:rsidR="002B10DB" w:rsidRPr="00C85A0A" w:rsidRDefault="002B10DB" w:rsidP="00C85A0A">
      <w:pPr>
        <w:pStyle w:val="FootnoteText"/>
        <w:ind w:left="284" w:hanging="284"/>
      </w:pPr>
      <w:r w:rsidRPr="00C85A0A">
        <w:t>3.</w:t>
      </w:r>
      <w:r w:rsidRPr="00C85A0A">
        <w:tab/>
        <w:t>National Institute for Health and Care Excellence. Heavy menstrual bleeding: assessment and management (NG88). London: NICE; 2018 [updated 24 May 2021]</w:t>
      </w:r>
    </w:p>
    <w:p w14:paraId="7EA6F18A" w14:textId="77777777" w:rsidR="002B10DB" w:rsidRDefault="002B10DB" w:rsidP="00C85A0A">
      <w:pPr>
        <w:pStyle w:val="FootnoteText"/>
        <w:ind w:left="284" w:hanging="284"/>
      </w:pPr>
      <w:r w:rsidRPr="00C85A0A">
        <w:t>4.</w:t>
      </w:r>
      <w:r w:rsidRPr="00C85A0A">
        <w:tab/>
        <w:t>Therapeutic Guidelines Limited. Sexual and reproductive health. In: Therapeutic Guidelines [Internet]. Melbourne: 2020 [cited 2024 Mar 15]. Available from</w:t>
      </w:r>
      <w:r>
        <w:t xml:space="preserve">: </w:t>
      </w:r>
      <w:hyperlink r:id="rId19" w:history="1">
        <w:r>
          <w:rPr>
            <w:rStyle w:val="Hyperlink"/>
          </w:rPr>
          <w:t>www.tg.org.au</w:t>
        </w:r>
      </w:hyperlink>
      <w:r>
        <w:t xml:space="preserve"> </w:t>
      </w:r>
    </w:p>
    <w:p w14:paraId="658D479F" w14:textId="77777777" w:rsidR="002B10DB" w:rsidRPr="00C85A0A" w:rsidRDefault="002B10DB" w:rsidP="00C85A0A">
      <w:pPr>
        <w:pStyle w:val="FootnoteText"/>
        <w:ind w:left="284" w:hanging="284"/>
      </w:pPr>
      <w:r w:rsidRPr="00C85A0A">
        <w:t>5.</w:t>
      </w:r>
      <w:r w:rsidRPr="00C85A0A">
        <w:tab/>
        <w:t>Australian Medicines Handbook. Adelaide: Australian Medicines Handbook Pty Ltd, 2017.</w:t>
      </w:r>
    </w:p>
    <w:p w14:paraId="4239B5A2" w14:textId="38222F94" w:rsidR="00115682" w:rsidRPr="00E4578A" w:rsidRDefault="00000000" w:rsidP="00115682">
      <w:pPr>
        <w:pStyle w:val="Website"/>
      </w:pPr>
      <w:hyperlink r:id="rId20" w:history="1">
        <w:r w:rsidR="00115682" w:rsidRPr="00E4578A">
          <w:rPr>
            <w:rStyle w:val="Hyperlink"/>
          </w:rPr>
          <w:t>safetyandquality.gov.au</w:t>
        </w:r>
      </w:hyperlink>
    </w:p>
    <w:p w14:paraId="3AF9F03A" w14:textId="77777777" w:rsidR="00115682" w:rsidRPr="006B4D25" w:rsidRDefault="00115682" w:rsidP="00115682">
      <w:pPr>
        <w:pStyle w:val="Copyright"/>
      </w:pPr>
      <w:r w:rsidRPr="006B4D25">
        <w:rPr>
          <w:noProof/>
        </w:rPr>
        <w:drawing>
          <wp:inline distT="0" distB="0" distL="0" distR="0" wp14:anchorId="0911ACA4" wp14:editId="0618B366">
            <wp:extent cx="840105" cy="297815"/>
            <wp:effectExtent l="0" t="0" r="0" b="0"/>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2181BBE3" w14:textId="77777777" w:rsidR="00115682" w:rsidRPr="00B11A0A" w:rsidRDefault="00115682" w:rsidP="00115682">
      <w:pPr>
        <w:pStyle w:val="Copyright"/>
      </w:pPr>
      <w:r w:rsidRPr="006B4D25">
        <w:t>© Australian Commission on Safety and Quality in Health Care 202</w:t>
      </w:r>
      <w:r>
        <w:t>4</w:t>
      </w:r>
      <w:r w:rsidRPr="006B4D25">
        <w:t xml:space="preserve"> </w:t>
      </w:r>
      <w:r w:rsidRPr="006B4D25" w:rsidDel="00174535">
        <w:rPr>
          <w:rStyle w:val="Roman"/>
        </w:rPr>
        <w:t xml:space="preserve"> </w:t>
      </w:r>
    </w:p>
    <w:p w14:paraId="54BBC321" w14:textId="77777777" w:rsidR="00115682" w:rsidRPr="00115682" w:rsidRDefault="00115682" w:rsidP="00115682">
      <w:pPr>
        <w:rPr>
          <w:rFonts w:eastAsiaTheme="majorEastAsia"/>
        </w:rPr>
      </w:pPr>
    </w:p>
    <w:sectPr w:rsidR="00115682" w:rsidRPr="00115682" w:rsidSect="001B5FA5">
      <w:headerReference w:type="even" r:id="rId22"/>
      <w:headerReference w:type="default" r:id="rId23"/>
      <w:footerReference w:type="even" r:id="rId24"/>
      <w:footerReference w:type="default" r:id="rId25"/>
      <w:headerReference w:type="first" r:id="rId26"/>
      <w:footerReference w:type="first" r:id="rId27"/>
      <w:pgSz w:w="11906" w:h="16838"/>
      <w:pgMar w:top="2126" w:right="1134" w:bottom="1418" w:left="1134" w:header="709" w:footer="709"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E05B" w14:textId="77777777" w:rsidR="00A45B71" w:rsidRDefault="00A45B71" w:rsidP="000B0274">
      <w:r>
        <w:separator/>
      </w:r>
    </w:p>
    <w:p w14:paraId="66D3F625" w14:textId="77777777" w:rsidR="00A45B71" w:rsidRDefault="00A45B71"/>
    <w:p w14:paraId="6C96E9A4" w14:textId="77777777" w:rsidR="00A45B71" w:rsidRDefault="00A45B71"/>
    <w:p w14:paraId="748E309C" w14:textId="77777777" w:rsidR="00A45B71" w:rsidRDefault="00A45B71"/>
    <w:p w14:paraId="0DEBD094" w14:textId="77777777" w:rsidR="00A45B71" w:rsidRDefault="00A45B71"/>
  </w:endnote>
  <w:endnote w:type="continuationSeparator" w:id="0">
    <w:p w14:paraId="5B3A250E" w14:textId="77777777" w:rsidR="00A45B71" w:rsidRDefault="00A45B71" w:rsidP="000B0274">
      <w:r>
        <w:continuationSeparator/>
      </w:r>
    </w:p>
    <w:p w14:paraId="60AC790E" w14:textId="77777777" w:rsidR="00A45B71" w:rsidRDefault="00A45B71"/>
    <w:p w14:paraId="53ACE84C" w14:textId="77777777" w:rsidR="00A45B71" w:rsidRDefault="00A45B71"/>
    <w:p w14:paraId="2B58A020" w14:textId="77777777" w:rsidR="00A45B71" w:rsidRDefault="00A45B71"/>
    <w:p w14:paraId="0203B06A" w14:textId="77777777" w:rsidR="00A45B71" w:rsidRDefault="00A45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panose1 w:val="020B0604020202020204"/>
    <w:charset w:val="00"/>
    <w:family w:val="auto"/>
    <w:notTrueType/>
    <w:pitch w:val="variable"/>
    <w:sig w:usb0="A100007F" w:usb1="40000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Proxima Nova">
    <w:panose1 w:val="02000506030000020004"/>
    <w:charset w:val="00"/>
    <w:family w:val="auto"/>
    <w:notTrueType/>
    <w:pitch w:val="variable"/>
    <w:sig w:usb0="A00002EF" w:usb1="5000E0FB" w:usb2="00000000" w:usb3="00000000" w:csb0="0000019F" w:csb1="00000000"/>
  </w:font>
  <w:font w:name="Proxima Nova Extrabold">
    <w:panose1 w:val="02000506030000020004"/>
    <w:charset w:val="00"/>
    <w:family w:val="auto"/>
    <w:notTrueType/>
    <w:pitch w:val="variable"/>
    <w:sig w:usb0="A00002EF" w:usb1="5000E0FB" w:usb2="00000000" w:usb3="00000000" w:csb0="0000019F" w:csb1="00000000"/>
  </w:font>
  <w:font w:name="Open Sans Semibold">
    <w:altName w:val="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465E1E09" w:rsidR="008B014E" w:rsidRPr="00527737" w:rsidRDefault="00527737" w:rsidP="00E40FD7">
    <w:pPr>
      <w:pStyle w:val="Footer"/>
      <w:rPr>
        <w:b/>
        <w:bCs/>
        <w:iCs/>
      </w:rPr>
    </w:pPr>
    <w:r w:rsidRPr="00527737">
      <w:rPr>
        <w:iCs/>
      </w:rPr>
      <w:t>Heavy menstrual bleeding – HealthPathways checklist for clinical editors</w:t>
    </w:r>
    <w:r w:rsidR="00025FA6" w:rsidRPr="00025FA6">
      <w:rPr>
        <w:lang w:val="en-GB"/>
      </w:rPr>
      <w:t xml:space="preserve"> </w:t>
    </w:r>
    <w:r w:rsidR="00A5694A" w:rsidRPr="001D3465">
      <w:tab/>
    </w:r>
    <w:r w:rsidR="0036588B" w:rsidRPr="001D3465">
      <w:fldChar w:fldCharType="begin"/>
    </w:r>
    <w:r w:rsidR="0036588B" w:rsidRPr="001D3465">
      <w:instrText xml:space="preserve"> PAGE   \* MERGEFORMAT </w:instrText>
    </w:r>
    <w:r w:rsidR="0036588B" w:rsidRPr="001D3465">
      <w:fldChar w:fldCharType="separate"/>
    </w:r>
    <w:r w:rsidR="006A2587" w:rsidRPr="001D3465">
      <w:t>4</w:t>
    </w:r>
    <w:r w:rsidR="0036588B" w:rsidRPr="001D346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28E5" w14:textId="77777777" w:rsidR="008701C3" w:rsidRDefault="0087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BD0C" w14:textId="77777777" w:rsidR="00A45B71" w:rsidRDefault="00A45B71">
      <w:r>
        <w:separator/>
      </w:r>
    </w:p>
  </w:footnote>
  <w:footnote w:type="continuationSeparator" w:id="0">
    <w:p w14:paraId="3E030C2D" w14:textId="77777777" w:rsidR="00A45B71" w:rsidRDefault="00A45B71" w:rsidP="000B0274">
      <w:r>
        <w:continuationSeparator/>
      </w:r>
    </w:p>
    <w:p w14:paraId="15F6DF6F" w14:textId="77777777" w:rsidR="00A45B71" w:rsidRDefault="00A45B71"/>
    <w:p w14:paraId="3AE66AEF" w14:textId="77777777" w:rsidR="00A45B71" w:rsidRDefault="00A45B71"/>
    <w:p w14:paraId="34A122D9" w14:textId="77777777" w:rsidR="00A45B71" w:rsidRDefault="00A45B71"/>
    <w:p w14:paraId="24C2B860" w14:textId="77777777" w:rsidR="00A45B71" w:rsidRDefault="00A45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3F8FF3F9" w:rsidR="008B014E" w:rsidRDefault="0036588B" w:rsidP="00526689">
    <w:pPr>
      <w:tabs>
        <w:tab w:val="right" w:pos="9638"/>
      </w:tabs>
      <w:spacing w:before="0" w:after="0"/>
      <w:ind w:left="-142"/>
    </w:pPr>
    <w:r w:rsidRPr="00FB375B">
      <w:rPr>
        <w:rFonts w:eastAsiaTheme="majorEastAsia"/>
        <w:noProof/>
        <w:lang w:val="en-US" w:eastAsia="en-US"/>
      </w:rPr>
      <w:drawing>
        <wp:inline distT="0" distB="0" distL="0" distR="0" wp14:anchorId="752AEEBE" wp14:editId="5015BC25">
          <wp:extent cx="4307149" cy="543600"/>
          <wp:effectExtent l="0" t="0" r="0" b="2540"/>
          <wp:docPr id="24" name="Picture 24"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25" name="Picture 25"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E9BA" w14:textId="77777777" w:rsidR="008701C3" w:rsidRDefault="00870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26471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116519C"/>
    <w:multiLevelType w:val="hybridMultilevel"/>
    <w:tmpl w:val="3D8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10F98"/>
    <w:multiLevelType w:val="hybridMultilevel"/>
    <w:tmpl w:val="FBA6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376EB3"/>
    <w:multiLevelType w:val="hybridMultilevel"/>
    <w:tmpl w:val="1266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955B9C"/>
    <w:multiLevelType w:val="hybridMultilevel"/>
    <w:tmpl w:val="9458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C1C4D"/>
    <w:multiLevelType w:val="hybridMultilevel"/>
    <w:tmpl w:val="C008A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70028C"/>
    <w:multiLevelType w:val="hybridMultilevel"/>
    <w:tmpl w:val="E712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4A077F"/>
    <w:multiLevelType w:val="hybridMultilevel"/>
    <w:tmpl w:val="A2C4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25586"/>
    <w:multiLevelType w:val="hybridMultilevel"/>
    <w:tmpl w:val="980A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5E06A4"/>
    <w:multiLevelType w:val="hybridMultilevel"/>
    <w:tmpl w:val="E530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B41AAC"/>
    <w:multiLevelType w:val="hybridMultilevel"/>
    <w:tmpl w:val="EF26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0818E6"/>
    <w:multiLevelType w:val="hybridMultilevel"/>
    <w:tmpl w:val="ECA6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4C44A6"/>
    <w:multiLevelType w:val="hybridMultilevel"/>
    <w:tmpl w:val="A0B4A0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15C729CD"/>
    <w:multiLevelType w:val="hybridMultilevel"/>
    <w:tmpl w:val="8BC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7F36E4"/>
    <w:multiLevelType w:val="hybridMultilevel"/>
    <w:tmpl w:val="351E4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DF4B3E"/>
    <w:multiLevelType w:val="hybridMultilevel"/>
    <w:tmpl w:val="550CF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A43260"/>
    <w:multiLevelType w:val="hybridMultilevel"/>
    <w:tmpl w:val="AEC4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8DA6262"/>
    <w:multiLevelType w:val="hybridMultilevel"/>
    <w:tmpl w:val="2006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E8537B"/>
    <w:multiLevelType w:val="hybridMultilevel"/>
    <w:tmpl w:val="A8E8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DB6CBE"/>
    <w:multiLevelType w:val="hybridMultilevel"/>
    <w:tmpl w:val="0650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E6081E"/>
    <w:multiLevelType w:val="hybridMultilevel"/>
    <w:tmpl w:val="3BF6C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23177A"/>
    <w:multiLevelType w:val="hybridMultilevel"/>
    <w:tmpl w:val="6D5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350AF4"/>
    <w:multiLevelType w:val="hybridMultilevel"/>
    <w:tmpl w:val="C3D2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0123F4"/>
    <w:multiLevelType w:val="hybridMultilevel"/>
    <w:tmpl w:val="E2F4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A24BEB"/>
    <w:multiLevelType w:val="hybridMultilevel"/>
    <w:tmpl w:val="58E02688"/>
    <w:lvl w:ilvl="0" w:tplc="6FE0505E">
      <w:start w:val="1"/>
      <w:numFmt w:val="bullet"/>
      <w:pStyle w:val="YellowBoxBulletPullouts"/>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8" w15:restartNumberingAfterBreak="0">
    <w:nsid w:val="396048AD"/>
    <w:multiLevelType w:val="hybridMultilevel"/>
    <w:tmpl w:val="B69A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B169BB"/>
    <w:multiLevelType w:val="hybridMultilevel"/>
    <w:tmpl w:val="D52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932D9C"/>
    <w:multiLevelType w:val="hybridMultilevel"/>
    <w:tmpl w:val="F0D48C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CCD0E79"/>
    <w:multiLevelType w:val="hybridMultilevel"/>
    <w:tmpl w:val="EEFE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B1B70"/>
    <w:multiLevelType w:val="hybridMultilevel"/>
    <w:tmpl w:val="80001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6E4D48"/>
    <w:multiLevelType w:val="hybridMultilevel"/>
    <w:tmpl w:val="05E8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2B5BFA"/>
    <w:multiLevelType w:val="hybridMultilevel"/>
    <w:tmpl w:val="92B6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CA6941"/>
    <w:multiLevelType w:val="hybridMultilevel"/>
    <w:tmpl w:val="51D0F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A61E6D"/>
    <w:multiLevelType w:val="hybridMultilevel"/>
    <w:tmpl w:val="CD1A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C63A2F"/>
    <w:multiLevelType w:val="hybridMultilevel"/>
    <w:tmpl w:val="DDB4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1D7AFA"/>
    <w:multiLevelType w:val="hybridMultilevel"/>
    <w:tmpl w:val="3038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9042DA"/>
    <w:multiLevelType w:val="hybridMultilevel"/>
    <w:tmpl w:val="AD0A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C94A30"/>
    <w:multiLevelType w:val="hybridMultilevel"/>
    <w:tmpl w:val="B026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F500B7"/>
    <w:multiLevelType w:val="hybridMultilevel"/>
    <w:tmpl w:val="2516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F04FC"/>
    <w:multiLevelType w:val="hybridMultilevel"/>
    <w:tmpl w:val="C708E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C1943"/>
    <w:multiLevelType w:val="hybridMultilevel"/>
    <w:tmpl w:val="91E0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000A4E"/>
    <w:multiLevelType w:val="hybridMultilevel"/>
    <w:tmpl w:val="FEC8C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8D2C6A"/>
    <w:multiLevelType w:val="hybridMultilevel"/>
    <w:tmpl w:val="3ABE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43FCE"/>
    <w:multiLevelType w:val="hybridMultilevel"/>
    <w:tmpl w:val="04A6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705FCC"/>
    <w:multiLevelType w:val="hybridMultilevel"/>
    <w:tmpl w:val="9B9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A9532E"/>
    <w:multiLevelType w:val="hybridMultilevel"/>
    <w:tmpl w:val="AC2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AD7FCE"/>
    <w:multiLevelType w:val="hybridMultilevel"/>
    <w:tmpl w:val="C144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B46A41"/>
    <w:multiLevelType w:val="hybridMultilevel"/>
    <w:tmpl w:val="28B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249674">
    <w:abstractNumId w:val="3"/>
  </w:num>
  <w:num w:numId="2" w16cid:durableId="1267880794">
    <w:abstractNumId w:val="11"/>
  </w:num>
  <w:num w:numId="3" w16cid:durableId="1256281885">
    <w:abstractNumId w:val="19"/>
  </w:num>
  <w:num w:numId="4" w16cid:durableId="1763867670">
    <w:abstractNumId w:val="31"/>
  </w:num>
  <w:num w:numId="5" w16cid:durableId="980428595">
    <w:abstractNumId w:val="34"/>
  </w:num>
  <w:num w:numId="6" w16cid:durableId="1780710865">
    <w:abstractNumId w:val="13"/>
  </w:num>
  <w:num w:numId="7" w16cid:durableId="2027362981">
    <w:abstractNumId w:val="29"/>
  </w:num>
  <w:num w:numId="8" w16cid:durableId="538082785">
    <w:abstractNumId w:val="12"/>
  </w:num>
  <w:num w:numId="9" w16cid:durableId="1792507627">
    <w:abstractNumId w:val="51"/>
  </w:num>
  <w:num w:numId="10" w16cid:durableId="592708510">
    <w:abstractNumId w:val="23"/>
  </w:num>
  <w:num w:numId="11" w16cid:durableId="1042487295">
    <w:abstractNumId w:val="37"/>
  </w:num>
  <w:num w:numId="12" w16cid:durableId="1451514923">
    <w:abstractNumId w:val="18"/>
  </w:num>
  <w:num w:numId="13" w16cid:durableId="2012757837">
    <w:abstractNumId w:val="38"/>
  </w:num>
  <w:num w:numId="14" w16cid:durableId="724834979">
    <w:abstractNumId w:val="22"/>
  </w:num>
  <w:num w:numId="15" w16cid:durableId="1049186502">
    <w:abstractNumId w:val="32"/>
  </w:num>
  <w:num w:numId="16" w16cid:durableId="1657299044">
    <w:abstractNumId w:val="17"/>
  </w:num>
  <w:num w:numId="17" w16cid:durableId="480661841">
    <w:abstractNumId w:val="45"/>
  </w:num>
  <w:num w:numId="18" w16cid:durableId="685834862">
    <w:abstractNumId w:val="33"/>
  </w:num>
  <w:num w:numId="19" w16cid:durableId="538710229">
    <w:abstractNumId w:val="7"/>
  </w:num>
  <w:num w:numId="20" w16cid:durableId="2111583301">
    <w:abstractNumId w:val="49"/>
  </w:num>
  <w:num w:numId="21" w16cid:durableId="884096464">
    <w:abstractNumId w:val="47"/>
  </w:num>
  <w:num w:numId="22" w16cid:durableId="1391079437">
    <w:abstractNumId w:val="43"/>
  </w:num>
  <w:num w:numId="23" w16cid:durableId="38895357">
    <w:abstractNumId w:val="5"/>
  </w:num>
  <w:num w:numId="24" w16cid:durableId="364411490">
    <w:abstractNumId w:val="14"/>
  </w:num>
  <w:num w:numId="25" w16cid:durableId="1370572256">
    <w:abstractNumId w:val="35"/>
  </w:num>
  <w:num w:numId="26" w16cid:durableId="1892377978">
    <w:abstractNumId w:val="2"/>
  </w:num>
  <w:num w:numId="27" w16cid:durableId="1281690376">
    <w:abstractNumId w:val="46"/>
  </w:num>
  <w:num w:numId="28" w16cid:durableId="1318068835">
    <w:abstractNumId w:val="15"/>
  </w:num>
  <w:num w:numId="29" w16cid:durableId="1247418304">
    <w:abstractNumId w:val="30"/>
  </w:num>
  <w:num w:numId="30" w16cid:durableId="1688292757">
    <w:abstractNumId w:val="8"/>
  </w:num>
  <w:num w:numId="31" w16cid:durableId="1206528023">
    <w:abstractNumId w:val="36"/>
  </w:num>
  <w:num w:numId="32" w16cid:durableId="147945316">
    <w:abstractNumId w:val="6"/>
  </w:num>
  <w:num w:numId="33" w16cid:durableId="92164737">
    <w:abstractNumId w:val="1"/>
  </w:num>
  <w:num w:numId="34" w16cid:durableId="1665890891">
    <w:abstractNumId w:val="28"/>
  </w:num>
  <w:num w:numId="35" w16cid:durableId="1000305362">
    <w:abstractNumId w:val="16"/>
  </w:num>
  <w:num w:numId="36" w16cid:durableId="1695374917">
    <w:abstractNumId w:val="9"/>
  </w:num>
  <w:num w:numId="37" w16cid:durableId="1162698843">
    <w:abstractNumId w:val="44"/>
  </w:num>
  <w:num w:numId="38" w16cid:durableId="1526867043">
    <w:abstractNumId w:val="42"/>
  </w:num>
  <w:num w:numId="39" w16cid:durableId="1334406730">
    <w:abstractNumId w:val="4"/>
  </w:num>
  <w:num w:numId="40" w16cid:durableId="276563452">
    <w:abstractNumId w:val="10"/>
  </w:num>
  <w:num w:numId="41" w16cid:durableId="1655721520">
    <w:abstractNumId w:val="40"/>
  </w:num>
  <w:num w:numId="42" w16cid:durableId="1738866905">
    <w:abstractNumId w:val="26"/>
  </w:num>
  <w:num w:numId="43" w16cid:durableId="385876461">
    <w:abstractNumId w:val="24"/>
  </w:num>
  <w:num w:numId="44" w16cid:durableId="991639782">
    <w:abstractNumId w:val="20"/>
  </w:num>
  <w:num w:numId="45" w16cid:durableId="1061636037">
    <w:abstractNumId w:val="25"/>
  </w:num>
  <w:num w:numId="46" w16cid:durableId="915162293">
    <w:abstractNumId w:val="41"/>
  </w:num>
  <w:num w:numId="47" w16cid:durableId="1982416421">
    <w:abstractNumId w:val="39"/>
  </w:num>
  <w:num w:numId="48" w16cid:durableId="6905370">
    <w:abstractNumId w:val="21"/>
  </w:num>
  <w:num w:numId="49" w16cid:durableId="86973846">
    <w:abstractNumId w:val="48"/>
  </w:num>
  <w:num w:numId="50" w16cid:durableId="2108839899">
    <w:abstractNumId w:val="27"/>
  </w:num>
  <w:num w:numId="51" w16cid:durableId="1620405779">
    <w:abstractNumId w:val="0"/>
  </w:num>
  <w:num w:numId="52" w16cid:durableId="472335353">
    <w:abstractNumId w:val="5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564"/>
    <w:rsid w:val="00002668"/>
    <w:rsid w:val="00003743"/>
    <w:rsid w:val="000077FA"/>
    <w:rsid w:val="00007FBA"/>
    <w:rsid w:val="0001053B"/>
    <w:rsid w:val="00011096"/>
    <w:rsid w:val="00012782"/>
    <w:rsid w:val="00016A7B"/>
    <w:rsid w:val="00020DBD"/>
    <w:rsid w:val="00024898"/>
    <w:rsid w:val="00025A92"/>
    <w:rsid w:val="00025FA6"/>
    <w:rsid w:val="00030296"/>
    <w:rsid w:val="0003073D"/>
    <w:rsid w:val="0003162D"/>
    <w:rsid w:val="00036F5E"/>
    <w:rsid w:val="00037C8A"/>
    <w:rsid w:val="00037DC7"/>
    <w:rsid w:val="000406F8"/>
    <w:rsid w:val="00043671"/>
    <w:rsid w:val="00050775"/>
    <w:rsid w:val="00051DB6"/>
    <w:rsid w:val="00054B74"/>
    <w:rsid w:val="00057F46"/>
    <w:rsid w:val="000611D9"/>
    <w:rsid w:val="00067456"/>
    <w:rsid w:val="00067CE9"/>
    <w:rsid w:val="00070812"/>
    <w:rsid w:val="0008065C"/>
    <w:rsid w:val="00090EFF"/>
    <w:rsid w:val="00091FC5"/>
    <w:rsid w:val="00092229"/>
    <w:rsid w:val="00095C33"/>
    <w:rsid w:val="00095DA6"/>
    <w:rsid w:val="00095DC5"/>
    <w:rsid w:val="000A3F0D"/>
    <w:rsid w:val="000A4C01"/>
    <w:rsid w:val="000A6B18"/>
    <w:rsid w:val="000B0274"/>
    <w:rsid w:val="000B0BFE"/>
    <w:rsid w:val="000B4610"/>
    <w:rsid w:val="000B6D05"/>
    <w:rsid w:val="000B79D3"/>
    <w:rsid w:val="000C1417"/>
    <w:rsid w:val="000C1722"/>
    <w:rsid w:val="000C1DD4"/>
    <w:rsid w:val="000C473D"/>
    <w:rsid w:val="000C5B0F"/>
    <w:rsid w:val="000C7A69"/>
    <w:rsid w:val="000C7CB6"/>
    <w:rsid w:val="000D017D"/>
    <w:rsid w:val="000D1B77"/>
    <w:rsid w:val="000D5D2D"/>
    <w:rsid w:val="000D6405"/>
    <w:rsid w:val="000D6E27"/>
    <w:rsid w:val="000E2F2E"/>
    <w:rsid w:val="000E642E"/>
    <w:rsid w:val="000F0D77"/>
    <w:rsid w:val="000F29C7"/>
    <w:rsid w:val="000F55C5"/>
    <w:rsid w:val="0010673D"/>
    <w:rsid w:val="00106CF5"/>
    <w:rsid w:val="00107FB8"/>
    <w:rsid w:val="001108D6"/>
    <w:rsid w:val="0011241A"/>
    <w:rsid w:val="001130E8"/>
    <w:rsid w:val="00114927"/>
    <w:rsid w:val="00115403"/>
    <w:rsid w:val="00115682"/>
    <w:rsid w:val="00115E61"/>
    <w:rsid w:val="00120FCB"/>
    <w:rsid w:val="00122856"/>
    <w:rsid w:val="00131E52"/>
    <w:rsid w:val="00140002"/>
    <w:rsid w:val="001408DB"/>
    <w:rsid w:val="00142304"/>
    <w:rsid w:val="00143A76"/>
    <w:rsid w:val="001453B6"/>
    <w:rsid w:val="00145BE3"/>
    <w:rsid w:val="00146A66"/>
    <w:rsid w:val="001507C6"/>
    <w:rsid w:val="00156F18"/>
    <w:rsid w:val="00157B31"/>
    <w:rsid w:val="00160453"/>
    <w:rsid w:val="00162146"/>
    <w:rsid w:val="00163996"/>
    <w:rsid w:val="001652A9"/>
    <w:rsid w:val="0017070B"/>
    <w:rsid w:val="00174141"/>
    <w:rsid w:val="00174535"/>
    <w:rsid w:val="00174F1E"/>
    <w:rsid w:val="00176552"/>
    <w:rsid w:val="0017675C"/>
    <w:rsid w:val="00182B74"/>
    <w:rsid w:val="00183675"/>
    <w:rsid w:val="00184C86"/>
    <w:rsid w:val="001852DE"/>
    <w:rsid w:val="001859B5"/>
    <w:rsid w:val="001860B2"/>
    <w:rsid w:val="001918F7"/>
    <w:rsid w:val="001921ED"/>
    <w:rsid w:val="00195458"/>
    <w:rsid w:val="001962DE"/>
    <w:rsid w:val="00196AC8"/>
    <w:rsid w:val="001A11A5"/>
    <w:rsid w:val="001A1EBD"/>
    <w:rsid w:val="001A236C"/>
    <w:rsid w:val="001A352F"/>
    <w:rsid w:val="001A4A68"/>
    <w:rsid w:val="001B15D1"/>
    <w:rsid w:val="001B3443"/>
    <w:rsid w:val="001B5FA5"/>
    <w:rsid w:val="001B7C8B"/>
    <w:rsid w:val="001C12FD"/>
    <w:rsid w:val="001D0D87"/>
    <w:rsid w:val="001D3465"/>
    <w:rsid w:val="001D709F"/>
    <w:rsid w:val="001E1042"/>
    <w:rsid w:val="001E1717"/>
    <w:rsid w:val="001E2400"/>
    <w:rsid w:val="001E38B8"/>
    <w:rsid w:val="001E6C6D"/>
    <w:rsid w:val="001E77C4"/>
    <w:rsid w:val="001E7B2D"/>
    <w:rsid w:val="001F6D10"/>
    <w:rsid w:val="00207B8D"/>
    <w:rsid w:val="00211741"/>
    <w:rsid w:val="002138CC"/>
    <w:rsid w:val="00214CBB"/>
    <w:rsid w:val="002255F7"/>
    <w:rsid w:val="0023112B"/>
    <w:rsid w:val="0023231A"/>
    <w:rsid w:val="00235A60"/>
    <w:rsid w:val="00235C90"/>
    <w:rsid w:val="00237ADF"/>
    <w:rsid w:val="002416A9"/>
    <w:rsid w:val="00245D81"/>
    <w:rsid w:val="00245FF5"/>
    <w:rsid w:val="00246CC1"/>
    <w:rsid w:val="0024767D"/>
    <w:rsid w:val="002503C3"/>
    <w:rsid w:val="00251167"/>
    <w:rsid w:val="002519CF"/>
    <w:rsid w:val="00252B7D"/>
    <w:rsid w:val="00253701"/>
    <w:rsid w:val="002550A7"/>
    <w:rsid w:val="00255596"/>
    <w:rsid w:val="00255DCB"/>
    <w:rsid w:val="00261F43"/>
    <w:rsid w:val="002625FB"/>
    <w:rsid w:val="00263A63"/>
    <w:rsid w:val="00264387"/>
    <w:rsid w:val="00264A5A"/>
    <w:rsid w:val="00265595"/>
    <w:rsid w:val="002662B4"/>
    <w:rsid w:val="0026675D"/>
    <w:rsid w:val="00267635"/>
    <w:rsid w:val="00277A59"/>
    <w:rsid w:val="00280BD7"/>
    <w:rsid w:val="0028150E"/>
    <w:rsid w:val="00281FD4"/>
    <w:rsid w:val="00284560"/>
    <w:rsid w:val="002851F2"/>
    <w:rsid w:val="00291EBD"/>
    <w:rsid w:val="00293CDE"/>
    <w:rsid w:val="002A36BF"/>
    <w:rsid w:val="002A48DC"/>
    <w:rsid w:val="002B10DB"/>
    <w:rsid w:val="002C1CA0"/>
    <w:rsid w:val="002C6AF0"/>
    <w:rsid w:val="002C6E07"/>
    <w:rsid w:val="002D098F"/>
    <w:rsid w:val="002D0EB0"/>
    <w:rsid w:val="002D247E"/>
    <w:rsid w:val="002E195D"/>
    <w:rsid w:val="002E2DBA"/>
    <w:rsid w:val="002E3986"/>
    <w:rsid w:val="002E6A48"/>
    <w:rsid w:val="002E6BEC"/>
    <w:rsid w:val="002E7082"/>
    <w:rsid w:val="002F0171"/>
    <w:rsid w:val="002F3AE3"/>
    <w:rsid w:val="002F7E6F"/>
    <w:rsid w:val="0030786C"/>
    <w:rsid w:val="00307ECE"/>
    <w:rsid w:val="00312A62"/>
    <w:rsid w:val="00316683"/>
    <w:rsid w:val="00316F58"/>
    <w:rsid w:val="00331C34"/>
    <w:rsid w:val="003359AC"/>
    <w:rsid w:val="00341A36"/>
    <w:rsid w:val="00341BEE"/>
    <w:rsid w:val="003422F3"/>
    <w:rsid w:val="00342360"/>
    <w:rsid w:val="00343286"/>
    <w:rsid w:val="00344BBB"/>
    <w:rsid w:val="00345C8C"/>
    <w:rsid w:val="0034680F"/>
    <w:rsid w:val="0035066E"/>
    <w:rsid w:val="00350BE1"/>
    <w:rsid w:val="00352A93"/>
    <w:rsid w:val="00355D11"/>
    <w:rsid w:val="00356CD7"/>
    <w:rsid w:val="00361076"/>
    <w:rsid w:val="003610EF"/>
    <w:rsid w:val="003657DB"/>
    <w:rsid w:val="0036588B"/>
    <w:rsid w:val="00370326"/>
    <w:rsid w:val="00375A2E"/>
    <w:rsid w:val="00380792"/>
    <w:rsid w:val="003808E4"/>
    <w:rsid w:val="0038248B"/>
    <w:rsid w:val="00383617"/>
    <w:rsid w:val="00386683"/>
    <w:rsid w:val="003873C6"/>
    <w:rsid w:val="00392002"/>
    <w:rsid w:val="00392A85"/>
    <w:rsid w:val="00396AFB"/>
    <w:rsid w:val="003A0131"/>
    <w:rsid w:val="003A2D7B"/>
    <w:rsid w:val="003A493F"/>
    <w:rsid w:val="003A70CE"/>
    <w:rsid w:val="003B216B"/>
    <w:rsid w:val="003B35D0"/>
    <w:rsid w:val="003B6F31"/>
    <w:rsid w:val="003C297A"/>
    <w:rsid w:val="003C540E"/>
    <w:rsid w:val="003C5F0C"/>
    <w:rsid w:val="003C7AAA"/>
    <w:rsid w:val="003D17F9"/>
    <w:rsid w:val="003D3806"/>
    <w:rsid w:val="003D437B"/>
    <w:rsid w:val="003D4829"/>
    <w:rsid w:val="003D6B6A"/>
    <w:rsid w:val="003D6BB4"/>
    <w:rsid w:val="003D6E18"/>
    <w:rsid w:val="003E197F"/>
    <w:rsid w:val="003E254A"/>
    <w:rsid w:val="003E6E73"/>
    <w:rsid w:val="003E76C8"/>
    <w:rsid w:val="003F0D94"/>
    <w:rsid w:val="003F2E19"/>
    <w:rsid w:val="003F3F0B"/>
    <w:rsid w:val="003F4A43"/>
    <w:rsid w:val="0040152C"/>
    <w:rsid w:val="00402CBA"/>
    <w:rsid w:val="004037F9"/>
    <w:rsid w:val="00412E9D"/>
    <w:rsid w:val="00414952"/>
    <w:rsid w:val="00420F98"/>
    <w:rsid w:val="004223BB"/>
    <w:rsid w:val="00423210"/>
    <w:rsid w:val="004233EE"/>
    <w:rsid w:val="0042544C"/>
    <w:rsid w:val="00425504"/>
    <w:rsid w:val="0042727E"/>
    <w:rsid w:val="0043052C"/>
    <w:rsid w:val="004305D6"/>
    <w:rsid w:val="0043236E"/>
    <w:rsid w:val="004361F9"/>
    <w:rsid w:val="004377EE"/>
    <w:rsid w:val="00437E1A"/>
    <w:rsid w:val="00440CC0"/>
    <w:rsid w:val="00440D73"/>
    <w:rsid w:val="004428EA"/>
    <w:rsid w:val="004437F3"/>
    <w:rsid w:val="00447D31"/>
    <w:rsid w:val="00452849"/>
    <w:rsid w:val="00455560"/>
    <w:rsid w:val="00456385"/>
    <w:rsid w:val="0045769C"/>
    <w:rsid w:val="00462015"/>
    <w:rsid w:val="00463EA2"/>
    <w:rsid w:val="00465A19"/>
    <w:rsid w:val="00465AB0"/>
    <w:rsid w:val="004706FF"/>
    <w:rsid w:val="00470AB8"/>
    <w:rsid w:val="00471AA9"/>
    <w:rsid w:val="00471D0B"/>
    <w:rsid w:val="004720D5"/>
    <w:rsid w:val="00473C16"/>
    <w:rsid w:val="00477E9B"/>
    <w:rsid w:val="00482ECA"/>
    <w:rsid w:val="004832A0"/>
    <w:rsid w:val="00485776"/>
    <w:rsid w:val="00485794"/>
    <w:rsid w:val="004867E2"/>
    <w:rsid w:val="00486826"/>
    <w:rsid w:val="0048784D"/>
    <w:rsid w:val="00492D2F"/>
    <w:rsid w:val="00493AA0"/>
    <w:rsid w:val="00494603"/>
    <w:rsid w:val="00495CA7"/>
    <w:rsid w:val="004A00DA"/>
    <w:rsid w:val="004A0670"/>
    <w:rsid w:val="004A20B7"/>
    <w:rsid w:val="004A38A8"/>
    <w:rsid w:val="004A3B4B"/>
    <w:rsid w:val="004A4096"/>
    <w:rsid w:val="004A4851"/>
    <w:rsid w:val="004A5C81"/>
    <w:rsid w:val="004B0417"/>
    <w:rsid w:val="004B1464"/>
    <w:rsid w:val="004B1839"/>
    <w:rsid w:val="004B2999"/>
    <w:rsid w:val="004B79B3"/>
    <w:rsid w:val="004C04EB"/>
    <w:rsid w:val="004C1050"/>
    <w:rsid w:val="004C3664"/>
    <w:rsid w:val="004C4927"/>
    <w:rsid w:val="004C6833"/>
    <w:rsid w:val="004D1096"/>
    <w:rsid w:val="004E067A"/>
    <w:rsid w:val="004E179B"/>
    <w:rsid w:val="004E2389"/>
    <w:rsid w:val="004E50C2"/>
    <w:rsid w:val="004E58C1"/>
    <w:rsid w:val="004F412D"/>
    <w:rsid w:val="004F63C6"/>
    <w:rsid w:val="005008B6"/>
    <w:rsid w:val="00503C37"/>
    <w:rsid w:val="00504D1E"/>
    <w:rsid w:val="00505824"/>
    <w:rsid w:val="0051563D"/>
    <w:rsid w:val="00516B45"/>
    <w:rsid w:val="005179C7"/>
    <w:rsid w:val="0052107C"/>
    <w:rsid w:val="005221B7"/>
    <w:rsid w:val="00526689"/>
    <w:rsid w:val="00527737"/>
    <w:rsid w:val="0052793A"/>
    <w:rsid w:val="00530100"/>
    <w:rsid w:val="005334BA"/>
    <w:rsid w:val="00536E0C"/>
    <w:rsid w:val="005408C7"/>
    <w:rsid w:val="005422E7"/>
    <w:rsid w:val="005437FD"/>
    <w:rsid w:val="00544A4E"/>
    <w:rsid w:val="00547B76"/>
    <w:rsid w:val="005507F4"/>
    <w:rsid w:val="005512F1"/>
    <w:rsid w:val="00553E33"/>
    <w:rsid w:val="005551C5"/>
    <w:rsid w:val="00555C4C"/>
    <w:rsid w:val="00555D6E"/>
    <w:rsid w:val="00562F72"/>
    <w:rsid w:val="0056304B"/>
    <w:rsid w:val="00563F9E"/>
    <w:rsid w:val="00565356"/>
    <w:rsid w:val="00566B97"/>
    <w:rsid w:val="00570C6C"/>
    <w:rsid w:val="0057209D"/>
    <w:rsid w:val="00584334"/>
    <w:rsid w:val="005852A1"/>
    <w:rsid w:val="00587F42"/>
    <w:rsid w:val="00591A14"/>
    <w:rsid w:val="0059380A"/>
    <w:rsid w:val="0059724C"/>
    <w:rsid w:val="005A1AA7"/>
    <w:rsid w:val="005A4B2F"/>
    <w:rsid w:val="005A4D0B"/>
    <w:rsid w:val="005A61B4"/>
    <w:rsid w:val="005A65E0"/>
    <w:rsid w:val="005A735B"/>
    <w:rsid w:val="005B04D8"/>
    <w:rsid w:val="005B12E4"/>
    <w:rsid w:val="005B1BF8"/>
    <w:rsid w:val="005B3907"/>
    <w:rsid w:val="005B60F9"/>
    <w:rsid w:val="005B7FD0"/>
    <w:rsid w:val="005C1496"/>
    <w:rsid w:val="005C5EF4"/>
    <w:rsid w:val="005C6AAE"/>
    <w:rsid w:val="005D1073"/>
    <w:rsid w:val="005D1804"/>
    <w:rsid w:val="005D2770"/>
    <w:rsid w:val="005D35C9"/>
    <w:rsid w:val="005D5D06"/>
    <w:rsid w:val="005D62B5"/>
    <w:rsid w:val="005E2614"/>
    <w:rsid w:val="005E7144"/>
    <w:rsid w:val="005F1E4A"/>
    <w:rsid w:val="005F6CF0"/>
    <w:rsid w:val="00604583"/>
    <w:rsid w:val="00607B0B"/>
    <w:rsid w:val="00611870"/>
    <w:rsid w:val="00613219"/>
    <w:rsid w:val="00614E29"/>
    <w:rsid w:val="00621CD6"/>
    <w:rsid w:val="0062216A"/>
    <w:rsid w:val="00625634"/>
    <w:rsid w:val="00625EC1"/>
    <w:rsid w:val="00626F7D"/>
    <w:rsid w:val="00630199"/>
    <w:rsid w:val="006317C9"/>
    <w:rsid w:val="00632475"/>
    <w:rsid w:val="00632C35"/>
    <w:rsid w:val="006340B0"/>
    <w:rsid w:val="0063494C"/>
    <w:rsid w:val="00635FC3"/>
    <w:rsid w:val="00636F0B"/>
    <w:rsid w:val="00641773"/>
    <w:rsid w:val="00641CB0"/>
    <w:rsid w:val="0064239F"/>
    <w:rsid w:val="006456F1"/>
    <w:rsid w:val="00653B24"/>
    <w:rsid w:val="00656A90"/>
    <w:rsid w:val="00657DD2"/>
    <w:rsid w:val="00663BBD"/>
    <w:rsid w:val="00664B4A"/>
    <w:rsid w:val="00664B6D"/>
    <w:rsid w:val="00664F67"/>
    <w:rsid w:val="006655E2"/>
    <w:rsid w:val="006674F4"/>
    <w:rsid w:val="00667658"/>
    <w:rsid w:val="00670F54"/>
    <w:rsid w:val="006728F9"/>
    <w:rsid w:val="006741D0"/>
    <w:rsid w:val="006746DA"/>
    <w:rsid w:val="006765C3"/>
    <w:rsid w:val="006767BC"/>
    <w:rsid w:val="006803BA"/>
    <w:rsid w:val="00682416"/>
    <w:rsid w:val="00683E87"/>
    <w:rsid w:val="0069078B"/>
    <w:rsid w:val="00692026"/>
    <w:rsid w:val="006922F5"/>
    <w:rsid w:val="006947D9"/>
    <w:rsid w:val="00697474"/>
    <w:rsid w:val="006A0BCE"/>
    <w:rsid w:val="006A16DD"/>
    <w:rsid w:val="006A2587"/>
    <w:rsid w:val="006B226D"/>
    <w:rsid w:val="006B3CFC"/>
    <w:rsid w:val="006B7785"/>
    <w:rsid w:val="006C0CD8"/>
    <w:rsid w:val="006C5AEE"/>
    <w:rsid w:val="006C5B8D"/>
    <w:rsid w:val="006C679A"/>
    <w:rsid w:val="006C68E8"/>
    <w:rsid w:val="006D09FE"/>
    <w:rsid w:val="006D0C40"/>
    <w:rsid w:val="006D0E98"/>
    <w:rsid w:val="006D15C1"/>
    <w:rsid w:val="006D732F"/>
    <w:rsid w:val="006E15A8"/>
    <w:rsid w:val="006E4597"/>
    <w:rsid w:val="006E688D"/>
    <w:rsid w:val="006E77DC"/>
    <w:rsid w:val="006F11B9"/>
    <w:rsid w:val="006F1432"/>
    <w:rsid w:val="006F7964"/>
    <w:rsid w:val="0070131E"/>
    <w:rsid w:val="007028EC"/>
    <w:rsid w:val="00702E00"/>
    <w:rsid w:val="007035D8"/>
    <w:rsid w:val="0070703E"/>
    <w:rsid w:val="00707D22"/>
    <w:rsid w:val="007103BE"/>
    <w:rsid w:val="00711E21"/>
    <w:rsid w:val="00712582"/>
    <w:rsid w:val="00712832"/>
    <w:rsid w:val="00713F05"/>
    <w:rsid w:val="00715168"/>
    <w:rsid w:val="0071637F"/>
    <w:rsid w:val="00716597"/>
    <w:rsid w:val="00716FED"/>
    <w:rsid w:val="00722691"/>
    <w:rsid w:val="007238E8"/>
    <w:rsid w:val="00723CF3"/>
    <w:rsid w:val="0072413F"/>
    <w:rsid w:val="00725FB9"/>
    <w:rsid w:val="00727AFA"/>
    <w:rsid w:val="00730020"/>
    <w:rsid w:val="007307BF"/>
    <w:rsid w:val="007333AD"/>
    <w:rsid w:val="007360BF"/>
    <w:rsid w:val="00737D4D"/>
    <w:rsid w:val="007406E6"/>
    <w:rsid w:val="007441A7"/>
    <w:rsid w:val="00746CCD"/>
    <w:rsid w:val="00747CE1"/>
    <w:rsid w:val="007513D6"/>
    <w:rsid w:val="007517A6"/>
    <w:rsid w:val="007545C7"/>
    <w:rsid w:val="00754F04"/>
    <w:rsid w:val="007551C0"/>
    <w:rsid w:val="00756EB9"/>
    <w:rsid w:val="0076005C"/>
    <w:rsid w:val="0076111D"/>
    <w:rsid w:val="00761AEB"/>
    <w:rsid w:val="00762AE8"/>
    <w:rsid w:val="007635C1"/>
    <w:rsid w:val="0076410D"/>
    <w:rsid w:val="00766B42"/>
    <w:rsid w:val="0076731D"/>
    <w:rsid w:val="007674E7"/>
    <w:rsid w:val="00767650"/>
    <w:rsid w:val="00767A90"/>
    <w:rsid w:val="00770588"/>
    <w:rsid w:val="00770EDE"/>
    <w:rsid w:val="0078070C"/>
    <w:rsid w:val="00784541"/>
    <w:rsid w:val="007857BF"/>
    <w:rsid w:val="00787790"/>
    <w:rsid w:val="007907DF"/>
    <w:rsid w:val="00793E5D"/>
    <w:rsid w:val="00794DF2"/>
    <w:rsid w:val="007968CC"/>
    <w:rsid w:val="00796FB7"/>
    <w:rsid w:val="0079708B"/>
    <w:rsid w:val="007A0E50"/>
    <w:rsid w:val="007A220B"/>
    <w:rsid w:val="007A3739"/>
    <w:rsid w:val="007B04A9"/>
    <w:rsid w:val="007B16AC"/>
    <w:rsid w:val="007B1D5C"/>
    <w:rsid w:val="007B3212"/>
    <w:rsid w:val="007B5D05"/>
    <w:rsid w:val="007B5D1E"/>
    <w:rsid w:val="007C2217"/>
    <w:rsid w:val="007C26F7"/>
    <w:rsid w:val="007C2E29"/>
    <w:rsid w:val="007C471C"/>
    <w:rsid w:val="007C52D3"/>
    <w:rsid w:val="007C7042"/>
    <w:rsid w:val="007D3759"/>
    <w:rsid w:val="007D4258"/>
    <w:rsid w:val="007D7440"/>
    <w:rsid w:val="007E000D"/>
    <w:rsid w:val="007E04F8"/>
    <w:rsid w:val="007E175B"/>
    <w:rsid w:val="007E3F8A"/>
    <w:rsid w:val="007F3645"/>
    <w:rsid w:val="007F58DD"/>
    <w:rsid w:val="007F6791"/>
    <w:rsid w:val="007F6C8D"/>
    <w:rsid w:val="00802131"/>
    <w:rsid w:val="00802B91"/>
    <w:rsid w:val="00805E44"/>
    <w:rsid w:val="008104D7"/>
    <w:rsid w:val="00811C26"/>
    <w:rsid w:val="00812A44"/>
    <w:rsid w:val="00813F63"/>
    <w:rsid w:val="008166A5"/>
    <w:rsid w:val="00820059"/>
    <w:rsid w:val="00824FE5"/>
    <w:rsid w:val="008264EB"/>
    <w:rsid w:val="00827924"/>
    <w:rsid w:val="00830756"/>
    <w:rsid w:val="00837A90"/>
    <w:rsid w:val="00842182"/>
    <w:rsid w:val="0085566A"/>
    <w:rsid w:val="00855A49"/>
    <w:rsid w:val="00856DF5"/>
    <w:rsid w:val="00857E76"/>
    <w:rsid w:val="0086059A"/>
    <w:rsid w:val="00865932"/>
    <w:rsid w:val="008701C3"/>
    <w:rsid w:val="00872059"/>
    <w:rsid w:val="00873673"/>
    <w:rsid w:val="008803A1"/>
    <w:rsid w:val="0088122A"/>
    <w:rsid w:val="008839CD"/>
    <w:rsid w:val="008926E7"/>
    <w:rsid w:val="00892AC8"/>
    <w:rsid w:val="00893126"/>
    <w:rsid w:val="00893261"/>
    <w:rsid w:val="0089369D"/>
    <w:rsid w:val="00897E5A"/>
    <w:rsid w:val="008A07AF"/>
    <w:rsid w:val="008A0FD3"/>
    <w:rsid w:val="008A4580"/>
    <w:rsid w:val="008A4AC8"/>
    <w:rsid w:val="008A4E8B"/>
    <w:rsid w:val="008A58F9"/>
    <w:rsid w:val="008B014E"/>
    <w:rsid w:val="008C2348"/>
    <w:rsid w:val="008C3CD9"/>
    <w:rsid w:val="008D00AE"/>
    <w:rsid w:val="008D09DE"/>
    <w:rsid w:val="008D2FF8"/>
    <w:rsid w:val="008D5AFD"/>
    <w:rsid w:val="008E3658"/>
    <w:rsid w:val="008E59EB"/>
    <w:rsid w:val="008E5D6A"/>
    <w:rsid w:val="008F26C0"/>
    <w:rsid w:val="00901462"/>
    <w:rsid w:val="00901D6C"/>
    <w:rsid w:val="00902A76"/>
    <w:rsid w:val="0090304F"/>
    <w:rsid w:val="00904474"/>
    <w:rsid w:val="0091137C"/>
    <w:rsid w:val="00913727"/>
    <w:rsid w:val="0091384C"/>
    <w:rsid w:val="009143E6"/>
    <w:rsid w:val="009213F3"/>
    <w:rsid w:val="0092204C"/>
    <w:rsid w:val="00922DEE"/>
    <w:rsid w:val="009238AA"/>
    <w:rsid w:val="009244B8"/>
    <w:rsid w:val="00925748"/>
    <w:rsid w:val="00932407"/>
    <w:rsid w:val="00933B21"/>
    <w:rsid w:val="00933EC2"/>
    <w:rsid w:val="0094021E"/>
    <w:rsid w:val="00941048"/>
    <w:rsid w:val="009421F2"/>
    <w:rsid w:val="009424A5"/>
    <w:rsid w:val="00943A18"/>
    <w:rsid w:val="009454FE"/>
    <w:rsid w:val="00947DFF"/>
    <w:rsid w:val="00950089"/>
    <w:rsid w:val="00953D0F"/>
    <w:rsid w:val="00954D41"/>
    <w:rsid w:val="0095539D"/>
    <w:rsid w:val="00955408"/>
    <w:rsid w:val="0095699F"/>
    <w:rsid w:val="00957AD0"/>
    <w:rsid w:val="00957E88"/>
    <w:rsid w:val="00960BD7"/>
    <w:rsid w:val="00961B39"/>
    <w:rsid w:val="00961F0C"/>
    <w:rsid w:val="00961FBE"/>
    <w:rsid w:val="00964277"/>
    <w:rsid w:val="0097100F"/>
    <w:rsid w:val="009739AC"/>
    <w:rsid w:val="0097582E"/>
    <w:rsid w:val="00977763"/>
    <w:rsid w:val="00977D26"/>
    <w:rsid w:val="00977E26"/>
    <w:rsid w:val="009805EC"/>
    <w:rsid w:val="0098149F"/>
    <w:rsid w:val="00984227"/>
    <w:rsid w:val="00984799"/>
    <w:rsid w:val="00986415"/>
    <w:rsid w:val="009904EA"/>
    <w:rsid w:val="00991AF5"/>
    <w:rsid w:val="009924BF"/>
    <w:rsid w:val="0099343F"/>
    <w:rsid w:val="0099497F"/>
    <w:rsid w:val="00995094"/>
    <w:rsid w:val="009A007B"/>
    <w:rsid w:val="009A0425"/>
    <w:rsid w:val="009A263C"/>
    <w:rsid w:val="009A3282"/>
    <w:rsid w:val="009B053D"/>
    <w:rsid w:val="009B3E5D"/>
    <w:rsid w:val="009B64E3"/>
    <w:rsid w:val="009C5964"/>
    <w:rsid w:val="009C672E"/>
    <w:rsid w:val="009C77A3"/>
    <w:rsid w:val="009D0B90"/>
    <w:rsid w:val="009D3768"/>
    <w:rsid w:val="009D3827"/>
    <w:rsid w:val="009D519B"/>
    <w:rsid w:val="009D6852"/>
    <w:rsid w:val="009E0725"/>
    <w:rsid w:val="009E0D48"/>
    <w:rsid w:val="009E1F38"/>
    <w:rsid w:val="009E5D18"/>
    <w:rsid w:val="009E6B78"/>
    <w:rsid w:val="009E6D37"/>
    <w:rsid w:val="009F1EC9"/>
    <w:rsid w:val="009F2170"/>
    <w:rsid w:val="009F33F8"/>
    <w:rsid w:val="009F41E6"/>
    <w:rsid w:val="009F4ACF"/>
    <w:rsid w:val="009F52F1"/>
    <w:rsid w:val="009F5557"/>
    <w:rsid w:val="009F7864"/>
    <w:rsid w:val="00A007AC"/>
    <w:rsid w:val="00A00906"/>
    <w:rsid w:val="00A02BFF"/>
    <w:rsid w:val="00A03A69"/>
    <w:rsid w:val="00A0554C"/>
    <w:rsid w:val="00A06D27"/>
    <w:rsid w:val="00A1015B"/>
    <w:rsid w:val="00A135F1"/>
    <w:rsid w:val="00A139AB"/>
    <w:rsid w:val="00A14504"/>
    <w:rsid w:val="00A15082"/>
    <w:rsid w:val="00A16AEE"/>
    <w:rsid w:val="00A16B43"/>
    <w:rsid w:val="00A243E8"/>
    <w:rsid w:val="00A27285"/>
    <w:rsid w:val="00A369E8"/>
    <w:rsid w:val="00A402EC"/>
    <w:rsid w:val="00A4199A"/>
    <w:rsid w:val="00A4512D"/>
    <w:rsid w:val="00A45B71"/>
    <w:rsid w:val="00A51947"/>
    <w:rsid w:val="00A541E1"/>
    <w:rsid w:val="00A54775"/>
    <w:rsid w:val="00A5502C"/>
    <w:rsid w:val="00A564A6"/>
    <w:rsid w:val="00A5694A"/>
    <w:rsid w:val="00A65795"/>
    <w:rsid w:val="00A6672E"/>
    <w:rsid w:val="00A705AF"/>
    <w:rsid w:val="00A705E3"/>
    <w:rsid w:val="00A70F23"/>
    <w:rsid w:val="00A7126D"/>
    <w:rsid w:val="00A7363D"/>
    <w:rsid w:val="00A73C2F"/>
    <w:rsid w:val="00A75B58"/>
    <w:rsid w:val="00A77349"/>
    <w:rsid w:val="00A81D72"/>
    <w:rsid w:val="00A83572"/>
    <w:rsid w:val="00A931E2"/>
    <w:rsid w:val="00A93A18"/>
    <w:rsid w:val="00A964DB"/>
    <w:rsid w:val="00A96DED"/>
    <w:rsid w:val="00AA0055"/>
    <w:rsid w:val="00AA0A90"/>
    <w:rsid w:val="00AA3A3E"/>
    <w:rsid w:val="00AA405D"/>
    <w:rsid w:val="00AA603A"/>
    <w:rsid w:val="00AA6DC2"/>
    <w:rsid w:val="00AA7B58"/>
    <w:rsid w:val="00AB0A6E"/>
    <w:rsid w:val="00AB40AB"/>
    <w:rsid w:val="00AB64E5"/>
    <w:rsid w:val="00AB6E76"/>
    <w:rsid w:val="00AB6ED9"/>
    <w:rsid w:val="00AB6F9B"/>
    <w:rsid w:val="00AC5816"/>
    <w:rsid w:val="00AC637F"/>
    <w:rsid w:val="00AC7883"/>
    <w:rsid w:val="00AD01B4"/>
    <w:rsid w:val="00AD055C"/>
    <w:rsid w:val="00AD52A0"/>
    <w:rsid w:val="00AD5717"/>
    <w:rsid w:val="00AE05BB"/>
    <w:rsid w:val="00AE0BA6"/>
    <w:rsid w:val="00AE3267"/>
    <w:rsid w:val="00AE4325"/>
    <w:rsid w:val="00AF6154"/>
    <w:rsid w:val="00B07615"/>
    <w:rsid w:val="00B11A0A"/>
    <w:rsid w:val="00B11D5A"/>
    <w:rsid w:val="00B13F6A"/>
    <w:rsid w:val="00B15ACE"/>
    <w:rsid w:val="00B163F6"/>
    <w:rsid w:val="00B20701"/>
    <w:rsid w:val="00B213FD"/>
    <w:rsid w:val="00B24DF4"/>
    <w:rsid w:val="00B25CA7"/>
    <w:rsid w:val="00B2665E"/>
    <w:rsid w:val="00B26EC9"/>
    <w:rsid w:val="00B30753"/>
    <w:rsid w:val="00B328AF"/>
    <w:rsid w:val="00B32DD1"/>
    <w:rsid w:val="00B37148"/>
    <w:rsid w:val="00B3720C"/>
    <w:rsid w:val="00B37974"/>
    <w:rsid w:val="00B41409"/>
    <w:rsid w:val="00B42851"/>
    <w:rsid w:val="00B42FC9"/>
    <w:rsid w:val="00B43734"/>
    <w:rsid w:val="00B456E0"/>
    <w:rsid w:val="00B459E9"/>
    <w:rsid w:val="00B47076"/>
    <w:rsid w:val="00B5113E"/>
    <w:rsid w:val="00B55CFA"/>
    <w:rsid w:val="00B56B37"/>
    <w:rsid w:val="00B57759"/>
    <w:rsid w:val="00B60D44"/>
    <w:rsid w:val="00B60D86"/>
    <w:rsid w:val="00B656DE"/>
    <w:rsid w:val="00B70DC0"/>
    <w:rsid w:val="00B7316F"/>
    <w:rsid w:val="00B732F1"/>
    <w:rsid w:val="00B73424"/>
    <w:rsid w:val="00B74120"/>
    <w:rsid w:val="00B75E68"/>
    <w:rsid w:val="00B76CF6"/>
    <w:rsid w:val="00B77209"/>
    <w:rsid w:val="00B774A4"/>
    <w:rsid w:val="00B84831"/>
    <w:rsid w:val="00B86F48"/>
    <w:rsid w:val="00B8702B"/>
    <w:rsid w:val="00B87AEA"/>
    <w:rsid w:val="00B904EC"/>
    <w:rsid w:val="00B91269"/>
    <w:rsid w:val="00B91454"/>
    <w:rsid w:val="00B936AD"/>
    <w:rsid w:val="00B93CD5"/>
    <w:rsid w:val="00B9432A"/>
    <w:rsid w:val="00B95A67"/>
    <w:rsid w:val="00B96A84"/>
    <w:rsid w:val="00BA0015"/>
    <w:rsid w:val="00BA2A5D"/>
    <w:rsid w:val="00BA2DE8"/>
    <w:rsid w:val="00BA34A0"/>
    <w:rsid w:val="00BA4AEE"/>
    <w:rsid w:val="00BA7D57"/>
    <w:rsid w:val="00BB2D0A"/>
    <w:rsid w:val="00BB375F"/>
    <w:rsid w:val="00BC07E4"/>
    <w:rsid w:val="00BC4293"/>
    <w:rsid w:val="00BC4D09"/>
    <w:rsid w:val="00BD0B57"/>
    <w:rsid w:val="00BD1003"/>
    <w:rsid w:val="00BD5403"/>
    <w:rsid w:val="00BD5F76"/>
    <w:rsid w:val="00BD649D"/>
    <w:rsid w:val="00BE0DE7"/>
    <w:rsid w:val="00BE21E4"/>
    <w:rsid w:val="00BE2B3A"/>
    <w:rsid w:val="00BE6832"/>
    <w:rsid w:val="00BF0D0B"/>
    <w:rsid w:val="00BF2561"/>
    <w:rsid w:val="00BF5905"/>
    <w:rsid w:val="00BF6152"/>
    <w:rsid w:val="00C0059F"/>
    <w:rsid w:val="00C025A9"/>
    <w:rsid w:val="00C06314"/>
    <w:rsid w:val="00C075F6"/>
    <w:rsid w:val="00C10135"/>
    <w:rsid w:val="00C123DF"/>
    <w:rsid w:val="00C206EE"/>
    <w:rsid w:val="00C23604"/>
    <w:rsid w:val="00C270A6"/>
    <w:rsid w:val="00C27BDD"/>
    <w:rsid w:val="00C308FA"/>
    <w:rsid w:val="00C31839"/>
    <w:rsid w:val="00C31A7F"/>
    <w:rsid w:val="00C32280"/>
    <w:rsid w:val="00C33D29"/>
    <w:rsid w:val="00C35287"/>
    <w:rsid w:val="00C35DEC"/>
    <w:rsid w:val="00C35F32"/>
    <w:rsid w:val="00C37666"/>
    <w:rsid w:val="00C436EE"/>
    <w:rsid w:val="00C4456C"/>
    <w:rsid w:val="00C45877"/>
    <w:rsid w:val="00C477AC"/>
    <w:rsid w:val="00C50FAC"/>
    <w:rsid w:val="00C51BE7"/>
    <w:rsid w:val="00C53C65"/>
    <w:rsid w:val="00C565EF"/>
    <w:rsid w:val="00C57614"/>
    <w:rsid w:val="00C57EC0"/>
    <w:rsid w:val="00C618D7"/>
    <w:rsid w:val="00C624CC"/>
    <w:rsid w:val="00C63431"/>
    <w:rsid w:val="00C63C14"/>
    <w:rsid w:val="00C64BBB"/>
    <w:rsid w:val="00C64D00"/>
    <w:rsid w:val="00C70804"/>
    <w:rsid w:val="00C74935"/>
    <w:rsid w:val="00C753E9"/>
    <w:rsid w:val="00C7543A"/>
    <w:rsid w:val="00C83426"/>
    <w:rsid w:val="00C83B4F"/>
    <w:rsid w:val="00C84B06"/>
    <w:rsid w:val="00C85A0A"/>
    <w:rsid w:val="00C85E91"/>
    <w:rsid w:val="00C911AD"/>
    <w:rsid w:val="00C933E5"/>
    <w:rsid w:val="00CA04C6"/>
    <w:rsid w:val="00CA2EAC"/>
    <w:rsid w:val="00CA43C2"/>
    <w:rsid w:val="00CA4F78"/>
    <w:rsid w:val="00CA6481"/>
    <w:rsid w:val="00CB0684"/>
    <w:rsid w:val="00CB2190"/>
    <w:rsid w:val="00CB3E7C"/>
    <w:rsid w:val="00CB4662"/>
    <w:rsid w:val="00CB5999"/>
    <w:rsid w:val="00CB5B1A"/>
    <w:rsid w:val="00CB733F"/>
    <w:rsid w:val="00CC36EF"/>
    <w:rsid w:val="00CC47FE"/>
    <w:rsid w:val="00CC4B4F"/>
    <w:rsid w:val="00CC4B8E"/>
    <w:rsid w:val="00CC697B"/>
    <w:rsid w:val="00CC7207"/>
    <w:rsid w:val="00CD3457"/>
    <w:rsid w:val="00CE16CC"/>
    <w:rsid w:val="00CE1712"/>
    <w:rsid w:val="00CE29F7"/>
    <w:rsid w:val="00CE3387"/>
    <w:rsid w:val="00CE3619"/>
    <w:rsid w:val="00CE3A39"/>
    <w:rsid w:val="00CE7355"/>
    <w:rsid w:val="00CF4118"/>
    <w:rsid w:val="00CF702F"/>
    <w:rsid w:val="00D05C26"/>
    <w:rsid w:val="00D05CB2"/>
    <w:rsid w:val="00D07C0D"/>
    <w:rsid w:val="00D10D90"/>
    <w:rsid w:val="00D116AD"/>
    <w:rsid w:val="00D13C42"/>
    <w:rsid w:val="00D13C6E"/>
    <w:rsid w:val="00D166CE"/>
    <w:rsid w:val="00D16B25"/>
    <w:rsid w:val="00D20AD1"/>
    <w:rsid w:val="00D2223C"/>
    <w:rsid w:val="00D22E1D"/>
    <w:rsid w:val="00D24922"/>
    <w:rsid w:val="00D301EA"/>
    <w:rsid w:val="00D31DC2"/>
    <w:rsid w:val="00D41AE5"/>
    <w:rsid w:val="00D429E0"/>
    <w:rsid w:val="00D42B9A"/>
    <w:rsid w:val="00D446AF"/>
    <w:rsid w:val="00D469E4"/>
    <w:rsid w:val="00D4728F"/>
    <w:rsid w:val="00D50F47"/>
    <w:rsid w:val="00D5354B"/>
    <w:rsid w:val="00D54898"/>
    <w:rsid w:val="00D563D0"/>
    <w:rsid w:val="00D6069D"/>
    <w:rsid w:val="00D62AEF"/>
    <w:rsid w:val="00D717BC"/>
    <w:rsid w:val="00D717D7"/>
    <w:rsid w:val="00D72B6D"/>
    <w:rsid w:val="00D738DB"/>
    <w:rsid w:val="00D73FE2"/>
    <w:rsid w:val="00D7465B"/>
    <w:rsid w:val="00D77741"/>
    <w:rsid w:val="00D81026"/>
    <w:rsid w:val="00D812BD"/>
    <w:rsid w:val="00D84622"/>
    <w:rsid w:val="00D87CBD"/>
    <w:rsid w:val="00D87F4D"/>
    <w:rsid w:val="00D9306A"/>
    <w:rsid w:val="00D944BF"/>
    <w:rsid w:val="00D9561F"/>
    <w:rsid w:val="00D957DE"/>
    <w:rsid w:val="00D96327"/>
    <w:rsid w:val="00DA573F"/>
    <w:rsid w:val="00DB07A4"/>
    <w:rsid w:val="00DB402E"/>
    <w:rsid w:val="00DB5454"/>
    <w:rsid w:val="00DB5911"/>
    <w:rsid w:val="00DC0477"/>
    <w:rsid w:val="00DC0D24"/>
    <w:rsid w:val="00DC1269"/>
    <w:rsid w:val="00DC1DAC"/>
    <w:rsid w:val="00DD047B"/>
    <w:rsid w:val="00DD54BA"/>
    <w:rsid w:val="00DD5D99"/>
    <w:rsid w:val="00DD6F15"/>
    <w:rsid w:val="00DE3225"/>
    <w:rsid w:val="00DE3C4E"/>
    <w:rsid w:val="00DE5D9E"/>
    <w:rsid w:val="00DE75D8"/>
    <w:rsid w:val="00DF0B12"/>
    <w:rsid w:val="00DF1D4A"/>
    <w:rsid w:val="00DF3751"/>
    <w:rsid w:val="00DF515C"/>
    <w:rsid w:val="00DF5399"/>
    <w:rsid w:val="00DF5695"/>
    <w:rsid w:val="00E00CD6"/>
    <w:rsid w:val="00E015E6"/>
    <w:rsid w:val="00E05B44"/>
    <w:rsid w:val="00E066B4"/>
    <w:rsid w:val="00E07FA2"/>
    <w:rsid w:val="00E13C5C"/>
    <w:rsid w:val="00E209BF"/>
    <w:rsid w:val="00E236C6"/>
    <w:rsid w:val="00E26FD5"/>
    <w:rsid w:val="00E3057D"/>
    <w:rsid w:val="00E3115C"/>
    <w:rsid w:val="00E341E9"/>
    <w:rsid w:val="00E34F33"/>
    <w:rsid w:val="00E35CBB"/>
    <w:rsid w:val="00E35DC5"/>
    <w:rsid w:val="00E40F95"/>
    <w:rsid w:val="00E40FD7"/>
    <w:rsid w:val="00E41CF8"/>
    <w:rsid w:val="00E4269D"/>
    <w:rsid w:val="00E4312B"/>
    <w:rsid w:val="00E513FF"/>
    <w:rsid w:val="00E54F99"/>
    <w:rsid w:val="00E57576"/>
    <w:rsid w:val="00E60190"/>
    <w:rsid w:val="00E604B3"/>
    <w:rsid w:val="00E60650"/>
    <w:rsid w:val="00E60EE1"/>
    <w:rsid w:val="00E6109E"/>
    <w:rsid w:val="00E708F6"/>
    <w:rsid w:val="00E70AD3"/>
    <w:rsid w:val="00E716B4"/>
    <w:rsid w:val="00E7210E"/>
    <w:rsid w:val="00E7251D"/>
    <w:rsid w:val="00E86B67"/>
    <w:rsid w:val="00E87E9B"/>
    <w:rsid w:val="00E9314D"/>
    <w:rsid w:val="00E94BED"/>
    <w:rsid w:val="00E95DFC"/>
    <w:rsid w:val="00EA33D5"/>
    <w:rsid w:val="00EA4519"/>
    <w:rsid w:val="00EA46E4"/>
    <w:rsid w:val="00EA5E02"/>
    <w:rsid w:val="00EA5FD0"/>
    <w:rsid w:val="00EA5FE5"/>
    <w:rsid w:val="00EA63B1"/>
    <w:rsid w:val="00EA7030"/>
    <w:rsid w:val="00EB0020"/>
    <w:rsid w:val="00EB2CCB"/>
    <w:rsid w:val="00EB7D44"/>
    <w:rsid w:val="00EC3D5D"/>
    <w:rsid w:val="00EC4343"/>
    <w:rsid w:val="00EC52B2"/>
    <w:rsid w:val="00EC6FEC"/>
    <w:rsid w:val="00EC7D3F"/>
    <w:rsid w:val="00ED0468"/>
    <w:rsid w:val="00ED0CB6"/>
    <w:rsid w:val="00ED0DD3"/>
    <w:rsid w:val="00ED4B8E"/>
    <w:rsid w:val="00ED648B"/>
    <w:rsid w:val="00EE16DD"/>
    <w:rsid w:val="00EE2AE5"/>
    <w:rsid w:val="00EE31B0"/>
    <w:rsid w:val="00EE356F"/>
    <w:rsid w:val="00EE397E"/>
    <w:rsid w:val="00EE595E"/>
    <w:rsid w:val="00EE65B1"/>
    <w:rsid w:val="00EF1C55"/>
    <w:rsid w:val="00EF1C95"/>
    <w:rsid w:val="00EF23C0"/>
    <w:rsid w:val="00EF2774"/>
    <w:rsid w:val="00EF4059"/>
    <w:rsid w:val="00EF5586"/>
    <w:rsid w:val="00EF5872"/>
    <w:rsid w:val="00F00403"/>
    <w:rsid w:val="00F067A6"/>
    <w:rsid w:val="00F078B7"/>
    <w:rsid w:val="00F07B77"/>
    <w:rsid w:val="00F100D6"/>
    <w:rsid w:val="00F1278D"/>
    <w:rsid w:val="00F14BFD"/>
    <w:rsid w:val="00F17566"/>
    <w:rsid w:val="00F20F35"/>
    <w:rsid w:val="00F20F84"/>
    <w:rsid w:val="00F236FF"/>
    <w:rsid w:val="00F238F2"/>
    <w:rsid w:val="00F24C1A"/>
    <w:rsid w:val="00F25705"/>
    <w:rsid w:val="00F332B3"/>
    <w:rsid w:val="00F34D63"/>
    <w:rsid w:val="00F35F7A"/>
    <w:rsid w:val="00F41C35"/>
    <w:rsid w:val="00F4438C"/>
    <w:rsid w:val="00F46ED7"/>
    <w:rsid w:val="00F549D7"/>
    <w:rsid w:val="00F556DB"/>
    <w:rsid w:val="00F55939"/>
    <w:rsid w:val="00F560D5"/>
    <w:rsid w:val="00F56325"/>
    <w:rsid w:val="00F56D4A"/>
    <w:rsid w:val="00F7020E"/>
    <w:rsid w:val="00F718D6"/>
    <w:rsid w:val="00F73D95"/>
    <w:rsid w:val="00F744D8"/>
    <w:rsid w:val="00F77044"/>
    <w:rsid w:val="00F8015E"/>
    <w:rsid w:val="00F81DF5"/>
    <w:rsid w:val="00F83598"/>
    <w:rsid w:val="00F85766"/>
    <w:rsid w:val="00F866FA"/>
    <w:rsid w:val="00F910D8"/>
    <w:rsid w:val="00F91869"/>
    <w:rsid w:val="00F91CCA"/>
    <w:rsid w:val="00F931D3"/>
    <w:rsid w:val="00F95769"/>
    <w:rsid w:val="00FA289A"/>
    <w:rsid w:val="00FA3C5E"/>
    <w:rsid w:val="00FA4197"/>
    <w:rsid w:val="00FA52BB"/>
    <w:rsid w:val="00FB2DA9"/>
    <w:rsid w:val="00FB375B"/>
    <w:rsid w:val="00FB5698"/>
    <w:rsid w:val="00FB6425"/>
    <w:rsid w:val="00FB722E"/>
    <w:rsid w:val="00FC5F10"/>
    <w:rsid w:val="00FC7F5D"/>
    <w:rsid w:val="00FD1BC7"/>
    <w:rsid w:val="00FD1D84"/>
    <w:rsid w:val="00FD3752"/>
    <w:rsid w:val="00FD4E9C"/>
    <w:rsid w:val="00FD50A4"/>
    <w:rsid w:val="00FD5B63"/>
    <w:rsid w:val="00FD5DB6"/>
    <w:rsid w:val="00FD6E3E"/>
    <w:rsid w:val="00FD744A"/>
    <w:rsid w:val="00FE58D5"/>
    <w:rsid w:val="00FE5B9C"/>
    <w:rsid w:val="00FE5CA3"/>
    <w:rsid w:val="00FF08C3"/>
    <w:rsid w:val="00FF4069"/>
    <w:rsid w:val="00FF498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A38A8"/>
    <w:pPr>
      <w:spacing w:before="120" w:after="120"/>
    </w:pPr>
  </w:style>
  <w:style w:type="paragraph" w:styleId="Heading1">
    <w:name w:val="heading 1"/>
    <w:basedOn w:val="Normal"/>
    <w:next w:val="Normal"/>
    <w:qFormat/>
    <w:rsid w:val="006F11B9"/>
    <w:pPr>
      <w:keepNext/>
      <w:keepLines/>
      <w:spacing w:before="480" w:after="240"/>
      <w:outlineLvl w:val="0"/>
    </w:pPr>
    <w:rPr>
      <w:rFonts w:cs="Arial"/>
      <w:b/>
      <w:bCs/>
      <w:color w:val="000000" w:themeColor="text1"/>
      <w:kern w:val="28"/>
      <w:sz w:val="40"/>
      <w:szCs w:val="32"/>
    </w:rPr>
  </w:style>
  <w:style w:type="paragraph" w:styleId="Heading2">
    <w:name w:val="heading 2"/>
    <w:basedOn w:val="Heading1"/>
    <w:next w:val="Normal"/>
    <w:link w:val="Heading2Char"/>
    <w:qFormat/>
    <w:rsid w:val="00207B8D"/>
    <w:pPr>
      <w:spacing w:before="360"/>
      <w:outlineLvl w:val="1"/>
    </w:pPr>
    <w:rPr>
      <w:bCs w:val="0"/>
      <w:iCs/>
      <w:sz w:val="32"/>
      <w:szCs w:val="28"/>
    </w:rPr>
  </w:style>
  <w:style w:type="paragraph" w:styleId="Heading3">
    <w:name w:val="heading 3"/>
    <w:basedOn w:val="Heading2"/>
    <w:next w:val="Normal"/>
    <w:link w:val="Heading3Char"/>
    <w:qFormat/>
    <w:rsid w:val="00356CD7"/>
    <w:pPr>
      <w:spacing w:before="300" w:after="180"/>
      <w:outlineLvl w:val="2"/>
    </w:pPr>
    <w:rPr>
      <w:bCs/>
      <w:color w:val="007978"/>
      <w:sz w:val="26"/>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98"/>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B84831"/>
    <w:pPr>
      <w:spacing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99"/>
    <w:rsid w:val="00B84831"/>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FF4069"/>
    <w:pPr>
      <w:pBdr>
        <w:left w:val="single" w:sz="48" w:space="8" w:color="BAC736"/>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5852A1"/>
    <w:pPr>
      <w:keepLines/>
      <w:contextualSpacing/>
    </w:pPr>
    <w:rPr>
      <w:sz w:val="18"/>
      <w:szCs w:val="20"/>
    </w:rPr>
  </w:style>
  <w:style w:type="character" w:customStyle="1" w:styleId="FootnoteTextChar">
    <w:name w:val="Footnote Text Char"/>
    <w:basedOn w:val="DefaultParagraphFont"/>
    <w:link w:val="FootnoteText"/>
    <w:rsid w:val="005852A1"/>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F6C8D"/>
    <w:pPr>
      <w:spacing w:after="0"/>
    </w:p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rPr>
        <w:tblHeader/>
      </w:tr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DD54BA"/>
    <w:pPr>
      <w:spacing w:after="0"/>
    </w:pPr>
    <w:tblPr>
      <w:tblCellMar>
        <w:top w:w="142" w:type="dxa"/>
        <w:left w:w="284" w:type="dxa"/>
        <w:right w:w="284" w:type="dxa"/>
      </w:tblCellMar>
    </w:tblPr>
    <w:trPr>
      <w:cantSplit/>
    </w:trPr>
    <w:tcPr>
      <w:shd w:val="clear" w:color="auto" w:fill="F4F4D8"/>
    </w:tcPr>
    <w:tblStylePr w:type="firstRow">
      <w:tblPr/>
      <w:trPr>
        <w:tblHeader/>
      </w:trPr>
    </w:tblStyle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ListBullet"/>
    <w:link w:val="ListParagraphChar"/>
    <w:uiPriority w:val="99"/>
    <w:qFormat/>
    <w:locked/>
    <w:rsid w:val="00A6672E"/>
    <w:pPr>
      <w:ind w:left="720"/>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207B8D"/>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iPriority w:val="99"/>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F4069"/>
    <w:pPr>
      <w:pBdr>
        <w:left w:val="single" w:sz="48" w:space="8" w:color="BAC736"/>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uiPriority w:val="99"/>
    <w:qFormat/>
    <w:rsid w:val="00621CD6"/>
    <w:pPr>
      <w:spacing w:before="360" w:after="24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356CD7"/>
    <w:rPr>
      <w:rFonts w:cs="Arial"/>
      <w:b/>
      <w:bCs/>
      <w:iCs/>
      <w:color w:val="007978"/>
      <w:kern w:val="28"/>
      <w:sz w:val="26"/>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paragraph" w:customStyle="1" w:styleId="Heading1SmallaboveH1Headings">
    <w:name w:val="Heading 1 Small (above H1) (Headings)"/>
    <w:basedOn w:val="Normal"/>
    <w:uiPriority w:val="99"/>
    <w:rsid w:val="00D6069D"/>
    <w:pPr>
      <w:widowControl w:val="0"/>
      <w:suppressAutoHyphens/>
      <w:autoSpaceDE w:val="0"/>
      <w:autoSpaceDN w:val="0"/>
      <w:adjustRightInd w:val="0"/>
      <w:spacing w:before="0" w:after="0"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TitleHeading1Headings">
    <w:name w:val="Title / Heading 1 (Headings)"/>
    <w:basedOn w:val="Normal"/>
    <w:next w:val="NormalBodystyles"/>
    <w:uiPriority w:val="99"/>
    <w:rsid w:val="00D6069D"/>
    <w:pPr>
      <w:keepNext/>
      <w:keepLines/>
      <w:widowControl w:val="0"/>
      <w:tabs>
        <w:tab w:val="left" w:pos="850"/>
      </w:tabs>
      <w:suppressAutoHyphens/>
      <w:autoSpaceDE w:val="0"/>
      <w:autoSpaceDN w:val="0"/>
      <w:adjustRightInd w:val="0"/>
      <w:spacing w:before="0" w:after="680" w:line="700" w:lineRule="atLeast"/>
      <w:textAlignment w:val="center"/>
    </w:pPr>
    <w:rPr>
      <w:rFonts w:ascii="Proxima Nova Extrabold" w:eastAsiaTheme="minorEastAsia" w:hAnsi="Proxima Nova Extrabold" w:cs="Proxima Nova Extrabold"/>
      <w:b/>
      <w:bCs/>
      <w:color w:val="009838"/>
      <w:sz w:val="68"/>
      <w:szCs w:val="68"/>
      <w:lang w:val="en-GB" w:eastAsia="en-GB"/>
    </w:rPr>
  </w:style>
  <w:style w:type="paragraph" w:customStyle="1" w:styleId="NormalBodystyles">
    <w:name w:val="Normal • (Body styles)"/>
    <w:basedOn w:val="Normal"/>
    <w:uiPriority w:val="99"/>
    <w:rsid w:val="00D6069D"/>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IntroBodystyles">
    <w:name w:val="Intro (Body styles)"/>
    <w:basedOn w:val="NormalBodystyles"/>
    <w:uiPriority w:val="99"/>
    <w:rsid w:val="00D6069D"/>
    <w:pPr>
      <w:spacing w:after="283" w:line="320" w:lineRule="atLeast"/>
    </w:pPr>
    <w:rPr>
      <w:b/>
      <w:bCs/>
      <w:color w:val="005130"/>
      <w:sz w:val="24"/>
      <w:szCs w:val="24"/>
    </w:rPr>
  </w:style>
  <w:style w:type="paragraph" w:customStyle="1" w:styleId="YellowBoxHeading">
    <w:name w:val="Yellow Box Heading"/>
    <w:basedOn w:val="Heading2"/>
    <w:next w:val="Normal"/>
    <w:uiPriority w:val="99"/>
    <w:rsid w:val="00D6069D"/>
    <w:pPr>
      <w:framePr w:wrap="around" w:vAnchor="text" w:hAnchor="text" w:y="1"/>
      <w:widowControl w:val="0"/>
      <w:shd w:val="clear" w:color="auto" w:fill="F5F8DE"/>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val="0"/>
      <w:bCs/>
      <w:color w:val="009838"/>
      <w:sz w:val="25"/>
      <w:szCs w:val="25"/>
      <w:lang w:val="en-GB" w:eastAsia="en-GB"/>
    </w:rPr>
  </w:style>
  <w:style w:type="paragraph" w:customStyle="1" w:styleId="GreenBoxNormal">
    <w:name w:val="Green Box Normal"/>
    <w:basedOn w:val="Normal"/>
    <w:uiPriority w:val="99"/>
    <w:rsid w:val="00CA2EAC"/>
    <w:pPr>
      <w:pBdr>
        <w:top w:val="single" w:sz="8" w:space="10" w:color="EEF7F8"/>
        <w:left w:val="single" w:sz="8" w:space="12" w:color="EEF7F8"/>
        <w:bottom w:val="single" w:sz="8" w:space="10" w:color="EEF7F8"/>
        <w:right w:val="single" w:sz="8" w:space="12" w:color="EEF7F8"/>
      </w:pBdr>
      <w:shd w:val="clear" w:color="auto" w:fill="EEF7F8"/>
      <w:spacing w:after="60"/>
      <w:ind w:left="198" w:right="198"/>
    </w:pPr>
  </w:style>
  <w:style w:type="paragraph" w:customStyle="1" w:styleId="YellowBoxBulletPullouts">
    <w:name w:val="Yellow Box Bullet (Pullouts)"/>
    <w:basedOn w:val="GreenBoxNormal"/>
    <w:uiPriority w:val="99"/>
    <w:rsid w:val="006F11B9"/>
    <w:pPr>
      <w:numPr>
        <w:numId w:val="50"/>
      </w:numPr>
    </w:pPr>
  </w:style>
  <w:style w:type="paragraph" w:customStyle="1" w:styleId="YellowBoxBulletLastPullouts">
    <w:name w:val="Yellow Box Bullet Last (Pullouts)"/>
    <w:basedOn w:val="YellowBoxBulletPullouts"/>
    <w:uiPriority w:val="99"/>
    <w:rsid w:val="00D6069D"/>
    <w:pPr>
      <w:spacing w:after="142"/>
    </w:pPr>
  </w:style>
  <w:style w:type="paragraph" w:customStyle="1" w:styleId="YellowBoxTextFinalPullouts">
    <w:name w:val="Yellow Box Text Final (Pullouts)"/>
    <w:basedOn w:val="Normal"/>
    <w:uiPriority w:val="99"/>
    <w:rsid w:val="00D6069D"/>
    <w:pPr>
      <w:widowControl w:val="0"/>
      <w:shd w:val="clear" w:color="auto" w:fill="C6FF00"/>
      <w:suppressAutoHyphens/>
      <w:autoSpaceDE w:val="0"/>
      <w:autoSpaceDN w:val="0"/>
      <w:adjustRightInd w:val="0"/>
      <w:spacing w:before="0" w:after="510"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Heading2Headings">
    <w:name w:val="Heading 2 (Headings)"/>
    <w:basedOn w:val="Normal"/>
    <w:next w:val="NormalBodystyles"/>
    <w:uiPriority w:val="99"/>
    <w:rsid w:val="00D6069D"/>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NormalBeforeBulletBodystyles">
    <w:name w:val="Normal Before Bullet (Body styles)"/>
    <w:basedOn w:val="NormalBodystyles"/>
    <w:next w:val="BulletLists"/>
    <w:uiPriority w:val="99"/>
    <w:rsid w:val="00D6069D"/>
    <w:pPr>
      <w:keepNext/>
      <w:spacing w:after="57"/>
    </w:pPr>
  </w:style>
  <w:style w:type="paragraph" w:customStyle="1" w:styleId="BulletLists">
    <w:name w:val="Bullet (Lists)"/>
    <w:basedOn w:val="NormalBodystyles"/>
    <w:uiPriority w:val="99"/>
    <w:rsid w:val="00D6069D"/>
    <w:pPr>
      <w:tabs>
        <w:tab w:val="left" w:pos="283"/>
      </w:tabs>
      <w:spacing w:after="57"/>
      <w:ind w:left="283" w:hanging="283"/>
    </w:pPr>
  </w:style>
  <w:style w:type="paragraph" w:customStyle="1" w:styleId="YellowBoxH3Pullouts">
    <w:name w:val="Yellow Box H3 (Pullouts)"/>
    <w:basedOn w:val="Normal"/>
    <w:next w:val="Normal"/>
    <w:uiPriority w:val="99"/>
    <w:rsid w:val="00D6069D"/>
    <w:pPr>
      <w:keepNext/>
      <w:keepLines/>
      <w:widowControl w:val="0"/>
      <w:shd w:val="clear" w:color="auto" w:fill="C6FF00"/>
      <w:tabs>
        <w:tab w:val="left" w:pos="680"/>
      </w:tabs>
      <w:suppressAutoHyphens/>
      <w:autoSpaceDE w:val="0"/>
      <w:autoSpaceDN w:val="0"/>
      <w:adjustRightInd w:val="0"/>
      <w:spacing w:before="397" w:after="170" w:line="288" w:lineRule="auto"/>
      <w:ind w:left="283" w:right="170"/>
      <w:textAlignment w:val="center"/>
    </w:pPr>
    <w:rPr>
      <w:rFonts w:ascii="Proxima Nova" w:eastAsiaTheme="minorEastAsia" w:hAnsi="Proxima Nova" w:cs="Proxima Nova"/>
      <w:b/>
      <w:bCs/>
      <w:color w:val="000000"/>
      <w:sz w:val="24"/>
      <w:szCs w:val="24"/>
      <w:lang w:val="en-GB" w:eastAsia="en-GB"/>
    </w:rPr>
  </w:style>
  <w:style w:type="paragraph" w:customStyle="1" w:styleId="YellowBoxBulletFinalPullouts">
    <w:name w:val="Yellow Box Bullet Final (Pullouts)"/>
    <w:basedOn w:val="YellowBoxBulletLastPullouts"/>
    <w:uiPriority w:val="99"/>
    <w:rsid w:val="00D6069D"/>
    <w:pPr>
      <w:spacing w:after="510"/>
    </w:pPr>
  </w:style>
  <w:style w:type="paragraph" w:customStyle="1" w:styleId="BulletLastLists">
    <w:name w:val="Bullet Last (Lists)"/>
    <w:basedOn w:val="BulletLists"/>
    <w:uiPriority w:val="99"/>
    <w:rsid w:val="00D6069D"/>
    <w:pPr>
      <w:spacing w:after="142"/>
    </w:pPr>
  </w:style>
  <w:style w:type="paragraph" w:customStyle="1" w:styleId="BulletBeforeDashLists">
    <w:name w:val="Bullet Before Dash (Lists)"/>
    <w:basedOn w:val="BulletLists"/>
    <w:uiPriority w:val="99"/>
    <w:rsid w:val="00D6069D"/>
    <w:pPr>
      <w:spacing w:after="28"/>
    </w:pPr>
  </w:style>
  <w:style w:type="paragraph" w:customStyle="1" w:styleId="DashLists">
    <w:name w:val="Dash (Lists)"/>
    <w:basedOn w:val="Normal"/>
    <w:uiPriority w:val="99"/>
    <w:rsid w:val="00D6069D"/>
    <w:pPr>
      <w:widowControl w:val="0"/>
      <w:tabs>
        <w:tab w:val="left" w:pos="0"/>
        <w:tab w:val="left" w:pos="227"/>
      </w:tabs>
      <w:suppressAutoHyphens/>
      <w:autoSpaceDE w:val="0"/>
      <w:autoSpaceDN w:val="0"/>
      <w:adjustRightInd w:val="0"/>
      <w:spacing w:before="0" w:after="28" w:line="250" w:lineRule="atLeast"/>
      <w:ind w:left="510" w:hanging="227"/>
      <w:textAlignment w:val="center"/>
    </w:pPr>
    <w:rPr>
      <w:rFonts w:ascii="Open Sans" w:eastAsiaTheme="minorEastAsia" w:hAnsi="Open Sans" w:cs="Open Sans"/>
      <w:color w:val="000000"/>
      <w:sz w:val="19"/>
      <w:szCs w:val="19"/>
      <w:lang w:val="en-GB" w:eastAsia="en-GB"/>
    </w:rPr>
  </w:style>
  <w:style w:type="paragraph" w:customStyle="1" w:styleId="NormalBodystyles0">
    <w:name w:val="Normal (Body styles)"/>
    <w:basedOn w:val="Normal"/>
    <w:uiPriority w:val="99"/>
    <w:rsid w:val="00D6069D"/>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TFHolderBodystyles">
    <w:name w:val="TF Holder • (Body styles)"/>
    <w:basedOn w:val="NormalBodystyles"/>
    <w:uiPriority w:val="99"/>
    <w:rsid w:val="00D6069D"/>
    <w:pPr>
      <w:spacing w:before="113" w:after="170" w:line="288" w:lineRule="auto"/>
    </w:pPr>
  </w:style>
  <w:style w:type="paragraph" w:customStyle="1" w:styleId="Bullet1">
    <w:name w:val="Bullet 1"/>
    <w:basedOn w:val="NormalBodystyles"/>
    <w:uiPriority w:val="99"/>
    <w:rsid w:val="00D6069D"/>
    <w:pPr>
      <w:spacing w:before="80" w:after="60"/>
    </w:pPr>
  </w:style>
  <w:style w:type="paragraph" w:customStyle="1" w:styleId="Heading2ChecklistToolHeadings">
    <w:name w:val="Heading 2 (Checklist/Tool) (Headings)"/>
    <w:basedOn w:val="Normal"/>
    <w:uiPriority w:val="99"/>
    <w:rsid w:val="00D6069D"/>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5130"/>
      <w:sz w:val="36"/>
      <w:szCs w:val="36"/>
      <w:lang w:val="en-GB" w:eastAsia="en-GB"/>
    </w:rPr>
  </w:style>
  <w:style w:type="paragraph" w:customStyle="1" w:styleId="TFIHolderspanBodystyles">
    <w:name w:val="TFIHolder (span) (Body styles)"/>
    <w:basedOn w:val="Normal"/>
    <w:uiPriority w:val="99"/>
    <w:rsid w:val="00D6069D"/>
    <w:pPr>
      <w:widowControl w:val="0"/>
      <w:suppressAutoHyphens/>
      <w:autoSpaceDE w:val="0"/>
      <w:autoSpaceDN w:val="0"/>
      <w:adjustRightInd w:val="0"/>
      <w:spacing w:before="113" w:after="227" w:line="288" w:lineRule="auto"/>
      <w:textAlignment w:val="center"/>
    </w:pPr>
    <w:rPr>
      <w:rFonts w:ascii="Open Sans" w:eastAsiaTheme="minorEastAsia" w:hAnsi="Open Sans" w:cs="Open Sans"/>
      <w:color w:val="000000"/>
      <w:sz w:val="19"/>
      <w:szCs w:val="19"/>
      <w:lang w:val="en-GB" w:eastAsia="en-GB"/>
    </w:rPr>
  </w:style>
  <w:style w:type="paragraph" w:customStyle="1" w:styleId="DisclaimerspanBodystyles">
    <w:name w:val="Disclaimer (span) (Body styles)"/>
    <w:basedOn w:val="Normal"/>
    <w:uiPriority w:val="99"/>
    <w:rsid w:val="00D6069D"/>
    <w:pPr>
      <w:widowControl w:val="0"/>
      <w:suppressAutoHyphens/>
      <w:autoSpaceDE w:val="0"/>
      <w:autoSpaceDN w:val="0"/>
      <w:adjustRightInd w:val="0"/>
      <w:spacing w:before="170" w:after="28" w:line="312" w:lineRule="auto"/>
      <w:ind w:left="227" w:hanging="227"/>
      <w:textAlignment w:val="center"/>
    </w:pPr>
    <w:rPr>
      <w:rFonts w:ascii="Open Sans" w:eastAsiaTheme="minorEastAsia" w:hAnsi="Open Sans" w:cs="Open Sans"/>
      <w:color w:val="000000"/>
      <w:sz w:val="17"/>
      <w:szCs w:val="17"/>
      <w:lang w:val="en-GB" w:eastAsia="en-GB"/>
    </w:rPr>
  </w:style>
  <w:style w:type="paragraph" w:customStyle="1" w:styleId="TableHeadingwhiteTables">
    <w:name w:val="Table Heading (white) (Tables)"/>
    <w:basedOn w:val="Normal"/>
    <w:uiPriority w:val="99"/>
    <w:rsid w:val="00D6069D"/>
    <w:pPr>
      <w:widowControl w:val="0"/>
      <w:suppressAutoHyphens/>
      <w:autoSpaceDE w:val="0"/>
      <w:autoSpaceDN w:val="0"/>
      <w:adjustRightInd w:val="0"/>
      <w:spacing w:before="0" w:after="57" w:line="250" w:lineRule="atLeast"/>
      <w:textAlignment w:val="center"/>
    </w:pPr>
    <w:rPr>
      <w:rFonts w:ascii="Open Sans" w:eastAsiaTheme="minorEastAsia" w:hAnsi="Open Sans" w:cs="Open Sans"/>
      <w:b/>
      <w:bCs/>
      <w:color w:val="FFFFFF"/>
      <w:sz w:val="20"/>
      <w:szCs w:val="20"/>
      <w:lang w:val="en-GB" w:eastAsia="en-GB"/>
    </w:rPr>
  </w:style>
  <w:style w:type="paragraph" w:customStyle="1" w:styleId="TableHeadingTables">
    <w:name w:val="Table Heading (Tables)"/>
    <w:basedOn w:val="Normal"/>
    <w:uiPriority w:val="99"/>
    <w:rsid w:val="00D6069D"/>
    <w:pPr>
      <w:widowControl w:val="0"/>
      <w:suppressAutoHyphens/>
      <w:autoSpaceDE w:val="0"/>
      <w:autoSpaceDN w:val="0"/>
      <w:adjustRightInd w:val="0"/>
      <w:spacing w:before="0" w:after="0" w:line="250" w:lineRule="atLeast"/>
      <w:textAlignment w:val="center"/>
    </w:pPr>
    <w:rPr>
      <w:rFonts w:ascii="Open Sans Semibold" w:eastAsiaTheme="minorEastAsia" w:hAnsi="Open Sans Semibold" w:cs="Open Sans Semibold"/>
      <w:color w:val="000000"/>
      <w:sz w:val="20"/>
      <w:szCs w:val="20"/>
      <w:lang w:val="en-GB" w:eastAsia="en-GB"/>
    </w:rPr>
  </w:style>
  <w:style w:type="paragraph" w:customStyle="1" w:styleId="ChecklistTableTextTables">
    <w:name w:val="Checklist Table Text (Tables)"/>
    <w:basedOn w:val="Normal"/>
    <w:uiPriority w:val="99"/>
    <w:rsid w:val="00D6069D"/>
    <w:pPr>
      <w:widowControl w:val="0"/>
      <w:suppressAutoHyphens/>
      <w:autoSpaceDE w:val="0"/>
      <w:autoSpaceDN w:val="0"/>
      <w:adjustRightInd w:val="0"/>
      <w:spacing w:before="0" w:after="57" w:line="250" w:lineRule="atLeast"/>
      <w:textAlignment w:val="center"/>
    </w:pPr>
    <w:rPr>
      <w:rFonts w:ascii="Open Sans" w:eastAsiaTheme="minorEastAsia" w:hAnsi="Open Sans" w:cs="Open Sans"/>
      <w:color w:val="000000"/>
      <w:sz w:val="19"/>
      <w:szCs w:val="19"/>
      <w:lang w:val="en-US" w:eastAsia="en-GB"/>
    </w:rPr>
  </w:style>
  <w:style w:type="paragraph" w:customStyle="1" w:styleId="TableBulletTables">
    <w:name w:val="Table Bullet (Tables)"/>
    <w:basedOn w:val="ChecklistTableTextTables"/>
    <w:uiPriority w:val="99"/>
    <w:rsid w:val="00D6069D"/>
    <w:pPr>
      <w:tabs>
        <w:tab w:val="left" w:pos="255"/>
      </w:tabs>
      <w:ind w:left="255" w:hanging="227"/>
    </w:pPr>
  </w:style>
  <w:style w:type="paragraph" w:customStyle="1" w:styleId="TableTextBeforeBulletTables">
    <w:name w:val="Table Text Before Bullet (Tables)"/>
    <w:basedOn w:val="ChecklistTableTextTables"/>
    <w:uiPriority w:val="99"/>
    <w:rsid w:val="00D6069D"/>
  </w:style>
  <w:style w:type="character" w:customStyle="1" w:styleId="StrongSemibold">
    <w:name w:val="Strong (Semibold)"/>
    <w:basedOn w:val="Strong"/>
    <w:uiPriority w:val="99"/>
    <w:rsid w:val="00D6069D"/>
    <w:rPr>
      <w:rFonts w:ascii="Open Sans Semibold" w:hAnsi="Open Sans Semibold" w:cs="Open Sans Semibold"/>
      <w:b w:val="0"/>
      <w:bCs w:val="0"/>
    </w:rPr>
  </w:style>
  <w:style w:type="character" w:customStyle="1" w:styleId="Hyperlinkitalics">
    <w:name w:val="Hyperlink (italics)"/>
    <w:basedOn w:val="Hyperlink"/>
    <w:uiPriority w:val="99"/>
    <w:rsid w:val="00EC52B2"/>
    <w:rPr>
      <w:i/>
      <w:iCs/>
      <w:color w:val="1178A0" w:themeColor="background2"/>
      <w:u w:val="single"/>
    </w:rPr>
  </w:style>
  <w:style w:type="character" w:customStyle="1" w:styleId="DesignerNotes">
    <w:name w:val="Designer Notes"/>
    <w:uiPriority w:val="99"/>
    <w:rsid w:val="00D6069D"/>
    <w:rPr>
      <w:color w:val="C90C88"/>
      <w:sz w:val="19"/>
      <w:szCs w:val="19"/>
      <w:u w:val="thick" w:color="FFFF00"/>
    </w:rPr>
  </w:style>
  <w:style w:type="paragraph" w:customStyle="1" w:styleId="Surtitle">
    <w:name w:val="Surtitle"/>
    <w:basedOn w:val="Subtitle"/>
    <w:qFormat/>
    <w:rsid w:val="00D6069D"/>
    <w:pPr>
      <w:spacing w:after="120"/>
    </w:pPr>
  </w:style>
  <w:style w:type="paragraph" w:customStyle="1" w:styleId="YellowBoxH2Pullouts">
    <w:name w:val="Yellow Box H2 (Pullouts)"/>
    <w:basedOn w:val="Normal"/>
    <w:next w:val="Normal"/>
    <w:uiPriority w:val="99"/>
    <w:rsid w:val="00D717D7"/>
    <w:pPr>
      <w:keepNext/>
      <w:keepLines/>
      <w:widowControl w:val="0"/>
      <w:shd w:val="clear" w:color="auto" w:fill="C6FF00"/>
      <w:tabs>
        <w:tab w:val="left" w:pos="680"/>
      </w:tabs>
      <w:suppressAutoHyphens/>
      <w:autoSpaceDE w:val="0"/>
      <w:autoSpaceDN w:val="0"/>
      <w:adjustRightInd w:val="0"/>
      <w:spacing w:before="397" w:after="170" w:line="360" w:lineRule="atLeast"/>
      <w:ind w:left="283" w:right="170"/>
      <w:textAlignment w:val="center"/>
    </w:pPr>
    <w:rPr>
      <w:rFonts w:ascii="Proxima Nova" w:eastAsiaTheme="minorEastAsia" w:hAnsi="Proxima Nova" w:cs="Proxima Nova"/>
      <w:b/>
      <w:bCs/>
      <w:color w:val="000000"/>
      <w:sz w:val="32"/>
      <w:szCs w:val="32"/>
      <w:lang w:val="en-GB" w:eastAsia="en-GB"/>
    </w:rPr>
  </w:style>
  <w:style w:type="paragraph" w:customStyle="1" w:styleId="YellowBoxTextPullouts">
    <w:name w:val="Yellow Box Text (Pullouts)"/>
    <w:basedOn w:val="Normal"/>
    <w:uiPriority w:val="99"/>
    <w:rsid w:val="00D717D7"/>
    <w:pPr>
      <w:widowControl w:val="0"/>
      <w:shd w:val="clear" w:color="auto" w:fill="C6FF00"/>
      <w:suppressAutoHyphens/>
      <w:autoSpaceDE w:val="0"/>
      <w:autoSpaceDN w:val="0"/>
      <w:adjustRightInd w:val="0"/>
      <w:spacing w:before="0" w:after="142"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YellowBoxTextFirstPullouts">
    <w:name w:val="Yellow Box Text First (Pullouts)"/>
    <w:basedOn w:val="Normal"/>
    <w:uiPriority w:val="99"/>
    <w:rsid w:val="00D717D7"/>
    <w:pPr>
      <w:widowControl w:val="0"/>
      <w:shd w:val="clear" w:color="auto" w:fill="C6FF00"/>
      <w:suppressAutoHyphens/>
      <w:autoSpaceDE w:val="0"/>
      <w:autoSpaceDN w:val="0"/>
      <w:adjustRightInd w:val="0"/>
      <w:spacing w:before="283" w:after="57"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Heading3Headings">
    <w:name w:val="Heading 3  (Headings)"/>
    <w:basedOn w:val="Normal"/>
    <w:uiPriority w:val="99"/>
    <w:rsid w:val="00D717D7"/>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ReferencesHeadMisc">
    <w:name w:val="References Head (Misc)"/>
    <w:basedOn w:val="Normal"/>
    <w:uiPriority w:val="99"/>
    <w:rsid w:val="00D717D7"/>
    <w:pPr>
      <w:widowControl w:val="0"/>
      <w:tabs>
        <w:tab w:val="left" w:pos="340"/>
      </w:tabs>
      <w:suppressAutoHyphens/>
      <w:autoSpaceDE w:val="0"/>
      <w:autoSpaceDN w:val="0"/>
      <w:adjustRightInd w:val="0"/>
      <w:spacing w:before="170" w:after="57"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ReferencesListMisc">
    <w:name w:val="References List • (Misc)"/>
    <w:basedOn w:val="Normal"/>
    <w:uiPriority w:val="99"/>
    <w:rsid w:val="00D717D7"/>
    <w:pPr>
      <w:widowControl w:val="0"/>
      <w:suppressAutoHyphens/>
      <w:autoSpaceDE w:val="0"/>
      <w:autoSpaceDN w:val="0"/>
      <w:adjustRightInd w:val="0"/>
      <w:spacing w:before="0" w:after="28" w:line="230" w:lineRule="atLeast"/>
      <w:ind w:left="312" w:hanging="312"/>
      <w:textAlignment w:val="center"/>
    </w:pPr>
    <w:rPr>
      <w:rFonts w:ascii="Open Sans" w:eastAsiaTheme="minorEastAsia" w:hAnsi="Open Sans" w:cs="Open Sans"/>
      <w:color w:val="000000"/>
      <w:sz w:val="17"/>
      <w:szCs w:val="17"/>
      <w:lang w:val="en-GB" w:eastAsia="en-GB"/>
    </w:rPr>
  </w:style>
  <w:style w:type="paragraph" w:customStyle="1" w:styleId="DisclaimerspanMisc">
    <w:name w:val="Disclaimer (span) (Misc)"/>
    <w:basedOn w:val="ReferencesListMisc"/>
    <w:uiPriority w:val="99"/>
    <w:rsid w:val="00D717D7"/>
    <w:pPr>
      <w:spacing w:before="170" w:line="312" w:lineRule="auto"/>
      <w:ind w:left="0" w:firstLine="0"/>
    </w:pPr>
  </w:style>
  <w:style w:type="paragraph" w:customStyle="1" w:styleId="Heading1SmallbelowH1Headings">
    <w:name w:val="Heading 1 Small (below H1) (Headings)"/>
    <w:basedOn w:val="Normal"/>
    <w:uiPriority w:val="99"/>
    <w:rsid w:val="00D717D7"/>
    <w:pPr>
      <w:widowControl w:val="0"/>
      <w:suppressAutoHyphens/>
      <w:autoSpaceDE w:val="0"/>
      <w:autoSpaceDN w:val="0"/>
      <w:adjustRightInd w:val="0"/>
      <w:spacing w:before="227" w:after="454"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Heading3iconHeadings">
    <w:name w:val="Heading 3 (? icon) (Headings)"/>
    <w:basedOn w:val="Heading3Headings"/>
    <w:uiPriority w:val="99"/>
    <w:rsid w:val="00D717D7"/>
    <w:pPr>
      <w:spacing w:before="142"/>
      <w:ind w:left="737"/>
    </w:pPr>
    <w:rPr>
      <w:color w:val="009838"/>
    </w:rPr>
  </w:style>
  <w:style w:type="character" w:customStyle="1" w:styleId="Semibold">
    <w:name w:val="Semibold"/>
    <w:uiPriority w:val="99"/>
    <w:rsid w:val="00D717D7"/>
    <w:rPr>
      <w:rFonts w:ascii="Open Sans Semibold" w:hAnsi="Open Sans Semibold" w:cs="Open Sans Semibold"/>
    </w:rPr>
  </w:style>
  <w:style w:type="character" w:customStyle="1" w:styleId="Heading2Char">
    <w:name w:val="Heading 2 Char"/>
    <w:basedOn w:val="DefaultParagraphFont"/>
    <w:link w:val="Heading2"/>
    <w:rsid w:val="00207B8D"/>
    <w:rPr>
      <w:rFonts w:cs="Arial"/>
      <w:b/>
      <w:iCs/>
      <w:color w:val="000000" w:themeColor="text1"/>
      <w:kern w:val="28"/>
      <w:sz w:val="32"/>
      <w:szCs w:val="28"/>
    </w:rPr>
  </w:style>
  <w:style w:type="paragraph" w:customStyle="1" w:styleId="Heading2tickiconHeadings">
    <w:name w:val="Heading 2 (tick icon) (Headings)"/>
    <w:basedOn w:val="Heading2Headings"/>
    <w:uiPriority w:val="99"/>
    <w:rsid w:val="002A48DC"/>
    <w:pPr>
      <w:spacing w:before="170"/>
      <w:ind w:left="964"/>
    </w:pPr>
  </w:style>
  <w:style w:type="paragraph" w:customStyle="1" w:styleId="NormalundertickBodystyles">
    <w:name w:val="Normal (under tick) (Body styles)"/>
    <w:basedOn w:val="NormalBodystyles0"/>
    <w:uiPriority w:val="99"/>
    <w:rsid w:val="002A48DC"/>
  </w:style>
  <w:style w:type="paragraph" w:customStyle="1" w:styleId="BulletunderTickBulletandNumberlists">
    <w:name w:val="Bullet under Tick (Bullet and Number lists)"/>
    <w:basedOn w:val="BulletBulletandNumberlists"/>
    <w:uiPriority w:val="99"/>
    <w:rsid w:val="002A48DC"/>
    <w:pPr>
      <w:suppressAutoHyphens/>
      <w:spacing w:before="0" w:after="142" w:line="250" w:lineRule="atLeast"/>
    </w:pPr>
    <w:rPr>
      <w:rFonts w:ascii="Open Sans" w:hAnsi="Open Sans" w:cs="Open Sans"/>
      <w:sz w:val="19"/>
      <w:szCs w:val="19"/>
      <w:lang w:val="en-GB"/>
    </w:rPr>
  </w:style>
  <w:style w:type="paragraph" w:customStyle="1" w:styleId="BoxHeadingBoxes">
    <w:name w:val="Box Heading (Boxes)"/>
    <w:basedOn w:val="Normal"/>
    <w:next w:val="Normal"/>
    <w:uiPriority w:val="99"/>
    <w:rsid w:val="00463EA2"/>
    <w:pPr>
      <w:widowControl w:val="0"/>
      <w:shd w:val="clear" w:color="auto" w:fill="C6FF00"/>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bCs/>
      <w:color w:val="009838"/>
      <w:sz w:val="25"/>
      <w:szCs w:val="25"/>
      <w:lang w:val="en-GB" w:eastAsia="en-GB"/>
    </w:rPr>
  </w:style>
  <w:style w:type="paragraph" w:customStyle="1" w:styleId="Heading2dropcapnumberHeadings">
    <w:name w:val="Heading 2 (drop cap number) (Headings)"/>
    <w:basedOn w:val="Normal"/>
    <w:next w:val="NormalBodystyles0"/>
    <w:uiPriority w:val="99"/>
    <w:rsid w:val="00463EA2"/>
    <w:pPr>
      <w:widowControl w:val="0"/>
      <w:suppressAutoHyphens/>
      <w:autoSpaceDE w:val="0"/>
      <w:autoSpaceDN w:val="0"/>
      <w:adjustRightInd w:val="0"/>
      <w:spacing w:before="283" w:after="227"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quoteboxMisc">
    <w:name w:val="&quot; (quote box) (Misc)"/>
    <w:basedOn w:val="NormalBodystyles0"/>
    <w:uiPriority w:val="99"/>
    <w:rsid w:val="00463EA2"/>
    <w:pPr>
      <w:spacing w:before="510" w:after="0"/>
      <w:jc w:val="center"/>
    </w:pPr>
    <w:rPr>
      <w:rFonts w:ascii="Proxima Nova Extrabold" w:hAnsi="Proxima Nova Extrabold" w:cs="Proxima Nova Extrabold"/>
      <w:color w:val="C6FF00"/>
      <w:position w:val="-14"/>
      <w:sz w:val="120"/>
      <w:szCs w:val="120"/>
    </w:rPr>
  </w:style>
  <w:style w:type="paragraph" w:customStyle="1" w:styleId="Heading3quoteboxHeadings">
    <w:name w:val="Heading 3 (quote box) (Headings)"/>
    <w:basedOn w:val="Heading3Headings"/>
    <w:uiPriority w:val="99"/>
    <w:rsid w:val="00463EA2"/>
    <w:pPr>
      <w:spacing w:before="0"/>
      <w:jc w:val="center"/>
    </w:pPr>
  </w:style>
  <w:style w:type="paragraph" w:customStyle="1" w:styleId="NormalquoteboxBodystyles">
    <w:name w:val="Normal (quote box) (Body styles)"/>
    <w:basedOn w:val="NormalBodystyles0"/>
    <w:uiPriority w:val="99"/>
    <w:rsid w:val="00463EA2"/>
    <w:pPr>
      <w:spacing w:after="425"/>
      <w:ind w:left="283" w:right="227"/>
    </w:pPr>
    <w:rPr>
      <w:rFonts w:ascii="Open Sans Semibold" w:hAnsi="Open Sans Semibold" w:cs="Open Sans Semibold"/>
    </w:rPr>
  </w:style>
  <w:style w:type="paragraph" w:customStyle="1" w:styleId="Heading2dropcapnumberafterH1Headings">
    <w:name w:val="Heading 2 (drop cap number) (after H1) (Headings)"/>
    <w:basedOn w:val="Heading2dropcapnumberHeadings"/>
    <w:next w:val="NormalBodystyles0"/>
    <w:uiPriority w:val="99"/>
    <w:rsid w:val="00E07FA2"/>
    <w:pPr>
      <w:spacing w:before="142"/>
    </w:pPr>
  </w:style>
  <w:style w:type="paragraph" w:customStyle="1" w:styleId="NormalSemiboldBodystyles">
    <w:name w:val="Normal Semibold (Body styles)"/>
    <w:basedOn w:val="NormalBodystyles0"/>
    <w:uiPriority w:val="99"/>
    <w:rsid w:val="00E07FA2"/>
    <w:rPr>
      <w:rFonts w:ascii="Open Sans Semibold" w:hAnsi="Open Sans Semibold" w:cs="Open Sans Semibold"/>
    </w:rPr>
  </w:style>
  <w:style w:type="paragraph" w:customStyle="1" w:styleId="NormalIndicatorBodystyles">
    <w:name w:val="Normal (Indicator) (Body styles)"/>
    <w:basedOn w:val="NormalBodystyles0"/>
    <w:uiPriority w:val="99"/>
    <w:rsid w:val="009D519B"/>
  </w:style>
  <w:style w:type="paragraph" w:customStyle="1" w:styleId="NormalIndicatorBeforeBulletBodystyles">
    <w:name w:val="Normal (Indicator) Before Bullet (Body styles)"/>
    <w:basedOn w:val="NormalIndicatorBodystyles"/>
    <w:uiPriority w:val="99"/>
    <w:rsid w:val="009D519B"/>
    <w:pPr>
      <w:spacing w:after="57"/>
    </w:pPr>
  </w:style>
  <w:style w:type="character" w:customStyle="1" w:styleId="ItalicBold">
    <w:name w:val="Italic (Bold)"/>
    <w:uiPriority w:val="99"/>
    <w:rsid w:val="009D519B"/>
    <w:rPr>
      <w:b/>
      <w:bCs/>
      <w:i/>
      <w:iCs/>
    </w:rPr>
  </w:style>
  <w:style w:type="character" w:customStyle="1" w:styleId="Indicator">
    <w:name w:val="Indicator"/>
    <w:uiPriority w:val="99"/>
    <w:rsid w:val="009D519B"/>
    <w:rPr>
      <w:b/>
      <w:bCs/>
      <w:color w:val="006D67"/>
      <w:w w:val="100"/>
    </w:rPr>
  </w:style>
  <w:style w:type="character" w:customStyle="1" w:styleId="ItalicSemibold">
    <w:name w:val="Italic (Semibold)"/>
    <w:uiPriority w:val="99"/>
    <w:rsid w:val="009D519B"/>
    <w:rPr>
      <w:i/>
      <w:iCs/>
    </w:rPr>
  </w:style>
  <w:style w:type="paragraph" w:customStyle="1" w:styleId="KeyactivitiesBodystyles">
    <w:name w:val="Key activities (Body styles)"/>
    <w:basedOn w:val="Normal"/>
    <w:uiPriority w:val="99"/>
    <w:rsid w:val="00FD5DB6"/>
    <w:pPr>
      <w:widowControl w:val="0"/>
      <w:pBdr>
        <w:top w:val="single" w:sz="6" w:space="10" w:color="00B1B0"/>
        <w:bottom w:val="single" w:sz="6" w:space="10" w:color="00B1B0"/>
      </w:pBdr>
      <w:autoSpaceDE w:val="0"/>
      <w:autoSpaceDN w:val="0"/>
      <w:adjustRightInd w:val="0"/>
      <w:spacing w:after="240"/>
      <w:ind w:left="3686" w:hanging="3686"/>
      <w:textAlignment w:val="center"/>
    </w:pPr>
    <w:rPr>
      <w:rFonts w:ascii="Arial" w:eastAsiaTheme="minorEastAsia" w:hAnsi="Arial" w:cs="Arial"/>
      <w:color w:val="000000"/>
      <w:lang w:val="en-US" w:eastAsia="en-GB"/>
      <w14:ligatures w14:val="standardContextual"/>
    </w:rPr>
  </w:style>
  <w:style w:type="table" w:customStyle="1" w:styleId="CCSChecklisttable">
    <w:name w:val="CCS Checklist table"/>
    <w:basedOn w:val="TableNormal"/>
    <w:uiPriority w:val="99"/>
    <w:rsid w:val="00B74120"/>
    <w:pPr>
      <w:spacing w:after="0"/>
    </w:pPr>
    <w:tblPr>
      <w:tblBorders>
        <w:top w:val="single" w:sz="6" w:space="0" w:color="09B0B1"/>
        <w:bottom w:val="single" w:sz="6" w:space="0" w:color="09B0B1"/>
        <w:insideH w:val="single" w:sz="6" w:space="0" w:color="09B0B1"/>
      </w:tblBorders>
      <w:tblCellMar>
        <w:left w:w="198" w:type="dxa"/>
        <w:right w:w="198" w:type="dxa"/>
      </w:tblCellMar>
    </w:tblPr>
    <w:trPr>
      <w:cantSplit/>
    </w:trPr>
    <w:tcPr>
      <w:shd w:val="clear" w:color="auto" w:fill="FBFAE5"/>
    </w:tcPr>
    <w:tblStylePr w:type="firstRow">
      <w:rPr>
        <w:rFonts w:asciiTheme="majorHAnsi" w:hAnsiTheme="majorHAnsi"/>
        <w:b/>
        <w:color w:val="FFFFFF" w:themeColor="background1"/>
        <w:sz w:val="32"/>
      </w:rPr>
      <w:tblPr/>
      <w:trPr>
        <w:cantSplit w:val="0"/>
        <w:tblHeader/>
      </w:trPr>
      <w:tcPr>
        <w:shd w:val="clear" w:color="auto" w:fill="007577"/>
      </w:tcPr>
    </w:tblStylePr>
    <w:tblStylePr w:type="firstCol">
      <w:rPr>
        <w:b/>
        <w:color w:val="007978"/>
      </w:rPr>
    </w:tblStylePr>
  </w:style>
  <w:style w:type="paragraph" w:styleId="ListBullet">
    <w:name w:val="List Bullet"/>
    <w:basedOn w:val="Normal"/>
    <w:uiPriority w:val="98"/>
    <w:locked/>
    <w:rsid w:val="00207B8D"/>
    <w:pPr>
      <w:numPr>
        <w:numId w:val="51"/>
      </w:numPr>
      <w:contextualSpacing/>
    </w:pPr>
  </w:style>
  <w:style w:type="paragraph" w:customStyle="1" w:styleId="YellowBoxNormalFIRSTBoxes">
    <w:name w:val="Yellow Box Normal FIRST (Boxes)"/>
    <w:basedOn w:val="Normal"/>
    <w:uiPriority w:val="99"/>
    <w:rsid w:val="00893126"/>
    <w:pPr>
      <w:widowControl w:val="0"/>
      <w:shd w:val="clear" w:color="auto" w:fill="D9DA00"/>
      <w:autoSpaceDE w:val="0"/>
      <w:autoSpaceDN w:val="0"/>
      <w:adjustRightInd w:val="0"/>
      <w:spacing w:before="283" w:after="85" w:line="288" w:lineRule="auto"/>
      <w:ind w:left="283" w:right="170"/>
      <w:textAlignment w:val="center"/>
    </w:pPr>
    <w:rPr>
      <w:rFonts w:ascii="Arial" w:eastAsiaTheme="minorEastAsia" w:hAnsi="Arial" w:cs="Arial"/>
      <w:color w:val="000000"/>
      <w:lang w:val="en-US" w:eastAsia="en-GB"/>
      <w14:ligatures w14:val="standardContextual"/>
    </w:rPr>
  </w:style>
  <w:style w:type="paragraph" w:customStyle="1" w:styleId="YellowBoxNormalFinalBoxes">
    <w:name w:val="Yellow Box Normal Final (Boxes)"/>
    <w:basedOn w:val="Normal"/>
    <w:uiPriority w:val="99"/>
    <w:rsid w:val="00893126"/>
    <w:pPr>
      <w:widowControl w:val="0"/>
      <w:shd w:val="clear" w:color="auto" w:fill="D9DA00"/>
      <w:autoSpaceDE w:val="0"/>
      <w:autoSpaceDN w:val="0"/>
      <w:adjustRightInd w:val="0"/>
      <w:spacing w:after="454" w:line="288" w:lineRule="auto"/>
      <w:ind w:left="283" w:right="170"/>
      <w:textAlignment w:val="center"/>
    </w:pPr>
    <w:rPr>
      <w:rFonts w:ascii="Arial" w:eastAsiaTheme="minorEastAsia" w:hAnsi="Arial" w:cs="Arial"/>
      <w:color w:val="000000"/>
      <w:lang w:val="en-US" w:eastAsia="en-GB"/>
      <w14:ligatures w14:val="standardContextual"/>
    </w:rPr>
  </w:style>
  <w:style w:type="paragraph" w:customStyle="1" w:styleId="TFIHolderspanBodystyles0">
    <w:name w:val="# TFI Holder # (span) (Body styles)"/>
    <w:basedOn w:val="Normal"/>
    <w:uiPriority w:val="99"/>
    <w:rsid w:val="00893126"/>
    <w:pPr>
      <w:widowControl w:val="0"/>
      <w:autoSpaceDE w:val="0"/>
      <w:autoSpaceDN w:val="0"/>
      <w:adjustRightInd w:val="0"/>
      <w:spacing w:before="0" w:after="227" w:line="288" w:lineRule="auto"/>
      <w:textAlignment w:val="center"/>
    </w:pPr>
    <w:rPr>
      <w:rFonts w:ascii="Arial" w:eastAsiaTheme="minorEastAsia" w:hAnsi="Arial" w:cs="Arial"/>
      <w:color w:val="000000"/>
      <w:lang w:val="en-US" w:eastAsia="en-GB"/>
      <w14:ligatures w14:val="standardContextual"/>
    </w:rPr>
  </w:style>
  <w:style w:type="paragraph" w:customStyle="1" w:styleId="Copyright">
    <w:name w:val="Copyright"/>
    <w:basedOn w:val="Normal"/>
    <w:qFormat/>
    <w:rsid w:val="00115682"/>
    <w:rPr>
      <w:rFonts w:eastAsiaTheme="majorEastAsia"/>
      <w:sz w:val="18"/>
      <w:szCs w:val="18"/>
    </w:rPr>
  </w:style>
  <w:style w:type="paragraph" w:customStyle="1" w:styleId="Website">
    <w:name w:val="Website"/>
    <w:basedOn w:val="Normal"/>
    <w:qFormat/>
    <w:rsid w:val="00115682"/>
    <w:pPr>
      <w:keepNext/>
      <w:spacing w:before="360" w:after="240"/>
    </w:pPr>
    <w:rPr>
      <w:b/>
      <w:bCs/>
      <w:color w:val="1178A0" w:themeColor="background2"/>
      <w:sz w:val="26"/>
      <w:u w:val="single"/>
    </w:rPr>
  </w:style>
  <w:style w:type="paragraph" w:customStyle="1" w:styleId="YellowBoxNormal">
    <w:name w:val="Yellow Box Normal"/>
    <w:basedOn w:val="Normal"/>
    <w:uiPriority w:val="99"/>
    <w:rsid w:val="002B10DB"/>
    <w:pPr>
      <w:widowControl w:val="0"/>
      <w:shd w:val="clear" w:color="auto" w:fill="D9DA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14:ligatures w14:val="standardContextual"/>
    </w:rPr>
  </w:style>
  <w:style w:type="paragraph" w:customStyle="1" w:styleId="YellowBoxNormalFIRST">
    <w:name w:val="Yellow Box Normal FIRST"/>
    <w:basedOn w:val="YellowBoxNormal"/>
    <w:uiPriority w:val="99"/>
    <w:rsid w:val="002B10DB"/>
    <w:pPr>
      <w:spacing w:before="283" w:after="85"/>
    </w:pPr>
  </w:style>
  <w:style w:type="paragraph" w:customStyle="1" w:styleId="TFHolderspanBodystyles">
    <w:name w:val="# TF Holder # (span) (Body styles)"/>
    <w:basedOn w:val="Normal"/>
    <w:uiPriority w:val="99"/>
    <w:rsid w:val="002B10DB"/>
    <w:pPr>
      <w:widowControl w:val="0"/>
      <w:autoSpaceDE w:val="0"/>
      <w:autoSpaceDN w:val="0"/>
      <w:adjustRightInd w:val="0"/>
      <w:spacing w:before="170" w:after="170" w:line="288" w:lineRule="auto"/>
      <w:textAlignment w:val="center"/>
    </w:pPr>
    <w:rPr>
      <w:rFonts w:ascii="Arial" w:eastAsiaTheme="minorEastAsia" w:hAnsi="Arial" w:cs="Arial"/>
      <w:color w:val="000000"/>
      <w:lang w:val="en-US" w:eastAsia="en-GB"/>
      <w14:ligatures w14:val="standardContextual"/>
    </w:rPr>
  </w:style>
  <w:style w:type="paragraph" w:customStyle="1" w:styleId="YellowBoxNormalEND">
    <w:name w:val="Yellow Box Normal END"/>
    <w:basedOn w:val="YellowBoxNormal"/>
    <w:uiPriority w:val="99"/>
    <w:rsid w:val="002B10DB"/>
    <w:pPr>
      <w:spacing w:after="283"/>
    </w:pPr>
  </w:style>
  <w:style w:type="paragraph" w:customStyle="1" w:styleId="ReferencesListMisc0">
    <w:name w:val="References List (Misc)"/>
    <w:basedOn w:val="Normal"/>
    <w:uiPriority w:val="99"/>
    <w:rsid w:val="002B10DB"/>
    <w:pPr>
      <w:widowControl w:val="0"/>
      <w:suppressAutoHyphens/>
      <w:autoSpaceDE w:val="0"/>
      <w:autoSpaceDN w:val="0"/>
      <w:adjustRightInd w:val="0"/>
      <w:spacing w:before="0" w:after="28" w:line="230" w:lineRule="atLeast"/>
      <w:ind w:left="227" w:hanging="227"/>
      <w:textAlignment w:val="center"/>
    </w:pPr>
    <w:rPr>
      <w:rFonts w:ascii="Open Sans" w:eastAsiaTheme="minorEastAsia" w:hAnsi="Open Sans" w:cs="Open Sans"/>
      <w:color w:val="000000"/>
      <w:sz w:val="17"/>
      <w:szCs w:val="17"/>
      <w:lang w:val="en-GB" w:eastAsia="en-GB"/>
      <w14:ligatures w14:val="standardContextual"/>
    </w:rPr>
  </w:style>
  <w:style w:type="paragraph" w:customStyle="1" w:styleId="TableHeadingH2whiteTables">
    <w:name w:val="Table Heading H2 (white) (Tables)"/>
    <w:basedOn w:val="Normal"/>
    <w:uiPriority w:val="99"/>
    <w:rsid w:val="002B10DB"/>
    <w:pPr>
      <w:widowControl w:val="0"/>
      <w:suppressAutoHyphens/>
      <w:autoSpaceDE w:val="0"/>
      <w:autoSpaceDN w:val="0"/>
      <w:adjustRightInd w:val="0"/>
      <w:spacing w:before="0" w:after="57" w:line="360" w:lineRule="atLeast"/>
      <w:textAlignment w:val="center"/>
    </w:pPr>
    <w:rPr>
      <w:rFonts w:ascii="Proxima Nova" w:eastAsiaTheme="minorEastAsia" w:hAnsi="Proxima Nova" w:cs="Proxima Nova"/>
      <w:b/>
      <w:bCs/>
      <w:color w:val="FFFFFF"/>
      <w:sz w:val="32"/>
      <w:szCs w:val="32"/>
      <w:lang w:val="en-GB" w:eastAsia="en-GB"/>
      <w14:ligatures w14:val="standardContextual"/>
    </w:rPr>
  </w:style>
  <w:style w:type="paragraph" w:customStyle="1" w:styleId="ChecklistBox">
    <w:name w:val="Checklist Box"/>
    <w:basedOn w:val="Normal"/>
    <w:uiPriority w:val="99"/>
    <w:rsid w:val="007D7440"/>
    <w:pPr>
      <w:widowControl w:val="0"/>
      <w:autoSpaceDE w:val="0"/>
      <w:autoSpaceDN w:val="0"/>
      <w:adjustRightInd w:val="0"/>
      <w:ind w:left="363" w:hanging="363"/>
      <w:contextualSpacing/>
      <w:textAlignment w:val="center"/>
    </w:pPr>
    <w:rPr>
      <w:rFonts w:ascii="Arial" w:eastAsiaTheme="minorEastAsia" w:hAnsi="Arial" w:cs="Arial"/>
      <w:color w:val="000000"/>
      <w:lang w:val="en-US" w:eastAsia="en-GB"/>
      <w14:ligatures w14:val="standardContextual"/>
    </w:rPr>
  </w:style>
  <w:style w:type="character" w:customStyle="1" w:styleId="BoldItalicGreen">
    <w:name w:val="Bold Italic Green"/>
    <w:uiPriority w:val="99"/>
    <w:rsid w:val="002B10DB"/>
    <w:rPr>
      <w:b/>
      <w:bCs/>
      <w:i/>
      <w:iCs/>
    </w:rPr>
  </w:style>
  <w:style w:type="character" w:styleId="CommentReference">
    <w:name w:val="annotation reference"/>
    <w:basedOn w:val="DefaultParagraphFont"/>
    <w:uiPriority w:val="99"/>
    <w:locked/>
    <w:rsid w:val="002B10DB"/>
    <w:rPr>
      <w:w w:val="100"/>
      <w:sz w:val="16"/>
      <w:szCs w:val="16"/>
    </w:rPr>
  </w:style>
  <w:style w:type="paragraph" w:customStyle="1" w:styleId="GreenBoxHeading">
    <w:name w:val="Green Box Heading"/>
    <w:basedOn w:val="GreenBoxNormal"/>
    <w:qFormat/>
    <w:rsid w:val="005A4B2F"/>
    <w:pPr>
      <w:spacing w:before="180" w:after="180"/>
    </w:pPr>
    <w:rPr>
      <w:b/>
      <w:color w:val="007577"/>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standards/clinical-care-standards/heavy-menstrual-bleeding-clinical-care-standard" TargetMode="External"/><Relationship Id="rId13" Type="http://schemas.openxmlformats.org/officeDocument/2006/relationships/hyperlink" Target="https://www.jeanhailes.org.au/resources/heavy-periods" TargetMode="External"/><Relationship Id="rId18" Type="http://schemas.openxmlformats.org/officeDocument/2006/relationships/hyperlink" Target="https://safetyandquality.gov.au/hmb-cc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safetyandquality.gov.au/publications-and-resources/resource-library/heavy-menstrual-bleeding-treatment-option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fetyandquality.gov.au/our-work/healthcare-variation/australian-atlas-healthcare-variation-series" TargetMode="External"/><Relationship Id="rId20" Type="http://schemas.openxmlformats.org/officeDocument/2006/relationships/hyperlink" Target="http://www.safetyandquality.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tyandquality.gov.au/hmb-cc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fetyandquality.gov.au/standards/clinical-care-standards/about-clinical-care-standard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fetyandquality.gov.au/our-work/healthcare-variation/australian-atlas-healthcare-variation-series/womens-health-focus-report" TargetMode="External"/><Relationship Id="rId19" Type="http://schemas.openxmlformats.org/officeDocument/2006/relationships/hyperlink" Target="https://www.tg.org.au" TargetMode="External"/><Relationship Id="rId4" Type="http://schemas.openxmlformats.org/officeDocument/2006/relationships/settings" Target="settings.xml"/><Relationship Id="rId9" Type="http://schemas.openxmlformats.org/officeDocument/2006/relationships/hyperlink" Target="https://safetyandquality.gov.au/hmb-ccs" TargetMode="External"/><Relationship Id="rId14" Type="http://schemas.openxmlformats.org/officeDocument/2006/relationships/hyperlink" Target="https://www.safetyandquality.gov.au/standards/clinical-care-standards/about-clinical-care-standard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273</TotalTime>
  <Pages>6</Pages>
  <Words>1623</Words>
  <Characters>10036</Characters>
  <Application>Microsoft Office Word</Application>
  <DocSecurity>0</DocSecurity>
  <Lines>223</Lines>
  <Paragraphs>115</Paragraphs>
  <ScaleCrop>false</ScaleCrop>
  <HeadingPairs>
    <vt:vector size="2" baseType="variant">
      <vt:variant>
        <vt:lpstr>Title</vt:lpstr>
      </vt:variant>
      <vt:variant>
        <vt:i4>1</vt:i4>
      </vt:variant>
    </vt:vector>
  </HeadingPairs>
  <TitlesOfParts>
    <vt:vector size="1" baseType="lpstr">
      <vt:lpstr>Primary Health Networks Implementation Guide: Low Back Pain Clinical Care Standard</vt:lpstr>
    </vt:vector>
  </TitlesOfParts>
  <Manager/>
  <Company>Australian Commission on Safety and Quality in Health Care</Company>
  <LinksUpToDate>false</LinksUpToDate>
  <CharactersWithSpaces>11544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Heavy menstrual bleeding – HealthPathways checklist for clinical editors</dc:title>
  <dc:subject/>
  <dc:creator>Australian Commission on Safety and Quality in Health Care</dc:creator>
  <cp:keywords/>
  <dc:description/>
  <cp:lastModifiedBy>James</cp:lastModifiedBy>
  <cp:revision>397</cp:revision>
  <cp:lastPrinted>2020-03-04T03:32:00Z</cp:lastPrinted>
  <dcterms:created xsi:type="dcterms:W3CDTF">2021-04-19T06:25:00Z</dcterms:created>
  <dcterms:modified xsi:type="dcterms:W3CDTF">2024-06-17T08:41:00Z</dcterms:modified>
  <cp:category/>
</cp:coreProperties>
</file>