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81E30D" w14:textId="77777777" w:rsidR="009B382F" w:rsidRDefault="00D326A1" w:rsidP="00E37444">
      <w:pPr>
        <w:pStyle w:val="MainHeading"/>
      </w:pPr>
      <w:r>
        <w:t xml:space="preserve"> </w:t>
      </w:r>
      <w:r w:rsidR="009B382F" w:rsidRPr="009B382F">
        <w:t>National Consensus Statement:</w:t>
      </w:r>
    </w:p>
    <w:p w14:paraId="64F051DF" w14:textId="77777777" w:rsidR="009B382F" w:rsidRDefault="009B382F" w:rsidP="00E37444">
      <w:pPr>
        <w:pStyle w:val="Mainsubheading"/>
      </w:pPr>
      <w:r w:rsidRPr="009B382F">
        <w:t xml:space="preserve">Essential elements </w:t>
      </w:r>
      <w:r w:rsidR="00A262F3">
        <w:br/>
      </w:r>
      <w:r w:rsidRPr="009B382F">
        <w:t xml:space="preserve">for recognising </w:t>
      </w:r>
      <w:r w:rsidR="00A262F3">
        <w:br/>
      </w:r>
      <w:r w:rsidRPr="009B382F">
        <w:t xml:space="preserve">and responding </w:t>
      </w:r>
      <w:r w:rsidR="00A262F3">
        <w:br/>
      </w:r>
      <w:r w:rsidRPr="009B382F">
        <w:t xml:space="preserve">to deterioration </w:t>
      </w:r>
      <w:r w:rsidR="00A262F3">
        <w:br/>
      </w:r>
      <w:r w:rsidRPr="009B382F">
        <w:t>in a person’s mental state</w:t>
      </w:r>
    </w:p>
    <w:p w14:paraId="7281C46E" w14:textId="77777777" w:rsidR="009B382F" w:rsidRDefault="009B382F" w:rsidP="00A262F3">
      <w:pPr>
        <w:pStyle w:val="Date"/>
      </w:pPr>
      <w:r w:rsidRPr="009B382F">
        <w:t>July 2017</w:t>
      </w:r>
    </w:p>
    <w:p w14:paraId="7759A9CB" w14:textId="77777777" w:rsidR="000424DD" w:rsidRDefault="000424DD">
      <w:r>
        <w:br w:type="page"/>
      </w:r>
    </w:p>
    <w:p w14:paraId="45D3B812" w14:textId="77777777" w:rsidR="00EC4889" w:rsidRDefault="00EC4889" w:rsidP="00EC4889">
      <w:pPr>
        <w:pStyle w:val="Disclaimer"/>
      </w:pPr>
    </w:p>
    <w:p w14:paraId="664976F5" w14:textId="77777777" w:rsidR="009B382F" w:rsidRDefault="009B382F" w:rsidP="00EC4889">
      <w:pPr>
        <w:pStyle w:val="Disclaimer"/>
        <w:spacing w:before="2400"/>
      </w:pPr>
      <w:r>
        <w:t>Published by the Australian Commission on Safety and Quality in Health Care</w:t>
      </w:r>
      <w:r w:rsidR="00A262F3">
        <w:br/>
      </w:r>
      <w:r>
        <w:t>Level 5, 255 Elizabeth Street, Sydney NSW 2000</w:t>
      </w:r>
    </w:p>
    <w:p w14:paraId="2B658ED7" w14:textId="77777777" w:rsidR="009B382F" w:rsidRDefault="009B382F" w:rsidP="009B382F">
      <w:pPr>
        <w:pStyle w:val="BodyText"/>
      </w:pPr>
      <w:r>
        <w:t>Phone: (02) 9126 3600</w:t>
      </w:r>
      <w:r w:rsidR="00A262F3">
        <w:br/>
      </w:r>
      <w:r>
        <w:t>Fax: (02) 9126 3613</w:t>
      </w:r>
    </w:p>
    <w:p w14:paraId="72258EEA" w14:textId="77777777" w:rsidR="009B382F" w:rsidRDefault="009B382F" w:rsidP="009B382F">
      <w:pPr>
        <w:pStyle w:val="BodyText"/>
      </w:pPr>
      <w:r>
        <w:t xml:space="preserve">Email: mail@safetyandquality.gov.au </w:t>
      </w:r>
      <w:r w:rsidR="00A262F3">
        <w:br/>
      </w:r>
      <w:r>
        <w:t xml:space="preserve">Website: www.safetyandquality.gov.au </w:t>
      </w:r>
    </w:p>
    <w:p w14:paraId="25E8ABC8" w14:textId="77777777" w:rsidR="009B382F" w:rsidRDefault="00A262F3" w:rsidP="00A262F3">
      <w:pPr>
        <w:pStyle w:val="BodyText"/>
        <w:tabs>
          <w:tab w:val="left" w:pos="644"/>
        </w:tabs>
        <w:ind w:left="567" w:hanging="567"/>
      </w:pPr>
      <w:r>
        <w:t>ISBN:</w:t>
      </w:r>
      <w:r>
        <w:tab/>
      </w:r>
      <w:r w:rsidR="009B382F">
        <w:t>Print: 978-1-925224-90-0</w:t>
      </w:r>
      <w:r>
        <w:br/>
      </w:r>
      <w:r w:rsidR="009B382F">
        <w:t>Electronic: 978-1-925224-91-7</w:t>
      </w:r>
    </w:p>
    <w:p w14:paraId="6A12EC66" w14:textId="77777777" w:rsidR="009B382F" w:rsidRDefault="009B382F" w:rsidP="009B382F">
      <w:pPr>
        <w:pStyle w:val="BodyText"/>
      </w:pPr>
      <w:r>
        <w:t>© Australian Commission on Safety and Quality in Health Care 2017</w:t>
      </w:r>
    </w:p>
    <w:p w14:paraId="7303EF9A" w14:textId="77777777" w:rsidR="009B382F" w:rsidRDefault="009B382F" w:rsidP="00A262F3">
      <w:pPr>
        <w:pStyle w:val="BodyText"/>
        <w:ind w:right="-201"/>
      </w:pPr>
      <w:r>
        <w:t xml:space="preserve">All material and work produced by the Australian Commission on Safety and Quality in Health Care is protected by copyright. The Commission reserves the right to set out the terms and conditions for the use of such material. </w:t>
      </w:r>
    </w:p>
    <w:p w14:paraId="790BCC05" w14:textId="77777777" w:rsidR="009B382F" w:rsidRDefault="009B382F" w:rsidP="009B382F">
      <w:pPr>
        <w:pStyle w:val="BodyText"/>
      </w:pPr>
      <w:r>
        <w:t>As far as practicable, material for which the copyright is owned by a third party will be clearly labelled. The Australian Commission on Safety and Quality in Health Care has made all reasonable efforts to ensure that this material has been reproduced in this publication with the full consent of the copyright owners.</w:t>
      </w:r>
    </w:p>
    <w:p w14:paraId="549EDD5E" w14:textId="77777777" w:rsidR="000424DD" w:rsidRDefault="009B382F" w:rsidP="00A262F3">
      <w:pPr>
        <w:pStyle w:val="BodyText"/>
        <w:ind w:right="-342"/>
      </w:pPr>
      <w:r>
        <w:t xml:space="preserve">With the exception of any material protected by a trademark, any content provided by third parties, and where otherwise noted, all material presented in this publication is licensed under a </w:t>
      </w:r>
      <w:r w:rsidRPr="00A262F3">
        <w:rPr>
          <w:rStyle w:val="Strong"/>
        </w:rPr>
        <w:t>Creative Commons Attribution-NonCommercial-NoDerivatives 4.0 International Licence.</w:t>
      </w:r>
    </w:p>
    <w:p w14:paraId="6D9F3B3C" w14:textId="77777777" w:rsidR="009B382F" w:rsidRDefault="009B382F" w:rsidP="009B382F">
      <w:pPr>
        <w:pStyle w:val="BodyText"/>
      </w:pPr>
      <w:r>
        <w:rPr>
          <w:noProof/>
          <w:lang w:val="en-AU" w:eastAsia="en-AU"/>
        </w:rPr>
        <w:drawing>
          <wp:inline distT="0" distB="0" distL="0" distR="0" wp14:anchorId="79B2EE69" wp14:editId="60711A12">
            <wp:extent cx="1118616" cy="390144"/>
            <wp:effectExtent l="0" t="0" r="5715" b="0"/>
            <wp:docPr id="4" name="Picture 4" title="Copyrigh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pyright symbo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18616" cy="390144"/>
                    </a:xfrm>
                    <a:prstGeom prst="rect">
                      <a:avLst/>
                    </a:prstGeom>
                  </pic:spPr>
                </pic:pic>
              </a:graphicData>
            </a:graphic>
          </wp:inline>
        </w:drawing>
      </w:r>
    </w:p>
    <w:p w14:paraId="10B04FB5" w14:textId="77777777" w:rsidR="009B382F" w:rsidRDefault="009B382F" w:rsidP="009B382F">
      <w:pPr>
        <w:pStyle w:val="BodyText"/>
      </w:pPr>
      <w:r>
        <w:t>Enquiries regarding the licence and any use of this publication are welcome and can be sent to communications@safetyandquality.gov.au.</w:t>
      </w:r>
    </w:p>
    <w:p w14:paraId="56EE7D3D" w14:textId="77777777" w:rsidR="009B382F" w:rsidRDefault="009B382F" w:rsidP="009B382F">
      <w:pPr>
        <w:pStyle w:val="BodyText"/>
      </w:pPr>
      <w:r>
        <w:t xml:space="preserve">The Commission’s preference is that you attribute this publication (and any material sourced from it) using the following citation: </w:t>
      </w:r>
    </w:p>
    <w:p w14:paraId="164766A1" w14:textId="77777777" w:rsidR="009B382F" w:rsidRDefault="009B382F" w:rsidP="00A262F3">
      <w:pPr>
        <w:pStyle w:val="BodyText"/>
        <w:ind w:left="567" w:right="-342"/>
      </w:pPr>
      <w:r>
        <w:t>Australian Commission on Safety and Quality in Health Care. National Consensus Statement: Essential elements for recognising and responding to deterioration in a person’s mental state. Sydney: ACSQHC; 2017</w:t>
      </w:r>
    </w:p>
    <w:p w14:paraId="4C38DD51" w14:textId="77777777" w:rsidR="009B382F" w:rsidRPr="00A262F3" w:rsidRDefault="009B382F" w:rsidP="009B382F">
      <w:pPr>
        <w:pStyle w:val="BodyText"/>
        <w:rPr>
          <w:rStyle w:val="Strong"/>
        </w:rPr>
      </w:pPr>
      <w:r w:rsidRPr="00A262F3">
        <w:rPr>
          <w:rStyle w:val="Strong"/>
        </w:rPr>
        <w:t>Disclaimer</w:t>
      </w:r>
    </w:p>
    <w:p w14:paraId="3C8F5A6C" w14:textId="77777777" w:rsidR="009B382F" w:rsidRDefault="009B382F" w:rsidP="009B382F">
      <w:pPr>
        <w:pStyle w:val="BodyText"/>
      </w:pPr>
      <w:r>
        <w:t xml:space="preserve">The content of this document is published in good faith by Australian Commission on Safety and Quality in Health Care (the Commission) for information purposes. The document is not intended to provide guidance on particular healthcare choices. You should contact your healthcare provider on particular healthcare choices. </w:t>
      </w:r>
    </w:p>
    <w:p w14:paraId="628CAD96" w14:textId="77777777" w:rsidR="009B382F" w:rsidRDefault="009B382F" w:rsidP="009B382F">
      <w:pPr>
        <w:pStyle w:val="BodyText"/>
      </w:pPr>
      <w:r>
        <w:t>The Commission does not accept any legal liability for any injury, loss or damage incurred by the use of, or reliance on, this document.</w:t>
      </w:r>
    </w:p>
    <w:p w14:paraId="49EC30DA" w14:textId="77777777" w:rsidR="000424DD" w:rsidRDefault="000424DD" w:rsidP="009B382F">
      <w:pPr>
        <w:pStyle w:val="BodyText"/>
        <w:sectPr w:rsidR="000424DD" w:rsidSect="0081460F">
          <w:headerReference w:type="even" r:id="rId10"/>
          <w:headerReference w:type="default" r:id="rId11"/>
          <w:footerReference w:type="even" r:id="rId12"/>
          <w:footerReference w:type="default" r:id="rId13"/>
          <w:headerReference w:type="first" r:id="rId14"/>
          <w:footerReference w:type="first" r:id="rId15"/>
          <w:pgSz w:w="11906" w:h="16838" w:code="9"/>
          <w:pgMar w:top="2835" w:right="1021" w:bottom="567" w:left="1021" w:header="1361" w:footer="567" w:gutter="0"/>
          <w:cols w:space="708"/>
          <w:docGrid w:linePitch="360"/>
        </w:sectPr>
      </w:pPr>
    </w:p>
    <w:p w14:paraId="051B017A" w14:textId="77777777" w:rsidR="00123554" w:rsidRPr="00EC4889" w:rsidRDefault="00123554" w:rsidP="00EC4889">
      <w:pPr>
        <w:pStyle w:val="TOC1"/>
      </w:pPr>
      <w:r>
        <w:lastRenderedPageBreak/>
        <w:t>Purpose</w:t>
      </w:r>
      <w:r>
        <w:tab/>
        <w:t>3</w:t>
      </w:r>
    </w:p>
    <w:p w14:paraId="78145678" w14:textId="77777777" w:rsidR="00EC4889" w:rsidRPr="00EC4889" w:rsidRDefault="00EC4889" w:rsidP="00EC4889">
      <w:pPr>
        <w:pStyle w:val="Spacer"/>
        <w:rPr>
          <w:szCs w:val="2"/>
        </w:rPr>
      </w:pPr>
    </w:p>
    <w:p w14:paraId="3F463FCA" w14:textId="77777777" w:rsidR="00123554" w:rsidRDefault="00123554" w:rsidP="00EC4889">
      <w:pPr>
        <w:pStyle w:val="TOC1"/>
      </w:pPr>
      <w:r>
        <w:t>Scope and application</w:t>
      </w:r>
      <w:r>
        <w:tab/>
        <w:t>4</w:t>
      </w:r>
    </w:p>
    <w:p w14:paraId="050A0E84" w14:textId="77777777" w:rsidR="00123554" w:rsidRDefault="00DD4C20" w:rsidP="0081490F">
      <w:pPr>
        <w:pStyle w:val="TOC2"/>
      </w:pPr>
      <w:r>
        <w:tab/>
      </w:r>
      <w:r w:rsidR="00123554">
        <w:t>People</w:t>
      </w:r>
      <w:r>
        <w:tab/>
      </w:r>
      <w:r w:rsidR="00123554">
        <w:t>4</w:t>
      </w:r>
    </w:p>
    <w:p w14:paraId="6DDB812B" w14:textId="77777777" w:rsidR="0081490F" w:rsidRPr="0081490F" w:rsidRDefault="0081490F" w:rsidP="0081490F">
      <w:pPr>
        <w:pStyle w:val="Spacer"/>
      </w:pPr>
    </w:p>
    <w:p w14:paraId="18F736B3" w14:textId="77777777" w:rsidR="00123554" w:rsidRDefault="00DD4C20" w:rsidP="0081490F">
      <w:pPr>
        <w:pStyle w:val="TOC2"/>
      </w:pPr>
      <w:r>
        <w:tab/>
      </w:r>
      <w:r w:rsidR="00123554">
        <w:t>Settings</w:t>
      </w:r>
      <w:r w:rsidR="00123554">
        <w:tab/>
        <w:t>4</w:t>
      </w:r>
    </w:p>
    <w:p w14:paraId="5EFA300A" w14:textId="77777777" w:rsidR="0081490F" w:rsidRPr="0081490F" w:rsidRDefault="0081490F" w:rsidP="0081490F">
      <w:pPr>
        <w:pStyle w:val="Spacer"/>
      </w:pPr>
    </w:p>
    <w:p w14:paraId="3F11E69F" w14:textId="77777777" w:rsidR="00123554" w:rsidRDefault="00DD4C20" w:rsidP="0081490F">
      <w:pPr>
        <w:pStyle w:val="TOC2"/>
      </w:pPr>
      <w:r>
        <w:tab/>
      </w:r>
      <w:r w:rsidR="00123554">
        <w:t>Contributing factors</w:t>
      </w:r>
      <w:r w:rsidR="00123554">
        <w:tab/>
        <w:t>5</w:t>
      </w:r>
    </w:p>
    <w:p w14:paraId="2CC92653" w14:textId="77777777" w:rsidR="0081490F" w:rsidRPr="0081490F" w:rsidRDefault="0081490F" w:rsidP="0081490F">
      <w:pPr>
        <w:pStyle w:val="Spacer"/>
      </w:pPr>
    </w:p>
    <w:p w14:paraId="3BCFF959" w14:textId="77777777" w:rsidR="00123554" w:rsidRDefault="00DD4C20" w:rsidP="0081490F">
      <w:pPr>
        <w:pStyle w:val="TOC2"/>
      </w:pPr>
      <w:r>
        <w:tab/>
      </w:r>
      <w:r w:rsidR="00123554">
        <w:t>Resources to support implementation</w:t>
      </w:r>
      <w:r w:rsidR="00123554">
        <w:tab/>
        <w:t>5</w:t>
      </w:r>
    </w:p>
    <w:p w14:paraId="349D91D7" w14:textId="77777777" w:rsidR="00123554" w:rsidRDefault="00123554" w:rsidP="00EC4889">
      <w:pPr>
        <w:pStyle w:val="TOC1"/>
      </w:pPr>
      <w:r>
        <w:t>Values</w:t>
      </w:r>
      <w:r>
        <w:tab/>
        <w:t>5</w:t>
      </w:r>
    </w:p>
    <w:p w14:paraId="1BF0BC06" w14:textId="77777777" w:rsidR="00123554" w:rsidRDefault="0081490F" w:rsidP="0081490F">
      <w:pPr>
        <w:pStyle w:val="TOC2"/>
      </w:pPr>
      <w:r>
        <w:tab/>
      </w:r>
      <w:r w:rsidR="00123554">
        <w:t>Person-centred and holistic health</w:t>
      </w:r>
      <w:r w:rsidR="00123554">
        <w:rPr>
          <w:rFonts w:ascii="Cambria Math" w:hAnsi="Cambria Math" w:cs="Cambria Math"/>
        </w:rPr>
        <w:t> </w:t>
      </w:r>
      <w:r w:rsidR="00123554">
        <w:t>care</w:t>
      </w:r>
      <w:r w:rsidR="00123554">
        <w:tab/>
        <w:t>5</w:t>
      </w:r>
    </w:p>
    <w:p w14:paraId="7D6A00A0" w14:textId="77777777" w:rsidR="0081490F" w:rsidRPr="0081490F" w:rsidRDefault="0081490F" w:rsidP="0081490F">
      <w:pPr>
        <w:pStyle w:val="Spacer"/>
      </w:pPr>
    </w:p>
    <w:p w14:paraId="66A70125" w14:textId="77777777" w:rsidR="00123554" w:rsidRDefault="0081490F" w:rsidP="0081490F">
      <w:pPr>
        <w:pStyle w:val="TOC2"/>
      </w:pPr>
      <w:r>
        <w:tab/>
      </w:r>
      <w:r w:rsidR="00123554">
        <w:t>Culturally competent health care</w:t>
      </w:r>
      <w:r w:rsidR="00123554">
        <w:tab/>
        <w:t>6</w:t>
      </w:r>
    </w:p>
    <w:p w14:paraId="2FE3CE92" w14:textId="77777777" w:rsidR="0081490F" w:rsidRPr="0081490F" w:rsidRDefault="0081490F" w:rsidP="0081490F">
      <w:pPr>
        <w:pStyle w:val="Spacer"/>
      </w:pPr>
    </w:p>
    <w:p w14:paraId="5178809E" w14:textId="77777777" w:rsidR="00123554" w:rsidRDefault="0081490F" w:rsidP="0081490F">
      <w:pPr>
        <w:pStyle w:val="TOC2"/>
      </w:pPr>
      <w:r>
        <w:tab/>
      </w:r>
      <w:r w:rsidR="00123554">
        <w:t>Recovery-oriented mental health care</w:t>
      </w:r>
      <w:r w:rsidR="00123554">
        <w:tab/>
        <w:t>6</w:t>
      </w:r>
    </w:p>
    <w:p w14:paraId="16EB157A" w14:textId="77777777" w:rsidR="0081490F" w:rsidRPr="0081490F" w:rsidRDefault="0081490F" w:rsidP="0081490F">
      <w:pPr>
        <w:pStyle w:val="Spacer"/>
      </w:pPr>
    </w:p>
    <w:p w14:paraId="53A3A842" w14:textId="77777777" w:rsidR="00123554" w:rsidRDefault="0081490F" w:rsidP="0081490F">
      <w:pPr>
        <w:pStyle w:val="TOC2"/>
      </w:pPr>
      <w:r>
        <w:tab/>
      </w:r>
      <w:r w:rsidR="00123554">
        <w:t>Trauma-informed care</w:t>
      </w:r>
      <w:r w:rsidR="00123554">
        <w:tab/>
        <w:t>7</w:t>
      </w:r>
    </w:p>
    <w:p w14:paraId="487ADBFF" w14:textId="77777777" w:rsidR="0081490F" w:rsidRPr="0081490F" w:rsidRDefault="0081490F" w:rsidP="0081490F">
      <w:pPr>
        <w:pStyle w:val="Spacer"/>
      </w:pPr>
    </w:p>
    <w:p w14:paraId="2C568E52" w14:textId="77777777" w:rsidR="00123554" w:rsidRDefault="0081490F" w:rsidP="0081490F">
      <w:pPr>
        <w:pStyle w:val="TOC2"/>
      </w:pPr>
      <w:r>
        <w:tab/>
      </w:r>
      <w:r w:rsidR="00123554">
        <w:t>Integrating values into practice</w:t>
      </w:r>
      <w:r w:rsidR="00123554">
        <w:tab/>
        <w:t>7</w:t>
      </w:r>
    </w:p>
    <w:p w14:paraId="0F9E9A9C" w14:textId="77777777" w:rsidR="00123554" w:rsidRDefault="00123554" w:rsidP="00EC4889">
      <w:pPr>
        <w:pStyle w:val="TOC1"/>
      </w:pPr>
      <w:r>
        <w:t>Guiding principles</w:t>
      </w:r>
      <w:r>
        <w:tab/>
        <w:t>8</w:t>
      </w:r>
    </w:p>
    <w:p w14:paraId="529E1CB3" w14:textId="77777777" w:rsidR="0081490F" w:rsidRPr="0081490F" w:rsidRDefault="0081490F" w:rsidP="0081490F">
      <w:pPr>
        <w:pStyle w:val="Spacer"/>
      </w:pPr>
    </w:p>
    <w:p w14:paraId="16BFEA8D" w14:textId="77777777" w:rsidR="00123554" w:rsidRDefault="00123554" w:rsidP="00EC4889">
      <w:pPr>
        <w:pStyle w:val="TOC1"/>
      </w:pPr>
      <w:r>
        <w:t>Essential elements</w:t>
      </w:r>
      <w:r>
        <w:tab/>
        <w:t>9</w:t>
      </w:r>
    </w:p>
    <w:p w14:paraId="5B95EFCC" w14:textId="77777777" w:rsidR="0081490F" w:rsidRPr="0081490F" w:rsidRDefault="0081490F" w:rsidP="0081490F">
      <w:pPr>
        <w:pStyle w:val="Spacer"/>
      </w:pPr>
    </w:p>
    <w:p w14:paraId="221D5761" w14:textId="77777777" w:rsidR="00123554" w:rsidRDefault="00123554" w:rsidP="00EC4889">
      <w:pPr>
        <w:pStyle w:val="TOC1"/>
      </w:pPr>
      <w:r>
        <w:t>Part A.</w:t>
      </w:r>
      <w:r>
        <w:t> </w:t>
      </w:r>
      <w:r>
        <w:t>Processes of care</w:t>
      </w:r>
      <w:r>
        <w:tab/>
        <w:t>10</w:t>
      </w:r>
    </w:p>
    <w:p w14:paraId="5AADD7CA" w14:textId="77777777" w:rsidR="00123554" w:rsidRDefault="00123554" w:rsidP="0081490F">
      <w:pPr>
        <w:pStyle w:val="TOC2"/>
        <w:numPr>
          <w:ilvl w:val="0"/>
          <w:numId w:val="2"/>
        </w:numPr>
      </w:pPr>
      <w:r>
        <w:t>Recognising deterioration in a</w:t>
      </w:r>
      <w:r>
        <w:rPr>
          <w:rFonts w:ascii="Cambria Math" w:hAnsi="Cambria Math" w:cs="Cambria Math"/>
        </w:rPr>
        <w:t> </w:t>
      </w:r>
      <w:r>
        <w:t>person’s</w:t>
      </w:r>
      <w:r>
        <w:rPr>
          <w:rFonts w:ascii="Cambria Math" w:hAnsi="Cambria Math" w:cs="Cambria Math"/>
        </w:rPr>
        <w:t> </w:t>
      </w:r>
      <w:r>
        <w:t xml:space="preserve">mental state </w:t>
      </w:r>
      <w:r>
        <w:tab/>
        <w:t>12</w:t>
      </w:r>
    </w:p>
    <w:p w14:paraId="5A3C3906" w14:textId="77777777" w:rsidR="0081490F" w:rsidRPr="0081490F" w:rsidRDefault="0081490F" w:rsidP="0081490F">
      <w:pPr>
        <w:pStyle w:val="Spacer"/>
      </w:pPr>
    </w:p>
    <w:p w14:paraId="53647072" w14:textId="77777777" w:rsidR="00123554" w:rsidRDefault="0081490F" w:rsidP="0081490F">
      <w:pPr>
        <w:pStyle w:val="TOC2"/>
      </w:pPr>
      <w:r>
        <w:tab/>
        <w:t>2.</w:t>
      </w:r>
      <w:r>
        <w:tab/>
      </w:r>
      <w:r w:rsidR="00123554">
        <w:t xml:space="preserve">Escalating care </w:t>
      </w:r>
      <w:r w:rsidR="00123554">
        <w:tab/>
        <w:t>13</w:t>
      </w:r>
    </w:p>
    <w:p w14:paraId="4F3ABA60" w14:textId="77777777" w:rsidR="0081490F" w:rsidRPr="0081490F" w:rsidRDefault="0081490F" w:rsidP="0081490F">
      <w:pPr>
        <w:pStyle w:val="Spacer"/>
      </w:pPr>
    </w:p>
    <w:p w14:paraId="1B0CE379" w14:textId="77777777" w:rsidR="00123554" w:rsidRDefault="0081490F" w:rsidP="0081490F">
      <w:pPr>
        <w:pStyle w:val="TOC2"/>
      </w:pPr>
      <w:r>
        <w:tab/>
        <w:t>3.</w:t>
      </w:r>
      <w:r>
        <w:tab/>
      </w:r>
      <w:r w:rsidR="00123554">
        <w:t>Responding to deterioration in a</w:t>
      </w:r>
      <w:r w:rsidR="00123554">
        <w:rPr>
          <w:rFonts w:ascii="Cambria Math" w:hAnsi="Cambria Math" w:cs="Cambria Math"/>
        </w:rPr>
        <w:t> </w:t>
      </w:r>
      <w:r w:rsidR="00123554">
        <w:t>person’s</w:t>
      </w:r>
      <w:r w:rsidR="00123554">
        <w:rPr>
          <w:rFonts w:ascii="Cambria Math" w:hAnsi="Cambria Math" w:cs="Cambria Math"/>
        </w:rPr>
        <w:t> </w:t>
      </w:r>
      <w:r w:rsidR="00123554">
        <w:t xml:space="preserve">mental state </w:t>
      </w:r>
      <w:r w:rsidR="00123554">
        <w:tab/>
        <w:t>14</w:t>
      </w:r>
    </w:p>
    <w:p w14:paraId="587F5054" w14:textId="77777777" w:rsidR="00123554" w:rsidRDefault="00123554" w:rsidP="00EC4889">
      <w:pPr>
        <w:pStyle w:val="TOC1"/>
      </w:pPr>
      <w:r>
        <w:t>Part B.</w:t>
      </w:r>
      <w:r>
        <w:t> </w:t>
      </w:r>
      <w:r>
        <w:t>Therapeutic practice</w:t>
      </w:r>
      <w:r>
        <w:tab/>
        <w:t>15</w:t>
      </w:r>
    </w:p>
    <w:p w14:paraId="27398946" w14:textId="77777777" w:rsidR="00123554" w:rsidRDefault="0081490F" w:rsidP="0081490F">
      <w:pPr>
        <w:pStyle w:val="TOC2"/>
      </w:pPr>
      <w:r>
        <w:tab/>
        <w:t>4.</w:t>
      </w:r>
      <w:r>
        <w:tab/>
      </w:r>
      <w:r w:rsidR="00123554">
        <w:t>Creating safety and minimising restrictive practices</w:t>
      </w:r>
      <w:r w:rsidR="00123554">
        <w:tab/>
        <w:t>17</w:t>
      </w:r>
    </w:p>
    <w:p w14:paraId="65540557" w14:textId="77777777" w:rsidR="0081490F" w:rsidRPr="0081490F" w:rsidRDefault="0081490F" w:rsidP="0081490F">
      <w:pPr>
        <w:pStyle w:val="Spacer"/>
      </w:pPr>
    </w:p>
    <w:p w14:paraId="635DBC4F" w14:textId="77777777" w:rsidR="00123554" w:rsidRDefault="0081490F" w:rsidP="0081490F">
      <w:pPr>
        <w:pStyle w:val="TOC2"/>
      </w:pPr>
      <w:r>
        <w:tab/>
        <w:t>5.</w:t>
      </w:r>
      <w:r>
        <w:tab/>
      </w:r>
      <w:r w:rsidR="00123554">
        <w:t>Teamwork and shared decision making</w:t>
      </w:r>
      <w:r w:rsidR="00123554">
        <w:tab/>
        <w:t>18</w:t>
      </w:r>
    </w:p>
    <w:p w14:paraId="1E0E1D82" w14:textId="77777777" w:rsidR="0081490F" w:rsidRPr="0081490F" w:rsidRDefault="0081490F" w:rsidP="0081490F">
      <w:pPr>
        <w:pStyle w:val="Spacer"/>
      </w:pPr>
    </w:p>
    <w:p w14:paraId="1E8ED2E7" w14:textId="77777777" w:rsidR="00123554" w:rsidRDefault="0081490F" w:rsidP="0081490F">
      <w:pPr>
        <w:pStyle w:val="TOC2"/>
      </w:pPr>
      <w:r>
        <w:tab/>
        <w:t>6.</w:t>
      </w:r>
      <w:r>
        <w:tab/>
      </w:r>
      <w:r w:rsidR="00123554">
        <w:t xml:space="preserve">Communicating for safety </w:t>
      </w:r>
      <w:r w:rsidR="00123554">
        <w:tab/>
        <w:t>19</w:t>
      </w:r>
    </w:p>
    <w:p w14:paraId="683DB71D" w14:textId="77777777" w:rsidR="00123554" w:rsidRDefault="00123554" w:rsidP="00EC4889">
      <w:pPr>
        <w:pStyle w:val="TOC1"/>
      </w:pPr>
      <w:r>
        <w:t>Part C.</w:t>
      </w:r>
      <w:r>
        <w:t> </w:t>
      </w:r>
      <w:r>
        <w:t>Organisational supports</w:t>
      </w:r>
      <w:r>
        <w:tab/>
        <w:t>20</w:t>
      </w:r>
    </w:p>
    <w:p w14:paraId="22A6D384" w14:textId="77777777" w:rsidR="00123554" w:rsidRDefault="0081490F" w:rsidP="0081490F">
      <w:pPr>
        <w:pStyle w:val="TOC2"/>
      </w:pPr>
      <w:r>
        <w:tab/>
        <w:t>7.</w:t>
      </w:r>
      <w:r>
        <w:tab/>
      </w:r>
      <w:r w:rsidR="00123554">
        <w:t>Leadership and governance</w:t>
      </w:r>
      <w:r w:rsidR="00123554">
        <w:tab/>
        <w:t>22</w:t>
      </w:r>
    </w:p>
    <w:p w14:paraId="750D2BB8" w14:textId="77777777" w:rsidR="0081490F" w:rsidRPr="0081490F" w:rsidRDefault="0081490F" w:rsidP="0081490F">
      <w:pPr>
        <w:pStyle w:val="Spacer"/>
      </w:pPr>
    </w:p>
    <w:p w14:paraId="15531799" w14:textId="77777777" w:rsidR="00123554" w:rsidRDefault="0081490F" w:rsidP="0081490F">
      <w:pPr>
        <w:pStyle w:val="TOC2"/>
      </w:pPr>
      <w:r>
        <w:tab/>
        <w:t>8.</w:t>
      </w:r>
      <w:r>
        <w:tab/>
      </w:r>
      <w:r w:rsidR="00123554">
        <w:t>Workforce development</w:t>
      </w:r>
      <w:r w:rsidR="00123554">
        <w:tab/>
        <w:t>23</w:t>
      </w:r>
    </w:p>
    <w:p w14:paraId="2FBD15D6" w14:textId="77777777" w:rsidR="0081490F" w:rsidRPr="0081490F" w:rsidRDefault="0081490F" w:rsidP="0081490F">
      <w:pPr>
        <w:pStyle w:val="Spacer"/>
      </w:pPr>
    </w:p>
    <w:p w14:paraId="03FB70A3" w14:textId="77777777" w:rsidR="00123554" w:rsidRDefault="0081490F" w:rsidP="0081490F">
      <w:pPr>
        <w:pStyle w:val="TOC2"/>
      </w:pPr>
      <w:r>
        <w:tab/>
        <w:t>9.</w:t>
      </w:r>
      <w:r>
        <w:tab/>
      </w:r>
      <w:r w:rsidR="00123554">
        <w:t>Standardised processes to support high</w:t>
      </w:r>
      <w:r w:rsidR="00123554">
        <w:noBreakHyphen/>
        <w:t>quality care</w:t>
      </w:r>
      <w:r w:rsidR="00123554">
        <w:tab/>
        <w:t>24</w:t>
      </w:r>
    </w:p>
    <w:p w14:paraId="601CD20A" w14:textId="77777777" w:rsidR="0081490F" w:rsidRPr="0081490F" w:rsidRDefault="0081490F" w:rsidP="0081490F">
      <w:pPr>
        <w:pStyle w:val="Spacer"/>
      </w:pPr>
    </w:p>
    <w:p w14:paraId="4CB2A5A5" w14:textId="77777777" w:rsidR="00123554" w:rsidRDefault="0081490F" w:rsidP="0081490F">
      <w:pPr>
        <w:pStyle w:val="TOC2"/>
      </w:pPr>
      <w:r>
        <w:tab/>
        <w:t>10.</w:t>
      </w:r>
      <w:r>
        <w:tab/>
      </w:r>
      <w:r w:rsidR="00123554">
        <w:t>Evaluation and feedback</w:t>
      </w:r>
      <w:r w:rsidR="00123554">
        <w:tab/>
        <w:t>25</w:t>
      </w:r>
    </w:p>
    <w:p w14:paraId="7C8986E0" w14:textId="77777777" w:rsidR="00123554" w:rsidRDefault="00123554" w:rsidP="00EC4889">
      <w:pPr>
        <w:pStyle w:val="TOC1"/>
      </w:pPr>
      <w:r>
        <w:t>References</w:t>
      </w:r>
      <w:r>
        <w:tab/>
        <w:t>26</w:t>
      </w:r>
    </w:p>
    <w:p w14:paraId="43083AB5" w14:textId="77777777" w:rsidR="0081490F" w:rsidRPr="0081490F" w:rsidRDefault="0081490F" w:rsidP="0081490F">
      <w:pPr>
        <w:pStyle w:val="Spacer"/>
      </w:pPr>
    </w:p>
    <w:p w14:paraId="2DC10AFF" w14:textId="77777777" w:rsidR="00123554" w:rsidRDefault="00123554" w:rsidP="00EC4889">
      <w:pPr>
        <w:pStyle w:val="TOC1"/>
      </w:pPr>
      <w:r>
        <w:t>Appendices</w:t>
      </w:r>
      <w:r>
        <w:tab/>
        <w:t>28</w:t>
      </w:r>
    </w:p>
    <w:p w14:paraId="61CF98EC" w14:textId="77777777" w:rsidR="00123554" w:rsidRDefault="00D00A6E" w:rsidP="0081490F">
      <w:pPr>
        <w:pStyle w:val="TOC2"/>
      </w:pPr>
      <w:r>
        <w:tab/>
      </w:r>
      <w:r w:rsidR="00123554">
        <w:t>Appendix A:</w:t>
      </w:r>
      <w:r w:rsidR="00123554">
        <w:t> </w:t>
      </w:r>
      <w:r w:rsidR="00123554">
        <w:t>Terms used in this document</w:t>
      </w:r>
      <w:r w:rsidR="00123554">
        <w:tab/>
        <w:t>28</w:t>
      </w:r>
    </w:p>
    <w:p w14:paraId="742A9017" w14:textId="77777777" w:rsidR="0081490F" w:rsidRPr="0081490F" w:rsidRDefault="0081490F" w:rsidP="0081490F">
      <w:pPr>
        <w:pStyle w:val="Spacer"/>
      </w:pPr>
    </w:p>
    <w:p w14:paraId="1FE6B3F3" w14:textId="77777777" w:rsidR="00123554" w:rsidRDefault="00D00A6E" w:rsidP="0081490F">
      <w:pPr>
        <w:pStyle w:val="TOC2"/>
      </w:pPr>
      <w:r>
        <w:tab/>
      </w:r>
      <w:r w:rsidR="00123554">
        <w:t>Appendix B:</w:t>
      </w:r>
      <w:r w:rsidR="00123554">
        <w:t> </w:t>
      </w:r>
      <w:r w:rsidR="00123554">
        <w:t>Consultation participants</w:t>
      </w:r>
      <w:r w:rsidR="00123554">
        <w:tab/>
        <w:t>32</w:t>
      </w:r>
    </w:p>
    <w:p w14:paraId="709232D6" w14:textId="77777777" w:rsidR="0081490F" w:rsidRPr="0081490F" w:rsidRDefault="0081490F" w:rsidP="0081490F">
      <w:pPr>
        <w:pStyle w:val="Spacer"/>
      </w:pPr>
    </w:p>
    <w:p w14:paraId="33B53979" w14:textId="77777777" w:rsidR="001D7CBF" w:rsidRDefault="00D00A6E" w:rsidP="0081490F">
      <w:pPr>
        <w:pStyle w:val="TOC2"/>
      </w:pPr>
      <w:r>
        <w:tab/>
      </w:r>
      <w:r w:rsidR="00123554">
        <w:t>Appendix C:</w:t>
      </w:r>
      <w:r w:rsidR="00123554">
        <w:t> </w:t>
      </w:r>
      <w:r w:rsidR="00123554">
        <w:t xml:space="preserve">Typical signs of deterioration in a person’s mental state </w:t>
      </w:r>
      <w:r w:rsidR="00123554">
        <w:tab/>
        <w:t>37</w:t>
      </w:r>
    </w:p>
    <w:p w14:paraId="4A6AA901" w14:textId="77777777" w:rsidR="00123554" w:rsidRDefault="00123554" w:rsidP="009B382F">
      <w:pPr>
        <w:pStyle w:val="BodyText"/>
      </w:pPr>
    </w:p>
    <w:p w14:paraId="78E2613A" w14:textId="77777777" w:rsidR="001D7CBF" w:rsidRDefault="001D7CBF" w:rsidP="009B382F">
      <w:pPr>
        <w:pStyle w:val="BodyText"/>
        <w:sectPr w:rsidR="001D7CBF" w:rsidSect="0081460F">
          <w:headerReference w:type="even" r:id="rId16"/>
          <w:headerReference w:type="default" r:id="rId17"/>
          <w:footerReference w:type="even" r:id="rId18"/>
          <w:footerReference w:type="default" r:id="rId19"/>
          <w:pgSz w:w="11906" w:h="16838" w:code="9"/>
          <w:pgMar w:top="2835" w:right="1021" w:bottom="1134" w:left="1021" w:header="1361" w:footer="567" w:gutter="0"/>
          <w:pgNumType w:start="1"/>
          <w:cols w:space="708"/>
          <w:docGrid w:linePitch="360"/>
        </w:sectPr>
      </w:pPr>
    </w:p>
    <w:p w14:paraId="1FB8F46B" w14:textId="77777777" w:rsidR="006A5570" w:rsidRDefault="006A5570" w:rsidP="006A5570">
      <w:pPr>
        <w:pStyle w:val="BodyText"/>
      </w:pPr>
      <w:r>
        <w:lastRenderedPageBreak/>
        <w:t xml:space="preserve">The Australian Commission on Safety and Quality in Health Care (the Commission), in collaboration with key stakeholders, has developed the </w:t>
      </w:r>
      <w:r w:rsidRPr="00D00A6E">
        <w:rPr>
          <w:rStyle w:val="Emphasis"/>
        </w:rPr>
        <w:t>National Consensus Statement: Essential elements for recognising and responding to deterioration in a person’s mental state</w:t>
      </w:r>
      <w:r>
        <w:t xml:space="preserve"> (the Consensus Statement). It provides guidance to health service organisations to ensure they have the capacity to safely, collaboratively and effectively recognise and respond to deterioration in a person’s mental state. </w:t>
      </w:r>
    </w:p>
    <w:p w14:paraId="15857A93" w14:textId="77777777" w:rsidR="006A5570" w:rsidRDefault="006A5570" w:rsidP="006A5570">
      <w:pPr>
        <w:pStyle w:val="BodyText"/>
      </w:pPr>
      <w:r>
        <w:t xml:space="preserve">People can experience deterioration in their mental state in all healthcare settings. An acute deterioration in a person’s mental state is an adverse outcome in itself. It can also be associated with further adverse outcomes, including suicide, aggression, and the traumatic use of restrictive practices. </w:t>
      </w:r>
    </w:p>
    <w:p w14:paraId="3CBC1ABE" w14:textId="77777777" w:rsidR="006A5570" w:rsidRDefault="006A5570" w:rsidP="006A5570">
      <w:pPr>
        <w:pStyle w:val="BodyText"/>
      </w:pPr>
      <w:r>
        <w:t xml:space="preserve">People experience and express deterioration in mental state in different ways, making recognition of the signs of deterioration a complex task. A person can experience deterioration in mental state due to internal factors, including exacerbation of mental illness, psychological distress, physical conditions including delirium, atypical responses to prescribed treatments, or intoxication with licit or illicit substances. People can also experience deterioration in mental state due to factors arising from their social context or their response to the environment. </w:t>
      </w:r>
    </w:p>
    <w:p w14:paraId="175AAD7D" w14:textId="77777777" w:rsidR="006A5570" w:rsidRDefault="00D00A6E" w:rsidP="006A5570">
      <w:pPr>
        <w:pStyle w:val="BodyText"/>
      </w:pPr>
      <w:r>
        <w:br w:type="column"/>
      </w:r>
      <w:r w:rsidR="006A5570">
        <w:lastRenderedPageBreak/>
        <w:t>There is currently marked variation in the effectiveness of responses to deterioration in a person’s mental state, both within specialist mental health services and in the broader health system. Moreover, there is evidence that many people who experience deterioration in their mental state are further traumatised by interventions delivered by health services, even when these interventions are implemented within existing national and jurisdictional guidelines.</w:t>
      </w:r>
    </w:p>
    <w:p w14:paraId="0CBE4C4F" w14:textId="77777777" w:rsidR="006A5570" w:rsidRDefault="006A5570" w:rsidP="006A5570">
      <w:pPr>
        <w:pStyle w:val="BodyText"/>
      </w:pPr>
      <w:r>
        <w:t xml:space="preserve">The Consensus Statement is an adaptation of the model described in </w:t>
      </w:r>
      <w:r w:rsidRPr="00BB5333">
        <w:rPr>
          <w:rStyle w:val="Emphasis"/>
        </w:rPr>
        <w:t>the National Consensus Statement: Essential elements for recognising and responding to acute physiological deterioration</w:t>
      </w:r>
      <w:r>
        <w:t>.</w:t>
      </w:r>
      <w:r w:rsidRPr="00BB5333">
        <w:rPr>
          <w:vertAlign w:val="superscript"/>
        </w:rPr>
        <w:t>1</w:t>
      </w:r>
      <w:r>
        <w:t xml:space="preserve"> This model was based on the evidence that many people experienced preventable adverse outcomes after early signs of physiological deterioration were either not recognised, or not promptly responded to. </w:t>
      </w:r>
    </w:p>
    <w:p w14:paraId="7B823981" w14:textId="77777777" w:rsidR="001D7CBF" w:rsidRDefault="006A5570" w:rsidP="006A5570">
      <w:pPr>
        <w:pStyle w:val="BodyText"/>
      </w:pPr>
      <w:r>
        <w:t>The success of the original model is related to the systematic approach to recognising signs of physiological deterioration, documenting these, and escalating care through agreed and available pathways. The standardised processes do not replace or dilute clinical judgement but support it, with the capacity to escalate care solely on the basis of clinical concern built into the system.</w:t>
      </w:r>
    </w:p>
    <w:p w14:paraId="4DE4FCA7" w14:textId="77777777" w:rsidR="001D7CBF" w:rsidRDefault="001D7CBF">
      <w:pPr>
        <w:rPr>
          <w:rFonts w:ascii="Arial" w:hAnsi="Arial"/>
          <w:color w:val="000000" w:themeColor="text2"/>
          <w:sz w:val="20"/>
        </w:rPr>
      </w:pPr>
      <w:r>
        <w:br w:type="page"/>
      </w:r>
    </w:p>
    <w:p w14:paraId="64BD76FF" w14:textId="77777777" w:rsidR="006A5570" w:rsidRDefault="006A5570" w:rsidP="00BB5333">
      <w:pPr>
        <w:pStyle w:val="Heading2"/>
      </w:pPr>
      <w:r>
        <w:lastRenderedPageBreak/>
        <w:t>Purpose</w:t>
      </w:r>
    </w:p>
    <w:p w14:paraId="538AF6CB" w14:textId="77777777" w:rsidR="006A5570" w:rsidRDefault="006A5570" w:rsidP="00BB5333">
      <w:pPr>
        <w:pStyle w:val="Bodytextbeforebullets"/>
      </w:pPr>
      <w:r>
        <w:t xml:space="preserve">The Consensus Statement outlines 10 essential elements, divided into three parts: </w:t>
      </w:r>
    </w:p>
    <w:p w14:paraId="152AA1A4" w14:textId="77777777" w:rsidR="006A5570" w:rsidRDefault="006A5570" w:rsidP="00BB5333">
      <w:pPr>
        <w:pStyle w:val="ListBullet"/>
      </w:pPr>
      <w:r>
        <w:t>Processes of care</w:t>
      </w:r>
    </w:p>
    <w:p w14:paraId="1F87C687" w14:textId="77777777" w:rsidR="006A5570" w:rsidRDefault="006A5570" w:rsidP="00BB5333">
      <w:pPr>
        <w:pStyle w:val="ListBullet"/>
      </w:pPr>
      <w:r>
        <w:t xml:space="preserve">Therapeutic practice </w:t>
      </w:r>
    </w:p>
    <w:p w14:paraId="36D7FA7E" w14:textId="77777777" w:rsidR="006A5570" w:rsidRDefault="006A5570" w:rsidP="00BB5333">
      <w:pPr>
        <w:pStyle w:val="ListBulletLast"/>
      </w:pPr>
      <w:r>
        <w:t>Organisational supports.</w:t>
      </w:r>
    </w:p>
    <w:p w14:paraId="16B17843" w14:textId="77777777" w:rsidR="006A5570" w:rsidRDefault="006A5570" w:rsidP="006A5570">
      <w:pPr>
        <w:pStyle w:val="BodyText"/>
      </w:pPr>
      <w:r>
        <w:t>The three parts are interrelated: actions that members of the healthcare workforce take require organisational supports to implement them in a way that is consistent with recovery</w:t>
      </w:r>
      <w:r>
        <w:rPr>
          <w:rFonts w:ascii="Cambria Math" w:hAnsi="Cambria Math" w:cs="Cambria Math"/>
        </w:rPr>
        <w:t>‑</w:t>
      </w:r>
      <w:r>
        <w:t xml:space="preserve">oriented values. For instance, how a member of the healthcare workforce escalates care is described in </w:t>
      </w:r>
      <w:r>
        <w:rPr>
          <w:rFonts w:cs="Arial"/>
        </w:rPr>
        <w:t>‘</w:t>
      </w:r>
      <w:r>
        <w:t>processes of care</w:t>
      </w:r>
      <w:r>
        <w:rPr>
          <w:rFonts w:cs="Arial"/>
        </w:rPr>
        <w:t>’</w:t>
      </w:r>
      <w:r>
        <w:t>; the values enacted while escalating care are described in ‘therapeutic practice’, and the system-level components of the health service organisation’s escalation protocol are described in ‘organisational supports’.</w:t>
      </w:r>
    </w:p>
    <w:p w14:paraId="315F5691" w14:textId="77777777" w:rsidR="006A5570" w:rsidRDefault="006A5570" w:rsidP="006A5570">
      <w:pPr>
        <w:pStyle w:val="BodyText"/>
      </w:pPr>
      <w:r>
        <w:t xml:space="preserve">The Consensus Statement also provides seven guiding principles that describe the philosophy of care underpinning the recognition and response approach to deterioration in mental state. </w:t>
      </w:r>
    </w:p>
    <w:p w14:paraId="3188C34E" w14:textId="77777777" w:rsidR="006A5570" w:rsidRDefault="006A5570" w:rsidP="006A5570">
      <w:pPr>
        <w:pStyle w:val="BodyText"/>
      </w:pPr>
      <w:r>
        <w:t xml:space="preserve">The Consensus Statement describes best practice. It aims to guide health services in developing their own recognition and response systems in a way that is tailored to their communities and the resources and personnel available, and in line with relevant state and territory or other programs. The Consensus Statement is not intended to replace existing systems designed to care for people experiencing deterioration in mental state, including the expertise practised by members of the healthcare workforce. </w:t>
      </w:r>
    </w:p>
    <w:p w14:paraId="66B95DE0" w14:textId="77777777" w:rsidR="006A5570" w:rsidRDefault="00BB5333" w:rsidP="00BB5333">
      <w:pPr>
        <w:pStyle w:val="Bodytextbeforebullets"/>
      </w:pPr>
      <w:r>
        <w:br w:type="column"/>
      </w:r>
      <w:r w:rsidR="006A5570">
        <w:lastRenderedPageBreak/>
        <w:t>The Consensus Statement is also designed to support health service organisations to implement actions in the National Safety and Quality Health Service (NSQHS) Standards (second edition). The Consensus Statement aligns with actions in the:</w:t>
      </w:r>
    </w:p>
    <w:p w14:paraId="705352B5" w14:textId="77777777" w:rsidR="006A5570" w:rsidRDefault="006A5570" w:rsidP="00BB5333">
      <w:pPr>
        <w:pStyle w:val="ListBullet"/>
      </w:pPr>
      <w:r>
        <w:t>Recognising and Responding to Acute Deterioration Standard</w:t>
      </w:r>
    </w:p>
    <w:p w14:paraId="4798DF04" w14:textId="77777777" w:rsidR="006A5570" w:rsidRDefault="006A5570" w:rsidP="00BB5333">
      <w:pPr>
        <w:pStyle w:val="ListBullet"/>
      </w:pPr>
      <w:r>
        <w:t>Comprehensive Care Standard</w:t>
      </w:r>
    </w:p>
    <w:p w14:paraId="4EB080A2" w14:textId="77777777" w:rsidR="006A5570" w:rsidRDefault="006A5570" w:rsidP="00BB5333">
      <w:pPr>
        <w:pStyle w:val="ListBullet"/>
      </w:pPr>
      <w:r>
        <w:t>Clinical Governance Standard</w:t>
      </w:r>
    </w:p>
    <w:p w14:paraId="64439B12" w14:textId="77777777" w:rsidR="006A5570" w:rsidRDefault="006A5570" w:rsidP="00BB5333">
      <w:pPr>
        <w:pStyle w:val="ListBullet"/>
      </w:pPr>
      <w:r>
        <w:t>Partnering with Consumers Standard</w:t>
      </w:r>
    </w:p>
    <w:p w14:paraId="10A0E1AD" w14:textId="77777777" w:rsidR="006A5570" w:rsidRDefault="006A5570" w:rsidP="00BB5333">
      <w:pPr>
        <w:pStyle w:val="ListBullet"/>
      </w:pPr>
      <w:r>
        <w:t>Medication Safety Standard</w:t>
      </w:r>
    </w:p>
    <w:p w14:paraId="06FE5F0D" w14:textId="77777777" w:rsidR="006A5570" w:rsidRDefault="006A5570" w:rsidP="00BB5333">
      <w:pPr>
        <w:pStyle w:val="ListBulletLast"/>
      </w:pPr>
      <w:r>
        <w:t>Communicating for Safety Standard.</w:t>
      </w:r>
    </w:p>
    <w:p w14:paraId="679127D9" w14:textId="77777777" w:rsidR="006A5570" w:rsidRDefault="006A5570" w:rsidP="006A5570">
      <w:pPr>
        <w:pStyle w:val="BodyText"/>
      </w:pPr>
      <w:r>
        <w:t>The Commission will develop more detailed information about this alignment in a Mental Health User Guide to the NSQHS Standards (2nd ed.).</w:t>
      </w:r>
    </w:p>
    <w:p w14:paraId="46B29D87" w14:textId="77777777" w:rsidR="00750018" w:rsidRDefault="006A5570" w:rsidP="006A5570">
      <w:pPr>
        <w:pStyle w:val="BodyText"/>
        <w:sectPr w:rsidR="00750018" w:rsidSect="0081460F">
          <w:headerReference w:type="even" r:id="rId20"/>
          <w:headerReference w:type="default" r:id="rId21"/>
          <w:footerReference w:type="even" r:id="rId22"/>
          <w:footerReference w:type="default" r:id="rId23"/>
          <w:pgSz w:w="11906" w:h="16838" w:code="9"/>
          <w:pgMar w:top="2835" w:right="1021" w:bottom="1134" w:left="1021" w:header="1361" w:footer="567" w:gutter="0"/>
          <w:cols w:num="2" w:space="708"/>
          <w:docGrid w:linePitch="360"/>
        </w:sectPr>
      </w:pPr>
      <w:r>
        <w:t>The Consensus Statement is not a legal document and clinicians must continue to be aware of, and abide by, the laws of the jurisdiction in which they practise. Any inconsistency between the Consensus Statement and a law of a state, territory or the Australian Government, will be resolved in favour of the relevant law.</w:t>
      </w:r>
    </w:p>
    <w:p w14:paraId="4D521AE2" w14:textId="77777777" w:rsidR="00696364" w:rsidRDefault="00696364" w:rsidP="00BB5333">
      <w:pPr>
        <w:pStyle w:val="Heading2"/>
      </w:pPr>
      <w:r>
        <w:lastRenderedPageBreak/>
        <w:t>Scope and application</w:t>
      </w:r>
    </w:p>
    <w:p w14:paraId="61DE3DF2" w14:textId="77777777" w:rsidR="00696364" w:rsidRDefault="00696364" w:rsidP="00BB5333">
      <w:pPr>
        <w:pStyle w:val="BodyTextLastPara"/>
      </w:pPr>
      <w:r>
        <w:t>The scope of the Consensus Statement is intentionally broad. People can experience deterioration in their mental state for a range of reasons and in all healthcare settings. Moreover, acute deterioration in a person’s mental state is frequently preceded by early warning signs, and effective recognition and response improves the potential to prevent an adverse outcome.</w:t>
      </w:r>
    </w:p>
    <w:p w14:paraId="25FB51B2" w14:textId="77777777" w:rsidR="00696364" w:rsidRDefault="00696364" w:rsidP="00BB5333">
      <w:pPr>
        <w:pStyle w:val="Heading3"/>
      </w:pPr>
      <w:r>
        <w:t>People</w:t>
      </w:r>
    </w:p>
    <w:p w14:paraId="3579D8E8" w14:textId="77777777" w:rsidR="00696364" w:rsidRDefault="00696364" w:rsidP="00BB5333">
      <w:pPr>
        <w:pStyle w:val="Bodytextbeforebullets"/>
      </w:pPr>
      <w:r>
        <w:t>The Consensus Statement applies to all people accessing health care. This includes:</w:t>
      </w:r>
    </w:p>
    <w:p w14:paraId="1E82FB73" w14:textId="77777777" w:rsidR="00696364" w:rsidRDefault="00696364" w:rsidP="00BB5333">
      <w:pPr>
        <w:pStyle w:val="ListBullet"/>
      </w:pPr>
      <w:r>
        <w:t xml:space="preserve">People receiving specialist mental health treatment </w:t>
      </w:r>
    </w:p>
    <w:p w14:paraId="21F522FA" w14:textId="77777777" w:rsidR="00696364" w:rsidRDefault="00696364" w:rsidP="00BB5333">
      <w:pPr>
        <w:pStyle w:val="ListBullet"/>
      </w:pPr>
      <w:r>
        <w:t>People with a known mental health condition receiving health care for a physical health problem</w:t>
      </w:r>
    </w:p>
    <w:p w14:paraId="544B8D23" w14:textId="77777777" w:rsidR="00696364" w:rsidRDefault="00696364" w:rsidP="00BB5333">
      <w:pPr>
        <w:pStyle w:val="ListBullet"/>
      </w:pPr>
      <w:r>
        <w:t>People receiving health care who have no prior history of mental health issues</w:t>
      </w:r>
    </w:p>
    <w:p w14:paraId="71725A05" w14:textId="77777777" w:rsidR="00696364" w:rsidRDefault="00696364" w:rsidP="00BB5333">
      <w:pPr>
        <w:pStyle w:val="ListBulletLast"/>
      </w:pPr>
      <w:r>
        <w:t>People of all ages.</w:t>
      </w:r>
    </w:p>
    <w:p w14:paraId="4AF457A5" w14:textId="77777777" w:rsidR="00696364" w:rsidRDefault="00696364" w:rsidP="00696364">
      <w:pPr>
        <w:pStyle w:val="BodyText"/>
      </w:pPr>
      <w:r>
        <w:t>Collaboration underpins the Consensus Statement. Health services need to develop and sustain partnerships with people who experience deterioration in mental state, their families and carers on the planning, delivery and evaluation of their recognition and response processes.</w:t>
      </w:r>
    </w:p>
    <w:p w14:paraId="1AD32917" w14:textId="77777777" w:rsidR="00696364" w:rsidRDefault="00BB5333" w:rsidP="00BB5333">
      <w:pPr>
        <w:pStyle w:val="Bodytextbeforebullets"/>
      </w:pPr>
      <w:r>
        <w:br w:type="column"/>
      </w:r>
      <w:r w:rsidR="00696364">
        <w:lastRenderedPageBreak/>
        <w:t>The actions set out in the Consensus Statement are to be implemented by:</w:t>
      </w:r>
    </w:p>
    <w:p w14:paraId="31DC0A28" w14:textId="77777777" w:rsidR="00696364" w:rsidRDefault="00696364" w:rsidP="00BB5333">
      <w:pPr>
        <w:pStyle w:val="ListBullet"/>
      </w:pPr>
      <w:r>
        <w:t xml:space="preserve">Members of the healthcare workforce </w:t>
      </w:r>
    </w:p>
    <w:p w14:paraId="617E8037" w14:textId="77777777" w:rsidR="00696364" w:rsidRDefault="00696364" w:rsidP="00BB5333">
      <w:pPr>
        <w:pStyle w:val="ListBullet"/>
      </w:pPr>
      <w:r>
        <w:t>Specialist mental health workers</w:t>
      </w:r>
    </w:p>
    <w:p w14:paraId="4D099618" w14:textId="77777777" w:rsidR="00696364" w:rsidRDefault="00696364" w:rsidP="00BB5333">
      <w:pPr>
        <w:pStyle w:val="ListBullet"/>
      </w:pPr>
      <w:r>
        <w:t>Health service executives and managers responsible for the development, implementation and review of systems for delivering health care, including mental health care</w:t>
      </w:r>
    </w:p>
    <w:p w14:paraId="03D007F0" w14:textId="77777777" w:rsidR="00696364" w:rsidRDefault="00696364" w:rsidP="00BB5333">
      <w:pPr>
        <w:pStyle w:val="ListBullet"/>
      </w:pPr>
      <w:r>
        <w:t>Providers of clinical education and training, including universities and professional colleges</w:t>
      </w:r>
    </w:p>
    <w:p w14:paraId="5ECD4745" w14:textId="77777777" w:rsidR="00696364" w:rsidRDefault="00696364" w:rsidP="00BB5333">
      <w:pPr>
        <w:pStyle w:val="ListBullet"/>
      </w:pPr>
      <w:r>
        <w:t>Health professional registration, regulation and accreditation agencies</w:t>
      </w:r>
    </w:p>
    <w:p w14:paraId="04340E0B" w14:textId="77777777" w:rsidR="00696364" w:rsidRDefault="00696364" w:rsidP="00BB5333">
      <w:pPr>
        <w:pStyle w:val="ListBulletLast"/>
      </w:pPr>
      <w:r>
        <w:t>Planners, program managers and policymakers responsible for the development of state, territory or other strategic programs dealing with the delivery of mental health care.</w:t>
      </w:r>
    </w:p>
    <w:p w14:paraId="5C0B65A8" w14:textId="77777777" w:rsidR="00696364" w:rsidRDefault="00696364" w:rsidP="00BB5333">
      <w:pPr>
        <w:pStyle w:val="Heading3"/>
      </w:pPr>
      <w:r>
        <w:t>Settings</w:t>
      </w:r>
    </w:p>
    <w:p w14:paraId="3C47B792" w14:textId="77777777" w:rsidR="00696364" w:rsidRDefault="00696364" w:rsidP="00BB5333">
      <w:pPr>
        <w:pStyle w:val="Bodytextbeforebullets"/>
      </w:pPr>
      <w:r>
        <w:t>The Consensus Statement applies in:</w:t>
      </w:r>
    </w:p>
    <w:p w14:paraId="265A3834" w14:textId="77777777" w:rsidR="00696364" w:rsidRDefault="00696364" w:rsidP="00BB5333">
      <w:pPr>
        <w:pStyle w:val="ListBullet"/>
      </w:pPr>
      <w:r>
        <w:t xml:space="preserve">Specialist mental health settings </w:t>
      </w:r>
    </w:p>
    <w:p w14:paraId="6E2AE666" w14:textId="77777777" w:rsidR="00696364" w:rsidRDefault="00696364" w:rsidP="00BB5333">
      <w:pPr>
        <w:pStyle w:val="ListBullet"/>
      </w:pPr>
      <w:r>
        <w:t xml:space="preserve">Medical and surgical wards </w:t>
      </w:r>
    </w:p>
    <w:p w14:paraId="7ED5CA24" w14:textId="77777777" w:rsidR="00696364" w:rsidRDefault="00696364" w:rsidP="00BB5333">
      <w:pPr>
        <w:pStyle w:val="ListBullet"/>
      </w:pPr>
      <w:r>
        <w:t xml:space="preserve">Maternity and paediatric units </w:t>
      </w:r>
    </w:p>
    <w:p w14:paraId="6AB8C747" w14:textId="77777777" w:rsidR="00696364" w:rsidRDefault="00696364" w:rsidP="00BB5333">
      <w:pPr>
        <w:pStyle w:val="ListBullet"/>
      </w:pPr>
      <w:r>
        <w:t>Emergency departments</w:t>
      </w:r>
    </w:p>
    <w:p w14:paraId="4DC1E6E7" w14:textId="77777777" w:rsidR="00696364" w:rsidRDefault="00696364" w:rsidP="00BB5333">
      <w:pPr>
        <w:pStyle w:val="ListBullet"/>
      </w:pPr>
      <w:r>
        <w:t xml:space="preserve">Multi-purpose services and remote clinics </w:t>
      </w:r>
    </w:p>
    <w:p w14:paraId="22C40C47" w14:textId="77777777" w:rsidR="00696364" w:rsidRDefault="00696364" w:rsidP="00BB5333">
      <w:pPr>
        <w:pStyle w:val="ListBullet"/>
      </w:pPr>
      <w:r>
        <w:t xml:space="preserve">Justice health </w:t>
      </w:r>
    </w:p>
    <w:p w14:paraId="5617C9E5" w14:textId="77777777" w:rsidR="00696364" w:rsidRDefault="00696364" w:rsidP="00BB5333">
      <w:pPr>
        <w:pStyle w:val="ListBullet"/>
      </w:pPr>
      <w:r>
        <w:t>Ambulance services</w:t>
      </w:r>
    </w:p>
    <w:p w14:paraId="69A948AE" w14:textId="77777777" w:rsidR="00696364" w:rsidRDefault="00696364" w:rsidP="00BB5333">
      <w:pPr>
        <w:pStyle w:val="ListBulletLast"/>
      </w:pPr>
      <w:r>
        <w:t>Community-managed organisations.</w:t>
      </w:r>
    </w:p>
    <w:p w14:paraId="1E562A08" w14:textId="77777777" w:rsidR="00E53DD5" w:rsidRDefault="00696364" w:rsidP="00696364">
      <w:pPr>
        <w:pStyle w:val="BodyText"/>
      </w:pPr>
      <w:r>
        <w:t>Application of the essential elements will necessarily be different in different contexts. The Consensus Statement is designed to align with existing systems for delivering mental health care, and provide a specific structure to help understand ways in which those systems can be improved to ensure safe and effective response from a health service when a person experiences deterioration in their mental state.</w:t>
      </w:r>
    </w:p>
    <w:p w14:paraId="6A97412E" w14:textId="77777777" w:rsidR="00E53DD5" w:rsidRDefault="00E53DD5">
      <w:pPr>
        <w:rPr>
          <w:rFonts w:ascii="Arial" w:hAnsi="Arial"/>
          <w:color w:val="000000" w:themeColor="text2"/>
          <w:sz w:val="20"/>
        </w:rPr>
      </w:pPr>
      <w:r>
        <w:br w:type="page"/>
      </w:r>
    </w:p>
    <w:p w14:paraId="47AC7E77" w14:textId="77777777" w:rsidR="00696364" w:rsidRDefault="00696364" w:rsidP="00BB5333">
      <w:pPr>
        <w:pStyle w:val="Heading3"/>
      </w:pPr>
      <w:r>
        <w:lastRenderedPageBreak/>
        <w:t>Contributing factors</w:t>
      </w:r>
    </w:p>
    <w:p w14:paraId="3F7C85A1" w14:textId="77777777" w:rsidR="00696364" w:rsidRDefault="00696364" w:rsidP="00696364">
      <w:pPr>
        <w:pStyle w:val="BodyText"/>
      </w:pPr>
      <w:r>
        <w:t xml:space="preserve">The Consensus Statement has been developed primarily to address deterioration in mental state related to psychological distress and mental illness. People can also experience deterioration in their mental state due to other causes, the most prevalent of which is delirium. It is critical that members of the workforce are able to effectively screen for potential physical causes when a person experiences deterioration in their mental state. </w:t>
      </w:r>
    </w:p>
    <w:p w14:paraId="271F48A2" w14:textId="77777777" w:rsidR="00696364" w:rsidRDefault="00696364" w:rsidP="00BB5333">
      <w:pPr>
        <w:pStyle w:val="BodyTextLastPara"/>
      </w:pPr>
      <w:r>
        <w:t xml:space="preserve">The Commission has developed a </w:t>
      </w:r>
      <w:r w:rsidRPr="00BB5333">
        <w:rPr>
          <w:rStyle w:val="Emphasis"/>
        </w:rPr>
        <w:t>Delirium Clinical Care Standard</w:t>
      </w:r>
      <w:r w:rsidRPr="00BB5333">
        <w:rPr>
          <w:vertAlign w:val="superscript"/>
        </w:rPr>
        <w:t>2</w:t>
      </w:r>
      <w:r>
        <w:t xml:space="preserve"> which describes best practice in the detection and management of delirium. The Commission has also released </w:t>
      </w:r>
      <w:r w:rsidRPr="00BB5333">
        <w:rPr>
          <w:rStyle w:val="Emphasis"/>
        </w:rPr>
        <w:t>A better way to care: Safe and high-quality care for patients with cognitive impairment (dementia and delirium) in hospital</w:t>
      </w:r>
      <w:r>
        <w:t>,</w:t>
      </w:r>
      <w:r w:rsidRPr="00BB5333">
        <w:rPr>
          <w:vertAlign w:val="superscript"/>
        </w:rPr>
        <w:t>3,4</w:t>
      </w:r>
      <w:r>
        <w:t xml:space="preserve"> reflecting acknowledgement that deterioration in a person’s mental, cognitive and physical state is often closely connected. This Consensus Statement should be read in conjunction with these other documents.</w:t>
      </w:r>
    </w:p>
    <w:p w14:paraId="76322BD7" w14:textId="77777777" w:rsidR="00696364" w:rsidRDefault="00696364" w:rsidP="00BB5333">
      <w:pPr>
        <w:pStyle w:val="Heading3"/>
      </w:pPr>
      <w:r>
        <w:t>Resources to support implementation</w:t>
      </w:r>
    </w:p>
    <w:p w14:paraId="7DC8D1C2" w14:textId="77777777" w:rsidR="00696364" w:rsidRDefault="00696364" w:rsidP="00696364">
      <w:pPr>
        <w:pStyle w:val="BodyText"/>
      </w:pPr>
      <w:r>
        <w:t>Implementation of the Consensus Statement will require local solutions, reflecting the different contexts in which people experience deterioration in their mental state. The Commission will work with stakeholders to identify which existing processes and tools support implementation of the Consensus Statement, and develop additional resources where these are needed.</w:t>
      </w:r>
    </w:p>
    <w:p w14:paraId="1C240D05" w14:textId="77777777" w:rsidR="00696364" w:rsidRDefault="00696364" w:rsidP="00696364">
      <w:pPr>
        <w:pStyle w:val="BodyText"/>
      </w:pPr>
      <w:r>
        <w:t>Appendix A contains definitions for key terms and describes how they are used in this document.</w:t>
      </w:r>
    </w:p>
    <w:p w14:paraId="2E1430F0" w14:textId="77777777" w:rsidR="00696364" w:rsidRDefault="00BB5333" w:rsidP="00BB5333">
      <w:pPr>
        <w:pStyle w:val="Heading2"/>
      </w:pPr>
      <w:r>
        <w:br w:type="column"/>
      </w:r>
      <w:r w:rsidR="00696364">
        <w:lastRenderedPageBreak/>
        <w:t>Values</w:t>
      </w:r>
    </w:p>
    <w:p w14:paraId="57A642E6" w14:textId="77777777" w:rsidR="00696364" w:rsidRDefault="00696364" w:rsidP="00696364">
      <w:pPr>
        <w:pStyle w:val="BodyText"/>
      </w:pPr>
      <w:r>
        <w:t>Experiencing deterioration in mental state can be distressing for a person, whether it is the first experience, or a recurrence. It is also distressing for their family members and carers. How members of the healthcare workforce respond to the person can be a critical factor, not just in the short-term resolution of the episode, but also in terms of the person’s future willingness to engage with health services.</w:t>
      </w:r>
    </w:p>
    <w:p w14:paraId="206157FC" w14:textId="77777777" w:rsidR="00696364" w:rsidRDefault="00696364" w:rsidP="00BB5333">
      <w:pPr>
        <w:pStyle w:val="BodyTextLastPara"/>
      </w:pPr>
      <w:r>
        <w:t>All members of the healthcare workforce enact values in their everyday practice. These values may not be explicitly articulated, and may inadvertently privilege views about the world that extend beyond the clinical context. Over the past two decades, consumers of health services, including people with lived experience of mental health issues, have challenged health services to develop frameworks that make values transparent.</w:t>
      </w:r>
    </w:p>
    <w:p w14:paraId="51791DA3" w14:textId="77777777" w:rsidR="00696364" w:rsidRDefault="00696364" w:rsidP="00BB5333">
      <w:pPr>
        <w:pStyle w:val="Heading3"/>
      </w:pPr>
      <w:r>
        <w:t xml:space="preserve">Person-centred and holistic </w:t>
      </w:r>
      <w:r w:rsidR="00BB5333">
        <w:br/>
      </w:r>
      <w:r>
        <w:t>health care</w:t>
      </w:r>
    </w:p>
    <w:p w14:paraId="2E72CDCF" w14:textId="77777777" w:rsidR="00696364" w:rsidRDefault="00696364" w:rsidP="00696364">
      <w:pPr>
        <w:pStyle w:val="BodyText"/>
      </w:pPr>
      <w:r>
        <w:t>Delivering health care that is holistic and person</w:t>
      </w:r>
      <w:r>
        <w:rPr>
          <w:rFonts w:ascii="Cambria Math" w:hAnsi="Cambria Math" w:cs="Cambria Math"/>
        </w:rPr>
        <w:t>‑</w:t>
      </w:r>
      <w:r>
        <w:t>centred is consistent with the principle of partnering with consumers, an approach that is now familiar across all health settings, both at an organisational and individual level.</w:t>
      </w:r>
      <w:r w:rsidRPr="00DD4C20">
        <w:rPr>
          <w:vertAlign w:val="superscript"/>
        </w:rPr>
        <w:t>5</w:t>
      </w:r>
      <w:r>
        <w:t xml:space="preserve"> In the NSQHS Standards (2nd ed.), partnering with consumers is described as follows:</w:t>
      </w:r>
    </w:p>
    <w:p w14:paraId="054E3EA4" w14:textId="77777777" w:rsidR="00696364" w:rsidRDefault="00696364" w:rsidP="00BB5333">
      <w:pPr>
        <w:pStyle w:val="BodyTextIndent"/>
      </w:pPr>
      <w:r>
        <w:t>At the level of the individual, partnerships relate to the interaction between clinicians and patients when care is provided. At this level, a partnership involves providing care that is respectful; sharing information in an ongoing way; working with patients, carers and families to make decisions and plan care; and supporting and encouraging patients in their own care.</w:t>
      </w:r>
    </w:p>
    <w:p w14:paraId="25C5D526" w14:textId="77777777" w:rsidR="00696364" w:rsidRDefault="00696364">
      <w:pPr>
        <w:rPr>
          <w:rFonts w:ascii="Arial" w:hAnsi="Arial"/>
          <w:color w:val="000000" w:themeColor="text2"/>
          <w:sz w:val="20"/>
        </w:rPr>
      </w:pPr>
      <w:r>
        <w:br w:type="page"/>
      </w:r>
    </w:p>
    <w:p w14:paraId="318ED5CB" w14:textId="77777777" w:rsidR="00696364" w:rsidRDefault="00696364" w:rsidP="00BB5333">
      <w:pPr>
        <w:pStyle w:val="BodyTextLastPara"/>
      </w:pPr>
      <w:r>
        <w:lastRenderedPageBreak/>
        <w:t>A critical aspect of delivering person-centred care involves recognition of the diversity of people who access health services. In terms of recognising and responding to deterioration in a person’s mental state, this entails understanding that the experience, and the response to interventions, may</w:t>
      </w:r>
      <w:r>
        <w:rPr>
          <w:rFonts w:cs="Arial"/>
        </w:rPr>
        <w:t> </w:t>
      </w:r>
      <w:r>
        <w:t>be different for different people. Health services need to be tailored to meet people’s specific mental health needs, including children and adolescents, people with intellectual disability, and</w:t>
      </w:r>
      <w:r>
        <w:rPr>
          <w:rFonts w:cs="Arial"/>
        </w:rPr>
        <w:t> </w:t>
      </w:r>
      <w:r>
        <w:t>people with chronic physical conditions.</w:t>
      </w:r>
    </w:p>
    <w:p w14:paraId="4FAC8F0F" w14:textId="77777777" w:rsidR="00696364" w:rsidRDefault="00696364" w:rsidP="00BB5333">
      <w:pPr>
        <w:pStyle w:val="Heading3"/>
      </w:pPr>
      <w:r>
        <w:t>Culturally competent health care</w:t>
      </w:r>
    </w:p>
    <w:p w14:paraId="29F902C6" w14:textId="77777777" w:rsidR="00696364" w:rsidRDefault="00696364" w:rsidP="00BB5333">
      <w:pPr>
        <w:pStyle w:val="BodyText"/>
      </w:pPr>
      <w:r>
        <w:t>Cultural competence describes both the direct delivery of care, and an underpinning systemic approach. Cultural competence ‘focuses on the capacity of the health system to improve health and wellbeing by integrating culture into the delivery of health services’.</w:t>
      </w:r>
      <w:r>
        <w:rPr>
          <w:rStyle w:val="Superscript"/>
        </w:rPr>
        <w:t>6</w:t>
      </w:r>
      <w:r>
        <w:t xml:space="preserve"> </w:t>
      </w:r>
    </w:p>
    <w:p w14:paraId="50EC34FA" w14:textId="77777777" w:rsidR="00696364" w:rsidRDefault="00696364" w:rsidP="00BB5333">
      <w:pPr>
        <w:pStyle w:val="Bodytextbeforebullets"/>
      </w:pPr>
      <w:r>
        <w:t>Culturally competent health care is defined as:</w:t>
      </w:r>
    </w:p>
    <w:p w14:paraId="10B94CDD" w14:textId="77777777" w:rsidR="00696364" w:rsidRDefault="00696364" w:rsidP="00BB5333">
      <w:pPr>
        <w:pStyle w:val="BodyTextIndent"/>
      </w:pPr>
      <w:r>
        <w:t>A set of congruent behaviours, attitudes, and policies that come together in a system, agency or among professionals and enable that system, agency or those professions to work effectively in cross-cultural situations.</w:t>
      </w:r>
      <w:r>
        <w:rPr>
          <w:rStyle w:val="Superscript"/>
        </w:rPr>
        <w:t>7</w:t>
      </w:r>
    </w:p>
    <w:p w14:paraId="2FC67F4C" w14:textId="77777777" w:rsidR="00696364" w:rsidRDefault="00696364" w:rsidP="00BB5333">
      <w:pPr>
        <w:pStyle w:val="BodyText"/>
      </w:pPr>
      <w:r>
        <w:t>When a person experiences deterioration in their mental state, their cultural values and beliefs about health and illness can have an impact on their experience. Similarly, beliefs about the individual and their place in their family and community differ, and these can influence how people and their families and support networks experience health care. In addition, people can experience marginalisation, stigma and discrimination that contribute to mental ill health.</w:t>
      </w:r>
    </w:p>
    <w:p w14:paraId="6D0E453F" w14:textId="77777777" w:rsidR="00696364" w:rsidRDefault="00BB5333" w:rsidP="00BB5333">
      <w:pPr>
        <w:pStyle w:val="BodyText"/>
      </w:pPr>
      <w:r>
        <w:br w:type="column"/>
      </w:r>
      <w:r w:rsidR="00696364">
        <w:lastRenderedPageBreak/>
        <w:t>Many stakeholders have identified problems when they access ‘one-size-fits-all’ health care.</w:t>
      </w:r>
      <w:r w:rsidR="00696364">
        <w:rPr>
          <w:rStyle w:val="Superscript"/>
        </w:rPr>
        <w:t>8</w:t>
      </w:r>
      <w:r w:rsidR="00696364">
        <w:t xml:space="preserve"> These</w:t>
      </w:r>
      <w:r w:rsidR="00696364">
        <w:rPr>
          <w:rFonts w:cs="Arial"/>
        </w:rPr>
        <w:t> </w:t>
      </w:r>
      <w:r w:rsidR="00696364">
        <w:t>include people from culturally and linguistically diverse backgrounds, Aboriginal and Torres Strait Islanders, and people from lesbian, gay, bisexual, transgender and intersex (LGBTI) communities. There are existing frameworks and other guides that support health services to deliver culturally competent care.</w:t>
      </w:r>
      <w:r w:rsidR="00696364">
        <w:rPr>
          <w:rStyle w:val="Superscript"/>
        </w:rPr>
        <w:t>9–11</w:t>
      </w:r>
    </w:p>
    <w:p w14:paraId="57837C65" w14:textId="77777777" w:rsidR="00696364" w:rsidRDefault="00696364" w:rsidP="00BB5333">
      <w:pPr>
        <w:pStyle w:val="BodyTextLastPara"/>
      </w:pPr>
      <w:r>
        <w:t xml:space="preserve">In addition to values familiar to all health services, mental health services, in collaboration with people who have experienced mental health issues, have developed frameworks describing the overarching values that should be used in recognising and responding to deterioration in a person’s mental state. These interconnected values contribute to an approach to mental health care that is </w:t>
      </w:r>
      <w:r w:rsidRPr="00BB5333">
        <w:t>recovery</w:t>
      </w:r>
      <w:r w:rsidRPr="00BB5333">
        <w:noBreakHyphen/>
        <w:t>orie</w:t>
      </w:r>
      <w:r>
        <w:t xml:space="preserve">nted and </w:t>
      </w:r>
      <w:r w:rsidRPr="00BB5333">
        <w:t>trauma-informed</w:t>
      </w:r>
      <w:r>
        <w:t>.</w:t>
      </w:r>
    </w:p>
    <w:p w14:paraId="6A4807EE" w14:textId="77777777" w:rsidR="00696364" w:rsidRDefault="00696364" w:rsidP="00BB5333">
      <w:pPr>
        <w:pStyle w:val="Heading3"/>
      </w:pPr>
      <w:r>
        <w:t>Recovery-oriented mental health care</w:t>
      </w:r>
    </w:p>
    <w:p w14:paraId="68651C1C" w14:textId="77777777" w:rsidR="00696364" w:rsidRDefault="00696364" w:rsidP="00BB5333">
      <w:pPr>
        <w:pStyle w:val="BodyText"/>
      </w:pPr>
      <w:r>
        <w:t>In contemporary mental health practice, the word ‘recovery’ has meaning beyond the reduction of clinical symptoms. Clinical recovery is seen as distinct from personal recovery, which is defined as ‘being able to create and live a meaningful and contributing life in a community of choice with or without the presence of mental health issues’.</w:t>
      </w:r>
      <w:r>
        <w:rPr>
          <w:rStyle w:val="Superscript"/>
        </w:rPr>
        <w:t>12</w:t>
      </w:r>
    </w:p>
    <w:p w14:paraId="09F45889" w14:textId="77777777" w:rsidR="00696364" w:rsidRDefault="00696364" w:rsidP="00BB5333">
      <w:pPr>
        <w:pStyle w:val="BodyText"/>
      </w:pPr>
      <w:r>
        <w:t xml:space="preserve">Delivery of recovery-oriented mental health services forms part of the </w:t>
      </w:r>
      <w:r w:rsidRPr="007C2DDA">
        <w:rPr>
          <w:rStyle w:val="Emphasis"/>
        </w:rPr>
        <w:t>National Standards for Mental Health Services</w:t>
      </w:r>
      <w:r>
        <w:t xml:space="preserve"> 2010.</w:t>
      </w:r>
      <w:r>
        <w:rPr>
          <w:rStyle w:val="Superscript"/>
        </w:rPr>
        <w:t>13</w:t>
      </w:r>
      <w:r>
        <w:t xml:space="preserve"> In 2014, Australian Health Ministers endorsed </w:t>
      </w:r>
      <w:r w:rsidRPr="007C2DDA">
        <w:rPr>
          <w:rStyle w:val="Emphasis"/>
        </w:rPr>
        <w:t>A national framework for recovery-oriented mental health services</w:t>
      </w:r>
      <w:r>
        <w:rPr>
          <w:rStyle w:val="Superscript"/>
        </w:rPr>
        <w:t>12,14</w:t>
      </w:r>
      <w:r>
        <w:t xml:space="preserve"> (the</w:t>
      </w:r>
      <w:r>
        <w:rPr>
          <w:rFonts w:cs="Arial"/>
        </w:rPr>
        <w:t> </w:t>
      </w:r>
      <w:r>
        <w:t>framework). The framework states:</w:t>
      </w:r>
    </w:p>
    <w:p w14:paraId="7DF524A1" w14:textId="77777777" w:rsidR="00696364" w:rsidRDefault="00696364" w:rsidP="007C2DDA">
      <w:pPr>
        <w:pStyle w:val="BodyTextIndent"/>
      </w:pPr>
      <w:r>
        <w:t>Recovery-oriented mental health practice refers to the application of sets of capabilities that support people to recognise and take responsibility for their own recovery and wellbeing and to define their goals, wishes and</w:t>
      </w:r>
      <w:r>
        <w:rPr>
          <w:rFonts w:cs="Arial"/>
        </w:rPr>
        <w:t> </w:t>
      </w:r>
      <w:r>
        <w:t>aspirations.</w:t>
      </w:r>
      <w:r>
        <w:rPr>
          <w:rStyle w:val="Superscript"/>
        </w:rPr>
        <w:t>14</w:t>
      </w:r>
    </w:p>
    <w:p w14:paraId="408B42C7" w14:textId="77777777" w:rsidR="00696364" w:rsidRDefault="00696364" w:rsidP="00BB5333">
      <w:pPr>
        <w:pStyle w:val="BodyText"/>
        <w:sectPr w:rsidR="00696364" w:rsidSect="0081460F">
          <w:headerReference w:type="even" r:id="rId24"/>
          <w:headerReference w:type="default" r:id="rId25"/>
          <w:pgSz w:w="11906" w:h="16838" w:code="9"/>
          <w:pgMar w:top="2835" w:right="1021" w:bottom="1134" w:left="1021" w:header="1361" w:footer="567" w:gutter="0"/>
          <w:cols w:num="2" w:space="708"/>
          <w:docGrid w:linePitch="360"/>
        </w:sectPr>
      </w:pPr>
      <w:r>
        <w:t>Members of the healthcare workforce can maintain a recovery-oriented approach when they are recognising and responding to deterioration in a person’s mental state in any health setting, through forming partnerships and practising shared decision</w:t>
      </w:r>
      <w:r>
        <w:rPr>
          <w:rFonts w:cs="Arial"/>
        </w:rPr>
        <w:t> </w:t>
      </w:r>
      <w:r>
        <w:t>making.</w:t>
      </w:r>
    </w:p>
    <w:p w14:paraId="398DA3BC" w14:textId="77777777" w:rsidR="00696364" w:rsidRPr="00696364" w:rsidRDefault="00696364" w:rsidP="007C2DDA">
      <w:pPr>
        <w:pStyle w:val="Heading3"/>
      </w:pPr>
      <w:r w:rsidRPr="00696364">
        <w:lastRenderedPageBreak/>
        <w:t>Trauma-informed care</w:t>
      </w:r>
    </w:p>
    <w:p w14:paraId="09CF3C2A" w14:textId="77777777" w:rsidR="00696364" w:rsidRPr="00696364" w:rsidRDefault="00696364" w:rsidP="007C2DDA">
      <w:pPr>
        <w:pStyle w:val="BodyText"/>
      </w:pPr>
      <w:r w:rsidRPr="00696364">
        <w:t xml:space="preserve">Trauma-informed care and practice acknowledges that many people who access mental health services have experienced trauma in their lives. Trauma can arise from physical, psychological and sexual abuse, as well as from protracted neglect. </w:t>
      </w:r>
    </w:p>
    <w:p w14:paraId="6E43DB11" w14:textId="77777777" w:rsidR="00696364" w:rsidRPr="00696364" w:rsidRDefault="00696364" w:rsidP="007C2DDA">
      <w:pPr>
        <w:pStyle w:val="Bodytextbeforebullets"/>
      </w:pPr>
      <w:r w:rsidRPr="00696364">
        <w:t>Trauma-informed care is:</w:t>
      </w:r>
    </w:p>
    <w:p w14:paraId="3C3803C7" w14:textId="77777777" w:rsidR="00696364" w:rsidRPr="00696364" w:rsidRDefault="00696364" w:rsidP="007C2DDA">
      <w:pPr>
        <w:pStyle w:val="BodyTextIndent"/>
      </w:pPr>
      <w:r w:rsidRPr="00696364">
        <w:t>an approach whereby all aspects of services are organised around the recognition and acknowledgement of trauma and its prevalence, alongside awareness and sensitivity to its dynamics. It is a strengths-based framework that is responsive to the impact of trauma, emphasising physical, psychological, and emotional safety for both service providers and survivors, and creates opportunities for survivors to rebuild a sense of control and</w:t>
      </w:r>
      <w:r w:rsidRPr="00696364">
        <w:rPr>
          <w:rFonts w:cs="Arial"/>
        </w:rPr>
        <w:t> </w:t>
      </w:r>
      <w:r w:rsidRPr="00696364">
        <w:t>empowerment.</w:t>
      </w:r>
      <w:r w:rsidRPr="00696364">
        <w:rPr>
          <w:vertAlign w:val="superscript"/>
        </w:rPr>
        <w:t>15</w:t>
      </w:r>
    </w:p>
    <w:p w14:paraId="4BF5B2A6" w14:textId="77777777" w:rsidR="00696364" w:rsidRPr="00696364" w:rsidRDefault="00696364" w:rsidP="007C2DDA">
      <w:pPr>
        <w:pStyle w:val="BodyText"/>
      </w:pPr>
      <w:r w:rsidRPr="00696364">
        <w:t>Recurrent thoughts about past trauma can trigger deterioration in a person’s mental state. The</w:t>
      </w:r>
      <w:r w:rsidRPr="00696364">
        <w:rPr>
          <w:rFonts w:cs="Arial"/>
        </w:rPr>
        <w:t> </w:t>
      </w:r>
      <w:r w:rsidRPr="00696364">
        <w:t>experience of deterioration in mental state itself can be traumatic, and recall past traumatic experiences. Further, responses by others, including members of the healthcare workforce, can contribute to re-traumatising people. It is therefore critical that members of the healthcare workforce are aware of trauma-informed approaches to recognising and responding to deterioration in a</w:t>
      </w:r>
      <w:r w:rsidRPr="00696364">
        <w:rPr>
          <w:rFonts w:cs="Arial"/>
        </w:rPr>
        <w:t> </w:t>
      </w:r>
      <w:r w:rsidRPr="00696364">
        <w:t xml:space="preserve">person’s mental state. </w:t>
      </w:r>
    </w:p>
    <w:p w14:paraId="2BD35D7A" w14:textId="77777777" w:rsidR="00696364" w:rsidRPr="00696364" w:rsidRDefault="007C2DDA" w:rsidP="007C2DDA">
      <w:pPr>
        <w:pStyle w:val="Heading3"/>
      </w:pPr>
      <w:r>
        <w:br w:type="column"/>
      </w:r>
      <w:r w:rsidR="00696364" w:rsidRPr="00696364">
        <w:lastRenderedPageBreak/>
        <w:t>Integrating values into practice</w:t>
      </w:r>
    </w:p>
    <w:p w14:paraId="66B5DC9F" w14:textId="77777777" w:rsidR="00696364" w:rsidRPr="00696364" w:rsidRDefault="00696364" w:rsidP="007C2DDA">
      <w:pPr>
        <w:pStyle w:val="BodyText"/>
      </w:pPr>
      <w:r w:rsidRPr="00696364">
        <w:t>These values work together; care that is trauma</w:t>
      </w:r>
      <w:r w:rsidRPr="00696364">
        <w:noBreakHyphen/>
        <w:t>informed will also be culturally competent.</w:t>
      </w:r>
      <w:r w:rsidRPr="00696364">
        <w:rPr>
          <w:vertAlign w:val="superscript"/>
        </w:rPr>
        <w:t>16</w:t>
      </w:r>
      <w:r w:rsidRPr="00696364">
        <w:t xml:space="preserve"> Integrated into practice, these values will contribute to the goals of creating safety, supporting the person to resume control of their mental state and preventing adverse outcomes. These values have been embedded in the Guiding Principles and Essential Elements of the Consensus Statement.</w:t>
      </w:r>
    </w:p>
    <w:p w14:paraId="69DDAEA7" w14:textId="77777777" w:rsidR="00696364" w:rsidRPr="00696364" w:rsidRDefault="00696364" w:rsidP="007C2DDA">
      <w:pPr>
        <w:pStyle w:val="BodyText"/>
      </w:pPr>
      <w:r w:rsidRPr="00696364">
        <w:t>The Commission acknowledges the contribution of stakeholders across Australia in the development of the Consensus Statement. Consultation participants are listed in Appendix B.</w:t>
      </w:r>
    </w:p>
    <w:p w14:paraId="78823646" w14:textId="77777777" w:rsidR="002351B2" w:rsidRDefault="002351B2" w:rsidP="00BB5333">
      <w:pPr>
        <w:pStyle w:val="BodyText"/>
        <w:sectPr w:rsidR="002351B2" w:rsidSect="0081460F">
          <w:headerReference w:type="even" r:id="rId26"/>
          <w:headerReference w:type="default" r:id="rId27"/>
          <w:pgSz w:w="11906" w:h="16838" w:code="9"/>
          <w:pgMar w:top="2835" w:right="1021" w:bottom="1134" w:left="1021" w:header="1361" w:footer="567" w:gutter="0"/>
          <w:cols w:num="2" w:space="708"/>
          <w:docGrid w:linePitch="360"/>
        </w:sectPr>
      </w:pPr>
    </w:p>
    <w:p w14:paraId="36691411" w14:textId="77777777" w:rsidR="002351B2" w:rsidRPr="00CA6823" w:rsidRDefault="007E6D61" w:rsidP="007E6D61">
      <w:pPr>
        <w:pStyle w:val="TableNumber"/>
        <w:numPr>
          <w:ilvl w:val="0"/>
          <w:numId w:val="0"/>
        </w:numPr>
        <w:spacing w:before="840"/>
        <w:ind w:left="568" w:hanging="284"/>
      </w:pPr>
      <w:r>
        <w:lastRenderedPageBreak/>
        <w:t>1.</w:t>
      </w:r>
      <w:r>
        <w:tab/>
      </w:r>
      <w:r w:rsidR="002351B2">
        <w:t>Members of the healthcare workforce are alert to the risk of deterioration in mental state</w:t>
      </w:r>
      <w:r w:rsidR="00FF395A">
        <w:t> </w:t>
      </w:r>
      <w:r w:rsidR="002351B2">
        <w:t xml:space="preserve">for </w:t>
      </w:r>
      <w:r w:rsidR="002351B2" w:rsidRPr="00CA6823">
        <w:t>all people accessing health care, in all healthcare settings, at all times.</w:t>
      </w:r>
    </w:p>
    <w:p w14:paraId="783394BB" w14:textId="77777777" w:rsidR="002351B2" w:rsidRPr="00CA6823" w:rsidRDefault="007E6D61" w:rsidP="007E6D61">
      <w:pPr>
        <w:pStyle w:val="TableNumber"/>
        <w:numPr>
          <w:ilvl w:val="0"/>
          <w:numId w:val="2"/>
        </w:numPr>
        <w:tabs>
          <w:tab w:val="clear" w:pos="397"/>
        </w:tabs>
        <w:ind w:left="568" w:hanging="284"/>
      </w:pPr>
      <w:r>
        <w:tab/>
      </w:r>
      <w:r w:rsidR="002351B2" w:rsidRPr="00CA6823">
        <w:t>Members of the healthcare workforce are able to recognise deterioration in a person’s</w:t>
      </w:r>
      <w:r w:rsidR="00FF395A" w:rsidRPr="00CA6823">
        <w:t> </w:t>
      </w:r>
      <w:r w:rsidR="002351B2" w:rsidRPr="00CA6823">
        <w:t>mental state, initiate response, and escalate care to clinicians with mental health or other relevant expertise, either within the organisation, or through established</w:t>
      </w:r>
      <w:r w:rsidR="00FF395A" w:rsidRPr="00CA6823">
        <w:t> </w:t>
      </w:r>
      <w:r w:rsidR="002351B2" w:rsidRPr="00CA6823">
        <w:t>partnerships with other organisations.</w:t>
      </w:r>
    </w:p>
    <w:p w14:paraId="6DDDD1DA" w14:textId="77777777" w:rsidR="002351B2" w:rsidRPr="00CA6823" w:rsidRDefault="002351B2" w:rsidP="007E6D61">
      <w:pPr>
        <w:pStyle w:val="TableNumber"/>
        <w:numPr>
          <w:ilvl w:val="0"/>
          <w:numId w:val="2"/>
        </w:numPr>
        <w:ind w:left="568" w:hanging="284"/>
      </w:pPr>
      <w:r w:rsidRPr="00CA6823">
        <w:t>Responding to deterioration in a person’s mental state includes comprehensive assessment of potential causes.</w:t>
      </w:r>
    </w:p>
    <w:p w14:paraId="71C88537" w14:textId="77777777" w:rsidR="002351B2" w:rsidRPr="00CA6823" w:rsidRDefault="002351B2" w:rsidP="007E6D61">
      <w:pPr>
        <w:pStyle w:val="TableNumber"/>
        <w:numPr>
          <w:ilvl w:val="0"/>
          <w:numId w:val="2"/>
        </w:numPr>
        <w:ind w:left="568" w:hanging="284"/>
      </w:pPr>
      <w:r w:rsidRPr="00CA6823">
        <w:t>Decision making is shared between the multidisciplinary team and the person. Family</w:t>
      </w:r>
      <w:r w:rsidR="00FF395A" w:rsidRPr="00CA6823">
        <w:t> </w:t>
      </w:r>
      <w:r w:rsidRPr="00CA6823">
        <w:t xml:space="preserve">and carers are involved in accordance with the person’s expressed wishes. </w:t>
      </w:r>
    </w:p>
    <w:p w14:paraId="34AB73E9" w14:textId="77777777" w:rsidR="002351B2" w:rsidRPr="00CA6823" w:rsidRDefault="002351B2" w:rsidP="007E6D61">
      <w:pPr>
        <w:pStyle w:val="TableNumber"/>
        <w:numPr>
          <w:ilvl w:val="0"/>
          <w:numId w:val="2"/>
        </w:numPr>
        <w:ind w:left="568" w:hanging="284"/>
      </w:pPr>
      <w:r w:rsidRPr="00CA6823">
        <w:t>The response to deterioration in a person’s mental state is person-centred, culturally</w:t>
      </w:r>
      <w:r w:rsidR="00FF395A" w:rsidRPr="00CA6823">
        <w:t> </w:t>
      </w:r>
      <w:r w:rsidRPr="00CA6823">
        <w:t>competent and recovery-oriented.</w:t>
      </w:r>
    </w:p>
    <w:p w14:paraId="308A7EE6" w14:textId="77777777" w:rsidR="002351B2" w:rsidRPr="00CA6823" w:rsidRDefault="002351B2" w:rsidP="007E6D61">
      <w:pPr>
        <w:pStyle w:val="TableNumber"/>
        <w:numPr>
          <w:ilvl w:val="0"/>
          <w:numId w:val="2"/>
        </w:numPr>
        <w:ind w:left="568" w:hanging="284"/>
      </w:pPr>
      <w:r w:rsidRPr="00CA6823">
        <w:t>The response to deterioration in a person’s mental state should minimise trauma to the</w:t>
      </w:r>
      <w:r w:rsidR="00FF395A" w:rsidRPr="00CA6823">
        <w:t> </w:t>
      </w:r>
      <w:r w:rsidRPr="00CA6823">
        <w:t>person, their family and carers, or members of the healthcare workforce.</w:t>
      </w:r>
    </w:p>
    <w:p w14:paraId="4C32FB72" w14:textId="77777777" w:rsidR="002351B2" w:rsidRPr="00CA6823" w:rsidRDefault="002351B2" w:rsidP="007E6D61">
      <w:pPr>
        <w:pStyle w:val="TableNumber"/>
        <w:numPr>
          <w:ilvl w:val="0"/>
          <w:numId w:val="2"/>
        </w:numPr>
        <w:ind w:left="568" w:hanging="284"/>
      </w:pPr>
      <w:r w:rsidRPr="00CA6823">
        <w:t xml:space="preserve">The response to deterioration in a person’s mental state is consistent </w:t>
      </w:r>
      <w:r w:rsidR="00FF395A" w:rsidRPr="00CA6823">
        <w:br/>
      </w:r>
      <w:r w:rsidRPr="00CA6823">
        <w:t>with legislation.</w:t>
      </w:r>
    </w:p>
    <w:p w14:paraId="5AE51F9A" w14:textId="77777777" w:rsidR="00EC42F9" w:rsidRDefault="00EC42F9" w:rsidP="00696364">
      <w:pPr>
        <w:pStyle w:val="BodyText"/>
      </w:pPr>
    </w:p>
    <w:p w14:paraId="22FA32F6" w14:textId="77777777" w:rsidR="002351B2" w:rsidRDefault="002351B2">
      <w:pPr>
        <w:rPr>
          <w:rFonts w:ascii="Arial" w:hAnsi="Arial"/>
          <w:color w:val="000000" w:themeColor="text2"/>
          <w:sz w:val="20"/>
        </w:rPr>
      </w:pPr>
      <w:r>
        <w:br w:type="page"/>
      </w:r>
    </w:p>
    <w:tbl>
      <w:tblPr>
        <w:tblStyle w:val="TableGrid"/>
        <w:tblW w:w="0" w:type="auto"/>
        <w:tblInd w:w="284" w:type="dxa"/>
        <w:tblBorders>
          <w:top w:val="none" w:sz="0" w:space="0" w:color="auto"/>
          <w:left w:val="none" w:sz="0" w:space="0" w:color="auto"/>
          <w:bottom w:val="none" w:sz="0" w:space="0" w:color="auto"/>
          <w:right w:val="none" w:sz="0" w:space="0" w:color="auto"/>
          <w:insideH w:val="dashed" w:sz="4" w:space="0" w:color="FFFFFF" w:themeColor="background2"/>
          <w:insideV w:val="dashed" w:sz="4" w:space="0" w:color="FFFFFF" w:themeColor="background2"/>
        </w:tblBorders>
        <w:tblLook w:val="04A0" w:firstRow="1" w:lastRow="0" w:firstColumn="1" w:lastColumn="0" w:noHBand="0" w:noVBand="1"/>
        <w:tblCaption w:val="Essential Elements"/>
      </w:tblPr>
      <w:tblGrid>
        <w:gridCol w:w="9277"/>
      </w:tblGrid>
      <w:tr w:rsidR="00415FCA" w14:paraId="533A3E85" w14:textId="77777777" w:rsidTr="003A4168">
        <w:trPr>
          <w:trHeight w:val="397"/>
        </w:trPr>
        <w:tc>
          <w:tcPr>
            <w:tcW w:w="9277" w:type="dxa"/>
            <w:tcBorders>
              <w:bottom w:val="dashSmallGap" w:sz="6" w:space="0" w:color="FFFFFF" w:themeColor="background2"/>
            </w:tcBorders>
          </w:tcPr>
          <w:p w14:paraId="7381BCF0" w14:textId="77777777" w:rsidR="00415FCA" w:rsidRPr="00953E33" w:rsidRDefault="00415FCA" w:rsidP="00953E33"/>
        </w:tc>
      </w:tr>
      <w:tr w:rsidR="00415FCA" w14:paraId="1B9FA315" w14:textId="77777777" w:rsidTr="003A4168">
        <w:tc>
          <w:tcPr>
            <w:tcW w:w="9277" w:type="dxa"/>
            <w:tcBorders>
              <w:top w:val="dashSmallGap" w:sz="6" w:space="0" w:color="FFFFFF" w:themeColor="background2"/>
              <w:bottom w:val="dashSmallGap" w:sz="6" w:space="0" w:color="FFFFFF" w:themeColor="background2"/>
            </w:tcBorders>
          </w:tcPr>
          <w:p w14:paraId="7C7D4D8D" w14:textId="77777777" w:rsidR="00953E33" w:rsidRPr="00953E33" w:rsidRDefault="00953E33" w:rsidP="00953E33">
            <w:pPr>
              <w:pStyle w:val="PurpleTableheadings"/>
              <w:rPr>
                <w:rStyle w:val="Boldfigures"/>
                <w:rFonts w:ascii="Arial" w:hAnsi="Arial" w:cs="Helvetica 45 Light"/>
              </w:rPr>
            </w:pPr>
            <w:r w:rsidRPr="00953E33">
              <w:rPr>
                <w:rStyle w:val="Boldfigures"/>
                <w:rFonts w:ascii="Arial" w:hAnsi="Arial" w:cs="Helvetica 45 Light"/>
              </w:rPr>
              <w:t xml:space="preserve">Part A: Processes of care </w:t>
            </w:r>
          </w:p>
          <w:p w14:paraId="6E15273C" w14:textId="77777777" w:rsidR="00953E33" w:rsidRPr="00415FCA" w:rsidRDefault="00953E33" w:rsidP="00953E33">
            <w:pPr>
              <w:pStyle w:val="PurpleTableText"/>
            </w:pPr>
            <w:r w:rsidRPr="00415FCA">
              <w:t>Describes the actions that members of the healthcare workforce take, in partnership with the person, to safely and effectively recognise and respond to deterioration in mental state:</w:t>
            </w:r>
          </w:p>
          <w:p w14:paraId="3C8F234E" w14:textId="77777777" w:rsidR="00953E33" w:rsidRPr="00415FCA" w:rsidRDefault="00953E33" w:rsidP="00953E33">
            <w:pPr>
              <w:pStyle w:val="PurpleTableText"/>
              <w:tabs>
                <w:tab w:val="clear" w:pos="567"/>
                <w:tab w:val="left" w:pos="674"/>
              </w:tabs>
            </w:pPr>
            <w:r w:rsidRPr="00415FCA">
              <w:tab/>
              <w:t>1.</w:t>
            </w:r>
            <w:r w:rsidRPr="00415FCA">
              <w:tab/>
              <w:t>Recognising deterioration in a person’s mental state</w:t>
            </w:r>
          </w:p>
          <w:p w14:paraId="5A4A4093" w14:textId="77777777" w:rsidR="00953E33" w:rsidRPr="00415FCA" w:rsidRDefault="00953E33" w:rsidP="00953E33">
            <w:pPr>
              <w:pStyle w:val="PurpleTableText"/>
              <w:tabs>
                <w:tab w:val="clear" w:pos="567"/>
                <w:tab w:val="left" w:pos="674"/>
              </w:tabs>
            </w:pPr>
            <w:r w:rsidRPr="00415FCA">
              <w:tab/>
              <w:t>2.</w:t>
            </w:r>
            <w:r w:rsidRPr="00415FCA">
              <w:tab/>
              <w:t>Escalating care</w:t>
            </w:r>
          </w:p>
          <w:p w14:paraId="6D9C2E0D" w14:textId="77777777" w:rsidR="00415FCA" w:rsidRDefault="00953E33" w:rsidP="00953E33">
            <w:pPr>
              <w:pStyle w:val="PurpleTableText"/>
              <w:tabs>
                <w:tab w:val="clear" w:pos="567"/>
                <w:tab w:val="left" w:pos="674"/>
              </w:tabs>
              <w:spacing w:after="360"/>
              <w:rPr>
                <w:rStyle w:val="Boldfigures"/>
                <w:rFonts w:ascii="Arial" w:hAnsi="Arial" w:cs="Helvetica 45 Light"/>
              </w:rPr>
            </w:pPr>
            <w:r w:rsidRPr="00415FCA">
              <w:tab/>
              <w:t>3.</w:t>
            </w:r>
            <w:r w:rsidRPr="00415FCA">
              <w:tab/>
              <w:t>Responding to deterioration in a person’s mental state.</w:t>
            </w:r>
          </w:p>
        </w:tc>
      </w:tr>
      <w:tr w:rsidR="00415FCA" w14:paraId="6D263823" w14:textId="77777777" w:rsidTr="003A4168">
        <w:tc>
          <w:tcPr>
            <w:tcW w:w="9277" w:type="dxa"/>
            <w:tcBorders>
              <w:top w:val="dashSmallGap" w:sz="6" w:space="0" w:color="FFFFFF" w:themeColor="background2"/>
              <w:bottom w:val="dashSmallGap" w:sz="6" w:space="0" w:color="FFFFFF" w:themeColor="background2"/>
            </w:tcBorders>
          </w:tcPr>
          <w:p w14:paraId="564027EE" w14:textId="77777777" w:rsidR="00953E33" w:rsidRPr="00415FCA" w:rsidRDefault="00953E33" w:rsidP="00953E33">
            <w:pPr>
              <w:pStyle w:val="PurpleTableheadings"/>
              <w:rPr>
                <w:rStyle w:val="Boldfigures"/>
                <w:rFonts w:ascii="Arial" w:hAnsi="Arial" w:cs="Helvetica 45 Light"/>
              </w:rPr>
            </w:pPr>
            <w:r w:rsidRPr="00415FCA">
              <w:rPr>
                <w:rStyle w:val="Boldfigures"/>
                <w:rFonts w:ascii="Arial" w:hAnsi="Arial" w:cs="Helvetica 45 Light"/>
              </w:rPr>
              <w:t>Part B: Therapeutic practice</w:t>
            </w:r>
          </w:p>
          <w:p w14:paraId="7648C45A" w14:textId="77777777" w:rsidR="00953E33" w:rsidRDefault="00953E33" w:rsidP="00953E33">
            <w:pPr>
              <w:pStyle w:val="PurpleTableText"/>
            </w:pPr>
            <w:r>
              <w:t>Describes the collaborative approach that members of the healthcare workforce adopt with consumers and carers and with each other:</w:t>
            </w:r>
          </w:p>
          <w:p w14:paraId="60A1AA4D" w14:textId="77777777" w:rsidR="00953E33" w:rsidRDefault="00953E33" w:rsidP="00953E33">
            <w:pPr>
              <w:pStyle w:val="PurpleTableText"/>
              <w:tabs>
                <w:tab w:val="clear" w:pos="567"/>
                <w:tab w:val="left" w:pos="674"/>
              </w:tabs>
            </w:pPr>
            <w:r>
              <w:tab/>
              <w:t>4.</w:t>
            </w:r>
            <w:r>
              <w:tab/>
              <w:t>Creating safety and minimising restrictive practices</w:t>
            </w:r>
          </w:p>
          <w:p w14:paraId="350F44AF" w14:textId="77777777" w:rsidR="00953E33" w:rsidRDefault="00953E33" w:rsidP="00953E33">
            <w:pPr>
              <w:pStyle w:val="PurpleTableText"/>
              <w:tabs>
                <w:tab w:val="clear" w:pos="567"/>
                <w:tab w:val="left" w:pos="674"/>
              </w:tabs>
            </w:pPr>
            <w:r>
              <w:tab/>
              <w:t>5.</w:t>
            </w:r>
            <w:r>
              <w:tab/>
              <w:t>Teamwork and shared decision making</w:t>
            </w:r>
          </w:p>
          <w:p w14:paraId="25CAB8F4" w14:textId="77777777" w:rsidR="00415FCA" w:rsidRDefault="00953E33" w:rsidP="00953E33">
            <w:pPr>
              <w:pStyle w:val="PurpleTableText"/>
              <w:tabs>
                <w:tab w:val="clear" w:pos="567"/>
                <w:tab w:val="left" w:pos="674"/>
              </w:tabs>
              <w:spacing w:after="360"/>
              <w:rPr>
                <w:rStyle w:val="Boldfigures"/>
                <w:rFonts w:ascii="Arial" w:hAnsi="Arial" w:cs="Helvetica 45 Light"/>
              </w:rPr>
            </w:pPr>
            <w:r>
              <w:tab/>
              <w:t>6.</w:t>
            </w:r>
            <w:r>
              <w:tab/>
              <w:t>Communicating for safety.</w:t>
            </w:r>
          </w:p>
        </w:tc>
      </w:tr>
      <w:tr w:rsidR="00415FCA" w14:paraId="1D45367B" w14:textId="77777777" w:rsidTr="003A4168">
        <w:tc>
          <w:tcPr>
            <w:tcW w:w="9277" w:type="dxa"/>
            <w:tcBorders>
              <w:top w:val="dashSmallGap" w:sz="6" w:space="0" w:color="FFFFFF" w:themeColor="background2"/>
              <w:bottom w:val="dashSmallGap" w:sz="6" w:space="0" w:color="FFFFFF" w:themeColor="background2"/>
            </w:tcBorders>
          </w:tcPr>
          <w:p w14:paraId="6E448C33" w14:textId="77777777" w:rsidR="00953E33" w:rsidRPr="00415FCA" w:rsidRDefault="00953E33" w:rsidP="00953E33">
            <w:pPr>
              <w:pStyle w:val="PurpleTableheadings"/>
              <w:rPr>
                <w:rStyle w:val="Boldfigures"/>
                <w:rFonts w:ascii="Arial" w:hAnsi="Arial" w:cs="Helvetica 45 Light"/>
              </w:rPr>
            </w:pPr>
            <w:r w:rsidRPr="00415FCA">
              <w:rPr>
                <w:rStyle w:val="Boldfigures"/>
                <w:rFonts w:ascii="Arial" w:hAnsi="Arial" w:cs="Helvetica 45 Light"/>
              </w:rPr>
              <w:t>Part C: Organisational supports</w:t>
            </w:r>
          </w:p>
          <w:p w14:paraId="56C37989" w14:textId="77777777" w:rsidR="00953E33" w:rsidRDefault="00953E33" w:rsidP="00953E33">
            <w:pPr>
              <w:pStyle w:val="PurpleTableText"/>
            </w:pPr>
            <w:r>
              <w:t>Describes the structural and organisational factors that support the healthcare workforce to effectively recognise and respond to deterioration in a person’s mental</w:t>
            </w:r>
            <w:r>
              <w:rPr>
                <w:rFonts w:ascii="Cambria Math" w:hAnsi="Cambria Math" w:cs="Cambria Math"/>
              </w:rPr>
              <w:t> </w:t>
            </w:r>
            <w:r>
              <w:t>state:</w:t>
            </w:r>
          </w:p>
          <w:p w14:paraId="241A6419" w14:textId="77777777" w:rsidR="00953E33" w:rsidRDefault="00953E33" w:rsidP="00953E33">
            <w:pPr>
              <w:pStyle w:val="PurpleTableText"/>
              <w:tabs>
                <w:tab w:val="clear" w:pos="567"/>
                <w:tab w:val="left" w:pos="674"/>
              </w:tabs>
            </w:pPr>
            <w:r>
              <w:tab/>
              <w:t>7.</w:t>
            </w:r>
            <w:r>
              <w:tab/>
              <w:t>Leadership and governance</w:t>
            </w:r>
          </w:p>
          <w:p w14:paraId="237ED911" w14:textId="77777777" w:rsidR="00953E33" w:rsidRDefault="00953E33" w:rsidP="00953E33">
            <w:pPr>
              <w:pStyle w:val="PurpleTableText"/>
              <w:tabs>
                <w:tab w:val="clear" w:pos="567"/>
                <w:tab w:val="left" w:pos="674"/>
              </w:tabs>
            </w:pPr>
            <w:r>
              <w:tab/>
              <w:t>8.</w:t>
            </w:r>
            <w:r>
              <w:tab/>
              <w:t>Workforce development</w:t>
            </w:r>
          </w:p>
          <w:p w14:paraId="545A2DAD" w14:textId="77777777" w:rsidR="00953E33" w:rsidRDefault="00953E33" w:rsidP="00953E33">
            <w:pPr>
              <w:pStyle w:val="PurpleTableText"/>
              <w:tabs>
                <w:tab w:val="clear" w:pos="567"/>
                <w:tab w:val="left" w:pos="674"/>
              </w:tabs>
            </w:pPr>
            <w:r>
              <w:tab/>
              <w:t>9.</w:t>
            </w:r>
            <w:r>
              <w:tab/>
              <w:t>Standardised processes to support high-quality care</w:t>
            </w:r>
          </w:p>
          <w:p w14:paraId="22973126" w14:textId="77777777" w:rsidR="00415FCA" w:rsidRDefault="00953E33" w:rsidP="00953E33">
            <w:pPr>
              <w:pStyle w:val="PurpleTableText"/>
              <w:tabs>
                <w:tab w:val="clear" w:pos="567"/>
                <w:tab w:val="left" w:pos="674"/>
              </w:tabs>
              <w:rPr>
                <w:rStyle w:val="Boldfigures"/>
                <w:rFonts w:ascii="Arial" w:hAnsi="Arial" w:cs="Helvetica 45 Light"/>
              </w:rPr>
            </w:pPr>
            <w:r>
              <w:tab/>
              <w:t>10.</w:t>
            </w:r>
            <w:r>
              <w:tab/>
              <w:t>Evaluation and feedback.</w:t>
            </w:r>
          </w:p>
        </w:tc>
      </w:tr>
    </w:tbl>
    <w:p w14:paraId="0347BE97" w14:textId="77777777" w:rsidR="00415FCA" w:rsidRPr="00953E33" w:rsidRDefault="00415FCA" w:rsidP="00953E33"/>
    <w:p w14:paraId="72675948" w14:textId="77777777" w:rsidR="002351B2" w:rsidRDefault="002351B2" w:rsidP="00696364">
      <w:pPr>
        <w:pStyle w:val="BodyText"/>
        <w:sectPr w:rsidR="002351B2" w:rsidSect="0081460F">
          <w:headerReference w:type="even" r:id="rId28"/>
          <w:headerReference w:type="default" r:id="rId29"/>
          <w:pgSz w:w="11906" w:h="16838" w:code="9"/>
          <w:pgMar w:top="2835" w:right="1021" w:bottom="1134" w:left="1021" w:header="1361" w:footer="567" w:gutter="0"/>
          <w:cols w:space="708"/>
          <w:docGrid w:linePitch="360"/>
        </w:sectPr>
      </w:pPr>
    </w:p>
    <w:p w14:paraId="01D9025E" w14:textId="77777777" w:rsidR="002351B2" w:rsidRPr="008809FE" w:rsidRDefault="00ED5050" w:rsidP="008809FE">
      <w:pPr>
        <w:pStyle w:val="DividerHeading"/>
      </w:pPr>
      <w:r>
        <w:lastRenderedPageBreak/>
        <w:br w:type="column"/>
      </w:r>
      <w:r w:rsidR="002351B2" w:rsidRPr="008809FE">
        <w:lastRenderedPageBreak/>
        <w:t>Part A</w:t>
      </w:r>
    </w:p>
    <w:p w14:paraId="7D3C8738" w14:textId="77777777" w:rsidR="002351B2" w:rsidRDefault="002351B2" w:rsidP="008809FE">
      <w:pPr>
        <w:pStyle w:val="DividerSubheading"/>
      </w:pPr>
      <w:r>
        <w:t>Processes of care</w:t>
      </w:r>
    </w:p>
    <w:p w14:paraId="161C5C98" w14:textId="77777777" w:rsidR="002351B2" w:rsidRDefault="002351B2"/>
    <w:p w14:paraId="5918F754" w14:textId="77777777" w:rsidR="002351B2" w:rsidRDefault="002351B2">
      <w:pPr>
        <w:rPr>
          <w:rFonts w:ascii="Arial" w:hAnsi="Arial"/>
          <w:color w:val="000000" w:themeColor="text2"/>
          <w:sz w:val="20"/>
        </w:rPr>
      </w:pPr>
      <w:r>
        <w:br w:type="page"/>
      </w:r>
    </w:p>
    <w:p w14:paraId="2DD52FA1" w14:textId="77777777" w:rsidR="00B01513" w:rsidRPr="00B01513" w:rsidRDefault="00B01513" w:rsidP="00630A89">
      <w:pPr>
        <w:pStyle w:val="Heading3"/>
      </w:pPr>
      <w:r w:rsidRPr="00B01513">
        <w:lastRenderedPageBreak/>
        <w:t>Being alert</w:t>
      </w:r>
    </w:p>
    <w:p w14:paraId="6690EC5B" w14:textId="77777777" w:rsidR="00B01513" w:rsidRPr="00B01513" w:rsidRDefault="00B01513" w:rsidP="00630A89">
      <w:pPr>
        <w:pStyle w:val="BodyTextLastPara"/>
      </w:pPr>
      <w:r w:rsidRPr="00B01513">
        <w:t>As part of best practice, all people accessing health care should be screened for physical, mental and cognitive health. Risk identification and categorisation can support effective care for people with known risk of deterioration in mental state. However, a level of alertness must be maintained for all people accessing care, as people with no identified history of risk may still experience deterioration in their mental state.</w:t>
      </w:r>
    </w:p>
    <w:p w14:paraId="60C85A17" w14:textId="77777777" w:rsidR="00B01513" w:rsidRPr="00B01513" w:rsidRDefault="00B01513" w:rsidP="00630A89">
      <w:pPr>
        <w:pStyle w:val="Heading3"/>
      </w:pPr>
      <w:r w:rsidRPr="00B01513">
        <w:t>Recognising deterioration</w:t>
      </w:r>
    </w:p>
    <w:p w14:paraId="013507F0" w14:textId="77777777" w:rsidR="00B01513" w:rsidRPr="00B01513" w:rsidRDefault="00B01513" w:rsidP="00630A89">
      <w:pPr>
        <w:pStyle w:val="BodyText"/>
      </w:pPr>
      <w:r w:rsidRPr="00B01513">
        <w:t>The key factor in recognising deterioration in a</w:t>
      </w:r>
      <w:r w:rsidRPr="00B01513">
        <w:rPr>
          <w:rFonts w:cs="Arial"/>
        </w:rPr>
        <w:t> </w:t>
      </w:r>
      <w:r w:rsidRPr="00B01513">
        <w:t>person’s mental state is noticing changes in a</w:t>
      </w:r>
      <w:r w:rsidRPr="00B01513">
        <w:rPr>
          <w:rFonts w:cs="Arial"/>
        </w:rPr>
        <w:t> </w:t>
      </w:r>
      <w:r w:rsidRPr="00B01513">
        <w:t>person’s behaviour, cognitive function, perception, or emotional state. While there are a number of typical signs that can indicate deterioration, these</w:t>
      </w:r>
      <w:r w:rsidRPr="00B01513">
        <w:rPr>
          <w:rFonts w:cs="Arial"/>
        </w:rPr>
        <w:t> </w:t>
      </w:r>
      <w:r w:rsidRPr="00B01513">
        <w:t xml:space="preserve">can vary significantly and individual changes </w:t>
      </w:r>
      <w:r w:rsidRPr="00B01513">
        <w:rPr>
          <w:spacing w:val="6"/>
        </w:rPr>
        <w:t xml:space="preserve">that are reported or observed are critical in </w:t>
      </w:r>
      <w:r w:rsidRPr="00B01513">
        <w:t>recognising deterioration in a person’s mental state.</w:t>
      </w:r>
    </w:p>
    <w:p w14:paraId="6A7E4505" w14:textId="77777777" w:rsidR="00B01513" w:rsidRPr="00B01513" w:rsidRDefault="00B01513" w:rsidP="00630A89">
      <w:pPr>
        <w:pStyle w:val="BodyText"/>
      </w:pPr>
      <w:r w:rsidRPr="00B01513">
        <w:t>If a person has previously experienced deterioration in mental state, they typically have good understanding of specific factors that can precipitate deterioration for them, as well as factors that contribute to maintaining wellbeing. They</w:t>
      </w:r>
      <w:r w:rsidRPr="00B01513">
        <w:rPr>
          <w:rFonts w:cs="Arial"/>
        </w:rPr>
        <w:t> </w:t>
      </w:r>
      <w:r w:rsidRPr="00B01513">
        <w:t>will also be likely to have knowledge about what responses are effective should they experience a deterioration in their mental state. This knowledge may be formalised in an advance care plan. Engagement with family and carers, where culturally and developmentally appropriate, will further support early recognition, as the people who know the person best are the most likely to recognise critical changes, which may not be discernible from</w:t>
      </w:r>
      <w:r w:rsidRPr="00B01513">
        <w:rPr>
          <w:rFonts w:cs="Arial"/>
        </w:rPr>
        <w:t> </w:t>
      </w:r>
      <w:r w:rsidRPr="00B01513">
        <w:t>a strictly clinical perspective.</w:t>
      </w:r>
    </w:p>
    <w:p w14:paraId="092AD1EC" w14:textId="77777777" w:rsidR="00B01513" w:rsidRPr="00B01513" w:rsidRDefault="00B01513" w:rsidP="00630A89">
      <w:pPr>
        <w:pStyle w:val="BodyText"/>
      </w:pPr>
      <w:r w:rsidRPr="00B01513">
        <w:t>The use of screening tools can support clinicians in assessing a person’s mental state, through prompts to check for specific signs. However, tools do not replace the need for clinicians to use their clinical judgement to make a holistic assessment of the person’s mental state, including contextual factors that may influence their mental state, and the person’s own knowledge of their experience.</w:t>
      </w:r>
    </w:p>
    <w:p w14:paraId="4AC40866" w14:textId="77777777" w:rsidR="00B01513" w:rsidRPr="00B01513" w:rsidRDefault="00B01513" w:rsidP="00B01513">
      <w:pPr>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170" w:line="260" w:lineRule="atLeast"/>
        <w:textAlignment w:val="center"/>
        <w:rPr>
          <w:rFonts w:ascii="Helvetica 45 Light" w:hAnsi="Helvetica 45 Light" w:cs="Helvetica 45 Light"/>
          <w:color w:val="000000"/>
          <w:spacing w:val="4"/>
          <w:sz w:val="20"/>
          <w:szCs w:val="20"/>
        </w:rPr>
      </w:pPr>
    </w:p>
    <w:p w14:paraId="5D831DB3" w14:textId="77777777" w:rsidR="00B01513" w:rsidRPr="00B01513" w:rsidRDefault="00B01513" w:rsidP="00630A89">
      <w:pPr>
        <w:pStyle w:val="Heading3"/>
      </w:pPr>
      <w:r w:rsidRPr="00B01513">
        <w:lastRenderedPageBreak/>
        <w:t>Escalating care</w:t>
      </w:r>
    </w:p>
    <w:p w14:paraId="0A174468" w14:textId="77777777" w:rsidR="00B01513" w:rsidRPr="00B01513" w:rsidRDefault="00B01513" w:rsidP="00630A89">
      <w:pPr>
        <w:pStyle w:val="BodyText"/>
        <w:ind w:right="-100"/>
      </w:pPr>
      <w:r w:rsidRPr="00B01513">
        <w:t>Escalating care can involve increasing the intensity of support delivered within the existing healthcare team, or it can involve referral to expertise external to the immediate team. An escalation protocol sets out the organisational response required to deal with different levels of deterioration in a person’s mental state (see Essential Element 9: Standardised processes to support high-quality care).</w:t>
      </w:r>
    </w:p>
    <w:p w14:paraId="39A7FE3B" w14:textId="77777777" w:rsidR="00B01513" w:rsidRPr="00B01513" w:rsidRDefault="00B01513" w:rsidP="00630A89">
      <w:pPr>
        <w:pStyle w:val="BodyText"/>
      </w:pPr>
      <w:r w:rsidRPr="00B01513">
        <w:t>In practice, recognising a need for intervention, escalating care and initiating response are not performed as separate actions by members of the healthcare workforce. However, separating them demonstrates the systematic and conceptual elements needed to effectively perform the actions.</w:t>
      </w:r>
    </w:p>
    <w:p w14:paraId="7CD0FCF7" w14:textId="77777777" w:rsidR="00B01513" w:rsidRPr="00B01513" w:rsidRDefault="00B01513" w:rsidP="00630A89">
      <w:pPr>
        <w:pStyle w:val="BodyTextLastPara"/>
      </w:pPr>
      <w:r w:rsidRPr="00B01513">
        <w:t>Members of the healthcare workforce without mental health expertise should be aware of the referral criteria, processes and time lines for accessing specialist mental health services. Mental</w:t>
      </w:r>
      <w:r w:rsidRPr="00B01513">
        <w:rPr>
          <w:rFonts w:cs="Arial"/>
        </w:rPr>
        <w:t> </w:t>
      </w:r>
      <w:r w:rsidRPr="00B01513">
        <w:t>health clinicians should have a clear process to enable access to assistance from colleagues, including senior clinicians.</w:t>
      </w:r>
    </w:p>
    <w:p w14:paraId="78858045" w14:textId="77777777" w:rsidR="00B01513" w:rsidRPr="00B01513" w:rsidRDefault="00B01513" w:rsidP="00630A89">
      <w:pPr>
        <w:pStyle w:val="Heading3"/>
      </w:pPr>
      <w:r w:rsidRPr="00B01513">
        <w:t xml:space="preserve">Responding to deterioration </w:t>
      </w:r>
    </w:p>
    <w:p w14:paraId="3496D0AD" w14:textId="77777777" w:rsidR="00B01513" w:rsidRPr="00B01513" w:rsidRDefault="00B01513" w:rsidP="00630A89">
      <w:pPr>
        <w:pStyle w:val="BodyText"/>
      </w:pPr>
      <w:r w:rsidRPr="00B01513">
        <w:t>All members of the clinical workforce should be able to initiate a response when they recognise the signs of deterioration in mental state in a person for whom they are providing health care. An empathic and calm response to a person’s distress can immediately de-escalate a situation. Mobilising a person’s existing supports will also contribute to effective response.</w:t>
      </w:r>
    </w:p>
    <w:p w14:paraId="18D04F32" w14:textId="77777777" w:rsidR="00B01513" w:rsidRPr="00B01513" w:rsidRDefault="00B01513" w:rsidP="00630A89">
      <w:pPr>
        <w:pStyle w:val="BodyText"/>
      </w:pPr>
      <w:r w:rsidRPr="00B01513">
        <w:t>In responding to deterioration in a person’s mental state, clinicians should consider if symptoms indicate the person is experiencing delirium, and manage the condition when it occurs.</w:t>
      </w:r>
      <w:r w:rsidRPr="00B01513">
        <w:rPr>
          <w:vertAlign w:val="superscript"/>
        </w:rPr>
        <w:t>3</w:t>
      </w:r>
    </w:p>
    <w:p w14:paraId="0A7AFC8C" w14:textId="77777777" w:rsidR="00B01513" w:rsidRDefault="00B01513" w:rsidP="00696364">
      <w:pPr>
        <w:pStyle w:val="BodyText"/>
        <w:sectPr w:rsidR="00B01513" w:rsidSect="0081460F">
          <w:headerReference w:type="even" r:id="rId30"/>
          <w:headerReference w:type="default" r:id="rId31"/>
          <w:pgSz w:w="11906" w:h="16838" w:code="9"/>
          <w:pgMar w:top="2835" w:right="1021" w:bottom="1134" w:left="1021" w:header="794" w:footer="567" w:gutter="0"/>
          <w:cols w:num="2" w:space="708"/>
          <w:docGrid w:linePitch="360"/>
        </w:sectPr>
      </w:pPr>
    </w:p>
    <w:p w14:paraId="2B372FFF" w14:textId="77777777" w:rsidR="005C1C96" w:rsidRDefault="00B01513" w:rsidP="00630A89">
      <w:pPr>
        <w:pStyle w:val="Heading3"/>
        <w:sectPr w:rsidR="005C1C96" w:rsidSect="0081460F">
          <w:headerReference w:type="even" r:id="rId32"/>
          <w:headerReference w:type="default" r:id="rId33"/>
          <w:pgSz w:w="11906" w:h="16838" w:code="9"/>
          <w:pgMar w:top="2835" w:right="1021" w:bottom="1134" w:left="1021" w:header="1361" w:footer="567" w:gutter="0"/>
          <w:cols w:num="2" w:space="708"/>
          <w:docGrid w:linePitch="360"/>
        </w:sectPr>
      </w:pPr>
      <w:r>
        <w:lastRenderedPageBreak/>
        <w:t>Actions</w:t>
      </w:r>
    </w:p>
    <w:p w14:paraId="7F3918C2" w14:textId="77777777" w:rsidR="00B01513" w:rsidRDefault="00B01513" w:rsidP="005C1C96">
      <w:pPr>
        <w:pStyle w:val="List"/>
      </w:pPr>
      <w:r w:rsidRPr="005C1C96">
        <w:rPr>
          <w:rStyle w:val="BlueBold"/>
        </w:rPr>
        <w:lastRenderedPageBreak/>
        <w:t>1.1</w:t>
      </w:r>
      <w:r>
        <w:tab/>
        <w:t>Members of the workforce in all healthcare settings are alert to the potential for deterioration in a person’s mental state.</w:t>
      </w:r>
    </w:p>
    <w:p w14:paraId="4C77C37C" w14:textId="77777777" w:rsidR="00B01513" w:rsidRDefault="00B01513" w:rsidP="00D840A0">
      <w:pPr>
        <w:pStyle w:val="List"/>
        <w:spacing w:after="57"/>
      </w:pPr>
      <w:r w:rsidRPr="005C1C96">
        <w:rPr>
          <w:rStyle w:val="BlueBold"/>
        </w:rPr>
        <w:t>1.2</w:t>
      </w:r>
      <w:r>
        <w:tab/>
        <w:t>Members of the healthcare workforce use relevant screening processes at presentation, during clinical examination and history taking:</w:t>
      </w:r>
    </w:p>
    <w:p w14:paraId="29935360" w14:textId="77777777" w:rsidR="00B01513" w:rsidRPr="00D840A0" w:rsidRDefault="00B01513" w:rsidP="00D840A0">
      <w:pPr>
        <w:pStyle w:val="ListBullet2"/>
        <w:ind w:right="-242"/>
      </w:pPr>
      <w:r w:rsidRPr="00D840A0">
        <w:t>To identify cognitive, behavioural, mental and physical conditions, issues and risks of harm</w:t>
      </w:r>
    </w:p>
    <w:p w14:paraId="13F24FDC" w14:textId="77777777" w:rsidR="00B01513" w:rsidRPr="00D840A0" w:rsidRDefault="00B01513" w:rsidP="00D2182E">
      <w:pPr>
        <w:pStyle w:val="ListBullet2"/>
        <w:spacing w:after="170"/>
      </w:pPr>
      <w:r w:rsidRPr="00D840A0">
        <w:t>To identify social and other circumstances that may compound these risks.</w:t>
      </w:r>
    </w:p>
    <w:p w14:paraId="51EE776C" w14:textId="77777777" w:rsidR="00B01513" w:rsidRDefault="00B01513" w:rsidP="005C1C96">
      <w:pPr>
        <w:pStyle w:val="List"/>
      </w:pPr>
      <w:r w:rsidRPr="005C1C96">
        <w:rPr>
          <w:rStyle w:val="BlueBold"/>
        </w:rPr>
        <w:t>1.3</w:t>
      </w:r>
      <w:r>
        <w:tab/>
        <w:t>Members of the healthcare workforce comprehensively assess the conditions and risks identified through the screening process.</w:t>
      </w:r>
    </w:p>
    <w:p w14:paraId="44685588" w14:textId="77777777" w:rsidR="00B01513" w:rsidRDefault="00B01513" w:rsidP="005C1C96">
      <w:pPr>
        <w:pStyle w:val="List"/>
      </w:pPr>
      <w:r w:rsidRPr="005C1C96">
        <w:rPr>
          <w:rStyle w:val="BlueBold"/>
        </w:rPr>
        <w:t>1.4</w:t>
      </w:r>
      <w:r>
        <w:tab/>
        <w:t>Members of the healthcare workforce in all healthcare settings reassess possible causes for acute deterioration in mental state, including delirium, when changes in behaviour, cognitive function, perception, physical function or emotional state are observed or</w:t>
      </w:r>
      <w:r>
        <w:rPr>
          <w:rFonts w:cs="Arial"/>
        </w:rPr>
        <w:t> </w:t>
      </w:r>
      <w:r>
        <w:t>reported.</w:t>
      </w:r>
    </w:p>
    <w:p w14:paraId="71A62070" w14:textId="77777777" w:rsidR="005C1C96" w:rsidRDefault="00B01513" w:rsidP="005C1C96">
      <w:pPr>
        <w:pStyle w:val="List"/>
      </w:pPr>
      <w:r w:rsidRPr="005C1C96">
        <w:rPr>
          <w:rStyle w:val="BlueBold"/>
        </w:rPr>
        <w:t>1.5</w:t>
      </w:r>
      <w:r>
        <w:tab/>
        <w:t>Members of the healthcare workforce anticipate factors that may contribute to deterioration in a person’s mental state, and, where possible, modify these factors to prevent deterioration.</w:t>
      </w:r>
    </w:p>
    <w:p w14:paraId="0D376752" w14:textId="77777777" w:rsidR="00B01513" w:rsidRDefault="005C1C96" w:rsidP="005C1C96">
      <w:pPr>
        <w:pStyle w:val="List"/>
      </w:pPr>
      <w:r>
        <w:br w:type="column"/>
      </w:r>
      <w:r w:rsidR="00B01513" w:rsidRPr="005C1C96">
        <w:rPr>
          <w:rStyle w:val="BlueBold"/>
        </w:rPr>
        <w:lastRenderedPageBreak/>
        <w:t>1.6</w:t>
      </w:r>
      <w:r w:rsidR="00B01513">
        <w:tab/>
        <w:t>Members of the healthcare workforce communicate their observations of changes in a person’s mental state to relevant senior clinical colleagues when they occur.</w:t>
      </w:r>
    </w:p>
    <w:p w14:paraId="2183675E" w14:textId="77777777" w:rsidR="00B01513" w:rsidRDefault="00B01513" w:rsidP="005C1C96">
      <w:pPr>
        <w:pStyle w:val="List"/>
      </w:pPr>
      <w:r w:rsidRPr="005C1C96">
        <w:rPr>
          <w:rStyle w:val="BlueBold"/>
        </w:rPr>
        <w:t>1.7</w:t>
      </w:r>
      <w:r>
        <w:tab/>
        <w:t>The person experiencing deterioration in mental state is consulted about what is happening for them.</w:t>
      </w:r>
    </w:p>
    <w:p w14:paraId="49214BED" w14:textId="77777777" w:rsidR="00B01513" w:rsidRDefault="00B01513" w:rsidP="005C1C96">
      <w:pPr>
        <w:pStyle w:val="List"/>
      </w:pPr>
      <w:r w:rsidRPr="005C1C96">
        <w:rPr>
          <w:rStyle w:val="BlueBold"/>
        </w:rPr>
        <w:t>1.8</w:t>
      </w:r>
      <w:r>
        <w:tab/>
        <w:t>The person’s family and carers are consulted about their knowledge of the person’s progress and specific signs of deterioration in the person’s mental state.</w:t>
      </w:r>
    </w:p>
    <w:p w14:paraId="1D6AA794" w14:textId="77777777" w:rsidR="00B01513" w:rsidRDefault="00B01513" w:rsidP="005C1C96">
      <w:pPr>
        <w:pStyle w:val="List"/>
      </w:pPr>
      <w:r w:rsidRPr="005C1C96">
        <w:rPr>
          <w:rStyle w:val="BlueBold"/>
        </w:rPr>
        <w:t>1.9</w:t>
      </w:r>
      <w:r>
        <w:tab/>
        <w:t>Members of the healthcare workforce can use standardised tools or checklists to support recognition and communication of typical signs of deterioration in a person’s mental state. A</w:t>
      </w:r>
      <w:r>
        <w:rPr>
          <w:rFonts w:cs="Arial"/>
        </w:rPr>
        <w:t> </w:t>
      </w:r>
      <w:r>
        <w:t>list of typical signs is included as</w:t>
      </w:r>
      <w:r>
        <w:rPr>
          <w:rFonts w:cs="Arial"/>
        </w:rPr>
        <w:t> </w:t>
      </w:r>
      <w:r>
        <w:t>Appendix</w:t>
      </w:r>
      <w:r>
        <w:rPr>
          <w:rFonts w:cs="Arial"/>
        </w:rPr>
        <w:t> </w:t>
      </w:r>
      <w:r>
        <w:t>C.</w:t>
      </w:r>
    </w:p>
    <w:p w14:paraId="1FABA27F" w14:textId="77777777" w:rsidR="00B01513" w:rsidRDefault="00B01513" w:rsidP="005C1C96">
      <w:pPr>
        <w:pStyle w:val="List"/>
      </w:pPr>
      <w:r w:rsidRPr="005C1C96">
        <w:rPr>
          <w:rStyle w:val="BlueBold"/>
        </w:rPr>
        <w:t>1.10</w:t>
      </w:r>
      <w:r w:rsidRPr="005C1C96">
        <w:rPr>
          <w:rStyle w:val="BlueBold"/>
        </w:rPr>
        <w:tab/>
      </w:r>
      <w:r>
        <w:t>Members of the clinical workforce document their observations of changes in a person’s mental state in the person’s clinical record.</w:t>
      </w:r>
    </w:p>
    <w:p w14:paraId="1685B1CA" w14:textId="77777777" w:rsidR="00B01513" w:rsidRDefault="00B01513">
      <w:pPr>
        <w:rPr>
          <w:rFonts w:ascii="Arial" w:hAnsi="Arial"/>
          <w:color w:val="000000" w:themeColor="text2"/>
          <w:sz w:val="20"/>
        </w:rPr>
      </w:pPr>
      <w:r>
        <w:br w:type="page"/>
      </w:r>
    </w:p>
    <w:p w14:paraId="22024915" w14:textId="77777777" w:rsidR="00B01513" w:rsidRDefault="00B01513" w:rsidP="00681273">
      <w:pPr>
        <w:pStyle w:val="Heading3"/>
      </w:pPr>
      <w:r>
        <w:lastRenderedPageBreak/>
        <w:t>Actions</w:t>
      </w:r>
    </w:p>
    <w:p w14:paraId="4CBA7508" w14:textId="77777777" w:rsidR="00B01513" w:rsidRDefault="00B01513" w:rsidP="00681273">
      <w:pPr>
        <w:pStyle w:val="List"/>
      </w:pPr>
      <w:r w:rsidRPr="00681273">
        <w:rPr>
          <w:rStyle w:val="BlueBold"/>
        </w:rPr>
        <w:t>2.1</w:t>
      </w:r>
      <w:r>
        <w:tab/>
        <w:t>When early signs of deterioration in a person’s mental state are observed or reported, members of the healthcare workforce determine the immediate actions to prevent further deterioration.</w:t>
      </w:r>
    </w:p>
    <w:p w14:paraId="28289BE9" w14:textId="77777777" w:rsidR="00B01513" w:rsidRDefault="00B01513" w:rsidP="00681273">
      <w:pPr>
        <w:pStyle w:val="List"/>
      </w:pPr>
      <w:r w:rsidRPr="00681273">
        <w:rPr>
          <w:rStyle w:val="BlueBold"/>
        </w:rPr>
        <w:t>2.2</w:t>
      </w:r>
      <w:r>
        <w:tab/>
        <w:t>Members of the workforce escalate care in graded steps, consistent with the acuity of deterioration in the person’s mental state.</w:t>
      </w:r>
    </w:p>
    <w:p w14:paraId="38F1F19E" w14:textId="77777777" w:rsidR="00B01513" w:rsidRDefault="00B01513" w:rsidP="00681273">
      <w:pPr>
        <w:pStyle w:val="List"/>
      </w:pPr>
      <w:r w:rsidRPr="00681273">
        <w:rPr>
          <w:rStyle w:val="BlueBold"/>
        </w:rPr>
        <w:t>2.3</w:t>
      </w:r>
      <w:r>
        <w:tab/>
        <w:t>Members of the healthcare workforce are aware of, and use, the escalation protocol in place in their healthcare setting.</w:t>
      </w:r>
    </w:p>
    <w:p w14:paraId="34CF082D" w14:textId="77777777" w:rsidR="00B01513" w:rsidRDefault="00B01513" w:rsidP="00681273">
      <w:pPr>
        <w:pStyle w:val="List"/>
      </w:pPr>
      <w:r w:rsidRPr="00681273">
        <w:rPr>
          <w:rStyle w:val="BlueBold"/>
        </w:rPr>
        <w:t>2.4</w:t>
      </w:r>
      <w:r>
        <w:tab/>
        <w:t>The person experiencing deterioration in their mental state, their family and carers can directly escalate care if they recognise signs of deterioration.</w:t>
      </w:r>
    </w:p>
    <w:p w14:paraId="05796EA8" w14:textId="77777777" w:rsidR="00B01513" w:rsidRDefault="00B01513">
      <w:pPr>
        <w:sectPr w:rsidR="00B01513" w:rsidSect="0081460F">
          <w:headerReference w:type="default" r:id="rId34"/>
          <w:type w:val="continuous"/>
          <w:pgSz w:w="11906" w:h="16838" w:code="9"/>
          <w:pgMar w:top="2835" w:right="1021" w:bottom="1134" w:left="1021" w:header="1361" w:footer="567" w:gutter="0"/>
          <w:cols w:num="2" w:space="708"/>
          <w:docGrid w:linePitch="360"/>
        </w:sectPr>
      </w:pPr>
    </w:p>
    <w:p w14:paraId="1E96E160" w14:textId="77777777" w:rsidR="002443D8" w:rsidRDefault="00B01513" w:rsidP="00630A89">
      <w:pPr>
        <w:pStyle w:val="Heading3"/>
        <w:sectPr w:rsidR="002443D8" w:rsidSect="0081460F">
          <w:headerReference w:type="even" r:id="rId35"/>
          <w:headerReference w:type="default" r:id="rId36"/>
          <w:pgSz w:w="11906" w:h="16838" w:code="9"/>
          <w:pgMar w:top="2835" w:right="1021" w:bottom="1134" w:left="1021" w:header="1361" w:footer="567" w:gutter="0"/>
          <w:cols w:num="2" w:space="708"/>
          <w:docGrid w:linePitch="360"/>
        </w:sectPr>
      </w:pPr>
      <w:r>
        <w:lastRenderedPageBreak/>
        <w:t>Actions</w:t>
      </w:r>
    </w:p>
    <w:p w14:paraId="1D50D826" w14:textId="77777777" w:rsidR="00B01513" w:rsidRDefault="00B01513" w:rsidP="00D45BDF">
      <w:pPr>
        <w:pStyle w:val="List"/>
        <w:spacing w:after="57"/>
      </w:pPr>
      <w:r w:rsidRPr="002443D8">
        <w:rPr>
          <w:rStyle w:val="BlueBold"/>
        </w:rPr>
        <w:lastRenderedPageBreak/>
        <w:t>3.1</w:t>
      </w:r>
      <w:r>
        <w:tab/>
        <w:t>Members of the healthcare workforce use processes for shared decision making to develop a comprehensive and individualised plan that:</w:t>
      </w:r>
    </w:p>
    <w:p w14:paraId="4180ED17" w14:textId="77777777" w:rsidR="00B01513" w:rsidRDefault="00B01513" w:rsidP="00D45BDF">
      <w:pPr>
        <w:pStyle w:val="ListBullet2"/>
        <w:ind w:right="-100"/>
      </w:pPr>
      <w:r>
        <w:t>Addresses the significance and complexity of the person’s health issues and risks of harm</w:t>
      </w:r>
    </w:p>
    <w:p w14:paraId="0A14698B" w14:textId="77777777" w:rsidR="00B01513" w:rsidRDefault="00B01513" w:rsidP="00D45BDF">
      <w:pPr>
        <w:pStyle w:val="ListBullet2"/>
      </w:pPr>
      <w:r>
        <w:t>Includes the person’s known early warning signs of deterioration in mental state</w:t>
      </w:r>
    </w:p>
    <w:p w14:paraId="4C21B956" w14:textId="77777777" w:rsidR="00B01513" w:rsidRDefault="00B01513" w:rsidP="00D45BDF">
      <w:pPr>
        <w:pStyle w:val="ListBullet2"/>
      </w:pPr>
      <w:r>
        <w:t>Identifies agreed goals and actions for the person’s treatment and care</w:t>
      </w:r>
    </w:p>
    <w:p w14:paraId="44CFE8CA" w14:textId="77777777" w:rsidR="00B01513" w:rsidRDefault="00B01513" w:rsidP="00D45BDF">
      <w:pPr>
        <w:pStyle w:val="ListBullet2"/>
        <w:spacing w:after="170"/>
      </w:pPr>
      <w:r>
        <w:t>Identifies any support people a person wants or does not want involved in communications and decision making about their care.</w:t>
      </w:r>
    </w:p>
    <w:p w14:paraId="77227156" w14:textId="77777777" w:rsidR="00B01513" w:rsidRDefault="00B01513" w:rsidP="002443D8">
      <w:pPr>
        <w:pStyle w:val="List"/>
      </w:pPr>
      <w:r w:rsidRPr="002443D8">
        <w:rPr>
          <w:rStyle w:val="BlueBold"/>
        </w:rPr>
        <w:t>3.2</w:t>
      </w:r>
      <w:r w:rsidRPr="002443D8">
        <w:rPr>
          <w:rStyle w:val="BlueBold"/>
        </w:rPr>
        <w:tab/>
      </w:r>
      <w:r>
        <w:t>The person whose mental state is deteriorating and, with permission, their family and carers, are involved in the response as much as</w:t>
      </w:r>
      <w:r>
        <w:rPr>
          <w:rFonts w:cs="Arial"/>
        </w:rPr>
        <w:t> </w:t>
      </w:r>
      <w:r>
        <w:t>possible.</w:t>
      </w:r>
    </w:p>
    <w:p w14:paraId="7F62D5EB" w14:textId="77777777" w:rsidR="00B01513" w:rsidRDefault="00B01513" w:rsidP="002443D8">
      <w:pPr>
        <w:pStyle w:val="List"/>
      </w:pPr>
      <w:r w:rsidRPr="002443D8">
        <w:rPr>
          <w:rStyle w:val="BlueBold"/>
        </w:rPr>
        <w:t>3.3</w:t>
      </w:r>
      <w:r>
        <w:tab/>
        <w:t>Information from a person’s advance care plan is incorporated into the response.</w:t>
      </w:r>
    </w:p>
    <w:p w14:paraId="0DB584F2" w14:textId="77777777" w:rsidR="00B01513" w:rsidRDefault="00B01513" w:rsidP="002443D8">
      <w:pPr>
        <w:pStyle w:val="List"/>
      </w:pPr>
      <w:r w:rsidRPr="002443D8">
        <w:rPr>
          <w:rStyle w:val="BlueBold"/>
        </w:rPr>
        <w:t>3.4</w:t>
      </w:r>
      <w:r>
        <w:tab/>
        <w:t>Where available, peer workers can be involved in the response.</w:t>
      </w:r>
    </w:p>
    <w:p w14:paraId="07B9F309" w14:textId="77777777" w:rsidR="00B01513" w:rsidRDefault="00B01513" w:rsidP="00D45BDF">
      <w:pPr>
        <w:pStyle w:val="List"/>
        <w:spacing w:after="57"/>
      </w:pPr>
      <w:r w:rsidRPr="002443D8">
        <w:rPr>
          <w:rStyle w:val="BlueBold"/>
        </w:rPr>
        <w:t>3.5</w:t>
      </w:r>
      <w:r>
        <w:tab/>
        <w:t>Responses to deterioration in mental state include, but are not restricted to:</w:t>
      </w:r>
    </w:p>
    <w:p w14:paraId="03AD5FD0" w14:textId="77777777" w:rsidR="00B01513" w:rsidRDefault="00B01513" w:rsidP="00D45BDF">
      <w:pPr>
        <w:pStyle w:val="ListBullet2"/>
      </w:pPr>
      <w:r>
        <w:t>Listening to the person’s current stated needs</w:t>
      </w:r>
    </w:p>
    <w:p w14:paraId="2D41633D" w14:textId="77777777" w:rsidR="00B01513" w:rsidRDefault="00B01513" w:rsidP="00D45BDF">
      <w:pPr>
        <w:pStyle w:val="ListBullet2"/>
      </w:pPr>
      <w:r>
        <w:t>Addressing practical needs (e.g. wellbeing of family members)</w:t>
      </w:r>
    </w:p>
    <w:p w14:paraId="4088E93C" w14:textId="77777777" w:rsidR="00B01513" w:rsidRDefault="00B01513" w:rsidP="00D45BDF">
      <w:pPr>
        <w:pStyle w:val="ListBullet2"/>
      </w:pPr>
      <w:r>
        <w:t>Verbal de-escalation techniques</w:t>
      </w:r>
    </w:p>
    <w:p w14:paraId="5F6886F9" w14:textId="77777777" w:rsidR="00B01513" w:rsidRDefault="00B01513" w:rsidP="00D45BDF">
      <w:pPr>
        <w:pStyle w:val="ListBullet2"/>
      </w:pPr>
      <w:r>
        <w:t>Relocation to a calm environment</w:t>
      </w:r>
    </w:p>
    <w:p w14:paraId="480EF90A" w14:textId="77777777" w:rsidR="00B01513" w:rsidRDefault="00B01513" w:rsidP="00D45BDF">
      <w:pPr>
        <w:pStyle w:val="ListBullet2"/>
      </w:pPr>
      <w:r>
        <w:t>Sensory modulation techniques</w:t>
      </w:r>
    </w:p>
    <w:p w14:paraId="0174D4C5" w14:textId="77777777" w:rsidR="00B01513" w:rsidRDefault="00B01513" w:rsidP="00D45BDF">
      <w:pPr>
        <w:pStyle w:val="ListBullet2"/>
      </w:pPr>
      <w:r>
        <w:t>Increasing the frequency and/or level of nursing observations</w:t>
      </w:r>
    </w:p>
    <w:p w14:paraId="7A133EC3" w14:textId="77777777" w:rsidR="00B01513" w:rsidRDefault="00B01513" w:rsidP="00D45BDF">
      <w:pPr>
        <w:pStyle w:val="ListBullet2"/>
      </w:pPr>
      <w:r>
        <w:t>Support and encouragement for the person to manage their own mental state</w:t>
      </w:r>
    </w:p>
    <w:p w14:paraId="4F5BBDB2" w14:textId="77777777" w:rsidR="00B01513" w:rsidRDefault="00B01513" w:rsidP="00D45BDF">
      <w:pPr>
        <w:pStyle w:val="ListBullet2"/>
      </w:pPr>
      <w:r>
        <w:t>Further assessment by specialist mental health clinician</w:t>
      </w:r>
    </w:p>
    <w:p w14:paraId="0D89289D" w14:textId="77777777" w:rsidR="00B01513" w:rsidRDefault="00B01513" w:rsidP="00D45BDF">
      <w:pPr>
        <w:pStyle w:val="ListBullet2"/>
        <w:spacing w:after="170"/>
      </w:pPr>
      <w:r>
        <w:t>Use of additional medication to treat symptoms (PRN, or as needed).</w:t>
      </w:r>
    </w:p>
    <w:p w14:paraId="61E7C56E" w14:textId="77777777" w:rsidR="00B01513" w:rsidRDefault="00B01513" w:rsidP="00D45BDF">
      <w:pPr>
        <w:pStyle w:val="List"/>
        <w:keepNext/>
        <w:keepLines/>
      </w:pPr>
      <w:r w:rsidRPr="002443D8">
        <w:rPr>
          <w:rStyle w:val="BlueBold"/>
        </w:rPr>
        <w:lastRenderedPageBreak/>
        <w:t>3.6</w:t>
      </w:r>
      <w:r>
        <w:tab/>
        <w:t>Members of the healthcare workforce respond to deterioration in a person’s mental state within agreed time frames.</w:t>
      </w:r>
    </w:p>
    <w:p w14:paraId="138E0839" w14:textId="77777777" w:rsidR="00B01513" w:rsidRPr="002443D8" w:rsidRDefault="00B01513" w:rsidP="002443D8">
      <w:pPr>
        <w:pStyle w:val="List"/>
      </w:pPr>
      <w:r w:rsidRPr="002443D8">
        <w:rPr>
          <w:rStyle w:val="BlueBold"/>
        </w:rPr>
        <w:t>3.7</w:t>
      </w:r>
      <w:r w:rsidRPr="002443D8">
        <w:tab/>
        <w:t>Where practical, response to deterioration in mental state is led by a team member known to the person.</w:t>
      </w:r>
    </w:p>
    <w:p w14:paraId="4ADE1E77" w14:textId="77777777" w:rsidR="00B01513" w:rsidRPr="002443D8" w:rsidRDefault="00B01513" w:rsidP="002443D8">
      <w:pPr>
        <w:pStyle w:val="List"/>
      </w:pPr>
      <w:r w:rsidRPr="002443D8">
        <w:rPr>
          <w:rStyle w:val="BlueBold"/>
        </w:rPr>
        <w:t>3.8</w:t>
      </w:r>
      <w:r w:rsidRPr="002443D8">
        <w:tab/>
        <w:t>Where practical, response to deterioration in a person’s mental state is undertaken in supportive, low-stimulus, private environments.</w:t>
      </w:r>
    </w:p>
    <w:p w14:paraId="46439811" w14:textId="77777777" w:rsidR="00B01513" w:rsidRPr="002443D8" w:rsidRDefault="00B01513" w:rsidP="002443D8">
      <w:pPr>
        <w:pStyle w:val="List"/>
      </w:pPr>
      <w:r w:rsidRPr="002443D8">
        <w:rPr>
          <w:rStyle w:val="BlueBold"/>
        </w:rPr>
        <w:t>3.9</w:t>
      </w:r>
      <w:r w:rsidRPr="002443D8">
        <w:tab/>
        <w:t>The effectiveness of the response to deterioration in a person’s mental state must be continuously assessed, and adapted to current need.</w:t>
      </w:r>
    </w:p>
    <w:p w14:paraId="2A2DA00A" w14:textId="77777777" w:rsidR="00B01513" w:rsidRPr="002443D8" w:rsidRDefault="00B01513" w:rsidP="002443D8">
      <w:pPr>
        <w:pStyle w:val="List"/>
      </w:pPr>
      <w:r w:rsidRPr="002443D8">
        <w:rPr>
          <w:rStyle w:val="BlueBold"/>
        </w:rPr>
        <w:t>3.10</w:t>
      </w:r>
      <w:r w:rsidRPr="002443D8">
        <w:tab/>
        <w:t>The person and their family or carer are engaged in evaluating the effectiveness of the response.</w:t>
      </w:r>
    </w:p>
    <w:p w14:paraId="33616DA2" w14:textId="77777777" w:rsidR="00B01513" w:rsidRDefault="00B01513" w:rsidP="002443D8">
      <w:pPr>
        <w:pStyle w:val="List"/>
      </w:pPr>
      <w:r w:rsidRPr="002443D8">
        <w:rPr>
          <w:rStyle w:val="BlueBold"/>
        </w:rPr>
        <w:t>3.11</w:t>
      </w:r>
      <w:r>
        <w:tab/>
        <w:t>Members of the healthcare workforce document detailed and structured information about the interventions implemented as part of the comprehensive care plan, and the outcomes of the response in the healthcare</w:t>
      </w:r>
      <w:r>
        <w:rPr>
          <w:rFonts w:cs="Arial"/>
        </w:rPr>
        <w:t> </w:t>
      </w:r>
      <w:r>
        <w:t>record.</w:t>
      </w:r>
    </w:p>
    <w:p w14:paraId="3BB7BD10" w14:textId="77777777" w:rsidR="00B01513" w:rsidRDefault="00B01513" w:rsidP="002443D8">
      <w:pPr>
        <w:pStyle w:val="List"/>
        <w:rPr>
          <w:color w:val="000000" w:themeColor="text2"/>
        </w:rPr>
      </w:pPr>
      <w:r w:rsidRPr="002443D8">
        <w:rPr>
          <w:rStyle w:val="BlueBold"/>
        </w:rPr>
        <w:t>3.12</w:t>
      </w:r>
      <w:r w:rsidRPr="002443D8">
        <w:rPr>
          <w:rStyle w:val="BlueBold"/>
        </w:rPr>
        <w:tab/>
      </w:r>
      <w:r>
        <w:t>Strategies evaluated as effective are integrated into the person’s individualised management plan, and can be incorporated into future advance care plans.</w:t>
      </w:r>
    </w:p>
    <w:p w14:paraId="12DCE728" w14:textId="77777777" w:rsidR="00B01513" w:rsidRDefault="00B01513">
      <w:pPr>
        <w:rPr>
          <w:rFonts w:ascii="Arial" w:hAnsi="Arial"/>
          <w:color w:val="000000" w:themeColor="text2"/>
          <w:sz w:val="20"/>
        </w:rPr>
      </w:pPr>
      <w:r>
        <w:br w:type="page"/>
      </w:r>
    </w:p>
    <w:p w14:paraId="3F9CA2ED" w14:textId="77777777" w:rsidR="00B01513" w:rsidRDefault="00B01513" w:rsidP="004B5B09">
      <w:pPr>
        <w:pStyle w:val="DividerHeading"/>
      </w:pPr>
      <w:r>
        <w:lastRenderedPageBreak/>
        <w:br w:type="column"/>
      </w:r>
      <w:r>
        <w:lastRenderedPageBreak/>
        <w:t>Part B</w:t>
      </w:r>
    </w:p>
    <w:p w14:paraId="77233D2E" w14:textId="77777777" w:rsidR="00B01513" w:rsidRDefault="00B01513" w:rsidP="004B5B09">
      <w:pPr>
        <w:pStyle w:val="DividerSubheading"/>
      </w:pPr>
      <w:r w:rsidRPr="004B5B09">
        <w:t>Therapeutic</w:t>
      </w:r>
      <w:r>
        <w:t xml:space="preserve"> practice</w:t>
      </w:r>
    </w:p>
    <w:p w14:paraId="1DEEFACF" w14:textId="77777777" w:rsidR="00B01513" w:rsidRDefault="00B01513" w:rsidP="00B01513">
      <w:pPr>
        <w:pStyle w:val="BodyText"/>
        <w:sectPr w:rsidR="00B01513" w:rsidSect="0081460F">
          <w:type w:val="continuous"/>
          <w:pgSz w:w="11906" w:h="16838" w:code="9"/>
          <w:pgMar w:top="2835" w:right="1021" w:bottom="1134" w:left="1021" w:header="1361" w:footer="567" w:gutter="0"/>
          <w:cols w:num="2" w:space="708"/>
          <w:docGrid w:linePitch="360"/>
        </w:sectPr>
      </w:pPr>
    </w:p>
    <w:p w14:paraId="74189CA8" w14:textId="77777777" w:rsidR="00B01513" w:rsidRPr="00B01513" w:rsidRDefault="00B01513" w:rsidP="004B5B09">
      <w:pPr>
        <w:pStyle w:val="Heading3"/>
      </w:pPr>
      <w:r w:rsidRPr="00B01513">
        <w:lastRenderedPageBreak/>
        <w:t>Creating safety and minimising restrictive practices</w:t>
      </w:r>
    </w:p>
    <w:p w14:paraId="6F3EC17B" w14:textId="77777777" w:rsidR="00B01513" w:rsidRPr="00B01513" w:rsidRDefault="00B01513" w:rsidP="004B5B09">
      <w:pPr>
        <w:pStyle w:val="BodyText"/>
      </w:pPr>
      <w:r w:rsidRPr="00B01513">
        <w:t>Deterioration in mental state can be a distressing experience for a person and their family and carers. It can also result in people acting in ways that risk harm to themselves or others. Early recognition and response significantly mitigates these risks, and ideally detects deterioration at a time when the person can still participate in shared decision</w:t>
      </w:r>
      <w:r w:rsidRPr="00B01513">
        <w:rPr>
          <w:rFonts w:cs="Arial"/>
        </w:rPr>
        <w:t> </w:t>
      </w:r>
      <w:r w:rsidRPr="00B01513">
        <w:t xml:space="preserve">making. </w:t>
      </w:r>
    </w:p>
    <w:p w14:paraId="55916D9D" w14:textId="77777777" w:rsidR="00B01513" w:rsidRPr="00B01513" w:rsidRDefault="00B01513" w:rsidP="004B5B09">
      <w:pPr>
        <w:pStyle w:val="BodyTextLastPara"/>
      </w:pPr>
      <w:r w:rsidRPr="00B01513">
        <w:t>There is strong impetus to minimise and, where possible, eliminate the use of restrictive practices, which have traditionally been strategies used in responding to deterioration in a person’s mental state.</w:t>
      </w:r>
      <w:r w:rsidRPr="00B01513">
        <w:rPr>
          <w:vertAlign w:val="superscript"/>
        </w:rPr>
        <w:t>17,18</w:t>
      </w:r>
      <w:r w:rsidRPr="00B01513">
        <w:t xml:space="preserve"> Reducing the use of restrictive practices was identified as a key national safety priority in 2005,</w:t>
      </w:r>
      <w:r w:rsidRPr="00B01513">
        <w:rPr>
          <w:vertAlign w:val="superscript"/>
        </w:rPr>
        <w:t>19</w:t>
      </w:r>
      <w:r w:rsidRPr="00B01513">
        <w:t xml:space="preserve"> and significant effort has gone into implementing this strategy within and subsequent to the National Mental Health Seclusion and Restraint Project (2007–2009), resulting in continued reductions in the documented rates of seclusion in mental health inpatient facilities across Australia over the past 10 years.</w:t>
      </w:r>
      <w:r w:rsidRPr="00B01513">
        <w:rPr>
          <w:vertAlign w:val="superscript"/>
        </w:rPr>
        <w:t>20</w:t>
      </w:r>
      <w:r w:rsidRPr="00B01513">
        <w:t xml:space="preserve"> Members of the healthcare workforce enacting values of recovery</w:t>
      </w:r>
      <w:r w:rsidRPr="00B01513">
        <w:noBreakHyphen/>
        <w:t>oriented, culturally competent and trauma</w:t>
      </w:r>
      <w:r w:rsidRPr="00B01513">
        <w:noBreakHyphen/>
        <w:t>informed care can contribute to minimising the use of restrictive</w:t>
      </w:r>
      <w:r w:rsidRPr="00B01513">
        <w:rPr>
          <w:rFonts w:cs="Arial"/>
        </w:rPr>
        <w:t> </w:t>
      </w:r>
      <w:r w:rsidRPr="00B01513">
        <w:t>practices.</w:t>
      </w:r>
    </w:p>
    <w:p w14:paraId="47270976" w14:textId="77777777" w:rsidR="00B01513" w:rsidRPr="00B01513" w:rsidRDefault="00B01513" w:rsidP="004B5B09">
      <w:pPr>
        <w:pStyle w:val="Heading3"/>
      </w:pPr>
      <w:r w:rsidRPr="00B01513">
        <w:t>Teamwork and shared decision</w:t>
      </w:r>
      <w:r w:rsidRPr="00B01513">
        <w:rPr>
          <w:rFonts w:ascii="Cambria Math" w:hAnsi="Cambria Math" w:cs="Cambria Math"/>
        </w:rPr>
        <w:t> </w:t>
      </w:r>
      <w:r w:rsidRPr="00B01513">
        <w:t>making</w:t>
      </w:r>
    </w:p>
    <w:p w14:paraId="3FA2BD26" w14:textId="77777777" w:rsidR="00B01513" w:rsidRPr="00B01513" w:rsidRDefault="00B01513" w:rsidP="004B5B09">
      <w:pPr>
        <w:pStyle w:val="BodyText"/>
      </w:pPr>
      <w:r w:rsidRPr="00B01513">
        <w:t>Shared decision making is a critical part of making sure that people with deteriorating mental state are partners in their own care. Shared decision making is more than just providing information to people and their families or asking them questions to inform a clinically driven decision. It</w:t>
      </w:r>
      <w:r w:rsidRPr="00B01513">
        <w:rPr>
          <w:rFonts w:cs="Arial"/>
        </w:rPr>
        <w:t> </w:t>
      </w:r>
      <w:r w:rsidRPr="00B01513">
        <w:t>is a process that allows people, carers, families and multidisciplinary teams to work together to make decisions in the person’s best interests based on the best scientific evidence available, the realities of the person’s clinical condition and treatment options, and the person’s choices, values and</w:t>
      </w:r>
      <w:r w:rsidRPr="00B01513">
        <w:rPr>
          <w:rFonts w:cs="Arial"/>
        </w:rPr>
        <w:t> </w:t>
      </w:r>
      <w:r w:rsidRPr="00B01513">
        <w:t>preferences.</w:t>
      </w:r>
    </w:p>
    <w:p w14:paraId="613F2701" w14:textId="77777777" w:rsidR="00B01513" w:rsidRPr="00B01513" w:rsidRDefault="004B5B09" w:rsidP="004A6646">
      <w:pPr>
        <w:pStyle w:val="BodyTextLastPara"/>
      </w:pPr>
      <w:r>
        <w:br w:type="column"/>
      </w:r>
      <w:r w:rsidR="00B01513" w:rsidRPr="00B01513">
        <w:lastRenderedPageBreak/>
        <w:t>Some people may have fluctuating or reduced capacity to participate in decision making, due to deterioration in their mental state, or for other developmental, cultural or physical reasons. Members of the multidisciplinary team should undertake assessment of decision-making capacity and maximise opportunities for participation by people with reduced capacity for decision making. Substitute decision makers, and advance care plans should be incorporated into decisions about care when they are available.</w:t>
      </w:r>
    </w:p>
    <w:p w14:paraId="4EC84726" w14:textId="77777777" w:rsidR="00B01513" w:rsidRPr="00B01513" w:rsidRDefault="00B01513" w:rsidP="003C1FDC">
      <w:pPr>
        <w:pStyle w:val="Heading3"/>
      </w:pPr>
      <w:r w:rsidRPr="00B01513">
        <w:t>Communicating for safety</w:t>
      </w:r>
    </w:p>
    <w:p w14:paraId="745E6B52" w14:textId="77777777" w:rsidR="00B01513" w:rsidRPr="00DD4C20" w:rsidRDefault="00B01513" w:rsidP="00B01513">
      <w:pPr>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170" w:line="260" w:lineRule="atLeast"/>
        <w:textAlignment w:val="center"/>
        <w:rPr>
          <w:rFonts w:ascii="Arial" w:hAnsi="Arial" w:cs="Arial"/>
          <w:color w:val="000000"/>
          <w:spacing w:val="4"/>
          <w:sz w:val="20"/>
          <w:szCs w:val="20"/>
        </w:rPr>
      </w:pPr>
      <w:r w:rsidRPr="00DD4C20">
        <w:rPr>
          <w:rFonts w:ascii="Arial" w:hAnsi="Arial" w:cs="Arial"/>
          <w:color w:val="000000"/>
          <w:spacing w:val="4"/>
          <w:sz w:val="20"/>
          <w:szCs w:val="20"/>
        </w:rPr>
        <w:t>Communication is an integral part of teamwork and shared decision making, but stands as a discrete essential element because poor communication has been identified as a contributing factor to incidents where there has been an ineffective response to deterioration in a person’s mental state. The person’s goals of care, and the treatment plan, need to be clear to all members of the multidisciplinary team so that care can be effectively coordinated. This includes ensuring effective communication and liaison with care providers in the community, such as general practitioners, nurse practitioners, community nursing services, Aboriginal and Torres Strait Islander health services, home care workers, and managers of community and residential services.</w:t>
      </w:r>
    </w:p>
    <w:p w14:paraId="654825EB" w14:textId="77777777" w:rsidR="00FA64D2" w:rsidRDefault="00B01513" w:rsidP="004A6646">
      <w:pPr>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170" w:line="260" w:lineRule="atLeast"/>
        <w:textAlignment w:val="center"/>
        <w:rPr>
          <w:rFonts w:ascii="Arial" w:hAnsi="Arial"/>
          <w:color w:val="000000" w:themeColor="text2"/>
          <w:sz w:val="20"/>
        </w:rPr>
      </w:pPr>
      <w:r w:rsidRPr="00DD4C20">
        <w:rPr>
          <w:rFonts w:ascii="Arial" w:hAnsi="Arial" w:cs="Arial"/>
          <w:color w:val="000000"/>
          <w:spacing w:val="4"/>
          <w:sz w:val="20"/>
          <w:szCs w:val="20"/>
        </w:rPr>
        <w:t xml:space="preserve">Processes for structured clinical handover assist with effective communication about a person’s health care. </w:t>
      </w:r>
      <w:r w:rsidR="00FA64D2">
        <w:br w:type="page"/>
      </w:r>
    </w:p>
    <w:p w14:paraId="1BE38F66" w14:textId="77777777" w:rsidR="004A6646" w:rsidRDefault="003D7B5F" w:rsidP="004A6646">
      <w:pPr>
        <w:pStyle w:val="Heading3"/>
        <w:sectPr w:rsidR="004A6646" w:rsidSect="0081460F">
          <w:headerReference w:type="even" r:id="rId37"/>
          <w:headerReference w:type="default" r:id="rId38"/>
          <w:pgSz w:w="11906" w:h="16838"/>
          <w:pgMar w:top="2835" w:right="1021" w:bottom="1134" w:left="1021" w:header="1361" w:footer="567" w:gutter="0"/>
          <w:cols w:num="2" w:space="720"/>
          <w:noEndnote/>
          <w:docGrid w:linePitch="299"/>
        </w:sectPr>
      </w:pPr>
      <w:r w:rsidRPr="004A6646">
        <w:lastRenderedPageBreak/>
        <w:t>Actions</w:t>
      </w:r>
    </w:p>
    <w:p w14:paraId="04010C88" w14:textId="77777777" w:rsidR="003D7B5F" w:rsidRDefault="003D7B5F" w:rsidP="004A6646">
      <w:pPr>
        <w:pStyle w:val="List"/>
      </w:pPr>
      <w:r w:rsidRPr="004A6646">
        <w:rPr>
          <w:rStyle w:val="BlueBold"/>
        </w:rPr>
        <w:lastRenderedPageBreak/>
        <w:t>4.1</w:t>
      </w:r>
      <w:r>
        <w:tab/>
        <w:t>Members of the healthcare workforce practise with empathy and use skills in developing rapport with people experiencing deterioration in their mental state.</w:t>
      </w:r>
    </w:p>
    <w:p w14:paraId="374A7408" w14:textId="77777777" w:rsidR="003D7B5F" w:rsidRDefault="003D7B5F" w:rsidP="004A6646">
      <w:pPr>
        <w:pStyle w:val="List"/>
      </w:pPr>
      <w:r w:rsidRPr="004A6646">
        <w:rPr>
          <w:rStyle w:val="BlueBold"/>
        </w:rPr>
        <w:t>4.2</w:t>
      </w:r>
      <w:r>
        <w:tab/>
        <w:t>Members of the healthcare workforce recognise that many people who experience deterioration in their mental state have previously experienced trauma, and deliver care in ways that acknowledge and respect this history, and minimise the risk of re</w:t>
      </w:r>
      <w:r>
        <w:noBreakHyphen/>
        <w:t>traumatising people.</w:t>
      </w:r>
    </w:p>
    <w:p w14:paraId="3E521A58" w14:textId="77777777" w:rsidR="003D7B5F" w:rsidRDefault="003D7B5F" w:rsidP="004A6646">
      <w:pPr>
        <w:pStyle w:val="List"/>
      </w:pPr>
      <w:r w:rsidRPr="004A6646">
        <w:rPr>
          <w:rStyle w:val="BlueBold"/>
        </w:rPr>
        <w:t>4.3</w:t>
      </w:r>
      <w:r>
        <w:tab/>
        <w:t>Members of the healthcare workforce practise with cultural competence, acknowledging that cultural beliefs about mental health and mental illness may influence the way in which people express their experience of changes in mental</w:t>
      </w:r>
      <w:r>
        <w:rPr>
          <w:rFonts w:cs="Arial"/>
        </w:rPr>
        <w:t> </w:t>
      </w:r>
      <w:r>
        <w:t>state.</w:t>
      </w:r>
    </w:p>
    <w:p w14:paraId="6EC967B9" w14:textId="77777777" w:rsidR="003D7B5F" w:rsidRDefault="003D7B5F" w:rsidP="004A6646">
      <w:pPr>
        <w:pStyle w:val="List"/>
      </w:pPr>
      <w:r w:rsidRPr="004A6646">
        <w:rPr>
          <w:rStyle w:val="BlueBold"/>
        </w:rPr>
        <w:t>4.4</w:t>
      </w:r>
      <w:r>
        <w:tab/>
        <w:t>Members of the healthcare workforce working with people from Aboriginal and Torres Strait Islander communities recognise that broader issues related to social and emotional wellbeing have an impact on people’s mental</w:t>
      </w:r>
      <w:r>
        <w:rPr>
          <w:rFonts w:cs="Arial"/>
        </w:rPr>
        <w:t> </w:t>
      </w:r>
      <w:r>
        <w:t>states.</w:t>
      </w:r>
    </w:p>
    <w:p w14:paraId="3F9D2888" w14:textId="77777777" w:rsidR="003D7B5F" w:rsidRDefault="003D7B5F" w:rsidP="004A6646">
      <w:pPr>
        <w:pStyle w:val="List"/>
      </w:pPr>
      <w:r w:rsidRPr="004A6646">
        <w:rPr>
          <w:rStyle w:val="BlueBold"/>
        </w:rPr>
        <w:t>4.5</w:t>
      </w:r>
      <w:r>
        <w:tab/>
        <w:t>Members of the healthcare workforce anticipate potential sources of conflict, and seek to mitigate these.</w:t>
      </w:r>
    </w:p>
    <w:p w14:paraId="0B28BADB" w14:textId="77777777" w:rsidR="003D7B5F" w:rsidRDefault="003D7B5F" w:rsidP="004A6646">
      <w:pPr>
        <w:pStyle w:val="List"/>
      </w:pPr>
      <w:r w:rsidRPr="004A6646">
        <w:rPr>
          <w:rStyle w:val="BlueBold"/>
        </w:rPr>
        <w:t>4.6</w:t>
      </w:r>
      <w:r>
        <w:tab/>
        <w:t>Members of the healthcare workforce recognise the influence of their own behaviour on others, and ensure that their behaviour does not contribute to escalating conflict.</w:t>
      </w:r>
    </w:p>
    <w:p w14:paraId="3495280B" w14:textId="77777777" w:rsidR="003D7B5F" w:rsidRDefault="003D7B5F" w:rsidP="004A6646">
      <w:pPr>
        <w:pStyle w:val="List"/>
      </w:pPr>
      <w:r w:rsidRPr="004A6646">
        <w:rPr>
          <w:rStyle w:val="BlueBold"/>
        </w:rPr>
        <w:t>4.7</w:t>
      </w:r>
      <w:r>
        <w:tab/>
        <w:t>Members of the healthcare workforce use restrictive practices as a last resort, after other methods to manage deterioration in mental state have been trialled and assessed as ineffective. Trialled strategies are documented in the person’s clinical record.</w:t>
      </w:r>
    </w:p>
    <w:p w14:paraId="592E0895" w14:textId="77777777" w:rsidR="003D7B5F" w:rsidRDefault="00DD4C20" w:rsidP="004A6646">
      <w:pPr>
        <w:pStyle w:val="List"/>
      </w:pPr>
      <w:r>
        <w:rPr>
          <w:rStyle w:val="BlueBold"/>
        </w:rPr>
        <w:br w:type="column"/>
      </w:r>
      <w:r w:rsidR="003D7B5F" w:rsidRPr="004A6646">
        <w:rPr>
          <w:rStyle w:val="BlueBold"/>
        </w:rPr>
        <w:lastRenderedPageBreak/>
        <w:t>4.8</w:t>
      </w:r>
      <w:r w:rsidR="003D7B5F">
        <w:tab/>
        <w:t>Only members of the healthcare workforce who have been trained in safely implementing restrictive practices participate in the</w:t>
      </w:r>
      <w:r w:rsidR="003D7B5F">
        <w:rPr>
          <w:rFonts w:cs="Arial"/>
        </w:rPr>
        <w:t> </w:t>
      </w:r>
      <w:r w:rsidR="003D7B5F">
        <w:t>intervention.</w:t>
      </w:r>
    </w:p>
    <w:p w14:paraId="560C2D1F" w14:textId="77777777" w:rsidR="003D7B5F" w:rsidRDefault="003D7B5F" w:rsidP="004A6646">
      <w:pPr>
        <w:pStyle w:val="List"/>
      </w:pPr>
      <w:r w:rsidRPr="004A6646">
        <w:rPr>
          <w:rStyle w:val="BlueBold"/>
        </w:rPr>
        <w:t>4.9</w:t>
      </w:r>
      <w:r>
        <w:tab/>
        <w:t>Members of the healthcare workforce implement restrictive practices consistent with</w:t>
      </w:r>
      <w:r>
        <w:rPr>
          <w:rFonts w:cs="Arial"/>
        </w:rPr>
        <w:t> </w:t>
      </w:r>
      <w:r>
        <w:t>legislation.</w:t>
      </w:r>
    </w:p>
    <w:p w14:paraId="2C2BD4CE" w14:textId="77777777" w:rsidR="003D7B5F" w:rsidRDefault="003D7B5F" w:rsidP="004A6646">
      <w:pPr>
        <w:pStyle w:val="List"/>
      </w:pPr>
      <w:r w:rsidRPr="004A6646">
        <w:rPr>
          <w:rStyle w:val="BlueBold"/>
        </w:rPr>
        <w:t>4.10</w:t>
      </w:r>
      <w:r>
        <w:tab/>
        <w:t>Restrictive practices are used for the shortest duration, consistent with maintaining safety.</w:t>
      </w:r>
    </w:p>
    <w:p w14:paraId="288FB4CF" w14:textId="77777777" w:rsidR="003D7B5F" w:rsidRDefault="003D7B5F" w:rsidP="004A6646">
      <w:pPr>
        <w:pStyle w:val="List"/>
      </w:pPr>
      <w:r w:rsidRPr="004A6646">
        <w:rPr>
          <w:rStyle w:val="BlueBold"/>
        </w:rPr>
        <w:t>4.11</w:t>
      </w:r>
      <w:r>
        <w:tab/>
        <w:t>People who have experienced restrictive practices, their families and carers, members of the workforce, and others who witnessed the events are offered debriefing subsequent to the event, with a peer worker involved where</w:t>
      </w:r>
      <w:r>
        <w:rPr>
          <w:rFonts w:cs="Arial"/>
        </w:rPr>
        <w:t> </w:t>
      </w:r>
      <w:r>
        <w:t>available.</w:t>
      </w:r>
    </w:p>
    <w:p w14:paraId="2C18381A" w14:textId="77777777" w:rsidR="003D7B5F" w:rsidRDefault="003D7B5F" w:rsidP="004A6646">
      <w:pPr>
        <w:pStyle w:val="List"/>
      </w:pPr>
      <w:r w:rsidRPr="004A6646">
        <w:rPr>
          <w:rStyle w:val="BlueBold"/>
        </w:rPr>
        <w:t>4.12</w:t>
      </w:r>
      <w:r>
        <w:tab/>
        <w:t>When restrictive practices have been implemented, the person’s care plan is reviewed, to identify precursors to the incident and prevent recurrence.</w:t>
      </w:r>
    </w:p>
    <w:p w14:paraId="382CFB30" w14:textId="77777777" w:rsidR="003D7B5F" w:rsidRDefault="003D7B5F" w:rsidP="004A6646">
      <w:pPr>
        <w:pStyle w:val="List"/>
      </w:pPr>
      <w:r w:rsidRPr="004A6646">
        <w:rPr>
          <w:rStyle w:val="BlueBold"/>
        </w:rPr>
        <w:t>4.13</w:t>
      </w:r>
      <w:r>
        <w:tab/>
        <w:t>Members of the healthcare workforce report incidents of restrictive practices to the highest level of governance in the health service organisation.</w:t>
      </w:r>
    </w:p>
    <w:p w14:paraId="30AD2DB1" w14:textId="77777777" w:rsidR="003D7B5F" w:rsidRDefault="003D7B5F">
      <w:pPr>
        <w:sectPr w:rsidR="003D7B5F" w:rsidSect="0081460F">
          <w:type w:val="continuous"/>
          <w:pgSz w:w="11906" w:h="16838"/>
          <w:pgMar w:top="2835" w:right="1021" w:bottom="1134" w:left="1021" w:header="1361" w:footer="567" w:gutter="0"/>
          <w:cols w:num="2" w:space="720"/>
          <w:noEndnote/>
          <w:docGrid w:linePitch="299"/>
        </w:sectPr>
      </w:pPr>
    </w:p>
    <w:p w14:paraId="7EBE9D30" w14:textId="77777777" w:rsidR="003D7B5F" w:rsidRDefault="003D7B5F" w:rsidP="004A6646">
      <w:pPr>
        <w:pStyle w:val="Heading3"/>
      </w:pPr>
      <w:r w:rsidRPr="004A6646">
        <w:lastRenderedPageBreak/>
        <w:t>Actions</w:t>
      </w:r>
    </w:p>
    <w:p w14:paraId="71A13BFC" w14:textId="77777777" w:rsidR="003D7B5F" w:rsidRDefault="003D7B5F" w:rsidP="004A6646">
      <w:pPr>
        <w:pStyle w:val="List"/>
      </w:pPr>
      <w:r w:rsidRPr="004A6646">
        <w:rPr>
          <w:rStyle w:val="BlueBold"/>
        </w:rPr>
        <w:t>5.1</w:t>
      </w:r>
      <w:r w:rsidRPr="004A6646">
        <w:rPr>
          <w:rStyle w:val="BlueBold"/>
        </w:rPr>
        <w:tab/>
      </w:r>
      <w:r>
        <w:t>Members of the healthcare workforce seek to understand and respond to the individual healthcare preferences and needs of all people, families and carers.</w:t>
      </w:r>
    </w:p>
    <w:p w14:paraId="518734FF" w14:textId="77777777" w:rsidR="003D7B5F" w:rsidRDefault="003D7B5F" w:rsidP="004A6646">
      <w:pPr>
        <w:pStyle w:val="List"/>
      </w:pPr>
      <w:r w:rsidRPr="004A6646">
        <w:rPr>
          <w:rStyle w:val="BlueBold"/>
        </w:rPr>
        <w:t>5.2</w:t>
      </w:r>
      <w:r>
        <w:tab/>
        <w:t>Members of the healthcare workforce involve the person experiencing deterioration in mental state and, with permission, their families and carers, in shared decision making regarding treatment options.</w:t>
      </w:r>
    </w:p>
    <w:p w14:paraId="4B08FD9E" w14:textId="77777777" w:rsidR="003D7B5F" w:rsidRDefault="003D7B5F" w:rsidP="004A6646">
      <w:pPr>
        <w:pStyle w:val="List"/>
      </w:pPr>
      <w:r w:rsidRPr="004A6646">
        <w:rPr>
          <w:rStyle w:val="BlueBold"/>
        </w:rPr>
        <w:t>5.3</w:t>
      </w:r>
      <w:r>
        <w:tab/>
        <w:t xml:space="preserve">If a person’s mental state affects their capacity to participate in shared decision making and consent to treatment, members of the workforce engage substitute decision makers or nominated persons, in line with legislation. </w:t>
      </w:r>
    </w:p>
    <w:p w14:paraId="32F66E37" w14:textId="77777777" w:rsidR="003D7B5F" w:rsidRDefault="003D7B5F" w:rsidP="004A6646">
      <w:pPr>
        <w:pStyle w:val="List"/>
      </w:pPr>
      <w:r w:rsidRPr="004A6646">
        <w:rPr>
          <w:rStyle w:val="BlueBold"/>
        </w:rPr>
        <w:t>5.4</w:t>
      </w:r>
      <w:r>
        <w:tab/>
        <w:t>The mutual roles and responsibilities of different multidisciplinary team members and the person and their family and carers are clearly defined and understood by all those involved in a person’s care.</w:t>
      </w:r>
      <w:r w:rsidR="004A6646">
        <w:br w:type="column"/>
      </w:r>
    </w:p>
    <w:p w14:paraId="32EF0953" w14:textId="77777777" w:rsidR="003D7B5F" w:rsidRDefault="003D7B5F" w:rsidP="004A6646">
      <w:pPr>
        <w:pStyle w:val="List"/>
      </w:pPr>
      <w:r w:rsidRPr="004A6646">
        <w:rPr>
          <w:rStyle w:val="BlueBold"/>
        </w:rPr>
        <w:t>5.5</w:t>
      </w:r>
      <w:r>
        <w:tab/>
        <w:t>Members of the healthcare workforce recognise the scope of their expertise, and engage other multidisciplinary team members if a person is experiencing deterioration in mental, physical or cognitive state, which is outside their professional scope.</w:t>
      </w:r>
    </w:p>
    <w:p w14:paraId="17458AB9" w14:textId="77777777" w:rsidR="003D7B5F" w:rsidRDefault="003D7B5F" w:rsidP="004A6646">
      <w:pPr>
        <w:pStyle w:val="List"/>
      </w:pPr>
      <w:r w:rsidRPr="004A6646">
        <w:rPr>
          <w:rStyle w:val="BlueBold"/>
        </w:rPr>
        <w:t>5.6</w:t>
      </w:r>
      <w:r>
        <w:tab/>
        <w:t>Peer workers, Aboriginal and Torres Strait Islander, and bilingual mental health workers are engaged in responses to deterioration in a person’s mental state when appropriate and</w:t>
      </w:r>
      <w:r>
        <w:rPr>
          <w:rFonts w:cs="Arial"/>
        </w:rPr>
        <w:t> </w:t>
      </w:r>
      <w:r>
        <w:t>available.</w:t>
      </w:r>
    </w:p>
    <w:p w14:paraId="61E79F51" w14:textId="77777777" w:rsidR="003D7B5F" w:rsidRDefault="003D7B5F" w:rsidP="004A6646">
      <w:pPr>
        <w:pStyle w:val="List"/>
      </w:pPr>
      <w:r w:rsidRPr="004A6646">
        <w:rPr>
          <w:rStyle w:val="BlueBold"/>
        </w:rPr>
        <w:t>5.7</w:t>
      </w:r>
      <w:r>
        <w:tab/>
        <w:t>Team members with expertise in mental health provide leadership to develop the skills and capacity of other members of the healthcare workforce in relation to deterioration in mental state.</w:t>
      </w:r>
    </w:p>
    <w:p w14:paraId="0DD7C48A" w14:textId="77777777" w:rsidR="003D7B5F" w:rsidRDefault="003D7B5F">
      <w:pPr>
        <w:rPr>
          <w:rFonts w:ascii="Arial" w:hAnsi="Arial"/>
          <w:color w:val="000000" w:themeColor="text2"/>
          <w:sz w:val="20"/>
        </w:rPr>
      </w:pPr>
      <w:r>
        <w:br w:type="page"/>
      </w:r>
    </w:p>
    <w:p w14:paraId="299B9B01" w14:textId="77777777" w:rsidR="003D7B5F" w:rsidRDefault="003D7B5F" w:rsidP="004A6646">
      <w:pPr>
        <w:pStyle w:val="Heading3"/>
      </w:pPr>
      <w:r w:rsidRPr="004A6646">
        <w:lastRenderedPageBreak/>
        <w:t>Actions</w:t>
      </w:r>
    </w:p>
    <w:p w14:paraId="51964A08" w14:textId="77777777" w:rsidR="003D7B5F" w:rsidRDefault="003D7B5F" w:rsidP="004A6646">
      <w:pPr>
        <w:pStyle w:val="List"/>
        <w:ind w:right="-106"/>
      </w:pPr>
      <w:r w:rsidRPr="004A6646">
        <w:rPr>
          <w:rStyle w:val="BlueBold"/>
        </w:rPr>
        <w:t>6.1</w:t>
      </w:r>
      <w:r>
        <w:tab/>
        <w:t>Members of the healthcare workforce clearly communicate their assessment of deterioration in a person’s mental state, what they consider to be appropriate and feasible options for response, and any risks or potential side effects related to proposed interventions to the person, their family and carers.</w:t>
      </w:r>
    </w:p>
    <w:p w14:paraId="0DA2F87D" w14:textId="77777777" w:rsidR="003D7B5F" w:rsidRDefault="003D7B5F" w:rsidP="004A6646">
      <w:pPr>
        <w:pStyle w:val="List"/>
      </w:pPr>
      <w:r w:rsidRPr="004A6646">
        <w:rPr>
          <w:rStyle w:val="BlueBold"/>
        </w:rPr>
        <w:t>6.2</w:t>
      </w:r>
      <w:r>
        <w:tab/>
        <w:t>Members of the healthcare workforce communicate respectfully with the person experiencing deterioration in mental state, and their families and carers.</w:t>
      </w:r>
    </w:p>
    <w:p w14:paraId="4023963F" w14:textId="77777777" w:rsidR="003D7B5F" w:rsidRDefault="003D7B5F" w:rsidP="004A6646">
      <w:pPr>
        <w:pStyle w:val="List"/>
      </w:pPr>
      <w:r w:rsidRPr="004A6646">
        <w:rPr>
          <w:rStyle w:val="BlueBold"/>
        </w:rPr>
        <w:t>6.3</w:t>
      </w:r>
      <w:r>
        <w:tab/>
        <w:t>Members of the healthcare workforce communicate in a manner that is understandable and meets the needs of each person, their families and carers.</w:t>
      </w:r>
    </w:p>
    <w:p w14:paraId="3047C9A0" w14:textId="77777777" w:rsidR="003D7B5F" w:rsidRDefault="003D7B5F" w:rsidP="004A6646">
      <w:pPr>
        <w:pStyle w:val="List"/>
      </w:pPr>
      <w:r w:rsidRPr="004A6646">
        <w:rPr>
          <w:rStyle w:val="BlueBold"/>
        </w:rPr>
        <w:t>6.4</w:t>
      </w:r>
      <w:r>
        <w:tab/>
        <w:t>Members of the healthcare workforce use bilingual mental health workers or interpreters when providing care for people who experience deterioration in their mental state, who are not confident in speaking English.</w:t>
      </w:r>
    </w:p>
    <w:p w14:paraId="4D0ED7B1" w14:textId="77777777" w:rsidR="003D7B5F" w:rsidRDefault="003D7B5F" w:rsidP="004A6646">
      <w:pPr>
        <w:pStyle w:val="List"/>
      </w:pPr>
      <w:r w:rsidRPr="004A6646">
        <w:rPr>
          <w:rStyle w:val="BlueBold"/>
        </w:rPr>
        <w:t>6.5</w:t>
      </w:r>
      <w:r>
        <w:tab/>
        <w:t>Members of the healthcare workforce incorporate appropriate strategies and technologies to communicate with people with visual, auditory or other disabilities.</w:t>
      </w:r>
      <w:r w:rsidR="004A6646">
        <w:br w:type="column"/>
      </w:r>
    </w:p>
    <w:p w14:paraId="4D756F9A" w14:textId="77777777" w:rsidR="003D7B5F" w:rsidRDefault="003D7B5F" w:rsidP="004A6646">
      <w:pPr>
        <w:pStyle w:val="List"/>
      </w:pPr>
      <w:r w:rsidRPr="004A6646">
        <w:rPr>
          <w:rStyle w:val="BlueBold"/>
        </w:rPr>
        <w:t>6.6</w:t>
      </w:r>
      <w:r>
        <w:tab/>
        <w:t xml:space="preserve">Clinical communication is consistent with privacy legislation and mental health and guardianship acts. </w:t>
      </w:r>
    </w:p>
    <w:p w14:paraId="2D4739AB" w14:textId="77777777" w:rsidR="003D7B5F" w:rsidRDefault="003D7B5F" w:rsidP="004A6646">
      <w:pPr>
        <w:pStyle w:val="List"/>
      </w:pPr>
      <w:r w:rsidRPr="004A6646">
        <w:rPr>
          <w:rStyle w:val="BlueBold"/>
        </w:rPr>
        <w:t>6.7</w:t>
      </w:r>
      <w:r>
        <w:tab/>
        <w:t>Members of the healthcare workforce check with people accessing care about consent before sharing information with carers and other family members, and work with them to review their choices about privacy as their mental state changes.</w:t>
      </w:r>
    </w:p>
    <w:p w14:paraId="207C1CFB" w14:textId="77777777" w:rsidR="003D7B5F" w:rsidRDefault="003D7B5F" w:rsidP="004A6646">
      <w:pPr>
        <w:pStyle w:val="List"/>
      </w:pPr>
      <w:r w:rsidRPr="004A6646">
        <w:rPr>
          <w:rStyle w:val="BlueBold"/>
        </w:rPr>
        <w:t>6.8</w:t>
      </w:r>
      <w:r>
        <w:tab/>
        <w:t>Members of the healthcare workforce use clinical communication processes to effectively communicate critical information, alerts and risks when they emerge or change.</w:t>
      </w:r>
    </w:p>
    <w:p w14:paraId="54708414" w14:textId="77777777" w:rsidR="003D7B5F" w:rsidRDefault="003D7B5F" w:rsidP="004A6646">
      <w:pPr>
        <w:pStyle w:val="List"/>
        <w:spacing w:after="57"/>
      </w:pPr>
      <w:r w:rsidRPr="004A6646">
        <w:rPr>
          <w:rStyle w:val="BlueBold"/>
        </w:rPr>
        <w:t>6.9</w:t>
      </w:r>
      <w:r>
        <w:tab/>
        <w:t>Members of the healthcare workforce use processes for structured clinical handover to effectively communicate about a person’s health care, particularly when care is being</w:t>
      </w:r>
      <w:r>
        <w:rPr>
          <w:rFonts w:cs="Arial"/>
        </w:rPr>
        <w:t> </w:t>
      </w:r>
      <w:r>
        <w:t>transferred:</w:t>
      </w:r>
    </w:p>
    <w:p w14:paraId="7B87C443" w14:textId="77777777" w:rsidR="003D7B5F" w:rsidRDefault="003D7B5F" w:rsidP="004A6646">
      <w:pPr>
        <w:pStyle w:val="ListBullet2"/>
      </w:pPr>
      <w:r>
        <w:t>Between clinicians within the team</w:t>
      </w:r>
    </w:p>
    <w:p w14:paraId="228125BE" w14:textId="77777777" w:rsidR="003D7B5F" w:rsidRDefault="003D7B5F" w:rsidP="004A6646">
      <w:pPr>
        <w:pStyle w:val="ListBullet2"/>
      </w:pPr>
      <w:r>
        <w:t>Between multidisciplinary teams</w:t>
      </w:r>
    </w:p>
    <w:p w14:paraId="4F91B6F9" w14:textId="77777777" w:rsidR="003D7B5F" w:rsidRDefault="003D7B5F" w:rsidP="004A6646">
      <w:pPr>
        <w:pStyle w:val="ListBullet2"/>
      </w:pPr>
      <w:r>
        <w:t>Between organisations</w:t>
      </w:r>
    </w:p>
    <w:p w14:paraId="24255D34" w14:textId="77777777" w:rsidR="003D7B5F" w:rsidRDefault="003D7B5F" w:rsidP="004A6646">
      <w:pPr>
        <w:pStyle w:val="ListBullet2"/>
      </w:pPr>
      <w:r>
        <w:t>At discharge.</w:t>
      </w:r>
    </w:p>
    <w:p w14:paraId="48755933" w14:textId="77777777" w:rsidR="003D7B5F" w:rsidRDefault="003D7B5F" w:rsidP="003D7B5F">
      <w:pPr>
        <w:pStyle w:val="BodyText"/>
        <w:sectPr w:rsidR="003D7B5F" w:rsidSect="0081460F">
          <w:headerReference w:type="even" r:id="rId39"/>
          <w:headerReference w:type="default" r:id="rId40"/>
          <w:pgSz w:w="11906" w:h="16838"/>
          <w:pgMar w:top="2835" w:right="1021" w:bottom="1134" w:left="1021" w:header="1361" w:footer="567" w:gutter="0"/>
          <w:cols w:num="2" w:space="720"/>
          <w:noEndnote/>
          <w:docGrid w:linePitch="299"/>
        </w:sectPr>
      </w:pPr>
    </w:p>
    <w:p w14:paraId="58EBD40A" w14:textId="77777777" w:rsidR="003D7B5F" w:rsidRDefault="003D7B5F" w:rsidP="004A6646">
      <w:pPr>
        <w:pStyle w:val="DividerHeading"/>
      </w:pPr>
      <w:r>
        <w:lastRenderedPageBreak/>
        <w:br w:type="column"/>
      </w:r>
      <w:r>
        <w:lastRenderedPageBreak/>
        <w:t>Part C</w:t>
      </w:r>
    </w:p>
    <w:p w14:paraId="6A326DA7" w14:textId="77777777" w:rsidR="003D7B5F" w:rsidRDefault="003D7B5F" w:rsidP="004A6646">
      <w:pPr>
        <w:pStyle w:val="DividerSubheading"/>
      </w:pPr>
      <w:r w:rsidRPr="004A6646">
        <w:t>Organisational</w:t>
      </w:r>
      <w:r>
        <w:t xml:space="preserve"> supports</w:t>
      </w:r>
    </w:p>
    <w:p w14:paraId="2BA5A0B2" w14:textId="77777777" w:rsidR="002351B2" w:rsidRDefault="002351B2" w:rsidP="003D7B5F">
      <w:pPr>
        <w:pStyle w:val="BodyText"/>
      </w:pPr>
    </w:p>
    <w:p w14:paraId="0C129E44" w14:textId="77777777" w:rsidR="003D7B5F" w:rsidRDefault="003D7B5F">
      <w:pPr>
        <w:rPr>
          <w:rFonts w:ascii="Arial" w:hAnsi="Arial"/>
          <w:color w:val="000000" w:themeColor="text2"/>
          <w:sz w:val="20"/>
        </w:rPr>
      </w:pPr>
      <w:r>
        <w:br w:type="page"/>
      </w:r>
    </w:p>
    <w:p w14:paraId="414E42C3" w14:textId="77777777" w:rsidR="003D7B5F" w:rsidRPr="003D7B5F" w:rsidRDefault="003D7B5F" w:rsidP="004A6646">
      <w:pPr>
        <w:pStyle w:val="Heading3"/>
      </w:pPr>
      <w:r w:rsidRPr="003D7B5F">
        <w:lastRenderedPageBreak/>
        <w:t>Leadership and governance</w:t>
      </w:r>
    </w:p>
    <w:p w14:paraId="7264052F" w14:textId="77777777" w:rsidR="003D7B5F" w:rsidRPr="003D7B5F" w:rsidRDefault="003D7B5F" w:rsidP="004A6646">
      <w:pPr>
        <w:pStyle w:val="BodyTextLastPara"/>
      </w:pPr>
      <w:r w:rsidRPr="003D7B5F">
        <w:t xml:space="preserve">Successful and sustainable systems for delivering safe, high-quality care when recognising and responding to deterioration in a person’s mental state require a robust safety culture within health service organisations. Executive and clinical leaders at all levels of the organisation’s clinical and corporate governance structures can provide proactive and practical support to the multidisciplinary teams and managers responsible for delivering recognition and response systems. </w:t>
      </w:r>
    </w:p>
    <w:p w14:paraId="0227CDD2" w14:textId="77777777" w:rsidR="003D7B5F" w:rsidRPr="003D7B5F" w:rsidRDefault="003D7B5F" w:rsidP="004A6646">
      <w:pPr>
        <w:pStyle w:val="Heading3"/>
      </w:pPr>
      <w:r w:rsidRPr="003D7B5F">
        <w:t>Workforce development</w:t>
      </w:r>
    </w:p>
    <w:p w14:paraId="4C0F9A93" w14:textId="77777777" w:rsidR="003D7B5F" w:rsidRPr="003D7B5F" w:rsidRDefault="003D7B5F" w:rsidP="004A6646">
      <w:pPr>
        <w:pStyle w:val="BodyText"/>
      </w:pPr>
      <w:r w:rsidRPr="003D7B5F">
        <w:t>A suitably skilled and qualified healthcare workforce is integral to a health service organisation providing an appropriate response to deterioration in a person’s mental state. Health service organisations use recruitment processes to ensure that the healthcare workforce has the appropriate skill mix to deliver safe, effective and culturally competent care. Where appropriate, this may include recruitment of peer workers, Aboriginal and Torres Strait Islander, and bilingual mental health workers.</w:t>
      </w:r>
      <w:r w:rsidRPr="003D7B5F">
        <w:rPr>
          <w:vertAlign w:val="superscript"/>
        </w:rPr>
        <w:t>16</w:t>
      </w:r>
    </w:p>
    <w:p w14:paraId="0DA9D678" w14:textId="77777777" w:rsidR="003D7B5F" w:rsidRPr="003D7B5F" w:rsidRDefault="003D7B5F" w:rsidP="004A6646">
      <w:pPr>
        <w:pStyle w:val="BodyText"/>
      </w:pPr>
      <w:r w:rsidRPr="003D7B5F">
        <w:t xml:space="preserve">Members of the healthcare workforce benefit from ongoing professional development, accessed within the health service organisation, or through external training programs, to augment their skills. </w:t>
      </w:r>
    </w:p>
    <w:p w14:paraId="479574A3" w14:textId="77777777" w:rsidR="003D7B5F" w:rsidRPr="003D7B5F" w:rsidRDefault="003D7B5F" w:rsidP="004A6646">
      <w:pPr>
        <w:pStyle w:val="BodyText"/>
      </w:pPr>
      <w:r w:rsidRPr="003D7B5F">
        <w:t>Dealing with deterioration in mental state can be challenging for members of the multidisciplinary team, and for other healthcare workforce members such as ward clerks, porters and cleaners. It can add considerably to workplace stress. Chronic, unmanaged stress can erode empathy and potentially contribute to poorer experiences for people accessing health care. Members of the healthcare workforce should have access to peer support, mentoring and appropriate clinical</w:t>
      </w:r>
      <w:r w:rsidRPr="003D7B5F">
        <w:rPr>
          <w:rFonts w:cs="Arial"/>
        </w:rPr>
        <w:t> </w:t>
      </w:r>
      <w:r w:rsidRPr="003D7B5F">
        <w:t xml:space="preserve">supervision. </w:t>
      </w:r>
    </w:p>
    <w:p w14:paraId="4BA87026" w14:textId="77777777" w:rsidR="003D7B5F" w:rsidRPr="003D7B5F" w:rsidRDefault="004A6646" w:rsidP="00CA6823">
      <w:pPr>
        <w:pStyle w:val="Heading3"/>
      </w:pPr>
      <w:r>
        <w:rPr>
          <w:rFonts w:ascii="Helvetica 45 Light" w:hAnsi="Helvetica 45 Light" w:cs="Helvetica 45 Light"/>
          <w:color w:val="000000"/>
          <w:spacing w:val="4"/>
          <w:sz w:val="20"/>
          <w:szCs w:val="20"/>
        </w:rPr>
        <w:br w:type="column"/>
      </w:r>
      <w:r w:rsidR="003D7B5F" w:rsidRPr="003D7B5F">
        <w:lastRenderedPageBreak/>
        <w:t>Standardised processes to support high-quality care</w:t>
      </w:r>
    </w:p>
    <w:p w14:paraId="17E340F7" w14:textId="77777777" w:rsidR="003D7B5F" w:rsidRPr="003D7B5F" w:rsidRDefault="003D7B5F" w:rsidP="004A6646">
      <w:pPr>
        <w:pStyle w:val="Bodytextbeforebullets"/>
      </w:pPr>
      <w:r w:rsidRPr="003D7B5F">
        <w:t>Many health services have escalation protocols to respond to specific aspects of deterioration in a person’s mental state, including:</w:t>
      </w:r>
    </w:p>
    <w:p w14:paraId="0440116F" w14:textId="77777777" w:rsidR="003D7B5F" w:rsidRPr="003D7B5F" w:rsidRDefault="003D7B5F" w:rsidP="004A6646">
      <w:pPr>
        <w:pStyle w:val="ListBullet"/>
      </w:pPr>
      <w:r w:rsidRPr="003D7B5F">
        <w:t>A process for review by specialist mental health</w:t>
      </w:r>
      <w:r w:rsidRPr="003D7B5F">
        <w:rPr>
          <w:rFonts w:cs="Arial"/>
        </w:rPr>
        <w:t> </w:t>
      </w:r>
      <w:r w:rsidRPr="003D7B5F">
        <w:t>experts</w:t>
      </w:r>
    </w:p>
    <w:p w14:paraId="28E990AA" w14:textId="77777777" w:rsidR="003D7B5F" w:rsidRPr="003D7B5F" w:rsidRDefault="003D7B5F" w:rsidP="004A6646">
      <w:pPr>
        <w:pStyle w:val="ListBullet"/>
      </w:pPr>
      <w:r w:rsidRPr="003D7B5F">
        <w:t>Support for people who have thoughts of self</w:t>
      </w:r>
      <w:r w:rsidRPr="003D7B5F">
        <w:noBreakHyphen/>
        <w:t xml:space="preserve">harm, or who have harmed themselves </w:t>
      </w:r>
    </w:p>
    <w:p w14:paraId="235F8C39" w14:textId="77777777" w:rsidR="003D7B5F" w:rsidRPr="003D7B5F" w:rsidRDefault="003D7B5F" w:rsidP="004A6646">
      <w:pPr>
        <w:pStyle w:val="ListBullet"/>
      </w:pPr>
      <w:r w:rsidRPr="003D7B5F">
        <w:t>Support for people who have suicidal thoughts</w:t>
      </w:r>
    </w:p>
    <w:p w14:paraId="23931E9B" w14:textId="77777777" w:rsidR="003D7B5F" w:rsidRPr="003D7B5F" w:rsidRDefault="003D7B5F" w:rsidP="004A6646">
      <w:pPr>
        <w:pStyle w:val="ListBullet"/>
      </w:pPr>
      <w:r w:rsidRPr="003D7B5F">
        <w:t xml:space="preserve">Management of delirium </w:t>
      </w:r>
    </w:p>
    <w:p w14:paraId="5E09E71D" w14:textId="77777777" w:rsidR="003D7B5F" w:rsidRPr="003D7B5F" w:rsidRDefault="003D7B5F" w:rsidP="004A6646">
      <w:pPr>
        <w:pStyle w:val="ListBullet"/>
      </w:pPr>
      <w:r w:rsidRPr="003D7B5F">
        <w:t>Drug and alcohol intoxication or withdrawal</w:t>
      </w:r>
    </w:p>
    <w:p w14:paraId="3CF43653" w14:textId="77777777" w:rsidR="003D7B5F" w:rsidRPr="003D7B5F" w:rsidRDefault="003D7B5F" w:rsidP="004A6646">
      <w:pPr>
        <w:pStyle w:val="ListBullet"/>
      </w:pPr>
      <w:r w:rsidRPr="003D7B5F">
        <w:t xml:space="preserve">Management of aggression or violence </w:t>
      </w:r>
    </w:p>
    <w:p w14:paraId="7FD4F27A" w14:textId="77777777" w:rsidR="003D7B5F" w:rsidRPr="003D7B5F" w:rsidRDefault="003D7B5F" w:rsidP="004A6646">
      <w:pPr>
        <w:pStyle w:val="ListBulletLast"/>
      </w:pPr>
      <w:r w:rsidRPr="003D7B5F">
        <w:t>Discharge against medical advice, including an assessment of competency.</w:t>
      </w:r>
    </w:p>
    <w:p w14:paraId="27673AD7" w14:textId="77777777" w:rsidR="003D7B5F" w:rsidRPr="003D7B5F" w:rsidRDefault="003D7B5F" w:rsidP="004A6646">
      <w:pPr>
        <w:pStyle w:val="BodyTextLastPara"/>
      </w:pPr>
      <w:r w:rsidRPr="003D7B5F">
        <w:t>Technological systems such as My Health Record may also provide benefits to people, for example, by contributing to improved communication with external care providers and improved continuity and coordination of care as people are transferred in and out of acute health services.</w:t>
      </w:r>
    </w:p>
    <w:p w14:paraId="3E492226" w14:textId="77777777" w:rsidR="003D7B5F" w:rsidRPr="003D7B5F" w:rsidRDefault="003D7B5F" w:rsidP="004A6646">
      <w:pPr>
        <w:pStyle w:val="Heading3"/>
      </w:pPr>
      <w:r w:rsidRPr="003D7B5F">
        <w:t>Evaluation and feedback</w:t>
      </w:r>
    </w:p>
    <w:p w14:paraId="16AFCFB1" w14:textId="77777777" w:rsidR="003D7B5F" w:rsidRPr="00DD4C20" w:rsidRDefault="003D7B5F" w:rsidP="003D7B5F">
      <w:pPr>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170" w:line="260" w:lineRule="atLeast"/>
        <w:textAlignment w:val="center"/>
        <w:rPr>
          <w:rFonts w:ascii="Arial" w:hAnsi="Arial" w:cs="Arial"/>
          <w:color w:val="000000"/>
          <w:spacing w:val="4"/>
          <w:sz w:val="20"/>
          <w:szCs w:val="20"/>
        </w:rPr>
      </w:pPr>
      <w:r w:rsidRPr="00DD4C20">
        <w:rPr>
          <w:rFonts w:ascii="Arial" w:hAnsi="Arial" w:cs="Arial"/>
          <w:color w:val="000000"/>
          <w:spacing w:val="4"/>
          <w:sz w:val="20"/>
          <w:szCs w:val="20"/>
        </w:rPr>
        <w:t xml:space="preserve">Ongoing monitoring and evaluation of processes and systems for recognising and responding to deterioration in mental state is essential to establish their efficacy, track performance over time and determine priorities for improvement. </w:t>
      </w:r>
    </w:p>
    <w:p w14:paraId="71BF8281" w14:textId="77777777" w:rsidR="003D7B5F" w:rsidRPr="00DD4C20" w:rsidRDefault="003D7B5F" w:rsidP="003D7B5F">
      <w:pPr>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170" w:line="260" w:lineRule="atLeast"/>
        <w:textAlignment w:val="center"/>
        <w:rPr>
          <w:rFonts w:ascii="Arial" w:hAnsi="Arial" w:cs="Arial"/>
          <w:color w:val="000000"/>
          <w:spacing w:val="4"/>
          <w:sz w:val="20"/>
          <w:szCs w:val="20"/>
        </w:rPr>
      </w:pPr>
      <w:r w:rsidRPr="00DD4C20">
        <w:rPr>
          <w:rFonts w:ascii="Arial" w:hAnsi="Arial" w:cs="Arial"/>
          <w:color w:val="000000"/>
          <w:spacing w:val="4"/>
          <w:sz w:val="20"/>
          <w:szCs w:val="20"/>
        </w:rPr>
        <w:t>Evaluation should address the quality and safety of responses to deterioration in mental state, not just the potential preventability of adverse outcomes.</w:t>
      </w:r>
    </w:p>
    <w:p w14:paraId="5AFE7A76" w14:textId="77777777" w:rsidR="003D7B5F" w:rsidRDefault="003D7B5F" w:rsidP="003D7B5F">
      <w:pPr>
        <w:pStyle w:val="BodyText"/>
        <w:sectPr w:rsidR="003D7B5F" w:rsidSect="0081460F">
          <w:headerReference w:type="even" r:id="rId41"/>
          <w:headerReference w:type="default" r:id="rId42"/>
          <w:pgSz w:w="11906" w:h="16838"/>
          <w:pgMar w:top="2835" w:right="1021" w:bottom="1134" w:left="1021" w:header="1361" w:footer="567" w:gutter="0"/>
          <w:cols w:num="2" w:space="720"/>
          <w:noEndnote/>
          <w:docGrid w:linePitch="299"/>
        </w:sectPr>
      </w:pPr>
    </w:p>
    <w:p w14:paraId="6FACD469" w14:textId="77777777" w:rsidR="003D7B5F" w:rsidRDefault="003D7B5F" w:rsidP="004A6646">
      <w:pPr>
        <w:pStyle w:val="Heading3"/>
      </w:pPr>
      <w:r>
        <w:lastRenderedPageBreak/>
        <w:t>Actions</w:t>
      </w:r>
    </w:p>
    <w:p w14:paraId="545DAE4A" w14:textId="77777777" w:rsidR="003D7B5F" w:rsidRDefault="003D7B5F" w:rsidP="004A6646">
      <w:pPr>
        <w:pStyle w:val="List"/>
      </w:pPr>
      <w:r w:rsidRPr="004A6646">
        <w:rPr>
          <w:rStyle w:val="BlueBold"/>
        </w:rPr>
        <w:t>7.1</w:t>
      </w:r>
      <w:r w:rsidRPr="004A6646">
        <w:rPr>
          <w:rStyle w:val="BlueBold"/>
        </w:rPr>
        <w:tab/>
      </w:r>
      <w:r>
        <w:t>The health executive leads and sustains the development of a safety culture that incorporates recognition and response to deterioration in a person’s mental state in all parts of the health service.</w:t>
      </w:r>
    </w:p>
    <w:p w14:paraId="28F42753" w14:textId="77777777" w:rsidR="003D7B5F" w:rsidRDefault="003D7B5F" w:rsidP="004A6646">
      <w:pPr>
        <w:pStyle w:val="List"/>
      </w:pPr>
      <w:r w:rsidRPr="004A6646">
        <w:rPr>
          <w:rStyle w:val="BlueBold"/>
        </w:rPr>
        <w:t>7.2</w:t>
      </w:r>
      <w:r w:rsidRPr="004A6646">
        <w:rPr>
          <w:rStyle w:val="BlueBold"/>
        </w:rPr>
        <w:tab/>
      </w:r>
      <w:r>
        <w:t>The organisation has a formal governance process in place to oversee the development, implementation and ongoing review of systems for recognising and responding to deterioration in a person’s mental state.</w:t>
      </w:r>
    </w:p>
    <w:p w14:paraId="399557D8" w14:textId="77777777" w:rsidR="003D7B5F" w:rsidRDefault="003D7B5F" w:rsidP="004A6646">
      <w:pPr>
        <w:pStyle w:val="List"/>
      </w:pPr>
      <w:r w:rsidRPr="004A6646">
        <w:rPr>
          <w:rStyle w:val="BlueBold"/>
        </w:rPr>
        <w:t>7.3</w:t>
      </w:r>
      <w:r w:rsidRPr="004A6646">
        <w:rPr>
          <w:rStyle w:val="BlueBold"/>
        </w:rPr>
        <w:tab/>
      </w:r>
      <w:r>
        <w:t>People who use health services, and their families and carers, are partners in the development and governance of organisational systems for recognising and responding to deterioration in a person’s mental state.</w:t>
      </w:r>
    </w:p>
    <w:p w14:paraId="3157D841" w14:textId="77777777" w:rsidR="003D7B5F" w:rsidRDefault="003D7B5F" w:rsidP="004A6646">
      <w:pPr>
        <w:pStyle w:val="List"/>
      </w:pPr>
      <w:r w:rsidRPr="004A6646">
        <w:rPr>
          <w:rStyle w:val="BlueBold"/>
        </w:rPr>
        <w:t>7.4</w:t>
      </w:r>
      <w:r w:rsidRPr="004A6646">
        <w:rPr>
          <w:rStyle w:val="BlueBold"/>
        </w:rPr>
        <w:tab/>
      </w:r>
      <w:r>
        <w:t>The organisational approach to recognising and responding to deterioration in a person’s mental state is documented in a formal policy framework that operates together with recognition and response systems for people who experience deterioration in physical health and/or cognitive function.</w:t>
      </w:r>
    </w:p>
    <w:p w14:paraId="121006D7" w14:textId="77777777" w:rsidR="003D7B5F" w:rsidRDefault="003D7B5F" w:rsidP="004A6646">
      <w:pPr>
        <w:pStyle w:val="List"/>
      </w:pPr>
      <w:r w:rsidRPr="004A6646">
        <w:rPr>
          <w:rStyle w:val="BlueBold"/>
        </w:rPr>
        <w:t>7.5</w:t>
      </w:r>
      <w:r w:rsidRPr="004A6646">
        <w:rPr>
          <w:rStyle w:val="BlueBold"/>
        </w:rPr>
        <w:tab/>
      </w:r>
      <w:r>
        <w:t>The health service organisation communicates its policies and procedures to referring agencies, and their local communities.</w:t>
      </w:r>
      <w:r w:rsidR="004A6646">
        <w:br w:type="column"/>
      </w:r>
    </w:p>
    <w:p w14:paraId="0BE315B0" w14:textId="77777777" w:rsidR="003D7B5F" w:rsidRDefault="004A6646" w:rsidP="004A6646">
      <w:pPr>
        <w:pStyle w:val="List"/>
      </w:pPr>
      <w:r w:rsidRPr="004A6646">
        <w:rPr>
          <w:rStyle w:val="BlueBold"/>
        </w:rPr>
        <w:t>7.6</w:t>
      </w:r>
      <w:r w:rsidRPr="004A6646">
        <w:rPr>
          <w:rStyle w:val="BlueBold"/>
        </w:rPr>
        <w:tab/>
      </w:r>
      <w:r w:rsidRPr="004A6646">
        <w:t>The health service executive consider how best to allocate resources within the context of the organisation’s strategic plan to support the delivery and effective functioning of the systems for recognising and responding to deterioration in a person’s men</w:t>
      </w:r>
      <w:r>
        <w:t>tal state</w:t>
      </w:r>
      <w:r w:rsidR="003D7B5F">
        <w:t>.</w:t>
      </w:r>
    </w:p>
    <w:p w14:paraId="21C3C187" w14:textId="77777777" w:rsidR="003D7B5F" w:rsidRDefault="003D7B5F" w:rsidP="004A6646">
      <w:pPr>
        <w:pStyle w:val="List"/>
      </w:pPr>
      <w:r w:rsidRPr="004A6646">
        <w:rPr>
          <w:rStyle w:val="BlueBold"/>
        </w:rPr>
        <w:t>7.7</w:t>
      </w:r>
      <w:r w:rsidRPr="004A6646">
        <w:rPr>
          <w:rStyle w:val="BlueBold"/>
        </w:rPr>
        <w:tab/>
      </w:r>
      <w:r>
        <w:t xml:space="preserve">Appropriate policies and documentation about advance care planning for mental health decision making are in place, to ensure that the care delivered in response to deterioration in a person’s mental state is consistent with appropriate clinical practice, the person’s expressed wishes and </w:t>
      </w:r>
      <w:r w:rsidR="00DD4C20">
        <w:t>legislative</w:t>
      </w:r>
      <w:r w:rsidR="00DD4C20">
        <w:rPr>
          <w:rFonts w:cs="Arial"/>
        </w:rPr>
        <w:t xml:space="preserve">  </w:t>
      </w:r>
      <w:r>
        <w:t>requirements.</w:t>
      </w:r>
    </w:p>
    <w:p w14:paraId="6DE4218C" w14:textId="77777777" w:rsidR="003D7B5F" w:rsidRDefault="003D7B5F" w:rsidP="004A6646">
      <w:pPr>
        <w:pStyle w:val="List"/>
      </w:pPr>
      <w:r w:rsidRPr="004A6646">
        <w:rPr>
          <w:rStyle w:val="BlueBold"/>
        </w:rPr>
        <w:t>7.8</w:t>
      </w:r>
      <w:r w:rsidRPr="004A6646">
        <w:rPr>
          <w:rStyle w:val="BlueBold"/>
        </w:rPr>
        <w:tab/>
      </w:r>
      <w:r>
        <w:t>The health service organisation has processes to identify the capacity of a person to make decisions about their own care, and a substitute decision maker if the person does not have this capacity.</w:t>
      </w:r>
    </w:p>
    <w:p w14:paraId="63E7D8F7" w14:textId="77777777" w:rsidR="003D7B5F" w:rsidRDefault="003D7B5F">
      <w:pPr>
        <w:rPr>
          <w:rFonts w:ascii="Arial" w:hAnsi="Arial"/>
          <w:color w:val="000000" w:themeColor="text2"/>
          <w:sz w:val="20"/>
        </w:rPr>
      </w:pPr>
      <w:r>
        <w:br w:type="page"/>
      </w:r>
    </w:p>
    <w:p w14:paraId="507B6527" w14:textId="77777777" w:rsidR="003D7B5F" w:rsidRDefault="003D7B5F" w:rsidP="00630A89">
      <w:pPr>
        <w:pStyle w:val="Heading3"/>
      </w:pPr>
      <w:r>
        <w:lastRenderedPageBreak/>
        <w:t>Actions</w:t>
      </w:r>
    </w:p>
    <w:p w14:paraId="28E478D0" w14:textId="77777777" w:rsidR="003D7B5F" w:rsidRDefault="003D7B5F" w:rsidP="00CA6823">
      <w:pPr>
        <w:pStyle w:val="List"/>
      </w:pPr>
      <w:r w:rsidRPr="00CA6823">
        <w:rPr>
          <w:rStyle w:val="BlueBold"/>
        </w:rPr>
        <w:t>8.1</w:t>
      </w:r>
      <w:r w:rsidRPr="00CA6823">
        <w:rPr>
          <w:rStyle w:val="BlueBold"/>
        </w:rPr>
        <w:tab/>
      </w:r>
      <w:r>
        <w:t>The health service organisation uses recruitment processes to maintain a healthcare workforce with the capacity to recognise and respond to deterioration in a person’s mental</w:t>
      </w:r>
      <w:r>
        <w:rPr>
          <w:rFonts w:cs="Arial"/>
        </w:rPr>
        <w:t> </w:t>
      </w:r>
      <w:r>
        <w:t>state.</w:t>
      </w:r>
    </w:p>
    <w:p w14:paraId="5FFB8FC3" w14:textId="77777777" w:rsidR="003D7B5F" w:rsidRDefault="003D7B5F" w:rsidP="00CA6823">
      <w:pPr>
        <w:pStyle w:val="List"/>
      </w:pPr>
      <w:r w:rsidRPr="00CA6823">
        <w:rPr>
          <w:rStyle w:val="BlueBold"/>
        </w:rPr>
        <w:t>8.2</w:t>
      </w:r>
      <w:r w:rsidRPr="00CA6823">
        <w:rPr>
          <w:rStyle w:val="BlueBold"/>
        </w:rPr>
        <w:tab/>
      </w:r>
      <w:r>
        <w:t>Peer workers, Aboriginal and Torres Strait Islander, and bilingual mental health workers are integrated into the mental health workforce where available.</w:t>
      </w:r>
    </w:p>
    <w:p w14:paraId="50C721A0" w14:textId="77777777" w:rsidR="003D7B5F" w:rsidRDefault="003D7B5F" w:rsidP="00CA6823">
      <w:pPr>
        <w:pStyle w:val="List"/>
      </w:pPr>
      <w:r w:rsidRPr="00CA6823">
        <w:rPr>
          <w:rStyle w:val="BlueBold"/>
        </w:rPr>
        <w:t>8.3</w:t>
      </w:r>
      <w:r>
        <w:tab/>
        <w:t xml:space="preserve">All members of the multidisciplinary team receive education about their roles and responsibilities in relation to the local systems and processes in place for recognising and responding to deterioration in a person’s mental state. </w:t>
      </w:r>
    </w:p>
    <w:p w14:paraId="0261E5A6" w14:textId="77777777" w:rsidR="003D7B5F" w:rsidRDefault="003D7B5F" w:rsidP="00CA6823">
      <w:pPr>
        <w:pStyle w:val="List"/>
      </w:pPr>
      <w:r w:rsidRPr="00CA6823">
        <w:rPr>
          <w:rStyle w:val="BlueBold"/>
        </w:rPr>
        <w:t>8.4</w:t>
      </w:r>
      <w:r>
        <w:tab/>
        <w:t xml:space="preserve">People who have experienced deterioration in mental state, their families and carers are invited to participate in providing education about mental health care. </w:t>
      </w:r>
    </w:p>
    <w:p w14:paraId="00B3C1B6" w14:textId="77777777" w:rsidR="003D7B5F" w:rsidRDefault="003D7B5F" w:rsidP="00CA6823">
      <w:pPr>
        <w:pStyle w:val="List"/>
      </w:pPr>
      <w:r w:rsidRPr="00CA6823">
        <w:rPr>
          <w:rStyle w:val="BlueBold"/>
        </w:rPr>
        <w:t>8.5</w:t>
      </w:r>
      <w:r>
        <w:tab/>
        <w:t>Education covers medico-legal issues, including the relevant legislation in the state or territory of clinical practice.</w:t>
      </w:r>
      <w:r w:rsidR="00CA6823">
        <w:br w:type="column"/>
      </w:r>
    </w:p>
    <w:p w14:paraId="0B1B23A3" w14:textId="77777777" w:rsidR="003D7B5F" w:rsidRDefault="003D7B5F" w:rsidP="00CA6823">
      <w:pPr>
        <w:pStyle w:val="List"/>
      </w:pPr>
      <w:r w:rsidRPr="00CA6823">
        <w:rPr>
          <w:rStyle w:val="BlueBold"/>
        </w:rPr>
        <w:t>8.6</w:t>
      </w:r>
      <w:r>
        <w:tab/>
        <w:t>The principles of delivering health care that is culturally competent, recovery</w:t>
      </w:r>
      <w:r>
        <w:noBreakHyphen/>
        <w:t>oriented and trauma-informed are included in education.</w:t>
      </w:r>
    </w:p>
    <w:p w14:paraId="2B32D763" w14:textId="77777777" w:rsidR="003D7B5F" w:rsidRDefault="003D7B5F" w:rsidP="00CA6823">
      <w:pPr>
        <w:pStyle w:val="List"/>
      </w:pPr>
      <w:r w:rsidRPr="00CA6823">
        <w:rPr>
          <w:rStyle w:val="BlueBold"/>
        </w:rPr>
        <w:t>8.7</w:t>
      </w:r>
      <w:r w:rsidRPr="00CA6823">
        <w:rPr>
          <w:rStyle w:val="BlueBold"/>
        </w:rPr>
        <w:tab/>
      </w:r>
      <w:r>
        <w:t>Education includes specific training for providing mental health care to people with limited capacity to participate in shared decision making.</w:t>
      </w:r>
    </w:p>
    <w:p w14:paraId="587DBA00" w14:textId="77777777" w:rsidR="003D7B5F" w:rsidRDefault="003D7B5F" w:rsidP="00CA6823">
      <w:pPr>
        <w:pStyle w:val="List"/>
      </w:pPr>
      <w:r w:rsidRPr="00CA6823">
        <w:rPr>
          <w:rStyle w:val="BlueBold"/>
        </w:rPr>
        <w:t>8.8</w:t>
      </w:r>
      <w:r>
        <w:tab/>
        <w:t>All members of the multidisciplinary team receive education about how to recognise feelings of moral distress and burnout in themselves and their colleagues. They are supported to develop skills in self-care, reflective learning and providing peer support to colleagues, and are informed about how to seek help if required.</w:t>
      </w:r>
    </w:p>
    <w:p w14:paraId="6A557787" w14:textId="77777777" w:rsidR="003D7B5F" w:rsidRDefault="003D7B5F" w:rsidP="00CA6823">
      <w:pPr>
        <w:pStyle w:val="List"/>
        <w:sectPr w:rsidR="003D7B5F" w:rsidSect="0081460F">
          <w:headerReference w:type="even" r:id="rId43"/>
          <w:headerReference w:type="default" r:id="rId44"/>
          <w:pgSz w:w="11906" w:h="16838"/>
          <w:pgMar w:top="2835" w:right="1021" w:bottom="1134" w:left="1021" w:header="1361" w:footer="567" w:gutter="0"/>
          <w:cols w:num="2" w:space="720"/>
          <w:noEndnote/>
          <w:docGrid w:linePitch="299"/>
        </w:sectPr>
      </w:pPr>
      <w:r w:rsidRPr="00CA6823">
        <w:rPr>
          <w:rStyle w:val="BlueBold"/>
        </w:rPr>
        <w:t>8.9</w:t>
      </w:r>
      <w:r>
        <w:tab/>
        <w:t>The health service organisation makes clinical and reflective supervision available to members of the healthcare workforce.</w:t>
      </w:r>
    </w:p>
    <w:p w14:paraId="6BD7549A" w14:textId="77777777" w:rsidR="003D7B5F" w:rsidRDefault="003D7B5F" w:rsidP="00630A89">
      <w:pPr>
        <w:pStyle w:val="Heading3"/>
      </w:pPr>
      <w:r>
        <w:lastRenderedPageBreak/>
        <w:t>Actions</w:t>
      </w:r>
    </w:p>
    <w:p w14:paraId="3ED57AA0" w14:textId="77777777" w:rsidR="003D7B5F" w:rsidRDefault="003D7B5F" w:rsidP="00CA6823">
      <w:pPr>
        <w:pStyle w:val="List"/>
        <w:spacing w:after="57"/>
      </w:pPr>
      <w:r w:rsidRPr="00CA6823">
        <w:rPr>
          <w:rStyle w:val="BlueBold"/>
        </w:rPr>
        <w:t>9.1</w:t>
      </w:r>
      <w:r w:rsidRPr="00CA6823">
        <w:rPr>
          <w:rStyle w:val="BlueBold"/>
        </w:rPr>
        <w:tab/>
      </w:r>
      <w:r>
        <w:t>The health service organisation has a clear process for escalating care when deterioration in a person’s mental state is recognised, which</w:t>
      </w:r>
      <w:r>
        <w:rPr>
          <w:rFonts w:cs="Arial"/>
        </w:rPr>
        <w:t> </w:t>
      </w:r>
      <w:r>
        <w:t>includes:</w:t>
      </w:r>
    </w:p>
    <w:p w14:paraId="1ECE2E82" w14:textId="77777777" w:rsidR="003D7B5F" w:rsidRDefault="003D7B5F" w:rsidP="00CA6823">
      <w:pPr>
        <w:pStyle w:val="ListBullet2"/>
      </w:pPr>
      <w:r>
        <w:t>Clear thresholds for graded escalation of</w:t>
      </w:r>
      <w:r>
        <w:rPr>
          <w:rFonts w:cs="Arial"/>
        </w:rPr>
        <w:t> </w:t>
      </w:r>
      <w:r>
        <w:t>care</w:t>
      </w:r>
    </w:p>
    <w:p w14:paraId="66DAF7A8" w14:textId="77777777" w:rsidR="003D7B5F" w:rsidRDefault="003D7B5F" w:rsidP="00CA6823">
      <w:pPr>
        <w:pStyle w:val="ListBullet2"/>
      </w:pPr>
      <w:r>
        <w:t>Designation of roles and responsibilities for members of the healthcare workforce</w:t>
      </w:r>
    </w:p>
    <w:p w14:paraId="795BDE57" w14:textId="77777777" w:rsidR="003D7B5F" w:rsidRDefault="003D7B5F" w:rsidP="00CA6823">
      <w:pPr>
        <w:pStyle w:val="ListBullet2"/>
        <w:spacing w:after="170"/>
      </w:pPr>
      <w:r>
        <w:t>Time frames for response.</w:t>
      </w:r>
    </w:p>
    <w:p w14:paraId="546DA88A" w14:textId="77777777" w:rsidR="003D7B5F" w:rsidRDefault="003D7B5F" w:rsidP="00CA6823">
      <w:pPr>
        <w:pStyle w:val="List"/>
        <w:spacing w:after="57"/>
      </w:pPr>
      <w:r w:rsidRPr="00CA6823">
        <w:rPr>
          <w:rStyle w:val="BlueBold"/>
        </w:rPr>
        <w:t>9.2</w:t>
      </w:r>
      <w:r w:rsidRPr="00CA6823">
        <w:rPr>
          <w:rStyle w:val="BlueBold"/>
        </w:rPr>
        <w:tab/>
      </w:r>
      <w:r>
        <w:t>The escalation protocol is tailored to the specific health setting, taking into account:</w:t>
      </w:r>
    </w:p>
    <w:p w14:paraId="0DE79692" w14:textId="77777777" w:rsidR="003D7B5F" w:rsidRDefault="003D7B5F" w:rsidP="00CA6823">
      <w:pPr>
        <w:pStyle w:val="ListBullet2"/>
      </w:pPr>
      <w:r>
        <w:t>The size, location and role of the setting</w:t>
      </w:r>
    </w:p>
    <w:p w14:paraId="088809C0" w14:textId="77777777" w:rsidR="00CA6823" w:rsidRDefault="003D7B5F" w:rsidP="00CA6823">
      <w:pPr>
        <w:pStyle w:val="ListBullet2"/>
      </w:pPr>
      <w:r>
        <w:t>The available resources, including healthcare workforce skill mix</w:t>
      </w:r>
    </w:p>
    <w:p w14:paraId="65EAD2C1" w14:textId="77777777" w:rsidR="003D7B5F" w:rsidRDefault="003D7B5F" w:rsidP="00CA6823">
      <w:pPr>
        <w:pStyle w:val="ListBullet2"/>
        <w:spacing w:after="170"/>
      </w:pPr>
      <w:r>
        <w:t>The capacity to engage specialist help.</w:t>
      </w:r>
    </w:p>
    <w:p w14:paraId="7CA4254E" w14:textId="77777777" w:rsidR="003D7B5F" w:rsidRDefault="003D7B5F" w:rsidP="00CA6823">
      <w:pPr>
        <w:pStyle w:val="List"/>
      </w:pPr>
      <w:r w:rsidRPr="00CA6823">
        <w:rPr>
          <w:rStyle w:val="BlueBold"/>
        </w:rPr>
        <w:t>9.3</w:t>
      </w:r>
      <w:r w:rsidRPr="00CA6823">
        <w:rPr>
          <w:rStyle w:val="BlueBold"/>
        </w:rPr>
        <w:tab/>
      </w:r>
      <w:r>
        <w:t>The health service organisation develops and maintains partnerships with other organisations where they are required to provide safe and effective response to deterioration in a person’s mental or physical</w:t>
      </w:r>
      <w:r>
        <w:rPr>
          <w:rFonts w:cs="Arial"/>
        </w:rPr>
        <w:t> </w:t>
      </w:r>
      <w:r>
        <w:t>state.</w:t>
      </w:r>
    </w:p>
    <w:p w14:paraId="40381074" w14:textId="77777777" w:rsidR="003D7B5F" w:rsidRDefault="003D7B5F" w:rsidP="00CA6823">
      <w:pPr>
        <w:pStyle w:val="List"/>
      </w:pPr>
      <w:r w:rsidRPr="00CA6823">
        <w:rPr>
          <w:rStyle w:val="BlueBold"/>
        </w:rPr>
        <w:t>9.4</w:t>
      </w:r>
      <w:r>
        <w:tab/>
        <w:t xml:space="preserve">The health service organisation implements processes to improve communication between multidisciplinary teams within the organisation, and external health service partners at transitions of care. </w:t>
      </w:r>
      <w:r w:rsidR="00CA6823">
        <w:br w:type="column"/>
      </w:r>
    </w:p>
    <w:p w14:paraId="41DC1A5E" w14:textId="77777777" w:rsidR="003D7B5F" w:rsidRDefault="003D7B5F" w:rsidP="00CA6823">
      <w:pPr>
        <w:pStyle w:val="List"/>
      </w:pPr>
      <w:r w:rsidRPr="00CA6823">
        <w:rPr>
          <w:rStyle w:val="BlueBold"/>
        </w:rPr>
        <w:t>9.5</w:t>
      </w:r>
      <w:r w:rsidRPr="00CA6823">
        <w:rPr>
          <w:rStyle w:val="BlueBold"/>
        </w:rPr>
        <w:tab/>
      </w:r>
      <w:r>
        <w:t>Systems are in place to provide timely access to essential psychiatric medications.</w:t>
      </w:r>
    </w:p>
    <w:p w14:paraId="33EC5507" w14:textId="77777777" w:rsidR="003D7B5F" w:rsidRDefault="003D7B5F" w:rsidP="00CA6823">
      <w:pPr>
        <w:pStyle w:val="List"/>
      </w:pPr>
      <w:r w:rsidRPr="00CA6823">
        <w:rPr>
          <w:rStyle w:val="BlueBold"/>
        </w:rPr>
        <w:t>9.6</w:t>
      </w:r>
      <w:r w:rsidRPr="00CA6823">
        <w:rPr>
          <w:rStyle w:val="BlueBold"/>
        </w:rPr>
        <w:tab/>
      </w:r>
      <w:r>
        <w:t>The health service organisation provides members of the healthcare workforce with access to legal advice relating to delivery of treatment under mental health and other relevant legislation.</w:t>
      </w:r>
    </w:p>
    <w:p w14:paraId="0C86AEF5" w14:textId="77777777" w:rsidR="003D7B5F" w:rsidRDefault="003D7B5F" w:rsidP="00CA6823">
      <w:pPr>
        <w:pStyle w:val="List"/>
      </w:pPr>
      <w:r w:rsidRPr="00CA6823">
        <w:rPr>
          <w:rStyle w:val="BlueBold"/>
        </w:rPr>
        <w:t>9.7</w:t>
      </w:r>
      <w:r>
        <w:tab/>
        <w:t>Systems are in place to facilitate appropriate documentation about mental health, and to reduce the burden of documentation and data collection when possible.</w:t>
      </w:r>
    </w:p>
    <w:p w14:paraId="25F2B670" w14:textId="77777777" w:rsidR="003D7B5F" w:rsidRDefault="003D7B5F" w:rsidP="00CA6823">
      <w:pPr>
        <w:pStyle w:val="List"/>
      </w:pPr>
      <w:r w:rsidRPr="00CA6823">
        <w:rPr>
          <w:rStyle w:val="BlueBold"/>
        </w:rPr>
        <w:t>9.8</w:t>
      </w:r>
      <w:r w:rsidRPr="00CA6823">
        <w:rPr>
          <w:rStyle w:val="BlueBold"/>
        </w:rPr>
        <w:tab/>
      </w:r>
      <w:r>
        <w:t>The health service organisation maximises safety and quality of care through the design and maintenance of the environment.</w:t>
      </w:r>
    </w:p>
    <w:p w14:paraId="6B4D9A76" w14:textId="77777777" w:rsidR="003D7B5F" w:rsidRDefault="003D7B5F" w:rsidP="00CA6823">
      <w:pPr>
        <w:pStyle w:val="List"/>
      </w:pPr>
      <w:r w:rsidRPr="00CA6823">
        <w:rPr>
          <w:rStyle w:val="BlueBold"/>
        </w:rPr>
        <w:t>9.9</w:t>
      </w:r>
      <w:r w:rsidRPr="00CA6823">
        <w:rPr>
          <w:rStyle w:val="BlueBold"/>
        </w:rPr>
        <w:tab/>
      </w:r>
      <w:r>
        <w:t>The health service organisation provides access to a calm and quiet environment when it is clinically required.</w:t>
      </w:r>
    </w:p>
    <w:p w14:paraId="1B2B8E6A" w14:textId="77777777" w:rsidR="003D7B5F" w:rsidRDefault="003D7B5F">
      <w:pPr>
        <w:rPr>
          <w:rFonts w:ascii="Arial" w:hAnsi="Arial"/>
          <w:color w:val="000000" w:themeColor="text2"/>
          <w:sz w:val="20"/>
        </w:rPr>
      </w:pPr>
      <w:r>
        <w:br w:type="page"/>
      </w:r>
    </w:p>
    <w:p w14:paraId="7103418F" w14:textId="77777777" w:rsidR="003D7B5F" w:rsidRDefault="003D7B5F" w:rsidP="00CA6823">
      <w:pPr>
        <w:pStyle w:val="Heading3"/>
      </w:pPr>
      <w:r w:rsidRPr="00CA6823">
        <w:lastRenderedPageBreak/>
        <w:t>Actions</w:t>
      </w:r>
    </w:p>
    <w:p w14:paraId="24F70EFA" w14:textId="77777777" w:rsidR="003D7B5F" w:rsidRDefault="003D7B5F" w:rsidP="00CA6823">
      <w:pPr>
        <w:pStyle w:val="List"/>
      </w:pPr>
      <w:r w:rsidRPr="00CA6823">
        <w:rPr>
          <w:rStyle w:val="BlueBold"/>
        </w:rPr>
        <w:t>10.1</w:t>
      </w:r>
      <w:r>
        <w:tab/>
        <w:t>Data about the effectiveness of processes for recognising and responding to deterioration in mental state are collected, reviewed and reported to stakeholders.</w:t>
      </w:r>
    </w:p>
    <w:p w14:paraId="35064265" w14:textId="77777777" w:rsidR="003D7B5F" w:rsidRDefault="003D7B5F" w:rsidP="00CA6823">
      <w:pPr>
        <w:pStyle w:val="List"/>
      </w:pPr>
      <w:r w:rsidRPr="00AF6251">
        <w:rPr>
          <w:rStyle w:val="BlueBold"/>
        </w:rPr>
        <w:t>10.2</w:t>
      </w:r>
      <w:r w:rsidRPr="00AF6251">
        <w:rPr>
          <w:rStyle w:val="BlueBold"/>
        </w:rPr>
        <w:tab/>
      </w:r>
      <w:r>
        <w:t xml:space="preserve">Monitoring and evaluation strategies capture feedback about the quality of responses from multiple stakeholders, including people who have experienced deterioration in mental state, their families and carers, and members of the healthcare workforce from multiple disciplines. </w:t>
      </w:r>
    </w:p>
    <w:p w14:paraId="4C2DF1A9" w14:textId="77777777" w:rsidR="003D7B5F" w:rsidRDefault="003D7B5F" w:rsidP="00CA6823">
      <w:pPr>
        <w:pStyle w:val="List"/>
      </w:pPr>
      <w:r w:rsidRPr="00AF6251">
        <w:rPr>
          <w:rStyle w:val="BlueBold"/>
        </w:rPr>
        <w:t>10.3</w:t>
      </w:r>
      <w:r w:rsidRPr="00AF6251">
        <w:rPr>
          <w:rStyle w:val="BlueBold"/>
        </w:rPr>
        <w:tab/>
      </w:r>
      <w:r>
        <w:t>Evaluation and monitoring are simple, inexpensive, feasible, and use routinely collected data, and data linkage, where</w:t>
      </w:r>
      <w:r>
        <w:rPr>
          <w:rFonts w:cs="Arial"/>
        </w:rPr>
        <w:t> </w:t>
      </w:r>
      <w:r>
        <w:t>possible.</w:t>
      </w:r>
    </w:p>
    <w:p w14:paraId="199CB97D" w14:textId="77777777" w:rsidR="003D7B5F" w:rsidRDefault="003D7B5F" w:rsidP="00AF6251">
      <w:pPr>
        <w:pStyle w:val="List"/>
        <w:spacing w:after="57"/>
      </w:pPr>
      <w:r w:rsidRPr="00AF6251">
        <w:rPr>
          <w:rStyle w:val="BlueBold"/>
        </w:rPr>
        <w:t>10.4</w:t>
      </w:r>
      <w:r w:rsidRPr="00AF6251">
        <w:rPr>
          <w:rStyle w:val="BlueBold"/>
        </w:rPr>
        <w:tab/>
      </w:r>
      <w:r>
        <w:t>Methods for collecting data include:</w:t>
      </w:r>
    </w:p>
    <w:p w14:paraId="2C84A2C3" w14:textId="77777777" w:rsidR="003D7B5F" w:rsidRDefault="003D7B5F" w:rsidP="00AF6251">
      <w:pPr>
        <w:pStyle w:val="ListBullet2"/>
      </w:pPr>
      <w:r>
        <w:t>Tracking rates of use of restrictive practices (restraint and seclusion)</w:t>
      </w:r>
    </w:p>
    <w:p w14:paraId="7764EF13" w14:textId="77777777" w:rsidR="003D7B5F" w:rsidRDefault="003D7B5F" w:rsidP="00AF6251">
      <w:pPr>
        <w:pStyle w:val="ListBullet2"/>
      </w:pPr>
      <w:r>
        <w:t>Tracking rates of use of mental health legislation to treat people</w:t>
      </w:r>
    </w:p>
    <w:p w14:paraId="76349CBE" w14:textId="77777777" w:rsidR="003D7B5F" w:rsidRDefault="003D7B5F" w:rsidP="00AF6251">
      <w:pPr>
        <w:pStyle w:val="ListBullet2"/>
        <w:ind w:right="-248"/>
      </w:pPr>
      <w:r>
        <w:t>Retrospective audit of case notes (for</w:t>
      </w:r>
      <w:r>
        <w:rPr>
          <w:rFonts w:cs="Arial"/>
        </w:rPr>
        <w:t> </w:t>
      </w:r>
      <w:r>
        <w:t>example, documentation of shared decision making discussions, comprehensive care planning, nursing and other observations, and referral to specialist care)</w:t>
      </w:r>
    </w:p>
    <w:p w14:paraId="5B6E1424" w14:textId="77777777" w:rsidR="003D7B5F" w:rsidRDefault="003D7B5F" w:rsidP="00AF6251">
      <w:pPr>
        <w:pStyle w:val="ListBullet2"/>
        <w:ind w:right="-106"/>
      </w:pPr>
      <w:r>
        <w:t>Medication chart safety review (for example, were appropriate psychiatric medications prescribed and administered appropriately)</w:t>
      </w:r>
    </w:p>
    <w:p w14:paraId="2907914E" w14:textId="77777777" w:rsidR="003D7B5F" w:rsidRDefault="003D7B5F" w:rsidP="00AF6251">
      <w:pPr>
        <w:pStyle w:val="ListBullet2"/>
      </w:pPr>
      <w:r>
        <w:t xml:space="preserve">Follow up with families, carers, clinicians and other members of the healthcare workforce involved in a person’s mental health care </w:t>
      </w:r>
    </w:p>
    <w:p w14:paraId="225E2A37" w14:textId="77777777" w:rsidR="003D7B5F" w:rsidRDefault="003D7B5F" w:rsidP="00AF6251">
      <w:pPr>
        <w:pStyle w:val="ListBullet2"/>
      </w:pPr>
      <w:r>
        <w:t>The use of tools developed for specific settings (for example, consumer and carer</w:t>
      </w:r>
      <w:r>
        <w:rPr>
          <w:rFonts w:cs="Arial"/>
        </w:rPr>
        <w:t> </w:t>
      </w:r>
      <w:r>
        <w:t xml:space="preserve">surveys) </w:t>
      </w:r>
    </w:p>
    <w:p w14:paraId="11864165" w14:textId="77777777" w:rsidR="003D7B5F" w:rsidRDefault="003D7B5F" w:rsidP="00AF6251">
      <w:pPr>
        <w:pStyle w:val="ListBullet2"/>
      </w:pPr>
      <w:r>
        <w:t>Multidisciplinary mortality and morbidity</w:t>
      </w:r>
      <w:r>
        <w:rPr>
          <w:rFonts w:cs="Arial"/>
        </w:rPr>
        <w:t> </w:t>
      </w:r>
      <w:r>
        <w:t>review.</w:t>
      </w:r>
      <w:r w:rsidR="00AF6251">
        <w:br w:type="column"/>
      </w:r>
    </w:p>
    <w:p w14:paraId="6687891E" w14:textId="77777777" w:rsidR="003D7B5F" w:rsidRDefault="003D7B5F" w:rsidP="00CA6823">
      <w:pPr>
        <w:pStyle w:val="List"/>
      </w:pPr>
      <w:r w:rsidRPr="00AF6251">
        <w:rPr>
          <w:rStyle w:val="BlueBold"/>
        </w:rPr>
        <w:t>10.5</w:t>
      </w:r>
      <w:r w:rsidRPr="00AF6251">
        <w:rPr>
          <w:rStyle w:val="BlueBold"/>
        </w:rPr>
        <w:tab/>
      </w:r>
      <w:r>
        <w:t>The local use of restrictive practices is routinely reviewed against local and national benchmarks and subject to continuous quality improvement.</w:t>
      </w:r>
    </w:p>
    <w:p w14:paraId="78A44466" w14:textId="77777777" w:rsidR="00BB2182" w:rsidRDefault="003D7B5F" w:rsidP="00CA6823">
      <w:pPr>
        <w:pStyle w:val="List"/>
        <w:sectPr w:rsidR="00BB2182" w:rsidSect="0081460F">
          <w:headerReference w:type="even" r:id="rId45"/>
          <w:headerReference w:type="default" r:id="rId46"/>
          <w:pgSz w:w="11906" w:h="16838"/>
          <w:pgMar w:top="2835" w:right="1021" w:bottom="1134" w:left="1021" w:header="1361" w:footer="567" w:gutter="0"/>
          <w:cols w:num="2" w:space="720"/>
          <w:noEndnote/>
          <w:docGrid w:linePitch="299"/>
        </w:sectPr>
      </w:pPr>
      <w:r w:rsidRPr="00AF6251">
        <w:rPr>
          <w:rStyle w:val="BlueBold"/>
        </w:rPr>
        <w:t>10.6</w:t>
      </w:r>
      <w:r>
        <w:tab/>
        <w:t>All critical incidents are routinely reviewed to determine whether the quality and safety of the response to deterioration in a person’s mental state was appropriate, and in what ways it could have been improved. People who have experienced deterioration in mental state are represented in review processes.</w:t>
      </w:r>
    </w:p>
    <w:p w14:paraId="50E0EA99" w14:textId="77777777" w:rsidR="00BB2182" w:rsidRDefault="00BB2182" w:rsidP="00AF6251">
      <w:pPr>
        <w:pStyle w:val="ReferenceNumbering"/>
      </w:pPr>
      <w:r>
        <w:lastRenderedPageBreak/>
        <w:t>1.</w:t>
      </w:r>
      <w:r>
        <w:tab/>
        <w:t>Australian Commission on Safety and Quality in Health Care. National consensus statement: essential elements for recognising and responding to acute physiological deterioration. 2nd ed. Sydney:</w:t>
      </w:r>
      <w:r>
        <w:rPr>
          <w:rFonts w:cs="Arial"/>
        </w:rPr>
        <w:t> </w:t>
      </w:r>
      <w:r>
        <w:t>ACSQHC; 2017.</w:t>
      </w:r>
    </w:p>
    <w:p w14:paraId="5F94DF00" w14:textId="77777777" w:rsidR="00BB2182" w:rsidRDefault="00BB2182" w:rsidP="00AF6251">
      <w:pPr>
        <w:pStyle w:val="ReferenceNumbering"/>
      </w:pPr>
      <w:r>
        <w:t>2.</w:t>
      </w:r>
      <w:r>
        <w:tab/>
        <w:t>Australian Commission on Safety and Quality in Health Care. Delirium Clinical Care Standard. Sydney:</w:t>
      </w:r>
      <w:r>
        <w:rPr>
          <w:rFonts w:cs="Arial"/>
        </w:rPr>
        <w:t> </w:t>
      </w:r>
      <w:r>
        <w:t>ACSQHC; 2016.</w:t>
      </w:r>
    </w:p>
    <w:p w14:paraId="6D3BE0A8" w14:textId="77777777" w:rsidR="00BB2182" w:rsidRDefault="00BB2182" w:rsidP="00AF6251">
      <w:pPr>
        <w:pStyle w:val="ReferenceNumbering"/>
      </w:pPr>
      <w:r>
        <w:t>3.</w:t>
      </w:r>
      <w:r>
        <w:tab/>
        <w:t>Australian Commission on Safety and Quality in Health Care. A better way to care: Safe and high-quality care for patients with cognitive impairment (dementia and delirium) in hospital – Actions for health service managers. Sydney: ACSQHC; 2014.</w:t>
      </w:r>
    </w:p>
    <w:p w14:paraId="2D268F2F" w14:textId="77777777" w:rsidR="00BB2182" w:rsidRDefault="00BB2182" w:rsidP="00AF6251">
      <w:pPr>
        <w:pStyle w:val="ReferenceNumbering"/>
      </w:pPr>
      <w:r>
        <w:t>4.</w:t>
      </w:r>
      <w:r>
        <w:tab/>
        <w:t>Australian Commission on Safety and Quality in Health Care. A better way to care: Safe and high-quality care for patients with cognitive impairment (dementia and delirium) in hospital – Actions for clinicians. Sydney: ACSQHC; 2014.</w:t>
      </w:r>
    </w:p>
    <w:p w14:paraId="3B4FC52F" w14:textId="77777777" w:rsidR="00BB2182" w:rsidRDefault="00BB2182" w:rsidP="00AF6251">
      <w:pPr>
        <w:pStyle w:val="ReferenceNumbering"/>
      </w:pPr>
      <w:r>
        <w:t>5.</w:t>
      </w:r>
      <w:r>
        <w:tab/>
        <w:t>Australian Commission on Safety and Quality in Health Care. National Safety and Quality Health Service Standard 2: Partnering with Consumers. Sydney: ACSQHC; 2011.</w:t>
      </w:r>
    </w:p>
    <w:p w14:paraId="7E4C5E02" w14:textId="77777777" w:rsidR="00BB2182" w:rsidRDefault="00BB2182" w:rsidP="00AF6251">
      <w:pPr>
        <w:pStyle w:val="ReferenceNumbering"/>
      </w:pPr>
      <w:r>
        <w:t>6.</w:t>
      </w:r>
      <w:r>
        <w:tab/>
        <w:t>National Health and Medical Research Council. Cultural Competency in Health: A guide for policy, partnerships and participation. Canberra: Commonwealth of Australia; 2005.</w:t>
      </w:r>
    </w:p>
    <w:p w14:paraId="52BF6CEF" w14:textId="77777777" w:rsidR="00BB2182" w:rsidRDefault="00BB2182" w:rsidP="00AF6251">
      <w:pPr>
        <w:pStyle w:val="ReferenceNumbering"/>
      </w:pPr>
      <w:r>
        <w:t>7.</w:t>
      </w:r>
      <w:r>
        <w:tab/>
        <w:t>Cross TL, Bazron BJ, Dennis KW, Isaacs MR. Towards a Culturally Competent System of Care. Washington: National Technical Assistance Center for Children’s Mental Health, Georgetown University Child Development Center; 1989.</w:t>
      </w:r>
    </w:p>
    <w:p w14:paraId="14C2F08F" w14:textId="77777777" w:rsidR="00BB2182" w:rsidRDefault="00BB2182" w:rsidP="00AF6251">
      <w:pPr>
        <w:pStyle w:val="ReferenceNumbering"/>
      </w:pPr>
      <w:r>
        <w:t>8.</w:t>
      </w:r>
      <w:r>
        <w:tab/>
        <w:t>Australian Commission on Safety and Quality in Health Care. Scoping Study on the Implementation of National Standards in Mental Health Services. Sydney: ACSQHC, 2014.</w:t>
      </w:r>
    </w:p>
    <w:p w14:paraId="1593485D" w14:textId="77777777" w:rsidR="00BB2182" w:rsidRDefault="00BB2182" w:rsidP="00AF6251">
      <w:pPr>
        <w:pStyle w:val="ReferenceNumbering"/>
      </w:pPr>
      <w:r>
        <w:t>9.</w:t>
      </w:r>
      <w:r>
        <w:tab/>
        <w:t>Mental Health in Multicultural Australia. Framework for Mental Health in Multicultural Australia: Towards</w:t>
      </w:r>
      <w:r>
        <w:rPr>
          <w:rFonts w:cs="Arial"/>
        </w:rPr>
        <w:t> </w:t>
      </w:r>
      <w:r>
        <w:t>culturally inclusive service delivery. Brisbane: Mental Health in Multicultural Australia; 2014.</w:t>
      </w:r>
    </w:p>
    <w:p w14:paraId="4E4BC3EB" w14:textId="77777777" w:rsidR="00BB2182" w:rsidRDefault="00BB2182" w:rsidP="00AF6251">
      <w:pPr>
        <w:pStyle w:val="ReferenceNumbering"/>
      </w:pPr>
      <w:r>
        <w:t>10.</w:t>
      </w:r>
      <w:r>
        <w:tab/>
        <w:t>National LGBTI Health Alliance. LGBTI Cultural Competency Framework: Including LGBTI people in mental health and suicide prevention organisations. Newtown: National LGBTI Health Alliance; 2013.</w:t>
      </w:r>
    </w:p>
    <w:p w14:paraId="4BA7E7AF" w14:textId="77777777" w:rsidR="00BB2182" w:rsidRDefault="00BB2182" w:rsidP="00AF6251">
      <w:pPr>
        <w:pStyle w:val="ReferenceNumbering"/>
        <w:ind w:right="-201"/>
      </w:pPr>
      <w:r>
        <w:t>11.</w:t>
      </w:r>
      <w:r>
        <w:tab/>
        <w:t>Dudgeon P, Milroy H, Walker R, editors. Working Together: Aboriginal and Torres Strait Islander Mental Health and Wellbeing Principles and Practice. 2nd ed. Canberra: Commonwealth of Australia; 2014.</w:t>
      </w:r>
    </w:p>
    <w:p w14:paraId="03701233" w14:textId="77777777" w:rsidR="00BB2182" w:rsidRDefault="00BB2182" w:rsidP="00AF6251">
      <w:pPr>
        <w:pStyle w:val="ReferenceNumbering"/>
      </w:pPr>
      <w:r>
        <w:t>12.</w:t>
      </w:r>
      <w:r>
        <w:tab/>
        <w:t>Commonwealth of Australia. A national framework for recovery-oriented mental health services: Policy</w:t>
      </w:r>
      <w:r>
        <w:rPr>
          <w:rFonts w:cs="Arial"/>
        </w:rPr>
        <w:t> </w:t>
      </w:r>
      <w:r>
        <w:t>and theory. Canberra: Commonwealth of Australia; 2013.</w:t>
      </w:r>
    </w:p>
    <w:p w14:paraId="7D76D809" w14:textId="77777777" w:rsidR="00BB2182" w:rsidRDefault="00BB2182" w:rsidP="00AF6251">
      <w:pPr>
        <w:pStyle w:val="ReferenceNumbering"/>
      </w:pPr>
      <w:r>
        <w:t>13.</w:t>
      </w:r>
      <w:r>
        <w:tab/>
        <w:t>Commonwealth of Australia. National Standards for Mental Health Services 2010. Canberra: Commonwealth of Australia; 2010.</w:t>
      </w:r>
    </w:p>
    <w:p w14:paraId="534AC33C" w14:textId="77777777" w:rsidR="00BB2182" w:rsidRDefault="00BB2182" w:rsidP="00AF6251">
      <w:pPr>
        <w:pStyle w:val="ReferenceNumbering"/>
      </w:pPr>
      <w:r>
        <w:t>14.</w:t>
      </w:r>
      <w:r>
        <w:tab/>
        <w:t>Commonwealth of Australia. A national framework for recovery-oriented mental health services: guide</w:t>
      </w:r>
      <w:r>
        <w:rPr>
          <w:rFonts w:cs="Arial"/>
        </w:rPr>
        <w:t> </w:t>
      </w:r>
      <w:r>
        <w:t>for practitioners and providers. Canberra: Commonwealth of Australia; 2013.</w:t>
      </w:r>
    </w:p>
    <w:p w14:paraId="7630B946" w14:textId="77777777" w:rsidR="00BB2182" w:rsidRDefault="00BB2182" w:rsidP="00AF6251">
      <w:pPr>
        <w:pStyle w:val="ReferenceNumbering"/>
      </w:pPr>
      <w:r>
        <w:t>15.</w:t>
      </w:r>
      <w:r>
        <w:tab/>
        <w:t>Mental Health Coordinating Council, Bateman J, Henderson C, Kezelman C. Trauma-Informed Care and Practice: Towards a cultural shift in policy reform across mental health and human services in Australia, A National Strategic Direction. Sydney: Mental Health Coordinating Council; 2013.</w:t>
      </w:r>
    </w:p>
    <w:p w14:paraId="4640A286" w14:textId="77777777" w:rsidR="00BB2182" w:rsidRDefault="00BB2182" w:rsidP="00AF6251">
      <w:pPr>
        <w:pStyle w:val="ReferenceNumbering"/>
      </w:pPr>
      <w:r>
        <w:t>16.</w:t>
      </w:r>
      <w:r>
        <w:tab/>
        <w:t>Dudgeon P, Milroy J, Calma T, Luxford Y, Ring I, Walker R, et al. Solutions That Work: What the evidence and our people tell us. Aboriginal and Torres Strait Islander Suicide Prevention Evaluation Project Report. Crawley: University of Western Australia; 2016.</w:t>
      </w:r>
    </w:p>
    <w:p w14:paraId="38A7BE54" w14:textId="77777777" w:rsidR="00BB2182" w:rsidRDefault="00BB2182" w:rsidP="00AF6251">
      <w:pPr>
        <w:pStyle w:val="ReferenceNumbering"/>
      </w:pPr>
      <w:r>
        <w:lastRenderedPageBreak/>
        <w:t>17.</w:t>
      </w:r>
      <w:r>
        <w:tab/>
        <w:t>National Mental Health Consumer &amp; Carer Forum. Ending Seclusion and Restraint in Australian Mental Health Services. 2009.</w:t>
      </w:r>
    </w:p>
    <w:p w14:paraId="163D7994" w14:textId="77777777" w:rsidR="00BB2182" w:rsidRDefault="00BB2182" w:rsidP="00AF6251">
      <w:pPr>
        <w:pStyle w:val="ReferenceNumbering"/>
      </w:pPr>
      <w:r>
        <w:t>18.</w:t>
      </w:r>
      <w:r>
        <w:tab/>
        <w:t>National Mental Health Commission. A case for change: Position paper on seclusion, restraint and restrictive practices in mental health services. Sydney: National Mental Health Commission; 2015.</w:t>
      </w:r>
    </w:p>
    <w:p w14:paraId="4F6DED2B" w14:textId="77777777" w:rsidR="00BB2182" w:rsidRDefault="00BB2182" w:rsidP="00AF6251">
      <w:pPr>
        <w:pStyle w:val="ReferenceNumbering"/>
      </w:pPr>
      <w:r>
        <w:t>19.</w:t>
      </w:r>
      <w:r>
        <w:tab/>
        <w:t>National Mental Health Working Group. National safety priorities in mental health: a national plan for reducing harm. Canberra: Commonwealth of Australia; 2005.</w:t>
      </w:r>
    </w:p>
    <w:p w14:paraId="4730729F" w14:textId="77777777" w:rsidR="00BB2182" w:rsidRDefault="00BB2182" w:rsidP="00AF6251">
      <w:pPr>
        <w:pStyle w:val="ReferenceNumbering"/>
      </w:pPr>
      <w:r>
        <w:t>20.</w:t>
      </w:r>
      <w:r>
        <w:tab/>
        <w:t xml:space="preserve">Australian Institute of Health and Welfare. Use of restrictive practices during admitted patient care. Canberra: Australian Institute of Health and Welfare; 2015 [cited 2016 10 Feb]; Available from: </w:t>
      </w:r>
      <w:r>
        <w:br/>
        <w:t>https://mhsa.aihw.gov.au/services/admitted-patient/restrictive-practices/</w:t>
      </w:r>
    </w:p>
    <w:p w14:paraId="28AA1C19" w14:textId="77777777" w:rsidR="00BB2182" w:rsidRDefault="00BB2182" w:rsidP="00AF6251">
      <w:pPr>
        <w:pStyle w:val="ReferenceNumbering"/>
      </w:pPr>
      <w:r>
        <w:t>21.</w:t>
      </w:r>
      <w:r>
        <w:tab/>
        <w:t>Australian Commission on Safety and Quality in Health Care. National Safety and Quality Health Service Standards. Sydney: ACSQHC; 2012.</w:t>
      </w:r>
    </w:p>
    <w:p w14:paraId="2104B8DC" w14:textId="77777777" w:rsidR="00BB2182" w:rsidRDefault="00BB2182" w:rsidP="00AF6251">
      <w:pPr>
        <w:pStyle w:val="ReferenceNumbering"/>
      </w:pPr>
      <w:r>
        <w:t>22.</w:t>
      </w:r>
      <w:r>
        <w:tab/>
        <w:t>Working Group of the Clinical Technical and Ethical Committee of the Australian Health Ministers’ Advisory Council. A national framework for advance care directives. Adelaide: Australian Health Ministers’ Advisory Council; 2011.</w:t>
      </w:r>
    </w:p>
    <w:p w14:paraId="4D34983A" w14:textId="77777777" w:rsidR="00BB2182" w:rsidRDefault="00BB2182" w:rsidP="00AF6251">
      <w:pPr>
        <w:pStyle w:val="ReferenceNumbering"/>
      </w:pPr>
      <w:r>
        <w:t>23.</w:t>
      </w:r>
      <w:r>
        <w:tab/>
        <w:t>Department of Social Services. Carer Recognition Act 2010 Guidelines: A guide for Australian Public Service Agencies for the implementation of the Carer Recognition Act 2010. Canberra: Department of Social Services; 2016.</w:t>
      </w:r>
    </w:p>
    <w:p w14:paraId="75C0CDC5" w14:textId="77777777" w:rsidR="00BB2182" w:rsidRDefault="00BB2182" w:rsidP="00AF6251">
      <w:pPr>
        <w:pStyle w:val="ReferenceNumbering"/>
      </w:pPr>
      <w:r>
        <w:t>24.</w:t>
      </w:r>
      <w:r>
        <w:tab/>
        <w:t>Price O, Baker J. Key components of de-escalation techniques: A thematic synthesis. International journal of mental health nursing. 2012;21(4):310–9.</w:t>
      </w:r>
    </w:p>
    <w:p w14:paraId="00A30391" w14:textId="77777777" w:rsidR="00BB2182" w:rsidRDefault="00BB2182" w:rsidP="00AF6251">
      <w:pPr>
        <w:pStyle w:val="ReferenceNumbering"/>
      </w:pPr>
      <w:r>
        <w:t>25.</w:t>
      </w:r>
      <w:r>
        <w:tab/>
        <w:t>Mitchell G, Tieman J, Shelby-James T. Multidisciplinary care planning and teamwork in primary care. Medical Journal of Australia. 2008;188(8):S61.</w:t>
      </w:r>
    </w:p>
    <w:p w14:paraId="08CC950A" w14:textId="77777777" w:rsidR="00BB2182" w:rsidRDefault="00BB2182" w:rsidP="00AF6251">
      <w:pPr>
        <w:pStyle w:val="ReferenceNumbering"/>
      </w:pPr>
      <w:r>
        <w:t>26.</w:t>
      </w:r>
      <w:r>
        <w:tab/>
        <w:t>Department of Health. Nursing observation and the assessment and immediate management of suicide, self-harm, aggression and absconding risks in psychiatric inpatient units. Melbourne: Department of Health, State Government of Victoria; 2013.</w:t>
      </w:r>
    </w:p>
    <w:p w14:paraId="2B7E5F6D" w14:textId="77777777" w:rsidR="00BB2182" w:rsidRDefault="00BB2182" w:rsidP="00AF6251">
      <w:pPr>
        <w:pStyle w:val="ReferenceNumbering"/>
      </w:pPr>
      <w:r>
        <w:t>27.</w:t>
      </w:r>
      <w:r>
        <w:tab/>
        <w:t>Health Workforce Australia. Mental Health Peer Workforce Study. Adelaide: Health Workforce Australia;</w:t>
      </w:r>
      <w:r>
        <w:rPr>
          <w:rFonts w:cs="Arial"/>
        </w:rPr>
        <w:t> </w:t>
      </w:r>
      <w:r>
        <w:t>2014.</w:t>
      </w:r>
    </w:p>
    <w:p w14:paraId="2A1F9FD2" w14:textId="77777777" w:rsidR="00BB2182" w:rsidRDefault="00BB2182" w:rsidP="00AF6251">
      <w:pPr>
        <w:pStyle w:val="ReferenceNumbering"/>
      </w:pPr>
      <w:r>
        <w:t>28.</w:t>
      </w:r>
      <w:r>
        <w:tab/>
        <w:t>Australian College of Nursing. Person-centred care: Position statement. Australian College of Nursing;</w:t>
      </w:r>
      <w:r>
        <w:rPr>
          <w:rFonts w:cs="Arial"/>
        </w:rPr>
        <w:t> </w:t>
      </w:r>
      <w:r>
        <w:t>2014.</w:t>
      </w:r>
    </w:p>
    <w:p w14:paraId="1A42F480" w14:textId="77777777" w:rsidR="00BB2182" w:rsidRDefault="00BB2182" w:rsidP="00AF6251">
      <w:pPr>
        <w:pStyle w:val="ReferenceNumbering"/>
      </w:pPr>
      <w:r>
        <w:t>29.</w:t>
      </w:r>
      <w:r>
        <w:tab/>
        <w:t>Australian Wound Management Association. Pan Pacific clinical practice guideline for the prevention and</w:t>
      </w:r>
      <w:r>
        <w:rPr>
          <w:rFonts w:cs="Arial"/>
        </w:rPr>
        <w:t> </w:t>
      </w:r>
      <w:r>
        <w:t>management of pressure injury. Osborne Park: Cambridge Media; 2012.</w:t>
      </w:r>
    </w:p>
    <w:p w14:paraId="15AA8CFC" w14:textId="77777777" w:rsidR="00BB2182" w:rsidRDefault="00BB2182" w:rsidP="00AF6251">
      <w:pPr>
        <w:pStyle w:val="ReferenceNumbering"/>
      </w:pPr>
      <w:r>
        <w:t>30.</w:t>
      </w:r>
      <w:r>
        <w:tab/>
        <w:t>Department of Health. Clinical Supervision: Framework for WA Mental Health services and clinicians. Perth: Department of Health, WA; 2005.</w:t>
      </w:r>
    </w:p>
    <w:p w14:paraId="4AEF5D66" w14:textId="77777777" w:rsidR="00455B37" w:rsidRDefault="00BB2182" w:rsidP="00AF6251">
      <w:pPr>
        <w:pStyle w:val="ReferenceNumbering"/>
        <w:sectPr w:rsidR="00455B37" w:rsidSect="0081460F">
          <w:headerReference w:type="even" r:id="rId47"/>
          <w:headerReference w:type="default" r:id="rId48"/>
          <w:pgSz w:w="11906" w:h="16838"/>
          <w:pgMar w:top="2835" w:right="1021" w:bottom="1134" w:left="1021" w:header="1361" w:footer="567" w:gutter="0"/>
          <w:cols w:space="720"/>
          <w:noEndnote/>
          <w:docGrid w:linePitch="299"/>
        </w:sectPr>
      </w:pPr>
      <w:r>
        <w:t>31.</w:t>
      </w:r>
      <w:r>
        <w:tab/>
        <w:t>Department of Health. Mental health triage tool. Canberra: Australian Government Department of Health; 2013 [cited 2016 23 May]. Available from: http://www.health.gov.au/internet/publications/publishing.nsf/Content/triageqrg~triageqrg-mh</w:t>
      </w:r>
    </w:p>
    <w:p w14:paraId="5BDEFCF0" w14:textId="77777777" w:rsidR="00455B37" w:rsidRDefault="00455B37" w:rsidP="00AF6251">
      <w:pPr>
        <w:pStyle w:val="AppendixSubheading"/>
      </w:pPr>
      <w:r>
        <w:lastRenderedPageBreak/>
        <w:t>Appendix A:</w:t>
      </w:r>
      <w:r>
        <w:t> </w:t>
      </w:r>
      <w:r>
        <w:t>Terms used in this document</w:t>
      </w:r>
    </w:p>
    <w:p w14:paraId="149A747B" w14:textId="77777777" w:rsidR="003D7B5F" w:rsidRDefault="00455B37" w:rsidP="00BB2182">
      <w:pPr>
        <w:pStyle w:val="BodyText"/>
      </w:pPr>
      <w:r>
        <w:t>There is a lack of clarity and agreement about the meaning of many terms that are commonly used in relation to recognising and responding to deterioration in a person’s mental state. It is important for all those involved in the provision of mental health care to have a common understanding about what such terms mean in practice. Some common terms, and descriptions of what they mean in the context of this document, are listed in this</w:t>
      </w:r>
      <w:r>
        <w:rPr>
          <w:rFonts w:cs="Arial"/>
        </w:rPr>
        <w:t> </w:t>
      </w:r>
      <w:r>
        <w:t xml:space="preserve">appendix. </w:t>
      </w:r>
    </w:p>
    <w:tbl>
      <w:tblPr>
        <w:tblStyle w:val="SAQ290Table"/>
        <w:tblW w:w="9864" w:type="dxa"/>
        <w:tbl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insideH w:val="dashSmallGap" w:sz="6" w:space="0" w:color="008EAB" w:themeColor="accent2"/>
          <w:insideV w:val="dashSmallGap" w:sz="6" w:space="0" w:color="008EAB" w:themeColor="accent2"/>
        </w:tblBorders>
        <w:tblLayout w:type="fixed"/>
        <w:tblLook w:val="0020" w:firstRow="1" w:lastRow="0" w:firstColumn="0" w:lastColumn="0" w:noHBand="0" w:noVBand="0"/>
        <w:tblCaption w:val="Terms Used in this document"/>
      </w:tblPr>
      <w:tblGrid>
        <w:gridCol w:w="3061"/>
        <w:gridCol w:w="6756"/>
        <w:gridCol w:w="47"/>
      </w:tblGrid>
      <w:tr w:rsidR="00455B37" w:rsidRPr="00455B37" w14:paraId="5EF19434" w14:textId="77777777" w:rsidTr="001C29A2">
        <w:trPr>
          <w:cnfStyle w:val="100000000000" w:firstRow="1" w:lastRow="0"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735EBD" w14:textId="77777777" w:rsidR="00455B37" w:rsidRPr="00455B37" w:rsidRDefault="00455B37" w:rsidP="00AF6251">
            <w:pPr>
              <w:pStyle w:val="TableHeading"/>
            </w:pPr>
            <w:r w:rsidRPr="00455B37">
              <w:t>Term</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063A25" w14:textId="77777777" w:rsidR="00455B37" w:rsidRPr="00455B37" w:rsidRDefault="00455B37" w:rsidP="00AF6251">
            <w:pPr>
              <w:pStyle w:val="TableHeading"/>
              <w:cnfStyle w:val="100000000000" w:firstRow="1" w:lastRow="0" w:firstColumn="0" w:lastColumn="0" w:oddVBand="0" w:evenVBand="0" w:oddHBand="0" w:evenHBand="0" w:firstRowFirstColumn="0" w:firstRowLastColumn="0" w:lastRowFirstColumn="0" w:lastRowLastColumn="0"/>
            </w:pPr>
            <w:r w:rsidRPr="00455B37">
              <w:t>Description</w:t>
            </w:r>
          </w:p>
        </w:tc>
      </w:tr>
      <w:tr w:rsidR="00455B37" w:rsidRPr="00455B37" w14:paraId="7F7DBE58" w14:textId="77777777" w:rsidTr="001C29A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CF64E8" w14:textId="77777777" w:rsidR="00455B37" w:rsidRPr="00455B37" w:rsidRDefault="00455B37" w:rsidP="00455B37">
            <w:pPr>
              <w:pStyle w:val="TableText"/>
            </w:pPr>
            <w:r w:rsidRPr="00455B37">
              <w:t>acute healthcare facility</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5F0633" w14:textId="77777777" w:rsidR="00455B37" w:rsidRPr="00455B37" w:rsidRDefault="00455B37" w:rsidP="00455B37">
            <w:pPr>
              <w:pStyle w:val="TableText"/>
              <w:cnfStyle w:val="000000100000" w:firstRow="0" w:lastRow="0" w:firstColumn="0" w:lastColumn="0" w:oddVBand="0" w:evenVBand="0" w:oddHBand="1" w:evenHBand="0" w:firstRowFirstColumn="0" w:firstRowLastColumn="0" w:lastRowFirstColumn="0" w:lastRowLastColumn="0"/>
            </w:pPr>
            <w:r w:rsidRPr="00455B37">
              <w:t>A hospital or other healthcare facility providing healthcare services to people for short periods of acute illness, injury or recovery.</w:t>
            </w:r>
            <w:r w:rsidRPr="00455B37">
              <w:rPr>
                <w:vertAlign w:val="superscript"/>
              </w:rPr>
              <w:t>21</w:t>
            </w:r>
          </w:p>
        </w:tc>
      </w:tr>
      <w:tr w:rsidR="00455B37" w:rsidRPr="00455B37" w14:paraId="1355F9D8" w14:textId="77777777" w:rsidTr="001C29A2">
        <w:trPr>
          <w:cnfStyle w:val="000000010000" w:firstRow="0" w:lastRow="0" w:firstColumn="0" w:lastColumn="0" w:oddVBand="0" w:evenVBand="0" w:oddHBand="0" w:evenHBand="1"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5FC44C9" w14:textId="77777777" w:rsidR="00455B37" w:rsidRPr="00455B37" w:rsidRDefault="00455B37" w:rsidP="00455B37">
            <w:pPr>
              <w:pStyle w:val="TableText"/>
            </w:pPr>
            <w:r w:rsidRPr="00455B37">
              <w:t>advance care plan</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9E78E97" w14:textId="77777777" w:rsidR="00455B37" w:rsidRPr="00455B37" w:rsidRDefault="00455B37" w:rsidP="00455B37">
            <w:pPr>
              <w:pStyle w:val="TableText"/>
              <w:cnfStyle w:val="000000010000" w:firstRow="0" w:lastRow="0" w:firstColumn="0" w:lastColumn="0" w:oddVBand="0" w:evenVBand="0" w:oddHBand="0" w:evenHBand="1" w:firstRowFirstColumn="0" w:firstRowLastColumn="0" w:lastRowFirstColumn="0" w:lastRowLastColumn="0"/>
            </w:pPr>
            <w:r w:rsidRPr="00455B37">
              <w:t>A plan that states preferences about health and personal care, and preferred health outcomes. An advance care planning discussion will often result in an advance care plan. Plans should be made on the person’s behalf and should be prepared from the person’s perspective to guide decisions about care.</w:t>
            </w:r>
            <w:r w:rsidRPr="00455B37">
              <w:rPr>
                <w:vertAlign w:val="superscript"/>
              </w:rPr>
              <w:t>22</w:t>
            </w:r>
          </w:p>
        </w:tc>
      </w:tr>
      <w:tr w:rsidR="00455B37" w:rsidRPr="00455B37" w14:paraId="20B1113C" w14:textId="77777777" w:rsidTr="001C29A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5E95C7" w14:textId="77777777" w:rsidR="00455B37" w:rsidRPr="00455B37" w:rsidRDefault="00455B37" w:rsidP="00455B37">
            <w:pPr>
              <w:pStyle w:val="TableText"/>
            </w:pPr>
            <w:r w:rsidRPr="00455B37">
              <w:t>assessment/comprehensive assessment</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A4E9FB" w14:textId="77777777" w:rsidR="00455B37" w:rsidRPr="00455B37" w:rsidRDefault="00455B37" w:rsidP="00455B37">
            <w:pPr>
              <w:pStyle w:val="TableText"/>
              <w:cnfStyle w:val="000000100000" w:firstRow="0" w:lastRow="0" w:firstColumn="0" w:lastColumn="0" w:oddVBand="0" w:evenVBand="0" w:oddHBand="1" w:evenHBand="0" w:firstRowFirstColumn="0" w:firstRowLastColumn="0" w:lastRowFirstColumn="0" w:lastRowLastColumn="0"/>
            </w:pPr>
            <w:r w:rsidRPr="00455B37">
              <w:t>A clinician’s evaluation of the disease or condition based on the person’s subjective report of the symptoms and course of the illness or condition, and the clinician’s objective findings, including data obtained through laboratory tests, physical examination, medical history, and information reported by carers, family members and other members of the healthcare team.</w:t>
            </w:r>
            <w:r w:rsidRPr="00455B37">
              <w:rPr>
                <w:vertAlign w:val="superscript"/>
              </w:rPr>
              <w:t>3</w:t>
            </w:r>
          </w:p>
        </w:tc>
      </w:tr>
      <w:tr w:rsidR="00455B37" w:rsidRPr="00455B37" w14:paraId="0A75AC09" w14:textId="77777777" w:rsidTr="001C29A2">
        <w:trPr>
          <w:cnfStyle w:val="000000010000" w:firstRow="0" w:lastRow="0" w:firstColumn="0" w:lastColumn="0" w:oddVBand="0" w:evenVBand="0" w:oddHBand="0" w:evenHBand="1"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EEF679" w14:textId="77777777" w:rsidR="00455B37" w:rsidRPr="00455B37" w:rsidRDefault="00455B37" w:rsidP="00455B37">
            <w:pPr>
              <w:pStyle w:val="TableText"/>
            </w:pPr>
            <w:r w:rsidRPr="00455B37">
              <w:t>carer</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726B54" w14:textId="77777777" w:rsidR="00455B37" w:rsidRPr="00455B37" w:rsidRDefault="00455B37" w:rsidP="0081460F">
            <w:pPr>
              <w:pStyle w:val="TableText"/>
              <w:spacing w:after="170"/>
              <w:cnfStyle w:val="000000010000" w:firstRow="0" w:lastRow="0" w:firstColumn="0" w:lastColumn="0" w:oddVBand="0" w:evenVBand="0" w:oddHBand="0" w:evenHBand="1" w:firstRowFirstColumn="0" w:firstRowLastColumn="0" w:lastRowFirstColumn="0" w:lastRowLastColumn="0"/>
            </w:pPr>
            <w:r w:rsidRPr="00455B37">
              <w:t>A person who provides personal care, support and assistance to another individual who needs it because that other individual has a disability, medical condition (including a terminal or chronic illness), a</w:t>
            </w:r>
            <w:r w:rsidRPr="00455B37">
              <w:rPr>
                <w:rFonts w:cs="Arial"/>
              </w:rPr>
              <w:t> </w:t>
            </w:r>
            <w:r w:rsidRPr="00455B37">
              <w:t xml:space="preserve">mental illness, or is frail and aged. </w:t>
            </w:r>
          </w:p>
          <w:p w14:paraId="5D8C5A84" w14:textId="77777777" w:rsidR="00455B37" w:rsidRPr="00455B37" w:rsidRDefault="00455B37" w:rsidP="0081460F">
            <w:pPr>
              <w:pStyle w:val="TableText"/>
              <w:spacing w:after="170"/>
              <w:cnfStyle w:val="000000010000" w:firstRow="0" w:lastRow="0" w:firstColumn="0" w:lastColumn="0" w:oddVBand="0" w:evenVBand="0" w:oddHBand="0" w:evenHBand="1" w:firstRowFirstColumn="0" w:firstRowLastColumn="0" w:lastRowFirstColumn="0" w:lastRowLastColumn="0"/>
            </w:pPr>
            <w:r w:rsidRPr="00455B37">
              <w:t>A person is not a carer for the purpose of the legislation if they only provide care, support or assistance either for payment, such as a care or support worker, or as a volunteer for an organisation, or as part of the requirements of a course of education or training.</w:t>
            </w:r>
          </w:p>
          <w:p w14:paraId="6C797475" w14:textId="77777777" w:rsidR="00455B37" w:rsidRPr="00455B37" w:rsidRDefault="00455B37" w:rsidP="00455B37">
            <w:pPr>
              <w:pStyle w:val="TableText"/>
              <w:cnfStyle w:val="000000010000" w:firstRow="0" w:lastRow="0" w:firstColumn="0" w:lastColumn="0" w:oddVBand="0" w:evenVBand="0" w:oddHBand="0" w:evenHBand="1" w:firstRowFirstColumn="0" w:firstRowLastColumn="0" w:lastRowFirstColumn="0" w:lastRowLastColumn="0"/>
            </w:pPr>
            <w:r w:rsidRPr="00455B37">
              <w:t>An individual is not a carer merely because he or she is the spouse, de</w:t>
            </w:r>
            <w:r w:rsidRPr="00455B37">
              <w:rPr>
                <w:rFonts w:cs="Arial"/>
              </w:rPr>
              <w:t> </w:t>
            </w:r>
            <w:r w:rsidRPr="00455B37">
              <w:t>facto partner, parent, child or other relative of an individual, or is the guardian of an individual, or lives with an individual who requires care.</w:t>
            </w:r>
            <w:r w:rsidRPr="00455B37">
              <w:rPr>
                <w:vertAlign w:val="superscript"/>
              </w:rPr>
              <w:t>23</w:t>
            </w:r>
          </w:p>
        </w:tc>
      </w:tr>
      <w:tr w:rsidR="00455B37" w:rsidRPr="00455B37" w14:paraId="0D740518" w14:textId="77777777" w:rsidTr="001C29A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558EBD" w14:textId="77777777" w:rsidR="00455B37" w:rsidRPr="00455B37" w:rsidRDefault="00455B37" w:rsidP="00455B37">
            <w:pPr>
              <w:pStyle w:val="TableText"/>
            </w:pPr>
            <w:r w:rsidRPr="00455B37">
              <w:t>clinician</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51CEB6" w14:textId="77777777" w:rsidR="00455B37" w:rsidRPr="00455B37" w:rsidRDefault="00455B37" w:rsidP="00455B37">
            <w:pPr>
              <w:pStyle w:val="TableText"/>
              <w:cnfStyle w:val="000000100000" w:firstRow="0" w:lastRow="0" w:firstColumn="0" w:lastColumn="0" w:oddVBand="0" w:evenVBand="0" w:oddHBand="1" w:evenHBand="0" w:firstRowFirstColumn="0" w:firstRowLastColumn="0" w:lastRowFirstColumn="0" w:lastRowLastColumn="0"/>
            </w:pPr>
            <w:r w:rsidRPr="00455B37">
              <w:t>A healthcare provider, trained as a health practitioner, including registered and non-registered practitioners. Clinicians may provide care within a health service organisation as an employee, a contractor or a credentialed healthcare provider, or under other working arrangements not specified here. They may include nurses, medical practitioners, allied health practitioners, technicians, scientists and other clinicians who provide health care, and students who provide health care under</w:t>
            </w:r>
            <w:r w:rsidRPr="00455B37">
              <w:rPr>
                <w:rFonts w:cs="Arial"/>
              </w:rPr>
              <w:t> </w:t>
            </w:r>
            <w:r w:rsidRPr="00455B37">
              <w:t>supervision.</w:t>
            </w:r>
          </w:p>
        </w:tc>
      </w:tr>
      <w:tr w:rsidR="00455B37" w:rsidRPr="00455B37" w14:paraId="6F05243B" w14:textId="77777777" w:rsidTr="001C29A2">
        <w:trPr>
          <w:cnfStyle w:val="000000010000" w:firstRow="0" w:lastRow="0" w:firstColumn="0" w:lastColumn="0" w:oddVBand="0" w:evenVBand="0" w:oddHBand="0" w:evenHBand="1"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F42FA1" w14:textId="77777777" w:rsidR="00455B37" w:rsidRPr="00455B37" w:rsidRDefault="00455B37" w:rsidP="00455B37">
            <w:pPr>
              <w:pStyle w:val="TableText"/>
            </w:pPr>
            <w:r w:rsidRPr="00455B37">
              <w:lastRenderedPageBreak/>
              <w:t>cultural competence</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D3F905" w14:textId="77777777" w:rsidR="00455B37" w:rsidRPr="00455B37" w:rsidRDefault="00455B37" w:rsidP="00455B37">
            <w:pPr>
              <w:pStyle w:val="TableText"/>
              <w:cnfStyle w:val="000000010000" w:firstRow="0" w:lastRow="0" w:firstColumn="0" w:lastColumn="0" w:oddVBand="0" w:evenVBand="0" w:oddHBand="0" w:evenHBand="1" w:firstRowFirstColumn="0" w:firstRowLastColumn="0" w:lastRowFirstColumn="0" w:lastRowLastColumn="0"/>
            </w:pPr>
            <w:r w:rsidRPr="00455B37">
              <w:t>A set of congruent behaviours, attitudes, and policies that come together in a system, agency or among professionals and enable that system, agency or those professions to work effectively in cross</w:t>
            </w:r>
            <w:r w:rsidRPr="00455B37">
              <w:noBreakHyphen/>
              <w:t>cultural situations.</w:t>
            </w:r>
            <w:r w:rsidRPr="0081460F">
              <w:rPr>
                <w:vertAlign w:val="superscript"/>
              </w:rPr>
              <w:t>7</w:t>
            </w:r>
            <w:r w:rsidRPr="00455B37">
              <w:t xml:space="preserve"> Cultural competence focuses on the capacity of the health system to improve health and wellbeing by integrating culture into the delivery of health</w:t>
            </w:r>
            <w:r w:rsidRPr="00455B37">
              <w:rPr>
                <w:rFonts w:cs="Arial"/>
              </w:rPr>
              <w:t> </w:t>
            </w:r>
            <w:r w:rsidRPr="00455B37">
              <w:t>services.</w:t>
            </w:r>
            <w:r w:rsidRPr="0081460F">
              <w:rPr>
                <w:vertAlign w:val="superscript"/>
              </w:rPr>
              <w:t>6</w:t>
            </w:r>
          </w:p>
        </w:tc>
      </w:tr>
      <w:tr w:rsidR="00455B37" w:rsidRPr="00455B37" w14:paraId="1F11BF06" w14:textId="77777777" w:rsidTr="001C29A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4BEF75" w14:textId="77777777" w:rsidR="00455B37" w:rsidRPr="00455B37" w:rsidRDefault="00455B37" w:rsidP="00455B37">
            <w:pPr>
              <w:pStyle w:val="TableText"/>
            </w:pPr>
            <w:r w:rsidRPr="00455B37">
              <w:t>de-escalation</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2E3772" w14:textId="77777777" w:rsidR="00455B37" w:rsidRPr="00455B37" w:rsidRDefault="00455B37" w:rsidP="00455B37">
            <w:pPr>
              <w:pStyle w:val="TableText"/>
              <w:cnfStyle w:val="000000100000" w:firstRow="0" w:lastRow="0" w:firstColumn="0" w:lastColumn="0" w:oddVBand="0" w:evenVBand="0" w:oddHBand="1" w:evenHBand="0" w:firstRowFirstColumn="0" w:firstRowLastColumn="0" w:lastRowFirstColumn="0" w:lastRowLastColumn="0"/>
            </w:pPr>
            <w:r w:rsidRPr="00455B37">
              <w:t>De-escalation techniques consist of a variety of psychosocial techniques aimed at reducing violent and/or disruptive behaviour. They are intended to reduce or eliminate the risk of violence during the escalation phase, through the use of verbal and non-verbal communication skills. De-escalation is about establishing rapport to gain the patient’s trust, minimising restriction to protect their self</w:t>
            </w:r>
            <w:r w:rsidRPr="00455B37">
              <w:noBreakHyphen/>
              <w:t>esteem, appearing externally calm and self-aware in the face of aggressive behaviour, and intuitively identifying creative and flexible interventions that will reduce the need for aggression.</w:t>
            </w:r>
            <w:r w:rsidRPr="0081460F">
              <w:rPr>
                <w:vertAlign w:val="superscript"/>
              </w:rPr>
              <w:t>24</w:t>
            </w:r>
          </w:p>
        </w:tc>
      </w:tr>
      <w:tr w:rsidR="00455B37" w:rsidRPr="00455B37" w14:paraId="248E4A2C" w14:textId="77777777" w:rsidTr="001C29A2">
        <w:trPr>
          <w:cnfStyle w:val="000000010000" w:firstRow="0" w:lastRow="0" w:firstColumn="0" w:lastColumn="0" w:oddVBand="0" w:evenVBand="0" w:oddHBand="0" w:evenHBand="1"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D9FBEA" w14:textId="77777777" w:rsidR="00455B37" w:rsidRPr="00455B37" w:rsidRDefault="00455B37" w:rsidP="00455B37">
            <w:pPr>
              <w:pStyle w:val="TableText"/>
            </w:pPr>
            <w:r w:rsidRPr="00455B37">
              <w:t>deterioration in mental state</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A1E2FF" w14:textId="77777777" w:rsidR="00455B37" w:rsidRPr="00455B37" w:rsidRDefault="00455B37" w:rsidP="00455B37">
            <w:pPr>
              <w:pStyle w:val="TableText"/>
              <w:cnfStyle w:val="000000010000" w:firstRow="0" w:lastRow="0" w:firstColumn="0" w:lastColumn="0" w:oddVBand="0" w:evenVBand="0" w:oddHBand="0" w:evenHBand="1" w:firstRowFirstColumn="0" w:firstRowLastColumn="0" w:lastRowFirstColumn="0" w:lastRowLastColumn="0"/>
            </w:pPr>
            <w:r w:rsidRPr="00455B37">
              <w:t>Change in a person’s perception, cognitive function or mood which negatively influences their capacity to function as they would typically</w:t>
            </w:r>
            <w:r w:rsidRPr="00455B37">
              <w:rPr>
                <w:rFonts w:cs="Arial"/>
              </w:rPr>
              <w:t> </w:t>
            </w:r>
            <w:r w:rsidRPr="00455B37">
              <w:t xml:space="preserve">choose. </w:t>
            </w:r>
          </w:p>
        </w:tc>
      </w:tr>
      <w:tr w:rsidR="00455B37" w:rsidRPr="00455B37" w14:paraId="2856B98A" w14:textId="77777777" w:rsidTr="001C29A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C04571" w14:textId="77777777" w:rsidR="00455B37" w:rsidRPr="00455B37" w:rsidRDefault="00455B37" w:rsidP="00455B37">
            <w:pPr>
              <w:pStyle w:val="TableText"/>
            </w:pPr>
            <w:r w:rsidRPr="00455B37">
              <w:t>escalation of care</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34B028" w14:textId="77777777" w:rsidR="00455B37" w:rsidRPr="00455B37" w:rsidRDefault="00455B37" w:rsidP="00455B37">
            <w:pPr>
              <w:pStyle w:val="TableText"/>
              <w:cnfStyle w:val="000000100000" w:firstRow="0" w:lastRow="0" w:firstColumn="0" w:lastColumn="0" w:oddVBand="0" w:evenVBand="0" w:oddHBand="1" w:evenHBand="0" w:firstRowFirstColumn="0" w:firstRowLastColumn="0" w:lastRowFirstColumn="0" w:lastRowLastColumn="0"/>
            </w:pPr>
            <w:r w:rsidRPr="00455B37">
              <w:t>The process whereby a member of the healthcare workforce, recognising that the person’s current health status is beyond their scope to manage, engages additional support, either within the health service organisation or through partnership with other services.</w:t>
            </w:r>
          </w:p>
        </w:tc>
      </w:tr>
      <w:tr w:rsidR="00455B37" w:rsidRPr="00455B37" w14:paraId="382151BE" w14:textId="77777777" w:rsidTr="001C29A2">
        <w:trPr>
          <w:cnfStyle w:val="000000010000" w:firstRow="0" w:lastRow="0" w:firstColumn="0" w:lastColumn="0" w:oddVBand="0" w:evenVBand="0" w:oddHBand="0" w:evenHBand="1"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18A6CC" w14:textId="77777777" w:rsidR="00455B37" w:rsidRPr="00455B37" w:rsidRDefault="00455B37" w:rsidP="00455B37">
            <w:pPr>
              <w:pStyle w:val="TableText"/>
            </w:pPr>
            <w:r w:rsidRPr="00455B37">
              <w:t>goals of care</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C39469" w14:textId="77777777" w:rsidR="00455B37" w:rsidRPr="00455B37" w:rsidRDefault="00455B37" w:rsidP="00455B37">
            <w:pPr>
              <w:pStyle w:val="TableText"/>
              <w:cnfStyle w:val="000000010000" w:firstRow="0" w:lastRow="0" w:firstColumn="0" w:lastColumn="0" w:oddVBand="0" w:evenVBand="0" w:oddHBand="0" w:evenHBand="1" w:firstRowFirstColumn="0" w:firstRowLastColumn="0" w:lastRowFirstColumn="0" w:lastRowLastColumn="0"/>
            </w:pPr>
            <w:r w:rsidRPr="00455B37">
              <w:t>The aims for a person’s medical treatment as agreed between the person, family, carers and healthcare team. Goals of care will change</w:t>
            </w:r>
            <w:r w:rsidRPr="00455B37">
              <w:rPr>
                <w:rFonts w:cs="Arial"/>
              </w:rPr>
              <w:t> </w:t>
            </w:r>
            <w:r w:rsidRPr="00455B37">
              <w:t xml:space="preserve">over time. </w:t>
            </w:r>
          </w:p>
        </w:tc>
      </w:tr>
      <w:tr w:rsidR="00455B37" w:rsidRPr="00455B37" w14:paraId="0D0A674C" w14:textId="77777777" w:rsidTr="001C29A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49B871" w14:textId="77777777" w:rsidR="00455B37" w:rsidRPr="00455B37" w:rsidRDefault="00455B37" w:rsidP="00455B37">
            <w:pPr>
              <w:pStyle w:val="TableText"/>
            </w:pPr>
            <w:r w:rsidRPr="00455B37">
              <w:t>health service organisation</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35BFC3" w14:textId="77777777" w:rsidR="00455B37" w:rsidRPr="00455B37" w:rsidRDefault="00455B37" w:rsidP="00455B37">
            <w:pPr>
              <w:pStyle w:val="TableText"/>
              <w:cnfStyle w:val="000000100000" w:firstRow="0" w:lastRow="0" w:firstColumn="0" w:lastColumn="0" w:oddVBand="0" w:evenVBand="0" w:oddHBand="1" w:evenHBand="0" w:firstRowFirstColumn="0" w:firstRowLastColumn="0" w:lastRowFirstColumn="0" w:lastRowLastColumn="0"/>
            </w:pPr>
            <w:r w:rsidRPr="00455B37">
              <w:t>A separately constituted health service that is responsible for the clinical governance, administration and financial management of a service unit or service units providing health care. A service unit involves a grouping of clinicians and others working in a systematic way to deliver health care to patients. It can be in any location or setting, including pharmacies, clinics, outpatient facilities, hospitals, patients’ homes, community settings, practices and clinicians’ rooms.</w:t>
            </w:r>
          </w:p>
        </w:tc>
      </w:tr>
      <w:tr w:rsidR="00455B37" w:rsidRPr="00455B37" w14:paraId="707F5111" w14:textId="77777777" w:rsidTr="001C29A2">
        <w:trPr>
          <w:cnfStyle w:val="000000010000" w:firstRow="0" w:lastRow="0" w:firstColumn="0" w:lastColumn="0" w:oddVBand="0" w:evenVBand="0" w:oddHBand="0" w:evenHBand="1"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297EB6" w14:textId="77777777" w:rsidR="00455B37" w:rsidRPr="00455B37" w:rsidRDefault="00455B37" w:rsidP="00455B37">
            <w:pPr>
              <w:pStyle w:val="TableText"/>
            </w:pPr>
            <w:r w:rsidRPr="00455B37">
              <w:t>mental health service</w:t>
            </w:r>
          </w:p>
        </w:tc>
        <w:tc>
          <w:tcPr>
            <w:tcW w:w="6803"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EEFD7C" w14:textId="77777777" w:rsidR="00455B37" w:rsidRPr="00455B37" w:rsidRDefault="00455B37" w:rsidP="00455B37">
            <w:pPr>
              <w:pStyle w:val="TableText"/>
              <w:cnfStyle w:val="000000010000" w:firstRow="0" w:lastRow="0" w:firstColumn="0" w:lastColumn="0" w:oddVBand="0" w:evenVBand="0" w:oddHBand="0" w:evenHBand="1" w:firstRowFirstColumn="0" w:firstRowLastColumn="0" w:lastRowFirstColumn="0" w:lastRowLastColumn="0"/>
            </w:pPr>
            <w:r w:rsidRPr="00455B37">
              <w:t>Specialised mental health services are those with the primary function to provide treatment, rehabilitation or community health support targeted towards people with a mental illness or psychiatric disability. These activities are delivered from a service or facility that is readily identifiable as both specialised and serving a mental health care</w:t>
            </w:r>
            <w:r w:rsidRPr="00455B37">
              <w:rPr>
                <w:rFonts w:cs="Arial"/>
              </w:rPr>
              <w:t> </w:t>
            </w:r>
            <w:r w:rsidRPr="00455B37">
              <w:t>function.</w:t>
            </w:r>
            <w:r w:rsidRPr="0081460F">
              <w:rPr>
                <w:vertAlign w:val="superscript"/>
              </w:rPr>
              <w:t>13</w:t>
            </w:r>
          </w:p>
        </w:tc>
      </w:tr>
      <w:tr w:rsidR="00455B37" w:rsidRPr="00455B37" w14:paraId="6D4EA873" w14:textId="77777777" w:rsidTr="001C29A2">
        <w:trPr>
          <w:gridAfter w:val="1"/>
          <w:cnfStyle w:val="000000100000" w:firstRow="0" w:lastRow="0" w:firstColumn="0" w:lastColumn="0" w:oddVBand="0" w:evenVBand="0" w:oddHBand="1" w:evenHBand="0" w:firstRowFirstColumn="0" w:firstRowLastColumn="0" w:lastRowFirstColumn="0" w:lastRowLastColumn="0"/>
          <w:wAfter w:w="47" w:type="dxa"/>
          <w:trHeight w:val="177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55DCE7" w14:textId="77777777" w:rsidR="00455B37" w:rsidRPr="00455B37" w:rsidRDefault="00455B37" w:rsidP="0081460F">
            <w:pPr>
              <w:pStyle w:val="TableText"/>
            </w:pPr>
            <w:r w:rsidRPr="00455B37">
              <w:lastRenderedPageBreak/>
              <w:t>multidisciplinary team</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088120" w14:textId="77777777" w:rsidR="00455B37" w:rsidRPr="00455B37" w:rsidRDefault="00455B37" w:rsidP="0081460F">
            <w:pPr>
              <w:pStyle w:val="TableText"/>
              <w:cnfStyle w:val="000000100000" w:firstRow="0" w:lastRow="0" w:firstColumn="0" w:lastColumn="0" w:oddVBand="0" w:evenVBand="0" w:oddHBand="1" w:evenHBand="0" w:firstRowFirstColumn="0" w:firstRowLastColumn="0" w:lastRowFirstColumn="0" w:lastRowLastColumn="0"/>
            </w:pPr>
            <w:r w:rsidRPr="00455B37">
              <w:t>A team including professionals from a range of disciplines who work together to deliver comprehensive care that addresses as many of the patient’s health and other needs as possible. The professionals in the team may function under one organisational umbrella or may be from a range of organisations brought together as a unique team. As a patient’s condition changes over time, the composition of the team may change to reflect the changing clinical and psychosocial needs of the</w:t>
            </w:r>
            <w:r w:rsidRPr="00455B37">
              <w:rPr>
                <w:rFonts w:cs="Arial"/>
              </w:rPr>
              <w:t> </w:t>
            </w:r>
            <w:r w:rsidRPr="00455B37">
              <w:t>patient.</w:t>
            </w:r>
            <w:r w:rsidRPr="00455B37">
              <w:rPr>
                <w:vertAlign w:val="superscript"/>
              </w:rPr>
              <w:t>25</w:t>
            </w:r>
          </w:p>
        </w:tc>
      </w:tr>
      <w:tr w:rsidR="00455B37" w:rsidRPr="00455B37" w14:paraId="3BB72519" w14:textId="77777777" w:rsidTr="001C29A2">
        <w:trPr>
          <w:gridAfter w:val="1"/>
          <w:cnfStyle w:val="000000010000" w:firstRow="0" w:lastRow="0" w:firstColumn="0" w:lastColumn="0" w:oddVBand="0" w:evenVBand="0" w:oddHBand="0" w:evenHBand="1"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A13F7B" w14:textId="77777777" w:rsidR="00455B37" w:rsidRPr="00455B37" w:rsidRDefault="00455B37" w:rsidP="0081460F">
            <w:pPr>
              <w:pStyle w:val="TableText"/>
              <w:rPr>
                <w:rFonts w:ascii="Helvetica 45 Light" w:hAnsi="Helvetica 45 Light"/>
                <w:color w:val="000000"/>
              </w:rPr>
            </w:pPr>
            <w:r w:rsidRPr="00455B37">
              <w:rPr>
                <w:rFonts w:ascii="Helvetica 45 Light" w:hAnsi="Helvetica 45 Light"/>
                <w:color w:val="000000"/>
              </w:rPr>
              <w:t>observations/nursing observations</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0D4DB1" w14:textId="77777777" w:rsidR="00455B37" w:rsidRPr="00455B37" w:rsidRDefault="00455B37" w:rsidP="0081460F">
            <w:pPr>
              <w:pStyle w:val="TableText"/>
              <w:spacing w:after="170"/>
              <w:cnfStyle w:val="000000010000" w:firstRow="0" w:lastRow="0" w:firstColumn="0" w:lastColumn="0" w:oddVBand="0" w:evenVBand="0" w:oddHBand="0" w:evenHBand="1" w:firstRowFirstColumn="0" w:firstRowLastColumn="0" w:lastRowFirstColumn="0" w:lastRowLastColumn="0"/>
              <w:rPr>
                <w:rFonts w:ascii="Helvetica 45 Light" w:hAnsi="Helvetica 45 Light"/>
                <w:color w:val="000000"/>
              </w:rPr>
            </w:pPr>
            <w:r w:rsidRPr="00455B37">
              <w:rPr>
                <w:rFonts w:ascii="Helvetica 45 Light" w:hAnsi="Helvetica 45 Light"/>
                <w:color w:val="000000"/>
              </w:rPr>
              <w:t>In physical health care, ‘observations’ typically refer to a set of non</w:t>
            </w:r>
            <w:r w:rsidRPr="00455B37">
              <w:rPr>
                <w:rFonts w:ascii="Helvetica 45 Light" w:hAnsi="Helvetica 45 Light"/>
                <w:color w:val="000000"/>
              </w:rPr>
              <w:noBreakHyphen/>
              <w:t>invasive investigative procedures, such as counting respiratory rate,</w:t>
            </w:r>
            <w:r w:rsidRPr="00455B37">
              <w:rPr>
                <w:rFonts w:cs="Arial"/>
                <w:color w:val="000000"/>
              </w:rPr>
              <w:t> </w:t>
            </w:r>
            <w:r w:rsidRPr="00455B37">
              <w:rPr>
                <w:rFonts w:ascii="Helvetica 45 Light" w:hAnsi="Helvetica 45 Light"/>
                <w:color w:val="000000"/>
              </w:rPr>
              <w:t>and measuring blood pressure, that are routinely implemented, and</w:t>
            </w:r>
            <w:r w:rsidRPr="00455B37">
              <w:rPr>
                <w:rFonts w:cs="Arial"/>
                <w:color w:val="000000"/>
              </w:rPr>
              <w:t> </w:t>
            </w:r>
            <w:r w:rsidRPr="00455B37">
              <w:rPr>
                <w:rFonts w:ascii="Helvetica 45 Light" w:hAnsi="Helvetica 45 Light"/>
                <w:color w:val="000000"/>
              </w:rPr>
              <w:t xml:space="preserve">used to track physical health status. </w:t>
            </w:r>
          </w:p>
          <w:p w14:paraId="4F6A4A74" w14:textId="77777777" w:rsidR="00455B37" w:rsidRPr="00455B37" w:rsidRDefault="00455B37" w:rsidP="0081460F">
            <w:pPr>
              <w:pStyle w:val="TableText"/>
              <w:cnfStyle w:val="000000010000" w:firstRow="0" w:lastRow="0" w:firstColumn="0" w:lastColumn="0" w:oddVBand="0" w:evenVBand="0" w:oddHBand="0" w:evenHBand="1" w:firstRowFirstColumn="0" w:firstRowLastColumn="0" w:lastRowFirstColumn="0" w:lastRowLastColumn="0"/>
              <w:rPr>
                <w:rFonts w:ascii="Helvetica 45 Light" w:hAnsi="Helvetica 45 Light"/>
                <w:color w:val="000000"/>
              </w:rPr>
            </w:pPr>
            <w:r w:rsidRPr="00455B37">
              <w:rPr>
                <w:rFonts w:ascii="Helvetica 45 Light" w:hAnsi="Helvetica 45 Light"/>
                <w:color w:val="000000"/>
              </w:rPr>
              <w:t>In mental health care, ‘nursing, or formal observations’ typically refers to the practice of increased frequency or intensity of observation of a person who has been identified as at risk. This can be for the purpose of surveillance or therapy.</w:t>
            </w:r>
            <w:r w:rsidRPr="00455B37">
              <w:rPr>
                <w:rFonts w:ascii="Helvetica 45 Light" w:hAnsi="Helvetica 45 Light"/>
                <w:color w:val="000000"/>
                <w:vertAlign w:val="superscript"/>
              </w:rPr>
              <w:t>26</w:t>
            </w:r>
          </w:p>
        </w:tc>
      </w:tr>
      <w:tr w:rsidR="00455B37" w:rsidRPr="00455B37" w14:paraId="435FACC4" w14:textId="77777777" w:rsidTr="001C29A2">
        <w:trPr>
          <w:gridAfter w:val="1"/>
          <w:cnfStyle w:val="000000100000" w:firstRow="0" w:lastRow="0" w:firstColumn="0" w:lastColumn="0" w:oddVBand="0" w:evenVBand="0" w:oddHBand="1" w:evenHBand="0"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170B91" w14:textId="77777777" w:rsidR="00455B37" w:rsidRPr="00455B37" w:rsidRDefault="00455B37" w:rsidP="0081460F">
            <w:pPr>
              <w:pStyle w:val="TableText"/>
              <w:rPr>
                <w:rFonts w:ascii="Helvetica 45 Light" w:hAnsi="Helvetica 45 Light"/>
                <w:color w:val="000000"/>
              </w:rPr>
            </w:pPr>
            <w:r w:rsidRPr="00455B37">
              <w:rPr>
                <w:rFonts w:ascii="Helvetica 45 Light" w:hAnsi="Helvetica 45 Light"/>
                <w:color w:val="000000"/>
              </w:rPr>
              <w:t>peer workers</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23B190" w14:textId="77777777" w:rsidR="00455B37" w:rsidRPr="00455B37" w:rsidRDefault="00455B37" w:rsidP="0081460F">
            <w:pPr>
              <w:pStyle w:val="TableText"/>
              <w:cnfStyle w:val="000000100000" w:firstRow="0" w:lastRow="0" w:firstColumn="0" w:lastColumn="0" w:oddVBand="0" w:evenVBand="0" w:oddHBand="1" w:evenHBand="0" w:firstRowFirstColumn="0" w:firstRowLastColumn="0" w:lastRowFirstColumn="0" w:lastRowLastColumn="0"/>
              <w:rPr>
                <w:rFonts w:ascii="Helvetica 45 Light" w:hAnsi="Helvetica 45 Light"/>
                <w:color w:val="000000"/>
              </w:rPr>
            </w:pPr>
            <w:r w:rsidRPr="00455B37">
              <w:rPr>
                <w:rFonts w:ascii="Helvetica 45 Light" w:hAnsi="Helvetica 45 Light"/>
                <w:color w:val="000000"/>
              </w:rPr>
              <w:t>People who are employed in roles that require them to identify as being, or having been, a mental health consumer or carer. Peer support, which is one element of peer work, is based on the belief that people who have faced, endured and overcome adversity can offer useful support, encouragement, hope, and perhaps mentorship to others facing similar</w:t>
            </w:r>
            <w:r w:rsidRPr="00455B37">
              <w:rPr>
                <w:rFonts w:cs="Arial"/>
                <w:color w:val="000000"/>
              </w:rPr>
              <w:t> </w:t>
            </w:r>
            <w:r w:rsidRPr="00455B37">
              <w:rPr>
                <w:rFonts w:ascii="Helvetica 45 Light" w:hAnsi="Helvetica 45 Light"/>
                <w:color w:val="000000"/>
              </w:rPr>
              <w:t>situations.</w:t>
            </w:r>
            <w:r w:rsidRPr="00455B37">
              <w:rPr>
                <w:rFonts w:ascii="Helvetica 45 Light" w:hAnsi="Helvetica 45 Light"/>
                <w:color w:val="000000"/>
                <w:vertAlign w:val="superscript"/>
              </w:rPr>
              <w:t>27</w:t>
            </w:r>
          </w:p>
        </w:tc>
      </w:tr>
      <w:tr w:rsidR="00455B37" w:rsidRPr="00455B37" w14:paraId="0D2B346F" w14:textId="77777777" w:rsidTr="001C29A2">
        <w:trPr>
          <w:gridAfter w:val="1"/>
          <w:cnfStyle w:val="000000010000" w:firstRow="0" w:lastRow="0" w:firstColumn="0" w:lastColumn="0" w:oddVBand="0" w:evenVBand="0" w:oddHBand="0" w:evenHBand="1"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73B1AC" w14:textId="77777777" w:rsidR="00455B37" w:rsidRPr="00455B37" w:rsidRDefault="00455B37" w:rsidP="0081460F">
            <w:pPr>
              <w:pStyle w:val="TableText"/>
              <w:rPr>
                <w:rFonts w:ascii="Helvetica 45 Light" w:hAnsi="Helvetica 45 Light"/>
                <w:color w:val="000000"/>
              </w:rPr>
            </w:pPr>
            <w:r w:rsidRPr="00455B37">
              <w:rPr>
                <w:rFonts w:ascii="Helvetica 45 Light" w:hAnsi="Helvetica 45 Light"/>
                <w:color w:val="000000"/>
              </w:rPr>
              <w:t>person</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73DE7E" w14:textId="77777777" w:rsidR="00455B37" w:rsidRPr="00455B37" w:rsidRDefault="00455B37" w:rsidP="0081460F">
            <w:pPr>
              <w:pStyle w:val="TableText"/>
              <w:cnfStyle w:val="000000010000" w:firstRow="0" w:lastRow="0" w:firstColumn="0" w:lastColumn="0" w:oddVBand="0" w:evenVBand="0" w:oddHBand="0" w:evenHBand="1" w:firstRowFirstColumn="0" w:firstRowLastColumn="0" w:lastRowFirstColumn="0" w:lastRowLastColumn="0"/>
              <w:rPr>
                <w:rFonts w:ascii="Helvetica 45 Light" w:hAnsi="Helvetica 45 Light"/>
                <w:color w:val="000000"/>
              </w:rPr>
            </w:pPr>
            <w:r w:rsidRPr="00455B37">
              <w:rPr>
                <w:rFonts w:ascii="Helvetica 45 Light" w:hAnsi="Helvetica 45 Light"/>
                <w:color w:val="000000"/>
              </w:rPr>
              <w:t xml:space="preserve">The primary recipient of care. </w:t>
            </w:r>
          </w:p>
        </w:tc>
      </w:tr>
      <w:tr w:rsidR="00455B37" w:rsidRPr="00455B37" w14:paraId="07EEE167" w14:textId="77777777" w:rsidTr="001C29A2">
        <w:trPr>
          <w:gridAfter w:val="1"/>
          <w:cnfStyle w:val="000000100000" w:firstRow="0" w:lastRow="0" w:firstColumn="0" w:lastColumn="0" w:oddVBand="0" w:evenVBand="0" w:oddHBand="1" w:evenHBand="0"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8743B1" w14:textId="77777777" w:rsidR="00455B37" w:rsidRPr="00455B37" w:rsidRDefault="00455B37" w:rsidP="0081460F">
            <w:pPr>
              <w:pStyle w:val="TableText"/>
            </w:pPr>
            <w:r w:rsidRPr="00455B37">
              <w:t>person-centred care</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3CAE13" w14:textId="77777777" w:rsidR="00455B37" w:rsidRPr="00455B37" w:rsidRDefault="00455B37" w:rsidP="0081460F">
            <w:pPr>
              <w:pStyle w:val="TableText"/>
              <w:cnfStyle w:val="000000100000" w:firstRow="0" w:lastRow="0" w:firstColumn="0" w:lastColumn="0" w:oddVBand="0" w:evenVBand="0" w:oddHBand="1" w:evenHBand="0" w:firstRowFirstColumn="0" w:firstRowLastColumn="0" w:lastRowFirstColumn="0" w:lastRowLastColumn="0"/>
            </w:pPr>
            <w:r w:rsidRPr="00455B37">
              <w:t>Treating each person as an individual; protecting a person’s dignity; respecting a person’s rights and preferences; and developing a therapeutic relationship between the care provider and care recipient which is built on mutual trust and understanding.</w:t>
            </w:r>
            <w:r w:rsidRPr="00455B37">
              <w:rPr>
                <w:vertAlign w:val="superscript"/>
              </w:rPr>
              <w:t>28</w:t>
            </w:r>
          </w:p>
        </w:tc>
      </w:tr>
      <w:tr w:rsidR="00455B37" w:rsidRPr="00455B37" w14:paraId="1D0F8384" w14:textId="77777777" w:rsidTr="001C29A2">
        <w:trPr>
          <w:gridAfter w:val="1"/>
          <w:cnfStyle w:val="000000010000" w:firstRow="0" w:lastRow="0" w:firstColumn="0" w:lastColumn="0" w:oddVBand="0" w:evenVBand="0" w:oddHBand="0" w:evenHBand="1"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49DF5E" w14:textId="77777777" w:rsidR="00455B37" w:rsidRPr="00455B37" w:rsidRDefault="00455B37" w:rsidP="0081460F">
            <w:pPr>
              <w:pStyle w:val="TableText"/>
            </w:pPr>
            <w:r w:rsidRPr="00455B37">
              <w:t>recovery</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0B06C5" w14:textId="77777777" w:rsidR="00455B37" w:rsidRPr="00455B37" w:rsidRDefault="00455B37" w:rsidP="0081460F">
            <w:pPr>
              <w:pStyle w:val="TableText"/>
              <w:cnfStyle w:val="000000010000" w:firstRow="0" w:lastRow="0" w:firstColumn="0" w:lastColumn="0" w:oddVBand="0" w:evenVBand="0" w:oddHBand="0" w:evenHBand="1" w:firstRowFirstColumn="0" w:firstRowLastColumn="0" w:lastRowFirstColumn="0" w:lastRowLastColumn="0"/>
            </w:pPr>
            <w:r w:rsidRPr="00455B37">
              <w:t>Recovery is understood to be more than reduction in clinical symptoms, and as ‘being able to create and live a meaningful and contributing life in a community of choice with or without the presence of mental health</w:t>
            </w:r>
            <w:r w:rsidRPr="00455B37">
              <w:rPr>
                <w:rFonts w:cs="Arial"/>
              </w:rPr>
              <w:t> </w:t>
            </w:r>
            <w:r w:rsidRPr="00455B37">
              <w:t>issues’.</w:t>
            </w:r>
            <w:r w:rsidRPr="00455B37">
              <w:rPr>
                <w:vertAlign w:val="superscript"/>
              </w:rPr>
              <w:t>12</w:t>
            </w:r>
          </w:p>
        </w:tc>
      </w:tr>
      <w:tr w:rsidR="00455B37" w:rsidRPr="00455B37" w14:paraId="4752E3F1" w14:textId="77777777" w:rsidTr="001C29A2">
        <w:trPr>
          <w:gridAfter w:val="1"/>
          <w:cnfStyle w:val="000000100000" w:firstRow="0" w:lastRow="0" w:firstColumn="0" w:lastColumn="0" w:oddVBand="0" w:evenVBand="0" w:oddHBand="1" w:evenHBand="0"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7353185" w14:textId="77777777" w:rsidR="00455B37" w:rsidRPr="00455B37" w:rsidRDefault="00455B37" w:rsidP="0081460F">
            <w:pPr>
              <w:pStyle w:val="TableText"/>
            </w:pPr>
            <w:r w:rsidRPr="00455B37">
              <w:t>recovery-oriented practice</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B9C1F6" w14:textId="77777777" w:rsidR="00455B37" w:rsidRPr="00455B37" w:rsidRDefault="00455B37" w:rsidP="0081460F">
            <w:pPr>
              <w:pStyle w:val="TableText"/>
              <w:cnfStyle w:val="000000100000" w:firstRow="0" w:lastRow="0" w:firstColumn="0" w:lastColumn="0" w:oddVBand="0" w:evenVBand="0" w:oddHBand="1" w:evenHBand="0" w:firstRowFirstColumn="0" w:firstRowLastColumn="0" w:lastRowFirstColumn="0" w:lastRowLastColumn="0"/>
            </w:pPr>
            <w:r w:rsidRPr="00455B37">
              <w:t>Recovery-oriented mental health practice refers to the application of sets of capabilities that support people to recognise and take responsibility for their own recovery and wellbeing and to define their goals, wishes and aspirations.</w:t>
            </w:r>
            <w:r w:rsidRPr="00455B37">
              <w:rPr>
                <w:vertAlign w:val="superscript"/>
              </w:rPr>
              <w:t>14</w:t>
            </w:r>
          </w:p>
        </w:tc>
      </w:tr>
      <w:tr w:rsidR="00455B37" w:rsidRPr="00455B37" w14:paraId="08DD9338" w14:textId="77777777" w:rsidTr="001C29A2">
        <w:trPr>
          <w:gridAfter w:val="1"/>
          <w:cnfStyle w:val="000000010000" w:firstRow="0" w:lastRow="0" w:firstColumn="0" w:lastColumn="0" w:oddVBand="0" w:evenVBand="0" w:oddHBand="0" w:evenHBand="1"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FF6BC4" w14:textId="77777777" w:rsidR="00455B37" w:rsidRPr="00455B37" w:rsidRDefault="00455B37" w:rsidP="0081460F">
            <w:pPr>
              <w:pStyle w:val="TableText"/>
            </w:pPr>
            <w:r w:rsidRPr="00455B37">
              <w:t>screening</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D62887" w14:textId="77777777" w:rsidR="00455B37" w:rsidRPr="00455B37" w:rsidRDefault="00455B37" w:rsidP="0081460F">
            <w:pPr>
              <w:pStyle w:val="TableText"/>
              <w:cnfStyle w:val="000000010000" w:firstRow="0" w:lastRow="0" w:firstColumn="0" w:lastColumn="0" w:oddVBand="0" w:evenVBand="0" w:oddHBand="0" w:evenHBand="1" w:firstRowFirstColumn="0" w:firstRowLastColumn="0" w:lastRowFirstColumn="0" w:lastRowLastColumn="0"/>
            </w:pPr>
            <w:r w:rsidRPr="00455B37">
              <w:t>A process of identifying consumers who are at risk, or already have a disease or injury. Screening requires sufficient knowledge to make a clinical judgment.</w:t>
            </w:r>
            <w:r w:rsidRPr="00455B37">
              <w:rPr>
                <w:vertAlign w:val="superscript"/>
              </w:rPr>
              <w:t>29</w:t>
            </w:r>
          </w:p>
        </w:tc>
      </w:tr>
      <w:tr w:rsidR="00455B37" w:rsidRPr="00455B37" w14:paraId="61E371DB" w14:textId="77777777" w:rsidTr="001C29A2">
        <w:trPr>
          <w:gridAfter w:val="1"/>
          <w:cnfStyle w:val="000000100000" w:firstRow="0" w:lastRow="0" w:firstColumn="0" w:lastColumn="0" w:oddVBand="0" w:evenVBand="0" w:oddHBand="1" w:evenHBand="0"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658C75" w14:textId="77777777" w:rsidR="00455B37" w:rsidRPr="00455B37" w:rsidRDefault="00455B37" w:rsidP="0081460F">
            <w:pPr>
              <w:pStyle w:val="TableText"/>
            </w:pPr>
            <w:r w:rsidRPr="00455B37">
              <w:lastRenderedPageBreak/>
              <w:t>signs of deterioration</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CA386C" w14:textId="77777777" w:rsidR="00455B37" w:rsidRPr="00455B37" w:rsidRDefault="00455B37" w:rsidP="0081460F">
            <w:pPr>
              <w:pStyle w:val="TableText"/>
              <w:cnfStyle w:val="000000100000" w:firstRow="0" w:lastRow="0" w:firstColumn="0" w:lastColumn="0" w:oddVBand="0" w:evenVBand="0" w:oddHBand="1" w:evenHBand="0" w:firstRowFirstColumn="0" w:firstRowLastColumn="0" w:lastRowFirstColumn="0" w:lastRowLastColumn="0"/>
            </w:pPr>
            <w:r w:rsidRPr="00455B37">
              <w:t>The signs that indicate deterioration in a person’s mental state. They may be generally recognisable, or they may be specific to an individual. A person, and their family and carers, may have clear knowledge about their individual signs of deterioration, or ‘relapse signature’, and this knowledge can be incorporated into a plan to maintain wellness, and inform an advance statement.</w:t>
            </w:r>
          </w:p>
        </w:tc>
      </w:tr>
      <w:tr w:rsidR="00455B37" w:rsidRPr="00455B37" w14:paraId="2CE42678" w14:textId="77777777" w:rsidTr="001C29A2">
        <w:trPr>
          <w:gridAfter w:val="1"/>
          <w:cnfStyle w:val="000000010000" w:firstRow="0" w:lastRow="0" w:firstColumn="0" w:lastColumn="0" w:oddVBand="0" w:evenVBand="0" w:oddHBand="0" w:evenHBand="1"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93CA9A" w14:textId="77777777" w:rsidR="00455B37" w:rsidRPr="00455B37" w:rsidRDefault="00455B37" w:rsidP="0081460F">
            <w:pPr>
              <w:pStyle w:val="TableText"/>
            </w:pPr>
            <w:r w:rsidRPr="00455B37">
              <w:t>supervision (clinical)</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D0734D" w14:textId="77777777" w:rsidR="00455B37" w:rsidRPr="00455B37" w:rsidRDefault="00455B37" w:rsidP="0081460F">
            <w:pPr>
              <w:pStyle w:val="TableText"/>
              <w:cnfStyle w:val="000000010000" w:firstRow="0" w:lastRow="0" w:firstColumn="0" w:lastColumn="0" w:oddVBand="0" w:evenVBand="0" w:oddHBand="0" w:evenHBand="1" w:firstRowFirstColumn="0" w:firstRowLastColumn="0" w:lastRowFirstColumn="0" w:lastRowLastColumn="0"/>
            </w:pPr>
            <w:r w:rsidRPr="00455B37">
              <w:t>Clinical supervision is the process of two or more professionals formally meeting to reflect and review clinical situations with the aim of supporting the clinician in their professional environment.</w:t>
            </w:r>
            <w:r w:rsidRPr="00455B37">
              <w:rPr>
                <w:vertAlign w:val="superscript"/>
              </w:rPr>
              <w:t>30</w:t>
            </w:r>
          </w:p>
        </w:tc>
      </w:tr>
      <w:tr w:rsidR="00455B37" w:rsidRPr="00455B37" w14:paraId="423A65E7" w14:textId="77777777" w:rsidTr="001C29A2">
        <w:trPr>
          <w:gridAfter w:val="1"/>
          <w:cnfStyle w:val="000000100000" w:firstRow="0" w:lastRow="0" w:firstColumn="0" w:lastColumn="0" w:oddVBand="0" w:evenVBand="0" w:oddHBand="1" w:evenHBand="0"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A486BC" w14:textId="77777777" w:rsidR="00455B37" w:rsidRPr="00455B37" w:rsidRDefault="00455B37" w:rsidP="0081460F">
            <w:pPr>
              <w:pStyle w:val="TableText"/>
            </w:pPr>
            <w:r w:rsidRPr="00455B37">
              <w:t>team</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D1BC88" w14:textId="77777777" w:rsidR="00455B37" w:rsidRPr="00455B37" w:rsidRDefault="00455B37" w:rsidP="0081460F">
            <w:pPr>
              <w:pStyle w:val="TableText"/>
              <w:cnfStyle w:val="000000100000" w:firstRow="0" w:lastRow="0" w:firstColumn="0" w:lastColumn="0" w:oddVBand="0" w:evenVBand="0" w:oddHBand="1" w:evenHBand="0" w:firstRowFirstColumn="0" w:firstRowLastColumn="0" w:lastRowFirstColumn="0" w:lastRowLastColumn="0"/>
            </w:pPr>
            <w:r w:rsidRPr="00455B37">
              <w:rPr>
                <w:i/>
                <w:iCs/>
              </w:rPr>
              <w:t>See</w:t>
            </w:r>
            <w:r w:rsidRPr="00455B37">
              <w:t xml:space="preserve"> multidisciplinary team.</w:t>
            </w:r>
          </w:p>
        </w:tc>
      </w:tr>
      <w:tr w:rsidR="00455B37" w:rsidRPr="00455B37" w14:paraId="0C40AD9A" w14:textId="77777777" w:rsidTr="001C29A2">
        <w:trPr>
          <w:gridAfter w:val="1"/>
          <w:cnfStyle w:val="000000010000" w:firstRow="0" w:lastRow="0" w:firstColumn="0" w:lastColumn="0" w:oddVBand="0" w:evenVBand="0" w:oddHBand="0" w:evenHBand="1"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64271C" w14:textId="77777777" w:rsidR="00455B37" w:rsidRPr="00455B37" w:rsidRDefault="00455B37" w:rsidP="0081460F">
            <w:pPr>
              <w:pStyle w:val="TableText"/>
            </w:pPr>
            <w:r w:rsidRPr="00455B37">
              <w:t>trauma-informed care</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3D2EFD" w14:textId="77777777" w:rsidR="00455B37" w:rsidRPr="00455B37" w:rsidRDefault="00455B37" w:rsidP="0081460F">
            <w:pPr>
              <w:pStyle w:val="TableText"/>
              <w:cnfStyle w:val="000000010000" w:firstRow="0" w:lastRow="0" w:firstColumn="0" w:lastColumn="0" w:oddVBand="0" w:evenVBand="0" w:oddHBand="0" w:evenHBand="1" w:firstRowFirstColumn="0" w:firstRowLastColumn="0" w:lastRowFirstColumn="0" w:lastRowLastColumn="0"/>
            </w:pPr>
            <w:r w:rsidRPr="00455B37">
              <w:t>An approach whereby all aspects of services are organised around the recognition and acknowledgement of trauma and its prevalence, alongside awareness and sensitivity to its dynamics. It is a strengths</w:t>
            </w:r>
            <w:r w:rsidRPr="00455B37">
              <w:noBreakHyphen/>
              <w:t>based framework that is responsive to the impact of trauma, emphasising physical, psychological, and emotional safety for both service providers and survivors, and creates opportunities for survivors to rebuild a sense of control and empowerment.</w:t>
            </w:r>
            <w:r w:rsidRPr="00455B37">
              <w:rPr>
                <w:vertAlign w:val="superscript"/>
              </w:rPr>
              <w:t>15</w:t>
            </w:r>
          </w:p>
        </w:tc>
      </w:tr>
      <w:tr w:rsidR="00455B37" w:rsidRPr="00455B37" w14:paraId="245CD28F" w14:textId="77777777" w:rsidTr="001C29A2">
        <w:trPr>
          <w:gridAfter w:val="1"/>
          <w:cnfStyle w:val="000000100000" w:firstRow="0" w:lastRow="0" w:firstColumn="0" w:lastColumn="0" w:oddVBand="0" w:evenVBand="0" w:oddHBand="1" w:evenHBand="0"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50B301" w14:textId="77777777" w:rsidR="00455B37" w:rsidRPr="00455B37" w:rsidRDefault="00455B37" w:rsidP="0081460F">
            <w:pPr>
              <w:pStyle w:val="TableText"/>
            </w:pPr>
            <w:r w:rsidRPr="00455B37">
              <w:t>trigger</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F000D6" w14:textId="77777777" w:rsidR="00455B37" w:rsidRPr="00455B37" w:rsidRDefault="00455B37" w:rsidP="0081460F">
            <w:pPr>
              <w:pStyle w:val="TableText"/>
              <w:cnfStyle w:val="000000100000" w:firstRow="0" w:lastRow="0" w:firstColumn="0" w:lastColumn="0" w:oddVBand="0" w:evenVBand="0" w:oddHBand="1" w:evenHBand="0" w:firstRowFirstColumn="0" w:firstRowLastColumn="0" w:lastRowFirstColumn="0" w:lastRowLastColumn="0"/>
            </w:pPr>
            <w:r w:rsidRPr="00455B37">
              <w:t>In recognition and response system literature, the term ‘trigger’ is used to describe a sign of deterioration that ‘triggers’ the clinician to respond. However, in mental health literature, the term ‘trigger’ frequently refers to an event that potentially leads to deterioration in mental state. To</w:t>
            </w:r>
            <w:r w:rsidRPr="00455B37">
              <w:rPr>
                <w:rFonts w:cs="Arial"/>
              </w:rPr>
              <w:t> </w:t>
            </w:r>
            <w:r w:rsidRPr="00455B37">
              <w:t>avoid confusion, the term ‘sign of deterioration’ is used throughout this statement, rather than trigger.</w:t>
            </w:r>
          </w:p>
        </w:tc>
      </w:tr>
      <w:tr w:rsidR="00455B37" w:rsidRPr="00455B37" w14:paraId="7E4899C8" w14:textId="77777777" w:rsidTr="001C29A2">
        <w:trPr>
          <w:gridAfter w:val="1"/>
          <w:cnfStyle w:val="000000010000" w:firstRow="0" w:lastRow="0" w:firstColumn="0" w:lastColumn="0" w:oddVBand="0" w:evenVBand="0" w:oddHBand="0" w:evenHBand="1" w:firstRowFirstColumn="0" w:firstRowLastColumn="0" w:lastRowFirstColumn="0" w:lastRowLastColumn="0"/>
          <w:wAfter w:w="47" w:type="dxa"/>
          <w:trHeight w:val="60"/>
        </w:trPr>
        <w:tc>
          <w:tcPr>
            <w:cnfStyle w:val="000010000000" w:firstRow="0" w:lastRow="0" w:firstColumn="0" w:lastColumn="0" w:oddVBand="1" w:evenVBand="0" w:oddHBand="0" w:evenHBand="0" w:firstRowFirstColumn="0" w:firstRowLastColumn="0" w:lastRowFirstColumn="0" w:lastRowLastColumn="0"/>
            <w:tcW w:w="306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067000" w14:textId="77777777" w:rsidR="00455B37" w:rsidRPr="00455B37" w:rsidRDefault="00455B37" w:rsidP="0081460F">
            <w:pPr>
              <w:pStyle w:val="TableText"/>
            </w:pPr>
            <w:r w:rsidRPr="00455B37">
              <w:t>workforce</w:t>
            </w:r>
          </w:p>
        </w:tc>
        <w:tc>
          <w:tcPr>
            <w:tcW w:w="67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035E61" w14:textId="77777777" w:rsidR="00455B37" w:rsidRPr="00455B37" w:rsidRDefault="00455B37" w:rsidP="0081460F">
            <w:pPr>
              <w:pStyle w:val="TableText"/>
              <w:cnfStyle w:val="000000010000" w:firstRow="0" w:lastRow="0" w:firstColumn="0" w:lastColumn="0" w:oddVBand="0" w:evenVBand="0" w:oddHBand="0" w:evenHBand="1" w:firstRowFirstColumn="0" w:firstRowLastColumn="0" w:lastRowFirstColumn="0" w:lastRowLastColumn="0"/>
            </w:pPr>
            <w:r w:rsidRPr="00455B37">
              <w:t xml:space="preserve">All people working in a health service organisation, including clinicians (see above) and any other employed or contracted, locum, agency, student, volunteer or peer workers. </w:t>
            </w:r>
          </w:p>
        </w:tc>
      </w:tr>
    </w:tbl>
    <w:p w14:paraId="42409919" w14:textId="77777777" w:rsidR="00455B37" w:rsidRDefault="00455B37" w:rsidP="00BB2182">
      <w:pPr>
        <w:pStyle w:val="BodyText"/>
        <w:sectPr w:rsidR="00455B37" w:rsidSect="0081460F">
          <w:headerReference w:type="even" r:id="rId49"/>
          <w:pgSz w:w="11906" w:h="16838"/>
          <w:pgMar w:top="2835" w:right="1021" w:bottom="1134" w:left="1021" w:header="1361" w:footer="567" w:gutter="0"/>
          <w:cols w:space="720"/>
          <w:noEndnote/>
          <w:docGrid w:linePitch="299"/>
        </w:sectPr>
      </w:pPr>
    </w:p>
    <w:p w14:paraId="433E2F45" w14:textId="77777777" w:rsidR="00455B37" w:rsidRDefault="00455B37" w:rsidP="0081460F">
      <w:pPr>
        <w:pStyle w:val="AppendixSubheading"/>
      </w:pPr>
      <w:r>
        <w:lastRenderedPageBreak/>
        <w:t>Appendix B: Consultation participants</w:t>
      </w:r>
    </w:p>
    <w:p w14:paraId="43A84614" w14:textId="77777777" w:rsidR="00455B37" w:rsidRDefault="00455B37" w:rsidP="0081460F">
      <w:pPr>
        <w:pStyle w:val="BodyText"/>
      </w:pPr>
      <w:r>
        <w:t xml:space="preserve">The Commission acknowledges the contribution made to the Consensus Statement by the expert stakeholders listed in </w:t>
      </w:r>
      <w:r w:rsidRPr="0081460F">
        <w:t>these</w:t>
      </w:r>
      <w:r>
        <w:t xml:space="preserve"> tables.</w:t>
      </w:r>
    </w:p>
    <w:tbl>
      <w:tblPr>
        <w:tblStyle w:val="SAQ290Table"/>
        <w:tblW w:w="0" w:type="auto"/>
        <w:tblLayout w:type="fixed"/>
        <w:tblCellMar>
          <w:top w:w="113" w:type="dxa"/>
          <w:bottom w:w="57" w:type="dxa"/>
        </w:tblCellMar>
        <w:tblLook w:val="0220" w:firstRow="1" w:lastRow="0" w:firstColumn="0" w:lastColumn="0" w:noHBand="1" w:noVBand="0"/>
        <w:tblCaption w:val="ACSQHC Mental Health Advisory Group"/>
      </w:tblPr>
      <w:tblGrid>
        <w:gridCol w:w="2957"/>
        <w:gridCol w:w="3202"/>
        <w:gridCol w:w="3686"/>
      </w:tblGrid>
      <w:tr w:rsidR="00455B37" w:rsidRPr="00455B37" w14:paraId="5F2624DC" w14:textId="77777777" w:rsidTr="001C29A2">
        <w:trPr>
          <w:cnfStyle w:val="100000000000" w:firstRow="1" w:lastRow="0" w:firstColumn="0" w:lastColumn="0" w:oddVBand="0" w:evenVBand="0" w:oddHBand="0" w:evenHBand="0" w:firstRowFirstColumn="0" w:firstRowLastColumn="0" w:lastRowFirstColumn="0" w:lastRowLastColumn="0"/>
          <w:trHeight w:hRule="exact" w:val="454"/>
        </w:trPr>
        <w:tc>
          <w:tcPr>
            <w:cnfStyle w:val="000010000000" w:firstRow="0" w:lastRow="0" w:firstColumn="0" w:lastColumn="0" w:oddVBand="1" w:evenVBand="0" w:oddHBand="0" w:evenHBand="0" w:firstRowFirstColumn="0" w:firstRowLastColumn="0" w:lastRowFirstColumn="0" w:lastRowLastColumn="0"/>
            <w:tcW w:w="9845" w:type="dxa"/>
            <w:gridSpan w:val="3"/>
            <w:tcBorders>
              <w:top w:val="dashSmallGap" w:sz="6" w:space="0" w:color="008EAB" w:themeColor="accent2"/>
              <w:left w:val="dashSmallGap" w:sz="6" w:space="0" w:color="008EAB" w:themeColor="accent2"/>
              <w:right w:val="dashSmallGap" w:sz="6" w:space="0" w:color="008EAB" w:themeColor="accent2"/>
            </w:tcBorders>
          </w:tcPr>
          <w:p w14:paraId="29954934" w14:textId="77777777" w:rsidR="00455B37" w:rsidRPr="00455B37" w:rsidRDefault="00455B37" w:rsidP="0081460F">
            <w:pPr>
              <w:pStyle w:val="TableHeading"/>
            </w:pPr>
            <w:r w:rsidRPr="00455B37">
              <w:t>ACSQHC Mental Health Advisory Group</w:t>
            </w:r>
          </w:p>
        </w:tc>
      </w:tr>
      <w:tr w:rsidR="00455B37" w:rsidRPr="00455B37" w14:paraId="174FEE63" w14:textId="77777777" w:rsidTr="001C29A2">
        <w:trPr>
          <w:trHeight w:hRule="exact" w:val="454"/>
        </w:trPr>
        <w:tc>
          <w:tcPr>
            <w:cnfStyle w:val="000010000000" w:firstRow="0" w:lastRow="0" w:firstColumn="0" w:lastColumn="0" w:oddVBand="1" w:evenVBand="0" w:oddHBand="0" w:evenHBand="0" w:firstRowFirstColumn="0" w:firstRowLastColumn="0" w:lastRowFirstColumn="0" w:lastRowLastColumn="0"/>
            <w:tcW w:w="2957" w:type="dxa"/>
            <w:tcBorders>
              <w:left w:val="dashSmallGap" w:sz="6" w:space="0" w:color="008EAB" w:themeColor="accent2"/>
              <w:bottom w:val="dashSmallGap" w:sz="6" w:space="0" w:color="008EAB" w:themeColor="accent2"/>
            </w:tcBorders>
            <w:shd w:val="clear" w:color="auto" w:fill="008EAB" w:themeFill="accent2"/>
          </w:tcPr>
          <w:p w14:paraId="5560E503" w14:textId="77777777" w:rsidR="00455B37" w:rsidRPr="00455B37" w:rsidRDefault="00455B37" w:rsidP="0081460F">
            <w:pPr>
              <w:pStyle w:val="TableHeading"/>
            </w:pPr>
            <w:r w:rsidRPr="00455B37">
              <w:t xml:space="preserve">Name </w:t>
            </w:r>
          </w:p>
        </w:tc>
        <w:tc>
          <w:tcPr>
            <w:tcW w:w="3202" w:type="dxa"/>
            <w:tcBorders>
              <w:top w:val="nil"/>
              <w:left w:val="nil"/>
              <w:bottom w:val="dashSmallGap" w:sz="6" w:space="0" w:color="008EAB" w:themeColor="accent2"/>
              <w:right w:val="nil"/>
            </w:tcBorders>
            <w:shd w:val="clear" w:color="auto" w:fill="008EAB" w:themeFill="accent2"/>
          </w:tcPr>
          <w:p w14:paraId="013E7CCF" w14:textId="77777777" w:rsidR="00455B37" w:rsidRPr="00455B37" w:rsidRDefault="00455B37" w:rsidP="0081460F">
            <w:pPr>
              <w:pStyle w:val="TableHeading"/>
              <w:cnfStyle w:val="000000000000" w:firstRow="0" w:lastRow="0" w:firstColumn="0" w:lastColumn="0" w:oddVBand="0" w:evenVBand="0" w:oddHBand="0" w:evenHBand="0" w:firstRowFirstColumn="0" w:firstRowLastColumn="0" w:lastRowFirstColumn="0" w:lastRowLastColumn="0"/>
            </w:pPr>
            <w:r w:rsidRPr="00455B37">
              <w:t>Position</w:t>
            </w:r>
          </w:p>
        </w:tc>
        <w:tc>
          <w:tcPr>
            <w:cnfStyle w:val="000010000000" w:firstRow="0" w:lastRow="0" w:firstColumn="0" w:lastColumn="0" w:oddVBand="1" w:evenVBand="0" w:oddHBand="0" w:evenHBand="0" w:firstRowFirstColumn="0" w:firstRowLastColumn="0" w:lastRowFirstColumn="0" w:lastRowLastColumn="0"/>
            <w:tcW w:w="3686" w:type="dxa"/>
            <w:tcBorders>
              <w:bottom w:val="dashSmallGap" w:sz="6" w:space="0" w:color="008EAB" w:themeColor="accent2"/>
              <w:right w:val="dashSmallGap" w:sz="6" w:space="0" w:color="008EAB" w:themeColor="accent2"/>
            </w:tcBorders>
            <w:shd w:val="clear" w:color="auto" w:fill="008EAB" w:themeFill="accent2"/>
          </w:tcPr>
          <w:p w14:paraId="5546C712" w14:textId="77777777" w:rsidR="00455B37" w:rsidRPr="00455B37" w:rsidRDefault="00455B37" w:rsidP="0081460F">
            <w:pPr>
              <w:pStyle w:val="TableHeading"/>
            </w:pPr>
            <w:r w:rsidRPr="00455B37">
              <w:t>Organisation</w:t>
            </w:r>
          </w:p>
        </w:tc>
      </w:tr>
      <w:tr w:rsidR="00455B37" w:rsidRPr="00455B37" w14:paraId="684C4123"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078F9AB" w14:textId="77777777" w:rsidR="00455B37" w:rsidRPr="0081460F" w:rsidRDefault="00455B37" w:rsidP="0081460F">
            <w:pPr>
              <w:pStyle w:val="TableText"/>
            </w:pPr>
            <w:r w:rsidRPr="0081460F">
              <w:t>Ms Christine Gee (Chair)</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C0F0DAE"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CEO</w:t>
            </w:r>
            <w:r w:rsidRPr="0081460F">
              <w:br/>
              <w:t>Board member</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88CB018" w14:textId="77777777" w:rsidR="00455B37" w:rsidRPr="0081460F" w:rsidRDefault="00455B37" w:rsidP="0081460F">
            <w:pPr>
              <w:pStyle w:val="TableText"/>
            </w:pPr>
            <w:r w:rsidRPr="0081460F">
              <w:t>Toowong Private Hospital</w:t>
            </w:r>
            <w:r w:rsidRPr="0081460F">
              <w:br/>
              <w:t>ACSQHC</w:t>
            </w:r>
          </w:p>
        </w:tc>
      </w:tr>
      <w:tr w:rsidR="00455B37" w:rsidRPr="00455B37" w14:paraId="778117DE"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06BD34D" w14:textId="77777777" w:rsidR="00455B37" w:rsidRPr="0081460F" w:rsidRDefault="00455B37" w:rsidP="0081460F">
            <w:pPr>
              <w:pStyle w:val="TableText"/>
            </w:pPr>
            <w:r w:rsidRPr="0081460F">
              <w:t>Ms Anna Love</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39606EA"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Chief Mental Health Nurse</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D9425F6" w14:textId="77777777" w:rsidR="00455B37" w:rsidRPr="0081460F" w:rsidRDefault="00455B37" w:rsidP="0081460F">
            <w:pPr>
              <w:pStyle w:val="TableText"/>
            </w:pPr>
            <w:r w:rsidRPr="0081460F">
              <w:t>Department of Health (Vic)</w:t>
            </w:r>
          </w:p>
        </w:tc>
      </w:tr>
      <w:tr w:rsidR="00455B37" w:rsidRPr="00455B37" w14:paraId="1C1C0E87"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E7DA71F" w14:textId="77777777" w:rsidR="00455B37" w:rsidRPr="0081460F" w:rsidRDefault="00455B37" w:rsidP="0081460F">
            <w:pPr>
              <w:pStyle w:val="TableText"/>
            </w:pPr>
            <w:r w:rsidRPr="0081460F">
              <w:t>Ms Anne Mortimer</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5811353"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Regional CEO, Ramsay Care</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3CF206E" w14:textId="77777777" w:rsidR="00455B37" w:rsidRPr="0081460F" w:rsidRDefault="00455B37" w:rsidP="0081460F">
            <w:pPr>
              <w:pStyle w:val="TableText"/>
            </w:pPr>
            <w:r w:rsidRPr="0081460F">
              <w:t>Australian Private Hospitals Association Psychiatric Committee</w:t>
            </w:r>
          </w:p>
        </w:tc>
      </w:tr>
      <w:tr w:rsidR="00455B37" w:rsidRPr="00455B37" w14:paraId="3685F5B4"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7B662077" w14:textId="77777777" w:rsidR="00455B37" w:rsidRPr="0081460F" w:rsidRDefault="00455B37" w:rsidP="0081460F">
            <w:pPr>
              <w:pStyle w:val="TableText"/>
            </w:pPr>
            <w:r w:rsidRPr="0081460F">
              <w:t>Ms Cecily Pollard</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7F863C1"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Safety and Quality Consultant</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F179398" w14:textId="77777777" w:rsidR="00455B37" w:rsidRPr="0081460F" w:rsidRDefault="00455B37" w:rsidP="0081460F">
            <w:pPr>
              <w:pStyle w:val="TableText"/>
            </w:pPr>
            <w:r w:rsidRPr="0081460F">
              <w:t>Tasmanian Health Service</w:t>
            </w:r>
          </w:p>
        </w:tc>
      </w:tr>
      <w:tr w:rsidR="00455B37" w:rsidRPr="00455B37" w14:paraId="2A70CE8B"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C2FB8CE" w14:textId="77777777" w:rsidR="00455B37" w:rsidRPr="0081460F" w:rsidRDefault="00455B37" w:rsidP="0081460F">
            <w:pPr>
              <w:pStyle w:val="TableText"/>
            </w:pPr>
            <w:r w:rsidRPr="0081460F">
              <w:t>Ms Clair Edwards</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DD19C70"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Director of Nursing and Deputy Director Mental Health</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D6B5A37" w14:textId="77777777" w:rsidR="00455B37" w:rsidRPr="0081460F" w:rsidRDefault="00455B37" w:rsidP="0081460F">
            <w:pPr>
              <w:pStyle w:val="TableText"/>
            </w:pPr>
            <w:r w:rsidRPr="0081460F">
              <w:t>Sydney Local Health District (NSW)</w:t>
            </w:r>
          </w:p>
        </w:tc>
      </w:tr>
      <w:tr w:rsidR="00455B37" w:rsidRPr="00455B37" w14:paraId="1C719164"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4B066D0" w14:textId="77777777" w:rsidR="00455B37" w:rsidRPr="0081460F" w:rsidRDefault="00455B37" w:rsidP="0081460F">
            <w:pPr>
              <w:pStyle w:val="TableText"/>
            </w:pPr>
            <w:r w:rsidRPr="0081460F">
              <w:t>Ms Eileen McDonald</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E651BDE"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Carer representative</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7EAF97A" w14:textId="77777777" w:rsidR="00455B37" w:rsidRPr="0081460F" w:rsidRDefault="00455B37" w:rsidP="0081460F">
            <w:pPr>
              <w:pStyle w:val="TableText"/>
            </w:pPr>
            <w:r w:rsidRPr="0081460F">
              <w:t>National Mental Health Consumer and Carer Forum</w:t>
            </w:r>
          </w:p>
        </w:tc>
      </w:tr>
      <w:tr w:rsidR="00455B37" w:rsidRPr="00455B37" w14:paraId="60216ED5"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BE37B86" w14:textId="77777777" w:rsidR="00455B37" w:rsidRPr="0081460F" w:rsidRDefault="00455B37" w:rsidP="0081460F">
            <w:pPr>
              <w:pStyle w:val="TableText"/>
            </w:pPr>
            <w:r w:rsidRPr="0081460F">
              <w:t>Ms Heather Nowak</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106A77B"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Consumer representative</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75417CA" w14:textId="77777777" w:rsidR="00455B37" w:rsidRPr="0081460F" w:rsidRDefault="00455B37" w:rsidP="0081460F">
            <w:pPr>
              <w:pStyle w:val="TableText"/>
            </w:pPr>
            <w:r w:rsidRPr="0081460F">
              <w:t>National Mental Health Consumer and Carer Register</w:t>
            </w:r>
          </w:p>
        </w:tc>
      </w:tr>
      <w:tr w:rsidR="00455B37" w:rsidRPr="00455B37" w14:paraId="5FF90604"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7DA5C208" w14:textId="77777777" w:rsidR="00455B37" w:rsidRPr="0081460F" w:rsidRDefault="00455B37" w:rsidP="0081460F">
            <w:pPr>
              <w:pStyle w:val="TableText"/>
            </w:pPr>
            <w:r w:rsidRPr="0081460F">
              <w:t>Ms Jane Moxon</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B11B93F"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Director, Projects</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1FC87F8" w14:textId="77777777" w:rsidR="00455B37" w:rsidRPr="0081460F" w:rsidRDefault="00455B37" w:rsidP="0081460F">
            <w:pPr>
              <w:pStyle w:val="TableText"/>
            </w:pPr>
            <w:r w:rsidRPr="0081460F">
              <w:t xml:space="preserve">National Mental Health Commission </w:t>
            </w:r>
          </w:p>
        </w:tc>
      </w:tr>
      <w:tr w:rsidR="00455B37" w:rsidRPr="00455B37" w14:paraId="584D4BA6"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F68A7E2" w14:textId="77777777" w:rsidR="00455B37" w:rsidRPr="0081460F" w:rsidRDefault="00455B37" w:rsidP="0081460F">
            <w:pPr>
              <w:pStyle w:val="TableText"/>
            </w:pPr>
            <w:r w:rsidRPr="0081460F">
              <w:t>Ms Janne McMahon OAM</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CFD808A"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Independent Chair</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438F64A" w14:textId="77777777" w:rsidR="00455B37" w:rsidRPr="0081460F" w:rsidRDefault="00455B37" w:rsidP="0081460F">
            <w:pPr>
              <w:pStyle w:val="TableText"/>
            </w:pPr>
            <w:r w:rsidRPr="0081460F">
              <w:t>Private Mental Health Consumer and Carer Network (SA)</w:t>
            </w:r>
          </w:p>
        </w:tc>
      </w:tr>
      <w:tr w:rsidR="00455B37" w:rsidRPr="00455B37" w14:paraId="4DFB84AE"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85C062F" w14:textId="77777777" w:rsidR="00455B37" w:rsidRPr="0081460F" w:rsidRDefault="00455B37" w:rsidP="0081460F">
            <w:pPr>
              <w:pStyle w:val="TableText"/>
            </w:pPr>
            <w:r w:rsidRPr="0081460F">
              <w:t>Ms Karen Burns</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D65FB9C"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Chair</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7C7274E6" w14:textId="77777777" w:rsidR="00455B37" w:rsidRPr="0081460F" w:rsidRDefault="00455B37" w:rsidP="0081460F">
            <w:pPr>
              <w:pStyle w:val="TableText"/>
            </w:pPr>
            <w:r w:rsidRPr="0081460F">
              <w:t>Mental Health Coordinating Council (NSW)</w:t>
            </w:r>
          </w:p>
        </w:tc>
      </w:tr>
      <w:tr w:rsidR="00455B37" w:rsidRPr="00455B37" w14:paraId="1972B8A3"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51DDB0E" w14:textId="77777777" w:rsidR="00455B37" w:rsidRPr="0081460F" w:rsidRDefault="00455B37" w:rsidP="0081460F">
            <w:pPr>
              <w:pStyle w:val="TableText"/>
            </w:pPr>
            <w:r w:rsidRPr="0081460F">
              <w:t xml:space="preserve">Dr Marc Broadbent </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5698BBE"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Senior Lecturer, School of Nursing and Midwifery</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D22C1D4" w14:textId="77777777" w:rsidR="00455B37" w:rsidRPr="0081460F" w:rsidRDefault="00455B37" w:rsidP="0081460F">
            <w:pPr>
              <w:pStyle w:val="TableText"/>
            </w:pPr>
            <w:r w:rsidRPr="0081460F">
              <w:t>University of the Sunshine Coast, (Qld)</w:t>
            </w:r>
          </w:p>
        </w:tc>
      </w:tr>
      <w:tr w:rsidR="00455B37" w:rsidRPr="00455B37" w14:paraId="64709CB2"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121F7CA" w14:textId="77777777" w:rsidR="00455B37" w:rsidRPr="0081460F" w:rsidRDefault="00455B37" w:rsidP="0081460F">
            <w:pPr>
              <w:pStyle w:val="TableText"/>
            </w:pPr>
            <w:r w:rsidRPr="0081460F">
              <w:t>Associate Professor Morton Rawlin</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F2BF186"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Chair, General practitioner</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3DD862A" w14:textId="77777777" w:rsidR="00455B37" w:rsidRPr="0081460F" w:rsidRDefault="00455B37" w:rsidP="0081460F">
            <w:pPr>
              <w:pStyle w:val="TableText"/>
            </w:pPr>
            <w:r w:rsidRPr="0081460F">
              <w:t>General Practice Mental Health Standards Collaboration (Royal Australian College of General Practitioners) (Vic)</w:t>
            </w:r>
          </w:p>
        </w:tc>
      </w:tr>
      <w:tr w:rsidR="00455B37" w:rsidRPr="00455B37" w14:paraId="00DCEF39"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F3855A5" w14:textId="77777777" w:rsidR="00455B37" w:rsidRPr="0081460F" w:rsidRDefault="00455B37" w:rsidP="0081460F">
            <w:pPr>
              <w:pStyle w:val="TableText"/>
            </w:pPr>
            <w:r w:rsidRPr="0081460F">
              <w:t>Dr Nathan Gibson</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F3A73E2"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Chief Psychiatrist, WA</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07C6FE1" w14:textId="77777777" w:rsidR="00455B37" w:rsidRPr="0081460F" w:rsidRDefault="00455B37" w:rsidP="0081460F">
            <w:pPr>
              <w:pStyle w:val="TableText"/>
            </w:pPr>
            <w:r w:rsidRPr="0081460F">
              <w:t xml:space="preserve">Safety and Quality Partnership Standing Committee (SQPSC) </w:t>
            </w:r>
          </w:p>
        </w:tc>
      </w:tr>
      <w:tr w:rsidR="00455B37" w:rsidRPr="00455B37" w14:paraId="2011BA24"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6D20113" w14:textId="77777777" w:rsidR="00455B37" w:rsidRPr="0081460F" w:rsidRDefault="00455B37" w:rsidP="0081460F">
            <w:pPr>
              <w:pStyle w:val="TableText"/>
            </w:pPr>
            <w:r w:rsidRPr="0081460F">
              <w:t>Dr Peter Jenkins</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180058E"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Director, Child and Youth Mental Health, Eastern Health</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761DAC0" w14:textId="77777777" w:rsidR="00455B37" w:rsidRPr="0081460F" w:rsidRDefault="00455B37" w:rsidP="0081460F">
            <w:pPr>
              <w:pStyle w:val="TableText"/>
            </w:pPr>
            <w:r w:rsidRPr="0081460F">
              <w:t>Royal Australian and New Zealand College of Psychiatrists</w:t>
            </w:r>
          </w:p>
        </w:tc>
      </w:tr>
      <w:tr w:rsidR="00455B37" w:rsidRPr="00455B37" w14:paraId="05ECD97C"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31EA801" w14:textId="77777777" w:rsidR="00455B37" w:rsidRPr="0081460F" w:rsidRDefault="00455B37" w:rsidP="0081460F">
            <w:pPr>
              <w:pStyle w:val="TableText"/>
            </w:pPr>
            <w:r w:rsidRPr="0081460F">
              <w:t>Ms Tanja Hirvonen</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A201FA8"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Team Leader, Social and Emotional Wellbeing</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D6B3C16" w14:textId="77777777" w:rsidR="00455B37" w:rsidRPr="0081460F" w:rsidRDefault="00455B37" w:rsidP="0081460F">
            <w:pPr>
              <w:pStyle w:val="TableText"/>
            </w:pPr>
            <w:r w:rsidRPr="0081460F">
              <w:t>Danila Dilba Health Services (NT)</w:t>
            </w:r>
          </w:p>
        </w:tc>
      </w:tr>
      <w:tr w:rsidR="00455B37" w:rsidRPr="00455B37" w14:paraId="7F0105AB"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A601414" w14:textId="77777777" w:rsidR="00455B37" w:rsidRPr="0081460F" w:rsidRDefault="00455B37" w:rsidP="0081460F">
            <w:pPr>
              <w:pStyle w:val="TableText"/>
            </w:pPr>
            <w:r w:rsidRPr="0081460F">
              <w:t>Mr Tom Brideson</w:t>
            </w:r>
          </w:p>
        </w:tc>
        <w:tc>
          <w:tcPr>
            <w:tcW w:w="3202"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2EF3FA7" w14:textId="77777777" w:rsidR="00455B37" w:rsidRPr="0081460F" w:rsidRDefault="00455B37" w:rsidP="0081460F">
            <w:pPr>
              <w:pStyle w:val="TableText"/>
              <w:cnfStyle w:val="000000000000" w:firstRow="0" w:lastRow="0" w:firstColumn="0" w:lastColumn="0" w:oddVBand="0" w:evenVBand="0" w:oddHBand="0" w:evenHBand="0" w:firstRowFirstColumn="0" w:firstRowLastColumn="0" w:lastRowFirstColumn="0" w:lastRowLastColumn="0"/>
            </w:pPr>
            <w:r w:rsidRPr="0081460F">
              <w:t>Statewide Coordinator</w:t>
            </w:r>
          </w:p>
        </w:tc>
        <w:tc>
          <w:tcPr>
            <w:cnfStyle w:val="000010000000" w:firstRow="0" w:lastRow="0" w:firstColumn="0" w:lastColumn="0" w:oddVBand="1" w:evenVBand="0" w:oddHBand="0" w:evenHBand="0" w:firstRowFirstColumn="0" w:firstRowLastColumn="0" w:lastRowFirstColumn="0" w:lastRowLastColumn="0"/>
            <w:tcW w:w="3686"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F698ADD" w14:textId="77777777" w:rsidR="00455B37" w:rsidRPr="0081460F" w:rsidRDefault="00455B37" w:rsidP="0081460F">
            <w:pPr>
              <w:pStyle w:val="TableText"/>
            </w:pPr>
            <w:r w:rsidRPr="0081460F">
              <w:t>NSW Aboriginal Mental Health Workforce Program</w:t>
            </w:r>
          </w:p>
        </w:tc>
      </w:tr>
    </w:tbl>
    <w:p w14:paraId="6543699B" w14:textId="77777777" w:rsidR="00455B37" w:rsidRDefault="00455B37">
      <w:pPr>
        <w:rPr>
          <w:rFonts w:ascii="Arial" w:hAnsi="Arial"/>
          <w:color w:val="000000" w:themeColor="text2"/>
          <w:sz w:val="20"/>
        </w:rPr>
      </w:pPr>
      <w:r>
        <w:br w:type="page"/>
      </w:r>
    </w:p>
    <w:tbl>
      <w:tblPr>
        <w:tblStyle w:val="SAQ290Table"/>
        <w:tblW w:w="10065" w:type="dxa"/>
        <w:tblLayout w:type="fixed"/>
        <w:tblCellMar>
          <w:top w:w="113" w:type="dxa"/>
          <w:left w:w="113" w:type="dxa"/>
          <w:bottom w:w="57" w:type="dxa"/>
        </w:tblCellMar>
        <w:tblLook w:val="0220" w:firstRow="1" w:lastRow="0" w:firstColumn="0" w:lastColumn="0" w:noHBand="1" w:noVBand="0"/>
        <w:tblCaption w:val="ACSQHC Recognising and responding to clinical deterioration Advisory Committee"/>
      </w:tblPr>
      <w:tblGrid>
        <w:gridCol w:w="2957"/>
        <w:gridCol w:w="3051"/>
        <w:gridCol w:w="4057"/>
      </w:tblGrid>
      <w:tr w:rsidR="00455B37" w:rsidRPr="00455B37" w14:paraId="700B334D" w14:textId="77777777" w:rsidTr="004E00C4">
        <w:trPr>
          <w:cnfStyle w:val="100000000000" w:firstRow="1" w:lastRow="0"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0065" w:type="dxa"/>
            <w:gridSpan w:val="3"/>
            <w:tcBorders>
              <w:top w:val="none" w:sz="0" w:space="0" w:color="auto"/>
              <w:left w:val="none" w:sz="0" w:space="0" w:color="auto"/>
              <w:right w:val="none" w:sz="0" w:space="0" w:color="auto"/>
              <w:tl2br w:val="none" w:sz="0" w:space="0" w:color="auto"/>
              <w:tr2bl w:val="none" w:sz="0" w:space="0" w:color="auto"/>
            </w:tcBorders>
          </w:tcPr>
          <w:p w14:paraId="66373C25" w14:textId="77777777" w:rsidR="00455B37" w:rsidRPr="00455B37" w:rsidRDefault="00455B37" w:rsidP="0081460F">
            <w:pPr>
              <w:pStyle w:val="TableHeading"/>
              <w:ind w:right="-389"/>
            </w:pPr>
            <w:r w:rsidRPr="00455B37">
              <w:lastRenderedPageBreak/>
              <w:t>ACSQHC Recognising and responding to clinical deterioration Advisory Committee</w:t>
            </w:r>
          </w:p>
        </w:tc>
      </w:tr>
      <w:tr w:rsidR="00455B37" w:rsidRPr="00455B37" w14:paraId="488B8334"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left w:val="none" w:sz="0" w:space="0" w:color="auto"/>
              <w:bottom w:val="dashSmallGap" w:sz="6" w:space="0" w:color="008EAB" w:themeColor="accent2"/>
              <w:tl2br w:val="none" w:sz="0" w:space="0" w:color="auto"/>
              <w:tr2bl w:val="none" w:sz="0" w:space="0" w:color="auto"/>
            </w:tcBorders>
            <w:shd w:val="clear" w:color="auto" w:fill="008EAB" w:themeFill="accent2"/>
          </w:tcPr>
          <w:p w14:paraId="78BC0555" w14:textId="77777777" w:rsidR="00455B37" w:rsidRPr="00455B37" w:rsidRDefault="00455B37" w:rsidP="0081460F">
            <w:pPr>
              <w:pStyle w:val="TableHeading"/>
            </w:pPr>
            <w:r w:rsidRPr="00455B37">
              <w:t xml:space="preserve">Name </w:t>
            </w:r>
          </w:p>
        </w:tc>
        <w:tc>
          <w:tcPr>
            <w:tcW w:w="3051" w:type="dxa"/>
            <w:tcBorders>
              <w:top w:val="nil"/>
              <w:left w:val="nil"/>
              <w:bottom w:val="dashSmallGap" w:sz="6" w:space="0" w:color="008EAB" w:themeColor="accent2"/>
              <w:right w:val="nil"/>
            </w:tcBorders>
            <w:shd w:val="clear" w:color="auto" w:fill="008EAB" w:themeFill="accent2"/>
          </w:tcPr>
          <w:p w14:paraId="60259187" w14:textId="77777777" w:rsidR="00455B37" w:rsidRPr="00455B37" w:rsidRDefault="00455B37" w:rsidP="0081460F">
            <w:pPr>
              <w:pStyle w:val="TableHeading"/>
              <w:cnfStyle w:val="000000000000" w:firstRow="0" w:lastRow="0" w:firstColumn="0" w:lastColumn="0" w:oddVBand="0" w:evenVBand="0" w:oddHBand="0" w:evenHBand="0" w:firstRowFirstColumn="0" w:firstRowLastColumn="0" w:lastRowFirstColumn="0" w:lastRowLastColumn="0"/>
            </w:pPr>
            <w:r w:rsidRPr="00455B37">
              <w:t>Position</w:t>
            </w:r>
          </w:p>
        </w:tc>
        <w:tc>
          <w:tcPr>
            <w:cnfStyle w:val="000010000000" w:firstRow="0" w:lastRow="0" w:firstColumn="0" w:lastColumn="0" w:oddVBand="1" w:evenVBand="0" w:oddHBand="0" w:evenHBand="0" w:firstRowFirstColumn="0" w:firstRowLastColumn="0" w:lastRowFirstColumn="0" w:lastRowLastColumn="0"/>
            <w:tcW w:w="4057" w:type="dxa"/>
            <w:tcBorders>
              <w:bottom w:val="dashSmallGap" w:sz="6" w:space="0" w:color="008EAB" w:themeColor="accent2"/>
              <w:right w:val="none" w:sz="0" w:space="0" w:color="auto"/>
              <w:tl2br w:val="none" w:sz="0" w:space="0" w:color="auto"/>
              <w:tr2bl w:val="none" w:sz="0" w:space="0" w:color="auto"/>
            </w:tcBorders>
            <w:shd w:val="clear" w:color="auto" w:fill="008EAB" w:themeFill="accent2"/>
          </w:tcPr>
          <w:p w14:paraId="1C4CC76E" w14:textId="77777777" w:rsidR="00455B37" w:rsidRPr="00455B37" w:rsidRDefault="00455B37" w:rsidP="0081460F">
            <w:pPr>
              <w:pStyle w:val="TableHeading"/>
            </w:pPr>
            <w:r w:rsidRPr="00455B37">
              <w:t>Organisation</w:t>
            </w:r>
          </w:p>
        </w:tc>
      </w:tr>
      <w:tr w:rsidR="00455B37" w:rsidRPr="00455B37" w14:paraId="05F8C250"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2B353D3B" w14:textId="77777777" w:rsidR="00455B37" w:rsidRPr="00455B37" w:rsidRDefault="00455B37" w:rsidP="00455B37">
            <w:pPr>
              <w:pStyle w:val="TableText"/>
              <w:rPr>
                <w:spacing w:val="0"/>
              </w:rPr>
            </w:pPr>
            <w:r w:rsidRPr="00455B37">
              <w:rPr>
                <w:spacing w:val="0"/>
              </w:rPr>
              <w:t>A/Prof Alison McMillan (Chair)</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47AC405"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Chief Nursing and Midwifery</w:t>
            </w:r>
            <w:r w:rsidRPr="00455B37">
              <w:rPr>
                <w:rFonts w:ascii="Cambria Math" w:hAnsi="Cambria Math" w:cs="Cambria Math"/>
                <w:spacing w:val="0"/>
              </w:rPr>
              <w:t> </w:t>
            </w:r>
            <w:r w:rsidRPr="00455B37">
              <w:rPr>
                <w:spacing w:val="0"/>
              </w:rPr>
              <w:t>Officer</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64BEC782" w14:textId="77777777" w:rsidR="00455B37" w:rsidRPr="00455B37" w:rsidRDefault="00455B37" w:rsidP="00455B37">
            <w:pPr>
              <w:pStyle w:val="TableText"/>
              <w:rPr>
                <w:spacing w:val="0"/>
              </w:rPr>
            </w:pPr>
            <w:r w:rsidRPr="00455B37">
              <w:rPr>
                <w:spacing w:val="0"/>
              </w:rPr>
              <w:t>Department of Health and Human</w:t>
            </w:r>
            <w:r w:rsidRPr="00455B37">
              <w:rPr>
                <w:rFonts w:ascii="Cambria Math" w:hAnsi="Cambria Math" w:cs="Cambria Math"/>
                <w:spacing w:val="0"/>
              </w:rPr>
              <w:t> </w:t>
            </w:r>
            <w:r w:rsidRPr="00455B37">
              <w:rPr>
                <w:spacing w:val="0"/>
              </w:rPr>
              <w:t>Services, Vic</w:t>
            </w:r>
          </w:p>
        </w:tc>
      </w:tr>
      <w:tr w:rsidR="00455B37" w:rsidRPr="00455B37" w14:paraId="00764B36"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auto"/>
          </w:tcPr>
          <w:p w14:paraId="334322BF" w14:textId="77777777" w:rsidR="00455B37" w:rsidRPr="00455B37" w:rsidRDefault="00455B37" w:rsidP="00455B37">
            <w:pPr>
              <w:pStyle w:val="TableText"/>
              <w:rPr>
                <w:spacing w:val="0"/>
              </w:rPr>
            </w:pPr>
            <w:r w:rsidRPr="00455B37">
              <w:rPr>
                <w:spacing w:val="0"/>
              </w:rPr>
              <w:t>Prof Tracey Bucknall</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auto"/>
          </w:tcPr>
          <w:p w14:paraId="3198CF41"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Professor of Nursing</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auto"/>
          </w:tcPr>
          <w:p w14:paraId="4E53D099" w14:textId="77777777" w:rsidR="00455B37" w:rsidRPr="00455B37" w:rsidRDefault="00455B37" w:rsidP="00455B37">
            <w:pPr>
              <w:pStyle w:val="TableText"/>
              <w:rPr>
                <w:spacing w:val="0"/>
              </w:rPr>
            </w:pPr>
            <w:r w:rsidRPr="00455B37">
              <w:rPr>
                <w:spacing w:val="0"/>
              </w:rPr>
              <w:t>Deakin University</w:t>
            </w:r>
          </w:p>
        </w:tc>
      </w:tr>
      <w:tr w:rsidR="00455B37" w:rsidRPr="00455B37" w14:paraId="2AECCCF0"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553010FC" w14:textId="77777777" w:rsidR="00455B37" w:rsidRPr="00455B37" w:rsidRDefault="00455B37" w:rsidP="00455B37">
            <w:pPr>
              <w:pStyle w:val="TableText"/>
              <w:rPr>
                <w:spacing w:val="0"/>
              </w:rPr>
            </w:pPr>
            <w:r w:rsidRPr="00455B37">
              <w:rPr>
                <w:spacing w:val="0"/>
              </w:rPr>
              <w:t>Ms Julie Claessens</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008807F"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Consumer representative</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51364B1F" w14:textId="77777777" w:rsidR="00455B37" w:rsidRPr="00455B37" w:rsidRDefault="00455B37" w:rsidP="00455B37">
            <w:pPr>
              <w:pStyle w:val="TableText"/>
              <w:rPr>
                <w:spacing w:val="0"/>
              </w:rPr>
            </w:pPr>
            <w:r w:rsidRPr="00455B37">
              <w:rPr>
                <w:spacing w:val="0"/>
              </w:rPr>
              <w:t>Consumers Health Forum</w:t>
            </w:r>
          </w:p>
        </w:tc>
      </w:tr>
      <w:tr w:rsidR="00455B37" w:rsidRPr="00455B37" w14:paraId="4CBE8B23"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auto"/>
          </w:tcPr>
          <w:p w14:paraId="597EE382" w14:textId="77777777" w:rsidR="00455B37" w:rsidRPr="00455B37" w:rsidRDefault="00455B37" w:rsidP="00455B37">
            <w:pPr>
              <w:pStyle w:val="TableText"/>
              <w:rPr>
                <w:spacing w:val="0"/>
              </w:rPr>
            </w:pPr>
            <w:r w:rsidRPr="00455B37">
              <w:rPr>
                <w:spacing w:val="0"/>
              </w:rPr>
              <w:t>Mr Malcolm Green</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auto"/>
          </w:tcPr>
          <w:p w14:paraId="73EAE7A3"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Program Leader</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auto"/>
          </w:tcPr>
          <w:p w14:paraId="15C54A42" w14:textId="77777777" w:rsidR="00455B37" w:rsidRPr="00455B37" w:rsidRDefault="00455B37" w:rsidP="00455B37">
            <w:pPr>
              <w:pStyle w:val="TableText"/>
              <w:rPr>
                <w:spacing w:val="0"/>
              </w:rPr>
            </w:pPr>
            <w:r w:rsidRPr="00455B37">
              <w:rPr>
                <w:spacing w:val="0"/>
              </w:rPr>
              <w:t>Clinical Excellence Commission</w:t>
            </w:r>
          </w:p>
        </w:tc>
      </w:tr>
      <w:tr w:rsidR="00455B37" w:rsidRPr="00455B37" w14:paraId="4F79AD7C"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44EC8A4B" w14:textId="77777777" w:rsidR="00455B37" w:rsidRPr="00455B37" w:rsidRDefault="00455B37" w:rsidP="00455B37">
            <w:pPr>
              <w:pStyle w:val="TableText"/>
              <w:rPr>
                <w:spacing w:val="0"/>
              </w:rPr>
            </w:pPr>
            <w:r w:rsidRPr="00455B37">
              <w:rPr>
                <w:spacing w:val="0"/>
              </w:rPr>
              <w:t>Ms Anne Hawkins</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1822B26"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Clinical Nurse Consultant</w:t>
            </w:r>
            <w:r w:rsidRPr="00455B37">
              <w:rPr>
                <w:spacing w:val="0"/>
              </w:rPr>
              <w:br/>
              <w:t>For Emergency/</w:t>
            </w:r>
            <w:r w:rsidRPr="00455B37">
              <w:rPr>
                <w:spacing w:val="0"/>
              </w:rPr>
              <w:br/>
              <w:t>Critical Care Services</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39BE2AB8" w14:textId="77777777" w:rsidR="00455B37" w:rsidRPr="00455B37" w:rsidRDefault="00455B37" w:rsidP="00455B37">
            <w:pPr>
              <w:pStyle w:val="TableText"/>
              <w:rPr>
                <w:spacing w:val="0"/>
              </w:rPr>
            </w:pPr>
            <w:r w:rsidRPr="00455B37">
              <w:rPr>
                <w:spacing w:val="0"/>
              </w:rPr>
              <w:t>Murrumbidgee Local Health District</w:t>
            </w:r>
          </w:p>
        </w:tc>
      </w:tr>
      <w:tr w:rsidR="00455B37" w:rsidRPr="00455B37" w14:paraId="2346DEAB"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auto"/>
          </w:tcPr>
          <w:p w14:paraId="0A014352" w14:textId="77777777" w:rsidR="00455B37" w:rsidRPr="00455B37" w:rsidRDefault="00455B37" w:rsidP="00455B37">
            <w:pPr>
              <w:pStyle w:val="TableText"/>
              <w:rPr>
                <w:spacing w:val="0"/>
              </w:rPr>
            </w:pPr>
            <w:r w:rsidRPr="00455B37">
              <w:rPr>
                <w:spacing w:val="0"/>
              </w:rPr>
              <w:t>Ms Robyn Hayes</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auto"/>
          </w:tcPr>
          <w:p w14:paraId="6D804906"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Nursing Unit Manager, Acute Medical Unit</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auto"/>
          </w:tcPr>
          <w:p w14:paraId="6D7E59C5" w14:textId="77777777" w:rsidR="00455B37" w:rsidRPr="00455B37" w:rsidRDefault="00455B37" w:rsidP="00455B37">
            <w:pPr>
              <w:pStyle w:val="TableText"/>
              <w:rPr>
                <w:spacing w:val="0"/>
              </w:rPr>
            </w:pPr>
            <w:r w:rsidRPr="00455B37">
              <w:rPr>
                <w:spacing w:val="0"/>
              </w:rPr>
              <w:t>Launceston General Hospital</w:t>
            </w:r>
          </w:p>
        </w:tc>
      </w:tr>
      <w:tr w:rsidR="00455B37" w:rsidRPr="00455B37" w14:paraId="7E4FFBA9"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70D90296" w14:textId="77777777" w:rsidR="00455B37" w:rsidRPr="00455B37" w:rsidRDefault="00455B37" w:rsidP="00455B37">
            <w:pPr>
              <w:pStyle w:val="TableText"/>
              <w:rPr>
                <w:spacing w:val="0"/>
              </w:rPr>
            </w:pPr>
            <w:r w:rsidRPr="00455B37">
              <w:rPr>
                <w:spacing w:val="0"/>
              </w:rPr>
              <w:t>Prof Imogen Mitchell</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04524BC"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Deputy Dean</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079F1E09" w14:textId="77777777" w:rsidR="00455B37" w:rsidRPr="00455B37" w:rsidRDefault="00455B37" w:rsidP="00455B37">
            <w:pPr>
              <w:pStyle w:val="TableText"/>
              <w:rPr>
                <w:spacing w:val="0"/>
              </w:rPr>
            </w:pPr>
            <w:r w:rsidRPr="00455B37">
              <w:rPr>
                <w:spacing w:val="0"/>
              </w:rPr>
              <w:t>Australian National University Medical School</w:t>
            </w:r>
          </w:p>
        </w:tc>
      </w:tr>
      <w:tr w:rsidR="00455B37" w:rsidRPr="00455B37" w14:paraId="0CAEDC70"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auto"/>
          </w:tcPr>
          <w:p w14:paraId="5D766BAB" w14:textId="77777777" w:rsidR="00455B37" w:rsidRPr="00455B37" w:rsidRDefault="00455B37" w:rsidP="00455B37">
            <w:pPr>
              <w:pStyle w:val="TableText"/>
              <w:rPr>
                <w:spacing w:val="0"/>
              </w:rPr>
            </w:pPr>
            <w:r w:rsidRPr="00455B37">
              <w:rPr>
                <w:spacing w:val="0"/>
              </w:rPr>
              <w:t>Dr Kim Mullaley</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auto"/>
          </w:tcPr>
          <w:p w14:paraId="230D60E8"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Emergency Physician</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auto"/>
          </w:tcPr>
          <w:p w14:paraId="534B5954" w14:textId="77777777" w:rsidR="00455B37" w:rsidRPr="00455B37" w:rsidRDefault="00455B37" w:rsidP="00455B37">
            <w:pPr>
              <w:pStyle w:val="TableText"/>
              <w:rPr>
                <w:spacing w:val="0"/>
              </w:rPr>
            </w:pPr>
            <w:r w:rsidRPr="00455B37">
              <w:rPr>
                <w:spacing w:val="0"/>
              </w:rPr>
              <w:t>Joondalup Health Campus</w:t>
            </w:r>
          </w:p>
        </w:tc>
      </w:tr>
      <w:tr w:rsidR="00455B37" w:rsidRPr="00455B37" w14:paraId="26CE28A5" w14:textId="77777777" w:rsidTr="001C29A2">
        <w:trPr>
          <w:trHeight w:val="60"/>
        </w:trPr>
        <w:tc>
          <w:tcPr>
            <w:cnfStyle w:val="000010000000" w:firstRow="0" w:lastRow="0" w:firstColumn="0" w:lastColumn="0" w:oddVBand="1" w:evenVBand="0" w:oddHBand="0" w:evenHBand="0" w:firstRowFirstColumn="0" w:firstRowLastColumn="0" w:lastRowFirstColumn="0" w:lastRowLastColumn="0"/>
            <w:tcW w:w="29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2B4B5DE6" w14:textId="77777777" w:rsidR="00455B37" w:rsidRPr="00455B37" w:rsidRDefault="00455B37" w:rsidP="00455B37">
            <w:pPr>
              <w:pStyle w:val="TableText"/>
              <w:rPr>
                <w:spacing w:val="0"/>
              </w:rPr>
            </w:pPr>
            <w:r w:rsidRPr="00455B37">
              <w:rPr>
                <w:spacing w:val="0"/>
              </w:rPr>
              <w:t>Ms Glenna Parker</w:t>
            </w:r>
          </w:p>
        </w:tc>
        <w:tc>
          <w:tcPr>
            <w:tcW w:w="30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055E16A7" w14:textId="77777777" w:rsidR="00455B37" w:rsidRPr="00455B37" w:rsidRDefault="00455B37" w:rsidP="00455B37">
            <w:pPr>
              <w:pStyle w:val="TableText"/>
              <w:cnfStyle w:val="000000000000" w:firstRow="0" w:lastRow="0" w:firstColumn="0" w:lastColumn="0" w:oddVBand="0" w:evenVBand="0" w:oddHBand="0" w:evenHBand="0" w:firstRowFirstColumn="0" w:firstRowLastColumn="0" w:lastRowFirstColumn="0" w:lastRowLastColumn="0"/>
              <w:rPr>
                <w:spacing w:val="0"/>
              </w:rPr>
            </w:pPr>
            <w:r w:rsidRPr="00455B37">
              <w:rPr>
                <w:spacing w:val="0"/>
              </w:rPr>
              <w:t>Group Clinical Governance</w:t>
            </w:r>
            <w:r w:rsidRPr="00455B37">
              <w:rPr>
                <w:rFonts w:ascii="Cambria Math" w:hAnsi="Cambria Math" w:cs="Cambria Math"/>
                <w:spacing w:val="0"/>
              </w:rPr>
              <w:t> </w:t>
            </w:r>
            <w:r w:rsidRPr="00455B37">
              <w:rPr>
                <w:spacing w:val="0"/>
              </w:rPr>
              <w:t>Manager</w:t>
            </w:r>
          </w:p>
        </w:tc>
        <w:tc>
          <w:tcPr>
            <w:cnfStyle w:val="000010000000" w:firstRow="0" w:lastRow="0" w:firstColumn="0" w:lastColumn="0" w:oddVBand="1" w:evenVBand="0" w:oddHBand="0" w:evenHBand="0" w:firstRowFirstColumn="0" w:firstRowLastColumn="0" w:lastRowFirstColumn="0" w:lastRowLastColumn="0"/>
            <w:tcW w:w="4057"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l2br w:val="none" w:sz="0" w:space="0" w:color="auto"/>
              <w:tr2bl w:val="none" w:sz="0" w:space="0" w:color="auto"/>
            </w:tcBorders>
            <w:shd w:val="clear" w:color="auto" w:fill="D4E1E9" w:themeFill="accent4"/>
          </w:tcPr>
          <w:p w14:paraId="0597ACD5" w14:textId="77777777" w:rsidR="00455B37" w:rsidRPr="00455B37" w:rsidRDefault="00455B37" w:rsidP="00455B37">
            <w:pPr>
              <w:pStyle w:val="TableText"/>
              <w:rPr>
                <w:spacing w:val="0"/>
              </w:rPr>
            </w:pPr>
            <w:r w:rsidRPr="00455B37">
              <w:rPr>
                <w:spacing w:val="0"/>
              </w:rPr>
              <w:t>Ramsay Health Care</w:t>
            </w:r>
          </w:p>
        </w:tc>
      </w:tr>
    </w:tbl>
    <w:p w14:paraId="4DF9FD6F" w14:textId="77777777" w:rsidR="00455B37" w:rsidRDefault="00455B37" w:rsidP="00455B37">
      <w:pPr>
        <w:pStyle w:val="BodyText"/>
      </w:pPr>
    </w:p>
    <w:p w14:paraId="0A7C6DB5" w14:textId="77777777" w:rsidR="00455B37" w:rsidRDefault="00455B37">
      <w:pPr>
        <w:rPr>
          <w:rFonts w:ascii="Arial" w:hAnsi="Arial"/>
          <w:color w:val="000000" w:themeColor="text2"/>
          <w:sz w:val="20"/>
        </w:rPr>
      </w:pPr>
      <w:r>
        <w:br w:type="page"/>
      </w:r>
    </w:p>
    <w:tbl>
      <w:tblPr>
        <w:tblStyle w:val="TableGrid"/>
        <w:tblW w:w="9865" w:type="dxa"/>
        <w:tblBorders>
          <w:top w:val="dashed" w:sz="4" w:space="0" w:color="008EAB" w:themeColor="accent2"/>
          <w:left w:val="dashed" w:sz="4" w:space="0" w:color="008EAB" w:themeColor="accent2"/>
          <w:bottom w:val="dashed" w:sz="4" w:space="0" w:color="008EAB" w:themeColor="accent2"/>
          <w:right w:val="dashed" w:sz="4" w:space="0" w:color="008EAB" w:themeColor="accent2"/>
          <w:insideH w:val="dashed" w:sz="4" w:space="0" w:color="008EAB" w:themeColor="accent2"/>
          <w:insideV w:val="dashed" w:sz="4" w:space="0" w:color="008EAB" w:themeColor="accent2"/>
        </w:tblBorders>
        <w:tblLayout w:type="fixed"/>
        <w:tblCellMar>
          <w:top w:w="57" w:type="dxa"/>
          <w:bottom w:w="57" w:type="dxa"/>
        </w:tblCellMar>
        <w:tblLook w:val="0000" w:firstRow="0" w:lastRow="0" w:firstColumn="0" w:lastColumn="0" w:noHBand="0" w:noVBand="0"/>
        <w:tblCaption w:val="Participants in one-day workshop on draft Consensus Statement February 2016"/>
      </w:tblPr>
      <w:tblGrid>
        <w:gridCol w:w="2830"/>
        <w:gridCol w:w="2835"/>
        <w:gridCol w:w="4200"/>
      </w:tblGrid>
      <w:tr w:rsidR="00455B37" w:rsidRPr="004E00C4" w14:paraId="4FE12463" w14:textId="77777777" w:rsidTr="001C29A2">
        <w:trPr>
          <w:trHeight w:val="60"/>
          <w:tblHeader/>
        </w:trPr>
        <w:tc>
          <w:tcPr>
            <w:tcW w:w="9865" w:type="dxa"/>
            <w:gridSpan w:val="3"/>
            <w:tcBorders>
              <w:top w:val="dashSmallGap" w:sz="6" w:space="0" w:color="008EAB" w:themeColor="accent2"/>
              <w:left w:val="dashSmallGap" w:sz="6" w:space="0" w:color="008EAB" w:themeColor="accent2"/>
              <w:bottom w:val="nil"/>
              <w:right w:val="dashSmallGap" w:sz="6" w:space="0" w:color="008EAB" w:themeColor="accent2"/>
            </w:tcBorders>
            <w:shd w:val="clear" w:color="auto" w:fill="008EAB" w:themeFill="accent2"/>
          </w:tcPr>
          <w:p w14:paraId="62897F2F" w14:textId="77777777" w:rsidR="00455B37" w:rsidRPr="004E00C4" w:rsidRDefault="00455B37" w:rsidP="004E00C4">
            <w:pPr>
              <w:pStyle w:val="TableHeading"/>
            </w:pPr>
            <w:r w:rsidRPr="004E00C4">
              <w:lastRenderedPageBreak/>
              <w:t>Participants in one-day workshop on draft Consensus Statement February 2016</w:t>
            </w:r>
          </w:p>
        </w:tc>
      </w:tr>
      <w:tr w:rsidR="00455B37" w:rsidRPr="004E00C4" w14:paraId="1A3A9AF5" w14:textId="77777777" w:rsidTr="001C29A2">
        <w:trPr>
          <w:trHeight w:val="60"/>
          <w:tblHeader/>
        </w:trPr>
        <w:tc>
          <w:tcPr>
            <w:tcW w:w="2830" w:type="dxa"/>
            <w:tcBorders>
              <w:top w:val="nil"/>
              <w:left w:val="dashSmallGap" w:sz="6" w:space="0" w:color="008EAB" w:themeColor="accent2"/>
              <w:bottom w:val="dashSmallGap" w:sz="6" w:space="0" w:color="008EAB" w:themeColor="accent2"/>
              <w:right w:val="nil"/>
            </w:tcBorders>
            <w:shd w:val="clear" w:color="auto" w:fill="008EAB" w:themeFill="accent2"/>
          </w:tcPr>
          <w:p w14:paraId="0B3DBC8A" w14:textId="77777777" w:rsidR="00455B37" w:rsidRPr="004E00C4" w:rsidRDefault="00455B37" w:rsidP="004E00C4">
            <w:pPr>
              <w:pStyle w:val="TableHeading"/>
            </w:pPr>
            <w:r w:rsidRPr="004E00C4">
              <w:t xml:space="preserve">Name </w:t>
            </w:r>
          </w:p>
        </w:tc>
        <w:tc>
          <w:tcPr>
            <w:tcW w:w="2835" w:type="dxa"/>
            <w:tcBorders>
              <w:top w:val="nil"/>
              <w:left w:val="nil"/>
              <w:bottom w:val="dashSmallGap" w:sz="6" w:space="0" w:color="008EAB" w:themeColor="accent2"/>
              <w:right w:val="nil"/>
            </w:tcBorders>
            <w:shd w:val="clear" w:color="auto" w:fill="008EAB" w:themeFill="accent2"/>
          </w:tcPr>
          <w:p w14:paraId="5A76B40D" w14:textId="77777777" w:rsidR="00455B37" w:rsidRPr="004E00C4" w:rsidRDefault="00455B37" w:rsidP="004E00C4">
            <w:pPr>
              <w:pStyle w:val="TableHeading"/>
            </w:pPr>
            <w:r w:rsidRPr="004E00C4">
              <w:t>Position</w:t>
            </w:r>
          </w:p>
        </w:tc>
        <w:tc>
          <w:tcPr>
            <w:tcW w:w="4200" w:type="dxa"/>
            <w:tcBorders>
              <w:top w:val="nil"/>
              <w:left w:val="nil"/>
              <w:bottom w:val="dashSmallGap" w:sz="6" w:space="0" w:color="008EAB" w:themeColor="accent2"/>
              <w:right w:val="dashSmallGap" w:sz="6" w:space="0" w:color="008EAB" w:themeColor="accent2"/>
            </w:tcBorders>
            <w:shd w:val="clear" w:color="auto" w:fill="008EAB" w:themeFill="accent2"/>
          </w:tcPr>
          <w:p w14:paraId="16E64039" w14:textId="77777777" w:rsidR="00455B37" w:rsidRPr="004E00C4" w:rsidRDefault="00455B37" w:rsidP="004E00C4">
            <w:pPr>
              <w:pStyle w:val="TableHeading"/>
            </w:pPr>
            <w:r w:rsidRPr="004E00C4">
              <w:t>Organisation</w:t>
            </w:r>
          </w:p>
        </w:tc>
      </w:tr>
      <w:tr w:rsidR="00455B37" w:rsidRPr="004E00C4" w14:paraId="497D49C3"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5577115" w14:textId="77777777" w:rsidR="00455B37" w:rsidRPr="004E00C4" w:rsidRDefault="00455B37" w:rsidP="004E00C4">
            <w:pPr>
              <w:pStyle w:val="TableText"/>
            </w:pPr>
            <w:r w:rsidRPr="004E00C4">
              <w:t>Ms Anna Love*</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69A28CB" w14:textId="77777777" w:rsidR="00455B37" w:rsidRPr="004E00C4" w:rsidRDefault="00455B37" w:rsidP="004E00C4">
            <w:pPr>
              <w:pStyle w:val="TableText"/>
            </w:pPr>
            <w:r w:rsidRPr="004E00C4">
              <w:t>Chief Mental Health Nurse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31BB862" w14:textId="77777777" w:rsidR="00455B37" w:rsidRPr="004E00C4" w:rsidRDefault="00455B37" w:rsidP="004E00C4">
            <w:pPr>
              <w:pStyle w:val="TableText"/>
            </w:pPr>
            <w:r w:rsidRPr="004E00C4">
              <w:t>Department of Health (Vic)</w:t>
            </w:r>
          </w:p>
        </w:tc>
      </w:tr>
      <w:tr w:rsidR="00455B37" w:rsidRPr="004E00C4" w14:paraId="61FB7A59"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683A696" w14:textId="77777777" w:rsidR="00455B37" w:rsidRPr="004E00C4" w:rsidRDefault="00455B37" w:rsidP="004E00C4">
            <w:pPr>
              <w:pStyle w:val="TableText"/>
            </w:pPr>
            <w:r w:rsidRPr="004E00C4">
              <w:t>Ms Anne Barbara</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39AC625" w14:textId="77777777" w:rsidR="00455B37" w:rsidRPr="004E00C4" w:rsidRDefault="00455B37" w:rsidP="004E00C4">
            <w:pPr>
              <w:pStyle w:val="TableText"/>
            </w:pPr>
            <w:r w:rsidRPr="004E00C4">
              <w:t>Carer representative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3B06ABC" w14:textId="77777777" w:rsidR="00455B37" w:rsidRPr="004E00C4" w:rsidRDefault="00455B37" w:rsidP="004E00C4">
            <w:pPr>
              <w:pStyle w:val="TableText"/>
            </w:pPr>
            <w:r w:rsidRPr="004E00C4">
              <w:t>National Mental Health Consumer and Carer Register</w:t>
            </w:r>
          </w:p>
        </w:tc>
      </w:tr>
      <w:tr w:rsidR="00455B37" w:rsidRPr="004E00C4" w14:paraId="6CB9BC60"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07919030" w14:textId="77777777" w:rsidR="00455B37" w:rsidRPr="004E00C4" w:rsidRDefault="00455B37" w:rsidP="004E00C4">
            <w:pPr>
              <w:pStyle w:val="TableText"/>
            </w:pPr>
            <w:r w:rsidRPr="004E00C4">
              <w:t>Ms Anne Mortimer*</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6552B78" w14:textId="77777777" w:rsidR="00455B37" w:rsidRPr="004E00C4" w:rsidRDefault="00455B37" w:rsidP="004E00C4">
            <w:pPr>
              <w:pStyle w:val="TableText"/>
            </w:pPr>
            <w:r w:rsidRPr="004E00C4">
              <w:t>Regional CEO,</w:t>
            </w:r>
            <w:r w:rsidRPr="004E00C4">
              <w:br/>
              <w:t>Ramsay Care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C7196FA" w14:textId="77777777" w:rsidR="00455B37" w:rsidRPr="004E00C4" w:rsidRDefault="00455B37" w:rsidP="004E00C4">
            <w:pPr>
              <w:pStyle w:val="TableText"/>
            </w:pPr>
            <w:r w:rsidRPr="004E00C4">
              <w:t>Australian Private Hospitals Association Psychiatric Committee</w:t>
            </w:r>
          </w:p>
        </w:tc>
      </w:tr>
      <w:tr w:rsidR="00455B37" w:rsidRPr="004E00C4" w14:paraId="330B936B" w14:textId="77777777" w:rsidTr="001C29A2">
        <w:trPr>
          <w:trHeight w:val="61"/>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C7C9AA0" w14:textId="77777777" w:rsidR="00455B37" w:rsidRPr="004E00C4" w:rsidRDefault="00455B37" w:rsidP="004E00C4">
            <w:pPr>
              <w:pStyle w:val="TableText"/>
            </w:pPr>
            <w:r w:rsidRPr="004E00C4">
              <w:t>Mr Benjamin Yeh</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344A765" w14:textId="77777777" w:rsidR="00455B37" w:rsidRPr="004E00C4" w:rsidRDefault="00455B37" w:rsidP="004E00C4">
            <w:pPr>
              <w:pStyle w:val="TableText"/>
            </w:pPr>
            <w:r w:rsidRPr="004E00C4">
              <w:t>Quality Manager</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BD69B2B" w14:textId="77777777" w:rsidR="00455B37" w:rsidRPr="004E00C4" w:rsidRDefault="00455B37" w:rsidP="004E00C4">
            <w:pPr>
              <w:pStyle w:val="TableText"/>
            </w:pPr>
            <w:r w:rsidRPr="004E00C4">
              <w:t>Ramsay Care</w:t>
            </w:r>
          </w:p>
        </w:tc>
      </w:tr>
      <w:tr w:rsidR="00455B37" w:rsidRPr="004E00C4" w14:paraId="22A3CE5A"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E233EB2" w14:textId="77777777" w:rsidR="00455B37" w:rsidRPr="004E00C4" w:rsidRDefault="00455B37" w:rsidP="004E00C4">
            <w:pPr>
              <w:pStyle w:val="TableText"/>
            </w:pPr>
            <w:r w:rsidRPr="004E00C4">
              <w:t>Ms Catherine Lourey</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09290FCE" w14:textId="77777777" w:rsidR="00455B37" w:rsidRPr="004E00C4" w:rsidRDefault="00455B37" w:rsidP="004E00C4">
            <w:pPr>
              <w:pStyle w:val="TableText"/>
            </w:pPr>
            <w:r w:rsidRPr="004E00C4">
              <w:t>Deputy Commissioner</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074FFCD9" w14:textId="77777777" w:rsidR="00455B37" w:rsidRPr="004E00C4" w:rsidRDefault="00455B37" w:rsidP="004E00C4">
            <w:pPr>
              <w:pStyle w:val="TableText"/>
            </w:pPr>
            <w:r w:rsidRPr="004E00C4">
              <w:t>Mental Health Commission of NSW</w:t>
            </w:r>
          </w:p>
        </w:tc>
      </w:tr>
      <w:tr w:rsidR="00455B37" w:rsidRPr="004E00C4" w14:paraId="5D942324"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1300B0C" w14:textId="77777777" w:rsidR="00455B37" w:rsidRPr="004E00C4" w:rsidRDefault="00455B37" w:rsidP="004E00C4">
            <w:pPr>
              <w:pStyle w:val="TableText"/>
            </w:pPr>
            <w:r w:rsidRPr="004E00C4">
              <w:t>Ms Cecily Pollard*</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B246F40" w14:textId="77777777" w:rsidR="00455B37" w:rsidRPr="004E00C4" w:rsidRDefault="00455B37" w:rsidP="004E00C4">
            <w:pPr>
              <w:pStyle w:val="TableText"/>
            </w:pPr>
            <w:r w:rsidRPr="004E00C4">
              <w:t>Safety and Quality Consultant</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FCCC451" w14:textId="77777777" w:rsidR="00455B37" w:rsidRPr="004E00C4" w:rsidRDefault="00455B37" w:rsidP="004E00C4">
            <w:pPr>
              <w:pStyle w:val="TableText"/>
            </w:pPr>
            <w:r w:rsidRPr="004E00C4">
              <w:t>Tasmanian Health Service</w:t>
            </w:r>
          </w:p>
        </w:tc>
      </w:tr>
      <w:tr w:rsidR="00455B37" w:rsidRPr="004E00C4" w14:paraId="38111937"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714F7C1" w14:textId="77777777" w:rsidR="00455B37" w:rsidRPr="004E00C4" w:rsidRDefault="00455B37" w:rsidP="004E00C4">
            <w:pPr>
              <w:pStyle w:val="TableText"/>
            </w:pPr>
            <w:r w:rsidRPr="004E00C4">
              <w:t>Ms Christine Gee*</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A7176D7" w14:textId="77777777" w:rsidR="00455B37" w:rsidRPr="004E00C4" w:rsidRDefault="00455B37" w:rsidP="004E00C4">
            <w:pPr>
              <w:pStyle w:val="TableText"/>
            </w:pPr>
            <w:r w:rsidRPr="004E00C4">
              <w:t>Board Member</w:t>
            </w:r>
            <w:r w:rsidRPr="004E00C4">
              <w:br/>
              <w:t>CEO</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0DE8D3C6" w14:textId="77777777" w:rsidR="00455B37" w:rsidRPr="004E00C4" w:rsidRDefault="00455B37" w:rsidP="004E00C4">
            <w:pPr>
              <w:pStyle w:val="TableText"/>
            </w:pPr>
            <w:r w:rsidRPr="004E00C4">
              <w:t>ACSQHC</w:t>
            </w:r>
            <w:r w:rsidRPr="004E00C4">
              <w:br/>
              <w:t>Toowong Private Hospital</w:t>
            </w:r>
          </w:p>
        </w:tc>
      </w:tr>
      <w:tr w:rsidR="00455B37" w:rsidRPr="004E00C4" w14:paraId="0081A23B"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30114FF" w14:textId="77777777" w:rsidR="00455B37" w:rsidRPr="004E00C4" w:rsidRDefault="00455B37" w:rsidP="004E00C4">
            <w:pPr>
              <w:pStyle w:val="TableText"/>
            </w:pPr>
            <w:r w:rsidRPr="004E00C4">
              <w:t>Ms Clair Edwards*</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B8F2F16" w14:textId="77777777" w:rsidR="00455B37" w:rsidRPr="004E00C4" w:rsidRDefault="00455B37" w:rsidP="004E00C4">
            <w:pPr>
              <w:pStyle w:val="TableText"/>
            </w:pPr>
            <w:r w:rsidRPr="004E00C4">
              <w:t>Director of Nursing and Deputy Director Mental Health</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F0E3E88" w14:textId="77777777" w:rsidR="00455B37" w:rsidRPr="004E00C4" w:rsidRDefault="00455B37" w:rsidP="004E00C4">
            <w:pPr>
              <w:pStyle w:val="TableText"/>
            </w:pPr>
            <w:r w:rsidRPr="004E00C4">
              <w:t>Sydney Local Health District (NSW)</w:t>
            </w:r>
          </w:p>
        </w:tc>
      </w:tr>
      <w:tr w:rsidR="00455B37" w:rsidRPr="004E00C4" w14:paraId="38005D84"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0839551A" w14:textId="77777777" w:rsidR="00455B37" w:rsidRPr="004E00C4" w:rsidRDefault="00455B37" w:rsidP="004E00C4">
            <w:pPr>
              <w:pStyle w:val="TableText"/>
            </w:pPr>
            <w:r w:rsidRPr="004E00C4">
              <w:t>Ms De Backman-Hoyle</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A828B9C" w14:textId="77777777" w:rsidR="00455B37" w:rsidRPr="004E00C4" w:rsidRDefault="00455B37" w:rsidP="004E00C4">
            <w:pPr>
              <w:pStyle w:val="TableText"/>
            </w:pPr>
            <w:r w:rsidRPr="004E00C4">
              <w:t>Victorian State Representative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D329164" w14:textId="77777777" w:rsidR="00455B37" w:rsidRPr="004E00C4" w:rsidRDefault="00455B37" w:rsidP="004E00C4">
            <w:pPr>
              <w:pStyle w:val="TableText"/>
            </w:pPr>
            <w:r w:rsidRPr="004E00C4">
              <w:t>Private Mental Health Consumer and Carer Network</w:t>
            </w:r>
          </w:p>
        </w:tc>
      </w:tr>
      <w:tr w:rsidR="00455B37" w:rsidRPr="004E00C4" w14:paraId="568BC98D"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1106B49" w14:textId="77777777" w:rsidR="00455B37" w:rsidRPr="004E00C4" w:rsidRDefault="00455B37" w:rsidP="004E00C4">
            <w:pPr>
              <w:pStyle w:val="TableText"/>
            </w:pPr>
            <w:r w:rsidRPr="004E00C4">
              <w:t>Ms Deidre Widdall</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DF06E8A" w14:textId="77777777" w:rsidR="00455B37" w:rsidRPr="004E00C4" w:rsidRDefault="00455B37" w:rsidP="004E00C4">
            <w:pPr>
              <w:pStyle w:val="TableText"/>
            </w:pPr>
            <w:r w:rsidRPr="004E00C4">
              <w:t>Project Officer, Cognitive Care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BCD859E" w14:textId="77777777" w:rsidR="00455B37" w:rsidRPr="004E00C4" w:rsidRDefault="00455B37" w:rsidP="004E00C4">
            <w:pPr>
              <w:pStyle w:val="TableText"/>
            </w:pPr>
            <w:r w:rsidRPr="004E00C4">
              <w:t>Royal Darwin Hospital</w:t>
            </w:r>
          </w:p>
        </w:tc>
      </w:tr>
      <w:tr w:rsidR="00455B37" w:rsidRPr="004E00C4" w14:paraId="577B7F2D"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BC0072E" w14:textId="77777777" w:rsidR="00455B37" w:rsidRPr="004E00C4" w:rsidRDefault="00455B37" w:rsidP="004E00C4">
            <w:pPr>
              <w:pStyle w:val="TableText"/>
            </w:pPr>
            <w:r w:rsidRPr="004E00C4">
              <w:t>Ms Eileen McDonald*</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0E04B33" w14:textId="77777777" w:rsidR="00455B37" w:rsidRPr="004E00C4" w:rsidRDefault="00455B37" w:rsidP="004E00C4">
            <w:pPr>
              <w:pStyle w:val="TableText"/>
            </w:pPr>
            <w:r w:rsidRPr="004E00C4">
              <w:t>Carer representative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7B1B50C" w14:textId="77777777" w:rsidR="00455B37" w:rsidRPr="004E00C4" w:rsidRDefault="00455B37" w:rsidP="004E00C4">
            <w:pPr>
              <w:pStyle w:val="TableText"/>
            </w:pPr>
            <w:r w:rsidRPr="004E00C4">
              <w:t>National Mental Health Consumer and Carer Forum</w:t>
            </w:r>
          </w:p>
        </w:tc>
      </w:tr>
      <w:tr w:rsidR="00455B37" w:rsidRPr="004E00C4" w14:paraId="43864A6A"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7CAB7D1" w14:textId="77777777" w:rsidR="00455B37" w:rsidRPr="004E00C4" w:rsidRDefault="00455B37" w:rsidP="004E00C4">
            <w:pPr>
              <w:pStyle w:val="TableText"/>
            </w:pPr>
            <w:r w:rsidRPr="004E00C4">
              <w:t>Ms Heather Nowak*</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76FA97ED" w14:textId="77777777" w:rsidR="00455B37" w:rsidRPr="004E00C4" w:rsidRDefault="00455B37" w:rsidP="004E00C4">
            <w:pPr>
              <w:pStyle w:val="TableText"/>
            </w:pPr>
            <w:r w:rsidRPr="004E00C4">
              <w:t>Consumer representative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6A3587C" w14:textId="77777777" w:rsidR="00455B37" w:rsidRPr="004E00C4" w:rsidRDefault="00455B37" w:rsidP="004E00C4">
            <w:pPr>
              <w:pStyle w:val="TableText"/>
            </w:pPr>
            <w:r w:rsidRPr="004E00C4">
              <w:t>National Mental Health Consumer and Carer Register</w:t>
            </w:r>
          </w:p>
        </w:tc>
      </w:tr>
      <w:tr w:rsidR="00455B37" w:rsidRPr="004E00C4" w14:paraId="1393F2CF"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1E19549" w14:textId="77777777" w:rsidR="00455B37" w:rsidRPr="004E00C4" w:rsidRDefault="00455B37" w:rsidP="004E00C4">
            <w:pPr>
              <w:pStyle w:val="TableText"/>
            </w:pPr>
            <w:r w:rsidRPr="004E00C4">
              <w:t>Ms Jane Moxon*</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628BDA8" w14:textId="77777777" w:rsidR="00455B37" w:rsidRPr="004E00C4" w:rsidRDefault="00455B37" w:rsidP="004E00C4">
            <w:pPr>
              <w:pStyle w:val="TableText"/>
            </w:pPr>
            <w:r w:rsidRPr="004E00C4">
              <w:t>Director, Projects</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40088FC" w14:textId="77777777" w:rsidR="00455B37" w:rsidRPr="004E00C4" w:rsidRDefault="00455B37" w:rsidP="004E00C4">
            <w:pPr>
              <w:pStyle w:val="TableText"/>
            </w:pPr>
            <w:r w:rsidRPr="004E00C4">
              <w:t xml:space="preserve">National Mental Health Commission </w:t>
            </w:r>
          </w:p>
        </w:tc>
      </w:tr>
      <w:tr w:rsidR="00455B37" w:rsidRPr="004E00C4" w14:paraId="6466E602"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DD698B6" w14:textId="77777777" w:rsidR="00455B37" w:rsidRPr="004E00C4" w:rsidRDefault="00455B37" w:rsidP="004E00C4">
            <w:pPr>
              <w:pStyle w:val="TableText"/>
            </w:pPr>
            <w:r w:rsidRPr="004E00C4">
              <w:t>Ms Janet Martin</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CAD49B9" w14:textId="77777777" w:rsidR="00455B37" w:rsidRPr="004E00C4" w:rsidRDefault="00455B37" w:rsidP="004E00C4">
            <w:pPr>
              <w:pStyle w:val="TableText"/>
            </w:pPr>
            <w:r w:rsidRPr="004E00C4">
              <w:t>A/Director, Clinical Governance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EF1FC40" w14:textId="77777777" w:rsidR="00455B37" w:rsidRPr="004E00C4" w:rsidRDefault="00455B37" w:rsidP="004E00C4">
            <w:pPr>
              <w:pStyle w:val="TableText"/>
            </w:pPr>
            <w:r w:rsidRPr="004E00C4">
              <w:t>Office of the Chief Psychiatrist (Qld)</w:t>
            </w:r>
          </w:p>
        </w:tc>
      </w:tr>
      <w:tr w:rsidR="00455B37" w:rsidRPr="004E00C4" w14:paraId="651A11D3"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A92D4DC" w14:textId="77777777" w:rsidR="00455B37" w:rsidRPr="004E00C4" w:rsidRDefault="00455B37" w:rsidP="004E00C4">
            <w:pPr>
              <w:pStyle w:val="TableText"/>
            </w:pPr>
            <w:r w:rsidRPr="004E00C4">
              <w:t>Ms Janne McMahon OAM*</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DFCD89C" w14:textId="77777777" w:rsidR="00455B37" w:rsidRPr="004E00C4" w:rsidRDefault="00455B37" w:rsidP="004E00C4">
            <w:pPr>
              <w:pStyle w:val="TableText"/>
            </w:pPr>
            <w:r w:rsidRPr="004E00C4">
              <w:t>Independent Chair</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80EA698" w14:textId="77777777" w:rsidR="00455B37" w:rsidRPr="004E00C4" w:rsidRDefault="00455B37" w:rsidP="004E00C4">
            <w:pPr>
              <w:pStyle w:val="TableText"/>
            </w:pPr>
            <w:r w:rsidRPr="004E00C4">
              <w:t>Private Mental Health Consumer and Carer Network (SA)</w:t>
            </w:r>
          </w:p>
        </w:tc>
      </w:tr>
      <w:tr w:rsidR="00455B37" w:rsidRPr="004E00C4" w14:paraId="71E22E5C"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42AA831" w14:textId="77777777" w:rsidR="00455B37" w:rsidRPr="004E00C4" w:rsidRDefault="00455B37" w:rsidP="004E00C4">
            <w:pPr>
              <w:pStyle w:val="TableText"/>
            </w:pPr>
            <w:r w:rsidRPr="004E00C4">
              <w:t>Ms Karen Burns*</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3831FCA" w14:textId="77777777" w:rsidR="00455B37" w:rsidRPr="004E00C4" w:rsidRDefault="00455B37" w:rsidP="004E00C4">
            <w:pPr>
              <w:pStyle w:val="TableText"/>
            </w:pPr>
            <w:r w:rsidRPr="004E00C4">
              <w:t>Chair</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86766DE" w14:textId="77777777" w:rsidR="00455B37" w:rsidRPr="004E00C4" w:rsidRDefault="00455B37" w:rsidP="004E00C4">
            <w:pPr>
              <w:pStyle w:val="TableText"/>
            </w:pPr>
            <w:r w:rsidRPr="004E00C4">
              <w:t>Mental Health Coordinating Council (NSW)</w:t>
            </w:r>
          </w:p>
        </w:tc>
      </w:tr>
      <w:tr w:rsidR="00455B37" w:rsidRPr="004E00C4" w14:paraId="33FC5DDD"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0D1965DA" w14:textId="77777777" w:rsidR="00455B37" w:rsidRPr="004E00C4" w:rsidRDefault="00455B37" w:rsidP="004E00C4">
            <w:pPr>
              <w:pStyle w:val="TableText"/>
            </w:pPr>
            <w:r w:rsidRPr="004E00C4">
              <w:t>Dr Kim Mullaley</w:t>
            </w:r>
            <w:r w:rsidRPr="00532C91">
              <w:rPr>
                <w:vertAlign w:val="superscript"/>
              </w:rPr>
              <w:t>†</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2651B5D" w14:textId="77777777" w:rsidR="00455B37" w:rsidRPr="004E00C4" w:rsidRDefault="00455B37" w:rsidP="004E00C4">
            <w:pPr>
              <w:pStyle w:val="TableText"/>
            </w:pPr>
            <w:r w:rsidRPr="004E00C4">
              <w:t>Emergency department consultant</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BD776FC" w14:textId="77777777" w:rsidR="00455B37" w:rsidRPr="004E00C4" w:rsidRDefault="00455B37" w:rsidP="004E00C4">
            <w:pPr>
              <w:pStyle w:val="TableText"/>
            </w:pPr>
            <w:r w:rsidRPr="004E00C4">
              <w:t>Joondalup Health Campus</w:t>
            </w:r>
          </w:p>
        </w:tc>
      </w:tr>
      <w:tr w:rsidR="00455B37" w:rsidRPr="004E00C4" w14:paraId="59714802"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73A9C997" w14:textId="77777777" w:rsidR="00455B37" w:rsidRPr="004E00C4" w:rsidRDefault="00455B37" w:rsidP="004E00C4">
            <w:pPr>
              <w:pStyle w:val="TableText"/>
            </w:pPr>
            <w:r w:rsidRPr="004E00C4">
              <w:t>Ms Lily Wu</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3A78BAF" w14:textId="77777777" w:rsidR="00455B37" w:rsidRPr="004E00C4" w:rsidRDefault="00455B37" w:rsidP="004E00C4">
            <w:pPr>
              <w:pStyle w:val="TableText"/>
            </w:pPr>
            <w:r w:rsidRPr="004E00C4">
              <w:t>Consumer representative</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DA68CB8" w14:textId="77777777" w:rsidR="00455B37" w:rsidRPr="004E00C4" w:rsidRDefault="00455B37" w:rsidP="004E00C4">
            <w:pPr>
              <w:pStyle w:val="TableText"/>
            </w:pPr>
            <w:r w:rsidRPr="004E00C4">
              <w:t>National Mental Health Consumer and Carer Register</w:t>
            </w:r>
          </w:p>
        </w:tc>
      </w:tr>
      <w:tr w:rsidR="00455B37" w:rsidRPr="004E00C4" w14:paraId="53C77C52"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9E45468" w14:textId="77777777" w:rsidR="00455B37" w:rsidRPr="004E00C4" w:rsidRDefault="00455B37" w:rsidP="004E00C4">
            <w:pPr>
              <w:pStyle w:val="TableText"/>
            </w:pPr>
            <w:r w:rsidRPr="004E00C4">
              <w:t>Mr Malcolm Green†</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7871842" w14:textId="77777777" w:rsidR="00455B37" w:rsidRPr="004E00C4" w:rsidRDefault="00455B37" w:rsidP="004E00C4">
            <w:pPr>
              <w:pStyle w:val="TableText"/>
            </w:pPr>
            <w:r w:rsidRPr="004E00C4">
              <w:t>Program Lead, Between the Flags</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4BA8D32" w14:textId="77777777" w:rsidR="00455B37" w:rsidRPr="004E00C4" w:rsidRDefault="00455B37" w:rsidP="004E00C4">
            <w:pPr>
              <w:pStyle w:val="TableText"/>
            </w:pPr>
            <w:r w:rsidRPr="004E00C4">
              <w:t>Clinical Excellence Commission (NSW)</w:t>
            </w:r>
          </w:p>
        </w:tc>
      </w:tr>
      <w:tr w:rsidR="00455B37" w:rsidRPr="004E00C4" w14:paraId="64D0E5AB" w14:textId="77777777" w:rsidTr="001C29A2">
        <w:trPr>
          <w:trHeight w:val="60"/>
        </w:trPr>
        <w:tc>
          <w:tcPr>
            <w:tcW w:w="283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6F948BB" w14:textId="77777777" w:rsidR="00455B37" w:rsidRPr="004E00C4" w:rsidRDefault="00455B37" w:rsidP="004E00C4">
            <w:pPr>
              <w:pStyle w:val="TableText"/>
            </w:pPr>
            <w:r w:rsidRPr="004E00C4">
              <w:t>Dr Marc Broadbent*</w:t>
            </w:r>
          </w:p>
        </w:tc>
        <w:tc>
          <w:tcPr>
            <w:tcW w:w="28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467F9D6" w14:textId="77777777" w:rsidR="00455B37" w:rsidRPr="004E00C4" w:rsidRDefault="00455B37" w:rsidP="004E00C4">
            <w:pPr>
              <w:pStyle w:val="TableText"/>
            </w:pPr>
            <w:r w:rsidRPr="004E00C4">
              <w:t>Senior Lecturer, School of Nursing and Midwifery</w:t>
            </w:r>
          </w:p>
        </w:tc>
        <w:tc>
          <w:tcPr>
            <w:tcW w:w="420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3E860A7" w14:textId="77777777" w:rsidR="00455B37" w:rsidRPr="004E00C4" w:rsidRDefault="00455B37" w:rsidP="004E00C4">
            <w:pPr>
              <w:pStyle w:val="TableText"/>
            </w:pPr>
            <w:r w:rsidRPr="004E00C4">
              <w:t>University of the Sunshine Coast, (Qld)</w:t>
            </w:r>
          </w:p>
        </w:tc>
      </w:tr>
    </w:tbl>
    <w:p w14:paraId="3D07CCC1" w14:textId="77777777" w:rsidR="00455B37" w:rsidRDefault="00455B37">
      <w:pPr>
        <w:rPr>
          <w:rFonts w:ascii="Arial" w:hAnsi="Arial"/>
          <w:color w:val="000000" w:themeColor="text2"/>
          <w:sz w:val="20"/>
        </w:rPr>
      </w:pPr>
      <w:r>
        <w:br w:type="page"/>
      </w:r>
    </w:p>
    <w:tbl>
      <w:tblPr>
        <w:tblStyle w:val="TableGrid"/>
        <w:tblW w:w="9865" w:type="dxa"/>
        <w:tblBorders>
          <w:top w:val="dashed" w:sz="4" w:space="0" w:color="008EAB" w:themeColor="accent2"/>
          <w:left w:val="dashed" w:sz="4" w:space="0" w:color="008EAB" w:themeColor="accent2"/>
          <w:bottom w:val="dashed" w:sz="4" w:space="0" w:color="008EAB" w:themeColor="accent2"/>
          <w:right w:val="dashed" w:sz="4" w:space="0" w:color="008EAB" w:themeColor="accent2"/>
          <w:insideH w:val="dashed" w:sz="4" w:space="0" w:color="008EAB" w:themeColor="accent2"/>
          <w:insideV w:val="dashed" w:sz="4" w:space="0" w:color="008EAB" w:themeColor="accent2"/>
        </w:tblBorders>
        <w:tblLayout w:type="fixed"/>
        <w:tblCellMar>
          <w:top w:w="57" w:type="dxa"/>
          <w:bottom w:w="57" w:type="dxa"/>
        </w:tblCellMar>
        <w:tblLook w:val="0000" w:firstRow="0" w:lastRow="0" w:firstColumn="0" w:lastColumn="0" w:noHBand="0" w:noVBand="0"/>
        <w:tblCaption w:val="Participants in one-day workshop on draft Consensus Statement February 2016 (continued)"/>
      </w:tblPr>
      <w:tblGrid>
        <w:gridCol w:w="2551"/>
        <w:gridCol w:w="2831"/>
        <w:gridCol w:w="4483"/>
      </w:tblGrid>
      <w:tr w:rsidR="00455B37" w:rsidRPr="00455B37" w14:paraId="0BA7F2B7" w14:textId="77777777" w:rsidTr="001C29A2">
        <w:trPr>
          <w:trHeight w:val="60"/>
          <w:tblHeader/>
        </w:trPr>
        <w:tc>
          <w:tcPr>
            <w:tcW w:w="9865" w:type="dxa"/>
            <w:gridSpan w:val="3"/>
            <w:tcBorders>
              <w:top w:val="dashSmallGap" w:sz="6" w:space="0" w:color="008EAB" w:themeColor="accent2"/>
              <w:left w:val="dashSmallGap" w:sz="6" w:space="0" w:color="008EAB" w:themeColor="accent2"/>
              <w:bottom w:val="nil"/>
              <w:right w:val="dashSmallGap" w:sz="6" w:space="0" w:color="008EAB" w:themeColor="accent2"/>
            </w:tcBorders>
            <w:shd w:val="clear" w:color="auto" w:fill="008EAB" w:themeFill="accent2"/>
          </w:tcPr>
          <w:p w14:paraId="6F46D6B6" w14:textId="77777777" w:rsidR="00455B37" w:rsidRPr="00455B37" w:rsidRDefault="00455B37" w:rsidP="00A66F33">
            <w:pPr>
              <w:pStyle w:val="TableHeading"/>
            </w:pPr>
            <w:r w:rsidRPr="00455B37">
              <w:lastRenderedPageBreak/>
              <w:t>Participants in one-day workshop on draft Consensus Statement February 2016 (continued)</w:t>
            </w:r>
          </w:p>
        </w:tc>
      </w:tr>
      <w:tr w:rsidR="00455B37" w:rsidRPr="00455B37" w14:paraId="0BD71FEF" w14:textId="77777777" w:rsidTr="001C29A2">
        <w:trPr>
          <w:trHeight w:val="60"/>
          <w:tblHeader/>
        </w:trPr>
        <w:tc>
          <w:tcPr>
            <w:tcW w:w="2551" w:type="dxa"/>
            <w:tcBorders>
              <w:top w:val="nil"/>
              <w:left w:val="dashSmallGap" w:sz="6" w:space="0" w:color="008EAB" w:themeColor="accent2"/>
              <w:bottom w:val="dashSmallGap" w:sz="6" w:space="0" w:color="008EAB" w:themeColor="accent2"/>
            </w:tcBorders>
            <w:shd w:val="clear" w:color="auto" w:fill="008EAB" w:themeFill="accent2"/>
          </w:tcPr>
          <w:p w14:paraId="45170DDA" w14:textId="77777777" w:rsidR="00455B37" w:rsidRPr="00455B37" w:rsidRDefault="00455B37" w:rsidP="00A66F33">
            <w:pPr>
              <w:pStyle w:val="TableHeading"/>
            </w:pPr>
            <w:r w:rsidRPr="00455B37">
              <w:t xml:space="preserve">Name </w:t>
            </w:r>
          </w:p>
        </w:tc>
        <w:tc>
          <w:tcPr>
            <w:tcW w:w="2831" w:type="dxa"/>
            <w:tcBorders>
              <w:top w:val="nil"/>
              <w:bottom w:val="dashSmallGap" w:sz="6" w:space="0" w:color="008EAB" w:themeColor="accent2"/>
            </w:tcBorders>
            <w:shd w:val="clear" w:color="auto" w:fill="008EAB" w:themeFill="accent2"/>
          </w:tcPr>
          <w:p w14:paraId="207B46F4" w14:textId="77777777" w:rsidR="00455B37" w:rsidRPr="00455B37" w:rsidRDefault="00455B37" w:rsidP="00A66F33">
            <w:pPr>
              <w:pStyle w:val="TableHeading"/>
            </w:pPr>
            <w:r w:rsidRPr="00455B37">
              <w:t>Position</w:t>
            </w:r>
          </w:p>
        </w:tc>
        <w:tc>
          <w:tcPr>
            <w:tcW w:w="4483" w:type="dxa"/>
            <w:tcBorders>
              <w:top w:val="nil"/>
              <w:bottom w:val="dashSmallGap" w:sz="6" w:space="0" w:color="008EAB" w:themeColor="accent2"/>
              <w:right w:val="dashSmallGap" w:sz="6" w:space="0" w:color="008EAB" w:themeColor="accent2"/>
            </w:tcBorders>
            <w:shd w:val="clear" w:color="auto" w:fill="008EAB" w:themeFill="accent2"/>
          </w:tcPr>
          <w:p w14:paraId="345DC18D" w14:textId="77777777" w:rsidR="00455B37" w:rsidRPr="00455B37" w:rsidRDefault="00455B37" w:rsidP="00A66F33">
            <w:pPr>
              <w:pStyle w:val="TableHeading"/>
            </w:pPr>
            <w:r w:rsidRPr="00455B37">
              <w:t>Organisation</w:t>
            </w:r>
          </w:p>
        </w:tc>
      </w:tr>
      <w:tr w:rsidR="00455B37" w:rsidRPr="00455B37" w14:paraId="1795B995" w14:textId="77777777" w:rsidTr="001C29A2">
        <w:trPr>
          <w:trHeight w:val="60"/>
        </w:trPr>
        <w:tc>
          <w:tcPr>
            <w:tcW w:w="25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6F0C1E7" w14:textId="77777777" w:rsidR="00455B37" w:rsidRPr="00A66F33" w:rsidRDefault="00455B37" w:rsidP="00A66F33">
            <w:pPr>
              <w:pStyle w:val="TableText"/>
            </w:pPr>
            <w:r w:rsidRPr="00A66F33">
              <w:t>Associate Professor Morton Rawlin*</w:t>
            </w:r>
          </w:p>
        </w:tc>
        <w:tc>
          <w:tcPr>
            <w:tcW w:w="283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D4BAFF4" w14:textId="77777777" w:rsidR="00455B37" w:rsidRPr="00A66F33" w:rsidRDefault="00455B37" w:rsidP="00A66F33">
            <w:pPr>
              <w:pStyle w:val="TableText"/>
            </w:pPr>
            <w:r w:rsidRPr="00A66F33">
              <w:t>Chair, General practitioner</w:t>
            </w:r>
          </w:p>
        </w:tc>
        <w:tc>
          <w:tcPr>
            <w:tcW w:w="4483"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0BAA1935" w14:textId="77777777" w:rsidR="00455B37" w:rsidRPr="00A66F33" w:rsidRDefault="00455B37" w:rsidP="00A66F33">
            <w:pPr>
              <w:pStyle w:val="TableText"/>
            </w:pPr>
            <w:r w:rsidRPr="00A66F33">
              <w:t>General Practice Mental Health Standards Collaboration (RACGP) (Vic)</w:t>
            </w:r>
          </w:p>
        </w:tc>
      </w:tr>
      <w:tr w:rsidR="00455B37" w:rsidRPr="00455B37" w14:paraId="2EE97EA1" w14:textId="77777777" w:rsidTr="001C29A2">
        <w:trPr>
          <w:trHeight w:val="60"/>
        </w:trPr>
        <w:tc>
          <w:tcPr>
            <w:tcW w:w="25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5FD4CDD" w14:textId="77777777" w:rsidR="00455B37" w:rsidRPr="00A66F33" w:rsidRDefault="00455B37" w:rsidP="00A66F33">
            <w:pPr>
              <w:pStyle w:val="TableText"/>
            </w:pPr>
            <w:r w:rsidRPr="00A66F33">
              <w:t>Dr Nathan Gibson*</w:t>
            </w:r>
          </w:p>
        </w:tc>
        <w:tc>
          <w:tcPr>
            <w:tcW w:w="283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17A9BEB" w14:textId="77777777" w:rsidR="00455B37" w:rsidRPr="00A66F33" w:rsidRDefault="00455B37" w:rsidP="00A66F33">
            <w:pPr>
              <w:pStyle w:val="TableText"/>
            </w:pPr>
            <w:r w:rsidRPr="00A66F33">
              <w:t>Chief Psychiatrist, WA</w:t>
            </w:r>
          </w:p>
        </w:tc>
        <w:tc>
          <w:tcPr>
            <w:tcW w:w="4483"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7BC53DA" w14:textId="77777777" w:rsidR="00455B37" w:rsidRPr="00A66F33" w:rsidRDefault="00455B37" w:rsidP="00A66F33">
            <w:pPr>
              <w:pStyle w:val="TableText"/>
            </w:pPr>
            <w:r w:rsidRPr="00A66F33">
              <w:t>SQPSC</w:t>
            </w:r>
          </w:p>
        </w:tc>
      </w:tr>
      <w:tr w:rsidR="00455B37" w:rsidRPr="00455B37" w14:paraId="1E338F70" w14:textId="77777777" w:rsidTr="001C29A2">
        <w:trPr>
          <w:trHeight w:val="60"/>
        </w:trPr>
        <w:tc>
          <w:tcPr>
            <w:tcW w:w="25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EABB550" w14:textId="77777777" w:rsidR="00455B37" w:rsidRPr="00A66F33" w:rsidRDefault="00455B37" w:rsidP="00A66F33">
            <w:pPr>
              <w:pStyle w:val="TableText"/>
            </w:pPr>
            <w:r w:rsidRPr="00A66F33">
              <w:t>Dr Nick Kowalenko</w:t>
            </w:r>
          </w:p>
        </w:tc>
        <w:tc>
          <w:tcPr>
            <w:tcW w:w="283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C579B33" w14:textId="77777777" w:rsidR="00455B37" w:rsidRPr="00A66F33" w:rsidRDefault="00455B37" w:rsidP="00A66F33">
            <w:pPr>
              <w:pStyle w:val="TableText"/>
            </w:pPr>
            <w:r w:rsidRPr="00A66F33">
              <w:t>Chair, Faculty of Child and Adolescent Psychiatry</w:t>
            </w:r>
          </w:p>
        </w:tc>
        <w:tc>
          <w:tcPr>
            <w:tcW w:w="4483"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7E9C4E6" w14:textId="77777777" w:rsidR="00455B37" w:rsidRPr="00A66F33" w:rsidRDefault="00455B37" w:rsidP="00A66F33">
            <w:pPr>
              <w:pStyle w:val="TableText"/>
            </w:pPr>
            <w:r w:rsidRPr="00A66F33">
              <w:t>Royal Australian and New Zealand College of Psychiatrists</w:t>
            </w:r>
          </w:p>
        </w:tc>
      </w:tr>
      <w:tr w:rsidR="00455B37" w:rsidRPr="00455B37" w14:paraId="52609499" w14:textId="77777777" w:rsidTr="001C29A2">
        <w:trPr>
          <w:trHeight w:val="60"/>
        </w:trPr>
        <w:tc>
          <w:tcPr>
            <w:tcW w:w="25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B127409" w14:textId="77777777" w:rsidR="00455B37" w:rsidRPr="00A66F33" w:rsidRDefault="00455B37" w:rsidP="00A66F33">
            <w:pPr>
              <w:pStyle w:val="TableText"/>
            </w:pPr>
            <w:r w:rsidRPr="00A66F33">
              <w:t>Dr Peter Jenkins*</w:t>
            </w:r>
          </w:p>
        </w:tc>
        <w:tc>
          <w:tcPr>
            <w:tcW w:w="283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DFA4786" w14:textId="77777777" w:rsidR="00455B37" w:rsidRPr="00A66F33" w:rsidRDefault="00455B37" w:rsidP="00A66F33">
            <w:pPr>
              <w:pStyle w:val="TableText"/>
            </w:pPr>
            <w:r w:rsidRPr="00A66F33">
              <w:t>Director, Child and Youth Mental Health, Eastern Health</w:t>
            </w:r>
          </w:p>
        </w:tc>
        <w:tc>
          <w:tcPr>
            <w:tcW w:w="4483"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596B9BF" w14:textId="77777777" w:rsidR="00455B37" w:rsidRPr="00A66F33" w:rsidRDefault="00455B37" w:rsidP="00A66F33">
            <w:pPr>
              <w:pStyle w:val="TableText"/>
            </w:pPr>
            <w:r w:rsidRPr="00A66F33">
              <w:t>Royal Australian and New Zealand College of Psychiatrists</w:t>
            </w:r>
          </w:p>
        </w:tc>
      </w:tr>
      <w:tr w:rsidR="00455B37" w:rsidRPr="00455B37" w14:paraId="40BC29DA" w14:textId="77777777" w:rsidTr="001C29A2">
        <w:trPr>
          <w:trHeight w:val="60"/>
        </w:trPr>
        <w:tc>
          <w:tcPr>
            <w:tcW w:w="25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E31A4F8" w14:textId="77777777" w:rsidR="00455B37" w:rsidRPr="00A66F33" w:rsidRDefault="00455B37" w:rsidP="00A66F33">
            <w:pPr>
              <w:pStyle w:val="TableText"/>
            </w:pPr>
            <w:r w:rsidRPr="00A66F33">
              <w:t>Associate Professor Richard Newton</w:t>
            </w:r>
          </w:p>
        </w:tc>
        <w:tc>
          <w:tcPr>
            <w:tcW w:w="283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192B3CF" w14:textId="77777777" w:rsidR="00455B37" w:rsidRPr="00A66F33" w:rsidRDefault="00455B37" w:rsidP="00A66F33">
            <w:pPr>
              <w:pStyle w:val="TableText"/>
            </w:pPr>
            <w:r w:rsidRPr="00A66F33">
              <w:t>Medical Director, Mental Health</w:t>
            </w:r>
          </w:p>
        </w:tc>
        <w:tc>
          <w:tcPr>
            <w:tcW w:w="4483"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408CD63" w14:textId="77777777" w:rsidR="00455B37" w:rsidRPr="00A66F33" w:rsidRDefault="00455B37" w:rsidP="00A66F33">
            <w:pPr>
              <w:pStyle w:val="TableText"/>
            </w:pPr>
            <w:r w:rsidRPr="00A66F33">
              <w:t>Austin Health</w:t>
            </w:r>
          </w:p>
        </w:tc>
      </w:tr>
      <w:tr w:rsidR="00455B37" w:rsidRPr="00455B37" w14:paraId="5BE8480B" w14:textId="77777777" w:rsidTr="001C29A2">
        <w:trPr>
          <w:trHeight w:val="60"/>
        </w:trPr>
        <w:tc>
          <w:tcPr>
            <w:tcW w:w="25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D9E76B3" w14:textId="77777777" w:rsidR="00455B37" w:rsidRPr="00A66F33" w:rsidRDefault="00455B37" w:rsidP="00A66F33">
            <w:pPr>
              <w:pStyle w:val="TableText"/>
            </w:pPr>
            <w:r w:rsidRPr="00A66F33">
              <w:t>Professor Tracey Bucknall</w:t>
            </w:r>
            <w:r w:rsidRPr="00532C91">
              <w:rPr>
                <w:vertAlign w:val="superscript"/>
              </w:rPr>
              <w:t>†</w:t>
            </w:r>
          </w:p>
        </w:tc>
        <w:tc>
          <w:tcPr>
            <w:tcW w:w="283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33C7717" w14:textId="77777777" w:rsidR="00455B37" w:rsidRPr="00A66F33" w:rsidRDefault="00455B37" w:rsidP="00A66F33">
            <w:pPr>
              <w:pStyle w:val="TableText"/>
            </w:pPr>
            <w:r w:rsidRPr="00A66F33">
              <w:t>Associate Head of School, Faculty of Health</w:t>
            </w:r>
          </w:p>
        </w:tc>
        <w:tc>
          <w:tcPr>
            <w:tcW w:w="4483"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1B15A77" w14:textId="77777777" w:rsidR="00455B37" w:rsidRPr="00A66F33" w:rsidRDefault="00455B37" w:rsidP="00A66F33">
            <w:pPr>
              <w:pStyle w:val="TableText"/>
            </w:pPr>
            <w:r w:rsidRPr="00A66F33">
              <w:t>Deakin University</w:t>
            </w:r>
          </w:p>
        </w:tc>
      </w:tr>
      <w:tr w:rsidR="00455B37" w:rsidRPr="00455B37" w14:paraId="5D83AF18" w14:textId="77777777" w:rsidTr="001C29A2">
        <w:trPr>
          <w:trHeight w:val="60"/>
        </w:trPr>
        <w:tc>
          <w:tcPr>
            <w:tcW w:w="255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920AC67" w14:textId="77777777" w:rsidR="00455B37" w:rsidRPr="00A66F33" w:rsidRDefault="00455B37" w:rsidP="00A66F33">
            <w:pPr>
              <w:pStyle w:val="TableText"/>
            </w:pPr>
            <w:r w:rsidRPr="00A66F33">
              <w:t>Ms Wei Ting Ho</w:t>
            </w:r>
          </w:p>
        </w:tc>
        <w:tc>
          <w:tcPr>
            <w:tcW w:w="2831"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582E686" w14:textId="77777777" w:rsidR="00455B37" w:rsidRPr="00A66F33" w:rsidRDefault="00455B37" w:rsidP="00A66F33">
            <w:pPr>
              <w:pStyle w:val="TableText"/>
            </w:pPr>
            <w:r w:rsidRPr="00A66F33">
              <w:t>Clinical Nurse Consultant, Physical Health</w:t>
            </w:r>
          </w:p>
        </w:tc>
        <w:tc>
          <w:tcPr>
            <w:tcW w:w="4483"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9D28D4E" w14:textId="77777777" w:rsidR="00455B37" w:rsidRPr="00A66F33" w:rsidRDefault="00455B37" w:rsidP="00A66F33">
            <w:pPr>
              <w:pStyle w:val="TableText"/>
            </w:pPr>
            <w:r w:rsidRPr="00A66F33">
              <w:t>Sydney Local Health District Mental Health Service</w:t>
            </w:r>
          </w:p>
        </w:tc>
      </w:tr>
    </w:tbl>
    <w:p w14:paraId="1FE109AE" w14:textId="77777777" w:rsidR="00455B37" w:rsidRDefault="00455B37" w:rsidP="00F07178">
      <w:pPr>
        <w:pStyle w:val="Reference"/>
        <w:spacing w:before="240"/>
      </w:pPr>
      <w:r>
        <w:t>*</w:t>
      </w:r>
      <w:r>
        <w:tab/>
        <w:t>Member of ACSQHC Mental Health Advisory Group</w:t>
      </w:r>
    </w:p>
    <w:p w14:paraId="173D2983" w14:textId="77777777" w:rsidR="00455B37" w:rsidRDefault="00455B37" w:rsidP="00F07178">
      <w:pPr>
        <w:pStyle w:val="Reference"/>
      </w:pPr>
      <w:r>
        <w:t>†</w:t>
      </w:r>
      <w:r>
        <w:tab/>
        <w:t>Member of ACSQHC Recognising and responding to clinical deterioration Advisory Committee</w:t>
      </w:r>
    </w:p>
    <w:p w14:paraId="206E3D24" w14:textId="77777777" w:rsidR="00455B37" w:rsidRDefault="00455B37">
      <w:pPr>
        <w:rPr>
          <w:rFonts w:ascii="Arial" w:hAnsi="Arial"/>
          <w:color w:val="000000" w:themeColor="text2"/>
          <w:sz w:val="20"/>
        </w:rPr>
      </w:pPr>
      <w:r>
        <w:br w:type="page"/>
      </w:r>
    </w:p>
    <w:tbl>
      <w:tblPr>
        <w:tblStyle w:val="TableGrid"/>
        <w:tblW w:w="0" w:type="auto"/>
        <w:tblBorders>
          <w:top w:val="dashed" w:sz="4" w:space="0" w:color="008EAB" w:themeColor="accent2"/>
          <w:left w:val="dashed" w:sz="4" w:space="0" w:color="008EAB" w:themeColor="accent2"/>
          <w:bottom w:val="dashed" w:sz="4" w:space="0" w:color="008EAB" w:themeColor="accent2"/>
          <w:right w:val="dashed" w:sz="4" w:space="0" w:color="008EAB" w:themeColor="accent2"/>
          <w:insideH w:val="dashed" w:sz="4" w:space="0" w:color="008EAB" w:themeColor="accent2"/>
          <w:insideV w:val="dashed" w:sz="4" w:space="0" w:color="008EAB" w:themeColor="accent2"/>
        </w:tblBorders>
        <w:tblLayout w:type="fixed"/>
        <w:tblCellMar>
          <w:top w:w="57" w:type="dxa"/>
          <w:bottom w:w="57" w:type="dxa"/>
        </w:tblCellMar>
        <w:tblLook w:val="0000" w:firstRow="0" w:lastRow="0" w:firstColumn="0" w:lastColumn="0" w:noHBand="0" w:noVBand="0"/>
        <w:tblCaption w:val="Submissions to the national consultation August – September 2016"/>
      </w:tblPr>
      <w:tblGrid>
        <w:gridCol w:w="510"/>
        <w:gridCol w:w="9335"/>
      </w:tblGrid>
      <w:tr w:rsidR="00455B37" w:rsidRPr="00A66F33" w14:paraId="7E34A6BC" w14:textId="77777777" w:rsidTr="001C29A2">
        <w:trPr>
          <w:trHeight w:val="60"/>
          <w:tblHeader/>
        </w:trPr>
        <w:tc>
          <w:tcPr>
            <w:tcW w:w="9845" w:type="dxa"/>
            <w:gridSpan w:val="2"/>
            <w:tcBorders>
              <w:top w:val="dashSmallGap" w:sz="4" w:space="0" w:color="008EAB" w:themeColor="accent2"/>
              <w:left w:val="dashSmallGap" w:sz="4" w:space="0" w:color="008EAB" w:themeColor="accent2"/>
              <w:bottom w:val="dashSmallGap" w:sz="4" w:space="0" w:color="008EAB" w:themeColor="accent2"/>
              <w:right w:val="dashSmallGap" w:sz="4" w:space="0" w:color="008EAB" w:themeColor="accent2"/>
            </w:tcBorders>
            <w:shd w:val="clear" w:color="auto" w:fill="008EAB" w:themeFill="accent2"/>
          </w:tcPr>
          <w:p w14:paraId="402C4A8C" w14:textId="77777777" w:rsidR="00455B37" w:rsidRPr="00A66F33" w:rsidRDefault="00455B37" w:rsidP="00A66F33">
            <w:pPr>
              <w:pStyle w:val="TableHeading"/>
            </w:pPr>
            <w:r w:rsidRPr="00A66F33">
              <w:lastRenderedPageBreak/>
              <w:t>Submissions to the national consultation August – September 2016</w:t>
            </w:r>
          </w:p>
        </w:tc>
      </w:tr>
      <w:tr w:rsidR="00455B37" w:rsidRPr="00A66F33" w14:paraId="36FDC9C7" w14:textId="77777777" w:rsidTr="001C29A2">
        <w:trPr>
          <w:trHeight w:val="60"/>
        </w:trPr>
        <w:tc>
          <w:tcPr>
            <w:tcW w:w="510" w:type="dxa"/>
            <w:tcBorders>
              <w:top w:val="dashSmallGap" w:sz="4" w:space="0" w:color="008EAB" w:themeColor="accent2"/>
              <w:left w:val="dashSmallGap" w:sz="6" w:space="0" w:color="008EAB" w:themeColor="accent2"/>
              <w:bottom w:val="dashSmallGap" w:sz="6" w:space="0" w:color="008EAB" w:themeColor="accent2"/>
              <w:right w:val="dashSmallGap" w:sz="6" w:space="0" w:color="008EAB" w:themeColor="accent2"/>
            </w:tcBorders>
          </w:tcPr>
          <w:p w14:paraId="44ED7E3F" w14:textId="77777777" w:rsidR="00455B37" w:rsidRPr="00A66F33" w:rsidRDefault="00455B37" w:rsidP="00A66F33">
            <w:pPr>
              <w:pStyle w:val="TableText"/>
            </w:pPr>
            <w:r w:rsidRPr="00A66F33">
              <w:t>1</w:t>
            </w:r>
          </w:p>
        </w:tc>
        <w:tc>
          <w:tcPr>
            <w:tcW w:w="9335" w:type="dxa"/>
            <w:tcBorders>
              <w:top w:val="dashSmallGap" w:sz="4" w:space="0" w:color="008EAB" w:themeColor="accent2"/>
              <w:left w:val="dashSmallGap" w:sz="6" w:space="0" w:color="008EAB" w:themeColor="accent2"/>
              <w:bottom w:val="dashSmallGap" w:sz="6" w:space="0" w:color="008EAB" w:themeColor="accent2"/>
              <w:right w:val="dashSmallGap" w:sz="6" w:space="0" w:color="008EAB" w:themeColor="accent2"/>
            </w:tcBorders>
          </w:tcPr>
          <w:p w14:paraId="66110BC7" w14:textId="77777777" w:rsidR="00455B37" w:rsidRPr="00A66F33" w:rsidRDefault="00455B37" w:rsidP="00A66F33">
            <w:pPr>
              <w:pStyle w:val="TableText"/>
            </w:pPr>
            <w:r w:rsidRPr="00A66F33">
              <w:t>Australian College of Nurse Practitioners</w:t>
            </w:r>
          </w:p>
        </w:tc>
      </w:tr>
      <w:tr w:rsidR="00455B37" w:rsidRPr="00A66F33" w14:paraId="00C64633"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132B421" w14:textId="77777777" w:rsidR="00455B37" w:rsidRPr="00A66F33" w:rsidRDefault="00455B37" w:rsidP="00A66F33">
            <w:pPr>
              <w:pStyle w:val="TableText"/>
            </w:pPr>
            <w:r w:rsidRPr="00A66F33">
              <w:t>2</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13531DA" w14:textId="77777777" w:rsidR="00455B37" w:rsidRPr="00A66F33" w:rsidRDefault="00455B37" w:rsidP="00A66F33">
            <w:pPr>
              <w:pStyle w:val="TableText"/>
            </w:pPr>
            <w:r w:rsidRPr="00A66F33">
              <w:t>Individual</w:t>
            </w:r>
          </w:p>
        </w:tc>
      </w:tr>
      <w:tr w:rsidR="00455B37" w:rsidRPr="00A66F33" w14:paraId="4A756934"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17FC960" w14:textId="77777777" w:rsidR="00455B37" w:rsidRPr="00A66F33" w:rsidRDefault="00455B37" w:rsidP="00A66F33">
            <w:pPr>
              <w:pStyle w:val="TableText"/>
            </w:pPr>
            <w:r w:rsidRPr="00A66F33">
              <w:t>3</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E5D4038" w14:textId="77777777" w:rsidR="00455B37" w:rsidRPr="00A66F33" w:rsidRDefault="00455B37" w:rsidP="00A66F33">
            <w:pPr>
              <w:pStyle w:val="TableText"/>
            </w:pPr>
            <w:r w:rsidRPr="00A66F33">
              <w:t>Individual</w:t>
            </w:r>
          </w:p>
        </w:tc>
      </w:tr>
      <w:tr w:rsidR="00455B37" w:rsidRPr="00A66F33" w14:paraId="2E52B1BF"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551C6F6" w14:textId="77777777" w:rsidR="00455B37" w:rsidRPr="00A66F33" w:rsidRDefault="00455B37" w:rsidP="00A66F33">
            <w:pPr>
              <w:pStyle w:val="TableText"/>
            </w:pPr>
            <w:r w:rsidRPr="00A66F33">
              <w:t>4</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D4A8163" w14:textId="77777777" w:rsidR="00455B37" w:rsidRPr="00A66F33" w:rsidRDefault="00455B37" w:rsidP="00A66F33">
            <w:pPr>
              <w:pStyle w:val="TableText"/>
            </w:pPr>
            <w:r w:rsidRPr="00A66F33">
              <w:t>Western Sydney Local Health District Mental Health Services, (NSW)</w:t>
            </w:r>
          </w:p>
        </w:tc>
      </w:tr>
      <w:tr w:rsidR="00455B37" w:rsidRPr="00A66F33" w14:paraId="4B8B5F96"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579ACC0" w14:textId="77777777" w:rsidR="00455B37" w:rsidRPr="00A66F33" w:rsidRDefault="00455B37" w:rsidP="00A66F33">
            <w:pPr>
              <w:pStyle w:val="TableText"/>
            </w:pPr>
            <w:r w:rsidRPr="00A66F33">
              <w:t>5</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7E51CB7" w14:textId="77777777" w:rsidR="00455B37" w:rsidRPr="00A66F33" w:rsidRDefault="00455B37" w:rsidP="00A66F33">
            <w:pPr>
              <w:pStyle w:val="TableText"/>
            </w:pPr>
            <w:r w:rsidRPr="00A66F33">
              <w:t>Chief Psychiatrist, NSW</w:t>
            </w:r>
          </w:p>
        </w:tc>
      </w:tr>
      <w:tr w:rsidR="00455B37" w:rsidRPr="00A66F33" w14:paraId="1A463483"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CDEE5CB" w14:textId="77777777" w:rsidR="00455B37" w:rsidRPr="00A66F33" w:rsidRDefault="00455B37" w:rsidP="00A66F33">
            <w:pPr>
              <w:pStyle w:val="TableText"/>
            </w:pPr>
            <w:r w:rsidRPr="00A66F33">
              <w:t>6</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E227097" w14:textId="77777777" w:rsidR="00455B37" w:rsidRPr="00A66F33" w:rsidRDefault="00455B37" w:rsidP="00A66F33">
            <w:pPr>
              <w:pStyle w:val="TableText"/>
            </w:pPr>
            <w:r w:rsidRPr="00A66F33">
              <w:t>Perth Clinic, (WA)</w:t>
            </w:r>
          </w:p>
        </w:tc>
      </w:tr>
      <w:tr w:rsidR="00455B37" w:rsidRPr="00A66F33" w14:paraId="63AA2BA3"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2594F66" w14:textId="77777777" w:rsidR="00455B37" w:rsidRPr="00A66F33" w:rsidRDefault="00455B37" w:rsidP="00A66F33">
            <w:pPr>
              <w:pStyle w:val="TableText"/>
            </w:pPr>
            <w:r w:rsidRPr="00A66F33">
              <w:t>7</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747AC50" w14:textId="77777777" w:rsidR="00455B37" w:rsidRPr="00A66F33" w:rsidRDefault="00455B37" w:rsidP="00A66F33">
            <w:pPr>
              <w:pStyle w:val="TableText"/>
            </w:pPr>
            <w:r w:rsidRPr="00A66F33">
              <w:t>Individual</w:t>
            </w:r>
          </w:p>
        </w:tc>
      </w:tr>
      <w:tr w:rsidR="00455B37" w:rsidRPr="00A66F33" w14:paraId="417627DD"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258FD5C" w14:textId="77777777" w:rsidR="00455B37" w:rsidRPr="00A66F33" w:rsidRDefault="00455B37" w:rsidP="00A66F33">
            <w:pPr>
              <w:pStyle w:val="TableText"/>
            </w:pPr>
            <w:r w:rsidRPr="00A66F33">
              <w:t>8</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AFC7089" w14:textId="77777777" w:rsidR="00455B37" w:rsidRPr="00A66F33" w:rsidRDefault="00455B37" w:rsidP="00A66F33">
            <w:pPr>
              <w:pStyle w:val="TableText"/>
            </w:pPr>
            <w:r w:rsidRPr="00A66F33">
              <w:t>South Eastern Sydney Local Health District, (NSW)</w:t>
            </w:r>
          </w:p>
        </w:tc>
      </w:tr>
      <w:tr w:rsidR="00455B37" w:rsidRPr="00A66F33" w14:paraId="025A8006"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CE418EE" w14:textId="77777777" w:rsidR="00455B37" w:rsidRPr="00A66F33" w:rsidRDefault="00455B37" w:rsidP="00A66F33">
            <w:pPr>
              <w:pStyle w:val="TableText"/>
            </w:pPr>
            <w:r w:rsidRPr="00A66F33">
              <w:t>9</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59D65E4" w14:textId="77777777" w:rsidR="00455B37" w:rsidRPr="00A66F33" w:rsidRDefault="00455B37" w:rsidP="00A66F33">
            <w:pPr>
              <w:pStyle w:val="TableText"/>
            </w:pPr>
            <w:r w:rsidRPr="00A66F33">
              <w:t>Australian Government Department of Health</w:t>
            </w:r>
          </w:p>
        </w:tc>
      </w:tr>
      <w:tr w:rsidR="00455B37" w:rsidRPr="00A66F33" w14:paraId="466125C3"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4EE0F63" w14:textId="77777777" w:rsidR="00455B37" w:rsidRPr="00A66F33" w:rsidRDefault="00455B37" w:rsidP="00A66F33">
            <w:pPr>
              <w:pStyle w:val="TableText"/>
            </w:pPr>
            <w:r w:rsidRPr="00A66F33">
              <w:t>10</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BD1456D" w14:textId="77777777" w:rsidR="00455B37" w:rsidRPr="00A66F33" w:rsidRDefault="00455B37" w:rsidP="00A66F33">
            <w:pPr>
              <w:pStyle w:val="TableText"/>
            </w:pPr>
            <w:r w:rsidRPr="00A66F33">
              <w:t>NSW Forensic Mental Health Service</w:t>
            </w:r>
          </w:p>
        </w:tc>
      </w:tr>
      <w:tr w:rsidR="00455B37" w:rsidRPr="00A66F33" w14:paraId="769B759A"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7F28867" w14:textId="77777777" w:rsidR="00455B37" w:rsidRPr="00A66F33" w:rsidRDefault="00455B37" w:rsidP="00A66F33">
            <w:pPr>
              <w:pStyle w:val="TableText"/>
            </w:pPr>
            <w:r w:rsidRPr="00A66F33">
              <w:t>11</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E6793BC" w14:textId="77777777" w:rsidR="00455B37" w:rsidRPr="00A66F33" w:rsidRDefault="00455B37" w:rsidP="00A66F33">
            <w:pPr>
              <w:pStyle w:val="TableText"/>
            </w:pPr>
            <w:r w:rsidRPr="00A66F33">
              <w:t>Tasmanian Department of Health and Human Services</w:t>
            </w:r>
          </w:p>
        </w:tc>
      </w:tr>
      <w:tr w:rsidR="00455B37" w:rsidRPr="00A66F33" w14:paraId="2104FC12"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4FB7AC6" w14:textId="77777777" w:rsidR="00455B37" w:rsidRPr="00A66F33" w:rsidRDefault="00455B37" w:rsidP="00A66F33">
            <w:pPr>
              <w:pStyle w:val="TableText"/>
            </w:pPr>
            <w:r w:rsidRPr="00A66F33">
              <w:t>12</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EA1D212" w14:textId="77777777" w:rsidR="00455B37" w:rsidRPr="00A66F33" w:rsidRDefault="00455B37" w:rsidP="00A66F33">
            <w:pPr>
              <w:pStyle w:val="TableText"/>
            </w:pPr>
            <w:r w:rsidRPr="00A66F33">
              <w:t>Eastern Health, (Vic)</w:t>
            </w:r>
          </w:p>
        </w:tc>
      </w:tr>
      <w:tr w:rsidR="00455B37" w:rsidRPr="00A66F33" w14:paraId="58329D44"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746F802" w14:textId="77777777" w:rsidR="00455B37" w:rsidRPr="00A66F33" w:rsidRDefault="00455B37" w:rsidP="00A66F33">
            <w:pPr>
              <w:pStyle w:val="TableText"/>
            </w:pPr>
            <w:r w:rsidRPr="00A66F33">
              <w:t>13</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8A54AC7" w14:textId="77777777" w:rsidR="00455B37" w:rsidRPr="00A66F33" w:rsidRDefault="00455B37" w:rsidP="00A66F33">
            <w:pPr>
              <w:pStyle w:val="TableText"/>
            </w:pPr>
            <w:r w:rsidRPr="00A66F33">
              <w:t>Australian Medical Association</w:t>
            </w:r>
          </w:p>
        </w:tc>
      </w:tr>
      <w:tr w:rsidR="00455B37" w:rsidRPr="00A66F33" w14:paraId="6671DB39"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8C825E7" w14:textId="77777777" w:rsidR="00455B37" w:rsidRPr="00A66F33" w:rsidRDefault="00455B37" w:rsidP="00A66F33">
            <w:pPr>
              <w:pStyle w:val="TableText"/>
            </w:pPr>
            <w:r w:rsidRPr="00A66F33">
              <w:t>14</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162CD7C" w14:textId="77777777" w:rsidR="00455B37" w:rsidRPr="00A66F33" w:rsidRDefault="00455B37" w:rsidP="00A66F33">
            <w:pPr>
              <w:pStyle w:val="TableText"/>
            </w:pPr>
            <w:r w:rsidRPr="00A66F33">
              <w:t>Clinical Excellence Commission, (NSW)</w:t>
            </w:r>
          </w:p>
        </w:tc>
      </w:tr>
      <w:tr w:rsidR="00455B37" w:rsidRPr="00A66F33" w14:paraId="6A4828C4"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8F3F6FE" w14:textId="77777777" w:rsidR="00455B37" w:rsidRPr="00A66F33" w:rsidRDefault="00455B37" w:rsidP="00A66F33">
            <w:pPr>
              <w:pStyle w:val="TableText"/>
            </w:pPr>
            <w:r w:rsidRPr="00A66F33">
              <w:t>15</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2574D96" w14:textId="77777777" w:rsidR="00455B37" w:rsidRPr="00A66F33" w:rsidRDefault="00455B37" w:rsidP="00A66F33">
            <w:pPr>
              <w:pStyle w:val="TableText"/>
            </w:pPr>
            <w:r w:rsidRPr="00A66F33">
              <w:t>Queensland Mental Health Commission</w:t>
            </w:r>
          </w:p>
        </w:tc>
      </w:tr>
      <w:tr w:rsidR="00455B37" w:rsidRPr="00A66F33" w14:paraId="5909BB9B"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D50C6A9" w14:textId="77777777" w:rsidR="00455B37" w:rsidRPr="00A66F33" w:rsidRDefault="00455B37" w:rsidP="00A66F33">
            <w:pPr>
              <w:pStyle w:val="TableText"/>
            </w:pPr>
            <w:r w:rsidRPr="00A66F33">
              <w:t>16</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4EE241F9" w14:textId="77777777" w:rsidR="00455B37" w:rsidRPr="00A66F33" w:rsidRDefault="00455B37" w:rsidP="00A66F33">
            <w:pPr>
              <w:pStyle w:val="TableText"/>
            </w:pPr>
            <w:r w:rsidRPr="00A66F33">
              <w:t>Department of Health, (WA)</w:t>
            </w:r>
          </w:p>
        </w:tc>
      </w:tr>
      <w:tr w:rsidR="00455B37" w:rsidRPr="00A66F33" w14:paraId="0834A075"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656F1474" w14:textId="77777777" w:rsidR="00455B37" w:rsidRPr="00A66F33" w:rsidRDefault="00455B37" w:rsidP="00A66F33">
            <w:pPr>
              <w:pStyle w:val="TableText"/>
            </w:pPr>
            <w:r w:rsidRPr="00A66F33">
              <w:t>17</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71709C99" w14:textId="77777777" w:rsidR="00455B37" w:rsidRPr="00A66F33" w:rsidRDefault="00455B37" w:rsidP="00A66F33">
            <w:pPr>
              <w:pStyle w:val="TableText"/>
            </w:pPr>
            <w:r w:rsidRPr="00A66F33">
              <w:t>WA Country Health Service</w:t>
            </w:r>
          </w:p>
        </w:tc>
      </w:tr>
      <w:tr w:rsidR="00455B37" w:rsidRPr="00A66F33" w14:paraId="698C2692"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5FC5A2E" w14:textId="77777777" w:rsidR="00455B37" w:rsidRPr="00A66F33" w:rsidRDefault="00455B37" w:rsidP="00A66F33">
            <w:pPr>
              <w:pStyle w:val="TableText"/>
            </w:pPr>
            <w:r w:rsidRPr="00A66F33">
              <w:t>18</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D1C80F6" w14:textId="77777777" w:rsidR="00455B37" w:rsidRPr="00A66F33" w:rsidRDefault="00455B37" w:rsidP="00A66F33">
            <w:pPr>
              <w:pStyle w:val="TableText"/>
            </w:pPr>
            <w:r w:rsidRPr="00A66F33">
              <w:t>ACT Health</w:t>
            </w:r>
          </w:p>
        </w:tc>
      </w:tr>
      <w:tr w:rsidR="00455B37" w:rsidRPr="00A66F33" w14:paraId="118D2AA0"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0B09AA3" w14:textId="77777777" w:rsidR="00455B37" w:rsidRPr="00A66F33" w:rsidRDefault="00455B37" w:rsidP="00A66F33">
            <w:pPr>
              <w:pStyle w:val="TableText"/>
            </w:pPr>
            <w:r w:rsidRPr="00A66F33">
              <w:t>19</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22932C2" w14:textId="77777777" w:rsidR="00455B37" w:rsidRPr="00A66F33" w:rsidRDefault="00455B37" w:rsidP="00A66F33">
            <w:pPr>
              <w:pStyle w:val="TableText"/>
            </w:pPr>
            <w:r w:rsidRPr="00A66F33">
              <w:t>SA Ambulance Service</w:t>
            </w:r>
          </w:p>
        </w:tc>
      </w:tr>
      <w:tr w:rsidR="00455B37" w:rsidRPr="00A66F33" w14:paraId="15E9DA22"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FA8F00C" w14:textId="77777777" w:rsidR="00455B37" w:rsidRPr="00A66F33" w:rsidRDefault="00455B37" w:rsidP="00A66F33">
            <w:pPr>
              <w:pStyle w:val="TableText"/>
            </w:pPr>
            <w:r w:rsidRPr="00A66F33">
              <w:t>20</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F0DF7D7" w14:textId="77777777" w:rsidR="00455B37" w:rsidRPr="00A66F33" w:rsidRDefault="00455B37" w:rsidP="00A66F33">
            <w:pPr>
              <w:pStyle w:val="TableText"/>
            </w:pPr>
            <w:r w:rsidRPr="00A66F33">
              <w:t>Mental Health Commission, (WA)</w:t>
            </w:r>
          </w:p>
        </w:tc>
      </w:tr>
      <w:tr w:rsidR="00455B37" w:rsidRPr="00A66F33" w14:paraId="73C87003"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47621AD3" w14:textId="77777777" w:rsidR="00455B37" w:rsidRPr="00A66F33" w:rsidRDefault="00455B37" w:rsidP="00A66F33">
            <w:pPr>
              <w:pStyle w:val="TableText"/>
            </w:pPr>
            <w:r w:rsidRPr="00A66F33">
              <w:t>21</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9ABEDA4" w14:textId="77777777" w:rsidR="00455B37" w:rsidRPr="00A66F33" w:rsidRDefault="00455B37" w:rsidP="00A66F33">
            <w:pPr>
              <w:pStyle w:val="TableText"/>
            </w:pPr>
            <w:r w:rsidRPr="00A66F33">
              <w:t>National Mental Health Consumer and Carer Forum</w:t>
            </w:r>
          </w:p>
        </w:tc>
      </w:tr>
      <w:tr w:rsidR="00455B37" w:rsidRPr="00A66F33" w14:paraId="362DA702"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B7E0F36" w14:textId="77777777" w:rsidR="00455B37" w:rsidRPr="00A66F33" w:rsidRDefault="00455B37" w:rsidP="00A66F33">
            <w:pPr>
              <w:pStyle w:val="TableText"/>
            </w:pPr>
            <w:r w:rsidRPr="00A66F33">
              <w:t>22</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E1A68A7" w14:textId="77777777" w:rsidR="00455B37" w:rsidRPr="00A66F33" w:rsidRDefault="00455B37" w:rsidP="00A66F33">
            <w:pPr>
              <w:pStyle w:val="TableText"/>
            </w:pPr>
            <w:r w:rsidRPr="00A66F33">
              <w:t>Mental Health Commission of NSW</w:t>
            </w:r>
          </w:p>
        </w:tc>
      </w:tr>
      <w:tr w:rsidR="00455B37" w:rsidRPr="00A66F33" w14:paraId="49E6D215"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06CD77D" w14:textId="77777777" w:rsidR="00455B37" w:rsidRPr="00A66F33" w:rsidRDefault="00455B37" w:rsidP="00A66F33">
            <w:pPr>
              <w:pStyle w:val="TableText"/>
            </w:pPr>
            <w:r w:rsidRPr="00A66F33">
              <w:t>23</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3A938F22" w14:textId="77777777" w:rsidR="00455B37" w:rsidRPr="00A66F33" w:rsidRDefault="00455B37" w:rsidP="00A66F33">
            <w:pPr>
              <w:pStyle w:val="TableText"/>
            </w:pPr>
            <w:r w:rsidRPr="00A66F33">
              <w:t>Royal Australian and New Zealand College of Psychiatrists</w:t>
            </w:r>
          </w:p>
        </w:tc>
      </w:tr>
      <w:tr w:rsidR="00455B37" w:rsidRPr="00A66F33" w14:paraId="151D19DB"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37165B74" w14:textId="77777777" w:rsidR="00455B37" w:rsidRPr="00A66F33" w:rsidRDefault="00455B37" w:rsidP="00A66F33">
            <w:pPr>
              <w:pStyle w:val="TableText"/>
            </w:pPr>
            <w:r w:rsidRPr="00A66F33">
              <w:t>24</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FBF333A" w14:textId="77777777" w:rsidR="00455B37" w:rsidRPr="00A66F33" w:rsidRDefault="00455B37" w:rsidP="00A66F33">
            <w:pPr>
              <w:pStyle w:val="TableText"/>
            </w:pPr>
            <w:r w:rsidRPr="00A66F33">
              <w:t>Schizophrenia Fellowship of NSW</w:t>
            </w:r>
          </w:p>
        </w:tc>
      </w:tr>
      <w:tr w:rsidR="00455B37" w:rsidRPr="00A66F33" w14:paraId="70A73C88"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8759BAF" w14:textId="77777777" w:rsidR="00455B37" w:rsidRPr="00A66F33" w:rsidRDefault="00455B37" w:rsidP="00A66F33">
            <w:pPr>
              <w:pStyle w:val="TableText"/>
            </w:pPr>
            <w:r w:rsidRPr="00A66F33">
              <w:t>25</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72E25A18" w14:textId="77777777" w:rsidR="00455B37" w:rsidRPr="00A66F33" w:rsidRDefault="00455B37" w:rsidP="00A66F33">
            <w:pPr>
              <w:pStyle w:val="TableText"/>
            </w:pPr>
            <w:r w:rsidRPr="00A66F33">
              <w:t>NSW Nurses and Midwives’ Association</w:t>
            </w:r>
          </w:p>
        </w:tc>
      </w:tr>
      <w:tr w:rsidR="00455B37" w:rsidRPr="00A66F33" w14:paraId="018B350B"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5ACA2A4F" w14:textId="77777777" w:rsidR="00455B37" w:rsidRPr="00A66F33" w:rsidRDefault="00455B37" w:rsidP="00A66F33">
            <w:pPr>
              <w:pStyle w:val="TableText"/>
            </w:pPr>
            <w:r w:rsidRPr="00A66F33">
              <w:t>26</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18C6111D" w14:textId="77777777" w:rsidR="00455B37" w:rsidRPr="00A66F33" w:rsidRDefault="00455B37" w:rsidP="00A66F33">
            <w:pPr>
              <w:pStyle w:val="TableText"/>
            </w:pPr>
            <w:r w:rsidRPr="00A66F33">
              <w:t>Individual</w:t>
            </w:r>
          </w:p>
        </w:tc>
      </w:tr>
      <w:tr w:rsidR="00455B37" w:rsidRPr="00A66F33" w14:paraId="151C2161"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47EA09D" w14:textId="77777777" w:rsidR="00455B37" w:rsidRPr="00A66F33" w:rsidRDefault="00455B37" w:rsidP="00A66F33">
            <w:pPr>
              <w:pStyle w:val="TableText"/>
            </w:pPr>
            <w:r w:rsidRPr="00A66F33">
              <w:t>27</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18E49B07" w14:textId="77777777" w:rsidR="00455B37" w:rsidRPr="00A66F33" w:rsidRDefault="00455B37" w:rsidP="00A66F33">
            <w:pPr>
              <w:pStyle w:val="TableText"/>
            </w:pPr>
            <w:r w:rsidRPr="00A66F33">
              <w:t>Private Mental Health Consumer and Carer’s Network</w:t>
            </w:r>
          </w:p>
        </w:tc>
      </w:tr>
      <w:tr w:rsidR="00455B37" w:rsidRPr="00A66F33" w14:paraId="709D3086"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33944CD" w14:textId="77777777" w:rsidR="00455B37" w:rsidRPr="00A66F33" w:rsidRDefault="00455B37" w:rsidP="00A66F33">
            <w:pPr>
              <w:pStyle w:val="TableText"/>
            </w:pPr>
            <w:r w:rsidRPr="00A66F33">
              <w:t>28</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77116002" w14:textId="77777777" w:rsidR="00455B37" w:rsidRPr="00A66F33" w:rsidRDefault="00455B37" w:rsidP="00A66F33">
            <w:pPr>
              <w:pStyle w:val="TableText"/>
            </w:pPr>
            <w:r w:rsidRPr="00A66F33">
              <w:t>Department of Veterans’ Affairs</w:t>
            </w:r>
          </w:p>
        </w:tc>
      </w:tr>
      <w:tr w:rsidR="00455B37" w:rsidRPr="00A66F33" w14:paraId="111B5FBF"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595B7200" w14:textId="77777777" w:rsidR="00455B37" w:rsidRPr="00A66F33" w:rsidRDefault="00455B37" w:rsidP="00A66F33">
            <w:pPr>
              <w:pStyle w:val="TableText"/>
            </w:pPr>
            <w:r w:rsidRPr="00A66F33">
              <w:t>29</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4314471" w14:textId="77777777" w:rsidR="00455B37" w:rsidRPr="00A66F33" w:rsidRDefault="00455B37" w:rsidP="00A66F33">
            <w:pPr>
              <w:pStyle w:val="TableText"/>
            </w:pPr>
            <w:r w:rsidRPr="00A66F33">
              <w:t>Office of the Chief Psychiatrist, (Qld)</w:t>
            </w:r>
          </w:p>
        </w:tc>
      </w:tr>
      <w:tr w:rsidR="00455B37" w:rsidRPr="00A66F33" w14:paraId="423EED2D"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234DACE" w14:textId="77777777" w:rsidR="00455B37" w:rsidRPr="00A66F33" w:rsidRDefault="00455B37" w:rsidP="00A66F33">
            <w:pPr>
              <w:pStyle w:val="TableText"/>
            </w:pPr>
            <w:r w:rsidRPr="00A66F33">
              <w:t>30</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0BB086C" w14:textId="77777777" w:rsidR="00455B37" w:rsidRPr="00A66F33" w:rsidRDefault="00455B37" w:rsidP="00A66F33">
            <w:pPr>
              <w:pStyle w:val="TableText"/>
            </w:pPr>
            <w:r w:rsidRPr="00A66F33">
              <w:t>Safety and Quality Partnership Standing Committee</w:t>
            </w:r>
          </w:p>
        </w:tc>
      </w:tr>
      <w:tr w:rsidR="00455B37" w:rsidRPr="00A66F33" w14:paraId="38E77E6E"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031DBE4E" w14:textId="77777777" w:rsidR="00455B37" w:rsidRPr="00A66F33" w:rsidRDefault="00455B37" w:rsidP="00A66F33">
            <w:pPr>
              <w:pStyle w:val="TableText"/>
            </w:pPr>
            <w:r w:rsidRPr="00A66F33">
              <w:t>31</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tcPr>
          <w:p w14:paraId="271A597B" w14:textId="77777777" w:rsidR="00455B37" w:rsidRPr="00A66F33" w:rsidRDefault="00455B37" w:rsidP="00A66F33">
            <w:pPr>
              <w:pStyle w:val="TableText"/>
            </w:pPr>
            <w:r w:rsidRPr="00A66F33">
              <w:t>Carers Australia</w:t>
            </w:r>
          </w:p>
        </w:tc>
      </w:tr>
      <w:tr w:rsidR="00455B37" w:rsidRPr="00A66F33" w14:paraId="68F0F780" w14:textId="77777777" w:rsidTr="001C29A2">
        <w:trPr>
          <w:trHeight w:val="60"/>
        </w:trPr>
        <w:tc>
          <w:tcPr>
            <w:tcW w:w="510"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23EA1C07" w14:textId="77777777" w:rsidR="00455B37" w:rsidRPr="00A66F33" w:rsidRDefault="00455B37" w:rsidP="00A66F33">
            <w:pPr>
              <w:pStyle w:val="TableText"/>
            </w:pPr>
            <w:r w:rsidRPr="00A66F33">
              <w:t>32</w:t>
            </w:r>
          </w:p>
        </w:tc>
        <w:tc>
          <w:tcPr>
            <w:tcW w:w="9335" w:type="dxa"/>
            <w:tcBorders>
              <w:top w:val="dashSmallGap" w:sz="6" w:space="0" w:color="008EAB" w:themeColor="accent2"/>
              <w:left w:val="dashSmallGap" w:sz="6" w:space="0" w:color="008EAB" w:themeColor="accent2"/>
              <w:bottom w:val="dashSmallGap" w:sz="6" w:space="0" w:color="008EAB" w:themeColor="accent2"/>
              <w:right w:val="dashSmallGap" w:sz="6" w:space="0" w:color="008EAB" w:themeColor="accent2"/>
            </w:tcBorders>
            <w:shd w:val="clear" w:color="auto" w:fill="D4E1E9" w:themeFill="accent4"/>
          </w:tcPr>
          <w:p w14:paraId="6741F8C1" w14:textId="77777777" w:rsidR="00455B37" w:rsidRPr="00A66F33" w:rsidRDefault="00455B37" w:rsidP="00A66F33">
            <w:pPr>
              <w:pStyle w:val="TableText"/>
            </w:pPr>
            <w:r w:rsidRPr="00A66F33">
              <w:t>Australian College of Mental Health Nurses</w:t>
            </w:r>
          </w:p>
        </w:tc>
      </w:tr>
    </w:tbl>
    <w:p w14:paraId="7F53DF35" w14:textId="77777777" w:rsidR="00455B37" w:rsidRDefault="00455B37">
      <w:pPr>
        <w:rPr>
          <w:rFonts w:ascii="Arial" w:hAnsi="Arial"/>
          <w:color w:val="000000" w:themeColor="text2"/>
          <w:sz w:val="20"/>
        </w:rPr>
      </w:pPr>
      <w:r>
        <w:br w:type="page"/>
      </w:r>
    </w:p>
    <w:p w14:paraId="4FA7022B" w14:textId="77777777" w:rsidR="00455B37" w:rsidRPr="00455B37" w:rsidRDefault="00455B37" w:rsidP="00A66F33">
      <w:pPr>
        <w:pStyle w:val="AppendixSubheading"/>
      </w:pPr>
      <w:r w:rsidRPr="00455B37">
        <w:lastRenderedPageBreak/>
        <w:t>Appendix C:</w:t>
      </w:r>
      <w:r w:rsidRPr="00455B37">
        <w:t> </w:t>
      </w:r>
      <w:r w:rsidRPr="00455B37">
        <w:t>Typical signs of deterioration in a person’s mental</w:t>
      </w:r>
      <w:r w:rsidRPr="00455B37">
        <w:rPr>
          <w:rFonts w:ascii="Cambria Math" w:hAnsi="Cambria Math" w:cs="Cambria Math"/>
        </w:rPr>
        <w:t> </w:t>
      </w:r>
      <w:r w:rsidRPr="00455B37">
        <w:t>state</w:t>
      </w:r>
      <w:r w:rsidRPr="00455B37">
        <w:rPr>
          <w:vertAlign w:val="superscript"/>
        </w:rPr>
        <w:t>*</w:t>
      </w:r>
    </w:p>
    <w:p w14:paraId="550B06A8" w14:textId="77777777" w:rsidR="00455B37" w:rsidRPr="00455B37" w:rsidRDefault="00455B37" w:rsidP="00A66F33">
      <w:pPr>
        <w:pStyle w:val="Heading3"/>
      </w:pPr>
      <w:r w:rsidRPr="00455B37">
        <w:t>Reported</w:t>
      </w:r>
    </w:p>
    <w:p w14:paraId="230B4F79" w14:textId="77777777" w:rsidR="00455B37" w:rsidRPr="00455B37" w:rsidRDefault="00455B37" w:rsidP="00A66F33">
      <w:pPr>
        <w:pStyle w:val="BodyText"/>
      </w:pPr>
      <w:r w:rsidRPr="00455B37">
        <w:t>Verbal commands to do harm to self or others</w:t>
      </w:r>
    </w:p>
    <w:p w14:paraId="03F492C7" w14:textId="77777777" w:rsidR="00455B37" w:rsidRPr="00455B37" w:rsidRDefault="00455B37" w:rsidP="00A66F33">
      <w:pPr>
        <w:pStyle w:val="BodyText"/>
      </w:pPr>
      <w:r w:rsidRPr="00455B37">
        <w:t>Suicidal ideation</w:t>
      </w:r>
    </w:p>
    <w:p w14:paraId="58AF8A26" w14:textId="77777777" w:rsidR="00455B37" w:rsidRPr="00455B37" w:rsidRDefault="00455B37" w:rsidP="00A66F33">
      <w:pPr>
        <w:pStyle w:val="BodyText"/>
      </w:pPr>
      <w:r w:rsidRPr="00455B37">
        <w:t>Attempt at self-harm</w:t>
      </w:r>
    </w:p>
    <w:p w14:paraId="6153B3F0" w14:textId="77777777" w:rsidR="00455B37" w:rsidRPr="00455B37" w:rsidRDefault="00455B37" w:rsidP="00A66F33">
      <w:pPr>
        <w:pStyle w:val="BodyText"/>
      </w:pPr>
      <w:r w:rsidRPr="00455B37">
        <w:t>Threat of harm to others</w:t>
      </w:r>
    </w:p>
    <w:p w14:paraId="632AD9C0" w14:textId="77777777" w:rsidR="00455B37" w:rsidRPr="00455B37" w:rsidRDefault="00455B37" w:rsidP="00A66F33">
      <w:pPr>
        <w:pStyle w:val="BodyText"/>
      </w:pPr>
      <w:r w:rsidRPr="00455B37">
        <w:t>Situational crisis</w:t>
      </w:r>
    </w:p>
    <w:p w14:paraId="7DF0733D" w14:textId="77777777" w:rsidR="00455B37" w:rsidRPr="00455B37" w:rsidRDefault="00455B37" w:rsidP="00A66F33">
      <w:pPr>
        <w:pStyle w:val="BodyText"/>
      </w:pPr>
      <w:r w:rsidRPr="00455B37">
        <w:t>Psychotic symptoms (hallucinations, delusions, paranoid ideas)</w:t>
      </w:r>
    </w:p>
    <w:p w14:paraId="0C81D8DC" w14:textId="77777777" w:rsidR="00455B37" w:rsidRPr="00455B37" w:rsidRDefault="00455B37" w:rsidP="00A66F33">
      <w:pPr>
        <w:pStyle w:val="BodyText"/>
      </w:pPr>
      <w:r w:rsidRPr="00455B37">
        <w:t>Mood disturbance (depression, elevated or irritable mood)</w:t>
      </w:r>
    </w:p>
    <w:p w14:paraId="6C692066" w14:textId="77777777" w:rsidR="00455B37" w:rsidRPr="00455B37" w:rsidRDefault="00455B37" w:rsidP="00A66F33">
      <w:pPr>
        <w:pStyle w:val="BodyText"/>
      </w:pPr>
      <w:r w:rsidRPr="00455B37">
        <w:t>Unable to wait safely</w:t>
      </w:r>
    </w:p>
    <w:p w14:paraId="180CD6E7" w14:textId="77777777" w:rsidR="00455B37" w:rsidRPr="00455B37" w:rsidRDefault="00455B37" w:rsidP="00A66F33">
      <w:pPr>
        <w:pStyle w:val="Heading3"/>
        <w:spacing w:before="283"/>
      </w:pPr>
      <w:r w:rsidRPr="00455B37">
        <w:t>Observed</w:t>
      </w:r>
    </w:p>
    <w:p w14:paraId="3F9D1A7C" w14:textId="77777777" w:rsidR="00455B37" w:rsidRPr="00455B37" w:rsidRDefault="00455B37" w:rsidP="00A66F33">
      <w:pPr>
        <w:pStyle w:val="BodyText"/>
      </w:pPr>
      <w:r w:rsidRPr="00455B37">
        <w:t>Agitation</w:t>
      </w:r>
    </w:p>
    <w:p w14:paraId="090DD43A" w14:textId="77777777" w:rsidR="00455B37" w:rsidRPr="00455B37" w:rsidRDefault="00455B37" w:rsidP="00A66F33">
      <w:pPr>
        <w:pStyle w:val="BodyText"/>
      </w:pPr>
      <w:r w:rsidRPr="00455B37">
        <w:t>Restlessness</w:t>
      </w:r>
    </w:p>
    <w:p w14:paraId="72936BFD" w14:textId="77777777" w:rsidR="00455B37" w:rsidRPr="00455B37" w:rsidRDefault="00455B37" w:rsidP="00A66F33">
      <w:pPr>
        <w:pStyle w:val="BodyText"/>
      </w:pPr>
      <w:r w:rsidRPr="00455B37">
        <w:t>Bizarre/disoriented behaviour</w:t>
      </w:r>
    </w:p>
    <w:p w14:paraId="1CA2CE96" w14:textId="77777777" w:rsidR="00455B37" w:rsidRPr="00455B37" w:rsidRDefault="00455B37" w:rsidP="00A66F33">
      <w:pPr>
        <w:pStyle w:val="BodyText"/>
      </w:pPr>
      <w:r w:rsidRPr="00455B37">
        <w:t>Physical/verbal aggression</w:t>
      </w:r>
    </w:p>
    <w:p w14:paraId="2CDC05C5" w14:textId="77777777" w:rsidR="00455B37" w:rsidRPr="00455B37" w:rsidRDefault="00455B37" w:rsidP="00A66F33">
      <w:pPr>
        <w:pStyle w:val="BodyText"/>
      </w:pPr>
      <w:r w:rsidRPr="00455B37">
        <w:t>Confusion</w:t>
      </w:r>
    </w:p>
    <w:p w14:paraId="0FD60FAA" w14:textId="77777777" w:rsidR="00455B37" w:rsidRPr="00455B37" w:rsidRDefault="00455B37" w:rsidP="00A66F33">
      <w:pPr>
        <w:pStyle w:val="BodyText"/>
      </w:pPr>
      <w:r w:rsidRPr="00455B37">
        <w:t>Ambivalence about treatment</w:t>
      </w:r>
    </w:p>
    <w:p w14:paraId="2223AFF8" w14:textId="77777777" w:rsidR="00455B37" w:rsidRDefault="00455B37" w:rsidP="00A66F33">
      <w:pPr>
        <w:pStyle w:val="BodyText"/>
      </w:pPr>
      <w:r w:rsidRPr="00455B37">
        <w:t>Withdrawn/uncommunicative</w:t>
      </w:r>
    </w:p>
    <w:p w14:paraId="4E22944F" w14:textId="77777777" w:rsidR="00A66F33" w:rsidRPr="00455B37" w:rsidRDefault="00A66F33" w:rsidP="00F94B9D">
      <w:pPr>
        <w:pStyle w:val="Reference"/>
        <w:spacing w:before="4320"/>
      </w:pPr>
      <w:r w:rsidRPr="00A66F33">
        <w:t>*</w:t>
      </w:r>
      <w:r w:rsidRPr="00A66F33">
        <w:tab/>
        <w:t>Adapted from Department of Health, Mental health triage tool.</w:t>
      </w:r>
      <w:r w:rsidRPr="00A66F33">
        <w:rPr>
          <w:vertAlign w:val="superscript"/>
        </w:rPr>
        <w:t>31</w:t>
      </w:r>
    </w:p>
    <w:p w14:paraId="1FA08506" w14:textId="77777777" w:rsidR="00455B37" w:rsidRDefault="00455B37" w:rsidP="00455B37">
      <w:pPr>
        <w:pStyle w:val="BodyText"/>
        <w:sectPr w:rsidR="00455B37" w:rsidSect="004E00C4">
          <w:headerReference w:type="even" r:id="rId50"/>
          <w:pgSz w:w="11906" w:h="16838"/>
          <w:pgMar w:top="2835" w:right="1021" w:bottom="567" w:left="1021" w:header="1361" w:footer="567" w:gutter="0"/>
          <w:cols w:space="720"/>
          <w:noEndnote/>
          <w:docGrid w:linePitch="299"/>
        </w:sectPr>
      </w:pPr>
    </w:p>
    <w:p w14:paraId="6C1C075A" w14:textId="77777777" w:rsidR="00455B37" w:rsidRPr="00F94B9D" w:rsidRDefault="00455B37" w:rsidP="00F94B9D">
      <w:pPr>
        <w:pStyle w:val="BackPageHeading"/>
        <w:spacing w:before="11400"/>
      </w:pPr>
      <w:r w:rsidRPr="00F94B9D">
        <w:lastRenderedPageBreak/>
        <w:t>Australian Commission on Safety and Quality in Health Care</w:t>
      </w:r>
    </w:p>
    <w:p w14:paraId="0A52EF2D" w14:textId="77777777" w:rsidR="00455B37" w:rsidRDefault="00455B37" w:rsidP="00F94B9D">
      <w:pPr>
        <w:pStyle w:val="BackPageCopy"/>
      </w:pPr>
      <w:r>
        <w:t>Level 5, 255 Elizabeth Street, Sydney NSW 2000</w:t>
      </w:r>
      <w:r w:rsidR="00F94B9D">
        <w:br/>
      </w:r>
      <w:r>
        <w:t>GPO Box 5480, Sydney NSW 2001</w:t>
      </w:r>
    </w:p>
    <w:p w14:paraId="2AAE3EFB" w14:textId="77777777" w:rsidR="00455B37" w:rsidRDefault="00455B37" w:rsidP="00F94B9D">
      <w:pPr>
        <w:pStyle w:val="BackPageCopy"/>
      </w:pPr>
      <w:r>
        <w:t>Telephone: (02) 9126 3600 (international +61 2 9126 3600)</w:t>
      </w:r>
      <w:r w:rsidR="00F94B9D">
        <w:br/>
      </w:r>
      <w:r>
        <w:t>Fax: (02) 9126 3613 (international +61 2 9126 3613)</w:t>
      </w:r>
      <w:r w:rsidR="00F94B9D">
        <w:br/>
      </w:r>
      <w:hyperlink r:id="rId51" w:history="1">
        <w:r w:rsidR="00F94B9D" w:rsidRPr="00F94B9D">
          <w:t>mail@safetyandquality.gov.au</w:t>
        </w:r>
      </w:hyperlink>
      <w:r w:rsidR="00F94B9D" w:rsidRPr="00F94B9D">
        <w:br/>
      </w:r>
      <w:r w:rsidRPr="00F94B9D">
        <w:rPr>
          <w:rStyle w:val="Strong"/>
        </w:rPr>
        <w:t>www.safetyandquality.gov.au</w:t>
      </w:r>
    </w:p>
    <w:sectPr w:rsidR="00455B37" w:rsidSect="00F94B9D">
      <w:headerReference w:type="even" r:id="rId52"/>
      <w:footerReference w:type="even" r:id="rId53"/>
      <w:pgSz w:w="11906" w:h="16838"/>
      <w:pgMar w:top="2835" w:right="1021" w:bottom="567" w:left="1021" w:header="1361" w:footer="397"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802D3A" w14:textId="77777777" w:rsidR="00801C52" w:rsidRDefault="00801C52" w:rsidP="000424DD">
      <w:pPr>
        <w:spacing w:after="0" w:line="240" w:lineRule="auto"/>
      </w:pPr>
      <w:r>
        <w:separator/>
      </w:r>
    </w:p>
  </w:endnote>
  <w:endnote w:type="continuationSeparator" w:id="0">
    <w:p w14:paraId="35B44F4F" w14:textId="77777777" w:rsidR="00801C52" w:rsidRDefault="00801C52" w:rsidP="000424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45 Light">
    <w:panose1 w:val="00000000000000000000"/>
    <w:charset w:val="00"/>
    <w:family w:val="swiss"/>
    <w:notTrueType/>
    <w:pitch w:val="variable"/>
    <w:sig w:usb0="00000003" w:usb1="00000000" w:usb2="00000000" w:usb3="00000000" w:csb0="00000001" w:csb1="00000000"/>
  </w:font>
  <w:font w:name="Museo Sans 700">
    <w:panose1 w:val="00000000000000000000"/>
    <w:charset w:val="00"/>
    <w:family w:val="modern"/>
    <w:notTrueType/>
    <w:pitch w:val="variable"/>
    <w:sig w:usb0="A00000AF" w:usb1="4000004A" w:usb2="00000000" w:usb3="00000000" w:csb0="00000093" w:csb1="00000000"/>
  </w:font>
  <w:font w:name="Times Regular">
    <w:charset w:val="00"/>
    <w:family w:val="auto"/>
    <w:pitch w:val="variable"/>
    <w:sig w:usb0="00000003" w:usb1="00000000" w:usb2="00000000" w:usb3="00000000" w:csb0="00000001" w:csb1="00000000"/>
  </w:font>
  <w:font w:name="Museo Sans 500">
    <w:altName w:val="Times New Roman"/>
    <w:panose1 w:val="00000000000000000000"/>
    <w:charset w:val="00"/>
    <w:family w:val="modern"/>
    <w:notTrueType/>
    <w:pitch w:val="variable"/>
    <w:sig w:usb0="00000001" w:usb1="4000004A" w:usb2="00000000" w:usb3="00000000" w:csb0="00000093"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7FD9E9" w14:textId="77777777" w:rsidR="00CE4468" w:rsidRDefault="00CE446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F4126" w14:textId="77777777" w:rsidR="00CE4468" w:rsidRDefault="00CE446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2D22BB" w14:textId="77777777" w:rsidR="00CE4468" w:rsidRDefault="00CE446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96DA45" w14:textId="77777777" w:rsidR="00DD4C20" w:rsidRDefault="00DD4C2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814293" w14:textId="77777777" w:rsidR="00DD4C20" w:rsidRDefault="00DD4C20" w:rsidP="00E31EC0">
    <w:pPr>
      <w:pStyle w:val="Footer"/>
      <w:tabs>
        <w:tab w:val="clear" w:pos="4513"/>
        <w:tab w:val="clear" w:pos="9026"/>
      </w:tabs>
      <w:ind w:right="639"/>
      <w:jc w:val="right"/>
    </w:pPr>
    <w:r>
      <w:rPr>
        <w:noProof/>
        <w:lang w:val="en-AU" w:eastAsia="en-AU"/>
      </w:rPr>
      <mc:AlternateContent>
        <mc:Choice Requires="wps">
          <w:drawing>
            <wp:anchor distT="0" distB="0" distL="114300" distR="114300" simplePos="0" relativeHeight="251719680" behindDoc="0" locked="0" layoutInCell="1" allowOverlap="1" wp14:anchorId="475D9365" wp14:editId="6BEC5358">
              <wp:simplePos x="0" y="0"/>
              <wp:positionH relativeFrom="column">
                <wp:posOffset>6006556</wp:posOffset>
              </wp:positionH>
              <wp:positionV relativeFrom="paragraph">
                <wp:posOffset>12065</wp:posOffset>
              </wp:positionV>
              <wp:extent cx="228600" cy="211282"/>
              <wp:effectExtent l="0" t="0" r="0" b="0"/>
              <wp:wrapNone/>
              <wp:docPr id="3" name="Text Box 3"/>
              <wp:cNvGraphicFramePr/>
              <a:graphic xmlns:a="http://schemas.openxmlformats.org/drawingml/2006/main">
                <a:graphicData uri="http://schemas.microsoft.com/office/word/2010/wordprocessingShape">
                  <wps:wsp>
                    <wps:cNvSpPr txBox="1"/>
                    <wps:spPr>
                      <a:xfrm>
                        <a:off x="0" y="0"/>
                        <a:ext cx="228600" cy="211282"/>
                      </a:xfrm>
                      <a:prstGeom prst="rect">
                        <a:avLst/>
                      </a:prstGeom>
                      <a:noFill/>
                      <a:ln w="6350">
                        <a:noFill/>
                      </a:ln>
                    </wps:spPr>
                    <wps:txbx>
                      <w:txbxContent>
                        <w:p w14:paraId="506FF709" w14:textId="36FD53B2" w:rsidR="00DD4C20" w:rsidRPr="00F5235A" w:rsidRDefault="00DD4C20" w:rsidP="00F5235A">
                          <w:pPr>
                            <w:spacing w:after="0" w:line="240" w:lineRule="auto"/>
                            <w:jc w:val="center"/>
                            <w:rPr>
                              <w:rFonts w:ascii="Arial" w:hAnsi="Arial" w:cs="Arial"/>
                              <w:color w:val="FFFFFF" w:themeColor="background2"/>
                              <w:sz w:val="18"/>
                              <w:szCs w:val="18"/>
                            </w:rPr>
                          </w:pPr>
                          <w:r w:rsidRPr="00F5235A">
                            <w:rPr>
                              <w:rFonts w:ascii="Arial" w:hAnsi="Arial" w:cs="Arial"/>
                              <w:color w:val="FFFFFF" w:themeColor="background2"/>
                              <w:sz w:val="18"/>
                              <w:szCs w:val="18"/>
                            </w:rPr>
                            <w:fldChar w:fldCharType="begin"/>
                          </w:r>
                          <w:r w:rsidRPr="00F5235A">
                            <w:rPr>
                              <w:rFonts w:ascii="Arial" w:hAnsi="Arial" w:cs="Arial"/>
                              <w:color w:val="FFFFFF" w:themeColor="background2"/>
                              <w:sz w:val="18"/>
                              <w:szCs w:val="18"/>
                            </w:rPr>
                            <w:instrText xml:space="preserve"> PAGE  \* Arabic </w:instrText>
                          </w:r>
                          <w:r w:rsidRPr="00F5235A">
                            <w:rPr>
                              <w:rFonts w:ascii="Arial" w:hAnsi="Arial" w:cs="Arial"/>
                              <w:color w:val="FFFFFF" w:themeColor="background2"/>
                              <w:sz w:val="18"/>
                              <w:szCs w:val="18"/>
                            </w:rPr>
                            <w:fldChar w:fldCharType="separate"/>
                          </w:r>
                          <w:r w:rsidR="00CE4468">
                            <w:rPr>
                              <w:rFonts w:ascii="Arial" w:hAnsi="Arial" w:cs="Arial"/>
                              <w:noProof/>
                              <w:color w:val="FFFFFF" w:themeColor="background2"/>
                              <w:sz w:val="18"/>
                              <w:szCs w:val="18"/>
                            </w:rPr>
                            <w:t>1</w:t>
                          </w:r>
                          <w:r w:rsidRPr="00F5235A">
                            <w:rPr>
                              <w:rFonts w:ascii="Arial" w:hAnsi="Arial" w:cs="Arial"/>
                              <w:color w:val="FFFFFF" w:themeColor="background2"/>
                              <w:sz w:val="18"/>
                              <w:szCs w:val="1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472.95pt;margin-top:.95pt;width:18pt;height:16.6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sAYLAIAAFAEAAAOAAAAZHJzL2Uyb0RvYy54bWysVE2P2jAQvVfqf7B8L/mApTQirOiuqCqh&#10;3ZWg2rNxbBIp9ri2IaG/vmMHWLTtqerFjGcmM5733jC/71VLjsK6BnRJs1FKidAcqkbvS/pju/o0&#10;o8R5pivWghYlPQlH7xcfP8w7U4gcamgrYQkW0a7oTElr702RJI7XQjE3AiM0BiVYxTxe7T6pLOuw&#10;umqTPE2nSQe2Mha4cA69j0OQLmJ9KQX3z1I64UlbUnybj6eN5y6cyWLOir1lpm74+RnsH16hWKOx&#10;6bXUI/OMHGzzRynVcAsOpB9xUAlI2XARZ8BpsvTdNJuaGRFnQXCcucLk/l9Z/nR8saSpSjqmRDOF&#10;FG1F78lX6Mk4oNMZV2DSxmCa79GNLF/8Dp1h6F5aFX5xHIJxxPl0xTYU4+jM89k0xQjHUJ5l+SwP&#10;VZK3j411/psARYJRUovURUTZce38kHpJCb00rJq2jfS1mnQlnY7v0vjBNYLFW409wgjDU4Pl+11/&#10;nmsH1QnHsjDIwhm+arD5mjn/wizqAN+L2vbPeMgWsAmcLUpqsL/+5g/5SA9GKelQVyV1Pw/MCkra&#10;7xqJ+5JNJkGI8TK5+5zjxd5GdrcRfVAPgNLNcIsMj2bI9+3FlBbUK67AMnTFENMce5fUX8wHP6gd&#10;V4iL5TImofQM82u9MTyUDnAGaLf9K7PmjL9H4p7gokBWvKNhyB2IWB48yCZyFAAeUD3jjrKNLJ9X&#10;LOzF7T1mvf0RLH4DAAD//wMAUEsDBBQABgAIAAAAIQDY7w9d3wAAAAgBAAAPAAAAZHJzL2Rvd25y&#10;ZXYueG1sTI9BT4NAEIXvJv6HzZh4s4soBpClaUgaE6OH1l68DewUiOwustsW/fVOT/U0M3kvb75X&#10;LGcziCNNvndWwf0iAkG2cbq3rYLdx/ouBeEDWo2Ds6Tghzwsy+urAnPtTnZDx21oBYdYn6OCLoQx&#10;l9I3HRn0CzeSZW3vJoOBz6mVesITh5tBxlH0JA32lj90OFLVUfO1PRgFr9X6HTd1bNLfoXp526/G&#10;791notTtzbx6BhFoDhcznPEZHUpmqt3Bai8GBdljkrGVBR6sZ+l5qRU8JDHIspD/C5R/AAAA//8D&#10;AFBLAQItABQABgAIAAAAIQC2gziS/gAAAOEBAAATAAAAAAAAAAAAAAAAAAAAAABbQ29udGVudF9U&#10;eXBlc10ueG1sUEsBAi0AFAAGAAgAAAAhADj9If/WAAAAlAEAAAsAAAAAAAAAAAAAAAAALwEAAF9y&#10;ZWxzLy5yZWxzUEsBAi0AFAAGAAgAAAAhAER6wBgsAgAAUAQAAA4AAAAAAAAAAAAAAAAALgIAAGRy&#10;cy9lMm9Eb2MueG1sUEsBAi0AFAAGAAgAAAAhANjvD13fAAAACAEAAA8AAAAAAAAAAAAAAAAAhgQA&#10;AGRycy9kb3ducmV2LnhtbFBLBQYAAAAABAAEAPMAAACSBQAAAAA=&#10;" filled="f" stroked="f" strokeweight=".5pt">
              <v:textbox>
                <w:txbxContent>
                  <w:p w14:paraId="506FF709" w14:textId="36FD53B2" w:rsidR="00DD4C20" w:rsidRPr="00F5235A" w:rsidRDefault="00DD4C20" w:rsidP="00F5235A">
                    <w:pPr>
                      <w:spacing w:after="0" w:line="240" w:lineRule="auto"/>
                      <w:jc w:val="center"/>
                      <w:rPr>
                        <w:rFonts w:ascii="Arial" w:hAnsi="Arial" w:cs="Arial"/>
                        <w:color w:val="FFFFFF" w:themeColor="background2"/>
                        <w:sz w:val="18"/>
                        <w:szCs w:val="18"/>
                      </w:rPr>
                    </w:pPr>
                    <w:r w:rsidRPr="00F5235A">
                      <w:rPr>
                        <w:rFonts w:ascii="Arial" w:hAnsi="Arial" w:cs="Arial"/>
                        <w:color w:val="FFFFFF" w:themeColor="background2"/>
                        <w:sz w:val="18"/>
                        <w:szCs w:val="18"/>
                      </w:rPr>
                      <w:fldChar w:fldCharType="begin"/>
                    </w:r>
                    <w:r w:rsidRPr="00F5235A">
                      <w:rPr>
                        <w:rFonts w:ascii="Arial" w:hAnsi="Arial" w:cs="Arial"/>
                        <w:color w:val="FFFFFF" w:themeColor="background2"/>
                        <w:sz w:val="18"/>
                        <w:szCs w:val="18"/>
                      </w:rPr>
                      <w:instrText xml:space="preserve"> PAGE  \* Arabic </w:instrText>
                    </w:r>
                    <w:r w:rsidRPr="00F5235A">
                      <w:rPr>
                        <w:rFonts w:ascii="Arial" w:hAnsi="Arial" w:cs="Arial"/>
                        <w:color w:val="FFFFFF" w:themeColor="background2"/>
                        <w:sz w:val="18"/>
                        <w:szCs w:val="18"/>
                      </w:rPr>
                      <w:fldChar w:fldCharType="separate"/>
                    </w:r>
                    <w:r w:rsidR="00CE4468">
                      <w:rPr>
                        <w:rFonts w:ascii="Arial" w:hAnsi="Arial" w:cs="Arial"/>
                        <w:noProof/>
                        <w:color w:val="FFFFFF" w:themeColor="background2"/>
                        <w:sz w:val="18"/>
                        <w:szCs w:val="18"/>
                      </w:rPr>
                      <w:t>1</w:t>
                    </w:r>
                    <w:r w:rsidRPr="00F5235A">
                      <w:rPr>
                        <w:rFonts w:ascii="Arial" w:hAnsi="Arial" w:cs="Arial"/>
                        <w:color w:val="FFFFFF" w:themeColor="background2"/>
                        <w:sz w:val="18"/>
                        <w:szCs w:val="18"/>
                      </w:rPr>
                      <w:fldChar w:fldCharType="end"/>
                    </w:r>
                  </w:p>
                </w:txbxContent>
              </v:textbox>
            </v:shape>
          </w:pict>
        </mc:Fallback>
      </mc:AlternateContent>
    </w:r>
    <w:r>
      <w:t>National Consensus Statement:</w:t>
    </w:r>
  </w:p>
  <w:p w14:paraId="7DE3ECC5" w14:textId="77777777" w:rsidR="00DD4C20" w:rsidRDefault="00DD4C20" w:rsidP="008C6B20">
    <w:pPr>
      <w:pStyle w:val="FooterSubheading"/>
      <w:ind w:right="625"/>
    </w:pPr>
    <w:r>
      <w:t>Essential elements for recognising and responding to deterioration in a person’s mental state</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3292C" w14:textId="77777777" w:rsidR="00DD4C20" w:rsidRPr="008C6B20" w:rsidRDefault="00DD4C20" w:rsidP="008C6B20">
    <w:pPr>
      <w:pStyle w:val="Footer"/>
      <w:tabs>
        <w:tab w:val="clear" w:pos="4513"/>
        <w:tab w:val="clear" w:pos="9026"/>
      </w:tabs>
      <w:ind w:left="588"/>
    </w:pPr>
    <w:r>
      <w:rPr>
        <w:noProof/>
        <w:lang w:val="en-AU" w:eastAsia="en-AU"/>
      </w:rPr>
      <mc:AlternateContent>
        <mc:Choice Requires="wps">
          <w:drawing>
            <wp:anchor distT="0" distB="0" distL="114300" distR="114300" simplePos="0" relativeHeight="251721728" behindDoc="0" locked="0" layoutInCell="1" allowOverlap="1" wp14:anchorId="7F11E643" wp14:editId="6CBBA1AE">
              <wp:simplePos x="0" y="0"/>
              <wp:positionH relativeFrom="margin">
                <wp:posOffset>-35849</wp:posOffset>
              </wp:positionH>
              <wp:positionV relativeFrom="paragraph">
                <wp:posOffset>13335</wp:posOffset>
              </wp:positionV>
              <wp:extent cx="335973" cy="211282"/>
              <wp:effectExtent l="0" t="0" r="0" b="0"/>
              <wp:wrapNone/>
              <wp:docPr id="9" name="Text Box 9"/>
              <wp:cNvGraphicFramePr/>
              <a:graphic xmlns:a="http://schemas.openxmlformats.org/drawingml/2006/main">
                <a:graphicData uri="http://schemas.microsoft.com/office/word/2010/wordprocessingShape">
                  <wps:wsp>
                    <wps:cNvSpPr txBox="1"/>
                    <wps:spPr>
                      <a:xfrm>
                        <a:off x="0" y="0"/>
                        <a:ext cx="335973" cy="211282"/>
                      </a:xfrm>
                      <a:prstGeom prst="rect">
                        <a:avLst/>
                      </a:prstGeom>
                      <a:noFill/>
                      <a:ln w="6350">
                        <a:noFill/>
                      </a:ln>
                    </wps:spPr>
                    <wps:txbx>
                      <w:txbxContent>
                        <w:p w14:paraId="25461763" w14:textId="662D63DB" w:rsidR="00DD4C20" w:rsidRPr="00F5235A" w:rsidRDefault="00DD4C20" w:rsidP="00F5235A">
                          <w:pPr>
                            <w:spacing w:after="0" w:line="240" w:lineRule="auto"/>
                            <w:jc w:val="center"/>
                            <w:rPr>
                              <w:rFonts w:ascii="Arial" w:hAnsi="Arial" w:cs="Arial"/>
                              <w:color w:val="FFFFFF" w:themeColor="background2"/>
                              <w:sz w:val="18"/>
                              <w:szCs w:val="18"/>
                            </w:rPr>
                          </w:pPr>
                          <w:r w:rsidRPr="00F5235A">
                            <w:rPr>
                              <w:rFonts w:ascii="Arial" w:hAnsi="Arial" w:cs="Arial"/>
                              <w:color w:val="FFFFFF" w:themeColor="background2"/>
                              <w:sz w:val="18"/>
                              <w:szCs w:val="18"/>
                            </w:rPr>
                            <w:fldChar w:fldCharType="begin"/>
                          </w:r>
                          <w:r w:rsidRPr="00F5235A">
                            <w:rPr>
                              <w:rFonts w:ascii="Arial" w:hAnsi="Arial" w:cs="Arial"/>
                              <w:color w:val="FFFFFF" w:themeColor="background2"/>
                              <w:sz w:val="18"/>
                              <w:szCs w:val="18"/>
                            </w:rPr>
                            <w:instrText xml:space="preserve"> PAGE  \* Arabic </w:instrText>
                          </w:r>
                          <w:r w:rsidRPr="00F5235A">
                            <w:rPr>
                              <w:rFonts w:ascii="Arial" w:hAnsi="Arial" w:cs="Arial"/>
                              <w:color w:val="FFFFFF" w:themeColor="background2"/>
                              <w:sz w:val="18"/>
                              <w:szCs w:val="18"/>
                            </w:rPr>
                            <w:fldChar w:fldCharType="separate"/>
                          </w:r>
                          <w:r w:rsidR="00CE4468">
                            <w:rPr>
                              <w:rFonts w:ascii="Arial" w:hAnsi="Arial" w:cs="Arial"/>
                              <w:noProof/>
                              <w:color w:val="FFFFFF" w:themeColor="background2"/>
                              <w:sz w:val="18"/>
                              <w:szCs w:val="18"/>
                            </w:rPr>
                            <w:t>2</w:t>
                          </w:r>
                          <w:r w:rsidRPr="00F5235A">
                            <w:rPr>
                              <w:rFonts w:ascii="Arial" w:hAnsi="Arial" w:cs="Arial"/>
                              <w:color w:val="FFFFFF" w:themeColor="background2"/>
                              <w:sz w:val="18"/>
                              <w:szCs w:val="1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 o:spid="_x0000_s1027" type="#_x0000_t202" style="position:absolute;left:0;text-align:left;margin-left:-2.8pt;margin-top:1.05pt;width:26.45pt;height:16.65pt;z-index:251721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9vLwIAAFcEAAAOAAAAZHJzL2Uyb0RvYy54bWysVFFv2jAQfp+0/2D5fYQEaAsiVKwV06Sq&#10;rQRTn41jk0i2z7MNCfv1OztAUbenaS/mfHe58/d9d8zvO63IQTjfgClpPhhSIgyHqjG7kv7YrL7c&#10;UeIDMxVTYERJj8LT+8XnT/PWzkQBNahKOIJFjJ+1tqR1CHaWZZ7XQjM/ACsMBiU4zQJe3S6rHGux&#10;ulZZMRzeZC24yjrgwnv0PvZBukj1pRQ8vEjpRSCqpPi2kE6Xzm08s8WczXaO2brhp2ewf3iFZo3B&#10;ppdSjywwsnfNH6V0wx14kGHAQWcgZcNFwoBo8uEHNOuaWZGwIDneXmjy/68sfz68OtJUJZ1SYphG&#10;iTaiC+QrdGQa2Wmtn2HS2mJa6NCNKp/9Hp0RdCedjr8Ih2AceT5euI3FODpHo8n0dkQJx1CR58Vd&#10;Eatk7x9b58M3AZpEo6QOpUuMssOTD33qOSX2MrBqlEryKUPakt6MJsP0wSWCxZXBHhFC/9RohW7b&#10;JcAXGFuojojOQT8d3vJVg294Yj68MofjgIBwxMMLHlIB9oKTRUkN7tff/DEfVcIoJS2OV0n9zz1z&#10;ghL13aB+03w8jvOYLuPJbYEXdx3ZXkfMXj8ATnCOy2R5MmN+UGdTOtBvuAnL2BVDzHDsXdJwNh9C&#10;P/S4SVwslykJJ9Cy8GTWlsfSkdXI8KZ7Y86eZAio3zOcB5HNPqjR5/Z6LPcBZJOkijz3rJ7ox+lN&#10;Yp82La7H9T1lvf8fLH4DAAD//wMAUEsDBBQABgAIAAAAIQCfCl8t3wAAAAYBAAAPAAAAZHJzL2Rv&#10;d25yZXYueG1sTI7BTsJAFEX3Jv7D5Jm4gymFIil9JaQJMTG6ANmwe+0MbWPnTe0MUP16x5Uub+7N&#10;uSfbjKYTVz241jLCbBqB0FxZ1XKNcHzfTVYgnCdW1FnWCF/awSa/v8soVfbGe309+FoECLuUEBrv&#10;+1RKVzXakJvaXnPoznYw5EMcaqkGugW46WQcRUtpqOXw0FCvi0ZXH4eLQXgpdm+0L2Oz+u6K59fz&#10;tv88nhLEx4dxuwbh9ej/xvCrH9QhD06lvbByokOYJMuwRIhnIEK9eJqDKBHmyQJknsn/+vkPAAAA&#10;//8DAFBLAQItABQABgAIAAAAIQC2gziS/gAAAOEBAAATAAAAAAAAAAAAAAAAAAAAAABbQ29udGVu&#10;dF9UeXBlc10ueG1sUEsBAi0AFAAGAAgAAAAhADj9If/WAAAAlAEAAAsAAAAAAAAAAAAAAAAALwEA&#10;AF9yZWxzLy5yZWxzUEsBAi0AFAAGAAgAAAAhACxD/28vAgAAVwQAAA4AAAAAAAAAAAAAAAAALgIA&#10;AGRycy9lMm9Eb2MueG1sUEsBAi0AFAAGAAgAAAAhAJ8KXy3fAAAABgEAAA8AAAAAAAAAAAAAAAAA&#10;iQQAAGRycy9kb3ducmV2LnhtbFBLBQYAAAAABAAEAPMAAACVBQAAAAA=&#10;" filled="f" stroked="f" strokeweight=".5pt">
              <v:textbox>
                <w:txbxContent>
                  <w:p w14:paraId="25461763" w14:textId="662D63DB" w:rsidR="00DD4C20" w:rsidRPr="00F5235A" w:rsidRDefault="00DD4C20" w:rsidP="00F5235A">
                    <w:pPr>
                      <w:spacing w:after="0" w:line="240" w:lineRule="auto"/>
                      <w:jc w:val="center"/>
                      <w:rPr>
                        <w:rFonts w:ascii="Arial" w:hAnsi="Arial" w:cs="Arial"/>
                        <w:color w:val="FFFFFF" w:themeColor="background2"/>
                        <w:sz w:val="18"/>
                        <w:szCs w:val="18"/>
                      </w:rPr>
                    </w:pPr>
                    <w:r w:rsidRPr="00F5235A">
                      <w:rPr>
                        <w:rFonts w:ascii="Arial" w:hAnsi="Arial" w:cs="Arial"/>
                        <w:color w:val="FFFFFF" w:themeColor="background2"/>
                        <w:sz w:val="18"/>
                        <w:szCs w:val="18"/>
                      </w:rPr>
                      <w:fldChar w:fldCharType="begin"/>
                    </w:r>
                    <w:r w:rsidRPr="00F5235A">
                      <w:rPr>
                        <w:rFonts w:ascii="Arial" w:hAnsi="Arial" w:cs="Arial"/>
                        <w:color w:val="FFFFFF" w:themeColor="background2"/>
                        <w:sz w:val="18"/>
                        <w:szCs w:val="18"/>
                      </w:rPr>
                      <w:instrText xml:space="preserve"> PAGE  \* Arabic </w:instrText>
                    </w:r>
                    <w:r w:rsidRPr="00F5235A">
                      <w:rPr>
                        <w:rFonts w:ascii="Arial" w:hAnsi="Arial" w:cs="Arial"/>
                        <w:color w:val="FFFFFF" w:themeColor="background2"/>
                        <w:sz w:val="18"/>
                        <w:szCs w:val="18"/>
                      </w:rPr>
                      <w:fldChar w:fldCharType="separate"/>
                    </w:r>
                    <w:r w:rsidR="00CE4468">
                      <w:rPr>
                        <w:rFonts w:ascii="Arial" w:hAnsi="Arial" w:cs="Arial"/>
                        <w:noProof/>
                        <w:color w:val="FFFFFF" w:themeColor="background2"/>
                        <w:sz w:val="18"/>
                        <w:szCs w:val="18"/>
                      </w:rPr>
                      <w:t>2</w:t>
                    </w:r>
                    <w:r w:rsidRPr="00F5235A">
                      <w:rPr>
                        <w:rFonts w:ascii="Arial" w:hAnsi="Arial" w:cs="Arial"/>
                        <w:color w:val="FFFFFF" w:themeColor="background2"/>
                        <w:sz w:val="18"/>
                        <w:szCs w:val="18"/>
                      </w:rPr>
                      <w:fldChar w:fldCharType="end"/>
                    </w:r>
                  </w:p>
                </w:txbxContent>
              </v:textbox>
              <w10:wrap anchorx="margin"/>
            </v:shape>
          </w:pict>
        </mc:Fallback>
      </mc:AlternateContent>
    </w:r>
    <w:r w:rsidRPr="008C6B20">
      <w:t xml:space="preserve">National Consensus Statement: </w:t>
    </w:r>
  </w:p>
  <w:p w14:paraId="1C7F45AB" w14:textId="77777777" w:rsidR="00DD4C20" w:rsidRDefault="00DD4C20" w:rsidP="008C6B20">
    <w:pPr>
      <w:pStyle w:val="FooterSubheading"/>
      <w:ind w:left="588"/>
      <w:jc w:val="left"/>
    </w:pPr>
    <w:r>
      <w:t>Essential elements for recognising and responding to deterioration in a person’s mental state</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9C694" w14:textId="77777777" w:rsidR="00DD4C20" w:rsidRDefault="00DD4C20" w:rsidP="00E31EC0">
    <w:pPr>
      <w:pStyle w:val="Footer"/>
      <w:tabs>
        <w:tab w:val="clear" w:pos="4513"/>
        <w:tab w:val="clear" w:pos="9026"/>
      </w:tabs>
      <w:ind w:right="639"/>
      <w:jc w:val="right"/>
    </w:pPr>
    <w:r>
      <w:rPr>
        <w:noProof/>
        <w:lang w:val="en-AU" w:eastAsia="en-AU"/>
      </w:rPr>
      <mc:AlternateContent>
        <mc:Choice Requires="wps">
          <w:drawing>
            <wp:anchor distT="0" distB="0" distL="114300" distR="114300" simplePos="0" relativeHeight="251723776" behindDoc="0" locked="0" layoutInCell="1" allowOverlap="1" wp14:anchorId="75368E76" wp14:editId="4904479E">
              <wp:simplePos x="0" y="0"/>
              <wp:positionH relativeFrom="column">
                <wp:posOffset>5980776</wp:posOffset>
              </wp:positionH>
              <wp:positionV relativeFrom="paragraph">
                <wp:posOffset>20320</wp:posOffset>
              </wp:positionV>
              <wp:extent cx="329045" cy="211282"/>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29045" cy="211282"/>
                      </a:xfrm>
                      <a:prstGeom prst="rect">
                        <a:avLst/>
                      </a:prstGeom>
                      <a:noFill/>
                      <a:ln w="6350">
                        <a:noFill/>
                      </a:ln>
                    </wps:spPr>
                    <wps:txbx>
                      <w:txbxContent>
                        <w:p w14:paraId="3BEC95DF" w14:textId="1E259D22" w:rsidR="00DD4C20" w:rsidRPr="00F5235A" w:rsidRDefault="00DD4C20" w:rsidP="00F5235A">
                          <w:pPr>
                            <w:spacing w:after="0" w:line="240" w:lineRule="auto"/>
                            <w:jc w:val="center"/>
                            <w:rPr>
                              <w:rFonts w:ascii="Arial" w:hAnsi="Arial" w:cs="Arial"/>
                              <w:color w:val="FFFFFF" w:themeColor="background2"/>
                              <w:sz w:val="18"/>
                              <w:szCs w:val="18"/>
                            </w:rPr>
                          </w:pPr>
                          <w:r w:rsidRPr="00F5235A">
                            <w:rPr>
                              <w:rFonts w:ascii="Arial" w:hAnsi="Arial" w:cs="Arial"/>
                              <w:color w:val="FFFFFF" w:themeColor="background2"/>
                              <w:sz w:val="18"/>
                              <w:szCs w:val="18"/>
                            </w:rPr>
                            <w:fldChar w:fldCharType="begin"/>
                          </w:r>
                          <w:r w:rsidRPr="00F5235A">
                            <w:rPr>
                              <w:rFonts w:ascii="Arial" w:hAnsi="Arial" w:cs="Arial"/>
                              <w:color w:val="FFFFFF" w:themeColor="background2"/>
                              <w:sz w:val="18"/>
                              <w:szCs w:val="18"/>
                            </w:rPr>
                            <w:instrText xml:space="preserve"> PAGE  \* Arabic </w:instrText>
                          </w:r>
                          <w:r w:rsidRPr="00F5235A">
                            <w:rPr>
                              <w:rFonts w:ascii="Arial" w:hAnsi="Arial" w:cs="Arial"/>
                              <w:color w:val="FFFFFF" w:themeColor="background2"/>
                              <w:sz w:val="18"/>
                              <w:szCs w:val="18"/>
                            </w:rPr>
                            <w:fldChar w:fldCharType="separate"/>
                          </w:r>
                          <w:r w:rsidR="00CE4468">
                            <w:rPr>
                              <w:rFonts w:ascii="Arial" w:hAnsi="Arial" w:cs="Arial"/>
                              <w:noProof/>
                              <w:color w:val="FFFFFF" w:themeColor="background2"/>
                              <w:sz w:val="18"/>
                              <w:szCs w:val="18"/>
                            </w:rPr>
                            <w:t>3</w:t>
                          </w:r>
                          <w:r w:rsidRPr="00F5235A">
                            <w:rPr>
                              <w:rFonts w:ascii="Arial" w:hAnsi="Arial" w:cs="Arial"/>
                              <w:color w:val="FFFFFF" w:themeColor="background2"/>
                              <w:sz w:val="18"/>
                              <w:szCs w:val="1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0" o:spid="_x0000_s1028" type="#_x0000_t202" style="position:absolute;left:0;text-align:left;margin-left:470.95pt;margin-top:1.6pt;width:25.9pt;height:16.6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KLgIAAFkEAAAOAAAAZHJzL2Uyb0RvYy54bWysVMlu2zAQvRfoPxC811pip4lgOXATuChg&#10;JAHsIGeaIi0BIoclaUvu13dIeUPaU9ELPZwZvVneo6cPvWrJXljXgC5pNkopEZpD1ehtSd/Wiy93&#10;lDjPdMVa0KKkB+How+zzp2lnCpFDDW0lLEEQ7YrOlLT23hRJ4ngtFHMjMEJjUIJVzOPVbpPKsg7R&#10;VZvkaXqbdGArY4EL59D7NATpLOJLKbh/kdIJT9qSYm8+njaem3AmsykrtpaZuuHHNtg/dKFYo7Ho&#10;GeqJeUZ2tvkDSjXcggPpRxxUAlI2XMQZcJos/TDNqmZGxFlwOc6c1+T+Hyx/3r9a0lTIHa5HM4Uc&#10;rUXvyTfoCbpwP51xBaatDCb6Hv2Ye/I7dIaxe2lV+MWBCMYR6nDebkDj6LzJ79PxhBKOoTzL8rs8&#10;oCSXj411/rsARYJRUovkxZ2y/dL5IfWUEmppWDRtGwlsNelKenszSeMH5wiCtxprhBGGVoPl+00f&#10;R44NBM8GqgNOZ2HQhzN80WAPS+b8K7MoCBwIRe5f8JAtYC04WpTUYH/9zR/ykSeMUtKhwErqfu6Y&#10;FZS0PzQyeJ+Nx0GR8TKefM3xYq8jm+uI3qlHQA1n+JwMj2bI9+3JlBbUO76FeaiKIaY51i6pP5mP&#10;fpA9viUu5vOYhBo0zC/1yvAAHbYaNrzu35k1Rxo88vcMJymy4gMbQ+7Ax3znQTaRqstWj+tH/Uay&#10;j28tPJDre8y6/CPMfgMAAP//AwBQSwMEFAAGAAgAAAAhAC2CXsDgAAAACAEAAA8AAABkcnMvZG93&#10;bnJldi54bWxMj0FPwkAUhO8m/ofNM/EmW4ogrd0S0oSYGD2AXLy9dpe2sfu2dheo/HofJz1OZjLz&#10;TbYabSdOZvCtIwXTSQTCUOV0S7WC/cfmYQnCBySNnSOj4Md4WOW3Nxmm2p1pa067UAsuIZ+igiaE&#10;PpXSV42x6CeuN8TewQ0WA8uhlnrAM5fbTsZRtJAWW+KFBntTNKb62h2tgtdi847bMrbLS1e8vB3W&#10;/ff+c67U/d24fgYRzBj+wnDFZ3TImal0R9JedAqSx2nCUQWzGAT7STJ7AlGyXsxB5pn8fyD/BQAA&#10;//8DAFBLAQItABQABgAIAAAAIQC2gziS/gAAAOEBAAATAAAAAAAAAAAAAAAAAAAAAABbQ29udGVu&#10;dF9UeXBlc10ueG1sUEsBAi0AFAAGAAgAAAAhADj9If/WAAAAlAEAAAsAAAAAAAAAAAAAAAAALwEA&#10;AF9yZWxzLy5yZWxzUEsBAi0AFAAGAAgAAAAhAINr+8ouAgAAWQQAAA4AAAAAAAAAAAAAAAAALgIA&#10;AGRycy9lMm9Eb2MueG1sUEsBAi0AFAAGAAgAAAAhAC2CXsDgAAAACAEAAA8AAAAAAAAAAAAAAAAA&#10;iAQAAGRycy9kb3ducmV2LnhtbFBLBQYAAAAABAAEAPMAAACVBQAAAAA=&#10;" filled="f" stroked="f" strokeweight=".5pt">
              <v:textbox>
                <w:txbxContent>
                  <w:p w14:paraId="3BEC95DF" w14:textId="1E259D22" w:rsidR="00DD4C20" w:rsidRPr="00F5235A" w:rsidRDefault="00DD4C20" w:rsidP="00F5235A">
                    <w:pPr>
                      <w:spacing w:after="0" w:line="240" w:lineRule="auto"/>
                      <w:jc w:val="center"/>
                      <w:rPr>
                        <w:rFonts w:ascii="Arial" w:hAnsi="Arial" w:cs="Arial"/>
                        <w:color w:val="FFFFFF" w:themeColor="background2"/>
                        <w:sz w:val="18"/>
                        <w:szCs w:val="18"/>
                      </w:rPr>
                    </w:pPr>
                    <w:r w:rsidRPr="00F5235A">
                      <w:rPr>
                        <w:rFonts w:ascii="Arial" w:hAnsi="Arial" w:cs="Arial"/>
                        <w:color w:val="FFFFFF" w:themeColor="background2"/>
                        <w:sz w:val="18"/>
                        <w:szCs w:val="18"/>
                      </w:rPr>
                      <w:fldChar w:fldCharType="begin"/>
                    </w:r>
                    <w:r w:rsidRPr="00F5235A">
                      <w:rPr>
                        <w:rFonts w:ascii="Arial" w:hAnsi="Arial" w:cs="Arial"/>
                        <w:color w:val="FFFFFF" w:themeColor="background2"/>
                        <w:sz w:val="18"/>
                        <w:szCs w:val="18"/>
                      </w:rPr>
                      <w:instrText xml:space="preserve"> PAGE  \* Arabic </w:instrText>
                    </w:r>
                    <w:r w:rsidRPr="00F5235A">
                      <w:rPr>
                        <w:rFonts w:ascii="Arial" w:hAnsi="Arial" w:cs="Arial"/>
                        <w:color w:val="FFFFFF" w:themeColor="background2"/>
                        <w:sz w:val="18"/>
                        <w:szCs w:val="18"/>
                      </w:rPr>
                      <w:fldChar w:fldCharType="separate"/>
                    </w:r>
                    <w:r w:rsidR="00CE4468">
                      <w:rPr>
                        <w:rFonts w:ascii="Arial" w:hAnsi="Arial" w:cs="Arial"/>
                        <w:noProof/>
                        <w:color w:val="FFFFFF" w:themeColor="background2"/>
                        <w:sz w:val="18"/>
                        <w:szCs w:val="18"/>
                      </w:rPr>
                      <w:t>3</w:t>
                    </w:r>
                    <w:r w:rsidRPr="00F5235A">
                      <w:rPr>
                        <w:rFonts w:ascii="Arial" w:hAnsi="Arial" w:cs="Arial"/>
                        <w:color w:val="FFFFFF" w:themeColor="background2"/>
                        <w:sz w:val="18"/>
                        <w:szCs w:val="18"/>
                      </w:rPr>
                      <w:fldChar w:fldCharType="end"/>
                    </w:r>
                  </w:p>
                </w:txbxContent>
              </v:textbox>
            </v:shape>
          </w:pict>
        </mc:Fallback>
      </mc:AlternateContent>
    </w:r>
    <w:r>
      <w:t>National Consensus Statement:</w:t>
    </w:r>
  </w:p>
  <w:p w14:paraId="61240749" w14:textId="77777777" w:rsidR="00DD4C20" w:rsidRDefault="00DD4C20" w:rsidP="008C6B20">
    <w:pPr>
      <w:pStyle w:val="FooterSubheading"/>
      <w:ind w:right="625"/>
    </w:pPr>
    <w:r>
      <w:t>Essential elements for recognising and responding to deterioration in a person’s mental state</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AC036" w14:textId="77777777" w:rsidR="00DD4C20" w:rsidRDefault="00DD4C20" w:rsidP="008C6B20">
    <w:pPr>
      <w:pStyle w:val="FooterSubheading"/>
      <w:ind w:left="588"/>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D0B518" w14:textId="77777777" w:rsidR="00801C52" w:rsidRDefault="00801C52" w:rsidP="000424DD">
      <w:pPr>
        <w:spacing w:after="0" w:line="240" w:lineRule="auto"/>
      </w:pPr>
      <w:r>
        <w:separator/>
      </w:r>
    </w:p>
  </w:footnote>
  <w:footnote w:type="continuationSeparator" w:id="0">
    <w:p w14:paraId="526A8A72" w14:textId="77777777" w:rsidR="00801C52" w:rsidRDefault="00801C52" w:rsidP="000424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D72672" w14:textId="77777777" w:rsidR="00CE4468" w:rsidRDefault="00CE446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F25BBE" w14:textId="77777777" w:rsidR="00DD4C20" w:rsidRDefault="00DD4C20" w:rsidP="001D7CBF">
    <w:pPr>
      <w:pStyle w:val="Heading1"/>
    </w:pPr>
    <w:r>
      <w:rPr>
        <w:noProof/>
        <w:lang w:val="en-AU" w:eastAsia="en-AU"/>
      </w:rPr>
      <w:drawing>
        <wp:anchor distT="0" distB="0" distL="114300" distR="114300" simplePos="0" relativeHeight="251671552" behindDoc="1" locked="0" layoutInCell="1" allowOverlap="1" wp14:anchorId="417AD8DB" wp14:editId="20DE2F2A">
          <wp:simplePos x="647700" y="861060"/>
          <wp:positionH relativeFrom="page">
            <wp:align>center</wp:align>
          </wp:positionH>
          <wp:positionV relativeFrom="page">
            <wp:align>top</wp:align>
          </wp:positionV>
          <wp:extent cx="7558405" cy="10691495"/>
          <wp:effectExtent l="0" t="0" r="4445" b="0"/>
          <wp:wrapNone/>
          <wp:docPr id="12" name="Picture 12"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cstate="print">
                    <a:extLst>
                      <a:ext uri="{28A0092B-C50C-407E-A947-70E740481C1C}">
                        <a14:useLocalDpi xmlns:a14="http://schemas.microsoft.com/office/drawing/2010/main"/>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r w:rsidRPr="002351B2">
      <w:t>Guiding principles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9881E" w14:textId="77777777" w:rsidR="00DD4C20" w:rsidRDefault="00DD4C20" w:rsidP="009B382F">
    <w:pPr>
      <w:pStyle w:val="Heading1"/>
    </w:pPr>
    <w:r>
      <w:rPr>
        <w:noProof/>
        <w:lang w:val="en-AU" w:eastAsia="en-AU"/>
      </w:rPr>
      <w:drawing>
        <wp:anchor distT="0" distB="0" distL="114300" distR="114300" simplePos="0" relativeHeight="251669504" behindDoc="1" locked="0" layoutInCell="1" allowOverlap="1" wp14:anchorId="06C41D6D" wp14:editId="2CA996CC">
          <wp:simplePos x="914400" y="451757"/>
          <wp:positionH relativeFrom="page">
            <wp:align>center</wp:align>
          </wp:positionH>
          <wp:positionV relativeFrom="page">
            <wp:align>top</wp:align>
          </wp:positionV>
          <wp:extent cx="7558767" cy="10691997"/>
          <wp:effectExtent l="0" t="0" r="4445" b="0"/>
          <wp:wrapNone/>
          <wp:docPr id="13" name="Picture 13"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cstate="print">
                    <a:extLst>
                      <a:ext uri="{28A0092B-C50C-407E-A947-70E740481C1C}">
                        <a14:useLocalDpi xmlns:a14="http://schemas.microsoft.com/office/drawing/2010/main"/>
                      </a:ext>
                    </a:extLst>
                  </a:blip>
                  <a:stretch>
                    <a:fillRect/>
                  </a:stretch>
                </pic:blipFill>
                <pic:spPr>
                  <a:xfrm>
                    <a:off x="0" y="0"/>
                    <a:ext cx="7558767" cy="10691997"/>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F0256" w14:textId="77777777" w:rsidR="00DD4C20" w:rsidRDefault="00DD4C20" w:rsidP="001D7CBF">
    <w:pPr>
      <w:pStyle w:val="Heading1"/>
    </w:pPr>
    <w:r>
      <w:rPr>
        <w:noProof/>
        <w:lang w:val="en-AU" w:eastAsia="en-AU"/>
      </w:rPr>
      <w:drawing>
        <wp:anchor distT="0" distB="0" distL="114300" distR="114300" simplePos="0" relativeHeight="251677696" behindDoc="1" locked="0" layoutInCell="1" allowOverlap="1" wp14:anchorId="010ACC6E" wp14:editId="6E563C11">
          <wp:simplePos x="647700" y="861060"/>
          <wp:positionH relativeFrom="page">
            <wp:align>center</wp:align>
          </wp:positionH>
          <wp:positionV relativeFrom="page">
            <wp:align>top</wp:align>
          </wp:positionV>
          <wp:extent cx="7558767" cy="10691999"/>
          <wp:effectExtent l="0" t="0" r="4445" b="0"/>
          <wp:wrapNone/>
          <wp:docPr id="16" name="Picture 16"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r w:rsidRPr="002351B2">
      <w:t>Guiding principles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5F841" w14:textId="77777777" w:rsidR="00DD4C20" w:rsidRDefault="00DD4C20" w:rsidP="009B382F">
    <w:pPr>
      <w:pStyle w:val="Heading1"/>
    </w:pPr>
    <w:r>
      <w:rPr>
        <w:noProof/>
        <w:lang w:val="en-AU" w:eastAsia="en-AU"/>
      </w:rPr>
      <w:drawing>
        <wp:anchor distT="0" distB="0" distL="114300" distR="114300" simplePos="0" relativeHeight="251675648" behindDoc="1" locked="0" layoutInCell="1" allowOverlap="1" wp14:anchorId="490CAABF" wp14:editId="05FF40F6">
          <wp:simplePos x="914400" y="451757"/>
          <wp:positionH relativeFrom="page">
            <wp:align>center</wp:align>
          </wp:positionH>
          <wp:positionV relativeFrom="page">
            <wp:align>top</wp:align>
          </wp:positionV>
          <wp:extent cx="7558405" cy="10691495"/>
          <wp:effectExtent l="0" t="0" r="4445" b="0"/>
          <wp:wrapNone/>
          <wp:docPr id="15" name="Picture 15"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cstate="print">
                    <a:extLst>
                      <a:ext uri="{28A0092B-C50C-407E-A947-70E740481C1C}">
                        <a14:useLocalDpi xmlns:a14="http://schemas.microsoft.com/office/drawing/2010/main"/>
                      </a:ext>
                    </a:extLst>
                  </a:blip>
                  <a:stretch>
                    <a:fillRect/>
                  </a:stretch>
                </pic:blipFill>
                <pic:spPr>
                  <a:xfrm>
                    <a:off x="0" y="0"/>
                    <a:ext cx="7558766" cy="10691997"/>
                  </a:xfrm>
                  <a:prstGeom prst="rect">
                    <a:avLst/>
                  </a:prstGeom>
                </pic:spPr>
              </pic:pic>
            </a:graphicData>
          </a:graphic>
          <wp14:sizeRelH relativeFrom="margin">
            <wp14:pctWidth>0</wp14:pctWidth>
          </wp14:sizeRelH>
          <wp14:sizeRelV relativeFrom="margin">
            <wp14:pctHeight>0</wp14:pctHeight>
          </wp14:sizeRelV>
        </wp:anchor>
      </w:drawing>
    </w:r>
    <w:r w:rsidRPr="002351B2">
      <w:t>Essential elements</w:t>
    </w:r>
    <w:r>
      <w:rPr>
        <w:noProof/>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BD8DB0" w14:textId="77777777" w:rsidR="00DD4C20" w:rsidRDefault="00DD4C20" w:rsidP="001D7CBF">
    <w:pPr>
      <w:pStyle w:val="Heading1"/>
    </w:pPr>
    <w:r>
      <w:rPr>
        <w:noProof/>
        <w:lang w:val="en-AU" w:eastAsia="en-AU"/>
      </w:rPr>
      <w:drawing>
        <wp:anchor distT="0" distB="0" distL="114300" distR="114300" simplePos="0" relativeHeight="251679744" behindDoc="1" locked="0" layoutInCell="1" allowOverlap="1" wp14:anchorId="2C6BD7D0" wp14:editId="4043141D">
          <wp:simplePos x="647700" y="861060"/>
          <wp:positionH relativeFrom="page">
            <wp:align>center</wp:align>
          </wp:positionH>
          <wp:positionV relativeFrom="page">
            <wp:align>top</wp:align>
          </wp:positionV>
          <wp:extent cx="7558768" cy="10691999"/>
          <wp:effectExtent l="0" t="0" r="4445" b="0"/>
          <wp:wrapNone/>
          <wp:docPr id="17" name="Picture 17"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cstate="print">
                    <a:extLst>
                      <a:ext uri="{28A0092B-C50C-407E-A947-70E740481C1C}">
                        <a14:useLocalDpi xmlns:a14="http://schemas.microsoft.com/office/drawing/2010/main"/>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3899C1" w14:textId="77777777" w:rsidR="00DD4C20" w:rsidRDefault="00DD4C20" w:rsidP="005722AE">
    <w:pPr>
      <w:pStyle w:val="PartTitle"/>
    </w:pPr>
    <w:r>
      <w:rPr>
        <w:noProof/>
        <w:lang w:val="en-AU" w:eastAsia="en-AU"/>
      </w:rPr>
      <w:drawing>
        <wp:anchor distT="0" distB="0" distL="114300" distR="114300" simplePos="0" relativeHeight="251673600" behindDoc="1" locked="0" layoutInCell="1" allowOverlap="1" wp14:anchorId="6867764C" wp14:editId="643232AD">
          <wp:simplePos x="914400" y="451757"/>
          <wp:positionH relativeFrom="page">
            <wp:align>center</wp:align>
          </wp:positionH>
          <wp:positionV relativeFrom="page">
            <wp:align>top</wp:align>
          </wp:positionV>
          <wp:extent cx="7558766" cy="10691996"/>
          <wp:effectExtent l="0" t="0" r="4445" b="0"/>
          <wp:wrapNone/>
          <wp:docPr id="14" name="Picture 14"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6" cy="10691996"/>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E55AAA" w14:textId="77777777" w:rsidR="00DD4C20" w:rsidRDefault="00DD4C20" w:rsidP="002443D8">
    <w:pPr>
      <w:pStyle w:val="Heading1"/>
    </w:pPr>
    <w:r>
      <w:t>1.</w:t>
    </w:r>
    <w:r>
      <w:t> </w:t>
    </w:r>
    <w:r>
      <w:t>Recognising deterioration in a</w:t>
    </w:r>
    <w:r>
      <w:rPr>
        <w:rFonts w:ascii="Cambria Math" w:hAnsi="Cambria Math" w:cs="Cambria Math"/>
      </w:rPr>
      <w:t> </w:t>
    </w:r>
    <w:r>
      <w:t>person’s</w:t>
    </w:r>
    <w:r>
      <w:rPr>
        <w:rFonts w:ascii="Cambria Math" w:hAnsi="Cambria Math" w:cs="Cambria Math"/>
      </w:rPr>
      <w:t> </w:t>
    </w:r>
    <w:r>
      <w:t xml:space="preserve">mental state </w:t>
    </w:r>
    <w:r>
      <w:rPr>
        <w:noProof/>
      </w:rPr>
      <w:t xml:space="preserve"> </w:t>
    </w:r>
    <w:r>
      <w:rPr>
        <w:noProof/>
        <w:lang w:val="en-AU" w:eastAsia="en-AU"/>
      </w:rPr>
      <w:drawing>
        <wp:anchor distT="0" distB="0" distL="114300" distR="114300" simplePos="0" relativeHeight="251681792" behindDoc="1" locked="0" layoutInCell="1" allowOverlap="1" wp14:anchorId="74CEF45B" wp14:editId="42813B46">
          <wp:simplePos x="647700" y="861060"/>
          <wp:positionH relativeFrom="page">
            <wp:align>center</wp:align>
          </wp:positionH>
          <wp:positionV relativeFrom="page">
            <wp:align>top</wp:align>
          </wp:positionV>
          <wp:extent cx="7558767" cy="10691999"/>
          <wp:effectExtent l="0" t="0" r="4445" b="0"/>
          <wp:wrapNone/>
          <wp:docPr id="19" name="Picture 19"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5A3410" w14:textId="77777777" w:rsidR="00DD4C20" w:rsidRDefault="00DD4C20" w:rsidP="002443D8">
    <w:pPr>
      <w:pStyle w:val="Heading1"/>
    </w:pPr>
    <w:r>
      <w:rPr>
        <w:noProof/>
        <w:lang w:val="en-AU" w:eastAsia="en-AU"/>
      </w:rPr>
      <w:drawing>
        <wp:anchor distT="0" distB="0" distL="114300" distR="114300" simplePos="0" relativeHeight="251683840" behindDoc="1" locked="0" layoutInCell="1" allowOverlap="1" wp14:anchorId="72CBBBC7" wp14:editId="0CEFA8D9">
          <wp:simplePos x="914400" y="451757"/>
          <wp:positionH relativeFrom="page">
            <wp:align>center</wp:align>
          </wp:positionH>
          <wp:positionV relativeFrom="page">
            <wp:align>top</wp:align>
          </wp:positionV>
          <wp:extent cx="7558766" cy="10691996"/>
          <wp:effectExtent l="0" t="0" r="4445" b="0"/>
          <wp:wrapNone/>
          <wp:docPr id="20" name="Picture 20"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6" cy="10691996"/>
                  </a:xfrm>
                  <a:prstGeom prst="rect">
                    <a:avLst/>
                  </a:prstGeom>
                </pic:spPr>
              </pic:pic>
            </a:graphicData>
          </a:graphic>
          <wp14:sizeRelH relativeFrom="margin">
            <wp14:pctWidth>0</wp14:pctWidth>
          </wp14:sizeRelH>
          <wp14:sizeRelV relativeFrom="margin">
            <wp14:pctHeight>0</wp14:pctHeight>
          </wp14:sizeRelV>
        </wp:anchor>
      </w:drawing>
    </w:r>
    <w:r>
      <w:t>2.</w:t>
    </w:r>
    <w:r>
      <w:t> </w:t>
    </w:r>
    <w:r>
      <w:t xml:space="preserve">Escalating care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C82BCB" w14:textId="77777777" w:rsidR="00DD4C20" w:rsidRDefault="00DD4C20" w:rsidP="002443D8">
    <w:pPr>
      <w:pStyle w:val="Heading1"/>
    </w:pPr>
    <w:r>
      <w:rPr>
        <w:noProof/>
        <w:lang w:val="en-AU" w:eastAsia="en-AU"/>
      </w:rPr>
      <w:drawing>
        <wp:anchor distT="0" distB="0" distL="114300" distR="114300" simplePos="0" relativeHeight="251725824" behindDoc="1" locked="0" layoutInCell="1" allowOverlap="1" wp14:anchorId="612D4181" wp14:editId="2036E64E">
          <wp:simplePos x="914400" y="451757"/>
          <wp:positionH relativeFrom="page">
            <wp:align>center</wp:align>
          </wp:positionH>
          <wp:positionV relativeFrom="page">
            <wp:align>top</wp:align>
          </wp:positionV>
          <wp:extent cx="7558765" cy="10691996"/>
          <wp:effectExtent l="0" t="0" r="4445" b="0"/>
          <wp:wrapNone/>
          <wp:docPr id="11" name="Picture 11"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5" cy="10691996"/>
                  </a:xfrm>
                  <a:prstGeom prst="rect">
                    <a:avLst/>
                  </a:prstGeom>
                </pic:spPr>
              </pic:pic>
            </a:graphicData>
          </a:graphic>
          <wp14:sizeRelH relativeFrom="margin">
            <wp14:pctWidth>0</wp14:pctWidth>
          </wp14:sizeRelH>
          <wp14:sizeRelV relativeFrom="margin">
            <wp14:pctHeight>0</wp14:pctHeight>
          </wp14:sizeRelV>
        </wp:anchor>
      </w:drawing>
    </w:r>
    <w:r>
      <w:t>2.</w:t>
    </w:r>
    <w:r>
      <w:t> </w:t>
    </w:r>
    <w:r>
      <w:t xml:space="preserve">Escalating care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D47940" w14:textId="77777777" w:rsidR="00DD4C20" w:rsidRDefault="00DD4C20" w:rsidP="002443D8">
    <w:pPr>
      <w:pStyle w:val="Heading1"/>
    </w:pPr>
    <w:r>
      <w:t>3.</w:t>
    </w:r>
    <w:r>
      <w:t> </w:t>
    </w:r>
    <w:r>
      <w:t>Responding to deterioration in a</w:t>
    </w:r>
    <w:r>
      <w:rPr>
        <w:rFonts w:ascii="Cambria Math" w:hAnsi="Cambria Math" w:cs="Cambria Math"/>
      </w:rPr>
      <w:t> </w:t>
    </w:r>
    <w:r>
      <w:t>person’s</w:t>
    </w:r>
    <w:r>
      <w:rPr>
        <w:rFonts w:ascii="Cambria Math" w:hAnsi="Cambria Math" w:cs="Cambria Math"/>
      </w:rPr>
      <w:t> </w:t>
    </w:r>
    <w:r>
      <w:t xml:space="preserve">mental state </w:t>
    </w:r>
    <w:r>
      <w:rPr>
        <w:noProof/>
      </w:rPr>
      <w:t xml:space="preserve"> </w:t>
    </w:r>
    <w:r>
      <w:rPr>
        <w:noProof/>
        <w:lang w:val="en-AU" w:eastAsia="en-AU"/>
      </w:rPr>
      <w:drawing>
        <wp:anchor distT="0" distB="0" distL="114300" distR="114300" simplePos="0" relativeHeight="251685888" behindDoc="1" locked="0" layoutInCell="1" allowOverlap="1" wp14:anchorId="752DFC26" wp14:editId="002F3864">
          <wp:simplePos x="647700" y="861060"/>
          <wp:positionH relativeFrom="page">
            <wp:align>center</wp:align>
          </wp:positionH>
          <wp:positionV relativeFrom="page">
            <wp:align>top</wp:align>
          </wp:positionV>
          <wp:extent cx="7558767" cy="10691999"/>
          <wp:effectExtent l="0" t="0" r="4445" b="0"/>
          <wp:wrapNone/>
          <wp:docPr id="21" name="Picture 21"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614F9" w14:textId="77777777" w:rsidR="00DD4C20" w:rsidRDefault="00DD4C20">
    <w:pPr>
      <w:pStyle w:val="Header"/>
    </w:pPr>
    <w:r>
      <w:rPr>
        <w:noProof/>
        <w:lang w:val="en-AU" w:eastAsia="en-AU"/>
      </w:rPr>
      <w:drawing>
        <wp:anchor distT="0" distB="0" distL="114300" distR="114300" simplePos="0" relativeHeight="251658240" behindDoc="1" locked="0" layoutInCell="1" allowOverlap="1" wp14:anchorId="2BA53731" wp14:editId="7C432FDC">
          <wp:simplePos x="914400" y="451757"/>
          <wp:positionH relativeFrom="page">
            <wp:align>center</wp:align>
          </wp:positionH>
          <wp:positionV relativeFrom="page">
            <wp:align>top</wp:align>
          </wp:positionV>
          <wp:extent cx="7560000" cy="10692000"/>
          <wp:effectExtent l="0" t="0" r="3175" b="0"/>
          <wp:wrapNone/>
          <wp:docPr id="1" name="Picture 1"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cstate="screen">
                    <a:extLst>
                      <a:ext uri="{28A0092B-C50C-407E-A947-70E740481C1C}">
                        <a14:useLocalDpi xmlns:a14="http://schemas.microsoft.com/office/drawing/2010/main"/>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E81B32" w14:textId="77777777" w:rsidR="00DD4C20" w:rsidRDefault="00DD4C20" w:rsidP="00CA6823">
    <w:pPr>
      <w:pStyle w:val="Heading1"/>
    </w:pPr>
    <w:r>
      <w:rPr>
        <w:noProof/>
        <w:lang w:val="en-AU" w:eastAsia="en-AU"/>
      </w:rPr>
      <w:drawing>
        <wp:anchor distT="0" distB="0" distL="114300" distR="114300" simplePos="0" relativeHeight="251687936" behindDoc="1" locked="0" layoutInCell="1" allowOverlap="1" wp14:anchorId="2E930E19" wp14:editId="5A90B0A5">
          <wp:simplePos x="914400" y="451757"/>
          <wp:positionH relativeFrom="page">
            <wp:align>center</wp:align>
          </wp:positionH>
          <wp:positionV relativeFrom="page">
            <wp:align>top</wp:align>
          </wp:positionV>
          <wp:extent cx="7558765" cy="10691996"/>
          <wp:effectExtent l="0" t="0" r="4445" b="0"/>
          <wp:wrapNone/>
          <wp:docPr id="22" name="Picture 22"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5" cy="10691996"/>
                  </a:xfrm>
                  <a:prstGeom prst="rect">
                    <a:avLst/>
                  </a:prstGeom>
                </pic:spPr>
              </pic:pic>
            </a:graphicData>
          </a:graphic>
          <wp14:sizeRelH relativeFrom="margin">
            <wp14:pctWidth>0</wp14:pctWidth>
          </wp14:sizeRelH>
          <wp14:sizeRelV relativeFrom="margin">
            <wp14:pctHeight>0</wp14:pctHeight>
          </wp14:sizeRelV>
        </wp:anchor>
      </w:drawing>
    </w:r>
    <w:r w:rsidRPr="00B01513">
      <w:t xml:space="preserve"> </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770805" w14:textId="77777777" w:rsidR="00DD4C20" w:rsidRDefault="00DD4C20" w:rsidP="00CA6823">
    <w:pPr>
      <w:pStyle w:val="Heading1"/>
    </w:pPr>
    <w:r>
      <w:rPr>
        <w:noProof/>
        <w:lang w:val="en-AU" w:eastAsia="en-AU"/>
      </w:rPr>
      <w:drawing>
        <wp:anchor distT="0" distB="0" distL="114300" distR="114300" simplePos="0" relativeHeight="251689984" behindDoc="1" locked="0" layoutInCell="1" allowOverlap="1" wp14:anchorId="7BD590D1" wp14:editId="4B218AD3">
          <wp:simplePos x="647700" y="861060"/>
          <wp:positionH relativeFrom="page">
            <wp:align>center</wp:align>
          </wp:positionH>
          <wp:positionV relativeFrom="page">
            <wp:align>top</wp:align>
          </wp:positionV>
          <wp:extent cx="7558768" cy="10692000"/>
          <wp:effectExtent l="0" t="0" r="4445" b="0"/>
          <wp:wrapNone/>
          <wp:docPr id="24" name="Picture 24"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02CA1" w14:textId="77777777" w:rsidR="00DD4C20" w:rsidRDefault="00DD4C20" w:rsidP="004A6646">
    <w:pPr>
      <w:pStyle w:val="Heading1"/>
    </w:pPr>
    <w:r>
      <w:rPr>
        <w:noProof/>
        <w:lang w:val="en-AU" w:eastAsia="en-AU"/>
      </w:rPr>
      <w:drawing>
        <wp:anchor distT="0" distB="0" distL="114300" distR="114300" simplePos="0" relativeHeight="251692032" behindDoc="1" locked="0" layoutInCell="1" allowOverlap="1" wp14:anchorId="60D7A5E1" wp14:editId="4C0391CA">
          <wp:simplePos x="914400" y="451757"/>
          <wp:positionH relativeFrom="page">
            <wp:align>center</wp:align>
          </wp:positionH>
          <wp:positionV relativeFrom="page">
            <wp:align>top</wp:align>
          </wp:positionV>
          <wp:extent cx="7558764" cy="10691995"/>
          <wp:effectExtent l="0" t="0" r="4445" b="0"/>
          <wp:wrapNone/>
          <wp:docPr id="25" name="Picture 25"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4" cy="10691995"/>
                  </a:xfrm>
                  <a:prstGeom prst="rect">
                    <a:avLst/>
                  </a:prstGeom>
                </pic:spPr>
              </pic:pic>
            </a:graphicData>
          </a:graphic>
          <wp14:sizeRelH relativeFrom="margin">
            <wp14:pctWidth>0</wp14:pctWidth>
          </wp14:sizeRelH>
          <wp14:sizeRelV relativeFrom="margin">
            <wp14:pctHeight>0</wp14:pctHeight>
          </wp14:sizeRelV>
        </wp:anchor>
      </w:drawing>
    </w:r>
    <w:r>
      <w:t>4.</w:t>
    </w:r>
    <w:r>
      <w:t> </w:t>
    </w:r>
    <w:r>
      <w:t xml:space="preserve">Creating safety and </w:t>
    </w:r>
    <w:r>
      <w:br/>
      <w:t>minimising restrictive practices</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DC0DB0" w14:textId="77777777" w:rsidR="00DD4C20" w:rsidRDefault="00DD4C20" w:rsidP="004A6646">
    <w:pPr>
      <w:pStyle w:val="Heading1"/>
    </w:pPr>
    <w:r>
      <w:t>5.</w:t>
    </w:r>
    <w:r>
      <w:t> </w:t>
    </w:r>
    <w:r>
      <w:t>Teamwork and shared decision making</w:t>
    </w:r>
    <w:r>
      <w:rPr>
        <w:noProof/>
        <w:lang w:val="en-AU" w:eastAsia="en-AU"/>
      </w:rPr>
      <w:drawing>
        <wp:anchor distT="0" distB="0" distL="114300" distR="114300" simplePos="0" relativeHeight="251694080" behindDoc="1" locked="0" layoutInCell="1" allowOverlap="1" wp14:anchorId="3FFCBF2F" wp14:editId="5E3F4EE1">
          <wp:simplePos x="647700" y="861060"/>
          <wp:positionH relativeFrom="page">
            <wp:align>center</wp:align>
          </wp:positionH>
          <wp:positionV relativeFrom="page">
            <wp:align>top</wp:align>
          </wp:positionV>
          <wp:extent cx="7558768" cy="10692000"/>
          <wp:effectExtent l="0" t="0" r="4445" b="0"/>
          <wp:wrapNone/>
          <wp:docPr id="26" name="Picture 26"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817F7A" w14:textId="77777777" w:rsidR="00DD4C20" w:rsidRDefault="00DD4C20" w:rsidP="004A6646">
    <w:pPr>
      <w:pStyle w:val="Heading1"/>
    </w:pPr>
    <w:r>
      <w:rPr>
        <w:noProof/>
        <w:lang w:val="en-AU" w:eastAsia="en-AU"/>
      </w:rPr>
      <w:drawing>
        <wp:anchor distT="0" distB="0" distL="114300" distR="114300" simplePos="0" relativeHeight="251696128" behindDoc="1" locked="0" layoutInCell="1" allowOverlap="1" wp14:anchorId="3DC201A7" wp14:editId="56C63D6E">
          <wp:simplePos x="914400" y="451757"/>
          <wp:positionH relativeFrom="page">
            <wp:align>center</wp:align>
          </wp:positionH>
          <wp:positionV relativeFrom="page">
            <wp:align>top</wp:align>
          </wp:positionV>
          <wp:extent cx="7558764" cy="10691995"/>
          <wp:effectExtent l="0" t="0" r="4445" b="0"/>
          <wp:wrapNone/>
          <wp:docPr id="27" name="Picture 27"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4" cy="10691995"/>
                  </a:xfrm>
                  <a:prstGeom prst="rect">
                    <a:avLst/>
                  </a:prstGeom>
                </pic:spPr>
              </pic:pic>
            </a:graphicData>
          </a:graphic>
          <wp14:sizeRelH relativeFrom="margin">
            <wp14:pctWidth>0</wp14:pctWidth>
          </wp14:sizeRelH>
          <wp14:sizeRelV relativeFrom="margin">
            <wp14:pctHeight>0</wp14:pctHeight>
          </wp14:sizeRelV>
        </wp:anchor>
      </w:drawing>
    </w:r>
    <w:r>
      <w:t>6.</w:t>
    </w:r>
    <w:r>
      <w:t> </w:t>
    </w:r>
    <w:r>
      <w:t xml:space="preserve">Communicating for safety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5E8846" w14:textId="77777777" w:rsidR="00DD4C20" w:rsidRDefault="00DD4C20" w:rsidP="00CA6823">
    <w:pPr>
      <w:pStyle w:val="Heading1"/>
    </w:pPr>
    <w:r>
      <w:rPr>
        <w:noProof/>
        <w:lang w:val="en-AU" w:eastAsia="en-AU"/>
      </w:rPr>
      <w:drawing>
        <wp:anchor distT="0" distB="0" distL="114300" distR="114300" simplePos="0" relativeHeight="251698176" behindDoc="1" locked="0" layoutInCell="1" allowOverlap="1" wp14:anchorId="0E2F9608" wp14:editId="529B680D">
          <wp:simplePos x="647700" y="861060"/>
          <wp:positionH relativeFrom="page">
            <wp:align>center</wp:align>
          </wp:positionH>
          <wp:positionV relativeFrom="page">
            <wp:align>top</wp:align>
          </wp:positionV>
          <wp:extent cx="7558768" cy="10691999"/>
          <wp:effectExtent l="0" t="0" r="4445" b="0"/>
          <wp:wrapNone/>
          <wp:docPr id="28" name="Picture 28"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D8AA6" w14:textId="77777777" w:rsidR="00DD4C20" w:rsidRDefault="00DD4C20" w:rsidP="004A6646">
    <w:pPr>
      <w:pStyle w:val="Heading1"/>
    </w:pPr>
    <w:r>
      <w:rPr>
        <w:noProof/>
        <w:lang w:val="en-AU" w:eastAsia="en-AU"/>
      </w:rPr>
      <w:drawing>
        <wp:anchor distT="0" distB="0" distL="114300" distR="114300" simplePos="0" relativeHeight="251700224" behindDoc="1" locked="0" layoutInCell="1" allowOverlap="1" wp14:anchorId="2EF3AEF0" wp14:editId="558AFC76">
          <wp:simplePos x="914400" y="451757"/>
          <wp:positionH relativeFrom="page">
            <wp:align>center</wp:align>
          </wp:positionH>
          <wp:positionV relativeFrom="page">
            <wp:align>top</wp:align>
          </wp:positionV>
          <wp:extent cx="7558764" cy="10691993"/>
          <wp:effectExtent l="0" t="0" r="4445" b="0"/>
          <wp:wrapNone/>
          <wp:docPr id="29" name="Picture 29"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4" cy="10691993"/>
                  </a:xfrm>
                  <a:prstGeom prst="rect">
                    <a:avLst/>
                  </a:prstGeom>
                </pic:spPr>
              </pic:pic>
            </a:graphicData>
          </a:graphic>
          <wp14:sizeRelH relativeFrom="margin">
            <wp14:pctWidth>0</wp14:pctWidth>
          </wp14:sizeRelH>
          <wp14:sizeRelV relativeFrom="margin">
            <wp14:pctHeight>0</wp14:pctHeight>
          </wp14:sizeRelV>
        </wp:anchor>
      </w:drawing>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54FF7C" w14:textId="77777777" w:rsidR="00DD4C20" w:rsidRDefault="00DD4C20" w:rsidP="004A6646">
    <w:pPr>
      <w:pStyle w:val="Heading1"/>
    </w:pPr>
    <w:r>
      <w:t>7.</w:t>
    </w:r>
    <w:r>
      <w:tab/>
      <w:t>Leadership and governance</w:t>
    </w:r>
    <w:r>
      <w:rPr>
        <w:noProof/>
      </w:rPr>
      <w:t xml:space="preserve"> </w:t>
    </w:r>
    <w:r>
      <w:rPr>
        <w:noProof/>
        <w:lang w:val="en-AU" w:eastAsia="en-AU"/>
      </w:rPr>
      <w:drawing>
        <wp:anchor distT="0" distB="0" distL="114300" distR="114300" simplePos="0" relativeHeight="251702272" behindDoc="1" locked="0" layoutInCell="1" allowOverlap="1" wp14:anchorId="50041B73" wp14:editId="489DE9C9">
          <wp:simplePos x="647700" y="861060"/>
          <wp:positionH relativeFrom="page">
            <wp:align>center</wp:align>
          </wp:positionH>
          <wp:positionV relativeFrom="page">
            <wp:align>top</wp:align>
          </wp:positionV>
          <wp:extent cx="7558767" cy="10691999"/>
          <wp:effectExtent l="0" t="0" r="4445" b="0"/>
          <wp:wrapNone/>
          <wp:docPr id="30" name="Picture 30"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73D3E" w14:textId="77777777" w:rsidR="00DD4C20" w:rsidRDefault="00DD4C20" w:rsidP="00CA6823">
    <w:pPr>
      <w:pStyle w:val="Heading1"/>
    </w:pPr>
    <w:r>
      <w:rPr>
        <w:noProof/>
        <w:lang w:val="en-AU" w:eastAsia="en-AU"/>
      </w:rPr>
      <w:drawing>
        <wp:anchor distT="0" distB="0" distL="114300" distR="114300" simplePos="0" relativeHeight="251704320" behindDoc="1" locked="0" layoutInCell="1" allowOverlap="1" wp14:anchorId="6D1EAA25" wp14:editId="4C723D62">
          <wp:simplePos x="914400" y="451757"/>
          <wp:positionH relativeFrom="page">
            <wp:align>center</wp:align>
          </wp:positionH>
          <wp:positionV relativeFrom="page">
            <wp:align>top</wp:align>
          </wp:positionV>
          <wp:extent cx="7558405" cy="10691495"/>
          <wp:effectExtent l="0" t="0" r="4445" b="0"/>
          <wp:wrapNone/>
          <wp:docPr id="31" name="Picture 31"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4" cy="10691993"/>
                  </a:xfrm>
                  <a:prstGeom prst="rect">
                    <a:avLst/>
                  </a:prstGeom>
                </pic:spPr>
              </pic:pic>
            </a:graphicData>
          </a:graphic>
          <wp14:sizeRelH relativeFrom="margin">
            <wp14:pctWidth>0</wp14:pctWidth>
          </wp14:sizeRelH>
          <wp14:sizeRelV relativeFrom="margin">
            <wp14:pctHeight>0</wp14:pctHeight>
          </wp14:sizeRelV>
        </wp:anchor>
      </w:drawing>
    </w:r>
    <w:r>
      <w:t>8.</w:t>
    </w:r>
    <w:r>
      <w:t> </w:t>
    </w:r>
    <w:r>
      <w:t>Workforce development</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9B872" w14:textId="77777777" w:rsidR="00DD4C20" w:rsidRDefault="00DD4C20" w:rsidP="00CA6823">
    <w:pPr>
      <w:pStyle w:val="Heading1"/>
    </w:pPr>
    <w:r>
      <w:t>9.</w:t>
    </w:r>
    <w:r>
      <w:t> </w:t>
    </w:r>
    <w:r>
      <w:t>Standardised processes to support high</w:t>
    </w:r>
    <w:r>
      <w:noBreakHyphen/>
      <w:t>quality care</w:t>
    </w:r>
    <w:r>
      <w:rPr>
        <w:noProof/>
      </w:rPr>
      <w:t xml:space="preserve"> </w:t>
    </w:r>
    <w:r>
      <w:rPr>
        <w:noProof/>
        <w:lang w:val="en-AU" w:eastAsia="en-AU"/>
      </w:rPr>
      <w:drawing>
        <wp:anchor distT="0" distB="0" distL="114300" distR="114300" simplePos="0" relativeHeight="251706368" behindDoc="1" locked="0" layoutInCell="1" allowOverlap="1" wp14:anchorId="55A9C0D3" wp14:editId="6C5751E4">
          <wp:simplePos x="647700" y="861060"/>
          <wp:positionH relativeFrom="page">
            <wp:align>center</wp:align>
          </wp:positionH>
          <wp:positionV relativeFrom="page">
            <wp:align>top</wp:align>
          </wp:positionV>
          <wp:extent cx="7558767" cy="10691999"/>
          <wp:effectExtent l="0" t="0" r="4445" b="0"/>
          <wp:wrapNone/>
          <wp:docPr id="32" name="Picture 32"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AF281" w14:textId="77777777" w:rsidR="00CE4468" w:rsidRDefault="00CE4468">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5CBBF" w14:textId="77777777" w:rsidR="00DD4C20" w:rsidRDefault="00DD4C20" w:rsidP="00CA6823">
    <w:pPr>
      <w:pStyle w:val="Heading1"/>
    </w:pPr>
    <w:r>
      <w:rPr>
        <w:noProof/>
        <w:lang w:val="en-AU" w:eastAsia="en-AU"/>
      </w:rPr>
      <w:drawing>
        <wp:anchor distT="0" distB="0" distL="114300" distR="114300" simplePos="0" relativeHeight="251708416" behindDoc="1" locked="0" layoutInCell="1" allowOverlap="1" wp14:anchorId="6CED7F9A" wp14:editId="6E4526D0">
          <wp:simplePos x="914400" y="451757"/>
          <wp:positionH relativeFrom="page">
            <wp:align>center</wp:align>
          </wp:positionH>
          <wp:positionV relativeFrom="page">
            <wp:align>top</wp:align>
          </wp:positionV>
          <wp:extent cx="7558405" cy="10691495"/>
          <wp:effectExtent l="0" t="0" r="4445" b="0"/>
          <wp:wrapNone/>
          <wp:docPr id="33" name="Picture 33"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4" cy="10691993"/>
                  </a:xfrm>
                  <a:prstGeom prst="rect">
                    <a:avLst/>
                  </a:prstGeom>
                </pic:spPr>
              </pic:pic>
            </a:graphicData>
          </a:graphic>
          <wp14:sizeRelH relativeFrom="margin">
            <wp14:pctWidth>0</wp14:pctWidth>
          </wp14:sizeRelH>
          <wp14:sizeRelV relativeFrom="margin">
            <wp14:pctHeight>0</wp14:pctHeight>
          </wp14:sizeRelV>
        </wp:anchor>
      </w:drawing>
    </w:r>
    <w:r>
      <w:t>10.</w:t>
    </w:r>
    <w:r>
      <w:t> </w:t>
    </w:r>
    <w:r>
      <w:t>Evaluation and feedback</w:t>
    </w:r>
    <w:r>
      <w:rPr>
        <w:noProof/>
      </w:rPr>
      <w:t xml:space="preserve"> </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99C80" w14:textId="77777777" w:rsidR="00DD4C20" w:rsidRDefault="00DD4C20" w:rsidP="00CA6823">
    <w:pPr>
      <w:pStyle w:val="Heading1"/>
    </w:pPr>
    <w:r>
      <w:t>References</w:t>
    </w:r>
    <w:r>
      <w:rPr>
        <w:noProof/>
        <w:lang w:val="en-AU" w:eastAsia="en-AU"/>
      </w:rPr>
      <w:drawing>
        <wp:anchor distT="0" distB="0" distL="114300" distR="114300" simplePos="0" relativeHeight="251710464" behindDoc="1" locked="0" layoutInCell="1" allowOverlap="1" wp14:anchorId="6DEEDABE" wp14:editId="7F4A9B7D">
          <wp:simplePos x="647700" y="861060"/>
          <wp:positionH relativeFrom="page">
            <wp:align>center</wp:align>
          </wp:positionH>
          <wp:positionV relativeFrom="page">
            <wp:align>top</wp:align>
          </wp:positionV>
          <wp:extent cx="7558767" cy="10691999"/>
          <wp:effectExtent l="0" t="0" r="4445" b="0"/>
          <wp:wrapNone/>
          <wp:docPr id="34" name="Picture 34"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C9DFCF" w14:textId="77777777" w:rsidR="00DD4C20" w:rsidRDefault="00DD4C20" w:rsidP="00CA6823">
    <w:pPr>
      <w:pStyle w:val="Heading1"/>
    </w:pPr>
    <w:r>
      <w:rPr>
        <w:noProof/>
        <w:lang w:val="en-AU" w:eastAsia="en-AU"/>
      </w:rPr>
      <w:drawing>
        <wp:anchor distT="0" distB="0" distL="114300" distR="114300" simplePos="0" relativeHeight="251712512" behindDoc="1" locked="0" layoutInCell="1" allowOverlap="1" wp14:anchorId="6C3BFCF9" wp14:editId="5464D251">
          <wp:simplePos x="914400" y="451757"/>
          <wp:positionH relativeFrom="page">
            <wp:align>center</wp:align>
          </wp:positionH>
          <wp:positionV relativeFrom="page">
            <wp:align>top</wp:align>
          </wp:positionV>
          <wp:extent cx="7558764" cy="10691993"/>
          <wp:effectExtent l="0" t="0" r="4445" b="0"/>
          <wp:wrapNone/>
          <wp:docPr id="35" name="Picture 35"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a:extLst>
                      <a:ext uri="{28A0092B-C50C-407E-A947-70E740481C1C}">
                        <a14:useLocalDpi xmlns:a14="http://schemas.microsoft.com/office/drawing/2010/main" val="0"/>
                      </a:ext>
                    </a:extLst>
                  </a:blip>
                  <a:stretch>
                    <a:fillRect/>
                  </a:stretch>
                </pic:blipFill>
                <pic:spPr>
                  <a:xfrm>
                    <a:off x="0" y="0"/>
                    <a:ext cx="7558764" cy="10691993"/>
                  </a:xfrm>
                  <a:prstGeom prst="rect">
                    <a:avLst/>
                  </a:prstGeom>
                </pic:spPr>
              </pic:pic>
            </a:graphicData>
          </a:graphic>
          <wp14:sizeRelH relativeFrom="margin">
            <wp14:pctWidth>0</wp14:pctWidth>
          </wp14:sizeRelH>
          <wp14:sizeRelV relativeFrom="margin">
            <wp14:pctHeight>0</wp14:pctHeight>
          </wp14:sizeRelV>
        </wp:anchor>
      </w:drawing>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2641F" w14:textId="77777777" w:rsidR="00DD4C20" w:rsidRDefault="00DD4C20" w:rsidP="00CA6823">
    <w:pPr>
      <w:pStyle w:val="Heading1"/>
    </w:pPr>
    <w:r>
      <w:rPr>
        <w:noProof/>
        <w:lang w:val="en-AU" w:eastAsia="en-AU"/>
      </w:rPr>
      <w:drawing>
        <wp:anchor distT="0" distB="0" distL="114300" distR="114300" simplePos="0" relativeHeight="251714560" behindDoc="1" locked="0" layoutInCell="1" allowOverlap="1" wp14:anchorId="3AE562FD" wp14:editId="0D135D87">
          <wp:simplePos x="647700" y="861060"/>
          <wp:positionH relativeFrom="page">
            <wp:align>center</wp:align>
          </wp:positionH>
          <wp:positionV relativeFrom="page">
            <wp:align>top</wp:align>
          </wp:positionV>
          <wp:extent cx="7558767" cy="10691999"/>
          <wp:effectExtent l="0" t="0" r="4445" b="0"/>
          <wp:wrapNone/>
          <wp:docPr id="37" name="Picture 37"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r>
      <w:t>Appendices</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617A3C" w14:textId="77777777" w:rsidR="00DD4C20" w:rsidRDefault="00DD4C20" w:rsidP="00CA6823">
    <w:pPr>
      <w:pStyle w:val="Heading1"/>
    </w:pPr>
    <w:r>
      <w:rPr>
        <w:noProof/>
        <w:lang w:val="en-AU" w:eastAsia="en-AU"/>
      </w:rPr>
      <w:drawing>
        <wp:anchor distT="0" distB="0" distL="114300" distR="114300" simplePos="0" relativeHeight="251716608" behindDoc="1" locked="0" layoutInCell="1" allowOverlap="1" wp14:anchorId="3AF7C0CF" wp14:editId="4DACAAF4">
          <wp:simplePos x="647700" y="861060"/>
          <wp:positionH relativeFrom="page">
            <wp:align>center</wp:align>
          </wp:positionH>
          <wp:positionV relativeFrom="page">
            <wp:align>top</wp:align>
          </wp:positionV>
          <wp:extent cx="7558767" cy="10691999"/>
          <wp:effectExtent l="0" t="0" r="4445" b="0"/>
          <wp:wrapNone/>
          <wp:docPr id="38" name="Picture 38"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1BD59" w14:textId="77777777" w:rsidR="00DD4C20" w:rsidRDefault="00DD4C20" w:rsidP="00CA6823">
    <w:pPr>
      <w:pStyle w:val="Heading1"/>
    </w:pPr>
    <w:r>
      <w:rPr>
        <w:noProof/>
        <w:lang w:val="en-AU" w:eastAsia="en-AU"/>
      </w:rPr>
      <w:drawing>
        <wp:anchor distT="0" distB="0" distL="114300" distR="114300" simplePos="0" relativeHeight="251718656" behindDoc="1" locked="0" layoutInCell="1" allowOverlap="1" wp14:anchorId="74271FBD" wp14:editId="1BF99258">
          <wp:simplePos x="647700" y="861060"/>
          <wp:positionH relativeFrom="page">
            <wp:align>center</wp:align>
          </wp:positionH>
          <wp:positionV relativeFrom="page">
            <wp:align>top</wp:align>
          </wp:positionV>
          <wp:extent cx="7558767" cy="10691997"/>
          <wp:effectExtent l="0" t="0" r="4445" b="0"/>
          <wp:wrapNone/>
          <wp:docPr id="39" name="Picture 39"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1997"/>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30ACF3" w14:textId="77777777" w:rsidR="00DD4C20" w:rsidRDefault="00DD4C20" w:rsidP="001D7CBF">
    <w:pPr>
      <w:pStyle w:val="Heading1"/>
    </w:pPr>
    <w:r w:rsidRPr="001D7CBF">
      <w:t>Introduction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B8C4D2" w14:textId="77777777" w:rsidR="00DD4C20" w:rsidRDefault="00DD4C20" w:rsidP="009B382F">
    <w:pPr>
      <w:pStyle w:val="Heading1"/>
    </w:pPr>
    <w:r>
      <w:rPr>
        <w:noProof/>
        <w:lang w:val="en-AU" w:eastAsia="en-AU"/>
      </w:rPr>
      <w:drawing>
        <wp:anchor distT="0" distB="0" distL="114300" distR="114300" simplePos="0" relativeHeight="251660288" behindDoc="1" locked="0" layoutInCell="1" allowOverlap="1" wp14:anchorId="388FFBB1" wp14:editId="06B77704">
          <wp:simplePos x="914400" y="451757"/>
          <wp:positionH relativeFrom="page">
            <wp:align>center</wp:align>
          </wp:positionH>
          <wp:positionV relativeFrom="page">
            <wp:align>top</wp:align>
          </wp:positionV>
          <wp:extent cx="7558768" cy="10692000"/>
          <wp:effectExtent l="0" t="0" r="4445" b="0"/>
          <wp:wrapNone/>
          <wp:docPr id="2" name="Picture 2"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cstate="screen">
                    <a:extLst>
                      <a:ext uri="{28A0092B-C50C-407E-A947-70E740481C1C}">
                        <a14:useLocalDpi xmlns:a14="http://schemas.microsoft.com/office/drawing/2010/main"/>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r>
      <w:t>Contents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3740F7" w14:textId="77777777" w:rsidR="00DD4C20" w:rsidRDefault="00DD4C20" w:rsidP="001D7CBF">
    <w:pPr>
      <w:pStyle w:val="Heading1"/>
    </w:pPr>
    <w:bookmarkStart w:id="0" w:name="_GoBack"/>
    <w:r>
      <w:rPr>
        <w:noProof/>
        <w:lang w:val="en-AU" w:eastAsia="en-AU"/>
      </w:rPr>
      <w:drawing>
        <wp:anchor distT="0" distB="0" distL="114300" distR="114300" simplePos="0" relativeHeight="251663360" behindDoc="1" locked="0" layoutInCell="1" allowOverlap="1" wp14:anchorId="64464603" wp14:editId="76F8C26B">
          <wp:simplePos x="647700" y="861060"/>
          <wp:positionH relativeFrom="page">
            <wp:align>center</wp:align>
          </wp:positionH>
          <wp:positionV relativeFrom="page">
            <wp:align>top</wp:align>
          </wp:positionV>
          <wp:extent cx="7560000" cy="10692000"/>
          <wp:effectExtent l="0" t="0" r="3175" b="0"/>
          <wp:wrapNone/>
          <wp:docPr id="7" name="Picture 7"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cstate="screen">
                    <a:extLst>
                      <a:ext uri="{28A0092B-C50C-407E-A947-70E740481C1C}">
                        <a14:useLocalDpi xmlns:a14="http://schemas.microsoft.com/office/drawing/2010/main"/>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bookmarkEnd w:id="0"/>
    <w:r w:rsidRPr="001D7CBF">
      <w:t>Introduction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51ACE" w14:textId="77777777" w:rsidR="00DD4C20" w:rsidRDefault="00DD4C20" w:rsidP="009B382F">
    <w:pPr>
      <w:pStyle w:val="Heading1"/>
    </w:pPr>
    <w:r>
      <w:rPr>
        <w:noProof/>
        <w:lang w:val="en-AU" w:eastAsia="en-AU"/>
      </w:rPr>
      <w:drawing>
        <wp:anchor distT="0" distB="0" distL="114300" distR="114300" simplePos="0" relativeHeight="251662336" behindDoc="1" locked="0" layoutInCell="1" allowOverlap="1" wp14:anchorId="40478133" wp14:editId="123464F6">
          <wp:simplePos x="914400" y="451757"/>
          <wp:positionH relativeFrom="page">
            <wp:align>center</wp:align>
          </wp:positionH>
          <wp:positionV relativeFrom="page">
            <wp:align>top</wp:align>
          </wp:positionV>
          <wp:extent cx="7558768" cy="10691999"/>
          <wp:effectExtent l="0" t="0" r="4445" b="0"/>
          <wp:wrapNone/>
          <wp:docPr id="5" name="Picture 5"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cstate="screen">
                    <a:extLst>
                      <a:ext uri="{28A0092B-C50C-407E-A947-70E740481C1C}">
                        <a14:useLocalDpi xmlns:a14="http://schemas.microsoft.com/office/drawing/2010/main"/>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F550A5" w14:textId="77777777" w:rsidR="00DD4C20" w:rsidRDefault="00DD4C20" w:rsidP="001D7CBF">
    <w:pPr>
      <w:pStyle w:val="Heading1"/>
    </w:pPr>
    <w:r>
      <w:rPr>
        <w:noProof/>
        <w:lang w:val="en-AU" w:eastAsia="en-AU"/>
      </w:rPr>
      <w:drawing>
        <wp:anchor distT="0" distB="0" distL="114300" distR="114300" simplePos="0" relativeHeight="251665408" behindDoc="1" locked="0" layoutInCell="1" allowOverlap="1" wp14:anchorId="443C50E4" wp14:editId="58F80229">
          <wp:simplePos x="647700" y="861060"/>
          <wp:positionH relativeFrom="page">
            <wp:align>center</wp:align>
          </wp:positionH>
          <wp:positionV relativeFrom="page">
            <wp:align>top</wp:align>
          </wp:positionV>
          <wp:extent cx="7560000" cy="10692000"/>
          <wp:effectExtent l="0" t="0" r="3175" b="0"/>
          <wp:wrapNone/>
          <wp:docPr id="6" name="Picture 6"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ft Hand Page - green number circle.jpg"/>
                  <pic:cNvPicPr/>
                </pic:nvPicPr>
                <pic:blipFill>
                  <a:blip r:embed="rId1" cstate="screen">
                    <a:extLst>
                      <a:ext uri="{28A0092B-C50C-407E-A947-70E740481C1C}">
                        <a14:useLocalDpi xmlns:a14="http://schemas.microsoft.com/office/drawing/2010/main"/>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40A88" w14:textId="77777777" w:rsidR="00DD4C20" w:rsidRDefault="00DD4C20" w:rsidP="009B382F">
    <w:pPr>
      <w:pStyle w:val="Heading1"/>
    </w:pPr>
    <w:r>
      <w:rPr>
        <w:noProof/>
        <w:lang w:val="en-AU" w:eastAsia="en-AU"/>
      </w:rPr>
      <w:drawing>
        <wp:anchor distT="0" distB="0" distL="114300" distR="114300" simplePos="0" relativeHeight="251667456" behindDoc="1" locked="0" layoutInCell="1" allowOverlap="1" wp14:anchorId="3D77B5BD" wp14:editId="3483DB25">
          <wp:simplePos x="914400" y="451757"/>
          <wp:positionH relativeFrom="page">
            <wp:align>center</wp:align>
          </wp:positionH>
          <wp:positionV relativeFrom="page">
            <wp:align>top</wp:align>
          </wp:positionV>
          <wp:extent cx="7558767" cy="10691999"/>
          <wp:effectExtent l="0" t="0" r="4445" b="0"/>
          <wp:wrapNone/>
          <wp:docPr id="8" name="Picture 8"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nt cover.jpg"/>
                  <pic:cNvPicPr/>
                </pic:nvPicPr>
                <pic:blipFill>
                  <a:blip r:embed="rId1" cstate="print">
                    <a:extLst>
                      <a:ext uri="{28A0092B-C50C-407E-A947-70E740481C1C}">
                        <a14:useLocalDpi xmlns:a14="http://schemas.microsoft.com/office/drawing/2010/main"/>
                      </a:ext>
                    </a:extLst>
                  </a:blip>
                  <a:stretch>
                    <a:fillRect/>
                  </a:stretch>
                </pic:blipFill>
                <pic:spPr>
                  <a:xfrm>
                    <a:off x="0" y="0"/>
                    <a:ext cx="7558767"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21A2A37E"/>
    <w:lvl w:ilvl="0">
      <w:start w:val="1"/>
      <w:numFmt w:val="bullet"/>
      <w:pStyle w:val="ListBullet2"/>
      <w:lvlText w:val=""/>
      <w:lvlJc w:val="left"/>
      <w:pPr>
        <w:ind w:left="644" w:hanging="360"/>
      </w:pPr>
      <w:rPr>
        <w:rFonts w:ascii="Symbol" w:hAnsi="Symbol" w:hint="default"/>
        <w:color w:val="000000" w:themeColor="text2"/>
      </w:rPr>
    </w:lvl>
  </w:abstractNum>
  <w:abstractNum w:abstractNumId="1">
    <w:nsid w:val="FFFFFF89"/>
    <w:multiLevelType w:val="singleLevel"/>
    <w:tmpl w:val="35DED738"/>
    <w:lvl w:ilvl="0">
      <w:start w:val="1"/>
      <w:numFmt w:val="bullet"/>
      <w:pStyle w:val="ListBullet"/>
      <w:lvlText w:val=""/>
      <w:lvlJc w:val="left"/>
      <w:pPr>
        <w:ind w:left="360" w:hanging="360"/>
      </w:pPr>
      <w:rPr>
        <w:rFonts w:ascii="Symbol" w:hAnsi="Symbol" w:hint="default"/>
        <w:color w:val="008EAB" w:themeColor="accent2"/>
      </w:rPr>
    </w:lvl>
  </w:abstractNum>
  <w:abstractNum w:abstractNumId="2">
    <w:nsid w:val="508C5872"/>
    <w:multiLevelType w:val="hybridMultilevel"/>
    <w:tmpl w:val="E07C8CD8"/>
    <w:lvl w:ilvl="0" w:tplc="E2BA9078">
      <w:start w:val="1"/>
      <w:numFmt w:val="decimal"/>
      <w:lvlText w:val="%1."/>
      <w:lvlJc w:val="left"/>
      <w:pPr>
        <w:ind w:left="587" w:hanging="360"/>
      </w:pPr>
      <w:rPr>
        <w:rFonts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679C0A28"/>
    <w:multiLevelType w:val="hybridMultilevel"/>
    <w:tmpl w:val="459E3182"/>
    <w:lvl w:ilvl="0" w:tplc="CFB03512">
      <w:start w:val="1"/>
      <w:numFmt w:val="decimal"/>
      <w:lvlText w:val="%1."/>
      <w:lvlJc w:val="left"/>
      <w:pPr>
        <w:ind w:left="5158" w:hanging="4818"/>
      </w:pPr>
      <w:rPr>
        <w:rFonts w:hint="default"/>
      </w:rPr>
    </w:lvl>
    <w:lvl w:ilvl="1" w:tplc="08090019" w:tentative="1">
      <w:start w:val="1"/>
      <w:numFmt w:val="lowerLetter"/>
      <w:lvlText w:val="%2."/>
      <w:lvlJc w:val="left"/>
      <w:pPr>
        <w:ind w:left="1420" w:hanging="360"/>
      </w:pPr>
    </w:lvl>
    <w:lvl w:ilvl="2" w:tplc="0809001B" w:tentative="1">
      <w:start w:val="1"/>
      <w:numFmt w:val="lowerRoman"/>
      <w:lvlText w:val="%3."/>
      <w:lvlJc w:val="right"/>
      <w:pPr>
        <w:ind w:left="2140" w:hanging="180"/>
      </w:pPr>
    </w:lvl>
    <w:lvl w:ilvl="3" w:tplc="0809000F" w:tentative="1">
      <w:start w:val="1"/>
      <w:numFmt w:val="decimal"/>
      <w:lvlText w:val="%4."/>
      <w:lvlJc w:val="left"/>
      <w:pPr>
        <w:ind w:left="2860" w:hanging="360"/>
      </w:pPr>
    </w:lvl>
    <w:lvl w:ilvl="4" w:tplc="08090019" w:tentative="1">
      <w:start w:val="1"/>
      <w:numFmt w:val="lowerLetter"/>
      <w:lvlText w:val="%5."/>
      <w:lvlJc w:val="left"/>
      <w:pPr>
        <w:ind w:left="3580" w:hanging="360"/>
      </w:pPr>
    </w:lvl>
    <w:lvl w:ilvl="5" w:tplc="0809001B" w:tentative="1">
      <w:start w:val="1"/>
      <w:numFmt w:val="lowerRoman"/>
      <w:lvlText w:val="%6."/>
      <w:lvlJc w:val="right"/>
      <w:pPr>
        <w:ind w:left="4300" w:hanging="180"/>
      </w:pPr>
    </w:lvl>
    <w:lvl w:ilvl="6" w:tplc="0809000F" w:tentative="1">
      <w:start w:val="1"/>
      <w:numFmt w:val="decimal"/>
      <w:lvlText w:val="%7."/>
      <w:lvlJc w:val="left"/>
      <w:pPr>
        <w:ind w:left="5020" w:hanging="360"/>
      </w:pPr>
    </w:lvl>
    <w:lvl w:ilvl="7" w:tplc="08090019" w:tentative="1">
      <w:start w:val="1"/>
      <w:numFmt w:val="lowerLetter"/>
      <w:lvlText w:val="%8."/>
      <w:lvlJc w:val="left"/>
      <w:pPr>
        <w:ind w:left="5740" w:hanging="360"/>
      </w:pPr>
    </w:lvl>
    <w:lvl w:ilvl="8" w:tplc="0809001B" w:tentative="1">
      <w:start w:val="1"/>
      <w:numFmt w:val="lowerRoman"/>
      <w:lvlText w:val="%9."/>
      <w:lvlJc w:val="right"/>
      <w:pPr>
        <w:ind w:left="6460" w:hanging="180"/>
      </w:pPr>
    </w:lvl>
  </w:abstractNum>
  <w:abstractNum w:abstractNumId="4">
    <w:nsid w:val="73986E07"/>
    <w:multiLevelType w:val="hybridMultilevel"/>
    <w:tmpl w:val="AAD2E41C"/>
    <w:lvl w:ilvl="0" w:tplc="83D296C2">
      <w:start w:val="1"/>
      <w:numFmt w:val="decimal"/>
      <w:pStyle w:val="TableNumber"/>
      <w:lvlText w:val="%1."/>
      <w:lvlJc w:val="left"/>
      <w:pPr>
        <w:ind w:left="947"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
    <w:nsid w:val="7D7C41D9"/>
    <w:multiLevelType w:val="hybridMultilevel"/>
    <w:tmpl w:val="16FE530A"/>
    <w:lvl w:ilvl="0" w:tplc="2D3A8170">
      <w:start w:val="1"/>
      <w:numFmt w:val="decimal"/>
      <w:lvlText w:val="%1."/>
      <w:lvlJc w:val="left"/>
      <w:pPr>
        <w:ind w:left="702" w:hanging="360"/>
      </w:pPr>
      <w:rPr>
        <w:rFonts w:hint="default"/>
      </w:rPr>
    </w:lvl>
    <w:lvl w:ilvl="1" w:tplc="08090019">
      <w:start w:val="1"/>
      <w:numFmt w:val="lowerLetter"/>
      <w:lvlText w:val="%2."/>
      <w:lvlJc w:val="left"/>
      <w:pPr>
        <w:ind w:left="1422" w:hanging="360"/>
      </w:pPr>
    </w:lvl>
    <w:lvl w:ilvl="2" w:tplc="0809001B" w:tentative="1">
      <w:start w:val="1"/>
      <w:numFmt w:val="lowerRoman"/>
      <w:lvlText w:val="%3."/>
      <w:lvlJc w:val="right"/>
      <w:pPr>
        <w:ind w:left="2142" w:hanging="180"/>
      </w:pPr>
    </w:lvl>
    <w:lvl w:ilvl="3" w:tplc="0809000F" w:tentative="1">
      <w:start w:val="1"/>
      <w:numFmt w:val="decimal"/>
      <w:lvlText w:val="%4."/>
      <w:lvlJc w:val="left"/>
      <w:pPr>
        <w:ind w:left="2862" w:hanging="360"/>
      </w:pPr>
    </w:lvl>
    <w:lvl w:ilvl="4" w:tplc="08090019" w:tentative="1">
      <w:start w:val="1"/>
      <w:numFmt w:val="lowerLetter"/>
      <w:lvlText w:val="%5."/>
      <w:lvlJc w:val="left"/>
      <w:pPr>
        <w:ind w:left="3582" w:hanging="360"/>
      </w:pPr>
    </w:lvl>
    <w:lvl w:ilvl="5" w:tplc="0809001B" w:tentative="1">
      <w:start w:val="1"/>
      <w:numFmt w:val="lowerRoman"/>
      <w:lvlText w:val="%6."/>
      <w:lvlJc w:val="right"/>
      <w:pPr>
        <w:ind w:left="4302" w:hanging="180"/>
      </w:pPr>
    </w:lvl>
    <w:lvl w:ilvl="6" w:tplc="0809000F" w:tentative="1">
      <w:start w:val="1"/>
      <w:numFmt w:val="decimal"/>
      <w:lvlText w:val="%7."/>
      <w:lvlJc w:val="left"/>
      <w:pPr>
        <w:ind w:left="5022" w:hanging="360"/>
      </w:pPr>
    </w:lvl>
    <w:lvl w:ilvl="7" w:tplc="08090019" w:tentative="1">
      <w:start w:val="1"/>
      <w:numFmt w:val="lowerLetter"/>
      <w:lvlText w:val="%8."/>
      <w:lvlJc w:val="left"/>
      <w:pPr>
        <w:ind w:left="5742" w:hanging="360"/>
      </w:pPr>
    </w:lvl>
    <w:lvl w:ilvl="8" w:tplc="0809001B" w:tentative="1">
      <w:start w:val="1"/>
      <w:numFmt w:val="lowerRoman"/>
      <w:lvlText w:val="%9."/>
      <w:lvlJc w:val="right"/>
      <w:pPr>
        <w:ind w:left="6462" w:hanging="180"/>
      </w:pPr>
    </w:lvl>
  </w:abstractNum>
  <w:num w:numId="1">
    <w:abstractNumId w:val="3"/>
  </w:num>
  <w:num w:numId="2">
    <w:abstractNumId w:val="5"/>
  </w:num>
  <w:num w:numId="3">
    <w:abstractNumId w:val="1"/>
  </w:num>
  <w:num w:numId="4">
    <w:abstractNumId w:val="2"/>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75C5"/>
    <w:rsid w:val="000424DD"/>
    <w:rsid w:val="000F59A4"/>
    <w:rsid w:val="0011039F"/>
    <w:rsid w:val="00123554"/>
    <w:rsid w:val="00185385"/>
    <w:rsid w:val="001C120B"/>
    <w:rsid w:val="001C29A2"/>
    <w:rsid w:val="001D7CBF"/>
    <w:rsid w:val="001F2992"/>
    <w:rsid w:val="002351B2"/>
    <w:rsid w:val="002443D8"/>
    <w:rsid w:val="003A4168"/>
    <w:rsid w:val="003B4F91"/>
    <w:rsid w:val="003C1FDC"/>
    <w:rsid w:val="003D7B5F"/>
    <w:rsid w:val="00415FCA"/>
    <w:rsid w:val="00436CB6"/>
    <w:rsid w:val="00455B37"/>
    <w:rsid w:val="004A6646"/>
    <w:rsid w:val="004B5B09"/>
    <w:rsid w:val="004E00C4"/>
    <w:rsid w:val="00532C91"/>
    <w:rsid w:val="005722AE"/>
    <w:rsid w:val="00586358"/>
    <w:rsid w:val="005C1C96"/>
    <w:rsid w:val="005F1E13"/>
    <w:rsid w:val="005F4EBD"/>
    <w:rsid w:val="00630A89"/>
    <w:rsid w:val="00681273"/>
    <w:rsid w:val="00696364"/>
    <w:rsid w:val="006A5570"/>
    <w:rsid w:val="007127F5"/>
    <w:rsid w:val="00735354"/>
    <w:rsid w:val="00750018"/>
    <w:rsid w:val="007C2DDA"/>
    <w:rsid w:val="007E6D61"/>
    <w:rsid w:val="00801C52"/>
    <w:rsid w:val="0081460F"/>
    <w:rsid w:val="0081490F"/>
    <w:rsid w:val="00863A43"/>
    <w:rsid w:val="008809FE"/>
    <w:rsid w:val="008A0129"/>
    <w:rsid w:val="008B75C5"/>
    <w:rsid w:val="008C6B20"/>
    <w:rsid w:val="00953E33"/>
    <w:rsid w:val="00980A45"/>
    <w:rsid w:val="009B382F"/>
    <w:rsid w:val="00A01D42"/>
    <w:rsid w:val="00A262F3"/>
    <w:rsid w:val="00A366DE"/>
    <w:rsid w:val="00A66F33"/>
    <w:rsid w:val="00A72BCF"/>
    <w:rsid w:val="00AF6251"/>
    <w:rsid w:val="00B01513"/>
    <w:rsid w:val="00B137DC"/>
    <w:rsid w:val="00B47892"/>
    <w:rsid w:val="00BB2182"/>
    <w:rsid w:val="00BB5333"/>
    <w:rsid w:val="00CA6823"/>
    <w:rsid w:val="00CE4468"/>
    <w:rsid w:val="00D00A6E"/>
    <w:rsid w:val="00D2182E"/>
    <w:rsid w:val="00D238E0"/>
    <w:rsid w:val="00D326A1"/>
    <w:rsid w:val="00D45BDF"/>
    <w:rsid w:val="00D840A0"/>
    <w:rsid w:val="00DD4C20"/>
    <w:rsid w:val="00E31EC0"/>
    <w:rsid w:val="00E37444"/>
    <w:rsid w:val="00E53DD5"/>
    <w:rsid w:val="00EA1BC3"/>
    <w:rsid w:val="00EA6ACA"/>
    <w:rsid w:val="00EC42F9"/>
    <w:rsid w:val="00EC4889"/>
    <w:rsid w:val="00ED5050"/>
    <w:rsid w:val="00F07178"/>
    <w:rsid w:val="00F46309"/>
    <w:rsid w:val="00F5235A"/>
    <w:rsid w:val="00F94B9D"/>
    <w:rsid w:val="00FA64D2"/>
    <w:rsid w:val="00FF39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6483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1E13"/>
  </w:style>
  <w:style w:type="paragraph" w:styleId="Heading1">
    <w:name w:val="heading 1"/>
    <w:basedOn w:val="Normal"/>
    <w:next w:val="Normal"/>
    <w:link w:val="Heading1Char"/>
    <w:uiPriority w:val="9"/>
    <w:qFormat/>
    <w:rsid w:val="002443D8"/>
    <w:pPr>
      <w:keepNext/>
      <w:keepLines/>
      <w:spacing w:after="0" w:line="500" w:lineRule="atLeast"/>
      <w:ind w:left="680" w:hanging="680"/>
      <w:outlineLvl w:val="0"/>
    </w:pPr>
    <w:rPr>
      <w:rFonts w:ascii="Arial" w:eastAsiaTheme="majorEastAsia" w:hAnsi="Arial" w:cstheme="majorBidi"/>
      <w:color w:val="007E99" w:themeColor="accent1"/>
      <w:sz w:val="46"/>
      <w:szCs w:val="32"/>
    </w:rPr>
  </w:style>
  <w:style w:type="paragraph" w:styleId="Heading2">
    <w:name w:val="heading 2"/>
    <w:basedOn w:val="Normal"/>
    <w:next w:val="Normal"/>
    <w:link w:val="Heading2Char"/>
    <w:uiPriority w:val="9"/>
    <w:unhideWhenUsed/>
    <w:qFormat/>
    <w:rsid w:val="00BB5333"/>
    <w:pPr>
      <w:keepNext/>
      <w:keepLines/>
      <w:spacing w:after="142" w:line="360" w:lineRule="atLeast"/>
      <w:outlineLvl w:val="1"/>
    </w:pPr>
    <w:rPr>
      <w:rFonts w:ascii="Arial" w:eastAsiaTheme="majorEastAsia" w:hAnsi="Arial" w:cstheme="majorBidi"/>
      <w:color w:val="007E99" w:themeColor="accent1"/>
      <w:sz w:val="32"/>
      <w:szCs w:val="26"/>
    </w:rPr>
  </w:style>
  <w:style w:type="paragraph" w:styleId="Heading3">
    <w:name w:val="heading 3"/>
    <w:basedOn w:val="Normal"/>
    <w:next w:val="Normal"/>
    <w:link w:val="Heading3Char"/>
    <w:uiPriority w:val="9"/>
    <w:unhideWhenUsed/>
    <w:qFormat/>
    <w:rsid w:val="00BB5333"/>
    <w:pPr>
      <w:keepNext/>
      <w:keepLines/>
      <w:spacing w:after="113" w:line="280" w:lineRule="atLeast"/>
      <w:outlineLvl w:val="2"/>
    </w:pPr>
    <w:rPr>
      <w:rFonts w:ascii="Arial" w:eastAsiaTheme="majorEastAsia" w:hAnsi="Arial" w:cstheme="majorBidi"/>
      <w:color w:val="9E2D8A" w:themeColor="accent5"/>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24D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24DD"/>
  </w:style>
  <w:style w:type="paragraph" w:styleId="Footer">
    <w:name w:val="footer"/>
    <w:basedOn w:val="Normal"/>
    <w:link w:val="FooterChar"/>
    <w:uiPriority w:val="99"/>
    <w:unhideWhenUsed/>
    <w:rsid w:val="00E31EC0"/>
    <w:pPr>
      <w:tabs>
        <w:tab w:val="center" w:pos="4513"/>
        <w:tab w:val="right" w:pos="9026"/>
      </w:tabs>
      <w:spacing w:after="0" w:line="240" w:lineRule="auto"/>
    </w:pPr>
    <w:rPr>
      <w:rFonts w:ascii="Arial" w:hAnsi="Arial"/>
      <w:color w:val="000000" w:themeColor="text2"/>
      <w:sz w:val="18"/>
    </w:rPr>
  </w:style>
  <w:style w:type="character" w:customStyle="1" w:styleId="FooterChar">
    <w:name w:val="Footer Char"/>
    <w:basedOn w:val="DefaultParagraphFont"/>
    <w:link w:val="Footer"/>
    <w:uiPriority w:val="99"/>
    <w:rsid w:val="00E31EC0"/>
    <w:rPr>
      <w:rFonts w:ascii="Arial" w:hAnsi="Arial"/>
      <w:color w:val="000000" w:themeColor="text2"/>
      <w:sz w:val="18"/>
    </w:rPr>
  </w:style>
  <w:style w:type="paragraph" w:styleId="BodyText">
    <w:name w:val="Body Text"/>
    <w:basedOn w:val="Normal"/>
    <w:link w:val="BodyTextChar"/>
    <w:uiPriority w:val="99"/>
    <w:unhideWhenUsed/>
    <w:rsid w:val="009B382F"/>
    <w:pPr>
      <w:spacing w:after="170" w:line="260" w:lineRule="atLeast"/>
    </w:pPr>
    <w:rPr>
      <w:rFonts w:ascii="Arial" w:hAnsi="Arial"/>
      <w:color w:val="000000" w:themeColor="text2"/>
      <w:sz w:val="20"/>
    </w:rPr>
  </w:style>
  <w:style w:type="character" w:customStyle="1" w:styleId="BodyTextChar">
    <w:name w:val="Body Text Char"/>
    <w:basedOn w:val="DefaultParagraphFont"/>
    <w:link w:val="BodyText"/>
    <w:uiPriority w:val="99"/>
    <w:rsid w:val="009B382F"/>
    <w:rPr>
      <w:rFonts w:ascii="Arial" w:hAnsi="Arial"/>
      <w:color w:val="000000" w:themeColor="text2"/>
      <w:sz w:val="20"/>
    </w:rPr>
  </w:style>
  <w:style w:type="character" w:customStyle="1" w:styleId="Heading1Char">
    <w:name w:val="Heading 1 Char"/>
    <w:basedOn w:val="DefaultParagraphFont"/>
    <w:link w:val="Heading1"/>
    <w:uiPriority w:val="9"/>
    <w:rsid w:val="002443D8"/>
    <w:rPr>
      <w:rFonts w:ascii="Arial" w:eastAsiaTheme="majorEastAsia" w:hAnsi="Arial" w:cstheme="majorBidi"/>
      <w:color w:val="007E99" w:themeColor="accent1"/>
      <w:sz w:val="46"/>
      <w:szCs w:val="32"/>
    </w:rPr>
  </w:style>
  <w:style w:type="character" w:customStyle="1" w:styleId="Heading2Char">
    <w:name w:val="Heading 2 Char"/>
    <w:basedOn w:val="DefaultParagraphFont"/>
    <w:link w:val="Heading2"/>
    <w:uiPriority w:val="9"/>
    <w:rsid w:val="00BB5333"/>
    <w:rPr>
      <w:rFonts w:ascii="Arial" w:eastAsiaTheme="majorEastAsia" w:hAnsi="Arial" w:cstheme="majorBidi"/>
      <w:color w:val="007E99" w:themeColor="accent1"/>
      <w:sz w:val="32"/>
      <w:szCs w:val="26"/>
    </w:rPr>
  </w:style>
  <w:style w:type="paragraph" w:customStyle="1" w:styleId="FooterSubheading">
    <w:name w:val="Footer Subheading"/>
    <w:basedOn w:val="Footer"/>
    <w:qFormat/>
    <w:rsid w:val="008C6B20"/>
    <w:pPr>
      <w:tabs>
        <w:tab w:val="clear" w:pos="4513"/>
        <w:tab w:val="clear" w:pos="9026"/>
      </w:tabs>
      <w:jc w:val="right"/>
    </w:pPr>
    <w:rPr>
      <w:b/>
      <w:color w:val="007E99" w:themeColor="accent1"/>
    </w:rPr>
  </w:style>
  <w:style w:type="character" w:customStyle="1" w:styleId="Superscript">
    <w:name w:val="Superscript"/>
    <w:uiPriority w:val="99"/>
    <w:rsid w:val="00696364"/>
    <w:rPr>
      <w:vertAlign w:val="superscript"/>
    </w:rPr>
  </w:style>
  <w:style w:type="character" w:customStyle="1" w:styleId="Lightitalic">
    <w:name w:val="Light italic"/>
    <w:uiPriority w:val="99"/>
    <w:rsid w:val="00696364"/>
    <w:rPr>
      <w:rFonts w:ascii="Helvetica 45 Light" w:hAnsi="Helvetica 45 Light" w:cs="Helvetica 45 Light"/>
      <w:i/>
      <w:iCs/>
    </w:rPr>
  </w:style>
  <w:style w:type="character" w:customStyle="1" w:styleId="Boldfigures">
    <w:name w:val="Bold (figures)"/>
    <w:uiPriority w:val="99"/>
    <w:rsid w:val="002351B2"/>
    <w:rPr>
      <w:rFonts w:ascii="Museo Sans 700" w:hAnsi="Museo Sans 700" w:cs="Museo Sans 700"/>
    </w:rPr>
  </w:style>
  <w:style w:type="paragraph" w:customStyle="1" w:styleId="NoParagraphStyle">
    <w:name w:val="[No Paragraph Style]"/>
    <w:rsid w:val="00ED5050"/>
    <w:pPr>
      <w:autoSpaceDE w:val="0"/>
      <w:autoSpaceDN w:val="0"/>
      <w:adjustRightInd w:val="0"/>
      <w:spacing w:after="0" w:line="288" w:lineRule="auto"/>
      <w:textAlignment w:val="center"/>
    </w:pPr>
    <w:rPr>
      <w:rFonts w:ascii="Times Regular" w:hAnsi="Times Regular" w:cs="Times Regular"/>
      <w:color w:val="000000"/>
      <w:sz w:val="24"/>
      <w:szCs w:val="24"/>
    </w:rPr>
  </w:style>
  <w:style w:type="paragraph" w:customStyle="1" w:styleId="PartTitle">
    <w:name w:val="Part Title"/>
    <w:basedOn w:val="NoParagraphStyle"/>
    <w:qFormat/>
    <w:rsid w:val="00B137DC"/>
    <w:pPr>
      <w:suppressAutoHyphens/>
      <w:spacing w:line="300" w:lineRule="atLeast"/>
      <w:jc w:val="right"/>
    </w:pPr>
    <w:rPr>
      <w:rFonts w:ascii="Arial" w:hAnsi="Arial" w:cs="Museo Sans 500"/>
      <w:color w:val="007E99" w:themeColor="accent1"/>
      <w:spacing w:val="8"/>
      <w:sz w:val="40"/>
      <w:szCs w:val="40"/>
    </w:rPr>
  </w:style>
  <w:style w:type="paragraph" w:customStyle="1" w:styleId="PartSubtitle">
    <w:name w:val="Part Subtitle"/>
    <w:qFormat/>
    <w:rsid w:val="00B137DC"/>
    <w:pPr>
      <w:spacing w:after="0" w:line="280" w:lineRule="atLeast"/>
      <w:jc w:val="right"/>
    </w:pPr>
    <w:rPr>
      <w:rFonts w:ascii="Museo Sans 500" w:eastAsiaTheme="majorEastAsia" w:hAnsi="Museo Sans 500" w:cs="Museo Sans 500"/>
      <w:color w:val="008EAB" w:themeColor="accent2"/>
      <w:spacing w:val="5"/>
      <w:sz w:val="24"/>
      <w:szCs w:val="32"/>
    </w:rPr>
  </w:style>
  <w:style w:type="paragraph" w:customStyle="1" w:styleId="TableText">
    <w:name w:val="Table Text"/>
    <w:basedOn w:val="Normal"/>
    <w:qFormat/>
    <w:rsid w:val="00455B37"/>
    <w:pPr>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0" w:line="240" w:lineRule="atLeast"/>
      <w:textAlignment w:val="center"/>
    </w:pPr>
    <w:rPr>
      <w:rFonts w:ascii="Arial" w:hAnsi="Arial" w:cs="Helvetica 45 Light"/>
      <w:color w:val="000000" w:themeColor="text2"/>
      <w:spacing w:val="4"/>
      <w:sz w:val="20"/>
      <w:szCs w:val="20"/>
    </w:rPr>
  </w:style>
  <w:style w:type="table" w:styleId="TableGrid">
    <w:name w:val="Table Grid"/>
    <w:basedOn w:val="TableNormal"/>
    <w:uiPriority w:val="39"/>
    <w:rsid w:val="00455B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Heading">
    <w:name w:val="Main Heading"/>
    <w:basedOn w:val="BodyText"/>
    <w:qFormat/>
    <w:rsid w:val="00E37444"/>
    <w:pPr>
      <w:spacing w:after="340" w:line="520" w:lineRule="atLeast"/>
      <w:jc w:val="right"/>
    </w:pPr>
    <w:rPr>
      <w:color w:val="008EAB" w:themeColor="accent2"/>
      <w:sz w:val="46"/>
    </w:rPr>
  </w:style>
  <w:style w:type="paragraph" w:customStyle="1" w:styleId="Mainsubheading">
    <w:name w:val="Main subheading"/>
    <w:basedOn w:val="MainHeading"/>
    <w:qFormat/>
    <w:rsid w:val="00E37444"/>
    <w:pPr>
      <w:spacing w:line="880" w:lineRule="exact"/>
    </w:pPr>
    <w:rPr>
      <w:sz w:val="88"/>
    </w:rPr>
  </w:style>
  <w:style w:type="paragraph" w:styleId="Date">
    <w:name w:val="Date"/>
    <w:basedOn w:val="Normal"/>
    <w:next w:val="Normal"/>
    <w:link w:val="DateChar"/>
    <w:uiPriority w:val="99"/>
    <w:unhideWhenUsed/>
    <w:rsid w:val="00A262F3"/>
    <w:pPr>
      <w:spacing w:after="0" w:line="360" w:lineRule="atLeast"/>
      <w:jc w:val="right"/>
    </w:pPr>
    <w:rPr>
      <w:rFonts w:ascii="Arial" w:hAnsi="Arial"/>
      <w:sz w:val="32"/>
    </w:rPr>
  </w:style>
  <w:style w:type="character" w:customStyle="1" w:styleId="DateChar">
    <w:name w:val="Date Char"/>
    <w:basedOn w:val="DefaultParagraphFont"/>
    <w:link w:val="Date"/>
    <w:uiPriority w:val="99"/>
    <w:rsid w:val="00A262F3"/>
    <w:rPr>
      <w:rFonts w:ascii="Arial" w:hAnsi="Arial"/>
      <w:sz w:val="32"/>
    </w:rPr>
  </w:style>
  <w:style w:type="paragraph" w:customStyle="1" w:styleId="Disclaimer">
    <w:name w:val="Disclaimer"/>
    <w:basedOn w:val="BodyText"/>
    <w:qFormat/>
    <w:rsid w:val="00A262F3"/>
    <w:pPr>
      <w:spacing w:after="113" w:line="220" w:lineRule="atLeast"/>
    </w:pPr>
    <w:rPr>
      <w:sz w:val="18"/>
    </w:rPr>
  </w:style>
  <w:style w:type="character" w:styleId="Strong">
    <w:name w:val="Strong"/>
    <w:basedOn w:val="DefaultParagraphFont"/>
    <w:uiPriority w:val="22"/>
    <w:qFormat/>
    <w:rsid w:val="00A262F3"/>
    <w:rPr>
      <w:b/>
      <w:bCs/>
    </w:rPr>
  </w:style>
  <w:style w:type="paragraph" w:styleId="TOC1">
    <w:name w:val="toc 1"/>
    <w:basedOn w:val="Normal"/>
    <w:next w:val="Normal"/>
    <w:autoRedefine/>
    <w:uiPriority w:val="39"/>
    <w:unhideWhenUsed/>
    <w:rsid w:val="0081490F"/>
    <w:pPr>
      <w:pBdr>
        <w:bottom w:val="dashed" w:sz="4" w:space="1" w:color="auto"/>
      </w:pBdr>
      <w:tabs>
        <w:tab w:val="right" w:pos="9855"/>
      </w:tabs>
      <w:spacing w:before="113" w:after="28" w:line="280" w:lineRule="atLeast"/>
    </w:pPr>
    <w:rPr>
      <w:rFonts w:ascii="Arial" w:hAnsi="Arial"/>
      <w:b/>
      <w:sz w:val="24"/>
    </w:rPr>
  </w:style>
  <w:style w:type="paragraph" w:customStyle="1" w:styleId="Spacer">
    <w:name w:val="Spacer"/>
    <w:basedOn w:val="Normal"/>
    <w:qFormat/>
    <w:rsid w:val="0081490F"/>
    <w:pPr>
      <w:spacing w:after="0" w:line="240" w:lineRule="auto"/>
    </w:pPr>
    <w:rPr>
      <w:sz w:val="2"/>
    </w:rPr>
  </w:style>
  <w:style w:type="paragraph" w:styleId="TOC2">
    <w:name w:val="toc 2"/>
    <w:basedOn w:val="Normal"/>
    <w:next w:val="Normal"/>
    <w:autoRedefine/>
    <w:uiPriority w:val="39"/>
    <w:unhideWhenUsed/>
    <w:rsid w:val="0081490F"/>
    <w:pPr>
      <w:pBdr>
        <w:bottom w:val="dashed" w:sz="4" w:space="1" w:color="008EAB" w:themeColor="accent2"/>
      </w:pBdr>
      <w:tabs>
        <w:tab w:val="left" w:pos="340"/>
        <w:tab w:val="left" w:pos="709"/>
        <w:tab w:val="right" w:pos="9854"/>
      </w:tabs>
      <w:spacing w:after="0" w:line="280" w:lineRule="atLeast"/>
    </w:pPr>
    <w:rPr>
      <w:rFonts w:ascii="Arial" w:hAnsi="Arial"/>
      <w:color w:val="008EAB" w:themeColor="accent2"/>
      <w:sz w:val="21"/>
    </w:rPr>
  </w:style>
  <w:style w:type="character" w:styleId="Emphasis">
    <w:name w:val="Emphasis"/>
    <w:basedOn w:val="DefaultParagraphFont"/>
    <w:uiPriority w:val="20"/>
    <w:qFormat/>
    <w:rsid w:val="00D00A6E"/>
    <w:rPr>
      <w:i/>
      <w:iCs/>
    </w:rPr>
  </w:style>
  <w:style w:type="paragraph" w:customStyle="1" w:styleId="Bodytextbeforebullets">
    <w:name w:val="Body text before bullets"/>
    <w:basedOn w:val="BodyText"/>
    <w:qFormat/>
    <w:rsid w:val="00BB5333"/>
    <w:pPr>
      <w:spacing w:after="85"/>
    </w:pPr>
  </w:style>
  <w:style w:type="paragraph" w:styleId="ListBullet">
    <w:name w:val="List Bullet"/>
    <w:basedOn w:val="Normal"/>
    <w:uiPriority w:val="99"/>
    <w:unhideWhenUsed/>
    <w:rsid w:val="00BB5333"/>
    <w:pPr>
      <w:numPr>
        <w:numId w:val="3"/>
      </w:numPr>
      <w:spacing w:after="57"/>
      <w:ind w:left="284" w:hanging="284"/>
    </w:pPr>
    <w:rPr>
      <w:rFonts w:ascii="Arial" w:hAnsi="Arial"/>
      <w:sz w:val="20"/>
    </w:rPr>
  </w:style>
  <w:style w:type="paragraph" w:customStyle="1" w:styleId="ListBulletLast">
    <w:name w:val="List Bullet Last"/>
    <w:basedOn w:val="ListBullet"/>
    <w:qFormat/>
    <w:rsid w:val="00BB5333"/>
    <w:pPr>
      <w:spacing w:after="170"/>
    </w:pPr>
  </w:style>
  <w:style w:type="character" w:customStyle="1" w:styleId="Heading3Char">
    <w:name w:val="Heading 3 Char"/>
    <w:basedOn w:val="DefaultParagraphFont"/>
    <w:link w:val="Heading3"/>
    <w:uiPriority w:val="9"/>
    <w:rsid w:val="00BB5333"/>
    <w:rPr>
      <w:rFonts w:ascii="Arial" w:eastAsiaTheme="majorEastAsia" w:hAnsi="Arial" w:cstheme="majorBidi"/>
      <w:color w:val="9E2D8A" w:themeColor="accent5"/>
      <w:sz w:val="26"/>
      <w:szCs w:val="24"/>
    </w:rPr>
  </w:style>
  <w:style w:type="paragraph" w:customStyle="1" w:styleId="BodyTextLastPara">
    <w:name w:val="Body Text Last Para"/>
    <w:basedOn w:val="BodyText"/>
    <w:qFormat/>
    <w:rsid w:val="00BB5333"/>
    <w:pPr>
      <w:spacing w:after="283"/>
    </w:pPr>
  </w:style>
  <w:style w:type="paragraph" w:styleId="BodyTextIndent">
    <w:name w:val="Body Text Indent"/>
    <w:basedOn w:val="BodyText"/>
    <w:link w:val="BodyTextIndentChar"/>
    <w:uiPriority w:val="99"/>
    <w:unhideWhenUsed/>
    <w:rsid w:val="00BB5333"/>
    <w:pPr>
      <w:spacing w:after="120"/>
      <w:ind w:left="284"/>
    </w:pPr>
  </w:style>
  <w:style w:type="character" w:customStyle="1" w:styleId="BodyTextIndentChar">
    <w:name w:val="Body Text Indent Char"/>
    <w:basedOn w:val="DefaultParagraphFont"/>
    <w:link w:val="BodyTextIndent"/>
    <w:uiPriority w:val="99"/>
    <w:rsid w:val="00BB5333"/>
    <w:rPr>
      <w:rFonts w:ascii="Arial" w:hAnsi="Arial"/>
      <w:color w:val="000000" w:themeColor="text2"/>
      <w:sz w:val="20"/>
    </w:rPr>
  </w:style>
  <w:style w:type="paragraph" w:customStyle="1" w:styleId="TableNumber">
    <w:name w:val="Table Number"/>
    <w:basedOn w:val="Normal"/>
    <w:qFormat/>
    <w:rsid w:val="005F1E13"/>
    <w:pPr>
      <w:numPr>
        <w:numId w:val="6"/>
      </w:numPr>
      <w:tabs>
        <w:tab w:val="left" w:pos="397"/>
        <w:tab w:val="left" w:pos="567"/>
      </w:tabs>
      <w:suppressAutoHyphens/>
      <w:autoSpaceDE w:val="0"/>
      <w:autoSpaceDN w:val="0"/>
      <w:adjustRightInd w:val="0"/>
      <w:spacing w:after="227" w:line="260" w:lineRule="atLeast"/>
      <w:ind w:left="568" w:right="454" w:hanging="284"/>
      <w:textAlignment w:val="center"/>
    </w:pPr>
    <w:rPr>
      <w:rFonts w:ascii="Arial" w:hAnsi="Arial" w:cs="Museo Sans 500"/>
      <w:color w:val="000000"/>
      <w:spacing w:val="4"/>
    </w:rPr>
  </w:style>
  <w:style w:type="paragraph" w:customStyle="1" w:styleId="PurpleTableText">
    <w:name w:val="Purple Table_Text"/>
    <w:basedOn w:val="TableText"/>
    <w:qFormat/>
    <w:rsid w:val="00953E33"/>
    <w:pPr>
      <w:spacing w:after="227" w:line="260" w:lineRule="atLeast"/>
    </w:pPr>
    <w:rPr>
      <w:sz w:val="22"/>
    </w:rPr>
  </w:style>
  <w:style w:type="paragraph" w:customStyle="1" w:styleId="PurpleTableheadings">
    <w:name w:val="Purple Table_headings"/>
    <w:basedOn w:val="PurpleTableText"/>
    <w:qFormat/>
    <w:rsid w:val="00953E33"/>
    <w:pPr>
      <w:spacing w:before="240" w:after="113" w:line="320" w:lineRule="atLeast"/>
    </w:pPr>
    <w:rPr>
      <w:b/>
      <w:bCs/>
      <w:sz w:val="26"/>
    </w:rPr>
  </w:style>
  <w:style w:type="paragraph" w:customStyle="1" w:styleId="DividerHeading">
    <w:name w:val="Divider Heading"/>
    <w:basedOn w:val="Normal"/>
    <w:qFormat/>
    <w:rsid w:val="005F1E13"/>
    <w:pPr>
      <w:suppressAutoHyphens/>
      <w:autoSpaceDE w:val="0"/>
      <w:autoSpaceDN w:val="0"/>
      <w:adjustRightInd w:val="0"/>
      <w:spacing w:after="113" w:line="640" w:lineRule="atLeast"/>
      <w:textAlignment w:val="center"/>
    </w:pPr>
    <w:rPr>
      <w:rFonts w:ascii="Arial" w:hAnsi="Arial" w:cs="Museo Sans 500"/>
      <w:color w:val="FFFFFF"/>
      <w:spacing w:val="12"/>
      <w:sz w:val="60"/>
      <w:szCs w:val="60"/>
    </w:rPr>
  </w:style>
  <w:style w:type="paragraph" w:customStyle="1" w:styleId="DividerSubheading">
    <w:name w:val="Divider Subheading"/>
    <w:qFormat/>
    <w:rsid w:val="008809FE"/>
    <w:pPr>
      <w:spacing w:after="0" w:line="440" w:lineRule="atLeast"/>
    </w:pPr>
    <w:rPr>
      <w:rFonts w:ascii="Arial" w:hAnsi="Arial" w:cs="Museo Sans 500"/>
      <w:color w:val="FFFFFF"/>
      <w:spacing w:val="8"/>
      <w:sz w:val="40"/>
      <w:szCs w:val="40"/>
    </w:rPr>
  </w:style>
  <w:style w:type="paragraph" w:styleId="List">
    <w:name w:val="List"/>
    <w:basedOn w:val="Normal"/>
    <w:uiPriority w:val="99"/>
    <w:unhideWhenUsed/>
    <w:rsid w:val="005C1C96"/>
    <w:pPr>
      <w:spacing w:after="170" w:line="260" w:lineRule="atLeast"/>
      <w:ind w:left="454" w:hanging="454"/>
    </w:pPr>
    <w:rPr>
      <w:rFonts w:ascii="Arial" w:hAnsi="Arial"/>
      <w:sz w:val="20"/>
    </w:rPr>
  </w:style>
  <w:style w:type="character" w:customStyle="1" w:styleId="BlueBold">
    <w:name w:val="Blue Bold"/>
    <w:basedOn w:val="DefaultParagraphFont"/>
    <w:uiPriority w:val="1"/>
    <w:qFormat/>
    <w:rsid w:val="005C1C96"/>
    <w:rPr>
      <w:b/>
      <w:color w:val="008EAB" w:themeColor="accent2"/>
    </w:rPr>
  </w:style>
  <w:style w:type="paragraph" w:styleId="ListBullet2">
    <w:name w:val="List Bullet 2"/>
    <w:basedOn w:val="Normal"/>
    <w:uiPriority w:val="99"/>
    <w:unhideWhenUsed/>
    <w:rsid w:val="00D840A0"/>
    <w:pPr>
      <w:numPr>
        <w:numId w:val="5"/>
      </w:numPr>
      <w:spacing w:after="57"/>
      <w:ind w:left="672" w:hanging="196"/>
    </w:pPr>
    <w:rPr>
      <w:rFonts w:ascii="Arial" w:hAnsi="Arial"/>
      <w:sz w:val="20"/>
    </w:rPr>
  </w:style>
  <w:style w:type="paragraph" w:customStyle="1" w:styleId="ReferenceNumbering">
    <w:name w:val="Reference Numbering"/>
    <w:basedOn w:val="Normal"/>
    <w:qFormat/>
    <w:rsid w:val="005F1E13"/>
    <w:pPr>
      <w:tabs>
        <w:tab w:val="left" w:pos="454"/>
        <w:tab w:val="left" w:pos="907"/>
      </w:tabs>
      <w:suppressAutoHyphens/>
      <w:autoSpaceDE w:val="0"/>
      <w:autoSpaceDN w:val="0"/>
      <w:adjustRightInd w:val="0"/>
      <w:spacing w:after="170" w:line="260" w:lineRule="atLeast"/>
      <w:ind w:left="454" w:hanging="454"/>
      <w:textAlignment w:val="center"/>
    </w:pPr>
    <w:rPr>
      <w:rFonts w:ascii="Arial" w:hAnsi="Arial" w:cs="Helvetica 45 Light"/>
      <w:color w:val="000000"/>
      <w:spacing w:val="4"/>
      <w:sz w:val="20"/>
      <w:szCs w:val="20"/>
    </w:rPr>
  </w:style>
  <w:style w:type="paragraph" w:customStyle="1" w:styleId="AppendixSubheading">
    <w:name w:val="Appendix Subheading"/>
    <w:basedOn w:val="Normal"/>
    <w:qFormat/>
    <w:rsid w:val="005F1E13"/>
    <w:pPr>
      <w:keepNext/>
      <w:suppressAutoHyphens/>
      <w:autoSpaceDE w:val="0"/>
      <w:autoSpaceDN w:val="0"/>
      <w:adjustRightInd w:val="0"/>
      <w:spacing w:after="142" w:line="360" w:lineRule="atLeast"/>
      <w:textAlignment w:val="center"/>
    </w:pPr>
    <w:rPr>
      <w:rFonts w:ascii="Arial" w:hAnsi="Arial" w:cs="Museo Sans 500"/>
      <w:color w:val="008DAA"/>
      <w:spacing w:val="6"/>
      <w:sz w:val="32"/>
      <w:szCs w:val="32"/>
    </w:rPr>
  </w:style>
  <w:style w:type="table" w:customStyle="1" w:styleId="SAQ290Table">
    <w:name w:val="SAQ290_Table"/>
    <w:basedOn w:val="TableNormal"/>
    <w:uiPriority w:val="99"/>
    <w:rsid w:val="0081460F"/>
    <w:pPr>
      <w:spacing w:after="0" w:line="240" w:lineRule="auto"/>
    </w:pPr>
    <w:rPr>
      <w:rFonts w:ascii="Arial" w:hAnsi="Arial"/>
      <w:sz w:val="20"/>
    </w:rPr>
    <w:tblPr>
      <w:tblStyleRowBandSize w:val="1"/>
      <w:tblStyleColBandSize w:val="1"/>
      <w:tblBorders>
        <w:top w:val="dashed" w:sz="4" w:space="0" w:color="008EAB" w:themeColor="accent2"/>
        <w:left w:val="dashed" w:sz="4" w:space="0" w:color="008EAB" w:themeColor="accent2"/>
        <w:bottom w:val="dashed" w:sz="4" w:space="0" w:color="008EAB" w:themeColor="accent2"/>
        <w:right w:val="dashed" w:sz="4" w:space="0" w:color="008EAB" w:themeColor="accent2"/>
        <w:insideH w:val="dashed" w:sz="4" w:space="0" w:color="008EAB" w:themeColor="accent2"/>
        <w:insideV w:val="dashed" w:sz="4" w:space="0" w:color="008EAB" w:themeColor="accent2"/>
      </w:tblBorders>
      <w:tblCellMar>
        <w:top w:w="170" w:type="dxa"/>
        <w:left w:w="170" w:type="dxa"/>
        <w:bottom w:w="170" w:type="dxa"/>
        <w:right w:w="170" w:type="dxa"/>
      </w:tblCellMar>
    </w:tblPr>
    <w:tblStylePr w:type="firstRow">
      <w:rPr>
        <w:color w:val="FFFFFF" w:themeColor="background2"/>
        <w:sz w:val="24"/>
      </w:rPr>
      <w:tblPr/>
      <w:trPr>
        <w:tblHeader/>
      </w:trPr>
      <w:tcPr>
        <w:tcBorders>
          <w:top w:val="nil"/>
          <w:left w:val="nil"/>
          <w:bottom w:val="nil"/>
          <w:right w:val="nil"/>
          <w:insideH w:val="nil"/>
          <w:insideV w:val="nil"/>
          <w:tl2br w:val="nil"/>
          <w:tr2bl w:val="nil"/>
        </w:tcBorders>
        <w:shd w:val="clear" w:color="auto" w:fill="008EAB" w:themeFill="accent2"/>
      </w:tcPr>
    </w:tblStylePr>
    <w:tblStylePr w:type="band1Vert">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clear" w:color="auto" w:fill="D4E1E9" w:themeFill="accent4"/>
      </w:tcPr>
    </w:tblStylePr>
    <w:tblStylePr w:type="band2Horz">
      <w:tblPr/>
      <w:tcPr>
        <w:tcBorders>
          <w:top w:val="nil"/>
          <w:left w:val="nil"/>
          <w:bottom w:val="nil"/>
          <w:right w:val="nil"/>
          <w:insideH w:val="nil"/>
          <w:insideV w:val="nil"/>
          <w:tl2br w:val="nil"/>
          <w:tr2bl w:val="nil"/>
        </w:tcBorders>
      </w:tcPr>
    </w:tblStylePr>
  </w:style>
  <w:style w:type="paragraph" w:customStyle="1" w:styleId="TableHeading">
    <w:name w:val="Table Heading"/>
    <w:basedOn w:val="TableText"/>
    <w:qFormat/>
    <w:rsid w:val="00AF6251"/>
    <w:pPr>
      <w:spacing w:line="280" w:lineRule="atLeast"/>
    </w:pPr>
    <w:rPr>
      <w:b/>
      <w:color w:val="FFFFFF" w:themeColor="background2"/>
      <w:sz w:val="24"/>
    </w:rPr>
  </w:style>
  <w:style w:type="character" w:styleId="CommentReference">
    <w:name w:val="annotation reference"/>
    <w:basedOn w:val="DefaultParagraphFont"/>
    <w:uiPriority w:val="99"/>
    <w:semiHidden/>
    <w:unhideWhenUsed/>
    <w:rsid w:val="0081460F"/>
    <w:rPr>
      <w:sz w:val="16"/>
      <w:szCs w:val="16"/>
    </w:rPr>
  </w:style>
  <w:style w:type="paragraph" w:styleId="CommentText">
    <w:name w:val="annotation text"/>
    <w:basedOn w:val="Normal"/>
    <w:link w:val="CommentTextChar"/>
    <w:uiPriority w:val="99"/>
    <w:semiHidden/>
    <w:unhideWhenUsed/>
    <w:rsid w:val="0081460F"/>
    <w:pPr>
      <w:spacing w:line="240" w:lineRule="auto"/>
    </w:pPr>
    <w:rPr>
      <w:sz w:val="20"/>
      <w:szCs w:val="20"/>
    </w:rPr>
  </w:style>
  <w:style w:type="character" w:customStyle="1" w:styleId="CommentTextChar">
    <w:name w:val="Comment Text Char"/>
    <w:basedOn w:val="DefaultParagraphFont"/>
    <w:link w:val="CommentText"/>
    <w:uiPriority w:val="99"/>
    <w:semiHidden/>
    <w:rsid w:val="0081460F"/>
    <w:rPr>
      <w:sz w:val="20"/>
      <w:szCs w:val="20"/>
    </w:rPr>
  </w:style>
  <w:style w:type="paragraph" w:styleId="CommentSubject">
    <w:name w:val="annotation subject"/>
    <w:basedOn w:val="CommentText"/>
    <w:next w:val="CommentText"/>
    <w:link w:val="CommentSubjectChar"/>
    <w:uiPriority w:val="99"/>
    <w:semiHidden/>
    <w:unhideWhenUsed/>
    <w:rsid w:val="0081460F"/>
    <w:rPr>
      <w:b/>
      <w:bCs/>
    </w:rPr>
  </w:style>
  <w:style w:type="character" w:customStyle="1" w:styleId="CommentSubjectChar">
    <w:name w:val="Comment Subject Char"/>
    <w:basedOn w:val="CommentTextChar"/>
    <w:link w:val="CommentSubject"/>
    <w:uiPriority w:val="99"/>
    <w:semiHidden/>
    <w:rsid w:val="0081460F"/>
    <w:rPr>
      <w:b/>
      <w:bCs/>
      <w:sz w:val="20"/>
      <w:szCs w:val="20"/>
    </w:rPr>
  </w:style>
  <w:style w:type="paragraph" w:styleId="BalloonText">
    <w:name w:val="Balloon Text"/>
    <w:basedOn w:val="Normal"/>
    <w:link w:val="BalloonTextChar"/>
    <w:uiPriority w:val="99"/>
    <w:semiHidden/>
    <w:unhideWhenUsed/>
    <w:rsid w:val="008146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60F"/>
    <w:rPr>
      <w:rFonts w:ascii="Segoe UI" w:hAnsi="Segoe UI" w:cs="Segoe UI"/>
      <w:sz w:val="18"/>
      <w:szCs w:val="18"/>
    </w:rPr>
  </w:style>
  <w:style w:type="paragraph" w:customStyle="1" w:styleId="Reference">
    <w:name w:val="Reference"/>
    <w:basedOn w:val="Normal"/>
    <w:qFormat/>
    <w:rsid w:val="00F94B9D"/>
    <w:pPr>
      <w:tabs>
        <w:tab w:val="left" w:pos="170"/>
        <w:tab w:val="left" w:pos="283"/>
        <w:tab w:val="left" w:pos="567"/>
        <w:tab w:val="left" w:pos="850"/>
        <w:tab w:val="left" w:pos="1134"/>
        <w:tab w:val="left" w:pos="1417"/>
        <w:tab w:val="left" w:pos="1701"/>
      </w:tabs>
      <w:suppressAutoHyphens/>
      <w:autoSpaceDE w:val="0"/>
      <w:autoSpaceDN w:val="0"/>
      <w:adjustRightInd w:val="0"/>
      <w:spacing w:after="57" w:line="200" w:lineRule="atLeast"/>
      <w:textAlignment w:val="center"/>
    </w:pPr>
    <w:rPr>
      <w:rFonts w:ascii="Arial" w:hAnsi="Arial" w:cs="Helvetica 45 Light"/>
      <w:color w:val="000000"/>
      <w:spacing w:val="2"/>
      <w:sz w:val="16"/>
      <w:szCs w:val="16"/>
    </w:rPr>
  </w:style>
  <w:style w:type="paragraph" w:customStyle="1" w:styleId="BackPageCopy">
    <w:name w:val="Back Page Copy"/>
    <w:basedOn w:val="BodyText"/>
    <w:qFormat/>
    <w:rsid w:val="00F94B9D"/>
    <w:pPr>
      <w:spacing w:after="113"/>
    </w:pPr>
  </w:style>
  <w:style w:type="paragraph" w:customStyle="1" w:styleId="BackPageHeading">
    <w:name w:val="Back Page Heading"/>
    <w:basedOn w:val="BackPageCopy"/>
    <w:qFormat/>
    <w:rsid w:val="00F94B9D"/>
    <w:rPr>
      <w:b/>
      <w:color w:val="008EAB" w:themeColor="accent2"/>
      <w:sz w:val="22"/>
    </w:rPr>
  </w:style>
  <w:style w:type="character" w:styleId="Hyperlink">
    <w:name w:val="Hyperlink"/>
    <w:basedOn w:val="DefaultParagraphFont"/>
    <w:uiPriority w:val="99"/>
    <w:unhideWhenUsed/>
    <w:rsid w:val="00F94B9D"/>
    <w:rPr>
      <w:color w:val="0563C1" w:themeColor="hyperlink"/>
      <w:u w:val="single"/>
    </w:rPr>
  </w:style>
  <w:style w:type="character" w:customStyle="1" w:styleId="UnresolvedMention1">
    <w:name w:val="Unresolved Mention1"/>
    <w:basedOn w:val="DefaultParagraphFont"/>
    <w:uiPriority w:val="99"/>
    <w:semiHidden/>
    <w:unhideWhenUsed/>
    <w:rsid w:val="00F94B9D"/>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1E13"/>
  </w:style>
  <w:style w:type="paragraph" w:styleId="Heading1">
    <w:name w:val="heading 1"/>
    <w:basedOn w:val="Normal"/>
    <w:next w:val="Normal"/>
    <w:link w:val="Heading1Char"/>
    <w:uiPriority w:val="9"/>
    <w:qFormat/>
    <w:rsid w:val="002443D8"/>
    <w:pPr>
      <w:keepNext/>
      <w:keepLines/>
      <w:spacing w:after="0" w:line="500" w:lineRule="atLeast"/>
      <w:ind w:left="680" w:hanging="680"/>
      <w:outlineLvl w:val="0"/>
    </w:pPr>
    <w:rPr>
      <w:rFonts w:ascii="Arial" w:eastAsiaTheme="majorEastAsia" w:hAnsi="Arial" w:cstheme="majorBidi"/>
      <w:color w:val="007E99" w:themeColor="accent1"/>
      <w:sz w:val="46"/>
      <w:szCs w:val="32"/>
    </w:rPr>
  </w:style>
  <w:style w:type="paragraph" w:styleId="Heading2">
    <w:name w:val="heading 2"/>
    <w:basedOn w:val="Normal"/>
    <w:next w:val="Normal"/>
    <w:link w:val="Heading2Char"/>
    <w:uiPriority w:val="9"/>
    <w:unhideWhenUsed/>
    <w:qFormat/>
    <w:rsid w:val="00BB5333"/>
    <w:pPr>
      <w:keepNext/>
      <w:keepLines/>
      <w:spacing w:after="142" w:line="360" w:lineRule="atLeast"/>
      <w:outlineLvl w:val="1"/>
    </w:pPr>
    <w:rPr>
      <w:rFonts w:ascii="Arial" w:eastAsiaTheme="majorEastAsia" w:hAnsi="Arial" w:cstheme="majorBidi"/>
      <w:color w:val="007E99" w:themeColor="accent1"/>
      <w:sz w:val="32"/>
      <w:szCs w:val="26"/>
    </w:rPr>
  </w:style>
  <w:style w:type="paragraph" w:styleId="Heading3">
    <w:name w:val="heading 3"/>
    <w:basedOn w:val="Normal"/>
    <w:next w:val="Normal"/>
    <w:link w:val="Heading3Char"/>
    <w:uiPriority w:val="9"/>
    <w:unhideWhenUsed/>
    <w:qFormat/>
    <w:rsid w:val="00BB5333"/>
    <w:pPr>
      <w:keepNext/>
      <w:keepLines/>
      <w:spacing w:after="113" w:line="280" w:lineRule="atLeast"/>
      <w:outlineLvl w:val="2"/>
    </w:pPr>
    <w:rPr>
      <w:rFonts w:ascii="Arial" w:eastAsiaTheme="majorEastAsia" w:hAnsi="Arial" w:cstheme="majorBidi"/>
      <w:color w:val="9E2D8A" w:themeColor="accent5"/>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24D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24DD"/>
  </w:style>
  <w:style w:type="paragraph" w:styleId="Footer">
    <w:name w:val="footer"/>
    <w:basedOn w:val="Normal"/>
    <w:link w:val="FooterChar"/>
    <w:uiPriority w:val="99"/>
    <w:unhideWhenUsed/>
    <w:rsid w:val="00E31EC0"/>
    <w:pPr>
      <w:tabs>
        <w:tab w:val="center" w:pos="4513"/>
        <w:tab w:val="right" w:pos="9026"/>
      </w:tabs>
      <w:spacing w:after="0" w:line="240" w:lineRule="auto"/>
    </w:pPr>
    <w:rPr>
      <w:rFonts w:ascii="Arial" w:hAnsi="Arial"/>
      <w:color w:val="000000" w:themeColor="text2"/>
      <w:sz w:val="18"/>
    </w:rPr>
  </w:style>
  <w:style w:type="character" w:customStyle="1" w:styleId="FooterChar">
    <w:name w:val="Footer Char"/>
    <w:basedOn w:val="DefaultParagraphFont"/>
    <w:link w:val="Footer"/>
    <w:uiPriority w:val="99"/>
    <w:rsid w:val="00E31EC0"/>
    <w:rPr>
      <w:rFonts w:ascii="Arial" w:hAnsi="Arial"/>
      <w:color w:val="000000" w:themeColor="text2"/>
      <w:sz w:val="18"/>
    </w:rPr>
  </w:style>
  <w:style w:type="paragraph" w:styleId="BodyText">
    <w:name w:val="Body Text"/>
    <w:basedOn w:val="Normal"/>
    <w:link w:val="BodyTextChar"/>
    <w:uiPriority w:val="99"/>
    <w:unhideWhenUsed/>
    <w:rsid w:val="009B382F"/>
    <w:pPr>
      <w:spacing w:after="170" w:line="260" w:lineRule="atLeast"/>
    </w:pPr>
    <w:rPr>
      <w:rFonts w:ascii="Arial" w:hAnsi="Arial"/>
      <w:color w:val="000000" w:themeColor="text2"/>
      <w:sz w:val="20"/>
    </w:rPr>
  </w:style>
  <w:style w:type="character" w:customStyle="1" w:styleId="BodyTextChar">
    <w:name w:val="Body Text Char"/>
    <w:basedOn w:val="DefaultParagraphFont"/>
    <w:link w:val="BodyText"/>
    <w:uiPriority w:val="99"/>
    <w:rsid w:val="009B382F"/>
    <w:rPr>
      <w:rFonts w:ascii="Arial" w:hAnsi="Arial"/>
      <w:color w:val="000000" w:themeColor="text2"/>
      <w:sz w:val="20"/>
    </w:rPr>
  </w:style>
  <w:style w:type="character" w:customStyle="1" w:styleId="Heading1Char">
    <w:name w:val="Heading 1 Char"/>
    <w:basedOn w:val="DefaultParagraphFont"/>
    <w:link w:val="Heading1"/>
    <w:uiPriority w:val="9"/>
    <w:rsid w:val="002443D8"/>
    <w:rPr>
      <w:rFonts w:ascii="Arial" w:eastAsiaTheme="majorEastAsia" w:hAnsi="Arial" w:cstheme="majorBidi"/>
      <w:color w:val="007E99" w:themeColor="accent1"/>
      <w:sz w:val="46"/>
      <w:szCs w:val="32"/>
    </w:rPr>
  </w:style>
  <w:style w:type="character" w:customStyle="1" w:styleId="Heading2Char">
    <w:name w:val="Heading 2 Char"/>
    <w:basedOn w:val="DefaultParagraphFont"/>
    <w:link w:val="Heading2"/>
    <w:uiPriority w:val="9"/>
    <w:rsid w:val="00BB5333"/>
    <w:rPr>
      <w:rFonts w:ascii="Arial" w:eastAsiaTheme="majorEastAsia" w:hAnsi="Arial" w:cstheme="majorBidi"/>
      <w:color w:val="007E99" w:themeColor="accent1"/>
      <w:sz w:val="32"/>
      <w:szCs w:val="26"/>
    </w:rPr>
  </w:style>
  <w:style w:type="paragraph" w:customStyle="1" w:styleId="FooterSubheading">
    <w:name w:val="Footer Subheading"/>
    <w:basedOn w:val="Footer"/>
    <w:qFormat/>
    <w:rsid w:val="008C6B20"/>
    <w:pPr>
      <w:tabs>
        <w:tab w:val="clear" w:pos="4513"/>
        <w:tab w:val="clear" w:pos="9026"/>
      </w:tabs>
      <w:jc w:val="right"/>
    </w:pPr>
    <w:rPr>
      <w:b/>
      <w:color w:val="007E99" w:themeColor="accent1"/>
    </w:rPr>
  </w:style>
  <w:style w:type="character" w:customStyle="1" w:styleId="Superscript">
    <w:name w:val="Superscript"/>
    <w:uiPriority w:val="99"/>
    <w:rsid w:val="00696364"/>
    <w:rPr>
      <w:vertAlign w:val="superscript"/>
    </w:rPr>
  </w:style>
  <w:style w:type="character" w:customStyle="1" w:styleId="Lightitalic">
    <w:name w:val="Light italic"/>
    <w:uiPriority w:val="99"/>
    <w:rsid w:val="00696364"/>
    <w:rPr>
      <w:rFonts w:ascii="Helvetica 45 Light" w:hAnsi="Helvetica 45 Light" w:cs="Helvetica 45 Light"/>
      <w:i/>
      <w:iCs/>
    </w:rPr>
  </w:style>
  <w:style w:type="character" w:customStyle="1" w:styleId="Boldfigures">
    <w:name w:val="Bold (figures)"/>
    <w:uiPriority w:val="99"/>
    <w:rsid w:val="002351B2"/>
    <w:rPr>
      <w:rFonts w:ascii="Museo Sans 700" w:hAnsi="Museo Sans 700" w:cs="Museo Sans 700"/>
    </w:rPr>
  </w:style>
  <w:style w:type="paragraph" w:customStyle="1" w:styleId="NoParagraphStyle">
    <w:name w:val="[No Paragraph Style]"/>
    <w:rsid w:val="00ED5050"/>
    <w:pPr>
      <w:autoSpaceDE w:val="0"/>
      <w:autoSpaceDN w:val="0"/>
      <w:adjustRightInd w:val="0"/>
      <w:spacing w:after="0" w:line="288" w:lineRule="auto"/>
      <w:textAlignment w:val="center"/>
    </w:pPr>
    <w:rPr>
      <w:rFonts w:ascii="Times Regular" w:hAnsi="Times Regular" w:cs="Times Regular"/>
      <w:color w:val="000000"/>
      <w:sz w:val="24"/>
      <w:szCs w:val="24"/>
    </w:rPr>
  </w:style>
  <w:style w:type="paragraph" w:customStyle="1" w:styleId="PartTitle">
    <w:name w:val="Part Title"/>
    <w:basedOn w:val="NoParagraphStyle"/>
    <w:qFormat/>
    <w:rsid w:val="00B137DC"/>
    <w:pPr>
      <w:suppressAutoHyphens/>
      <w:spacing w:line="300" w:lineRule="atLeast"/>
      <w:jc w:val="right"/>
    </w:pPr>
    <w:rPr>
      <w:rFonts w:ascii="Arial" w:hAnsi="Arial" w:cs="Museo Sans 500"/>
      <w:color w:val="007E99" w:themeColor="accent1"/>
      <w:spacing w:val="8"/>
      <w:sz w:val="40"/>
      <w:szCs w:val="40"/>
    </w:rPr>
  </w:style>
  <w:style w:type="paragraph" w:customStyle="1" w:styleId="PartSubtitle">
    <w:name w:val="Part Subtitle"/>
    <w:qFormat/>
    <w:rsid w:val="00B137DC"/>
    <w:pPr>
      <w:spacing w:after="0" w:line="280" w:lineRule="atLeast"/>
      <w:jc w:val="right"/>
    </w:pPr>
    <w:rPr>
      <w:rFonts w:ascii="Museo Sans 500" w:eastAsiaTheme="majorEastAsia" w:hAnsi="Museo Sans 500" w:cs="Museo Sans 500"/>
      <w:color w:val="008EAB" w:themeColor="accent2"/>
      <w:spacing w:val="5"/>
      <w:sz w:val="24"/>
      <w:szCs w:val="32"/>
    </w:rPr>
  </w:style>
  <w:style w:type="paragraph" w:customStyle="1" w:styleId="TableText">
    <w:name w:val="Table Text"/>
    <w:basedOn w:val="Normal"/>
    <w:qFormat/>
    <w:rsid w:val="00455B37"/>
    <w:pPr>
      <w:tabs>
        <w:tab w:val="left" w:pos="283"/>
        <w:tab w:val="left" w:pos="567"/>
        <w:tab w:val="left" w:pos="850"/>
        <w:tab w:val="left" w:pos="1134"/>
        <w:tab w:val="left" w:pos="1417"/>
        <w:tab w:val="left" w:pos="1701"/>
        <w:tab w:val="left" w:pos="1984"/>
        <w:tab w:val="left" w:pos="2268"/>
      </w:tabs>
      <w:suppressAutoHyphens/>
      <w:autoSpaceDE w:val="0"/>
      <w:autoSpaceDN w:val="0"/>
      <w:adjustRightInd w:val="0"/>
      <w:spacing w:after="0" w:line="240" w:lineRule="atLeast"/>
      <w:textAlignment w:val="center"/>
    </w:pPr>
    <w:rPr>
      <w:rFonts w:ascii="Arial" w:hAnsi="Arial" w:cs="Helvetica 45 Light"/>
      <w:color w:val="000000" w:themeColor="text2"/>
      <w:spacing w:val="4"/>
      <w:sz w:val="20"/>
      <w:szCs w:val="20"/>
    </w:rPr>
  </w:style>
  <w:style w:type="table" w:styleId="TableGrid">
    <w:name w:val="Table Grid"/>
    <w:basedOn w:val="TableNormal"/>
    <w:uiPriority w:val="39"/>
    <w:rsid w:val="00455B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Heading">
    <w:name w:val="Main Heading"/>
    <w:basedOn w:val="BodyText"/>
    <w:qFormat/>
    <w:rsid w:val="00E37444"/>
    <w:pPr>
      <w:spacing w:after="340" w:line="520" w:lineRule="atLeast"/>
      <w:jc w:val="right"/>
    </w:pPr>
    <w:rPr>
      <w:color w:val="008EAB" w:themeColor="accent2"/>
      <w:sz w:val="46"/>
    </w:rPr>
  </w:style>
  <w:style w:type="paragraph" w:customStyle="1" w:styleId="Mainsubheading">
    <w:name w:val="Main subheading"/>
    <w:basedOn w:val="MainHeading"/>
    <w:qFormat/>
    <w:rsid w:val="00E37444"/>
    <w:pPr>
      <w:spacing w:line="880" w:lineRule="exact"/>
    </w:pPr>
    <w:rPr>
      <w:sz w:val="88"/>
    </w:rPr>
  </w:style>
  <w:style w:type="paragraph" w:styleId="Date">
    <w:name w:val="Date"/>
    <w:basedOn w:val="Normal"/>
    <w:next w:val="Normal"/>
    <w:link w:val="DateChar"/>
    <w:uiPriority w:val="99"/>
    <w:unhideWhenUsed/>
    <w:rsid w:val="00A262F3"/>
    <w:pPr>
      <w:spacing w:after="0" w:line="360" w:lineRule="atLeast"/>
      <w:jc w:val="right"/>
    </w:pPr>
    <w:rPr>
      <w:rFonts w:ascii="Arial" w:hAnsi="Arial"/>
      <w:sz w:val="32"/>
    </w:rPr>
  </w:style>
  <w:style w:type="character" w:customStyle="1" w:styleId="DateChar">
    <w:name w:val="Date Char"/>
    <w:basedOn w:val="DefaultParagraphFont"/>
    <w:link w:val="Date"/>
    <w:uiPriority w:val="99"/>
    <w:rsid w:val="00A262F3"/>
    <w:rPr>
      <w:rFonts w:ascii="Arial" w:hAnsi="Arial"/>
      <w:sz w:val="32"/>
    </w:rPr>
  </w:style>
  <w:style w:type="paragraph" w:customStyle="1" w:styleId="Disclaimer">
    <w:name w:val="Disclaimer"/>
    <w:basedOn w:val="BodyText"/>
    <w:qFormat/>
    <w:rsid w:val="00A262F3"/>
    <w:pPr>
      <w:spacing w:after="113" w:line="220" w:lineRule="atLeast"/>
    </w:pPr>
    <w:rPr>
      <w:sz w:val="18"/>
    </w:rPr>
  </w:style>
  <w:style w:type="character" w:styleId="Strong">
    <w:name w:val="Strong"/>
    <w:basedOn w:val="DefaultParagraphFont"/>
    <w:uiPriority w:val="22"/>
    <w:qFormat/>
    <w:rsid w:val="00A262F3"/>
    <w:rPr>
      <w:b/>
      <w:bCs/>
    </w:rPr>
  </w:style>
  <w:style w:type="paragraph" w:styleId="TOC1">
    <w:name w:val="toc 1"/>
    <w:basedOn w:val="Normal"/>
    <w:next w:val="Normal"/>
    <w:autoRedefine/>
    <w:uiPriority w:val="39"/>
    <w:unhideWhenUsed/>
    <w:rsid w:val="0081490F"/>
    <w:pPr>
      <w:pBdr>
        <w:bottom w:val="dashed" w:sz="4" w:space="1" w:color="auto"/>
      </w:pBdr>
      <w:tabs>
        <w:tab w:val="right" w:pos="9855"/>
      </w:tabs>
      <w:spacing w:before="113" w:after="28" w:line="280" w:lineRule="atLeast"/>
    </w:pPr>
    <w:rPr>
      <w:rFonts w:ascii="Arial" w:hAnsi="Arial"/>
      <w:b/>
      <w:sz w:val="24"/>
    </w:rPr>
  </w:style>
  <w:style w:type="paragraph" w:customStyle="1" w:styleId="Spacer">
    <w:name w:val="Spacer"/>
    <w:basedOn w:val="Normal"/>
    <w:qFormat/>
    <w:rsid w:val="0081490F"/>
    <w:pPr>
      <w:spacing w:after="0" w:line="240" w:lineRule="auto"/>
    </w:pPr>
    <w:rPr>
      <w:sz w:val="2"/>
    </w:rPr>
  </w:style>
  <w:style w:type="paragraph" w:styleId="TOC2">
    <w:name w:val="toc 2"/>
    <w:basedOn w:val="Normal"/>
    <w:next w:val="Normal"/>
    <w:autoRedefine/>
    <w:uiPriority w:val="39"/>
    <w:unhideWhenUsed/>
    <w:rsid w:val="0081490F"/>
    <w:pPr>
      <w:pBdr>
        <w:bottom w:val="dashed" w:sz="4" w:space="1" w:color="008EAB" w:themeColor="accent2"/>
      </w:pBdr>
      <w:tabs>
        <w:tab w:val="left" w:pos="340"/>
        <w:tab w:val="left" w:pos="709"/>
        <w:tab w:val="right" w:pos="9854"/>
      </w:tabs>
      <w:spacing w:after="0" w:line="280" w:lineRule="atLeast"/>
    </w:pPr>
    <w:rPr>
      <w:rFonts w:ascii="Arial" w:hAnsi="Arial"/>
      <w:color w:val="008EAB" w:themeColor="accent2"/>
      <w:sz w:val="21"/>
    </w:rPr>
  </w:style>
  <w:style w:type="character" w:styleId="Emphasis">
    <w:name w:val="Emphasis"/>
    <w:basedOn w:val="DefaultParagraphFont"/>
    <w:uiPriority w:val="20"/>
    <w:qFormat/>
    <w:rsid w:val="00D00A6E"/>
    <w:rPr>
      <w:i/>
      <w:iCs/>
    </w:rPr>
  </w:style>
  <w:style w:type="paragraph" w:customStyle="1" w:styleId="Bodytextbeforebullets">
    <w:name w:val="Body text before bullets"/>
    <w:basedOn w:val="BodyText"/>
    <w:qFormat/>
    <w:rsid w:val="00BB5333"/>
    <w:pPr>
      <w:spacing w:after="85"/>
    </w:pPr>
  </w:style>
  <w:style w:type="paragraph" w:styleId="ListBullet">
    <w:name w:val="List Bullet"/>
    <w:basedOn w:val="Normal"/>
    <w:uiPriority w:val="99"/>
    <w:unhideWhenUsed/>
    <w:rsid w:val="00BB5333"/>
    <w:pPr>
      <w:numPr>
        <w:numId w:val="3"/>
      </w:numPr>
      <w:spacing w:after="57"/>
      <w:ind w:left="284" w:hanging="284"/>
    </w:pPr>
    <w:rPr>
      <w:rFonts w:ascii="Arial" w:hAnsi="Arial"/>
      <w:sz w:val="20"/>
    </w:rPr>
  </w:style>
  <w:style w:type="paragraph" w:customStyle="1" w:styleId="ListBulletLast">
    <w:name w:val="List Bullet Last"/>
    <w:basedOn w:val="ListBullet"/>
    <w:qFormat/>
    <w:rsid w:val="00BB5333"/>
    <w:pPr>
      <w:spacing w:after="170"/>
    </w:pPr>
  </w:style>
  <w:style w:type="character" w:customStyle="1" w:styleId="Heading3Char">
    <w:name w:val="Heading 3 Char"/>
    <w:basedOn w:val="DefaultParagraphFont"/>
    <w:link w:val="Heading3"/>
    <w:uiPriority w:val="9"/>
    <w:rsid w:val="00BB5333"/>
    <w:rPr>
      <w:rFonts w:ascii="Arial" w:eastAsiaTheme="majorEastAsia" w:hAnsi="Arial" w:cstheme="majorBidi"/>
      <w:color w:val="9E2D8A" w:themeColor="accent5"/>
      <w:sz w:val="26"/>
      <w:szCs w:val="24"/>
    </w:rPr>
  </w:style>
  <w:style w:type="paragraph" w:customStyle="1" w:styleId="BodyTextLastPara">
    <w:name w:val="Body Text Last Para"/>
    <w:basedOn w:val="BodyText"/>
    <w:qFormat/>
    <w:rsid w:val="00BB5333"/>
    <w:pPr>
      <w:spacing w:after="283"/>
    </w:pPr>
  </w:style>
  <w:style w:type="paragraph" w:styleId="BodyTextIndent">
    <w:name w:val="Body Text Indent"/>
    <w:basedOn w:val="BodyText"/>
    <w:link w:val="BodyTextIndentChar"/>
    <w:uiPriority w:val="99"/>
    <w:unhideWhenUsed/>
    <w:rsid w:val="00BB5333"/>
    <w:pPr>
      <w:spacing w:after="120"/>
      <w:ind w:left="284"/>
    </w:pPr>
  </w:style>
  <w:style w:type="character" w:customStyle="1" w:styleId="BodyTextIndentChar">
    <w:name w:val="Body Text Indent Char"/>
    <w:basedOn w:val="DefaultParagraphFont"/>
    <w:link w:val="BodyTextIndent"/>
    <w:uiPriority w:val="99"/>
    <w:rsid w:val="00BB5333"/>
    <w:rPr>
      <w:rFonts w:ascii="Arial" w:hAnsi="Arial"/>
      <w:color w:val="000000" w:themeColor="text2"/>
      <w:sz w:val="20"/>
    </w:rPr>
  </w:style>
  <w:style w:type="paragraph" w:customStyle="1" w:styleId="TableNumber">
    <w:name w:val="Table Number"/>
    <w:basedOn w:val="Normal"/>
    <w:qFormat/>
    <w:rsid w:val="005F1E13"/>
    <w:pPr>
      <w:numPr>
        <w:numId w:val="6"/>
      </w:numPr>
      <w:tabs>
        <w:tab w:val="left" w:pos="397"/>
        <w:tab w:val="left" w:pos="567"/>
      </w:tabs>
      <w:suppressAutoHyphens/>
      <w:autoSpaceDE w:val="0"/>
      <w:autoSpaceDN w:val="0"/>
      <w:adjustRightInd w:val="0"/>
      <w:spacing w:after="227" w:line="260" w:lineRule="atLeast"/>
      <w:ind w:left="568" w:right="454" w:hanging="284"/>
      <w:textAlignment w:val="center"/>
    </w:pPr>
    <w:rPr>
      <w:rFonts w:ascii="Arial" w:hAnsi="Arial" w:cs="Museo Sans 500"/>
      <w:color w:val="000000"/>
      <w:spacing w:val="4"/>
    </w:rPr>
  </w:style>
  <w:style w:type="paragraph" w:customStyle="1" w:styleId="PurpleTableText">
    <w:name w:val="Purple Table_Text"/>
    <w:basedOn w:val="TableText"/>
    <w:qFormat/>
    <w:rsid w:val="00953E33"/>
    <w:pPr>
      <w:spacing w:after="227" w:line="260" w:lineRule="atLeast"/>
    </w:pPr>
    <w:rPr>
      <w:sz w:val="22"/>
    </w:rPr>
  </w:style>
  <w:style w:type="paragraph" w:customStyle="1" w:styleId="PurpleTableheadings">
    <w:name w:val="Purple Table_headings"/>
    <w:basedOn w:val="PurpleTableText"/>
    <w:qFormat/>
    <w:rsid w:val="00953E33"/>
    <w:pPr>
      <w:spacing w:before="240" w:after="113" w:line="320" w:lineRule="atLeast"/>
    </w:pPr>
    <w:rPr>
      <w:b/>
      <w:bCs/>
      <w:sz w:val="26"/>
    </w:rPr>
  </w:style>
  <w:style w:type="paragraph" w:customStyle="1" w:styleId="DividerHeading">
    <w:name w:val="Divider Heading"/>
    <w:basedOn w:val="Normal"/>
    <w:qFormat/>
    <w:rsid w:val="005F1E13"/>
    <w:pPr>
      <w:suppressAutoHyphens/>
      <w:autoSpaceDE w:val="0"/>
      <w:autoSpaceDN w:val="0"/>
      <w:adjustRightInd w:val="0"/>
      <w:spacing w:after="113" w:line="640" w:lineRule="atLeast"/>
      <w:textAlignment w:val="center"/>
    </w:pPr>
    <w:rPr>
      <w:rFonts w:ascii="Arial" w:hAnsi="Arial" w:cs="Museo Sans 500"/>
      <w:color w:val="FFFFFF"/>
      <w:spacing w:val="12"/>
      <w:sz w:val="60"/>
      <w:szCs w:val="60"/>
    </w:rPr>
  </w:style>
  <w:style w:type="paragraph" w:customStyle="1" w:styleId="DividerSubheading">
    <w:name w:val="Divider Subheading"/>
    <w:qFormat/>
    <w:rsid w:val="008809FE"/>
    <w:pPr>
      <w:spacing w:after="0" w:line="440" w:lineRule="atLeast"/>
    </w:pPr>
    <w:rPr>
      <w:rFonts w:ascii="Arial" w:hAnsi="Arial" w:cs="Museo Sans 500"/>
      <w:color w:val="FFFFFF"/>
      <w:spacing w:val="8"/>
      <w:sz w:val="40"/>
      <w:szCs w:val="40"/>
    </w:rPr>
  </w:style>
  <w:style w:type="paragraph" w:styleId="List">
    <w:name w:val="List"/>
    <w:basedOn w:val="Normal"/>
    <w:uiPriority w:val="99"/>
    <w:unhideWhenUsed/>
    <w:rsid w:val="005C1C96"/>
    <w:pPr>
      <w:spacing w:after="170" w:line="260" w:lineRule="atLeast"/>
      <w:ind w:left="454" w:hanging="454"/>
    </w:pPr>
    <w:rPr>
      <w:rFonts w:ascii="Arial" w:hAnsi="Arial"/>
      <w:sz w:val="20"/>
    </w:rPr>
  </w:style>
  <w:style w:type="character" w:customStyle="1" w:styleId="BlueBold">
    <w:name w:val="Blue Bold"/>
    <w:basedOn w:val="DefaultParagraphFont"/>
    <w:uiPriority w:val="1"/>
    <w:qFormat/>
    <w:rsid w:val="005C1C96"/>
    <w:rPr>
      <w:b/>
      <w:color w:val="008EAB" w:themeColor="accent2"/>
    </w:rPr>
  </w:style>
  <w:style w:type="paragraph" w:styleId="ListBullet2">
    <w:name w:val="List Bullet 2"/>
    <w:basedOn w:val="Normal"/>
    <w:uiPriority w:val="99"/>
    <w:unhideWhenUsed/>
    <w:rsid w:val="00D840A0"/>
    <w:pPr>
      <w:numPr>
        <w:numId w:val="5"/>
      </w:numPr>
      <w:spacing w:after="57"/>
      <w:ind w:left="672" w:hanging="196"/>
    </w:pPr>
    <w:rPr>
      <w:rFonts w:ascii="Arial" w:hAnsi="Arial"/>
      <w:sz w:val="20"/>
    </w:rPr>
  </w:style>
  <w:style w:type="paragraph" w:customStyle="1" w:styleId="ReferenceNumbering">
    <w:name w:val="Reference Numbering"/>
    <w:basedOn w:val="Normal"/>
    <w:qFormat/>
    <w:rsid w:val="005F1E13"/>
    <w:pPr>
      <w:tabs>
        <w:tab w:val="left" w:pos="454"/>
        <w:tab w:val="left" w:pos="907"/>
      </w:tabs>
      <w:suppressAutoHyphens/>
      <w:autoSpaceDE w:val="0"/>
      <w:autoSpaceDN w:val="0"/>
      <w:adjustRightInd w:val="0"/>
      <w:spacing w:after="170" w:line="260" w:lineRule="atLeast"/>
      <w:ind w:left="454" w:hanging="454"/>
      <w:textAlignment w:val="center"/>
    </w:pPr>
    <w:rPr>
      <w:rFonts w:ascii="Arial" w:hAnsi="Arial" w:cs="Helvetica 45 Light"/>
      <w:color w:val="000000"/>
      <w:spacing w:val="4"/>
      <w:sz w:val="20"/>
      <w:szCs w:val="20"/>
    </w:rPr>
  </w:style>
  <w:style w:type="paragraph" w:customStyle="1" w:styleId="AppendixSubheading">
    <w:name w:val="Appendix Subheading"/>
    <w:basedOn w:val="Normal"/>
    <w:qFormat/>
    <w:rsid w:val="005F1E13"/>
    <w:pPr>
      <w:keepNext/>
      <w:suppressAutoHyphens/>
      <w:autoSpaceDE w:val="0"/>
      <w:autoSpaceDN w:val="0"/>
      <w:adjustRightInd w:val="0"/>
      <w:spacing w:after="142" w:line="360" w:lineRule="atLeast"/>
      <w:textAlignment w:val="center"/>
    </w:pPr>
    <w:rPr>
      <w:rFonts w:ascii="Arial" w:hAnsi="Arial" w:cs="Museo Sans 500"/>
      <w:color w:val="008DAA"/>
      <w:spacing w:val="6"/>
      <w:sz w:val="32"/>
      <w:szCs w:val="32"/>
    </w:rPr>
  </w:style>
  <w:style w:type="table" w:customStyle="1" w:styleId="SAQ290Table">
    <w:name w:val="SAQ290_Table"/>
    <w:basedOn w:val="TableNormal"/>
    <w:uiPriority w:val="99"/>
    <w:rsid w:val="0081460F"/>
    <w:pPr>
      <w:spacing w:after="0" w:line="240" w:lineRule="auto"/>
    </w:pPr>
    <w:rPr>
      <w:rFonts w:ascii="Arial" w:hAnsi="Arial"/>
      <w:sz w:val="20"/>
    </w:rPr>
    <w:tblPr>
      <w:tblStyleRowBandSize w:val="1"/>
      <w:tblStyleColBandSize w:val="1"/>
      <w:tblBorders>
        <w:top w:val="dashed" w:sz="4" w:space="0" w:color="008EAB" w:themeColor="accent2"/>
        <w:left w:val="dashed" w:sz="4" w:space="0" w:color="008EAB" w:themeColor="accent2"/>
        <w:bottom w:val="dashed" w:sz="4" w:space="0" w:color="008EAB" w:themeColor="accent2"/>
        <w:right w:val="dashed" w:sz="4" w:space="0" w:color="008EAB" w:themeColor="accent2"/>
        <w:insideH w:val="dashed" w:sz="4" w:space="0" w:color="008EAB" w:themeColor="accent2"/>
        <w:insideV w:val="dashed" w:sz="4" w:space="0" w:color="008EAB" w:themeColor="accent2"/>
      </w:tblBorders>
      <w:tblCellMar>
        <w:top w:w="170" w:type="dxa"/>
        <w:left w:w="170" w:type="dxa"/>
        <w:bottom w:w="170" w:type="dxa"/>
        <w:right w:w="170" w:type="dxa"/>
      </w:tblCellMar>
    </w:tblPr>
    <w:tblStylePr w:type="firstRow">
      <w:rPr>
        <w:color w:val="FFFFFF" w:themeColor="background2"/>
        <w:sz w:val="24"/>
      </w:rPr>
      <w:tblPr/>
      <w:trPr>
        <w:tblHeader/>
      </w:trPr>
      <w:tcPr>
        <w:tcBorders>
          <w:top w:val="nil"/>
          <w:left w:val="nil"/>
          <w:bottom w:val="nil"/>
          <w:right w:val="nil"/>
          <w:insideH w:val="nil"/>
          <w:insideV w:val="nil"/>
          <w:tl2br w:val="nil"/>
          <w:tr2bl w:val="nil"/>
        </w:tcBorders>
        <w:shd w:val="clear" w:color="auto" w:fill="008EAB" w:themeFill="accent2"/>
      </w:tcPr>
    </w:tblStylePr>
    <w:tblStylePr w:type="band1Vert">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clear" w:color="auto" w:fill="D4E1E9" w:themeFill="accent4"/>
      </w:tcPr>
    </w:tblStylePr>
    <w:tblStylePr w:type="band2Horz">
      <w:tblPr/>
      <w:tcPr>
        <w:tcBorders>
          <w:top w:val="nil"/>
          <w:left w:val="nil"/>
          <w:bottom w:val="nil"/>
          <w:right w:val="nil"/>
          <w:insideH w:val="nil"/>
          <w:insideV w:val="nil"/>
          <w:tl2br w:val="nil"/>
          <w:tr2bl w:val="nil"/>
        </w:tcBorders>
      </w:tcPr>
    </w:tblStylePr>
  </w:style>
  <w:style w:type="paragraph" w:customStyle="1" w:styleId="TableHeading">
    <w:name w:val="Table Heading"/>
    <w:basedOn w:val="TableText"/>
    <w:qFormat/>
    <w:rsid w:val="00AF6251"/>
    <w:pPr>
      <w:spacing w:line="280" w:lineRule="atLeast"/>
    </w:pPr>
    <w:rPr>
      <w:b/>
      <w:color w:val="FFFFFF" w:themeColor="background2"/>
      <w:sz w:val="24"/>
    </w:rPr>
  </w:style>
  <w:style w:type="character" w:styleId="CommentReference">
    <w:name w:val="annotation reference"/>
    <w:basedOn w:val="DefaultParagraphFont"/>
    <w:uiPriority w:val="99"/>
    <w:semiHidden/>
    <w:unhideWhenUsed/>
    <w:rsid w:val="0081460F"/>
    <w:rPr>
      <w:sz w:val="16"/>
      <w:szCs w:val="16"/>
    </w:rPr>
  </w:style>
  <w:style w:type="paragraph" w:styleId="CommentText">
    <w:name w:val="annotation text"/>
    <w:basedOn w:val="Normal"/>
    <w:link w:val="CommentTextChar"/>
    <w:uiPriority w:val="99"/>
    <w:semiHidden/>
    <w:unhideWhenUsed/>
    <w:rsid w:val="0081460F"/>
    <w:pPr>
      <w:spacing w:line="240" w:lineRule="auto"/>
    </w:pPr>
    <w:rPr>
      <w:sz w:val="20"/>
      <w:szCs w:val="20"/>
    </w:rPr>
  </w:style>
  <w:style w:type="character" w:customStyle="1" w:styleId="CommentTextChar">
    <w:name w:val="Comment Text Char"/>
    <w:basedOn w:val="DefaultParagraphFont"/>
    <w:link w:val="CommentText"/>
    <w:uiPriority w:val="99"/>
    <w:semiHidden/>
    <w:rsid w:val="0081460F"/>
    <w:rPr>
      <w:sz w:val="20"/>
      <w:szCs w:val="20"/>
    </w:rPr>
  </w:style>
  <w:style w:type="paragraph" w:styleId="CommentSubject">
    <w:name w:val="annotation subject"/>
    <w:basedOn w:val="CommentText"/>
    <w:next w:val="CommentText"/>
    <w:link w:val="CommentSubjectChar"/>
    <w:uiPriority w:val="99"/>
    <w:semiHidden/>
    <w:unhideWhenUsed/>
    <w:rsid w:val="0081460F"/>
    <w:rPr>
      <w:b/>
      <w:bCs/>
    </w:rPr>
  </w:style>
  <w:style w:type="character" w:customStyle="1" w:styleId="CommentSubjectChar">
    <w:name w:val="Comment Subject Char"/>
    <w:basedOn w:val="CommentTextChar"/>
    <w:link w:val="CommentSubject"/>
    <w:uiPriority w:val="99"/>
    <w:semiHidden/>
    <w:rsid w:val="0081460F"/>
    <w:rPr>
      <w:b/>
      <w:bCs/>
      <w:sz w:val="20"/>
      <w:szCs w:val="20"/>
    </w:rPr>
  </w:style>
  <w:style w:type="paragraph" w:styleId="BalloonText">
    <w:name w:val="Balloon Text"/>
    <w:basedOn w:val="Normal"/>
    <w:link w:val="BalloonTextChar"/>
    <w:uiPriority w:val="99"/>
    <w:semiHidden/>
    <w:unhideWhenUsed/>
    <w:rsid w:val="008146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60F"/>
    <w:rPr>
      <w:rFonts w:ascii="Segoe UI" w:hAnsi="Segoe UI" w:cs="Segoe UI"/>
      <w:sz w:val="18"/>
      <w:szCs w:val="18"/>
    </w:rPr>
  </w:style>
  <w:style w:type="paragraph" w:customStyle="1" w:styleId="Reference">
    <w:name w:val="Reference"/>
    <w:basedOn w:val="Normal"/>
    <w:qFormat/>
    <w:rsid w:val="00F94B9D"/>
    <w:pPr>
      <w:tabs>
        <w:tab w:val="left" w:pos="170"/>
        <w:tab w:val="left" w:pos="283"/>
        <w:tab w:val="left" w:pos="567"/>
        <w:tab w:val="left" w:pos="850"/>
        <w:tab w:val="left" w:pos="1134"/>
        <w:tab w:val="left" w:pos="1417"/>
        <w:tab w:val="left" w:pos="1701"/>
      </w:tabs>
      <w:suppressAutoHyphens/>
      <w:autoSpaceDE w:val="0"/>
      <w:autoSpaceDN w:val="0"/>
      <w:adjustRightInd w:val="0"/>
      <w:spacing w:after="57" w:line="200" w:lineRule="atLeast"/>
      <w:textAlignment w:val="center"/>
    </w:pPr>
    <w:rPr>
      <w:rFonts w:ascii="Arial" w:hAnsi="Arial" w:cs="Helvetica 45 Light"/>
      <w:color w:val="000000"/>
      <w:spacing w:val="2"/>
      <w:sz w:val="16"/>
      <w:szCs w:val="16"/>
    </w:rPr>
  </w:style>
  <w:style w:type="paragraph" w:customStyle="1" w:styleId="BackPageCopy">
    <w:name w:val="Back Page Copy"/>
    <w:basedOn w:val="BodyText"/>
    <w:qFormat/>
    <w:rsid w:val="00F94B9D"/>
    <w:pPr>
      <w:spacing w:after="113"/>
    </w:pPr>
  </w:style>
  <w:style w:type="paragraph" w:customStyle="1" w:styleId="BackPageHeading">
    <w:name w:val="Back Page Heading"/>
    <w:basedOn w:val="BackPageCopy"/>
    <w:qFormat/>
    <w:rsid w:val="00F94B9D"/>
    <w:rPr>
      <w:b/>
      <w:color w:val="008EAB" w:themeColor="accent2"/>
      <w:sz w:val="22"/>
    </w:rPr>
  </w:style>
  <w:style w:type="character" w:styleId="Hyperlink">
    <w:name w:val="Hyperlink"/>
    <w:basedOn w:val="DefaultParagraphFont"/>
    <w:uiPriority w:val="99"/>
    <w:unhideWhenUsed/>
    <w:rsid w:val="00F94B9D"/>
    <w:rPr>
      <w:color w:val="0563C1" w:themeColor="hyperlink"/>
      <w:u w:val="single"/>
    </w:rPr>
  </w:style>
  <w:style w:type="character" w:customStyle="1" w:styleId="UnresolvedMention1">
    <w:name w:val="Unresolved Mention1"/>
    <w:basedOn w:val="DefaultParagraphFont"/>
    <w:uiPriority w:val="99"/>
    <w:semiHidden/>
    <w:unhideWhenUsed/>
    <w:rsid w:val="00F94B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0.xml"/><Relationship Id="rId39" Type="http://schemas.openxmlformats.org/officeDocument/2006/relationships/header" Target="header23.xml"/><Relationship Id="rId21" Type="http://schemas.openxmlformats.org/officeDocument/2006/relationships/header" Target="header7.xml"/><Relationship Id="rId34" Type="http://schemas.openxmlformats.org/officeDocument/2006/relationships/header" Target="header18.xml"/><Relationship Id="rId42" Type="http://schemas.openxmlformats.org/officeDocument/2006/relationships/header" Target="header26.xml"/><Relationship Id="rId47" Type="http://schemas.openxmlformats.org/officeDocument/2006/relationships/header" Target="header31.xml"/><Relationship Id="rId50" Type="http://schemas.openxmlformats.org/officeDocument/2006/relationships/header" Target="header34.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7.xml"/><Relationship Id="rId38" Type="http://schemas.openxmlformats.org/officeDocument/2006/relationships/header" Target="header22.xml"/><Relationship Id="rId46" Type="http://schemas.openxmlformats.org/officeDocument/2006/relationships/header" Target="header30.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3.xml"/><Relationship Id="rId41" Type="http://schemas.openxmlformats.org/officeDocument/2006/relationships/header" Target="header25.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eader" Target="header16.xml"/><Relationship Id="rId37" Type="http://schemas.openxmlformats.org/officeDocument/2006/relationships/header" Target="header21.xml"/><Relationship Id="rId40" Type="http://schemas.openxmlformats.org/officeDocument/2006/relationships/header" Target="header24.xml"/><Relationship Id="rId45" Type="http://schemas.openxmlformats.org/officeDocument/2006/relationships/header" Target="header29.xml"/><Relationship Id="rId53" Type="http://schemas.openxmlformats.org/officeDocument/2006/relationships/footer" Target="footer8.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12.xml"/><Relationship Id="rId36" Type="http://schemas.openxmlformats.org/officeDocument/2006/relationships/header" Target="header20.xml"/><Relationship Id="rId49" Type="http://schemas.openxmlformats.org/officeDocument/2006/relationships/header" Target="header33.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5.xml"/><Relationship Id="rId44" Type="http://schemas.openxmlformats.org/officeDocument/2006/relationships/header" Target="header28.xml"/><Relationship Id="rId52" Type="http://schemas.openxmlformats.org/officeDocument/2006/relationships/header" Target="header35.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eader" Target="header11.xml"/><Relationship Id="rId30" Type="http://schemas.openxmlformats.org/officeDocument/2006/relationships/header" Target="header14.xml"/><Relationship Id="rId35" Type="http://schemas.openxmlformats.org/officeDocument/2006/relationships/header" Target="header19.xml"/><Relationship Id="rId43" Type="http://schemas.openxmlformats.org/officeDocument/2006/relationships/header" Target="header27.xml"/><Relationship Id="rId48" Type="http://schemas.openxmlformats.org/officeDocument/2006/relationships/header" Target="header32.xml"/><Relationship Id="rId8" Type="http://schemas.openxmlformats.org/officeDocument/2006/relationships/endnotes" Target="endnotes.xml"/><Relationship Id="rId51" Type="http://schemas.openxmlformats.org/officeDocument/2006/relationships/hyperlink" Target="mailto:mail@safetyandquality.gov.au" TargetMode="External"/><Relationship Id="rId3"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7.jpeg"/></Relationships>
</file>

<file path=word/_rels/header11.xml.rels><?xml version="1.0" encoding="UTF-8" standalone="yes"?>
<Relationships xmlns="http://schemas.openxmlformats.org/package/2006/relationships"><Relationship Id="rId1" Type="http://schemas.openxmlformats.org/officeDocument/2006/relationships/image" Target="media/image8.jpeg"/></Relationships>
</file>

<file path=word/_rels/header12.xml.rels><?xml version="1.0" encoding="UTF-8" standalone="yes"?>
<Relationships xmlns="http://schemas.openxmlformats.org/package/2006/relationships"><Relationship Id="rId1" Type="http://schemas.openxmlformats.org/officeDocument/2006/relationships/image" Target="media/image9.jpg"/></Relationships>
</file>

<file path=word/_rels/header13.xml.rels><?xml version="1.0" encoding="UTF-8" standalone="yes"?>
<Relationships xmlns="http://schemas.openxmlformats.org/package/2006/relationships"><Relationship Id="rId1" Type="http://schemas.openxmlformats.org/officeDocument/2006/relationships/image" Target="media/image10.jpeg"/></Relationships>
</file>

<file path=word/_rels/header14.xml.rels><?xml version="1.0" encoding="UTF-8" standalone="yes"?>
<Relationships xmlns="http://schemas.openxmlformats.org/package/2006/relationships"><Relationship Id="rId1" Type="http://schemas.openxmlformats.org/officeDocument/2006/relationships/image" Target="media/image11.jpeg"/></Relationships>
</file>

<file path=word/_rels/header15.xml.rels><?xml version="1.0" encoding="UTF-8" standalone="yes"?>
<Relationships xmlns="http://schemas.openxmlformats.org/package/2006/relationships"><Relationship Id="rId1" Type="http://schemas.openxmlformats.org/officeDocument/2006/relationships/image" Target="media/image12.jpg"/></Relationships>
</file>

<file path=word/_rels/header16.xml.rels><?xml version="1.0" encoding="UTF-8" standalone="yes"?>
<Relationships xmlns="http://schemas.openxmlformats.org/package/2006/relationships"><Relationship Id="rId1" Type="http://schemas.openxmlformats.org/officeDocument/2006/relationships/image" Target="media/image13.jpg"/></Relationships>
</file>

<file path=word/_rels/header17.xml.rels><?xml version="1.0" encoding="UTF-8" standalone="yes"?>
<Relationships xmlns="http://schemas.openxmlformats.org/package/2006/relationships"><Relationship Id="rId1" Type="http://schemas.openxmlformats.org/officeDocument/2006/relationships/image" Target="media/image14.jpg"/></Relationships>
</file>

<file path=word/_rels/header18.xml.rels><?xml version="1.0" encoding="UTF-8" standalone="yes"?>
<Relationships xmlns="http://schemas.openxmlformats.org/package/2006/relationships"><Relationship Id="rId1" Type="http://schemas.openxmlformats.org/officeDocument/2006/relationships/image" Target="media/image15.jpg"/></Relationships>
</file>

<file path=word/_rels/header19.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16.jpg"/></Relationships>
</file>

<file path=word/_rels/header21.xml.rels><?xml version="1.0" encoding="UTF-8" standalone="yes"?>
<Relationships xmlns="http://schemas.openxmlformats.org/package/2006/relationships"><Relationship Id="rId1" Type="http://schemas.openxmlformats.org/officeDocument/2006/relationships/image" Target="media/image17.jpg"/></Relationships>
</file>

<file path=word/_rels/header22.xml.rels><?xml version="1.0" encoding="UTF-8" standalone="yes"?>
<Relationships xmlns="http://schemas.openxmlformats.org/package/2006/relationships"><Relationship Id="rId1" Type="http://schemas.openxmlformats.org/officeDocument/2006/relationships/image" Target="media/image18.jpg"/></Relationships>
</file>

<file path=word/_rels/header23.xml.rels><?xml version="1.0" encoding="UTF-8" standalone="yes"?>
<Relationships xmlns="http://schemas.openxmlformats.org/package/2006/relationships"><Relationship Id="rId1" Type="http://schemas.openxmlformats.org/officeDocument/2006/relationships/image" Target="media/image17.jpg"/></Relationships>
</file>

<file path=word/_rels/header24.xml.rels><?xml version="1.0" encoding="UTF-8" standalone="yes"?>
<Relationships xmlns="http://schemas.openxmlformats.org/package/2006/relationships"><Relationship Id="rId1" Type="http://schemas.openxmlformats.org/officeDocument/2006/relationships/image" Target="media/image18.jpg"/></Relationships>
</file>

<file path=word/_rels/header25.xml.rels><?xml version="1.0" encoding="UTF-8" standalone="yes"?>
<Relationships xmlns="http://schemas.openxmlformats.org/package/2006/relationships"><Relationship Id="rId1" Type="http://schemas.openxmlformats.org/officeDocument/2006/relationships/image" Target="media/image19.jpg"/></Relationships>
</file>

<file path=word/_rels/header26.xml.rels><?xml version="1.0" encoding="UTF-8" standalone="yes"?>
<Relationships xmlns="http://schemas.openxmlformats.org/package/2006/relationships"><Relationship Id="rId1" Type="http://schemas.openxmlformats.org/officeDocument/2006/relationships/image" Target="media/image20.jpg"/></Relationships>
</file>

<file path=word/_rels/header27.xml.rels><?xml version="1.0" encoding="UTF-8" standalone="yes"?>
<Relationships xmlns="http://schemas.openxmlformats.org/package/2006/relationships"><Relationship Id="rId1" Type="http://schemas.openxmlformats.org/officeDocument/2006/relationships/image" Target="media/image17.jpg"/></Relationships>
</file>

<file path=word/_rels/header28.xml.rels><?xml version="1.0" encoding="UTF-8" standalone="yes"?>
<Relationships xmlns="http://schemas.openxmlformats.org/package/2006/relationships"><Relationship Id="rId1" Type="http://schemas.openxmlformats.org/officeDocument/2006/relationships/image" Target="media/image21.jpg"/></Relationships>
</file>

<file path=word/_rels/header29.xml.rels><?xml version="1.0" encoding="UTF-8" standalone="yes"?>
<Relationships xmlns="http://schemas.openxmlformats.org/package/2006/relationships"><Relationship Id="rId1" Type="http://schemas.openxmlformats.org/officeDocument/2006/relationships/image" Target="media/image17.jpg"/></Relationships>
</file>

<file path=word/_rels/header30.xml.rels><?xml version="1.0" encoding="UTF-8" standalone="yes"?>
<Relationships xmlns="http://schemas.openxmlformats.org/package/2006/relationships"><Relationship Id="rId1" Type="http://schemas.openxmlformats.org/officeDocument/2006/relationships/image" Target="media/image22.jpg"/></Relationships>
</file>

<file path=word/_rels/header31.xml.rels><?xml version="1.0" encoding="UTF-8" standalone="yes"?>
<Relationships xmlns="http://schemas.openxmlformats.org/package/2006/relationships"><Relationship Id="rId1" Type="http://schemas.openxmlformats.org/officeDocument/2006/relationships/image" Target="media/image17.jpg"/></Relationships>
</file>

<file path=word/_rels/header32.xml.rels><?xml version="1.0" encoding="UTF-8" standalone="yes"?>
<Relationships xmlns="http://schemas.openxmlformats.org/package/2006/relationships"><Relationship Id="rId1" Type="http://schemas.openxmlformats.org/officeDocument/2006/relationships/image" Target="media/image23.jpg"/></Relationships>
</file>

<file path=word/_rels/header33.xml.rels><?xml version="1.0" encoding="UTF-8" standalone="yes"?>
<Relationships xmlns="http://schemas.openxmlformats.org/package/2006/relationships"><Relationship Id="rId1" Type="http://schemas.openxmlformats.org/officeDocument/2006/relationships/image" Target="media/image17.jpg"/></Relationships>
</file>

<file path=word/_rels/header34.xml.rels><?xml version="1.0" encoding="UTF-8" standalone="yes"?>
<Relationships xmlns="http://schemas.openxmlformats.org/package/2006/relationships"><Relationship Id="rId1" Type="http://schemas.openxmlformats.org/officeDocument/2006/relationships/image" Target="media/image17.jpg"/></Relationships>
</file>

<file path=word/_rels/header35.xml.rels><?xml version="1.0" encoding="UTF-8" standalone="yes"?>
<Relationships xmlns="http://schemas.openxmlformats.org/package/2006/relationships"><Relationship Id="rId1" Type="http://schemas.openxmlformats.org/officeDocument/2006/relationships/image" Target="media/image24.jp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5.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SAQ290">
      <a:dk1>
        <a:sysClr val="windowText" lastClr="000000"/>
      </a:dk1>
      <a:lt1>
        <a:sysClr val="window" lastClr="FFFFFF"/>
      </a:lt1>
      <a:dk2>
        <a:srgbClr val="000000"/>
      </a:dk2>
      <a:lt2>
        <a:srgbClr val="FFFFFF"/>
      </a:lt2>
      <a:accent1>
        <a:srgbClr val="007E99"/>
      </a:accent1>
      <a:accent2>
        <a:srgbClr val="008EAB"/>
      </a:accent2>
      <a:accent3>
        <a:srgbClr val="69C0BB"/>
      </a:accent3>
      <a:accent4>
        <a:srgbClr val="D4E1E9"/>
      </a:accent4>
      <a:accent5>
        <a:srgbClr val="9E2D8A"/>
      </a:accent5>
      <a:accent6>
        <a:srgbClr val="007E99"/>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F4CFE8-01F0-4B81-99B3-2C77BDF4E1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10636</Words>
  <Characters>60627</Characters>
  <Application>Microsoft Office Word</Application>
  <DocSecurity>0</DocSecurity>
  <Lines>505</Lines>
  <Paragraphs>142</Paragraphs>
  <ScaleCrop>false</ScaleCrop>
  <HeadingPairs>
    <vt:vector size="2" baseType="variant">
      <vt:variant>
        <vt:lpstr>Title</vt:lpstr>
      </vt:variant>
      <vt:variant>
        <vt:i4>1</vt:i4>
      </vt:variant>
    </vt:vector>
  </HeadingPairs>
  <TitlesOfParts>
    <vt:vector size="1" baseType="lpstr">
      <vt:lpstr/>
    </vt:vector>
  </TitlesOfParts>
  <Company>Dept Health And Ageing</Company>
  <LinksUpToDate>false</LinksUpToDate>
  <CharactersWithSpaces>71121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studio@twotensolutions.com</dc:creator>
  <cp:lastModifiedBy>WOOLES, Joanna</cp:lastModifiedBy>
  <cp:revision>2</cp:revision>
  <dcterms:created xsi:type="dcterms:W3CDTF">2017-08-08T06:04:00Z</dcterms:created>
  <dcterms:modified xsi:type="dcterms:W3CDTF">2017-08-08T06:04:00Z</dcterms:modified>
</cp:coreProperties>
</file>