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95" w:rsidRPr="006C19A1" w:rsidRDefault="00E94E95" w:rsidP="003570A5">
      <w:pPr>
        <w:pStyle w:val="Heading2"/>
        <w:rPr>
          <w:rFonts w:eastAsia="MS Mincho"/>
          <w:lang w:eastAsia="ja-JP"/>
        </w:rPr>
      </w:pPr>
      <w:r w:rsidRPr="006C19A1">
        <w:rPr>
          <w:rFonts w:eastAsia="MS Mincho"/>
          <w:lang w:eastAsia="ja-JP"/>
        </w:rPr>
        <w:t>Public consultation on patient safety and quality improvement in primary care</w:t>
      </w:r>
    </w:p>
    <w:p w:rsidR="00E94E95" w:rsidRPr="00EC5E90" w:rsidRDefault="00E94E95" w:rsidP="00E94E95">
      <w:pPr>
        <w:spacing w:after="120"/>
        <w:rPr>
          <w:rFonts w:ascii="Arial" w:eastAsia="MS Mincho" w:hAnsi="Arial" w:cs="Arial"/>
          <w:lang w:eastAsia="ja-JP"/>
        </w:rPr>
      </w:pPr>
      <w:r w:rsidRPr="00EC5E90">
        <w:rPr>
          <w:rFonts w:ascii="Arial" w:eastAsia="MS Mincho" w:hAnsi="Arial" w:cs="Arial"/>
          <w:lang w:eastAsia="ja-JP"/>
        </w:rPr>
        <w:t xml:space="preserve">Be part of the Australian Commission on Safety and Quality in Health Care’s primary care program by telling us how we can support safety and quality in primary care. </w:t>
      </w:r>
    </w:p>
    <w:p w:rsidR="00E94E95" w:rsidRPr="00EC5E90" w:rsidRDefault="00E94E95" w:rsidP="00E94E95">
      <w:pPr>
        <w:spacing w:after="120"/>
        <w:rPr>
          <w:rFonts w:ascii="Arial" w:eastAsia="MS Mincho" w:hAnsi="Arial" w:cs="Arial"/>
          <w:lang w:eastAsia="ja-JP"/>
        </w:rPr>
      </w:pPr>
      <w:r w:rsidRPr="00EC5E90">
        <w:rPr>
          <w:rFonts w:ascii="Arial" w:eastAsia="MS Mincho" w:hAnsi="Arial" w:cs="Arial"/>
          <w:lang w:eastAsia="ja-JP"/>
        </w:rPr>
        <w:t xml:space="preserve">Together with primary health care partners and consumers, the Commission is looking to develop nationally consistent strategies, tools and resources to support improvements in the safety and quality of care provided in primary care settings. </w:t>
      </w:r>
    </w:p>
    <w:p w:rsidR="00E94E95" w:rsidRPr="006C19A1" w:rsidRDefault="00E94E95" w:rsidP="003570A5">
      <w:pPr>
        <w:pStyle w:val="Heading2"/>
        <w:rPr>
          <w:rFonts w:eastAsia="MS Mincho"/>
          <w:lang w:eastAsia="ja-JP"/>
        </w:rPr>
      </w:pPr>
      <w:r w:rsidRPr="006C19A1">
        <w:rPr>
          <w:rFonts w:eastAsia="MS Mincho"/>
          <w:lang w:eastAsia="ja-JP"/>
        </w:rPr>
        <w:t>Safety and quality in health care</w:t>
      </w:r>
    </w:p>
    <w:p w:rsidR="00E94E95" w:rsidRPr="00EC5E90" w:rsidRDefault="00E94E95" w:rsidP="00E94E95">
      <w:pPr>
        <w:spacing w:after="120"/>
        <w:rPr>
          <w:rFonts w:ascii="Arial" w:eastAsia="MS Mincho" w:hAnsi="Arial" w:cs="Arial"/>
          <w:lang w:eastAsia="ja-JP"/>
        </w:rPr>
      </w:pPr>
      <w:r w:rsidRPr="00EC5E90">
        <w:rPr>
          <w:rFonts w:ascii="Arial" w:eastAsia="MS Mincho" w:hAnsi="Arial" w:cs="Arial"/>
          <w:lang w:eastAsia="ja-JP"/>
        </w:rPr>
        <w:t>Although most health care in Australia is associated with good clinical outcomes, patients do not always receive the care that is recommended, and adverse events continue to occur across the Australian healthcare system.</w:t>
      </w:r>
      <w:r w:rsidRPr="00EC5E90">
        <w:rPr>
          <w:rFonts w:ascii="Arial" w:eastAsia="MS Mincho" w:hAnsi="Arial" w:cs="Arial"/>
          <w:vertAlign w:val="superscript"/>
          <w:lang w:eastAsia="ja-JP"/>
        </w:rPr>
        <w:footnoteReference w:id="1"/>
      </w:r>
    </w:p>
    <w:p w:rsidR="00E94E95" w:rsidRPr="00EC5E90" w:rsidRDefault="00E94E95" w:rsidP="00E94E95">
      <w:pPr>
        <w:spacing w:after="120"/>
        <w:rPr>
          <w:rFonts w:ascii="Arial" w:eastAsia="MS Mincho" w:hAnsi="Arial" w:cs="Arial"/>
          <w:lang w:eastAsia="ja-JP"/>
        </w:rPr>
      </w:pPr>
      <w:r w:rsidRPr="00EC5E90">
        <w:rPr>
          <w:rFonts w:ascii="Arial" w:eastAsia="MS Mincho" w:hAnsi="Arial" w:cs="Arial"/>
          <w:lang w:eastAsia="ja-JP"/>
        </w:rPr>
        <w:t xml:space="preserve">Safe, high-quality care requires the vigilance and cooperation of the whole healthcare workforce. Health service organisations can reduce the risk of patient harm and preventable adverse events by implementing a rigorous safety and quality framework. It also supports the provision of appropriate care based on the best available evidence. </w:t>
      </w:r>
    </w:p>
    <w:p w:rsidR="00E94E95" w:rsidRPr="006C19A1" w:rsidRDefault="00E94E95" w:rsidP="003570A5">
      <w:pPr>
        <w:pStyle w:val="Heading2"/>
        <w:rPr>
          <w:rFonts w:eastAsia="MS Mincho"/>
          <w:lang w:eastAsia="ja-JP"/>
        </w:rPr>
      </w:pPr>
      <w:r w:rsidRPr="006C19A1">
        <w:rPr>
          <w:rFonts w:eastAsia="MS Mincho"/>
          <w:lang w:eastAsia="ja-JP"/>
        </w:rPr>
        <w:t>Strategies to support patient safety and quality improvement in primary care</w:t>
      </w:r>
    </w:p>
    <w:p w:rsidR="00E94E95" w:rsidRPr="00EC5E90" w:rsidRDefault="00E94E95" w:rsidP="00E94E95">
      <w:pPr>
        <w:spacing w:after="120"/>
        <w:rPr>
          <w:rFonts w:ascii="Arial" w:eastAsia="MS Mincho" w:hAnsi="Arial" w:cs="Arial"/>
          <w:lang w:eastAsia="ja-JP"/>
        </w:rPr>
      </w:pPr>
      <w:r w:rsidRPr="00EC5E90">
        <w:rPr>
          <w:rFonts w:ascii="Arial" w:eastAsia="MS Mincho" w:hAnsi="Arial" w:cs="Arial"/>
          <w:lang w:eastAsia="ja-JP"/>
        </w:rPr>
        <w:t xml:space="preserve">The World Health Organization has led a global call for action on patient safety and quality improvement in primary care settings. </w:t>
      </w:r>
    </w:p>
    <w:p w:rsidR="00E94E95" w:rsidRPr="00EC5E90" w:rsidRDefault="00E94E95" w:rsidP="00E94E95">
      <w:pPr>
        <w:spacing w:after="120"/>
        <w:rPr>
          <w:rFonts w:ascii="Arial" w:eastAsia="MS Mincho" w:hAnsi="Arial" w:cs="Arial"/>
          <w:lang w:eastAsia="ja-JP"/>
        </w:rPr>
      </w:pPr>
      <w:r w:rsidRPr="00EC5E90">
        <w:rPr>
          <w:rFonts w:ascii="Arial" w:eastAsia="MS Mincho" w:hAnsi="Arial" w:cs="Arial"/>
          <w:lang w:eastAsia="ja-JP"/>
        </w:rPr>
        <w:t xml:space="preserve">A range of programs and projects have been implemented in primary care services to improve the safety and quality of care for patients. However, they are not currently coordinated or consistent across primary care services in Australia. </w:t>
      </w:r>
    </w:p>
    <w:p w:rsidR="00E94E95" w:rsidRPr="00EC5E90" w:rsidRDefault="00E94E95" w:rsidP="00E94E95">
      <w:pPr>
        <w:spacing w:after="120"/>
        <w:rPr>
          <w:rFonts w:ascii="Arial" w:eastAsia="MS Mincho" w:hAnsi="Arial" w:cs="Arial"/>
          <w:lang w:eastAsia="ja-JP"/>
        </w:rPr>
      </w:pPr>
      <w:r w:rsidRPr="00EC5E90">
        <w:rPr>
          <w:rFonts w:ascii="Arial" w:eastAsia="MS Mincho" w:hAnsi="Arial" w:cs="Arial"/>
          <w:lang w:eastAsia="ja-JP"/>
        </w:rPr>
        <w:t xml:space="preserve">There are many possible strategies to support patient safety and quality improvement in primary care; some fall within the remit of the Commission, while others are the domain of professional bodies, quality improvement organisations and individuals. </w:t>
      </w:r>
    </w:p>
    <w:p w:rsidR="00E94E95" w:rsidRPr="006C19A1" w:rsidRDefault="00E94E95" w:rsidP="003570A5">
      <w:pPr>
        <w:pStyle w:val="Heading2"/>
        <w:rPr>
          <w:rFonts w:eastAsia="MS Mincho"/>
          <w:lang w:eastAsia="ja-JP"/>
        </w:rPr>
      </w:pPr>
      <w:r w:rsidRPr="006C19A1">
        <w:rPr>
          <w:rFonts w:eastAsia="MS Mincho"/>
          <w:lang w:eastAsia="ja-JP"/>
        </w:rPr>
        <w:t>Tell us what you think</w:t>
      </w:r>
    </w:p>
    <w:p w:rsidR="00E94E95" w:rsidRPr="006C19A1" w:rsidRDefault="00E94E95" w:rsidP="00E94E95">
      <w:pPr>
        <w:spacing w:after="120"/>
        <w:rPr>
          <w:rFonts w:ascii="Arial" w:eastAsia="MS Mincho" w:hAnsi="Arial" w:cs="Arial"/>
          <w:szCs w:val="24"/>
          <w:lang w:eastAsia="ja-JP"/>
        </w:rPr>
      </w:pPr>
      <w:r w:rsidRPr="006C19A1">
        <w:rPr>
          <w:rFonts w:ascii="Arial" w:eastAsia="MS Mincho" w:hAnsi="Arial" w:cs="Arial"/>
          <w:szCs w:val="24"/>
          <w:lang w:eastAsia="ja-JP"/>
        </w:rPr>
        <w:t xml:space="preserve">The Commission </w:t>
      </w:r>
      <w:r w:rsidR="003570A5">
        <w:rPr>
          <w:rFonts w:ascii="Arial" w:eastAsia="MS Mincho" w:hAnsi="Arial" w:cs="Arial"/>
          <w:szCs w:val="24"/>
          <w:lang w:eastAsia="ja-JP"/>
        </w:rPr>
        <w:t>is</w:t>
      </w:r>
      <w:r w:rsidRPr="006C19A1">
        <w:rPr>
          <w:rFonts w:ascii="Arial" w:eastAsia="MS Mincho" w:hAnsi="Arial" w:cs="Arial"/>
          <w:szCs w:val="24"/>
          <w:lang w:eastAsia="ja-JP"/>
        </w:rPr>
        <w:t xml:space="preserve"> seeking your feedback on </w:t>
      </w:r>
      <w:r w:rsidR="003570A5" w:rsidRPr="006C19A1">
        <w:rPr>
          <w:rFonts w:ascii="Arial" w:eastAsia="MS Mincho" w:hAnsi="Arial" w:cs="Arial"/>
          <w:szCs w:val="24"/>
          <w:lang w:eastAsia="ja-JP"/>
        </w:rPr>
        <w:t>some safety and quality improvement strategies</w:t>
      </w:r>
      <w:r w:rsidR="003570A5">
        <w:rPr>
          <w:rFonts w:ascii="Arial" w:eastAsia="MS Mincho" w:hAnsi="Arial" w:cs="Arial"/>
          <w:szCs w:val="24"/>
          <w:lang w:eastAsia="ja-JP"/>
        </w:rPr>
        <w:t xml:space="preserve"> </w:t>
      </w:r>
      <w:r w:rsidRPr="006C19A1">
        <w:rPr>
          <w:rFonts w:ascii="Arial" w:eastAsia="MS Mincho" w:hAnsi="Arial" w:cs="Arial"/>
          <w:szCs w:val="24"/>
          <w:lang w:eastAsia="ja-JP"/>
        </w:rPr>
        <w:t xml:space="preserve">and other strategies you would like to see implemented. </w:t>
      </w:r>
    </w:p>
    <w:p w:rsidR="00E94E95" w:rsidRPr="006C19A1" w:rsidRDefault="003570A5" w:rsidP="00E94E95">
      <w:pPr>
        <w:spacing w:after="0"/>
        <w:rPr>
          <w:rFonts w:ascii="Arial" w:eastAsia="MS Mincho" w:hAnsi="Arial" w:cs="Arial"/>
          <w:szCs w:val="24"/>
          <w:lang w:eastAsia="ja-JP"/>
        </w:rPr>
      </w:pPr>
      <w:r>
        <w:rPr>
          <w:rFonts w:ascii="Arial" w:eastAsia="MS Mincho" w:hAnsi="Arial" w:cs="Arial"/>
          <w:szCs w:val="24"/>
          <w:lang w:eastAsia="ja-JP"/>
        </w:rPr>
        <w:t xml:space="preserve">These are outlined in our </w:t>
      </w:r>
      <w:hyperlink r:id="rId9" w:history="1">
        <w:r w:rsidRPr="003570A5">
          <w:rPr>
            <w:rStyle w:val="Hyperlink"/>
            <w:rFonts w:ascii="Arial" w:eastAsia="MS Mincho" w:hAnsi="Arial" w:cs="Arial"/>
            <w:szCs w:val="24"/>
            <w:lang w:eastAsia="ja-JP"/>
          </w:rPr>
          <w:t>consultation paper.</w:t>
        </w:r>
      </w:hyperlink>
      <w:r>
        <w:rPr>
          <w:rFonts w:ascii="Arial" w:eastAsia="MS Mincho" w:hAnsi="Arial" w:cs="Arial"/>
          <w:szCs w:val="24"/>
          <w:lang w:eastAsia="ja-JP"/>
        </w:rPr>
        <w:t xml:space="preserve"> </w:t>
      </w:r>
      <w:r w:rsidR="00E94E95" w:rsidRPr="006C19A1">
        <w:rPr>
          <w:rFonts w:ascii="Arial" w:eastAsia="MS Mincho" w:hAnsi="Arial" w:cs="Arial"/>
          <w:szCs w:val="24"/>
          <w:lang w:eastAsia="ja-JP"/>
        </w:rPr>
        <w:t xml:space="preserve">Section 7 of the consultation paper outlines a number of questions to guide your response. You can answer all, some or provide your feedback in a format that suits you. </w:t>
      </w:r>
    </w:p>
    <w:p w:rsidR="00E94E95" w:rsidRDefault="00E94E95" w:rsidP="00E94E95">
      <w:pPr>
        <w:spacing w:after="0"/>
        <w:rPr>
          <w:rFonts w:ascii="Arial" w:eastAsia="MS Mincho" w:hAnsi="Arial" w:cs="Arial"/>
          <w:szCs w:val="24"/>
          <w:lang w:eastAsia="ja-JP"/>
        </w:rPr>
      </w:pPr>
    </w:p>
    <w:p w:rsidR="00E94E95" w:rsidRPr="006C19A1" w:rsidRDefault="00E94E95" w:rsidP="00E94E95">
      <w:pPr>
        <w:spacing w:after="0"/>
        <w:rPr>
          <w:rFonts w:ascii="Arial" w:eastAsia="MS Mincho" w:hAnsi="Arial" w:cs="Arial"/>
          <w:szCs w:val="24"/>
          <w:lang w:eastAsia="ja-JP"/>
        </w:rPr>
      </w:pPr>
      <w:r w:rsidRPr="006C19A1">
        <w:rPr>
          <w:rFonts w:ascii="Arial" w:eastAsia="MS Mincho" w:hAnsi="Arial" w:cs="Arial"/>
          <w:szCs w:val="24"/>
          <w:lang w:eastAsia="ja-JP"/>
        </w:rPr>
        <w:t>Feedback ca</w:t>
      </w:r>
      <w:r w:rsidR="003570A5">
        <w:rPr>
          <w:rFonts w:ascii="Arial" w:eastAsia="MS Mincho" w:hAnsi="Arial" w:cs="Arial"/>
          <w:szCs w:val="24"/>
          <w:lang w:eastAsia="ja-JP"/>
        </w:rPr>
        <w:t xml:space="preserve">n be provided by post or email. </w:t>
      </w:r>
      <w:bookmarkStart w:id="0" w:name="_GoBack"/>
      <w:bookmarkEnd w:id="0"/>
      <w:r w:rsidR="003570A5">
        <w:rPr>
          <w:rFonts w:ascii="Arial" w:eastAsia="MS Mincho" w:hAnsi="Arial" w:cs="Arial"/>
          <w:szCs w:val="24"/>
          <w:lang w:eastAsia="ja-JP"/>
        </w:rPr>
        <w:t>Y</w:t>
      </w:r>
      <w:r w:rsidRPr="006C19A1">
        <w:rPr>
          <w:rFonts w:ascii="Arial" w:eastAsia="MS Mincho" w:hAnsi="Arial" w:cs="Arial"/>
          <w:szCs w:val="24"/>
          <w:lang w:eastAsia="ja-JP"/>
        </w:rPr>
        <w:t xml:space="preserve">ou can also provide verbal feedback by contacting the Commission to arrange a time for interview.  </w:t>
      </w:r>
    </w:p>
    <w:p w:rsidR="00E94E95" w:rsidRPr="006C19A1" w:rsidRDefault="00E94E95" w:rsidP="00E94E95">
      <w:pPr>
        <w:spacing w:after="0"/>
        <w:rPr>
          <w:rFonts w:ascii="Arial" w:eastAsia="MS Mincho" w:hAnsi="Arial" w:cs="Arial"/>
          <w:szCs w:val="24"/>
          <w:lang w:eastAsia="ja-JP"/>
        </w:rPr>
      </w:pPr>
    </w:p>
    <w:p w:rsidR="00E94E95" w:rsidRPr="006C19A1" w:rsidRDefault="00E94E95" w:rsidP="00E94E95">
      <w:pPr>
        <w:spacing w:after="0"/>
        <w:rPr>
          <w:rFonts w:ascii="Times New Roman" w:eastAsia="MS Mincho" w:hAnsi="Times New Roman"/>
          <w:sz w:val="24"/>
          <w:szCs w:val="24"/>
          <w:lang w:eastAsia="ja-JP"/>
        </w:rPr>
      </w:pPr>
      <w:r w:rsidRPr="006C19A1">
        <w:rPr>
          <w:rFonts w:ascii="Arial" w:eastAsia="MS Mincho" w:hAnsi="Arial" w:cs="Arial"/>
          <w:szCs w:val="24"/>
          <w:lang w:eastAsia="ja-JP"/>
        </w:rPr>
        <w:t xml:space="preserve">Further information about the consultation process is available </w:t>
      </w:r>
      <w:r>
        <w:rPr>
          <w:rFonts w:ascii="Arial" w:eastAsia="MS Mincho" w:hAnsi="Arial" w:cs="Arial"/>
          <w:szCs w:val="24"/>
          <w:lang w:eastAsia="ja-JP"/>
        </w:rPr>
        <w:t>on</w:t>
      </w:r>
      <w:r w:rsidRPr="006C19A1">
        <w:rPr>
          <w:rFonts w:ascii="Arial" w:eastAsia="MS Mincho" w:hAnsi="Arial" w:cs="Arial"/>
          <w:szCs w:val="24"/>
          <w:lang w:eastAsia="ja-JP"/>
        </w:rPr>
        <w:t xml:space="preserve"> the </w:t>
      </w:r>
      <w:hyperlink r:id="rId10" w:history="1">
        <w:r w:rsidRPr="003570A5">
          <w:rPr>
            <w:rStyle w:val="Hyperlink"/>
            <w:rFonts w:ascii="Arial" w:eastAsia="MS Mincho" w:hAnsi="Arial" w:cs="Arial"/>
            <w:szCs w:val="24"/>
            <w:lang w:eastAsia="ja-JP"/>
          </w:rPr>
          <w:t>Commission’s website</w:t>
        </w:r>
      </w:hyperlink>
      <w:r>
        <w:rPr>
          <w:rFonts w:ascii="Arial" w:eastAsia="MS Mincho" w:hAnsi="Arial" w:cs="Arial"/>
          <w:szCs w:val="24"/>
          <w:lang w:eastAsia="ja-JP"/>
        </w:rPr>
        <w:t>.</w:t>
      </w:r>
      <w:r w:rsidRPr="006C19A1">
        <w:rPr>
          <w:rFonts w:ascii="Arial" w:eastAsia="MS Mincho" w:hAnsi="Arial" w:cs="Arial"/>
          <w:szCs w:val="24"/>
          <w:lang w:eastAsia="ja-JP"/>
        </w:rPr>
        <w:t xml:space="preserve"> </w:t>
      </w:r>
    </w:p>
    <w:p w:rsidR="00E94E95" w:rsidRPr="006C19A1" w:rsidRDefault="00E94E95" w:rsidP="003570A5">
      <w:pPr>
        <w:pStyle w:val="Heading2"/>
        <w:rPr>
          <w:rFonts w:eastAsia="MS Mincho"/>
          <w:lang w:eastAsia="ja-JP"/>
        </w:rPr>
      </w:pPr>
      <w:r w:rsidRPr="006C19A1">
        <w:rPr>
          <w:rFonts w:eastAsia="MS Mincho"/>
          <w:lang w:eastAsia="ja-JP"/>
        </w:rPr>
        <w:lastRenderedPageBreak/>
        <w:t>Who we are</w:t>
      </w:r>
    </w:p>
    <w:p w:rsidR="00E94E95" w:rsidRPr="00EC5E90" w:rsidRDefault="00E94E95" w:rsidP="00E94E95">
      <w:pPr>
        <w:spacing w:after="120"/>
        <w:rPr>
          <w:rFonts w:ascii="Arial" w:eastAsia="MS Mincho" w:hAnsi="Arial"/>
          <w:lang w:eastAsia="ja-JP"/>
        </w:rPr>
      </w:pPr>
      <w:r w:rsidRPr="00EC5E90">
        <w:rPr>
          <w:rFonts w:ascii="Arial" w:eastAsia="MS Mincho" w:hAnsi="Arial"/>
          <w:lang w:eastAsia="ja-JP"/>
        </w:rPr>
        <w:t>The Commission’s role is to lead and coordinate national improvements in the safety and quality of health care. The Commission works in partnership with the Australian Government, state and territory governments and the private and primary care sectors to achieve a safe and high-quality, sustainable health system. In doing so, the Commission also works closely with patients, carers, clinicians, managers, policymakers and healthcare organisations.</w:t>
      </w:r>
    </w:p>
    <w:p w:rsidR="00E94E95" w:rsidRPr="006C19A1" w:rsidRDefault="00E94E95" w:rsidP="003570A5">
      <w:pPr>
        <w:pStyle w:val="Heading2"/>
        <w:rPr>
          <w:rFonts w:eastAsia="MS Mincho"/>
          <w:lang w:eastAsia="ja-JP"/>
        </w:rPr>
      </w:pPr>
      <w:r w:rsidRPr="006C19A1">
        <w:rPr>
          <w:rFonts w:eastAsia="MS Mincho"/>
          <w:lang w:eastAsia="ja-JP"/>
        </w:rPr>
        <w:t>What we do</w:t>
      </w:r>
    </w:p>
    <w:p w:rsidR="008D49F9" w:rsidRDefault="00E94E95" w:rsidP="003570A5">
      <w:pPr>
        <w:spacing w:after="120"/>
      </w:pPr>
      <w:r w:rsidRPr="00EC5E90">
        <w:rPr>
          <w:rFonts w:ascii="Arial" w:eastAsia="MS Mincho" w:hAnsi="Arial" w:cs="Arial"/>
          <w:lang w:eastAsia="ja-JP"/>
        </w:rPr>
        <w:t xml:space="preserve">Key functions of the Commission include developing national safety and quality standards, developing clinical care standards to improve the implementation of evidence-based health care, coordinating work in specific areas to improve outcomes for patients, and providing information, publications and resources about safety and quality. </w:t>
      </w:r>
    </w:p>
    <w:sectPr w:rsidR="008D49F9" w:rsidSect="00F5269A">
      <w:headerReference w:type="default"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F95" w:rsidRDefault="00E40F95" w:rsidP="000B0274">
      <w:r>
        <w:separator/>
      </w:r>
    </w:p>
  </w:endnote>
  <w:endnote w:type="continuationSeparator" w:id="0">
    <w:p w:rsidR="00E40F95" w:rsidRDefault="00E40F95"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0A5" w:rsidRPr="006C19A1" w:rsidRDefault="003570A5" w:rsidP="003570A5">
    <w:pPr>
      <w:pStyle w:val="Footer"/>
      <w:rPr>
        <w:rFonts w:eastAsia="MS Mincho"/>
        <w:lang w:eastAsia="ja-JP"/>
      </w:rPr>
    </w:pPr>
    <w:r>
      <w:rPr>
        <w:rFonts w:eastAsia="MS Mincho"/>
        <w:lang w:eastAsia="ja-JP"/>
      </w:rPr>
      <w:t>Consultation paper: P</w:t>
    </w:r>
    <w:r w:rsidRPr="006C19A1">
      <w:rPr>
        <w:rFonts w:eastAsia="MS Mincho"/>
        <w:lang w:eastAsia="ja-JP"/>
      </w:rPr>
      <w:t>atient safety and quality improvement in primary care</w:t>
    </w:r>
  </w:p>
  <w:p w:rsidR="009B053D" w:rsidRDefault="009B0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8F9" w:rsidRPr="006803BA" w:rsidRDefault="006803BA" w:rsidP="000B0274">
    <w:r w:rsidRPr="006803BA">
      <w:t>Insert title</w:t>
    </w:r>
    <w:r>
      <w:tab/>
    </w:r>
    <w:r>
      <w:tab/>
    </w:r>
    <w:r w:rsidRPr="006803BA">
      <w:fldChar w:fldCharType="begin"/>
    </w:r>
    <w:r w:rsidRPr="006803BA">
      <w:instrText xml:space="preserve"> PAGE   \* MERGEFORMAT </w:instrText>
    </w:r>
    <w:r w:rsidRPr="006803BA">
      <w:fldChar w:fldCharType="separate"/>
    </w:r>
    <w:r>
      <w:rPr>
        <w:noProof/>
      </w:rPr>
      <w:t>0</w:t>
    </w:r>
    <w:r w:rsidRPr="006803BA">
      <w:rPr>
        <w:noProof/>
      </w:rPr>
      <w:fldChar w:fldCharType="end"/>
    </w:r>
  </w:p>
  <w:p w:rsidR="008A58F9" w:rsidRDefault="008A58F9" w:rsidP="000B02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F95" w:rsidRDefault="00E40F95" w:rsidP="000B0274">
      <w:r>
        <w:separator/>
      </w:r>
    </w:p>
  </w:footnote>
  <w:footnote w:type="continuationSeparator" w:id="0">
    <w:p w:rsidR="00E40F95" w:rsidRDefault="00E40F95" w:rsidP="000B0274">
      <w:r>
        <w:continuationSeparator/>
      </w:r>
    </w:p>
  </w:footnote>
  <w:footnote w:id="1">
    <w:p w:rsidR="00E94E95" w:rsidRPr="005630B8" w:rsidRDefault="00E94E95" w:rsidP="00E94E95">
      <w:pPr>
        <w:pStyle w:val="FootnoteText"/>
        <w:rPr>
          <w:rFonts w:ascii="Arial" w:hAnsi="Arial" w:cs="Arial"/>
        </w:rPr>
      </w:pPr>
      <w:r w:rsidRPr="005630B8">
        <w:rPr>
          <w:rStyle w:val="FootnoteReference"/>
          <w:rFonts w:cs="Arial"/>
        </w:rPr>
        <w:footnoteRef/>
      </w:r>
      <w:r w:rsidRPr="005630B8">
        <w:rPr>
          <w:rFonts w:ascii="Arial" w:hAnsi="Arial" w:cs="Arial"/>
        </w:rPr>
        <w:t xml:space="preserve"> </w:t>
      </w:r>
      <w:proofErr w:type="gramStart"/>
      <w:r w:rsidRPr="005630B8">
        <w:rPr>
          <w:rFonts w:ascii="Arial" w:hAnsi="Arial" w:cs="Arial"/>
        </w:rPr>
        <w:t>Australian Commission on Safety and Quality in Health Care.</w:t>
      </w:r>
      <w:proofErr w:type="gramEnd"/>
      <w:r w:rsidRPr="005630B8">
        <w:rPr>
          <w:rFonts w:ascii="Arial" w:hAnsi="Arial" w:cs="Arial"/>
        </w:rPr>
        <w:t xml:space="preserve"> </w:t>
      </w:r>
      <w:proofErr w:type="gramStart"/>
      <w:r w:rsidRPr="005630B8">
        <w:rPr>
          <w:rFonts w:ascii="Arial" w:hAnsi="Arial" w:cs="Arial"/>
        </w:rPr>
        <w:t>Windows into Safety and Quality in Health Care 2010.</w:t>
      </w:r>
      <w:proofErr w:type="gramEnd"/>
      <w:r w:rsidRPr="005630B8">
        <w:rPr>
          <w:rFonts w:ascii="Arial" w:hAnsi="Arial" w:cs="Arial"/>
        </w:rPr>
        <w:t xml:space="preserve"> Sydney: ACSQHC;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0A5" w:rsidRDefault="003570A5">
    <w:pPr>
      <w:pStyle w:val="Header"/>
    </w:pPr>
    <w:r>
      <w:rPr>
        <w:noProof/>
      </w:rPr>
      <w:drawing>
        <wp:inline distT="0" distB="0" distL="0" distR="0" wp14:anchorId="762DC597" wp14:editId="55021A14">
          <wp:extent cx="5731510" cy="812800"/>
          <wp:effectExtent l="0" t="0" r="2540" b="6350"/>
          <wp:docPr id="1" name="Picture 1" descr="\\central.health\dfsuserenv\Users\User_07\pilgrg\Desktop\Logos\ACSQHC_logo_inline_RGB72_JPG (53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07\pilgrg\Desktop\Logos\ACSQHC_logo_inline_RGB72_JPG (537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66FD5A"/>
    <w:lvl w:ilvl="0">
      <w:start w:val="1"/>
      <w:numFmt w:val="decimal"/>
      <w:lvlText w:val="%1."/>
      <w:lvlJc w:val="left"/>
      <w:pPr>
        <w:tabs>
          <w:tab w:val="num" w:pos="1492"/>
        </w:tabs>
        <w:ind w:left="1492" w:hanging="360"/>
      </w:pPr>
    </w:lvl>
  </w:abstractNum>
  <w:abstractNum w:abstractNumId="1">
    <w:nsid w:val="FFFFFF7D"/>
    <w:multiLevelType w:val="singleLevel"/>
    <w:tmpl w:val="58F89A46"/>
    <w:lvl w:ilvl="0">
      <w:start w:val="1"/>
      <w:numFmt w:val="decimal"/>
      <w:lvlText w:val="%1."/>
      <w:lvlJc w:val="left"/>
      <w:pPr>
        <w:tabs>
          <w:tab w:val="num" w:pos="1209"/>
        </w:tabs>
        <w:ind w:left="1209" w:hanging="360"/>
      </w:pPr>
    </w:lvl>
  </w:abstractNum>
  <w:abstractNum w:abstractNumId="2">
    <w:nsid w:val="FFFFFF7E"/>
    <w:multiLevelType w:val="singleLevel"/>
    <w:tmpl w:val="739C9CE6"/>
    <w:lvl w:ilvl="0">
      <w:start w:val="1"/>
      <w:numFmt w:val="decimal"/>
      <w:lvlText w:val="%1."/>
      <w:lvlJc w:val="left"/>
      <w:pPr>
        <w:tabs>
          <w:tab w:val="num" w:pos="926"/>
        </w:tabs>
        <w:ind w:left="926" w:hanging="360"/>
      </w:pPr>
    </w:lvl>
  </w:abstractNum>
  <w:abstractNum w:abstractNumId="3">
    <w:nsid w:val="FFFFFF7F"/>
    <w:multiLevelType w:val="singleLevel"/>
    <w:tmpl w:val="8578B1C6"/>
    <w:lvl w:ilvl="0">
      <w:start w:val="1"/>
      <w:numFmt w:val="decimal"/>
      <w:lvlText w:val="%1."/>
      <w:lvlJc w:val="left"/>
      <w:pPr>
        <w:tabs>
          <w:tab w:val="num" w:pos="643"/>
        </w:tabs>
        <w:ind w:left="643" w:hanging="360"/>
      </w:pPr>
    </w:lvl>
  </w:abstractNum>
  <w:abstractNum w:abstractNumId="4">
    <w:nsid w:val="FFFFFF80"/>
    <w:multiLevelType w:val="singleLevel"/>
    <w:tmpl w:val="3104CD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3A88D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087C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6E33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50EF306"/>
    <w:lvl w:ilvl="0">
      <w:start w:val="1"/>
      <w:numFmt w:val="decimal"/>
      <w:lvlText w:val="%1."/>
      <w:lvlJc w:val="left"/>
      <w:pPr>
        <w:tabs>
          <w:tab w:val="num" w:pos="360"/>
        </w:tabs>
        <w:ind w:left="360" w:hanging="360"/>
      </w:pPr>
    </w:lvl>
  </w:abstractNum>
  <w:abstractNum w:abstractNumId="9">
    <w:nsid w:val="FFFFFF89"/>
    <w:multiLevelType w:val="singleLevel"/>
    <w:tmpl w:val="36EA2B9A"/>
    <w:lvl w:ilvl="0">
      <w:start w:val="1"/>
      <w:numFmt w:val="bullet"/>
      <w:lvlText w:val=""/>
      <w:lvlJc w:val="left"/>
      <w:pPr>
        <w:tabs>
          <w:tab w:val="num" w:pos="360"/>
        </w:tabs>
        <w:ind w:left="360" w:hanging="360"/>
      </w:pPr>
      <w:rPr>
        <w:rFonts w:ascii="Symbol" w:hAnsi="Symbol" w:hint="default"/>
      </w:rPr>
    </w:lvl>
  </w:abstractNum>
  <w:abstractNum w:abstractNumId="1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70744F2"/>
    <w:multiLevelType w:val="hybridMultilevel"/>
    <w:tmpl w:val="B2C47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nsid w:val="14B80DAF"/>
    <w:multiLevelType w:val="multilevel"/>
    <w:tmpl w:val="79D2EACE"/>
    <w:lvl w:ilvl="0">
      <w:start w:val="1"/>
      <w:numFmt w:val="decimal"/>
      <w:lvlText w:val="%1"/>
      <w:lvlJc w:val="left"/>
      <w:pPr>
        <w:ind w:left="360" w:hanging="360"/>
      </w:pPr>
      <w:rPr>
        <w:rFonts w:hint="default"/>
      </w:rPr>
    </w:lvl>
    <w:lvl w:ilvl="1">
      <w:start w:val="1"/>
      <w:numFmt w:val="lowerRoman"/>
      <w:lvlText w:val="%2"/>
      <w:lvlJc w:val="left"/>
      <w:pPr>
        <w:ind w:left="567" w:hanging="283"/>
      </w:pPr>
      <w:rPr>
        <w:rFonts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C714585"/>
    <w:multiLevelType w:val="hybridMultilevel"/>
    <w:tmpl w:val="C3DA0A86"/>
    <w:lvl w:ilvl="0" w:tplc="F36611F8">
      <w:numFmt w:val="bullet"/>
      <w:lvlText w:val="•"/>
      <w:lvlJc w:val="left"/>
      <w:pPr>
        <w:ind w:left="720" w:hanging="360"/>
      </w:pPr>
      <w:rPr>
        <w:rFonts w:ascii="Arial" w:eastAsia="Times New Roman" w:hAnsi="Arial" w:cs="Arial" w:hint="default"/>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34C484F"/>
    <w:multiLevelType w:val="multilevel"/>
    <w:tmpl w:val="EABE25FA"/>
    <w:numStyleLink w:val="Listbullets"/>
  </w:abstractNum>
  <w:abstractNum w:abstractNumId="17">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0AB3DE0"/>
    <w:multiLevelType w:val="hybridMultilevel"/>
    <w:tmpl w:val="9002060E"/>
    <w:lvl w:ilvl="0" w:tplc="BD68ED14">
      <w:start w:val="1"/>
      <w:numFmt w:val="bullet"/>
      <w:lvlText w:val=""/>
      <w:lvlJc w:val="left"/>
      <w:pPr>
        <w:ind w:left="720" w:hanging="360"/>
      </w:pPr>
      <w:rPr>
        <w:rFonts w:ascii="Symbol" w:hAnsi="Symbol" w:hint="default"/>
        <w:color w:val="FF0000"/>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794773"/>
    <w:multiLevelType w:val="multilevel"/>
    <w:tmpl w:val="0C09001D"/>
    <w:numStyleLink w:val="Bullet"/>
  </w:abstractNum>
  <w:abstractNum w:abstractNumId="22">
    <w:nsid w:val="70356B54"/>
    <w:multiLevelType w:val="multilevel"/>
    <w:tmpl w:val="A0B4CBEC"/>
    <w:lvl w:ilvl="0">
      <w:start w:val="1"/>
      <w:numFmt w:val="bullet"/>
      <w:lvlText w:val=""/>
      <w:lvlJc w:val="left"/>
      <w:pPr>
        <w:ind w:left="227" w:firstLine="0"/>
      </w:pPr>
      <w:rPr>
        <w:rFonts w:ascii="Symbol" w:hAnsi="Symbol" w:hint="default"/>
      </w:rPr>
    </w:lvl>
    <w:lvl w:ilvl="1">
      <w:start w:val="1"/>
      <w:numFmt w:val="bullet"/>
      <w:lvlText w:val="-"/>
      <w:lvlJc w:val="left"/>
      <w:pPr>
        <w:ind w:left="567" w:hanging="57"/>
      </w:pPr>
      <w:rPr>
        <w:rFonts w:ascii="Courier New" w:hAnsi="Courier New" w:hint="default"/>
      </w:rPr>
    </w:lvl>
    <w:lvl w:ilvl="2">
      <w:start w:val="1"/>
      <w:numFmt w:val="bullet"/>
      <w:lvlText w:val="-"/>
      <w:lvlJc w:val="left"/>
      <w:pPr>
        <w:ind w:left="624" w:firstLine="0"/>
      </w:pPr>
      <w:rPr>
        <w:rFonts w:ascii="Arial" w:hAnsi="Arial" w:hint="default"/>
      </w:rPr>
    </w:lvl>
    <w:lvl w:ilvl="3">
      <w:start w:val="1"/>
      <w:numFmt w:val="decimal"/>
      <w:lvlText w:val="(%4)"/>
      <w:lvlJc w:val="left"/>
      <w:pPr>
        <w:ind w:left="851" w:firstLine="0"/>
      </w:pPr>
      <w:rPr>
        <w:rFonts w:hint="default"/>
      </w:rPr>
    </w:lvl>
    <w:lvl w:ilvl="4">
      <w:start w:val="1"/>
      <w:numFmt w:val="lowerLetter"/>
      <w:lvlText w:val="(%5)"/>
      <w:lvlJc w:val="left"/>
      <w:pPr>
        <w:ind w:left="1078" w:firstLine="0"/>
      </w:pPr>
      <w:rPr>
        <w:rFonts w:hint="default"/>
      </w:rPr>
    </w:lvl>
    <w:lvl w:ilvl="5">
      <w:start w:val="1"/>
      <w:numFmt w:val="lowerRoman"/>
      <w:lvlText w:val="(%6)"/>
      <w:lvlJc w:val="left"/>
      <w:pPr>
        <w:ind w:left="1305" w:firstLine="0"/>
      </w:pPr>
      <w:rPr>
        <w:rFonts w:hint="default"/>
      </w:rPr>
    </w:lvl>
    <w:lvl w:ilvl="6">
      <w:start w:val="1"/>
      <w:numFmt w:val="decimal"/>
      <w:lvlText w:val="%7."/>
      <w:lvlJc w:val="left"/>
      <w:pPr>
        <w:ind w:left="1532" w:firstLine="0"/>
      </w:pPr>
      <w:rPr>
        <w:rFonts w:hint="default"/>
      </w:rPr>
    </w:lvl>
    <w:lvl w:ilvl="7">
      <w:start w:val="1"/>
      <w:numFmt w:val="lowerLetter"/>
      <w:lvlText w:val="%8."/>
      <w:lvlJc w:val="left"/>
      <w:pPr>
        <w:ind w:left="1759" w:firstLine="0"/>
      </w:pPr>
      <w:rPr>
        <w:rFonts w:hint="default"/>
      </w:rPr>
    </w:lvl>
    <w:lvl w:ilvl="8">
      <w:start w:val="1"/>
      <w:numFmt w:val="lowerRoman"/>
      <w:lvlText w:val="%9."/>
      <w:lvlJc w:val="left"/>
      <w:pPr>
        <w:ind w:left="1986" w:firstLine="0"/>
      </w:pPr>
      <w:rPr>
        <w:rFonts w:hint="default"/>
      </w:rPr>
    </w:lvl>
  </w:abstractNum>
  <w:num w:numId="1">
    <w:abstractNumId w:val="15"/>
  </w:num>
  <w:num w:numId="2">
    <w:abstractNumId w:val="20"/>
  </w:num>
  <w:num w:numId="3">
    <w:abstractNumId w:val="11"/>
  </w:num>
  <w:num w:numId="4">
    <w:abstractNumId w:val="10"/>
  </w:num>
  <w:num w:numId="5">
    <w:abstractNumId w:val="16"/>
  </w:num>
  <w:num w:numId="6">
    <w:abstractNumId w:val="14"/>
  </w:num>
  <w:num w:numId="7">
    <w:abstractNumId w:val="12"/>
  </w:num>
  <w:num w:numId="8">
    <w:abstractNumId w:val="17"/>
  </w:num>
  <w:num w:numId="9">
    <w:abstractNumId w:val="19"/>
  </w:num>
  <w:num w:numId="10">
    <w:abstractNumId w:val="10"/>
  </w:num>
  <w:num w:numId="11">
    <w:abstractNumId w:val="22"/>
  </w:num>
  <w:num w:numId="12">
    <w:abstractNumId w:val="18"/>
  </w:num>
  <w:num w:numId="13">
    <w:abstractNumId w:val="21"/>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9D"/>
    <w:rsid w:val="00003743"/>
    <w:rsid w:val="00025BC7"/>
    <w:rsid w:val="0003186E"/>
    <w:rsid w:val="00043671"/>
    <w:rsid w:val="00067456"/>
    <w:rsid w:val="000A3571"/>
    <w:rsid w:val="000A3F0D"/>
    <w:rsid w:val="000B0274"/>
    <w:rsid w:val="000C1DD4"/>
    <w:rsid w:val="000D017D"/>
    <w:rsid w:val="000E2F2E"/>
    <w:rsid w:val="001921ED"/>
    <w:rsid w:val="001B3443"/>
    <w:rsid w:val="001E1042"/>
    <w:rsid w:val="001E77C4"/>
    <w:rsid w:val="001F1F63"/>
    <w:rsid w:val="00237ADF"/>
    <w:rsid w:val="00245D81"/>
    <w:rsid w:val="00255596"/>
    <w:rsid w:val="00261F43"/>
    <w:rsid w:val="002662B4"/>
    <w:rsid w:val="00267635"/>
    <w:rsid w:val="00281FD4"/>
    <w:rsid w:val="00282634"/>
    <w:rsid w:val="002C6AF0"/>
    <w:rsid w:val="002F3AE3"/>
    <w:rsid w:val="0030786C"/>
    <w:rsid w:val="00312A62"/>
    <w:rsid w:val="00316683"/>
    <w:rsid w:val="003570A5"/>
    <w:rsid w:val="003873C6"/>
    <w:rsid w:val="003C297A"/>
    <w:rsid w:val="003D17F9"/>
    <w:rsid w:val="003D437B"/>
    <w:rsid w:val="003E76C8"/>
    <w:rsid w:val="00411B81"/>
    <w:rsid w:val="00412E9D"/>
    <w:rsid w:val="00447D31"/>
    <w:rsid w:val="00470AB8"/>
    <w:rsid w:val="004867E2"/>
    <w:rsid w:val="00486826"/>
    <w:rsid w:val="004A0670"/>
    <w:rsid w:val="004B2999"/>
    <w:rsid w:val="004E58C1"/>
    <w:rsid w:val="0052107C"/>
    <w:rsid w:val="005221B7"/>
    <w:rsid w:val="00544A4E"/>
    <w:rsid w:val="00553E33"/>
    <w:rsid w:val="00566B97"/>
    <w:rsid w:val="0059724C"/>
    <w:rsid w:val="005C1496"/>
    <w:rsid w:val="005C6AAE"/>
    <w:rsid w:val="005E2614"/>
    <w:rsid w:val="00607B0B"/>
    <w:rsid w:val="00617D74"/>
    <w:rsid w:val="006803BA"/>
    <w:rsid w:val="006E688D"/>
    <w:rsid w:val="007028EC"/>
    <w:rsid w:val="0070703E"/>
    <w:rsid w:val="0071637F"/>
    <w:rsid w:val="007360BF"/>
    <w:rsid w:val="007545C7"/>
    <w:rsid w:val="00754DA4"/>
    <w:rsid w:val="0076005C"/>
    <w:rsid w:val="007635C1"/>
    <w:rsid w:val="00766B42"/>
    <w:rsid w:val="0078070C"/>
    <w:rsid w:val="00784541"/>
    <w:rsid w:val="007968CC"/>
    <w:rsid w:val="00796FB7"/>
    <w:rsid w:val="007B04A9"/>
    <w:rsid w:val="007B16AC"/>
    <w:rsid w:val="007E000D"/>
    <w:rsid w:val="008264EB"/>
    <w:rsid w:val="00827924"/>
    <w:rsid w:val="00830756"/>
    <w:rsid w:val="008A58F9"/>
    <w:rsid w:val="008D49F9"/>
    <w:rsid w:val="008E5D6A"/>
    <w:rsid w:val="0091137C"/>
    <w:rsid w:val="009402C5"/>
    <w:rsid w:val="009424A5"/>
    <w:rsid w:val="00947AB5"/>
    <w:rsid w:val="00964277"/>
    <w:rsid w:val="00977D26"/>
    <w:rsid w:val="009A263C"/>
    <w:rsid w:val="009B053D"/>
    <w:rsid w:val="009B64E3"/>
    <w:rsid w:val="009E1F38"/>
    <w:rsid w:val="009E6B78"/>
    <w:rsid w:val="009F5557"/>
    <w:rsid w:val="00A0554C"/>
    <w:rsid w:val="00A15082"/>
    <w:rsid w:val="00A4199A"/>
    <w:rsid w:val="00A4512D"/>
    <w:rsid w:val="00A705AF"/>
    <w:rsid w:val="00A75B58"/>
    <w:rsid w:val="00A931E2"/>
    <w:rsid w:val="00A93A18"/>
    <w:rsid w:val="00A964DB"/>
    <w:rsid w:val="00AA6DC2"/>
    <w:rsid w:val="00AA7B58"/>
    <w:rsid w:val="00AB40AB"/>
    <w:rsid w:val="00AB6ED9"/>
    <w:rsid w:val="00AD52A0"/>
    <w:rsid w:val="00AF6154"/>
    <w:rsid w:val="00B24DF4"/>
    <w:rsid w:val="00B2665E"/>
    <w:rsid w:val="00B32DD1"/>
    <w:rsid w:val="00B3720C"/>
    <w:rsid w:val="00B41409"/>
    <w:rsid w:val="00B42851"/>
    <w:rsid w:val="00B47076"/>
    <w:rsid w:val="00B56B37"/>
    <w:rsid w:val="00B8026C"/>
    <w:rsid w:val="00B95A67"/>
    <w:rsid w:val="00BC07E4"/>
    <w:rsid w:val="00C06314"/>
    <w:rsid w:val="00C1074C"/>
    <w:rsid w:val="00C436EE"/>
    <w:rsid w:val="00C51BE7"/>
    <w:rsid w:val="00C911AD"/>
    <w:rsid w:val="00CB0684"/>
    <w:rsid w:val="00CB5B1A"/>
    <w:rsid w:val="00CB733F"/>
    <w:rsid w:val="00CC697B"/>
    <w:rsid w:val="00D24922"/>
    <w:rsid w:val="00D40AE4"/>
    <w:rsid w:val="00D42B9A"/>
    <w:rsid w:val="00D469E4"/>
    <w:rsid w:val="00D73FE2"/>
    <w:rsid w:val="00D7465B"/>
    <w:rsid w:val="00D96327"/>
    <w:rsid w:val="00DC0D24"/>
    <w:rsid w:val="00E13C5C"/>
    <w:rsid w:val="00E236C6"/>
    <w:rsid w:val="00E40F95"/>
    <w:rsid w:val="00E4312B"/>
    <w:rsid w:val="00E60EE1"/>
    <w:rsid w:val="00E708F6"/>
    <w:rsid w:val="00E86B67"/>
    <w:rsid w:val="00E94E95"/>
    <w:rsid w:val="00EA5FD0"/>
    <w:rsid w:val="00EE356F"/>
    <w:rsid w:val="00EE397E"/>
    <w:rsid w:val="00EF1C95"/>
    <w:rsid w:val="00F078B7"/>
    <w:rsid w:val="00F238F2"/>
    <w:rsid w:val="00F332B3"/>
    <w:rsid w:val="00F34D63"/>
    <w:rsid w:val="00F41C35"/>
    <w:rsid w:val="00F5269A"/>
    <w:rsid w:val="00F549D7"/>
    <w:rsid w:val="00F556DB"/>
    <w:rsid w:val="00F73D95"/>
    <w:rsid w:val="00F95769"/>
    <w:rsid w:val="00FE5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267">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lsdException w:name="heading 7" w:semiHidden="1" w:unhideWhenUsed="1" w:qFormat="1"/>
    <w:lsdException w:name="heading 8" w:semiHidden="1" w:unhideWhenUsed="1" w:qFormat="1"/>
    <w:lsdException w:name="heading 9" w:semiHidden="1" w:unhideWhenUsed="1" w:qFormat="1"/>
    <w:lsdException w:name="toc 1" w:locked="0" w:uiPriority="39" w:qFormat="1"/>
    <w:lsdException w:name="toc 2" w:locked="0" w:uiPriority="39" w:qFormat="1"/>
    <w:lsdException w:name="toc 3" w:locked="0" w:uiPriority="39" w:qFormat="1"/>
    <w:lsdException w:name="footnote text" w:locked="0" w:uiPriority="99"/>
    <w:lsdException w:name="header" w:uiPriority="0"/>
    <w:lsdException w:name="footer" w:locked="0" w:uiPriority="99"/>
    <w:lsdException w:name="caption" w:semiHidden="1" w:unhideWhenUsed="1" w:qFormat="1"/>
    <w:lsdException w:name="footnote reference" w:locked="0" w:uiPriority="99"/>
    <w:lsdException w:name="Title" w:locked="0" w:uiPriority="0" w:qFormat="1"/>
    <w:lsdException w:name="Default Paragraph Font" w:locked="0" w:uiPriority="0"/>
    <w:lsdException w:name="Subtitle" w:uiPriority="11"/>
    <w:lsdException w:name="Hyperlink" w:locked="0" w:uiPriority="99"/>
    <w:lsdException w:name="FollowedHyperlink" w:locked="0" w:uiPriority="0"/>
    <w:lsdException w:name="Strong" w:locked="0" w:uiPriority="0" w:qFormat="1"/>
    <w:lsdException w:name="Emphasis" w:locked="0" w:uiPriority="0"/>
    <w:lsdException w:name="HTML Top of Form" w:locked="0" w:uiPriority="0"/>
    <w:lsdException w:name="HTML Bottom of Form" w:locked="0" w:uiPriority="0"/>
    <w:lsdException w:name="Normal Table" w:locked="0" w:uiPriority="0"/>
    <w:lsdException w:name="No List" w:locked="0"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locked="0"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locked="0" w:semiHidden="1" w:uiPriority="39" w:unhideWhenUsed="1" w:qFormat="1"/>
  </w:latentStyles>
  <w:style w:type="paragraph" w:default="1" w:styleId="Normal">
    <w:name w:val="Normal"/>
    <w:qFormat/>
    <w:rsid w:val="00C1074C"/>
    <w:pPr>
      <w:spacing w:after="20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qFormat/>
    <w:rsid w:val="00A705AF"/>
    <w:rPr>
      <w:b/>
      <w:bCs/>
    </w:rPr>
  </w:style>
  <w:style w:type="paragraph" w:styleId="BalloonText">
    <w:name w:val="Balloon Text"/>
    <w:basedOn w:val="Normal"/>
    <w:link w:val="BalloonTextChar"/>
    <w:locked/>
    <w:rsid w:val="0003186E"/>
    <w:pPr>
      <w:spacing w:after="0"/>
    </w:pPr>
    <w:rPr>
      <w:rFonts w:ascii="Tahoma" w:hAnsi="Tahoma" w:cs="Tahoma"/>
      <w:sz w:val="16"/>
      <w:szCs w:val="16"/>
    </w:rPr>
  </w:style>
  <w:style w:type="character" w:customStyle="1" w:styleId="BalloonTextChar">
    <w:name w:val="Balloon Text Char"/>
    <w:basedOn w:val="DefaultParagraphFont"/>
    <w:link w:val="BalloonText"/>
    <w:rsid w:val="0003186E"/>
    <w:rPr>
      <w:rFonts w:ascii="Tahoma" w:hAnsi="Tahoma" w:cs="Tahoma"/>
      <w:sz w:val="16"/>
      <w:szCs w:val="16"/>
    </w:rPr>
  </w:style>
  <w:style w:type="paragraph" w:styleId="Title">
    <w:name w:val="Title"/>
    <w:basedOn w:val="Normal"/>
    <w:next w:val="Normal"/>
    <w:link w:val="TitleChar"/>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14"/>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qFormat/>
    <w:rsid w:val="005C1496"/>
    <w:pPr>
      <w:spacing w:before="120" w:after="120"/>
    </w:pPr>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qFormat/>
    <w:rsid w:val="009A263C"/>
    <w:pPr>
      <w:tabs>
        <w:tab w:val="right" w:pos="9016"/>
      </w:tabs>
      <w:spacing w:before="120" w:after="120"/>
      <w:ind w:left="221"/>
    </w:pPr>
    <w:rPr>
      <w:rFonts w:cstheme="minorHAnsi"/>
      <w:szCs w:val="20"/>
    </w:rPr>
  </w:style>
  <w:style w:type="paragraph" w:styleId="TOC3">
    <w:name w:val="toc 3"/>
    <w:basedOn w:val="Normal"/>
    <w:next w:val="Normal"/>
    <w:autoRedefine/>
    <w:qFormat/>
    <w:rsid w:val="009A263C"/>
    <w:pPr>
      <w:tabs>
        <w:tab w:val="left" w:pos="8902"/>
      </w:tabs>
      <w:spacing w:after="0"/>
      <w:ind w:left="442"/>
    </w:pPr>
    <w:rPr>
      <w:rFonts w:cstheme="minorHAnsi"/>
      <w:iCs/>
      <w:sz w:val="20"/>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uiPriority w:val="99"/>
    <w:rsid w:val="00C436EE"/>
    <w:pPr>
      <w:spacing w:after="0"/>
    </w:pPr>
    <w:rPr>
      <w:sz w:val="20"/>
      <w:szCs w:val="20"/>
    </w:rPr>
  </w:style>
  <w:style w:type="character" w:customStyle="1" w:styleId="FootnoteTextChar">
    <w:name w:val="Footnote Text Char"/>
    <w:basedOn w:val="DefaultParagraphFont"/>
    <w:link w:val="FootnoteText"/>
    <w:uiPriority w:val="99"/>
    <w:rsid w:val="00C436EE"/>
    <w:rPr>
      <w:rFonts w:ascii="Arial" w:hAnsi="Arial"/>
      <w:color w:val="000000" w:themeColor="text1"/>
      <w:lang w:eastAsia="en-US"/>
    </w:rPr>
  </w:style>
  <w:style w:type="character" w:styleId="FootnoteReference">
    <w:name w:val="footnote reference"/>
    <w:basedOn w:val="DefaultParagraphFont"/>
    <w:uiPriority w:val="99"/>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styleId="PlaceholderText">
    <w:name w:val="Placeholder Text"/>
    <w:basedOn w:val="DefaultParagraphFont"/>
    <w:uiPriority w:val="98"/>
    <w:semiHidden/>
    <w:locked/>
    <w:rsid w:val="00C51BE7"/>
    <w:rPr>
      <w:color w:val="808080"/>
    </w:rPr>
  </w:style>
  <w:style w:type="character" w:styleId="Hyperlink">
    <w:name w:val="Hyperlink"/>
    <w:basedOn w:val="DefaultParagraphFont"/>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pPr>
      <w:spacing w:before="120" w:after="120"/>
    </w:pPr>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4"/>
      </w:numPr>
    </w:pPr>
  </w:style>
  <w:style w:type="paragraph" w:customStyle="1" w:styleId="Numberedlists">
    <w:name w:val="Numbered lists"/>
    <w:basedOn w:val="Normal"/>
    <w:link w:val="NumberedlistsChar"/>
    <w:qFormat/>
    <w:rsid w:val="00A4199A"/>
    <w:pPr>
      <w:numPr>
        <w:numId w:val="12"/>
      </w:numPr>
      <w:spacing w:before="120"/>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qFormat/>
    <w:rsid w:val="000B0274"/>
    <w:pPr>
      <w:spacing w:before="240"/>
    </w:pPr>
    <w:rPr>
      <w:b/>
      <w:color w:val="00A9E5"/>
      <w:sz w:val="36"/>
      <w:szCs w:val="36"/>
    </w:rPr>
  </w:style>
  <w:style w:type="numbering" w:customStyle="1" w:styleId="Bullet">
    <w:name w:val="Bullet"/>
    <w:uiPriority w:val="99"/>
    <w:locked/>
    <w:rsid w:val="000D017D"/>
    <w:pPr>
      <w:numPr>
        <w:numId w:val="7"/>
      </w:numPr>
    </w:pPr>
  </w:style>
  <w:style w:type="numbering" w:customStyle="1" w:styleId="Bullets">
    <w:name w:val="Bullets"/>
    <w:uiPriority w:val="99"/>
    <w:locked/>
    <w:rsid w:val="000D017D"/>
    <w:pPr>
      <w:numPr>
        <w:numId w:val="8"/>
      </w:numPr>
    </w:pPr>
  </w:style>
  <w:style w:type="numbering" w:customStyle="1" w:styleId="BulletsLevel1">
    <w:name w:val="Bullets Level 1"/>
    <w:uiPriority w:val="99"/>
    <w:locked/>
    <w:rsid w:val="000D017D"/>
    <w:pPr>
      <w:numPr>
        <w:numId w:val="9"/>
      </w:numPr>
    </w:pPr>
  </w:style>
  <w:style w:type="paragraph" w:customStyle="1" w:styleId="PublicationDate">
    <w:name w:val="Publication Date"/>
    <w:basedOn w:val="Normal"/>
    <w:link w:val="PublicationDateChar"/>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styleId="Header">
    <w:name w:val="header"/>
    <w:basedOn w:val="Normal"/>
    <w:link w:val="HeaderChar"/>
    <w:locked/>
    <w:rsid w:val="00754DA4"/>
    <w:pPr>
      <w:tabs>
        <w:tab w:val="center" w:pos="4513"/>
        <w:tab w:val="right" w:pos="9026"/>
      </w:tabs>
      <w:spacing w:after="0"/>
    </w:pPr>
  </w:style>
  <w:style w:type="character" w:customStyle="1" w:styleId="HeaderChar">
    <w:name w:val="Header Char"/>
    <w:basedOn w:val="DefaultParagraphFont"/>
    <w:link w:val="Header"/>
    <w:rsid w:val="0075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267">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lsdException w:name="heading 7" w:semiHidden="1" w:unhideWhenUsed="1" w:qFormat="1"/>
    <w:lsdException w:name="heading 8" w:semiHidden="1" w:unhideWhenUsed="1" w:qFormat="1"/>
    <w:lsdException w:name="heading 9" w:semiHidden="1" w:unhideWhenUsed="1" w:qFormat="1"/>
    <w:lsdException w:name="toc 1" w:locked="0" w:uiPriority="39" w:qFormat="1"/>
    <w:lsdException w:name="toc 2" w:locked="0" w:uiPriority="39" w:qFormat="1"/>
    <w:lsdException w:name="toc 3" w:locked="0" w:uiPriority="39" w:qFormat="1"/>
    <w:lsdException w:name="footnote text" w:locked="0" w:uiPriority="99"/>
    <w:lsdException w:name="header" w:uiPriority="0"/>
    <w:lsdException w:name="footer" w:locked="0" w:uiPriority="99"/>
    <w:lsdException w:name="caption" w:semiHidden="1" w:unhideWhenUsed="1" w:qFormat="1"/>
    <w:lsdException w:name="footnote reference" w:locked="0" w:uiPriority="99"/>
    <w:lsdException w:name="Title" w:locked="0" w:uiPriority="0" w:qFormat="1"/>
    <w:lsdException w:name="Default Paragraph Font" w:locked="0" w:uiPriority="0"/>
    <w:lsdException w:name="Subtitle" w:uiPriority="11"/>
    <w:lsdException w:name="Hyperlink" w:locked="0" w:uiPriority="99"/>
    <w:lsdException w:name="FollowedHyperlink" w:locked="0" w:uiPriority="0"/>
    <w:lsdException w:name="Strong" w:locked="0" w:uiPriority="0" w:qFormat="1"/>
    <w:lsdException w:name="Emphasis" w:locked="0" w:uiPriority="0"/>
    <w:lsdException w:name="HTML Top of Form" w:locked="0" w:uiPriority="0"/>
    <w:lsdException w:name="HTML Bottom of Form" w:locked="0" w:uiPriority="0"/>
    <w:lsdException w:name="Normal Table" w:locked="0" w:uiPriority="0"/>
    <w:lsdException w:name="No List" w:locked="0"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locked="0"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locked="0" w:semiHidden="1" w:uiPriority="39" w:unhideWhenUsed="1" w:qFormat="1"/>
  </w:latentStyles>
  <w:style w:type="paragraph" w:default="1" w:styleId="Normal">
    <w:name w:val="Normal"/>
    <w:qFormat/>
    <w:rsid w:val="00C1074C"/>
    <w:pPr>
      <w:spacing w:after="20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qFormat/>
    <w:rsid w:val="00A705AF"/>
    <w:rPr>
      <w:b/>
      <w:bCs/>
    </w:rPr>
  </w:style>
  <w:style w:type="paragraph" w:styleId="BalloonText">
    <w:name w:val="Balloon Text"/>
    <w:basedOn w:val="Normal"/>
    <w:link w:val="BalloonTextChar"/>
    <w:locked/>
    <w:rsid w:val="0003186E"/>
    <w:pPr>
      <w:spacing w:after="0"/>
    </w:pPr>
    <w:rPr>
      <w:rFonts w:ascii="Tahoma" w:hAnsi="Tahoma" w:cs="Tahoma"/>
      <w:sz w:val="16"/>
      <w:szCs w:val="16"/>
    </w:rPr>
  </w:style>
  <w:style w:type="character" w:customStyle="1" w:styleId="BalloonTextChar">
    <w:name w:val="Balloon Text Char"/>
    <w:basedOn w:val="DefaultParagraphFont"/>
    <w:link w:val="BalloonText"/>
    <w:rsid w:val="0003186E"/>
    <w:rPr>
      <w:rFonts w:ascii="Tahoma" w:hAnsi="Tahoma" w:cs="Tahoma"/>
      <w:sz w:val="16"/>
      <w:szCs w:val="16"/>
    </w:rPr>
  </w:style>
  <w:style w:type="paragraph" w:styleId="Title">
    <w:name w:val="Title"/>
    <w:basedOn w:val="Normal"/>
    <w:next w:val="Normal"/>
    <w:link w:val="TitleChar"/>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14"/>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qFormat/>
    <w:rsid w:val="005C1496"/>
    <w:pPr>
      <w:spacing w:before="120" w:after="120"/>
    </w:pPr>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qFormat/>
    <w:rsid w:val="009A263C"/>
    <w:pPr>
      <w:tabs>
        <w:tab w:val="right" w:pos="9016"/>
      </w:tabs>
      <w:spacing w:before="120" w:after="120"/>
      <w:ind w:left="221"/>
    </w:pPr>
    <w:rPr>
      <w:rFonts w:cstheme="minorHAnsi"/>
      <w:szCs w:val="20"/>
    </w:rPr>
  </w:style>
  <w:style w:type="paragraph" w:styleId="TOC3">
    <w:name w:val="toc 3"/>
    <w:basedOn w:val="Normal"/>
    <w:next w:val="Normal"/>
    <w:autoRedefine/>
    <w:qFormat/>
    <w:rsid w:val="009A263C"/>
    <w:pPr>
      <w:tabs>
        <w:tab w:val="left" w:pos="8902"/>
      </w:tabs>
      <w:spacing w:after="0"/>
      <w:ind w:left="442"/>
    </w:pPr>
    <w:rPr>
      <w:rFonts w:cstheme="minorHAnsi"/>
      <w:iCs/>
      <w:sz w:val="20"/>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uiPriority w:val="99"/>
    <w:rsid w:val="00C436EE"/>
    <w:pPr>
      <w:spacing w:after="0"/>
    </w:pPr>
    <w:rPr>
      <w:sz w:val="20"/>
      <w:szCs w:val="20"/>
    </w:rPr>
  </w:style>
  <w:style w:type="character" w:customStyle="1" w:styleId="FootnoteTextChar">
    <w:name w:val="Footnote Text Char"/>
    <w:basedOn w:val="DefaultParagraphFont"/>
    <w:link w:val="FootnoteText"/>
    <w:uiPriority w:val="99"/>
    <w:rsid w:val="00C436EE"/>
    <w:rPr>
      <w:rFonts w:ascii="Arial" w:hAnsi="Arial"/>
      <w:color w:val="000000" w:themeColor="text1"/>
      <w:lang w:eastAsia="en-US"/>
    </w:rPr>
  </w:style>
  <w:style w:type="character" w:styleId="FootnoteReference">
    <w:name w:val="footnote reference"/>
    <w:basedOn w:val="DefaultParagraphFont"/>
    <w:uiPriority w:val="99"/>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styleId="PlaceholderText">
    <w:name w:val="Placeholder Text"/>
    <w:basedOn w:val="DefaultParagraphFont"/>
    <w:uiPriority w:val="98"/>
    <w:semiHidden/>
    <w:locked/>
    <w:rsid w:val="00C51BE7"/>
    <w:rPr>
      <w:color w:val="808080"/>
    </w:rPr>
  </w:style>
  <w:style w:type="character" w:styleId="Hyperlink">
    <w:name w:val="Hyperlink"/>
    <w:basedOn w:val="DefaultParagraphFont"/>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pPr>
      <w:spacing w:before="120" w:after="120"/>
    </w:pPr>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4"/>
      </w:numPr>
    </w:pPr>
  </w:style>
  <w:style w:type="paragraph" w:customStyle="1" w:styleId="Numberedlists">
    <w:name w:val="Numbered lists"/>
    <w:basedOn w:val="Normal"/>
    <w:link w:val="NumberedlistsChar"/>
    <w:qFormat/>
    <w:rsid w:val="00A4199A"/>
    <w:pPr>
      <w:numPr>
        <w:numId w:val="12"/>
      </w:numPr>
      <w:spacing w:before="120"/>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qFormat/>
    <w:rsid w:val="000B0274"/>
    <w:pPr>
      <w:spacing w:before="240"/>
    </w:pPr>
    <w:rPr>
      <w:b/>
      <w:color w:val="00A9E5"/>
      <w:sz w:val="36"/>
      <w:szCs w:val="36"/>
    </w:rPr>
  </w:style>
  <w:style w:type="numbering" w:customStyle="1" w:styleId="Bullet">
    <w:name w:val="Bullet"/>
    <w:uiPriority w:val="99"/>
    <w:locked/>
    <w:rsid w:val="000D017D"/>
    <w:pPr>
      <w:numPr>
        <w:numId w:val="7"/>
      </w:numPr>
    </w:pPr>
  </w:style>
  <w:style w:type="numbering" w:customStyle="1" w:styleId="Bullets">
    <w:name w:val="Bullets"/>
    <w:uiPriority w:val="99"/>
    <w:locked/>
    <w:rsid w:val="000D017D"/>
    <w:pPr>
      <w:numPr>
        <w:numId w:val="8"/>
      </w:numPr>
    </w:pPr>
  </w:style>
  <w:style w:type="numbering" w:customStyle="1" w:styleId="BulletsLevel1">
    <w:name w:val="Bullets Level 1"/>
    <w:uiPriority w:val="99"/>
    <w:locked/>
    <w:rsid w:val="000D017D"/>
    <w:pPr>
      <w:numPr>
        <w:numId w:val="9"/>
      </w:numPr>
    </w:pPr>
  </w:style>
  <w:style w:type="paragraph" w:customStyle="1" w:styleId="PublicationDate">
    <w:name w:val="Publication Date"/>
    <w:basedOn w:val="Normal"/>
    <w:link w:val="PublicationDateChar"/>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styleId="Header">
    <w:name w:val="header"/>
    <w:basedOn w:val="Normal"/>
    <w:link w:val="HeaderChar"/>
    <w:locked/>
    <w:rsid w:val="00754DA4"/>
    <w:pPr>
      <w:tabs>
        <w:tab w:val="center" w:pos="4513"/>
        <w:tab w:val="right" w:pos="9026"/>
      </w:tabs>
      <w:spacing w:after="0"/>
    </w:pPr>
  </w:style>
  <w:style w:type="character" w:customStyle="1" w:styleId="HeaderChar">
    <w:name w:val="Header Char"/>
    <w:basedOn w:val="DefaultParagraphFont"/>
    <w:link w:val="Header"/>
    <w:rsid w:val="0075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afetyandquality.gov.au/our-work/primary-health-care/" TargetMode="External"/><Relationship Id="rId4" Type="http://schemas.microsoft.com/office/2007/relationships/stylesWithEffects" Target="stylesWithEffects.xml"/><Relationship Id="rId9" Type="http://schemas.openxmlformats.org/officeDocument/2006/relationships/hyperlink" Target="https://www.safetyandquality.gov.au/publications/consultation-paper-patient-safety-and-quality-improvement-in-primary-car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0716-E228-43A3-9E0E-839FBA84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2962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Cresswell Adam</dc:creator>
  <cp:lastModifiedBy>BARNSLEY, Katherine</cp:lastModifiedBy>
  <cp:revision>2</cp:revision>
  <cp:lastPrinted>2017-03-08T23:24:00Z</cp:lastPrinted>
  <dcterms:created xsi:type="dcterms:W3CDTF">2017-10-27T05:49:00Z</dcterms:created>
  <dcterms:modified xsi:type="dcterms:W3CDTF">2017-10-27T05:49:00Z</dcterms:modified>
</cp:coreProperties>
</file>