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BE0CE" w14:textId="5E00C24E" w:rsidR="00223848" w:rsidRPr="00223848" w:rsidRDefault="007A3780" w:rsidP="00223848">
      <w:pPr>
        <w:spacing w:after="600"/>
      </w:pPr>
      <w:bookmarkStart w:id="0" w:name="_GoBack"/>
      <w:bookmarkEnd w:id="0"/>
      <w:r>
        <w:t xml:space="preserve"> </w:t>
      </w:r>
      <w:r w:rsidR="00223848" w:rsidRPr="00223848">
        <w:rPr>
          <w:noProof/>
          <w:lang w:val="en-AU" w:eastAsia="en-AU"/>
        </w:rPr>
        <w:drawing>
          <wp:inline distT="0" distB="0" distL="0" distR="0" wp14:anchorId="64E86B49" wp14:editId="3B6EBF99">
            <wp:extent cx="5029200" cy="676910"/>
            <wp:effectExtent l="0" t="0" r="0" b="8890"/>
            <wp:docPr id="1" name="Picture 1" descr="Australian Commission on Safety and Quality in Health Care logo"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76910"/>
                    </a:xfrm>
                    <a:prstGeom prst="rect">
                      <a:avLst/>
                    </a:prstGeom>
                    <a:noFill/>
                    <a:ln>
                      <a:noFill/>
                    </a:ln>
                  </pic:spPr>
                </pic:pic>
              </a:graphicData>
            </a:graphic>
          </wp:inline>
        </w:drawing>
      </w:r>
    </w:p>
    <w:p w14:paraId="1B8C3560" w14:textId="0EDEB808" w:rsidR="00223848" w:rsidRPr="00223848" w:rsidRDefault="00223848" w:rsidP="00E96C81">
      <w:pPr>
        <w:pStyle w:val="Title"/>
        <w:rPr>
          <w:rFonts w:eastAsia="MS Gothic"/>
        </w:rPr>
      </w:pPr>
      <w:r w:rsidRPr="00223848">
        <w:rPr>
          <w:rFonts w:eastAsia="MS Gothic"/>
        </w:rPr>
        <w:t>National Standard for User-</w:t>
      </w:r>
      <w:r w:rsidR="00495C41">
        <w:rPr>
          <w:rFonts w:eastAsia="MS Gothic"/>
        </w:rPr>
        <w:t>A</w:t>
      </w:r>
      <w:r w:rsidRPr="00223848">
        <w:rPr>
          <w:rFonts w:eastAsia="MS Gothic"/>
        </w:rPr>
        <w:t>pplied Labelling of Injectable Medicines, Fluids and Lines</w:t>
      </w:r>
    </w:p>
    <w:p w14:paraId="6CE86523" w14:textId="77777777" w:rsidR="00223848" w:rsidRPr="00223848" w:rsidRDefault="00223848" w:rsidP="00223848">
      <w:pPr>
        <w:rPr>
          <w:rFonts w:cs="Arial"/>
        </w:rPr>
      </w:pPr>
    </w:p>
    <w:p w14:paraId="2A7CD193" w14:textId="77777777" w:rsidR="00223848" w:rsidRPr="00223848" w:rsidRDefault="00223848" w:rsidP="00223848">
      <w:pPr>
        <w:jc w:val="center"/>
        <w:rPr>
          <w:rFonts w:cs="Arial"/>
        </w:rPr>
      </w:pPr>
      <w:r w:rsidRPr="00223848">
        <w:rPr>
          <w:rFonts w:cs="Arial"/>
          <w:noProof/>
          <w:lang w:val="en-AU" w:eastAsia="en-AU"/>
        </w:rPr>
        <w:drawing>
          <wp:inline distT="0" distB="0" distL="0" distR="0" wp14:anchorId="22E52CB2" wp14:editId="3D3F3E5F">
            <wp:extent cx="4219200" cy="4706274"/>
            <wp:effectExtent l="0" t="0" r="0" b="0"/>
            <wp:docPr id="2" name="Picture 2" descr="Cover art including shilouettes of fluid lines and syringes" title="Cove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428" cy="4706529"/>
                    </a:xfrm>
                    <a:prstGeom prst="rect">
                      <a:avLst/>
                    </a:prstGeom>
                    <a:noFill/>
                    <a:ln>
                      <a:noFill/>
                    </a:ln>
                  </pic:spPr>
                </pic:pic>
              </a:graphicData>
            </a:graphic>
          </wp:inline>
        </w:drawing>
      </w:r>
    </w:p>
    <w:p w14:paraId="1180B093" w14:textId="77777777" w:rsidR="00223848" w:rsidRPr="00223848" w:rsidRDefault="00223848" w:rsidP="00223848">
      <w:pPr>
        <w:jc w:val="center"/>
        <w:rPr>
          <w:rFonts w:cs="Arial"/>
        </w:rPr>
      </w:pPr>
    </w:p>
    <w:p w14:paraId="1102A569" w14:textId="77777777" w:rsidR="00223848" w:rsidRDefault="00223848" w:rsidP="00E96C81">
      <w:pPr>
        <w:pStyle w:val="Subtitle"/>
        <w:rPr>
          <w:rFonts w:eastAsia="MS Gothic"/>
        </w:rPr>
      </w:pPr>
      <w:r>
        <w:rPr>
          <w:rFonts w:eastAsia="MS Gothic"/>
        </w:rPr>
        <w:t>Issues register</w:t>
      </w:r>
    </w:p>
    <w:p w14:paraId="2D9074DA" w14:textId="50A21B01" w:rsidR="00223848" w:rsidRDefault="00AE7758" w:rsidP="00E96C81">
      <w:pPr>
        <w:pStyle w:val="Subtitle"/>
        <w:rPr>
          <w:rFonts w:eastAsia="MS Gothic"/>
        </w:rPr>
      </w:pPr>
      <w:r>
        <w:rPr>
          <w:rFonts w:eastAsia="MS Gothic"/>
        </w:rPr>
        <w:t>May</w:t>
      </w:r>
      <w:r w:rsidR="007C2411">
        <w:rPr>
          <w:rFonts w:eastAsia="MS Gothic"/>
        </w:rPr>
        <w:t xml:space="preserve"> </w:t>
      </w:r>
      <w:r w:rsidR="0091117C">
        <w:rPr>
          <w:rFonts w:eastAsia="MS Gothic"/>
        </w:rPr>
        <w:t>201</w:t>
      </w:r>
      <w:r w:rsidR="007C2411">
        <w:rPr>
          <w:rFonts w:eastAsia="MS Gothic"/>
        </w:rPr>
        <w:t>8</w:t>
      </w:r>
    </w:p>
    <w:p w14:paraId="3AE7D9A5" w14:textId="5F39479C" w:rsidR="00223848" w:rsidRPr="00223848" w:rsidRDefault="00223848" w:rsidP="002B0B05">
      <w:pPr>
        <w:sectPr w:rsidR="00223848" w:rsidRPr="00223848" w:rsidSect="009B010A">
          <w:headerReference w:type="even" r:id="rId11"/>
          <w:headerReference w:type="default" r:id="rId12"/>
          <w:footerReference w:type="first" r:id="rId13"/>
          <w:pgSz w:w="11906" w:h="16838" w:code="9"/>
          <w:pgMar w:top="1134" w:right="1134" w:bottom="1134" w:left="1134" w:header="425" w:footer="284" w:gutter="0"/>
          <w:cols w:space="708"/>
          <w:titlePg/>
          <w:docGrid w:linePitch="360"/>
        </w:sectPr>
      </w:pPr>
      <w:r>
        <w:rPr>
          <w:rFonts w:eastAsia="MS Gothic" w:cs="Arial"/>
          <w:b/>
          <w:iCs/>
          <w:sz w:val="56"/>
          <w:szCs w:val="56"/>
        </w:rPr>
        <w:br w:type="page"/>
      </w:r>
    </w:p>
    <w:p w14:paraId="6B956329" w14:textId="77777777" w:rsidR="00223848" w:rsidRPr="00223848" w:rsidRDefault="00223848" w:rsidP="00E96C81">
      <w:pPr>
        <w:pStyle w:val="Heading1a"/>
      </w:pPr>
      <w:r w:rsidRPr="00223848">
        <w:lastRenderedPageBreak/>
        <w:t>Contents</w:t>
      </w:r>
    </w:p>
    <w:p w14:paraId="62D8BC2C" w14:textId="77777777" w:rsidR="005626CB" w:rsidRDefault="00D258ED">
      <w:pPr>
        <w:pStyle w:val="TOC1"/>
        <w:rPr>
          <w:rFonts w:asciiTheme="minorHAnsi" w:eastAsiaTheme="minorEastAsia" w:hAnsiTheme="minorHAnsi" w:cstheme="minorBidi"/>
          <w:b w:val="0"/>
          <w:bCs w:val="0"/>
          <w:color w:val="auto"/>
          <w:sz w:val="24"/>
          <w:szCs w:val="24"/>
          <w:lang w:val="en-GB" w:eastAsia="en-GB"/>
        </w:rPr>
      </w:pPr>
      <w:r>
        <w:rPr>
          <w:rFonts w:cs="Arial"/>
        </w:rPr>
        <w:fldChar w:fldCharType="begin"/>
      </w:r>
      <w:r>
        <w:rPr>
          <w:rFonts w:cs="Arial"/>
        </w:rPr>
        <w:instrText xml:space="preserve"> TOC \o "1-3" </w:instrText>
      </w:r>
      <w:r>
        <w:rPr>
          <w:rFonts w:cs="Arial"/>
        </w:rPr>
        <w:fldChar w:fldCharType="separate"/>
      </w:r>
      <w:r w:rsidR="005626CB">
        <w:t>Introduction</w:t>
      </w:r>
      <w:r w:rsidR="005626CB">
        <w:tab/>
      </w:r>
      <w:r w:rsidR="005626CB">
        <w:fldChar w:fldCharType="begin"/>
      </w:r>
      <w:r w:rsidR="005626CB">
        <w:instrText xml:space="preserve"> PAGEREF _Toc499035734 \h </w:instrText>
      </w:r>
      <w:r w:rsidR="005626CB">
        <w:fldChar w:fldCharType="separate"/>
      </w:r>
      <w:r w:rsidR="003266AC">
        <w:t>3</w:t>
      </w:r>
      <w:r w:rsidR="005626CB">
        <w:fldChar w:fldCharType="end"/>
      </w:r>
    </w:p>
    <w:p w14:paraId="2FB7E0BE" w14:textId="77777777" w:rsidR="005626CB" w:rsidRDefault="005626CB">
      <w:pPr>
        <w:pStyle w:val="TOC1"/>
        <w:rPr>
          <w:rFonts w:asciiTheme="minorHAnsi" w:eastAsiaTheme="minorEastAsia" w:hAnsiTheme="minorHAnsi" w:cstheme="minorBidi"/>
          <w:b w:val="0"/>
          <w:bCs w:val="0"/>
          <w:color w:val="auto"/>
          <w:sz w:val="24"/>
          <w:szCs w:val="24"/>
          <w:lang w:val="en-GB" w:eastAsia="en-GB"/>
        </w:rPr>
      </w:pPr>
      <w:r>
        <w:t>Issues summary</w:t>
      </w:r>
      <w:r>
        <w:tab/>
      </w:r>
      <w:r>
        <w:fldChar w:fldCharType="begin"/>
      </w:r>
      <w:r>
        <w:instrText xml:space="preserve"> PAGEREF _Toc499035735 \h </w:instrText>
      </w:r>
      <w:r>
        <w:fldChar w:fldCharType="separate"/>
      </w:r>
      <w:r w:rsidR="003266AC">
        <w:t>4</w:t>
      </w:r>
      <w:r>
        <w:fldChar w:fldCharType="end"/>
      </w:r>
    </w:p>
    <w:p w14:paraId="3C359D0F" w14:textId="77777777" w:rsidR="005626CB" w:rsidRDefault="005626CB">
      <w:pPr>
        <w:pStyle w:val="TOC1"/>
        <w:rPr>
          <w:rFonts w:asciiTheme="minorHAnsi" w:eastAsiaTheme="minorEastAsia" w:hAnsiTheme="minorHAnsi" w:cstheme="minorBidi"/>
          <w:b w:val="0"/>
          <w:bCs w:val="0"/>
          <w:color w:val="auto"/>
          <w:sz w:val="24"/>
          <w:szCs w:val="24"/>
          <w:lang w:val="en-GB" w:eastAsia="en-GB"/>
        </w:rPr>
      </w:pPr>
      <w:r>
        <w:t>Details of registered issues</w:t>
      </w:r>
      <w:r>
        <w:tab/>
      </w:r>
      <w:r>
        <w:fldChar w:fldCharType="begin"/>
      </w:r>
      <w:r>
        <w:instrText xml:space="preserve"> PAGEREF _Toc499035736 \h </w:instrText>
      </w:r>
      <w:r>
        <w:fldChar w:fldCharType="separate"/>
      </w:r>
      <w:r w:rsidR="003266AC">
        <w:t>6</w:t>
      </w:r>
      <w:r>
        <w:fldChar w:fldCharType="end"/>
      </w:r>
    </w:p>
    <w:p w14:paraId="6FD71F97" w14:textId="77777777" w:rsidR="005626CB" w:rsidRPr="00A9020E" w:rsidRDefault="005626CB">
      <w:pPr>
        <w:pStyle w:val="TOC2"/>
        <w:rPr>
          <w:rFonts w:asciiTheme="minorHAnsi" w:eastAsiaTheme="minorEastAsia" w:hAnsiTheme="minorHAnsi" w:cstheme="minorBidi"/>
          <w:noProof/>
          <w:color w:val="auto"/>
          <w:sz w:val="24"/>
          <w:szCs w:val="24"/>
          <w:lang w:val="en-GB" w:eastAsia="en-GB"/>
        </w:rPr>
      </w:pPr>
      <w:r w:rsidRPr="00A9020E">
        <w:rPr>
          <w:noProof/>
        </w:rPr>
        <w:t>IR 1a: Size of the catheter lock label – dialysis catheters</w:t>
      </w:r>
      <w:r w:rsidRPr="00A9020E">
        <w:rPr>
          <w:noProof/>
        </w:rPr>
        <w:tab/>
      </w:r>
      <w:r w:rsidRPr="00A9020E">
        <w:rPr>
          <w:noProof/>
        </w:rPr>
        <w:fldChar w:fldCharType="begin"/>
      </w:r>
      <w:r w:rsidRPr="00A9020E">
        <w:rPr>
          <w:noProof/>
        </w:rPr>
        <w:instrText xml:space="preserve"> PAGEREF _Toc499035737 \h </w:instrText>
      </w:r>
      <w:r w:rsidRPr="00A9020E">
        <w:rPr>
          <w:noProof/>
        </w:rPr>
      </w:r>
      <w:r w:rsidRPr="00A9020E">
        <w:rPr>
          <w:noProof/>
        </w:rPr>
        <w:fldChar w:fldCharType="separate"/>
      </w:r>
      <w:r w:rsidR="003266AC">
        <w:rPr>
          <w:noProof/>
        </w:rPr>
        <w:t>6</w:t>
      </w:r>
      <w:r w:rsidRPr="00A9020E">
        <w:rPr>
          <w:noProof/>
        </w:rPr>
        <w:fldChar w:fldCharType="end"/>
      </w:r>
    </w:p>
    <w:p w14:paraId="49F19DC2" w14:textId="53D4DCB1" w:rsidR="005626CB" w:rsidRPr="00A9020E" w:rsidRDefault="00E01A36">
      <w:pPr>
        <w:pStyle w:val="TOC2"/>
        <w:rPr>
          <w:rFonts w:asciiTheme="minorHAnsi" w:eastAsiaTheme="minorEastAsia" w:hAnsiTheme="minorHAnsi" w:cstheme="minorBidi"/>
          <w:noProof/>
          <w:color w:val="auto"/>
          <w:sz w:val="24"/>
          <w:szCs w:val="24"/>
          <w:lang w:val="en-GB" w:eastAsia="en-GB"/>
        </w:rPr>
      </w:pPr>
      <w:r w:rsidRPr="00A9020E">
        <w:rPr>
          <w:noProof/>
        </w:rPr>
        <w:t xml:space="preserve">IR 1b: </w:t>
      </w:r>
      <w:r w:rsidR="005626CB" w:rsidRPr="00A9020E">
        <w:rPr>
          <w:noProof/>
        </w:rPr>
        <w:t>Central venous catheter lock label</w:t>
      </w:r>
      <w:r w:rsidR="005626CB" w:rsidRPr="00A9020E">
        <w:rPr>
          <w:noProof/>
        </w:rPr>
        <w:tab/>
      </w:r>
      <w:r w:rsidR="005626CB" w:rsidRPr="00A9020E">
        <w:rPr>
          <w:noProof/>
        </w:rPr>
        <w:fldChar w:fldCharType="begin"/>
      </w:r>
      <w:r w:rsidR="005626CB" w:rsidRPr="00A9020E">
        <w:rPr>
          <w:noProof/>
        </w:rPr>
        <w:instrText xml:space="preserve"> PAGEREF _Toc499035741 \h </w:instrText>
      </w:r>
      <w:r w:rsidR="005626CB" w:rsidRPr="00A9020E">
        <w:rPr>
          <w:noProof/>
        </w:rPr>
      </w:r>
      <w:r w:rsidR="005626CB" w:rsidRPr="00A9020E">
        <w:rPr>
          <w:noProof/>
        </w:rPr>
        <w:fldChar w:fldCharType="separate"/>
      </w:r>
      <w:r w:rsidR="003266AC">
        <w:rPr>
          <w:noProof/>
        </w:rPr>
        <w:t>7</w:t>
      </w:r>
      <w:r w:rsidR="005626CB" w:rsidRPr="00A9020E">
        <w:rPr>
          <w:noProof/>
        </w:rPr>
        <w:fldChar w:fldCharType="end"/>
      </w:r>
    </w:p>
    <w:p w14:paraId="725BA876" w14:textId="48C6F40B" w:rsidR="005626CB" w:rsidRPr="00A9020E" w:rsidRDefault="005626CB">
      <w:pPr>
        <w:pStyle w:val="TOC2"/>
        <w:rPr>
          <w:rFonts w:asciiTheme="minorHAnsi" w:eastAsiaTheme="minorEastAsia" w:hAnsiTheme="minorHAnsi" w:cstheme="minorBidi"/>
          <w:noProof/>
          <w:color w:val="auto"/>
          <w:sz w:val="24"/>
          <w:szCs w:val="24"/>
          <w:lang w:val="en-GB" w:eastAsia="en-GB"/>
        </w:rPr>
      </w:pPr>
      <w:r w:rsidRPr="00A9020E">
        <w:rPr>
          <w:noProof/>
        </w:rPr>
        <w:t>IR 2: User-applied container labelling in EMM systems</w:t>
      </w:r>
      <w:r w:rsidRPr="00A9020E">
        <w:rPr>
          <w:noProof/>
        </w:rPr>
        <w:tab/>
      </w:r>
      <w:r w:rsidRPr="00A9020E">
        <w:rPr>
          <w:noProof/>
        </w:rPr>
        <w:fldChar w:fldCharType="begin"/>
      </w:r>
      <w:r w:rsidRPr="00A9020E">
        <w:rPr>
          <w:noProof/>
        </w:rPr>
        <w:instrText xml:space="preserve"> PAGEREF _Toc499035744 \h </w:instrText>
      </w:r>
      <w:r w:rsidRPr="00A9020E">
        <w:rPr>
          <w:noProof/>
        </w:rPr>
      </w:r>
      <w:r w:rsidRPr="00A9020E">
        <w:rPr>
          <w:noProof/>
        </w:rPr>
        <w:fldChar w:fldCharType="separate"/>
      </w:r>
      <w:r w:rsidR="003266AC">
        <w:rPr>
          <w:noProof/>
        </w:rPr>
        <w:t>9</w:t>
      </w:r>
      <w:r w:rsidRPr="00A9020E">
        <w:rPr>
          <w:noProof/>
        </w:rPr>
        <w:fldChar w:fldCharType="end"/>
      </w:r>
    </w:p>
    <w:p w14:paraId="4D37216D" w14:textId="29D49638" w:rsidR="005626CB" w:rsidRPr="00A9020E" w:rsidRDefault="005626CB">
      <w:pPr>
        <w:pStyle w:val="TOC2"/>
        <w:rPr>
          <w:rFonts w:asciiTheme="minorHAnsi" w:eastAsiaTheme="minorEastAsia" w:hAnsiTheme="minorHAnsi" w:cstheme="minorBidi"/>
          <w:noProof/>
          <w:color w:val="auto"/>
          <w:sz w:val="24"/>
          <w:szCs w:val="24"/>
          <w:lang w:val="en-GB" w:eastAsia="en-GB"/>
        </w:rPr>
      </w:pPr>
      <w:r w:rsidRPr="00A9020E">
        <w:rPr>
          <w:noProof/>
        </w:rPr>
        <w:t>IR 3: Variation of colour-coding in interventional cardiology</w:t>
      </w:r>
      <w:r w:rsidRPr="00A9020E">
        <w:rPr>
          <w:noProof/>
        </w:rPr>
        <w:tab/>
      </w:r>
      <w:r w:rsidRPr="00A9020E">
        <w:rPr>
          <w:noProof/>
        </w:rPr>
        <w:fldChar w:fldCharType="begin"/>
      </w:r>
      <w:r w:rsidRPr="00A9020E">
        <w:rPr>
          <w:noProof/>
        </w:rPr>
        <w:instrText xml:space="preserve"> PAGEREF _Toc499035746 \h </w:instrText>
      </w:r>
      <w:r w:rsidRPr="00A9020E">
        <w:rPr>
          <w:noProof/>
        </w:rPr>
      </w:r>
      <w:r w:rsidRPr="00A9020E">
        <w:rPr>
          <w:noProof/>
        </w:rPr>
        <w:fldChar w:fldCharType="separate"/>
      </w:r>
      <w:r w:rsidR="003266AC">
        <w:rPr>
          <w:noProof/>
        </w:rPr>
        <w:t>12</w:t>
      </w:r>
      <w:r w:rsidRPr="00A9020E">
        <w:rPr>
          <w:noProof/>
        </w:rPr>
        <w:fldChar w:fldCharType="end"/>
      </w:r>
    </w:p>
    <w:p w14:paraId="3F629350" w14:textId="5B93A734" w:rsidR="005626CB" w:rsidRPr="00A9020E" w:rsidRDefault="005626CB">
      <w:pPr>
        <w:pStyle w:val="TOC2"/>
        <w:rPr>
          <w:rFonts w:asciiTheme="minorHAnsi" w:eastAsiaTheme="minorEastAsia" w:hAnsiTheme="minorHAnsi" w:cstheme="minorBidi"/>
          <w:noProof/>
          <w:color w:val="auto"/>
          <w:sz w:val="24"/>
          <w:szCs w:val="24"/>
          <w:lang w:val="en-GB" w:eastAsia="en-GB"/>
        </w:rPr>
      </w:pPr>
      <w:r w:rsidRPr="00A9020E">
        <w:rPr>
          <w:noProof/>
        </w:rPr>
        <w:t>IR 4: International harmonisation of medicine names</w:t>
      </w:r>
      <w:r w:rsidRPr="00A9020E">
        <w:rPr>
          <w:noProof/>
        </w:rPr>
        <w:tab/>
      </w:r>
      <w:r w:rsidRPr="00A9020E">
        <w:rPr>
          <w:noProof/>
        </w:rPr>
        <w:fldChar w:fldCharType="begin"/>
      </w:r>
      <w:r w:rsidRPr="00A9020E">
        <w:rPr>
          <w:noProof/>
        </w:rPr>
        <w:instrText xml:space="preserve"> PAGEREF _Toc499035748 \h </w:instrText>
      </w:r>
      <w:r w:rsidRPr="00A9020E">
        <w:rPr>
          <w:noProof/>
        </w:rPr>
      </w:r>
      <w:r w:rsidRPr="00A9020E">
        <w:rPr>
          <w:noProof/>
        </w:rPr>
        <w:fldChar w:fldCharType="separate"/>
      </w:r>
      <w:r w:rsidR="003266AC">
        <w:rPr>
          <w:noProof/>
        </w:rPr>
        <w:t>15</w:t>
      </w:r>
      <w:r w:rsidRPr="00A9020E">
        <w:rPr>
          <w:noProof/>
        </w:rPr>
        <w:fldChar w:fldCharType="end"/>
      </w:r>
    </w:p>
    <w:p w14:paraId="32CA2C57" w14:textId="71C103D4" w:rsidR="005626CB" w:rsidRDefault="005626CB" w:rsidP="00133F13">
      <w:pPr>
        <w:pStyle w:val="TOC2"/>
        <w:rPr>
          <w:rFonts w:asciiTheme="minorHAnsi" w:eastAsiaTheme="minorEastAsia" w:hAnsiTheme="minorHAnsi" w:cstheme="minorBidi"/>
          <w:noProof/>
          <w:color w:val="auto"/>
          <w:sz w:val="24"/>
          <w:szCs w:val="24"/>
          <w:lang w:val="en-GB" w:eastAsia="en-GB"/>
        </w:rPr>
      </w:pPr>
      <w:r w:rsidRPr="00A9020E">
        <w:rPr>
          <w:noProof/>
        </w:rPr>
        <w:t>IR 5: User-applied labelling oral</w:t>
      </w:r>
      <w:r w:rsidR="002E16C1" w:rsidRPr="00A9020E">
        <w:rPr>
          <w:noProof/>
        </w:rPr>
        <w:t xml:space="preserve"> and enteral </w:t>
      </w:r>
      <w:r w:rsidRPr="00A9020E">
        <w:rPr>
          <w:noProof/>
        </w:rPr>
        <w:t>liquid medicines</w:t>
      </w:r>
      <w:r>
        <w:rPr>
          <w:noProof/>
        </w:rPr>
        <w:tab/>
      </w:r>
      <w:r>
        <w:rPr>
          <w:noProof/>
        </w:rPr>
        <w:fldChar w:fldCharType="begin"/>
      </w:r>
      <w:r>
        <w:rPr>
          <w:noProof/>
        </w:rPr>
        <w:instrText xml:space="preserve"> PAGEREF _Toc499035749 \h </w:instrText>
      </w:r>
      <w:r>
        <w:rPr>
          <w:noProof/>
        </w:rPr>
      </w:r>
      <w:r>
        <w:rPr>
          <w:noProof/>
        </w:rPr>
        <w:fldChar w:fldCharType="separate"/>
      </w:r>
      <w:r w:rsidR="003266AC">
        <w:rPr>
          <w:noProof/>
        </w:rPr>
        <w:t>17</w:t>
      </w:r>
      <w:r>
        <w:rPr>
          <w:noProof/>
        </w:rPr>
        <w:fldChar w:fldCharType="end"/>
      </w:r>
    </w:p>
    <w:p w14:paraId="62DEF1DA" w14:textId="77777777" w:rsidR="00223848" w:rsidRPr="00223848" w:rsidRDefault="00D258ED" w:rsidP="00223848">
      <w:pPr>
        <w:rPr>
          <w:rFonts w:cs="Arial"/>
        </w:rPr>
      </w:pPr>
      <w:r>
        <w:rPr>
          <w:rFonts w:cs="Arial"/>
        </w:rPr>
        <w:fldChar w:fldCharType="end"/>
      </w:r>
    </w:p>
    <w:p w14:paraId="1DF11DE0" w14:textId="77777777" w:rsidR="00223848" w:rsidRPr="00223848" w:rsidRDefault="00223848" w:rsidP="00223848">
      <w:pPr>
        <w:rPr>
          <w:rFonts w:cs="Arial"/>
        </w:rPr>
      </w:pPr>
    </w:p>
    <w:p w14:paraId="4613E082" w14:textId="77777777" w:rsidR="00223848" w:rsidRPr="00223848" w:rsidRDefault="00223848" w:rsidP="00223848">
      <w:pPr>
        <w:rPr>
          <w:rFonts w:cs="Arial"/>
        </w:rPr>
        <w:sectPr w:rsidR="00223848" w:rsidRPr="00223848" w:rsidSect="0022384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6" w:h="16838" w:code="9"/>
          <w:pgMar w:top="1440" w:right="1440" w:bottom="1440" w:left="1440" w:header="576" w:footer="576" w:gutter="0"/>
          <w:pgNumType w:fmt="lowerRoman"/>
          <w:cols w:space="720"/>
          <w:titlePg/>
        </w:sectPr>
      </w:pPr>
    </w:p>
    <w:p w14:paraId="0398B5AB" w14:textId="77777777" w:rsidR="00223848" w:rsidRPr="00223848" w:rsidRDefault="00223848" w:rsidP="00E96C81">
      <w:pPr>
        <w:pStyle w:val="Heading1"/>
      </w:pPr>
      <w:bookmarkStart w:id="1" w:name="_Toc459628658"/>
      <w:bookmarkStart w:id="2" w:name="_Toc499035734"/>
      <w:r w:rsidRPr="00223848">
        <w:lastRenderedPageBreak/>
        <w:t>Introduction</w:t>
      </w:r>
      <w:bookmarkEnd w:id="1"/>
      <w:bookmarkEnd w:id="2"/>
    </w:p>
    <w:p w14:paraId="147E1DD1" w14:textId="0CA39953" w:rsidR="00223848" w:rsidRPr="00223848" w:rsidRDefault="00223848" w:rsidP="00223848">
      <w:pPr>
        <w:rPr>
          <w:rFonts w:cs="Arial"/>
        </w:rPr>
      </w:pPr>
      <w:r w:rsidRPr="00223848">
        <w:rPr>
          <w:rFonts w:cs="Arial"/>
        </w:rPr>
        <w:t xml:space="preserve">The </w:t>
      </w:r>
      <w:r w:rsidRPr="00223848">
        <w:rPr>
          <w:rFonts w:cs="Arial"/>
          <w:i/>
          <w:iCs/>
        </w:rPr>
        <w:t>National Standard for User-applied Labelling of Injectable Medicines, Fluids and Lines</w:t>
      </w:r>
      <w:r w:rsidRPr="00223848">
        <w:rPr>
          <w:rFonts w:cs="Arial"/>
        </w:rPr>
        <w:t xml:space="preserve"> (the Labelling Standard)</w:t>
      </w:r>
      <w:r w:rsidRPr="00223848">
        <w:rPr>
          <w:rFonts w:cs="Arial"/>
          <w:vertAlign w:val="superscript"/>
        </w:rPr>
        <w:t>1</w:t>
      </w:r>
      <w:r w:rsidRPr="00223848">
        <w:rPr>
          <w:rFonts w:cs="Arial"/>
        </w:rPr>
        <w:t xml:space="preserve"> sets out the minimum requirements for labelling medicines and fluids that have been removed from their original packaging. </w:t>
      </w:r>
    </w:p>
    <w:p w14:paraId="79244DEB" w14:textId="7DC4BDEA" w:rsidR="00C3631B" w:rsidRDefault="00223848" w:rsidP="00F55AD9">
      <w:pPr>
        <w:pStyle w:val="NormalBeforeBullet"/>
      </w:pPr>
      <w:r w:rsidRPr="00223848">
        <w:t>Implementing relevant action items in the National Safety and Quality Health Service (NSQHS) Standards</w:t>
      </w:r>
      <w:r w:rsidRPr="00223848">
        <w:rPr>
          <w:vertAlign w:val="superscript"/>
        </w:rPr>
        <w:t>2</w:t>
      </w:r>
      <w:r w:rsidRPr="00223848">
        <w:t xml:space="preserve"> will assist clinicians to safely prescribe, dispense and administer injectable medicines. </w:t>
      </w:r>
      <w:r w:rsidR="00C3631B">
        <w:t>T</w:t>
      </w:r>
      <w:r w:rsidRPr="00223848">
        <w:t xml:space="preserve">he Labelling Standard </w:t>
      </w:r>
      <w:r w:rsidR="00C3631B">
        <w:t>is</w:t>
      </w:r>
      <w:r w:rsidRPr="00223848">
        <w:t xml:space="preserve"> part of </w:t>
      </w:r>
      <w:r w:rsidR="00495C41">
        <w:t xml:space="preserve">the </w:t>
      </w:r>
      <w:r w:rsidR="00D95AFF">
        <w:t>NSQHS</w:t>
      </w:r>
      <w:r w:rsidR="00495C41">
        <w:t xml:space="preserve"> </w:t>
      </w:r>
      <w:r w:rsidR="00495C41" w:rsidRPr="00495C41">
        <w:t>Medication Safety Standard</w:t>
      </w:r>
      <w:r w:rsidR="00495C41">
        <w:t xml:space="preserve">, </w:t>
      </w:r>
      <w:r w:rsidR="00C3631B">
        <w:t>and</w:t>
      </w:r>
      <w:r w:rsidRPr="00223848">
        <w:t xml:space="preserve"> </w:t>
      </w:r>
      <w:r w:rsidR="00C3631B">
        <w:t>health</w:t>
      </w:r>
      <w:r w:rsidR="00C3631B" w:rsidRPr="00C3631B">
        <w:t xml:space="preserve"> service</w:t>
      </w:r>
      <w:r w:rsidR="00495C41">
        <w:t xml:space="preserve"> organisation</w:t>
      </w:r>
      <w:r w:rsidR="00C3631B" w:rsidRPr="00C3631B">
        <w:t xml:space="preserve">s seeking accreditation under the Australian Health Service Safety and Quality Accreditation </w:t>
      </w:r>
      <w:r w:rsidR="00AE7758">
        <w:t>S</w:t>
      </w:r>
      <w:r w:rsidR="00C3631B" w:rsidRPr="00C3631B">
        <w:t>cheme are required</w:t>
      </w:r>
      <w:r w:rsidR="00695805">
        <w:t xml:space="preserve"> to:</w:t>
      </w:r>
      <w:r w:rsidR="00C3631B" w:rsidRPr="00C3631B">
        <w:t xml:space="preserve"> </w:t>
      </w:r>
    </w:p>
    <w:p w14:paraId="00A0664A" w14:textId="39AAEDE2" w:rsidR="00C3631B" w:rsidRPr="00C3631B" w:rsidRDefault="00975EDE" w:rsidP="00F55AD9">
      <w:pPr>
        <w:pStyle w:val="Bullet"/>
      </w:pPr>
      <w:r>
        <w:t>P</w:t>
      </w:r>
      <w:r w:rsidR="00C3631B" w:rsidRPr="00C3631B">
        <w:t>rovide evidence of Labelling Standard implementation</w:t>
      </w:r>
    </w:p>
    <w:p w14:paraId="0BC81DB2" w14:textId="2E36CF63" w:rsidR="00C3631B" w:rsidRDefault="00AD4E4D" w:rsidP="00F55AD9">
      <w:pPr>
        <w:pStyle w:val="Bullet"/>
      </w:pPr>
      <w:r>
        <w:t>R</w:t>
      </w:r>
      <w:r w:rsidR="00C3631B" w:rsidRPr="00894A5D">
        <w:t>egular</w:t>
      </w:r>
      <w:r>
        <w:t>ly</w:t>
      </w:r>
      <w:r w:rsidR="00C3631B" w:rsidRPr="00894A5D">
        <w:t xml:space="preserve"> assess injectable medicines management procedures in all clinical areas </w:t>
      </w:r>
    </w:p>
    <w:p w14:paraId="454A9359" w14:textId="07BED638" w:rsidR="00223848" w:rsidRPr="00C3631B" w:rsidRDefault="00975EDE" w:rsidP="00F55AD9">
      <w:pPr>
        <w:pStyle w:val="BulletLast"/>
      </w:pPr>
      <w:r>
        <w:t>I</w:t>
      </w:r>
      <w:r w:rsidR="00C3631B" w:rsidRPr="00C3631B">
        <w:t>dentify risks and take action to reduce these risks.</w:t>
      </w:r>
    </w:p>
    <w:p w14:paraId="59038E8E" w14:textId="04F14165" w:rsidR="00D66E4F" w:rsidRPr="00D66E4F" w:rsidRDefault="00D66E4F" w:rsidP="00D66E4F">
      <w:pPr>
        <w:rPr>
          <w:rFonts w:cs="Arial"/>
        </w:rPr>
      </w:pPr>
      <w:r w:rsidRPr="00D66E4F">
        <w:rPr>
          <w:rFonts w:cs="Arial"/>
        </w:rPr>
        <w:t>The Australian Commission on Safety and Quality in Health Care (the Commission) is responsible for maintaining the Labelling Standard</w:t>
      </w:r>
      <w:r w:rsidR="00495C41">
        <w:rPr>
          <w:rFonts w:cs="Arial"/>
        </w:rPr>
        <w:t>,</w:t>
      </w:r>
      <w:r w:rsidRPr="00D66E4F">
        <w:rPr>
          <w:rFonts w:cs="Arial"/>
        </w:rPr>
        <w:t xml:space="preserve"> and for identifying and reducing national barriers to implementation.</w:t>
      </w:r>
    </w:p>
    <w:p w14:paraId="7880B387" w14:textId="0B6E817D" w:rsidR="00D66E4F" w:rsidRDefault="00D66E4F" w:rsidP="00D66E4F">
      <w:pPr>
        <w:rPr>
          <w:rFonts w:cs="Arial"/>
        </w:rPr>
      </w:pPr>
      <w:r w:rsidRPr="00D66E4F">
        <w:rPr>
          <w:rFonts w:cs="Arial"/>
        </w:rPr>
        <w:t>Th</w:t>
      </w:r>
      <w:r>
        <w:rPr>
          <w:rFonts w:cs="Arial"/>
        </w:rPr>
        <w:t>is</w:t>
      </w:r>
      <w:r w:rsidRPr="00D66E4F">
        <w:rPr>
          <w:rFonts w:cs="Arial"/>
        </w:rPr>
        <w:t xml:space="preserve"> Labelling </w:t>
      </w:r>
      <w:r>
        <w:rPr>
          <w:rFonts w:cs="Arial"/>
        </w:rPr>
        <w:t>Standard</w:t>
      </w:r>
      <w:r w:rsidRPr="00D66E4F">
        <w:rPr>
          <w:rFonts w:cs="Arial"/>
        </w:rPr>
        <w:t xml:space="preserve"> </w:t>
      </w:r>
      <w:r w:rsidR="00B30F61">
        <w:rPr>
          <w:rFonts w:cs="Arial"/>
        </w:rPr>
        <w:t>i</w:t>
      </w:r>
      <w:r w:rsidRPr="00D66E4F">
        <w:rPr>
          <w:rFonts w:cs="Arial"/>
        </w:rPr>
        <w:t xml:space="preserve">ssues </w:t>
      </w:r>
      <w:r w:rsidR="00B30F61">
        <w:rPr>
          <w:rFonts w:cs="Arial"/>
        </w:rPr>
        <w:t>r</w:t>
      </w:r>
      <w:r w:rsidRPr="00D66E4F">
        <w:rPr>
          <w:rFonts w:cs="Arial"/>
        </w:rPr>
        <w:t>egister records implementation issues that cannot be resolved by reference to the Labelling Standard or related support materials</w:t>
      </w:r>
      <w:r>
        <w:rPr>
          <w:rFonts w:cs="Arial"/>
        </w:rPr>
        <w:t>. Issues</w:t>
      </w:r>
      <w:r w:rsidRPr="00D66E4F">
        <w:rPr>
          <w:rFonts w:cs="Arial"/>
        </w:rPr>
        <w:t xml:space="preserve"> referred to the Commission are</w:t>
      </w:r>
      <w:r w:rsidR="00C3631B">
        <w:rPr>
          <w:rFonts w:cs="Arial"/>
        </w:rPr>
        <w:t xml:space="preserve"> referred to the Commission</w:t>
      </w:r>
      <w:r w:rsidR="00455AA9">
        <w:rPr>
          <w:rFonts w:cs="Arial"/>
        </w:rPr>
        <w:t>’</w:t>
      </w:r>
      <w:r w:rsidR="00C3631B">
        <w:rPr>
          <w:rFonts w:cs="Arial"/>
        </w:rPr>
        <w:t>s Health Services Medication Expert Advisory Group for consideration.</w:t>
      </w:r>
      <w:r w:rsidRPr="00D66E4F">
        <w:rPr>
          <w:rFonts w:cs="Arial"/>
        </w:rPr>
        <w:t xml:space="preserve"> The</w:t>
      </w:r>
      <w:r w:rsidR="00C3631B">
        <w:rPr>
          <w:rFonts w:cs="Arial"/>
        </w:rPr>
        <w:t xml:space="preserve"> recorded outcomes</w:t>
      </w:r>
      <w:r w:rsidRPr="00D66E4F">
        <w:rPr>
          <w:rFonts w:cs="Arial"/>
        </w:rPr>
        <w:t xml:space="preserve"> potentially change the way that </w:t>
      </w:r>
      <w:r w:rsidR="00495C41">
        <w:rPr>
          <w:rFonts w:cs="Arial"/>
        </w:rPr>
        <w:t>organisations</w:t>
      </w:r>
      <w:r w:rsidRPr="00D66E4F">
        <w:rPr>
          <w:rFonts w:cs="Arial"/>
        </w:rPr>
        <w:t xml:space="preserve"> implement and use the Labelling Standard</w:t>
      </w:r>
      <w:r w:rsidR="00E96C81">
        <w:rPr>
          <w:rFonts w:cs="Arial"/>
        </w:rPr>
        <w:t>,</w:t>
      </w:r>
      <w:r w:rsidRPr="00D66E4F">
        <w:rPr>
          <w:rFonts w:cs="Arial"/>
        </w:rPr>
        <w:t xml:space="preserve"> so it is important that the issues and outcomes are publicly available</w:t>
      </w:r>
      <w:r w:rsidR="00E96C81">
        <w:rPr>
          <w:rFonts w:cs="Arial"/>
        </w:rPr>
        <w:t>.</w:t>
      </w:r>
      <w:r w:rsidRPr="00D66E4F">
        <w:rPr>
          <w:rFonts w:cs="Arial"/>
        </w:rPr>
        <w:t xml:space="preserve"> </w:t>
      </w:r>
      <w:r w:rsidR="00E96C81">
        <w:rPr>
          <w:rFonts w:cs="Arial"/>
        </w:rPr>
        <w:t>T</w:t>
      </w:r>
      <w:r w:rsidRPr="00D66E4F">
        <w:rPr>
          <w:rFonts w:cs="Arial"/>
        </w:rPr>
        <w:t xml:space="preserve">he Labelling Standard </w:t>
      </w:r>
      <w:r w:rsidR="00B30F61">
        <w:rPr>
          <w:rFonts w:cs="Arial"/>
        </w:rPr>
        <w:t>i</w:t>
      </w:r>
      <w:r w:rsidRPr="00D66E4F">
        <w:rPr>
          <w:rFonts w:cs="Arial"/>
        </w:rPr>
        <w:t xml:space="preserve">ssues </w:t>
      </w:r>
      <w:r w:rsidR="00B30F61">
        <w:rPr>
          <w:rFonts w:cs="Arial"/>
        </w:rPr>
        <w:t>r</w:t>
      </w:r>
      <w:r w:rsidRPr="00D66E4F">
        <w:rPr>
          <w:rFonts w:cs="Arial"/>
        </w:rPr>
        <w:t>egister is available on the Commission</w:t>
      </w:r>
      <w:r w:rsidR="00AE7758">
        <w:rPr>
          <w:rFonts w:cs="Arial"/>
        </w:rPr>
        <w:t>’s</w:t>
      </w:r>
      <w:r w:rsidRPr="00D66E4F">
        <w:rPr>
          <w:rFonts w:cs="Arial"/>
        </w:rPr>
        <w:t xml:space="preserve"> website</w:t>
      </w:r>
      <w:r w:rsidR="00695805">
        <w:rPr>
          <w:rFonts w:cs="Arial"/>
        </w:rPr>
        <w:t>,</w:t>
      </w:r>
      <w:r w:rsidRPr="00D66E4F">
        <w:rPr>
          <w:rFonts w:cs="Arial"/>
        </w:rPr>
        <w:t xml:space="preserve"> at</w:t>
      </w:r>
      <w:r w:rsidR="00695805">
        <w:rPr>
          <w:rFonts w:cs="Arial"/>
        </w:rPr>
        <w:t>:</w:t>
      </w:r>
      <w:r w:rsidRPr="00D66E4F">
        <w:rPr>
          <w:rFonts w:cs="Arial"/>
        </w:rPr>
        <w:t xml:space="preserve"> </w:t>
      </w:r>
      <w:hyperlink r:id="rId20" w:history="1">
        <w:r w:rsidR="00495C41">
          <w:rPr>
            <w:rStyle w:val="Hyperlink"/>
            <w:rFonts w:cs="Arial"/>
          </w:rPr>
          <w:t>www.safetyandquality.gov.au/our-work/medication-safety/safer-naming-labelling-and-packaging-of-medicines/national-standard-for-user-applied-labelling-of-injectable-medicines-fluids-and-lines/labelling-standard-issues-register/</w:t>
        </w:r>
      </w:hyperlink>
      <w:r w:rsidR="00495C41">
        <w:rPr>
          <w:rStyle w:val="Hyperlink"/>
          <w:rFonts w:cs="Arial"/>
        </w:rPr>
        <w:t>.</w:t>
      </w:r>
    </w:p>
    <w:p w14:paraId="7C7428FE" w14:textId="097E0ADF" w:rsidR="00D66E4F" w:rsidRDefault="00D66E4F" w:rsidP="00D66E4F">
      <w:pPr>
        <w:rPr>
          <w:rFonts w:cs="Arial"/>
        </w:rPr>
      </w:pPr>
      <w:r w:rsidRPr="00D66E4F">
        <w:rPr>
          <w:rFonts w:cs="Arial"/>
        </w:rPr>
        <w:t xml:space="preserve">Implementation of the Labelling Standard has been evolving since </w:t>
      </w:r>
      <w:r w:rsidR="00E96C81">
        <w:rPr>
          <w:rFonts w:cs="Arial"/>
        </w:rPr>
        <w:t xml:space="preserve">the </w:t>
      </w:r>
      <w:r w:rsidRPr="00D66E4F">
        <w:rPr>
          <w:rFonts w:cs="Arial"/>
        </w:rPr>
        <w:t>introduction of the Labelling Recommendations in 2010</w:t>
      </w:r>
      <w:r w:rsidR="00E96C81">
        <w:rPr>
          <w:rFonts w:cs="Arial"/>
        </w:rPr>
        <w:t>.</w:t>
      </w:r>
      <w:r>
        <w:rPr>
          <w:rFonts w:cs="Arial"/>
          <w:vertAlign w:val="superscript"/>
        </w:rPr>
        <w:t>3</w:t>
      </w:r>
      <w:r w:rsidRPr="00D66E4F">
        <w:rPr>
          <w:rFonts w:cs="Arial"/>
        </w:rPr>
        <w:t xml:space="preserve"> For the most </w:t>
      </w:r>
      <w:r w:rsidR="00A9020E" w:rsidRPr="00D66E4F">
        <w:rPr>
          <w:rFonts w:cs="Arial"/>
        </w:rPr>
        <w:t>part</w:t>
      </w:r>
      <w:r w:rsidR="00A9020E">
        <w:rPr>
          <w:rFonts w:cs="Arial"/>
        </w:rPr>
        <w:t>;</w:t>
      </w:r>
      <w:r w:rsidRPr="00D66E4F">
        <w:rPr>
          <w:rFonts w:cs="Arial"/>
        </w:rPr>
        <w:t xml:space="preserve"> issues encountered at the outset have been addressed. However, the Commission invites facilities with further implementation issues </w:t>
      </w:r>
      <w:r w:rsidR="00E96C81">
        <w:rPr>
          <w:rFonts w:cs="Arial"/>
        </w:rPr>
        <w:t>that</w:t>
      </w:r>
      <w:r w:rsidR="00E96C81" w:rsidRPr="00D66E4F">
        <w:rPr>
          <w:rFonts w:cs="Arial"/>
        </w:rPr>
        <w:t xml:space="preserve"> </w:t>
      </w:r>
      <w:r w:rsidRPr="00D66E4F">
        <w:rPr>
          <w:rFonts w:cs="Arial"/>
        </w:rPr>
        <w:t xml:space="preserve">cannot be answered by the Labelling Standard and implementation resources (including the </w:t>
      </w:r>
      <w:r w:rsidR="00E21D86">
        <w:rPr>
          <w:rFonts w:cs="Arial"/>
        </w:rPr>
        <w:t>f</w:t>
      </w:r>
      <w:r w:rsidRPr="00E21D86">
        <w:rPr>
          <w:rFonts w:cs="Arial"/>
        </w:rPr>
        <w:t xml:space="preserve">requently </w:t>
      </w:r>
      <w:r w:rsidR="00E21D86">
        <w:rPr>
          <w:rFonts w:cs="Arial"/>
        </w:rPr>
        <w:t>a</w:t>
      </w:r>
      <w:r w:rsidRPr="00E21D86">
        <w:rPr>
          <w:rFonts w:cs="Arial"/>
        </w:rPr>
        <w:t xml:space="preserve">sked </w:t>
      </w:r>
      <w:r w:rsidR="00E21D86">
        <w:rPr>
          <w:rFonts w:cs="Arial"/>
        </w:rPr>
        <w:t>q</w:t>
      </w:r>
      <w:r w:rsidRPr="00E21D86">
        <w:rPr>
          <w:rFonts w:cs="Arial"/>
        </w:rPr>
        <w:t>uestions</w:t>
      </w:r>
      <w:r w:rsidRPr="00D66E4F">
        <w:rPr>
          <w:rFonts w:cs="Arial"/>
        </w:rPr>
        <w:t>)</w:t>
      </w:r>
      <w:r>
        <w:rPr>
          <w:rFonts w:cs="Arial"/>
          <w:vertAlign w:val="superscript"/>
        </w:rPr>
        <w:t>4</w:t>
      </w:r>
      <w:r w:rsidRPr="00D66E4F">
        <w:rPr>
          <w:rFonts w:cs="Arial"/>
        </w:rPr>
        <w:t xml:space="preserve"> to contact their </w:t>
      </w:r>
      <w:r w:rsidR="00495C41">
        <w:rPr>
          <w:rFonts w:cs="Arial"/>
        </w:rPr>
        <w:t>state or territory</w:t>
      </w:r>
      <w:r w:rsidR="00495C41" w:rsidRPr="00D66E4F">
        <w:rPr>
          <w:rFonts w:cs="Arial"/>
        </w:rPr>
        <w:t xml:space="preserve"> </w:t>
      </w:r>
      <w:r w:rsidR="00AE7758">
        <w:rPr>
          <w:rFonts w:cs="Arial"/>
        </w:rPr>
        <w:t>representative</w:t>
      </w:r>
      <w:r w:rsidRPr="00D66E4F">
        <w:rPr>
          <w:rFonts w:cs="Arial"/>
        </w:rPr>
        <w:t xml:space="preserve"> in the first instance and, for </w:t>
      </w:r>
      <w:r w:rsidR="00495C41">
        <w:rPr>
          <w:rFonts w:cs="Arial"/>
        </w:rPr>
        <w:t>organisations</w:t>
      </w:r>
      <w:r w:rsidRPr="00D66E4F">
        <w:rPr>
          <w:rFonts w:cs="Arial"/>
        </w:rPr>
        <w:t xml:space="preserve"> with no </w:t>
      </w:r>
      <w:r w:rsidR="00495C41">
        <w:rPr>
          <w:rFonts w:cs="Arial"/>
        </w:rPr>
        <w:t>state or territory</w:t>
      </w:r>
      <w:r w:rsidR="00495C41" w:rsidRPr="00D66E4F">
        <w:rPr>
          <w:rFonts w:cs="Arial"/>
        </w:rPr>
        <w:t xml:space="preserve"> </w:t>
      </w:r>
      <w:r w:rsidRPr="00D66E4F">
        <w:rPr>
          <w:rFonts w:cs="Arial"/>
        </w:rPr>
        <w:t xml:space="preserve">representative, </w:t>
      </w:r>
      <w:r w:rsidR="00AE7758">
        <w:rPr>
          <w:rFonts w:cs="Arial"/>
        </w:rPr>
        <w:t xml:space="preserve">to contact </w:t>
      </w:r>
      <w:r w:rsidRPr="00D66E4F">
        <w:rPr>
          <w:rFonts w:cs="Arial"/>
        </w:rPr>
        <w:t xml:space="preserve">the Commission at </w:t>
      </w:r>
      <w:hyperlink r:id="rId21" w:history="1">
        <w:r w:rsidR="00AE7758" w:rsidRPr="00AE7758">
          <w:rPr>
            <w:rStyle w:val="Hyperlink"/>
            <w:rFonts w:cs="Arial"/>
          </w:rPr>
          <w:t>accreditionACSQHC@safetyandquality.gov.au</w:t>
        </w:r>
      </w:hyperlink>
      <w:r w:rsidR="00E2593D">
        <w:rPr>
          <w:rFonts w:cs="Arial"/>
        </w:rPr>
        <w:t xml:space="preserve">. </w:t>
      </w:r>
    </w:p>
    <w:p w14:paraId="5F5A6E00" w14:textId="77777777" w:rsidR="00E96C81" w:rsidRDefault="00E96C81">
      <w:pPr>
        <w:rPr>
          <w:rFonts w:cs="Arial"/>
        </w:rPr>
        <w:sectPr w:rsidR="00E96C81" w:rsidSect="00404016">
          <w:footerReference w:type="even" r:id="rId22"/>
          <w:footerReference w:type="default" r:id="rId23"/>
          <w:pgSz w:w="11900" w:h="16840"/>
          <w:pgMar w:top="1134" w:right="1418" w:bottom="1304" w:left="1701" w:header="709" w:footer="709" w:gutter="0"/>
          <w:cols w:space="708"/>
          <w:docGrid w:linePitch="299"/>
        </w:sectPr>
      </w:pPr>
    </w:p>
    <w:p w14:paraId="2B3ADE27" w14:textId="77777777" w:rsidR="0075773D" w:rsidRDefault="0075773D" w:rsidP="00E96C81">
      <w:pPr>
        <w:pStyle w:val="Heading1"/>
      </w:pPr>
      <w:bookmarkStart w:id="3" w:name="_Toc499035735"/>
      <w:r>
        <w:lastRenderedPageBreak/>
        <w:t>Issues summary</w:t>
      </w:r>
      <w:bookmarkEnd w:id="3"/>
    </w:p>
    <w:p w14:paraId="16D35595" w14:textId="3A2017A0" w:rsidR="007B5AEF" w:rsidRPr="007B5AEF" w:rsidRDefault="007B5AEF" w:rsidP="00A75E1B">
      <w:pPr>
        <w:pStyle w:val="TableName"/>
      </w:pPr>
      <w:r>
        <w:t>Table 1: Issues register summary</w:t>
      </w:r>
    </w:p>
    <w:tbl>
      <w:tblPr>
        <w:tblStyle w:val="TableGrid"/>
        <w:tblW w:w="5000" w:type="pct"/>
        <w:tblLook w:val="04A0" w:firstRow="1" w:lastRow="0" w:firstColumn="1" w:lastColumn="0" w:noHBand="0" w:noVBand="1"/>
        <w:tblCaption w:val="Table - summary of issues"/>
        <w:tblDescription w:val="Table - summary of issues"/>
      </w:tblPr>
      <w:tblGrid>
        <w:gridCol w:w="555"/>
        <w:gridCol w:w="1599"/>
        <w:gridCol w:w="1851"/>
        <w:gridCol w:w="1533"/>
        <w:gridCol w:w="714"/>
        <w:gridCol w:w="2022"/>
        <w:gridCol w:w="2608"/>
        <w:gridCol w:w="3736"/>
      </w:tblGrid>
      <w:tr w:rsidR="00F77446" w:rsidRPr="00223848" w14:paraId="3C11B62C" w14:textId="29821D25" w:rsidTr="00A75E1B">
        <w:trPr>
          <w:cantSplit/>
          <w:tblHeader/>
        </w:trPr>
        <w:tc>
          <w:tcPr>
            <w:tcW w:w="0" w:type="auto"/>
          </w:tcPr>
          <w:p w14:paraId="0C694414" w14:textId="77777777" w:rsidR="00EC31C3" w:rsidRPr="00223848" w:rsidRDefault="00EC31C3">
            <w:pPr>
              <w:pStyle w:val="TableHeading"/>
            </w:pPr>
            <w:r>
              <w:t>No.</w:t>
            </w:r>
          </w:p>
        </w:tc>
        <w:tc>
          <w:tcPr>
            <w:tcW w:w="547" w:type="pct"/>
          </w:tcPr>
          <w:p w14:paraId="3D6578CD" w14:textId="77777777" w:rsidR="00EC31C3" w:rsidRPr="00223848" w:rsidRDefault="00EC31C3">
            <w:pPr>
              <w:pStyle w:val="TableHeading"/>
            </w:pPr>
            <w:r w:rsidRPr="00223848">
              <w:t>Issue</w:t>
            </w:r>
          </w:p>
        </w:tc>
        <w:tc>
          <w:tcPr>
            <w:tcW w:w="633" w:type="pct"/>
          </w:tcPr>
          <w:p w14:paraId="78D81986" w14:textId="77777777" w:rsidR="00EC31C3" w:rsidRPr="00223848" w:rsidRDefault="00EC31C3">
            <w:pPr>
              <w:pStyle w:val="TableHeading"/>
            </w:pPr>
            <w:r w:rsidRPr="00223848">
              <w:t>Suggested change</w:t>
            </w:r>
          </w:p>
        </w:tc>
        <w:tc>
          <w:tcPr>
            <w:tcW w:w="0" w:type="auto"/>
          </w:tcPr>
          <w:p w14:paraId="15582DB5" w14:textId="77777777" w:rsidR="00EC31C3" w:rsidRPr="00223848" w:rsidRDefault="00EC31C3">
            <w:pPr>
              <w:pStyle w:val="TableHeading"/>
            </w:pPr>
            <w:r w:rsidRPr="00223848">
              <w:t>Proponent</w:t>
            </w:r>
          </w:p>
        </w:tc>
        <w:tc>
          <w:tcPr>
            <w:tcW w:w="0" w:type="auto"/>
          </w:tcPr>
          <w:p w14:paraId="72DE2E53" w14:textId="77777777" w:rsidR="00EC31C3" w:rsidRPr="00223848" w:rsidRDefault="00EC31C3">
            <w:pPr>
              <w:pStyle w:val="TableHeading"/>
            </w:pPr>
            <w:r w:rsidRPr="00223848">
              <w:t>Date</w:t>
            </w:r>
          </w:p>
        </w:tc>
        <w:tc>
          <w:tcPr>
            <w:tcW w:w="0" w:type="auto"/>
          </w:tcPr>
          <w:p w14:paraId="50A4217C" w14:textId="77777777" w:rsidR="00EC31C3" w:rsidRPr="00223848" w:rsidRDefault="00EC31C3">
            <w:pPr>
              <w:pStyle w:val="TableHeading"/>
            </w:pPr>
            <w:r w:rsidRPr="00223848">
              <w:t>Response</w:t>
            </w:r>
          </w:p>
        </w:tc>
        <w:tc>
          <w:tcPr>
            <w:tcW w:w="892" w:type="pct"/>
          </w:tcPr>
          <w:p w14:paraId="43A56B49" w14:textId="5CB4B325" w:rsidR="00EC31C3" w:rsidRPr="00223848" w:rsidRDefault="00EC31C3">
            <w:pPr>
              <w:pStyle w:val="TableHeading"/>
            </w:pPr>
            <w:r w:rsidRPr="00223848">
              <w:t>Reaso</w:t>
            </w:r>
            <w:r>
              <w:t>n</w:t>
            </w:r>
          </w:p>
        </w:tc>
        <w:tc>
          <w:tcPr>
            <w:tcW w:w="1278" w:type="pct"/>
          </w:tcPr>
          <w:p w14:paraId="7FA4D780" w14:textId="5397ADAA" w:rsidR="00EC31C3" w:rsidRPr="00223848" w:rsidRDefault="00EC31C3">
            <w:pPr>
              <w:pStyle w:val="TableHeading"/>
            </w:pPr>
            <w:r>
              <w:t>Action</w:t>
            </w:r>
          </w:p>
        </w:tc>
      </w:tr>
      <w:tr w:rsidR="00F77446" w14:paraId="671566B6" w14:textId="71EC3924" w:rsidTr="00986CFD">
        <w:trPr>
          <w:cantSplit/>
        </w:trPr>
        <w:tc>
          <w:tcPr>
            <w:tcW w:w="0" w:type="auto"/>
          </w:tcPr>
          <w:p w14:paraId="0E8689FB" w14:textId="2F0817CE" w:rsidR="00EC31C3" w:rsidRDefault="00EC31C3" w:rsidP="00B15AAB">
            <w:pPr>
              <w:pStyle w:val="TableText"/>
            </w:pPr>
            <w:r>
              <w:t>1</w:t>
            </w:r>
            <w:r w:rsidR="00097190">
              <w:t>a</w:t>
            </w:r>
          </w:p>
        </w:tc>
        <w:tc>
          <w:tcPr>
            <w:tcW w:w="547" w:type="pct"/>
          </w:tcPr>
          <w:p w14:paraId="5A682D69" w14:textId="77777777" w:rsidR="00EC31C3" w:rsidRDefault="00EC31C3" w:rsidP="00B15AAB">
            <w:pPr>
              <w:pStyle w:val="TableText"/>
            </w:pPr>
            <w:r w:rsidRPr="00624657">
              <w:t>Size of the catheter lock line label</w:t>
            </w:r>
          </w:p>
        </w:tc>
        <w:tc>
          <w:tcPr>
            <w:tcW w:w="633" w:type="pct"/>
          </w:tcPr>
          <w:p w14:paraId="69A2FD11" w14:textId="77777777" w:rsidR="00EC31C3" w:rsidRDefault="00EC31C3" w:rsidP="00F55AD9">
            <w:pPr>
              <w:pStyle w:val="TableText"/>
            </w:pPr>
            <w:r>
              <w:t>Reduce label size</w:t>
            </w:r>
          </w:p>
        </w:tc>
        <w:tc>
          <w:tcPr>
            <w:tcW w:w="0" w:type="auto"/>
          </w:tcPr>
          <w:p w14:paraId="2CD372E8" w14:textId="7A2FF994" w:rsidR="00EC31C3" w:rsidRDefault="00EC31C3" w:rsidP="00F55AD9">
            <w:pPr>
              <w:pStyle w:val="TableText"/>
            </w:pPr>
            <w:r>
              <w:t>Queensland</w:t>
            </w:r>
          </w:p>
        </w:tc>
        <w:tc>
          <w:tcPr>
            <w:tcW w:w="0" w:type="auto"/>
          </w:tcPr>
          <w:p w14:paraId="46EC002E" w14:textId="77777777" w:rsidR="00EC31C3" w:rsidRDefault="00EC31C3" w:rsidP="00F55AD9">
            <w:pPr>
              <w:pStyle w:val="TableText"/>
            </w:pPr>
            <w:r>
              <w:t>April 2016</w:t>
            </w:r>
          </w:p>
        </w:tc>
        <w:tc>
          <w:tcPr>
            <w:tcW w:w="0" w:type="auto"/>
          </w:tcPr>
          <w:p w14:paraId="66CFACA4" w14:textId="1B4970DB" w:rsidR="00EC31C3" w:rsidRDefault="00EC31C3" w:rsidP="00133F13">
            <w:pPr>
              <w:pStyle w:val="TableText"/>
            </w:pPr>
            <w:r>
              <w:t>Evaluate smaller label</w:t>
            </w:r>
          </w:p>
        </w:tc>
        <w:tc>
          <w:tcPr>
            <w:tcW w:w="892" w:type="pct"/>
          </w:tcPr>
          <w:p w14:paraId="481EF7CE" w14:textId="23BBB561" w:rsidR="00EC31C3" w:rsidRDefault="00EC31C3" w:rsidP="00C05A56">
            <w:pPr>
              <w:pStyle w:val="TableText"/>
            </w:pPr>
            <w:r>
              <w:t>Allow clear view of catheter insertion site and avoid dressing compromise</w:t>
            </w:r>
          </w:p>
        </w:tc>
        <w:tc>
          <w:tcPr>
            <w:tcW w:w="1278" w:type="pct"/>
          </w:tcPr>
          <w:p w14:paraId="0E590CA6" w14:textId="2880AE56" w:rsidR="00EC31C3" w:rsidRDefault="00EC31C3" w:rsidP="00C05A56">
            <w:pPr>
              <w:pStyle w:val="TableText"/>
            </w:pPr>
            <w:r>
              <w:t>Use either label size while await</w:t>
            </w:r>
            <w:r w:rsidR="00695805">
              <w:t>ing</w:t>
            </w:r>
            <w:r>
              <w:t xml:space="preserve"> </w:t>
            </w:r>
            <w:r w:rsidR="001C7F8B">
              <w:t xml:space="preserve">results of </w:t>
            </w:r>
            <w:r>
              <w:t>evaluation</w:t>
            </w:r>
          </w:p>
        </w:tc>
      </w:tr>
      <w:tr w:rsidR="00F77446" w14:paraId="05E99C3E" w14:textId="77777777" w:rsidTr="00986CFD">
        <w:trPr>
          <w:cantSplit/>
        </w:trPr>
        <w:tc>
          <w:tcPr>
            <w:tcW w:w="0" w:type="auto"/>
          </w:tcPr>
          <w:p w14:paraId="4EE5B7F2" w14:textId="6E1BAFEB" w:rsidR="00097190" w:rsidRDefault="00097190" w:rsidP="00B15AAB">
            <w:pPr>
              <w:pStyle w:val="TableText"/>
            </w:pPr>
            <w:r>
              <w:t>1b</w:t>
            </w:r>
          </w:p>
        </w:tc>
        <w:tc>
          <w:tcPr>
            <w:tcW w:w="547" w:type="pct"/>
          </w:tcPr>
          <w:p w14:paraId="5DCE9BAC" w14:textId="1F709650" w:rsidR="00097190" w:rsidRPr="00624657" w:rsidRDefault="00BB3DD9" w:rsidP="00B15AAB">
            <w:pPr>
              <w:pStyle w:val="TableText"/>
            </w:pPr>
            <w:r>
              <w:t xml:space="preserve">CVC </w:t>
            </w:r>
            <w:r w:rsidR="00097190">
              <w:t>lock label</w:t>
            </w:r>
          </w:p>
        </w:tc>
        <w:tc>
          <w:tcPr>
            <w:tcW w:w="633" w:type="pct"/>
          </w:tcPr>
          <w:p w14:paraId="5AF990C4" w14:textId="77777777" w:rsidR="00097190" w:rsidRDefault="00097190" w:rsidP="00B15AAB">
            <w:pPr>
              <w:pStyle w:val="TableText"/>
            </w:pPr>
            <w:r>
              <w:t>Remove arterial and venous lumen volumes</w:t>
            </w:r>
          </w:p>
          <w:p w14:paraId="5A3710BD" w14:textId="4DCDB35A" w:rsidR="00097190" w:rsidRDefault="00097190" w:rsidP="00F55AD9">
            <w:pPr>
              <w:pStyle w:val="TableText"/>
            </w:pPr>
            <w:r>
              <w:t>Preprint medicine name</w:t>
            </w:r>
          </w:p>
        </w:tc>
        <w:tc>
          <w:tcPr>
            <w:tcW w:w="0" w:type="auto"/>
          </w:tcPr>
          <w:p w14:paraId="0D8A1B26" w14:textId="2BB8B4A9" w:rsidR="00097190" w:rsidRDefault="00F77446" w:rsidP="00F55AD9">
            <w:pPr>
              <w:pStyle w:val="TableText"/>
            </w:pPr>
            <w:r>
              <w:t xml:space="preserve">Prince of Wales Hospital, Randwick, </w:t>
            </w:r>
            <w:r w:rsidR="00097190">
              <w:t>NSW</w:t>
            </w:r>
          </w:p>
        </w:tc>
        <w:tc>
          <w:tcPr>
            <w:tcW w:w="0" w:type="auto"/>
          </w:tcPr>
          <w:p w14:paraId="06403748" w14:textId="4256C504" w:rsidR="00097190" w:rsidRDefault="00A9020E" w:rsidP="00F55AD9">
            <w:pPr>
              <w:pStyle w:val="TableText"/>
            </w:pPr>
            <w:r>
              <w:t>April</w:t>
            </w:r>
            <w:r w:rsidR="00097190">
              <w:t xml:space="preserve"> 201</w:t>
            </w:r>
            <w:r>
              <w:t>8</w:t>
            </w:r>
          </w:p>
        </w:tc>
        <w:tc>
          <w:tcPr>
            <w:tcW w:w="0" w:type="auto"/>
          </w:tcPr>
          <w:p w14:paraId="68957AA7" w14:textId="3D433488" w:rsidR="00097190" w:rsidRDefault="00097190" w:rsidP="00F55AD9">
            <w:pPr>
              <w:pStyle w:val="TableText"/>
            </w:pPr>
            <w:r>
              <w:t xml:space="preserve">Evaluate </w:t>
            </w:r>
            <w:proofErr w:type="spellStart"/>
            <w:r>
              <w:t>preprinted</w:t>
            </w:r>
            <w:proofErr w:type="spellEnd"/>
            <w:r>
              <w:t xml:space="preserve"> </w:t>
            </w:r>
            <w:r w:rsidR="00BB3DD9">
              <w:t>CVC</w:t>
            </w:r>
            <w:r>
              <w:t xml:space="preserve"> lock label</w:t>
            </w:r>
            <w:r w:rsidR="00BB3DD9">
              <w:t>s</w:t>
            </w:r>
          </w:p>
        </w:tc>
        <w:tc>
          <w:tcPr>
            <w:tcW w:w="892" w:type="pct"/>
          </w:tcPr>
          <w:p w14:paraId="498F4D08" w14:textId="0710591C" w:rsidR="00097190" w:rsidRDefault="00097190" w:rsidP="00133F13">
            <w:pPr>
              <w:pStyle w:val="TableText"/>
            </w:pPr>
            <w:r>
              <w:t xml:space="preserve">Multiway </w:t>
            </w:r>
            <w:r w:rsidR="00BB3DD9">
              <w:t>CVC</w:t>
            </w:r>
            <w:r>
              <w:t xml:space="preserve"> medicine locks are identified without compromising catheter insertion</w:t>
            </w:r>
          </w:p>
        </w:tc>
        <w:tc>
          <w:tcPr>
            <w:tcW w:w="1278" w:type="pct"/>
          </w:tcPr>
          <w:p w14:paraId="198B091F" w14:textId="6BACEAC3" w:rsidR="00097190" w:rsidRDefault="00BB3DD9" w:rsidP="00C05A56">
            <w:pPr>
              <w:pStyle w:val="TableText"/>
            </w:pPr>
            <w:r w:rsidRPr="00BB3DD9">
              <w:t xml:space="preserve">Use either catheter lock label while awaiting </w:t>
            </w:r>
            <w:r w:rsidR="001C7F8B">
              <w:t xml:space="preserve">results of </w:t>
            </w:r>
            <w:r w:rsidRPr="00BB3DD9">
              <w:t>evaluation</w:t>
            </w:r>
          </w:p>
        </w:tc>
      </w:tr>
      <w:tr w:rsidR="00F77446" w14:paraId="7DC69B17" w14:textId="0946E572" w:rsidTr="00986CFD">
        <w:trPr>
          <w:cantSplit/>
        </w:trPr>
        <w:tc>
          <w:tcPr>
            <w:tcW w:w="0" w:type="auto"/>
          </w:tcPr>
          <w:p w14:paraId="3B123BE5" w14:textId="3333A2F8" w:rsidR="00EC31C3" w:rsidRDefault="00EC31C3" w:rsidP="00B15AAB">
            <w:pPr>
              <w:pStyle w:val="TableText"/>
            </w:pPr>
            <w:r>
              <w:t>2</w:t>
            </w:r>
          </w:p>
        </w:tc>
        <w:tc>
          <w:tcPr>
            <w:tcW w:w="547" w:type="pct"/>
          </w:tcPr>
          <w:p w14:paraId="4590899F" w14:textId="56432B75" w:rsidR="00EC31C3" w:rsidRDefault="00EC31C3" w:rsidP="00B15AAB">
            <w:pPr>
              <w:pStyle w:val="TableText"/>
            </w:pPr>
            <w:r w:rsidRPr="00624657">
              <w:t xml:space="preserve">User-applied container labels in </w:t>
            </w:r>
            <w:r w:rsidR="00ED5483">
              <w:t>EMM</w:t>
            </w:r>
            <w:r w:rsidR="007F23EC" w:rsidRPr="00624657">
              <w:t xml:space="preserve"> </w:t>
            </w:r>
            <w:r w:rsidRPr="00624657">
              <w:t>systems</w:t>
            </w:r>
          </w:p>
        </w:tc>
        <w:tc>
          <w:tcPr>
            <w:tcW w:w="633" w:type="pct"/>
          </w:tcPr>
          <w:p w14:paraId="54FC72E6" w14:textId="77777777" w:rsidR="00EC31C3" w:rsidRDefault="00EC31C3" w:rsidP="00F55AD9">
            <w:pPr>
              <w:pStyle w:val="TableText"/>
            </w:pPr>
            <w:r>
              <w:t>Print medicines information for container labels</w:t>
            </w:r>
          </w:p>
        </w:tc>
        <w:tc>
          <w:tcPr>
            <w:tcW w:w="0" w:type="auto"/>
          </w:tcPr>
          <w:p w14:paraId="73D0CF19" w14:textId="77777777" w:rsidR="00EC31C3" w:rsidRDefault="00EC31C3" w:rsidP="00F55AD9">
            <w:pPr>
              <w:pStyle w:val="TableText"/>
            </w:pPr>
            <w:r>
              <w:t>Victoria</w:t>
            </w:r>
          </w:p>
        </w:tc>
        <w:tc>
          <w:tcPr>
            <w:tcW w:w="0" w:type="auto"/>
          </w:tcPr>
          <w:p w14:paraId="2CA5E15A" w14:textId="77777777" w:rsidR="00EC31C3" w:rsidRDefault="00EC31C3" w:rsidP="00F55AD9">
            <w:pPr>
              <w:pStyle w:val="TableText"/>
            </w:pPr>
            <w:r>
              <w:t>April 2016</w:t>
            </w:r>
          </w:p>
        </w:tc>
        <w:tc>
          <w:tcPr>
            <w:tcW w:w="0" w:type="auto"/>
          </w:tcPr>
          <w:p w14:paraId="72C3097E" w14:textId="60700484" w:rsidR="00EC31C3" w:rsidRDefault="000A41DF" w:rsidP="00F55AD9">
            <w:pPr>
              <w:pStyle w:val="TableText"/>
            </w:pPr>
            <w:r>
              <w:rPr>
                <w:lang w:val="en-US"/>
              </w:rPr>
              <w:t xml:space="preserve">Apply </w:t>
            </w:r>
            <w:r w:rsidR="007F23EC">
              <w:rPr>
                <w:lang w:val="en-US"/>
              </w:rPr>
              <w:t>E</w:t>
            </w:r>
            <w:r>
              <w:rPr>
                <w:lang w:val="en-US"/>
              </w:rPr>
              <w:t>MM</w:t>
            </w:r>
            <w:r w:rsidR="007F23EC">
              <w:rPr>
                <w:lang w:val="en-US"/>
              </w:rPr>
              <w:t>-</w:t>
            </w:r>
            <w:r>
              <w:rPr>
                <w:lang w:val="en-US"/>
              </w:rPr>
              <w:t>generated labels to a route container label</w:t>
            </w:r>
          </w:p>
        </w:tc>
        <w:tc>
          <w:tcPr>
            <w:tcW w:w="892" w:type="pct"/>
          </w:tcPr>
          <w:p w14:paraId="3F5011C5" w14:textId="77777777" w:rsidR="00EC31C3" w:rsidRDefault="00EC31C3" w:rsidP="00133F13">
            <w:pPr>
              <w:pStyle w:val="TableText"/>
            </w:pPr>
            <w:r>
              <w:t>Increase readability of information, reduce transcription errors and introduce scanning capability</w:t>
            </w:r>
          </w:p>
        </w:tc>
        <w:tc>
          <w:tcPr>
            <w:tcW w:w="1278" w:type="pct"/>
          </w:tcPr>
          <w:p w14:paraId="7FDCEF2C" w14:textId="367C4B47" w:rsidR="00EC31C3" w:rsidRDefault="000A41DF" w:rsidP="00C05A56">
            <w:pPr>
              <w:pStyle w:val="TableText"/>
            </w:pPr>
            <w:r>
              <w:t xml:space="preserve">Populate route container labels either by hand or by </w:t>
            </w:r>
            <w:r w:rsidR="007F23EC">
              <w:t>E</w:t>
            </w:r>
            <w:r>
              <w:t>MM</w:t>
            </w:r>
            <w:r w:rsidR="007F23EC">
              <w:t>-</w:t>
            </w:r>
            <w:r>
              <w:t>generated labels</w:t>
            </w:r>
          </w:p>
        </w:tc>
      </w:tr>
      <w:tr w:rsidR="00F77446" w14:paraId="13D24284" w14:textId="59D063FE" w:rsidTr="00986CFD">
        <w:trPr>
          <w:cantSplit/>
        </w:trPr>
        <w:tc>
          <w:tcPr>
            <w:tcW w:w="0" w:type="auto"/>
          </w:tcPr>
          <w:p w14:paraId="4738AA1B" w14:textId="77777777" w:rsidR="00EC31C3" w:rsidRDefault="00EC31C3" w:rsidP="00B15AAB">
            <w:pPr>
              <w:pStyle w:val="TableText"/>
            </w:pPr>
            <w:r>
              <w:t xml:space="preserve">3 </w:t>
            </w:r>
          </w:p>
        </w:tc>
        <w:tc>
          <w:tcPr>
            <w:tcW w:w="547" w:type="pct"/>
          </w:tcPr>
          <w:p w14:paraId="63E2A53F" w14:textId="4DD11C2D" w:rsidR="00EC31C3" w:rsidRDefault="00EC31C3" w:rsidP="00B15AAB">
            <w:pPr>
              <w:pStyle w:val="TableText"/>
            </w:pPr>
            <w:r>
              <w:t>Variation of c</w:t>
            </w:r>
            <w:r w:rsidRPr="00624657">
              <w:t>olour-coding</w:t>
            </w:r>
            <w:r>
              <w:t xml:space="preserve"> in </w:t>
            </w:r>
            <w:r w:rsidRPr="00624657">
              <w:t xml:space="preserve">interventional cardiology </w:t>
            </w:r>
          </w:p>
        </w:tc>
        <w:tc>
          <w:tcPr>
            <w:tcW w:w="633" w:type="pct"/>
          </w:tcPr>
          <w:p w14:paraId="08EA611E" w14:textId="7B825678" w:rsidR="00EC31C3" w:rsidRDefault="00EC31C3" w:rsidP="00F55AD9">
            <w:pPr>
              <w:pStyle w:val="TableText"/>
            </w:pPr>
            <w:r>
              <w:t>Use existing non</w:t>
            </w:r>
            <w:r w:rsidR="00695805">
              <w:t>-</w:t>
            </w:r>
            <w:r>
              <w:t>standard labels</w:t>
            </w:r>
          </w:p>
        </w:tc>
        <w:tc>
          <w:tcPr>
            <w:tcW w:w="0" w:type="auto"/>
          </w:tcPr>
          <w:p w14:paraId="229C7FB6" w14:textId="37FF1E39" w:rsidR="00EC31C3" w:rsidRDefault="00EC31C3" w:rsidP="00F55AD9">
            <w:pPr>
              <w:pStyle w:val="TableText"/>
            </w:pPr>
            <w:r>
              <w:t>Queensland</w:t>
            </w:r>
          </w:p>
        </w:tc>
        <w:tc>
          <w:tcPr>
            <w:tcW w:w="0" w:type="auto"/>
          </w:tcPr>
          <w:p w14:paraId="68DC2B5A" w14:textId="77777777" w:rsidR="00EC31C3" w:rsidRDefault="00EC31C3" w:rsidP="00F55AD9">
            <w:pPr>
              <w:pStyle w:val="TableText"/>
            </w:pPr>
            <w:r>
              <w:t>May 2016</w:t>
            </w:r>
          </w:p>
        </w:tc>
        <w:tc>
          <w:tcPr>
            <w:tcW w:w="0" w:type="auto"/>
          </w:tcPr>
          <w:p w14:paraId="61780B69" w14:textId="5960C014" w:rsidR="00EC31C3" w:rsidRDefault="00D6576A" w:rsidP="00133F13">
            <w:pPr>
              <w:pStyle w:val="TableText"/>
            </w:pPr>
            <w:r>
              <w:t>Labelling Standard labels to be used in closed</w:t>
            </w:r>
            <w:r w:rsidR="000E1E8C">
              <w:t>-</w:t>
            </w:r>
            <w:r>
              <w:t>practice environments, including interventional cardiology</w:t>
            </w:r>
          </w:p>
        </w:tc>
        <w:tc>
          <w:tcPr>
            <w:tcW w:w="892" w:type="pct"/>
          </w:tcPr>
          <w:p w14:paraId="555AB4AD" w14:textId="6244D81F" w:rsidR="00EC31C3" w:rsidRDefault="00D6576A" w:rsidP="00C05A56">
            <w:pPr>
              <w:pStyle w:val="TableText"/>
            </w:pPr>
            <w:r w:rsidRPr="00D6576A">
              <w:t>To provide quality and safe use of injectable medicines through consistent and standardised processes</w:t>
            </w:r>
          </w:p>
        </w:tc>
        <w:tc>
          <w:tcPr>
            <w:tcW w:w="1278" w:type="pct"/>
          </w:tcPr>
          <w:p w14:paraId="2A98EE9A" w14:textId="1223E43E" w:rsidR="00EC31C3" w:rsidRDefault="00D6576A" w:rsidP="00C05A56">
            <w:pPr>
              <w:pStyle w:val="TableText"/>
            </w:pPr>
            <w:r w:rsidRPr="00D6576A">
              <w:t>Ongoing use and evaluation of labels in interventional cardiology</w:t>
            </w:r>
          </w:p>
        </w:tc>
      </w:tr>
      <w:tr w:rsidR="00F77446" w14:paraId="271DE107" w14:textId="48064FEE" w:rsidTr="00986CFD">
        <w:trPr>
          <w:cantSplit/>
        </w:trPr>
        <w:tc>
          <w:tcPr>
            <w:tcW w:w="0" w:type="auto"/>
          </w:tcPr>
          <w:p w14:paraId="044E8A7D" w14:textId="77777777" w:rsidR="00EC31C3" w:rsidRDefault="00EC31C3" w:rsidP="00B15AAB">
            <w:pPr>
              <w:pStyle w:val="TableText"/>
            </w:pPr>
            <w:r>
              <w:lastRenderedPageBreak/>
              <w:t>4</w:t>
            </w:r>
          </w:p>
        </w:tc>
        <w:tc>
          <w:tcPr>
            <w:tcW w:w="547" w:type="pct"/>
          </w:tcPr>
          <w:p w14:paraId="54238A4B" w14:textId="77777777" w:rsidR="00EC31C3" w:rsidRPr="00624657" w:rsidRDefault="00EC31C3" w:rsidP="00B15AAB">
            <w:pPr>
              <w:pStyle w:val="TableText"/>
            </w:pPr>
            <w:r>
              <w:t>International harmonisation of medicine names</w:t>
            </w:r>
          </w:p>
        </w:tc>
        <w:tc>
          <w:tcPr>
            <w:tcW w:w="633" w:type="pct"/>
          </w:tcPr>
          <w:p w14:paraId="727D3184" w14:textId="6FB59E92" w:rsidR="00EC31C3" w:rsidRDefault="00EC31C3" w:rsidP="00F55AD9">
            <w:pPr>
              <w:pStyle w:val="TableText"/>
            </w:pPr>
            <w:proofErr w:type="spellStart"/>
            <w:r>
              <w:t>Preprinted</w:t>
            </w:r>
            <w:proofErr w:type="spellEnd"/>
            <w:r>
              <w:t xml:space="preserve"> medicine labels to carry dual labelling </w:t>
            </w:r>
          </w:p>
        </w:tc>
        <w:tc>
          <w:tcPr>
            <w:tcW w:w="0" w:type="auto"/>
          </w:tcPr>
          <w:p w14:paraId="47E17FBA" w14:textId="77777777" w:rsidR="00EC31C3" w:rsidRDefault="00EC31C3" w:rsidP="00F55AD9">
            <w:pPr>
              <w:pStyle w:val="TableText"/>
            </w:pPr>
            <w:r>
              <w:t>Commission</w:t>
            </w:r>
          </w:p>
        </w:tc>
        <w:tc>
          <w:tcPr>
            <w:tcW w:w="0" w:type="auto"/>
          </w:tcPr>
          <w:p w14:paraId="30EDD644" w14:textId="77777777" w:rsidR="00EC31C3" w:rsidRDefault="00EC31C3" w:rsidP="00F55AD9">
            <w:pPr>
              <w:pStyle w:val="TableText"/>
            </w:pPr>
            <w:r>
              <w:t>June 2016</w:t>
            </w:r>
          </w:p>
        </w:tc>
        <w:tc>
          <w:tcPr>
            <w:tcW w:w="0" w:type="auto"/>
          </w:tcPr>
          <w:p w14:paraId="54F83FB9" w14:textId="77777777" w:rsidR="00187A1C" w:rsidRPr="00187A1C" w:rsidRDefault="00187A1C" w:rsidP="00F55AD9">
            <w:pPr>
              <w:pStyle w:val="TableText"/>
            </w:pPr>
            <w:r w:rsidRPr="00187A1C">
              <w:t xml:space="preserve">Incorporate international name changes to user-applied labelling </w:t>
            </w:r>
          </w:p>
          <w:p w14:paraId="2F41C46C" w14:textId="333F8F83" w:rsidR="00EC31C3" w:rsidRDefault="00EC31C3" w:rsidP="00133F13">
            <w:pPr>
              <w:pStyle w:val="TableText"/>
            </w:pPr>
          </w:p>
        </w:tc>
        <w:tc>
          <w:tcPr>
            <w:tcW w:w="892" w:type="pct"/>
          </w:tcPr>
          <w:p w14:paraId="09193549" w14:textId="201CA0DD" w:rsidR="00EC31C3" w:rsidRDefault="00EC31C3" w:rsidP="00C05A56">
            <w:pPr>
              <w:pStyle w:val="TableText"/>
            </w:pPr>
            <w:r>
              <w:t xml:space="preserve">To be consistent with manufacturers labelling and </w:t>
            </w:r>
            <w:r w:rsidR="00187A1C">
              <w:t>packaging</w:t>
            </w:r>
            <w:r>
              <w:t xml:space="preserve"> </w:t>
            </w:r>
          </w:p>
        </w:tc>
        <w:tc>
          <w:tcPr>
            <w:tcW w:w="1278" w:type="pct"/>
          </w:tcPr>
          <w:p w14:paraId="353529F7" w14:textId="6F33FE91" w:rsidR="00187A1C" w:rsidRDefault="00187A1C" w:rsidP="00C05A56">
            <w:pPr>
              <w:pStyle w:val="TableText"/>
            </w:pPr>
            <w:proofErr w:type="spellStart"/>
            <w:r w:rsidRPr="00187A1C">
              <w:t>Preprinted</w:t>
            </w:r>
            <w:proofErr w:type="spellEnd"/>
            <w:r w:rsidRPr="00187A1C">
              <w:t xml:space="preserve"> medicine line labels and container labels for closed</w:t>
            </w:r>
            <w:r w:rsidR="00AD4E4D">
              <w:t>-</w:t>
            </w:r>
            <w:r w:rsidRPr="00187A1C">
              <w:t>practice environments to carry new medicine names or dual labelling according to TGA listing</w:t>
            </w:r>
            <w:r w:rsidR="00395CDE">
              <w:t>, at:</w:t>
            </w:r>
            <w:r w:rsidRPr="00187A1C">
              <w:t xml:space="preserve"> </w:t>
            </w:r>
            <w:hyperlink r:id="rId24" w:history="1">
              <w:r w:rsidRPr="00C3629E">
                <w:rPr>
                  <w:rStyle w:val="Hyperlink"/>
                  <w:sz w:val="22"/>
                </w:rPr>
                <w:t>www.tga.gov.au/updating-medicine-ingredient-names-list-affected-ingredients</w:t>
              </w:r>
            </w:hyperlink>
          </w:p>
        </w:tc>
      </w:tr>
      <w:tr w:rsidR="00F77446" w14:paraId="17B51111" w14:textId="77777777" w:rsidTr="00986CFD">
        <w:trPr>
          <w:cantSplit/>
        </w:trPr>
        <w:tc>
          <w:tcPr>
            <w:tcW w:w="0" w:type="auto"/>
          </w:tcPr>
          <w:p w14:paraId="5E830129" w14:textId="1352C6C5" w:rsidR="000354E5" w:rsidRDefault="000354E5" w:rsidP="00B15AAB">
            <w:pPr>
              <w:pStyle w:val="TableText"/>
            </w:pPr>
            <w:r>
              <w:t>5</w:t>
            </w:r>
          </w:p>
        </w:tc>
        <w:tc>
          <w:tcPr>
            <w:tcW w:w="547" w:type="pct"/>
          </w:tcPr>
          <w:p w14:paraId="62D06732" w14:textId="4A810B7B" w:rsidR="000354E5" w:rsidRPr="001C1D35" w:rsidRDefault="000354E5" w:rsidP="00B15AAB">
            <w:pPr>
              <w:pStyle w:val="TableText"/>
            </w:pPr>
            <w:r w:rsidRPr="001C1D35">
              <w:t>User-applied labelling oral liquid medicines</w:t>
            </w:r>
          </w:p>
        </w:tc>
        <w:tc>
          <w:tcPr>
            <w:tcW w:w="633" w:type="pct"/>
          </w:tcPr>
          <w:p w14:paraId="7013D92E" w14:textId="53A25263" w:rsidR="000354E5" w:rsidRDefault="000354E5" w:rsidP="00F55AD9">
            <w:pPr>
              <w:pStyle w:val="TableText"/>
            </w:pPr>
            <w:r>
              <w:t>Create abbreviated oral syringe label</w:t>
            </w:r>
          </w:p>
        </w:tc>
        <w:tc>
          <w:tcPr>
            <w:tcW w:w="0" w:type="auto"/>
          </w:tcPr>
          <w:p w14:paraId="447FA8C1" w14:textId="153F7E9A" w:rsidR="000354E5" w:rsidRDefault="000354E5" w:rsidP="00F55AD9">
            <w:pPr>
              <w:pStyle w:val="TableText"/>
            </w:pPr>
            <w:r>
              <w:t>WCHN</w:t>
            </w:r>
          </w:p>
        </w:tc>
        <w:tc>
          <w:tcPr>
            <w:tcW w:w="0" w:type="auto"/>
          </w:tcPr>
          <w:p w14:paraId="7079D54B" w14:textId="3F31EC3D" w:rsidR="000354E5" w:rsidRDefault="00F83BA3" w:rsidP="00F83BA3">
            <w:pPr>
              <w:pStyle w:val="TableText"/>
            </w:pPr>
            <w:r>
              <w:t xml:space="preserve">April </w:t>
            </w:r>
            <w:r w:rsidR="000354E5">
              <w:t>201</w:t>
            </w:r>
            <w:r>
              <w:t>8</w:t>
            </w:r>
          </w:p>
        </w:tc>
        <w:tc>
          <w:tcPr>
            <w:tcW w:w="0" w:type="auto"/>
          </w:tcPr>
          <w:p w14:paraId="333B9B7E" w14:textId="696BC95C" w:rsidR="00F83BA3" w:rsidRPr="00F83BA3" w:rsidRDefault="00F83BA3" w:rsidP="00F83BA3">
            <w:pPr>
              <w:pStyle w:val="TableText"/>
              <w:rPr>
                <w:lang w:val="en-US"/>
              </w:rPr>
            </w:pPr>
            <w:r w:rsidRPr="00F83BA3">
              <w:rPr>
                <w:lang w:val="en-US"/>
              </w:rPr>
              <w:t>Make availa</w:t>
            </w:r>
            <w:r>
              <w:rPr>
                <w:lang w:val="en-US"/>
              </w:rPr>
              <w:t>ble a label ‘For Oral Use Only’</w:t>
            </w:r>
          </w:p>
          <w:p w14:paraId="0CF88EA4" w14:textId="3C4199CD" w:rsidR="000354E5" w:rsidRDefault="000354E5" w:rsidP="00F83BA3">
            <w:pPr>
              <w:pStyle w:val="TableText"/>
              <w:rPr>
                <w:lang w:val="en-US"/>
              </w:rPr>
            </w:pPr>
          </w:p>
        </w:tc>
        <w:tc>
          <w:tcPr>
            <w:tcW w:w="892" w:type="pct"/>
          </w:tcPr>
          <w:p w14:paraId="3684EEBD" w14:textId="55EC7B49" w:rsidR="000354E5" w:rsidRDefault="00F83BA3" w:rsidP="00F83BA3">
            <w:pPr>
              <w:pStyle w:val="TableText"/>
              <w:rPr>
                <w:lang w:val="en-US"/>
              </w:rPr>
            </w:pPr>
            <w:r w:rsidRPr="00F83BA3">
              <w:rPr>
                <w:lang w:val="en-US"/>
              </w:rPr>
              <w:t>To ensure oral medicines removed from their original packaging can be identified</w:t>
            </w:r>
            <w:r>
              <w:rPr>
                <w:lang w:val="en-US"/>
              </w:rPr>
              <w:t xml:space="preserve"> where p</w:t>
            </w:r>
            <w:r w:rsidR="000354E5">
              <w:rPr>
                <w:lang w:val="en-US"/>
              </w:rPr>
              <w:t xml:space="preserve">aediatric and neonatal services prepare </w:t>
            </w:r>
            <w:r>
              <w:rPr>
                <w:lang w:val="en-US"/>
              </w:rPr>
              <w:t xml:space="preserve">oral </w:t>
            </w:r>
            <w:r w:rsidR="000354E5">
              <w:rPr>
                <w:lang w:val="en-US"/>
              </w:rPr>
              <w:t>syringes that may leave the hand.</w:t>
            </w:r>
          </w:p>
        </w:tc>
        <w:tc>
          <w:tcPr>
            <w:tcW w:w="1278" w:type="pct"/>
          </w:tcPr>
          <w:p w14:paraId="24C7953D" w14:textId="4ECEBDBB" w:rsidR="000354E5" w:rsidRDefault="00F83BA3" w:rsidP="00C05A56">
            <w:pPr>
              <w:pStyle w:val="TableText"/>
            </w:pPr>
            <w:r w:rsidRPr="00F83BA3">
              <w:rPr>
                <w:lang w:val="en-US"/>
              </w:rPr>
              <w:t>Us</w:t>
            </w:r>
            <w:r>
              <w:rPr>
                <w:lang w:val="en-US"/>
              </w:rPr>
              <w:t xml:space="preserve">e the label ‘For Oral Use Only’, </w:t>
            </w:r>
            <w:r w:rsidRPr="00F83BA3">
              <w:rPr>
                <w:lang w:val="en-US"/>
              </w:rPr>
              <w:t>noting the label is under evaluation</w:t>
            </w:r>
          </w:p>
        </w:tc>
      </w:tr>
    </w:tbl>
    <w:p w14:paraId="1F0AAFE3" w14:textId="4B8E7E4F" w:rsidR="00E96C81" w:rsidRDefault="00ED5483" w:rsidP="00F77446">
      <w:pPr>
        <w:pStyle w:val="TFAbbrevsSpace"/>
        <w:sectPr w:rsidR="00E96C81" w:rsidSect="007748C7">
          <w:headerReference w:type="first" r:id="rId25"/>
          <w:footerReference w:type="first" r:id="rId26"/>
          <w:pgSz w:w="16840" w:h="11900" w:orient="landscape"/>
          <w:pgMar w:top="567" w:right="1134" w:bottom="1418" w:left="1304" w:header="426" w:footer="709" w:gutter="0"/>
          <w:pgNumType w:start="4"/>
          <w:cols w:space="708"/>
          <w:titlePg/>
          <w:docGrid w:linePitch="299"/>
        </w:sectPr>
      </w:pPr>
      <w:r>
        <w:rPr>
          <w:rFonts w:cs="Arial"/>
        </w:rPr>
        <w:t xml:space="preserve">CVC = central venous catheter; EMM = </w:t>
      </w:r>
      <w:r w:rsidRPr="00ED5483">
        <w:rPr>
          <w:rFonts w:cs="Arial"/>
        </w:rPr>
        <w:t>el</w:t>
      </w:r>
      <w:r>
        <w:rPr>
          <w:rFonts w:cs="Arial"/>
        </w:rPr>
        <w:t xml:space="preserve">ectronic medication management; </w:t>
      </w:r>
      <w:r w:rsidR="007F23EC">
        <w:t>HSMEAG</w:t>
      </w:r>
      <w:r>
        <w:t xml:space="preserve"> = Health Service Medication Expert Advisory Group; TGA = Therapeutic Goods Administration</w:t>
      </w:r>
      <w:r w:rsidR="00F77446">
        <w:t>; WCHN = Women’s and Children’s Hospital Network</w:t>
      </w:r>
    </w:p>
    <w:p w14:paraId="780A51D5" w14:textId="77777777" w:rsidR="0075773D" w:rsidRPr="00223848" w:rsidRDefault="0075773D" w:rsidP="00E96C81">
      <w:pPr>
        <w:pStyle w:val="Heading1"/>
      </w:pPr>
      <w:bookmarkStart w:id="4" w:name="_Toc499035736"/>
      <w:r>
        <w:lastRenderedPageBreak/>
        <w:t>Details of registered issues</w:t>
      </w:r>
      <w:bookmarkEnd w:id="4"/>
    </w:p>
    <w:p w14:paraId="3EF24553" w14:textId="080E7D4C" w:rsidR="0075773D" w:rsidRPr="0062270D" w:rsidRDefault="0075773D" w:rsidP="00E96C81">
      <w:pPr>
        <w:pStyle w:val="Heading2"/>
      </w:pPr>
      <w:bookmarkStart w:id="5" w:name="_Toc465432502"/>
      <w:bookmarkStart w:id="6" w:name="_Toc499035737"/>
      <w:r w:rsidRPr="0062270D">
        <w:rPr>
          <w:highlight w:val="lightGray"/>
        </w:rPr>
        <w:t>IR 1</w:t>
      </w:r>
      <w:r w:rsidR="00DD691B">
        <w:rPr>
          <w:highlight w:val="lightGray"/>
        </w:rPr>
        <w:t>a</w:t>
      </w:r>
      <w:r w:rsidR="002E572D">
        <w:rPr>
          <w:highlight w:val="lightGray"/>
        </w:rPr>
        <w:t>: Size of the catheter lock labe</w:t>
      </w:r>
      <w:r w:rsidR="00DD691B">
        <w:rPr>
          <w:highlight w:val="lightGray"/>
        </w:rPr>
        <w:t xml:space="preserve">l – dialysis </w:t>
      </w:r>
      <w:bookmarkEnd w:id="5"/>
      <w:r w:rsidR="00DD691B">
        <w:rPr>
          <w:highlight w:val="lightGray"/>
        </w:rPr>
        <w:t>catheters</w:t>
      </w:r>
      <w:bookmarkEnd w:id="6"/>
      <w:r w:rsidRPr="0062270D">
        <w:rPr>
          <w:highlight w:val="lightGray"/>
        </w:rPr>
        <w:t xml:space="preserve"> </w:t>
      </w:r>
    </w:p>
    <w:p w14:paraId="6F5A5F2F" w14:textId="3B95EB5D" w:rsidR="0075773D" w:rsidRDefault="0075773D" w:rsidP="00E96C81">
      <w:r w:rsidRPr="00223848">
        <w:t>The Labelling Standard</w:t>
      </w:r>
      <w:r w:rsidRPr="00223848">
        <w:rPr>
          <w:vertAlign w:val="superscript"/>
        </w:rPr>
        <w:t>1</w:t>
      </w:r>
      <w:r w:rsidRPr="00223848">
        <w:t xml:space="preserve"> sets out minimum requirements for</w:t>
      </w:r>
      <w:r w:rsidR="00B34184">
        <w:t xml:space="preserve"> line labelling, including the catheter lock</w:t>
      </w:r>
      <w:r w:rsidR="00D258ED">
        <w:t>,</w:t>
      </w:r>
      <w:r w:rsidR="00B34184">
        <w:t xml:space="preserve"> </w:t>
      </w:r>
      <w:r w:rsidR="00AB1A9F">
        <w:t>an</w:t>
      </w:r>
      <w:r w:rsidR="00123FD0">
        <w:t>d provides a label template (</w:t>
      </w:r>
      <w:r w:rsidR="00AB1A9F">
        <w:t>Figure 1</w:t>
      </w:r>
      <w:r w:rsidR="00461555">
        <w:t>.1</w:t>
      </w:r>
      <w:r w:rsidR="00AB1A9F">
        <w:t>)</w:t>
      </w:r>
      <w:r>
        <w:t>.</w:t>
      </w:r>
    </w:p>
    <w:p w14:paraId="6E4895FA" w14:textId="22E1E1A6" w:rsidR="00B30F61" w:rsidRDefault="00B30F61" w:rsidP="00A75E1B">
      <w:pPr>
        <w:pStyle w:val="FigureNameSpace"/>
      </w:pPr>
      <w:r w:rsidRPr="00123FD0">
        <w:t>Figure 1</w:t>
      </w:r>
      <w:r w:rsidR="008D4E2A">
        <w:t>.1</w:t>
      </w:r>
      <w:r>
        <w:t>: Labelling Standard l</w:t>
      </w:r>
      <w:r w:rsidRPr="00467B7E">
        <w:t xml:space="preserve">ine label for medicine used to </w:t>
      </w:r>
      <w:r w:rsidR="00455AA9">
        <w:t>‘</w:t>
      </w:r>
      <w:r w:rsidRPr="00467B7E">
        <w:t>lock</w:t>
      </w:r>
      <w:r w:rsidR="00455AA9">
        <w:t>’</w:t>
      </w:r>
      <w:r w:rsidRPr="00467B7E">
        <w:t xml:space="preserve"> a catheter</w:t>
      </w:r>
    </w:p>
    <w:p w14:paraId="79028CB3" w14:textId="77777777" w:rsidR="00AB1A9F" w:rsidRPr="00986CFD" w:rsidRDefault="00B34184" w:rsidP="00986CFD">
      <w:r w:rsidRPr="00986CFD">
        <w:rPr>
          <w:noProof/>
          <w:lang w:val="en-AU" w:eastAsia="en-AU"/>
        </w:rPr>
        <w:drawing>
          <wp:inline distT="0" distB="0" distL="0" distR="0" wp14:anchorId="177D85CA" wp14:editId="47244234">
            <wp:extent cx="3011054" cy="2496306"/>
            <wp:effectExtent l="0" t="0" r="0" b="0"/>
            <wp:docPr id="7" name="Picture 7" descr="Catheter lock label - black text on blue and white background, with blue and black hatched border. Label specifies 'Catheter lock' and has space to record the medicine, date, and volume and final amount of medicine in the arterial lumen and venous lumen. Label specifies 'Remove medicine used as &quot;lock&quot; from lumen(s) prior to catheter use'." title="Labelling Standard line label for medicine used to ‘lock’ a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theter Lock-0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27547" cy="2509980"/>
                    </a:xfrm>
                    <a:prstGeom prst="rect">
                      <a:avLst/>
                    </a:prstGeom>
                    <a:noFill/>
                    <a:ln>
                      <a:noFill/>
                    </a:ln>
                  </pic:spPr>
                </pic:pic>
              </a:graphicData>
            </a:graphic>
          </wp:inline>
        </w:drawing>
      </w:r>
    </w:p>
    <w:p w14:paraId="2E8D00B1" w14:textId="77777777" w:rsidR="00EC31C3" w:rsidRPr="00245840" w:rsidRDefault="00EC31C3" w:rsidP="00F55AD9">
      <w:pPr>
        <w:pStyle w:val="Heading3"/>
      </w:pPr>
      <w:bookmarkStart w:id="7" w:name="_Toc499035738"/>
      <w:r w:rsidRPr="00245840">
        <w:t>From the Labelling Standard</w:t>
      </w:r>
      <w:bookmarkEnd w:id="7"/>
    </w:p>
    <w:p w14:paraId="3A18BDBC" w14:textId="3A67B1CE" w:rsidR="00123FD0" w:rsidRPr="00123FD0" w:rsidRDefault="00123FD0" w:rsidP="00E96C81">
      <w:r w:rsidRPr="00123FD0">
        <w:t xml:space="preserve">Central venous access devices may be </w:t>
      </w:r>
      <w:r w:rsidR="00455AA9">
        <w:t>‘</w:t>
      </w:r>
      <w:r w:rsidRPr="00123FD0">
        <w:t>locked</w:t>
      </w:r>
      <w:r w:rsidR="00455AA9">
        <w:t>’</w:t>
      </w:r>
      <w:r w:rsidRPr="00123FD0">
        <w:t xml:space="preserve"> with a medicine – that is, a medicine is placed in situ in the portal. Dialysis catheters are one type of central venous access device and may be used for haemodialysis when a fistula for external haemodialysis is unsuitable. The dialysis catheter is generally locked with an anticoagulant such as heparin to maintain patency. In some cases, other medicines </w:t>
      </w:r>
      <w:r w:rsidR="00A66B81">
        <w:t xml:space="preserve">such as antibiotics </w:t>
      </w:r>
      <w:r w:rsidRPr="00123FD0">
        <w:t xml:space="preserve">may be present. In general, it is usual to remove the medicine used as a </w:t>
      </w:r>
      <w:r w:rsidR="00455AA9">
        <w:t>‘</w:t>
      </w:r>
      <w:r w:rsidRPr="00123FD0">
        <w:t>lock</w:t>
      </w:r>
      <w:r w:rsidR="00455AA9">
        <w:t>’</w:t>
      </w:r>
      <w:r w:rsidRPr="00123FD0">
        <w:t xml:space="preserve"> in the catheter before using the catheter, </w:t>
      </w:r>
      <w:r w:rsidR="00AD4E4D">
        <w:t>especially</w:t>
      </w:r>
      <w:r w:rsidR="00AD4E4D" w:rsidRPr="00123FD0">
        <w:t xml:space="preserve"> </w:t>
      </w:r>
      <w:r w:rsidRPr="00123FD0">
        <w:t>in the case of heparin and other anticoagulants.</w:t>
      </w:r>
    </w:p>
    <w:p w14:paraId="70B94714" w14:textId="6CC36E4C" w:rsidR="00123FD0" w:rsidRPr="00123FD0" w:rsidRDefault="00123FD0" w:rsidP="00E96C81">
      <w:r w:rsidRPr="00123FD0">
        <w:t>Catheters with a medicine in situ should be identified</w:t>
      </w:r>
      <w:r>
        <w:t xml:space="preserve"> for route and medicine </w:t>
      </w:r>
      <w:r w:rsidRPr="00123FD0">
        <w:t>using a blue (PMS 2985) cath</w:t>
      </w:r>
      <w:r>
        <w:t>eter lock line label (Figure 1</w:t>
      </w:r>
      <w:r w:rsidR="008D4E2A">
        <w:t>.1</w:t>
      </w:r>
      <w:r w:rsidRPr="00123FD0">
        <w:t>).</w:t>
      </w:r>
      <w:r w:rsidR="00A17E53">
        <w:t xml:space="preserve"> </w:t>
      </w:r>
      <w:r w:rsidRPr="00123FD0">
        <w:t>The suggested label size is 60</w:t>
      </w:r>
      <w:r w:rsidR="008D4E2A">
        <w:t> </w:t>
      </w:r>
      <w:r w:rsidRPr="00123FD0">
        <w:t>mm</w:t>
      </w:r>
      <w:r w:rsidR="00800A16">
        <w:t> </w:t>
      </w:r>
      <w:r w:rsidRPr="00123FD0">
        <w:t>×</w:t>
      </w:r>
      <w:r w:rsidR="00800A16">
        <w:t> </w:t>
      </w:r>
      <w:r w:rsidRPr="00123FD0">
        <w:t>50</w:t>
      </w:r>
      <w:r w:rsidR="008D4E2A">
        <w:t> </w:t>
      </w:r>
      <w:r w:rsidRPr="00123FD0">
        <w:t>mm.</w:t>
      </w:r>
    </w:p>
    <w:p w14:paraId="0EE8BC89" w14:textId="77777777" w:rsidR="00B34184" w:rsidRDefault="00123FD0" w:rsidP="00E96C81">
      <w:r w:rsidRPr="00123FD0">
        <w:t>The label should be sited to partially cover the dialysis catheter dressing. In this way, the breathable dressing remains viable, and the label is situated close to the catheter to alert users to the medicine in situ. However, the label should not cover the catheter insertion site. The label should be removed after removing the medicine from the lock. The adhesive used on the label should be strong enough to adhere, but not so strong that it cannot be removed as required.</w:t>
      </w:r>
    </w:p>
    <w:p w14:paraId="71980D53" w14:textId="71440F47" w:rsidR="00EC31C3" w:rsidRPr="00245840" w:rsidRDefault="00EC31C3" w:rsidP="00F55AD9">
      <w:pPr>
        <w:pStyle w:val="Heading3"/>
      </w:pPr>
      <w:bookmarkStart w:id="8" w:name="_Toc499035739"/>
      <w:r w:rsidRPr="00245840">
        <w:t>Issue</w:t>
      </w:r>
      <w:bookmarkEnd w:id="8"/>
    </w:p>
    <w:p w14:paraId="11958766" w14:textId="4ED1EFCC" w:rsidR="00302A6D" w:rsidRDefault="00123FD0" w:rsidP="00E96C81">
      <w:r>
        <w:t>Continued implementation of the catheter lock label in Queensland suggested t</w:t>
      </w:r>
      <w:r w:rsidR="0075773D">
        <w:t xml:space="preserve">he </w:t>
      </w:r>
      <w:r w:rsidR="0075773D" w:rsidRPr="003E3779">
        <w:t xml:space="preserve">size of the label </w:t>
      </w:r>
      <w:r>
        <w:t>is</w:t>
      </w:r>
      <w:r w:rsidR="0075773D">
        <w:t xml:space="preserve"> too large</w:t>
      </w:r>
      <w:r w:rsidR="00D258ED">
        <w:t>, and</w:t>
      </w:r>
      <w:r>
        <w:t xml:space="preserve"> it covers and obscures</w:t>
      </w:r>
      <w:r w:rsidR="0075773D" w:rsidRPr="003E3779">
        <w:t xml:space="preserve"> the exi</w:t>
      </w:r>
      <w:r>
        <w:t>t site of the catheter</w:t>
      </w:r>
      <w:r w:rsidR="0075773D">
        <w:t xml:space="preserve">. </w:t>
      </w:r>
      <w:r w:rsidR="00AD4E4D">
        <w:t>Also</w:t>
      </w:r>
      <w:r w:rsidR="00302A6D">
        <w:t xml:space="preserve">, the label is being placed over the dressing </w:t>
      </w:r>
      <w:r w:rsidR="00455AA9">
        <w:t>‘</w:t>
      </w:r>
      <w:r w:rsidR="00302A6D">
        <w:t>window</w:t>
      </w:r>
      <w:r w:rsidR="00455AA9">
        <w:t>’</w:t>
      </w:r>
      <w:r w:rsidR="00302A6D">
        <w:t xml:space="preserve"> to</w:t>
      </w:r>
      <w:r w:rsidR="00302A6D" w:rsidRPr="003E3779">
        <w:t xml:space="preserve"> prevent the label adher</w:t>
      </w:r>
      <w:r w:rsidR="00302A6D">
        <w:t xml:space="preserve">ing to </w:t>
      </w:r>
      <w:r w:rsidR="00302A6D" w:rsidRPr="003E3779">
        <w:t>skin</w:t>
      </w:r>
      <w:r w:rsidR="00302A6D">
        <w:t>. R</w:t>
      </w:r>
      <w:r w:rsidR="00302A6D" w:rsidRPr="003E3779">
        <w:t xml:space="preserve">egardless of </w:t>
      </w:r>
      <w:r w:rsidR="00302A6D" w:rsidRPr="003E3779">
        <w:lastRenderedPageBreak/>
        <w:t xml:space="preserve">the adhesive strength, </w:t>
      </w:r>
      <w:r w:rsidR="00302A6D">
        <w:t xml:space="preserve">this can loosen the dressing, </w:t>
      </w:r>
      <w:r w:rsidR="00AD4E4D">
        <w:t xml:space="preserve">especially </w:t>
      </w:r>
      <w:r w:rsidR="00302A6D">
        <w:t>with repeated label removal. This leads to concerns over the efficacy of the dressing itself.</w:t>
      </w:r>
    </w:p>
    <w:p w14:paraId="2FF7F581" w14:textId="3710A273" w:rsidR="00BB3DD9" w:rsidRPr="00F55AD9" w:rsidRDefault="00BB3DD9" w:rsidP="00F55AD9">
      <w:pPr>
        <w:pStyle w:val="Heading3"/>
      </w:pPr>
      <w:bookmarkStart w:id="9" w:name="_Toc499035740"/>
      <w:r w:rsidRPr="00C226D3">
        <w:t>Proposed response and action</w:t>
      </w:r>
      <w:bookmarkEnd w:id="9"/>
    </w:p>
    <w:p w14:paraId="30780D4D" w14:textId="66E931FC" w:rsidR="0075773D" w:rsidRPr="003E3779" w:rsidRDefault="00302A6D" w:rsidP="00E96C81">
      <w:pPr>
        <w:pStyle w:val="NormalBeforeBullet"/>
      </w:pPr>
      <w:r>
        <w:t>L</w:t>
      </w:r>
      <w:r w:rsidR="00123FD0">
        <w:t xml:space="preserve">ocal </w:t>
      </w:r>
      <w:r w:rsidR="0075773D" w:rsidRPr="003E3779">
        <w:t>hospital policy and best practice</w:t>
      </w:r>
      <w:r w:rsidR="0075773D">
        <w:t xml:space="preserve"> </w:t>
      </w:r>
      <w:r>
        <w:t xml:space="preserve">require </w:t>
      </w:r>
      <w:r w:rsidR="00894A5D">
        <w:t>the catheter exit site to be clearly viewed.</w:t>
      </w:r>
      <w:r>
        <w:t xml:space="preserve"> Therefore, the </w:t>
      </w:r>
      <w:r w:rsidR="00EC31C3">
        <w:t>two hospitals raising this</w:t>
      </w:r>
      <w:r w:rsidR="00EC31C3" w:rsidRPr="00302A6D">
        <w:t xml:space="preserve"> issue </w:t>
      </w:r>
      <w:r>
        <w:t>proposed</w:t>
      </w:r>
      <w:r w:rsidR="00D258ED">
        <w:t>:</w:t>
      </w:r>
      <w:r w:rsidR="00123FD0">
        <w:t xml:space="preserve"> </w:t>
      </w:r>
    </w:p>
    <w:p w14:paraId="08A31420" w14:textId="1B2F7853" w:rsidR="0075773D" w:rsidRPr="00F050E6" w:rsidRDefault="00844003" w:rsidP="00E96C81">
      <w:pPr>
        <w:pStyle w:val="Bullet"/>
      </w:pPr>
      <w:r>
        <w:t>A</w:t>
      </w:r>
      <w:r w:rsidR="0075773D" w:rsidRPr="00F050E6">
        <w:t xml:space="preserve"> smaller label with </w:t>
      </w:r>
      <w:r w:rsidR="00D258ED">
        <w:t xml:space="preserve">the </w:t>
      </w:r>
      <w:r w:rsidR="0075773D" w:rsidRPr="00F050E6">
        <w:t>same prompts</w:t>
      </w:r>
    </w:p>
    <w:p w14:paraId="7347B83C" w14:textId="0727D196" w:rsidR="0075773D" w:rsidRPr="00F050E6" w:rsidRDefault="00844003" w:rsidP="00E96C81">
      <w:pPr>
        <w:pStyle w:val="Bullet"/>
      </w:pPr>
      <w:r>
        <w:t>A</w:t>
      </w:r>
      <w:r w:rsidR="0075773D" w:rsidRPr="00F050E6">
        <w:t xml:space="preserve"> larger dressing to allow </w:t>
      </w:r>
      <w:r w:rsidR="00123FD0">
        <w:t>sight of the exit site</w:t>
      </w:r>
    </w:p>
    <w:p w14:paraId="2173C0DF" w14:textId="1DA01B45" w:rsidR="0075773D" w:rsidRPr="00A12B2F" w:rsidRDefault="00844003" w:rsidP="00E96C81">
      <w:pPr>
        <w:pStyle w:val="BulletLast"/>
      </w:pPr>
      <w:r>
        <w:t>S</w:t>
      </w:r>
      <w:r w:rsidR="00123FD0">
        <w:t xml:space="preserve">et </w:t>
      </w:r>
      <w:r w:rsidR="0075773D" w:rsidRPr="00F050E6">
        <w:t xml:space="preserve">procedures for viewing the </w:t>
      </w:r>
      <w:r w:rsidR="00123FD0">
        <w:t xml:space="preserve">exit site and </w:t>
      </w:r>
      <w:r w:rsidR="0075773D" w:rsidRPr="00F050E6">
        <w:t>dressing.</w:t>
      </w:r>
    </w:p>
    <w:p w14:paraId="5CC4002E" w14:textId="66F8C341" w:rsidR="00245840" w:rsidRDefault="00302A6D" w:rsidP="00E96C81">
      <w:r w:rsidRPr="00302A6D">
        <w:t>The smaller label</w:t>
      </w:r>
      <w:r w:rsidR="00EC31C3">
        <w:t xml:space="preserve"> (Figure 1.2)</w:t>
      </w:r>
      <w:r w:rsidRPr="00302A6D">
        <w:t xml:space="preserve"> is the same size as the line label</w:t>
      </w:r>
      <w:r>
        <w:t xml:space="preserve"> </w:t>
      </w:r>
      <w:r w:rsidR="00D258ED">
        <w:t>(</w:t>
      </w:r>
      <w:r w:rsidR="00844003">
        <w:t>that is,</w:t>
      </w:r>
      <w:r>
        <w:t xml:space="preserve"> 70 mm </w:t>
      </w:r>
      <w:r w:rsidR="00844003" w:rsidRPr="00123FD0">
        <w:t>×</w:t>
      </w:r>
      <w:r>
        <w:t xml:space="preserve"> 25 mm</w:t>
      </w:r>
      <w:r w:rsidR="00D258ED">
        <w:t>)</w:t>
      </w:r>
      <w:proofErr w:type="gramStart"/>
      <w:r w:rsidR="00EC31C3">
        <w:t>,</w:t>
      </w:r>
      <w:proofErr w:type="gramEnd"/>
      <w:r w:rsidR="00EC31C3">
        <w:t xml:space="preserve"> s</w:t>
      </w:r>
      <w:r w:rsidRPr="00302A6D">
        <w:t>tock is</w:t>
      </w:r>
      <w:r w:rsidR="00A12B2F">
        <w:t xml:space="preserve"> synthetic</w:t>
      </w:r>
      <w:r w:rsidR="00D258ED">
        <w:t>,</w:t>
      </w:r>
      <w:r w:rsidR="00A12B2F">
        <w:t xml:space="preserve"> with</w:t>
      </w:r>
      <w:r w:rsidRPr="00302A6D">
        <w:t xml:space="preserve"> mix</w:t>
      </w:r>
      <w:r>
        <w:t>ed</w:t>
      </w:r>
      <w:r w:rsidRPr="00302A6D">
        <w:t xml:space="preserve"> reviews on the adhesive</w:t>
      </w:r>
      <w:r>
        <w:t xml:space="preserve"> to date.</w:t>
      </w:r>
    </w:p>
    <w:p w14:paraId="758592CC" w14:textId="5D766D97" w:rsidR="00B30F61" w:rsidRPr="00E96C81" w:rsidRDefault="00B30F61" w:rsidP="00A75E1B">
      <w:pPr>
        <w:pStyle w:val="FigureNameSpace"/>
      </w:pPr>
      <w:r w:rsidRPr="00302A6D">
        <w:t xml:space="preserve">Figure </w:t>
      </w:r>
      <w:r w:rsidR="008D4E2A">
        <w:t>1.</w:t>
      </w:r>
      <w:r w:rsidRPr="00302A6D">
        <w:t>2</w:t>
      </w:r>
      <w:r>
        <w:t>:</w:t>
      </w:r>
      <w:r w:rsidRPr="00302A6D">
        <w:t xml:space="preserve"> Proposed alternat</w:t>
      </w:r>
      <w:r>
        <w:t>iv</w:t>
      </w:r>
      <w:r w:rsidRPr="00302A6D">
        <w:t>e smaller catheter lock label</w:t>
      </w:r>
    </w:p>
    <w:p w14:paraId="2AD67A50" w14:textId="620A4387" w:rsidR="0075773D" w:rsidRPr="00986CFD" w:rsidRDefault="00460A5F" w:rsidP="00986CFD">
      <w:r w:rsidRPr="00986CFD">
        <w:rPr>
          <w:noProof/>
          <w:lang w:val="en-AU" w:eastAsia="en-AU"/>
        </w:rPr>
        <w:drawing>
          <wp:inline distT="0" distB="0" distL="0" distR="0" wp14:anchorId="3ECD7267" wp14:editId="72FEEE43">
            <wp:extent cx="3169285" cy="1447697"/>
            <wp:effectExtent l="0" t="0" r="0" b="635"/>
            <wp:docPr id="9" name="Picture 9" descr="Proposed alternative smaller catheter lock label - black text on blue and white background, with blue and black hatched border. Label specifies 'Catheter lock' and has space to record the medicine, date, and volume and final amount of medicine in the arterial lumen and venous lumen. Label specifies 'Remove medicine used as &quot;lock&quot; from lumen(s) prior to catheter use'.&#10;" title="Proposed alternative smaller catheter lock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2.png"/>
                    <pic:cNvPicPr/>
                  </pic:nvPicPr>
                  <pic:blipFill>
                    <a:blip r:embed="rId28">
                      <a:extLst>
                        <a:ext uri="{28A0092B-C50C-407E-A947-70E740481C1C}">
                          <a14:useLocalDpi xmlns:a14="http://schemas.microsoft.com/office/drawing/2010/main" val="0"/>
                        </a:ext>
                      </a:extLst>
                    </a:blip>
                    <a:stretch>
                      <a:fillRect/>
                    </a:stretch>
                  </pic:blipFill>
                  <pic:spPr>
                    <a:xfrm>
                      <a:off x="0" y="0"/>
                      <a:ext cx="3196763" cy="1460249"/>
                    </a:xfrm>
                    <a:prstGeom prst="rect">
                      <a:avLst/>
                    </a:prstGeom>
                  </pic:spPr>
                </pic:pic>
              </a:graphicData>
            </a:graphic>
          </wp:inline>
        </w:drawing>
      </w:r>
    </w:p>
    <w:p w14:paraId="3CE81667" w14:textId="2BD5E677" w:rsidR="00245840" w:rsidRDefault="00302A6D" w:rsidP="00E96C81">
      <w:r>
        <w:t>Evaluations of the proposed</w:t>
      </w:r>
      <w:r w:rsidR="00EC31C3">
        <w:t>, smaller</w:t>
      </w:r>
      <w:r>
        <w:t xml:space="preserve"> catheter lock label are ongoing in Queensland</w:t>
      </w:r>
      <w:r w:rsidR="00461555">
        <w:t>,</w:t>
      </w:r>
      <w:r>
        <w:t xml:space="preserve"> and further </w:t>
      </w:r>
      <w:r w:rsidR="00EC31C3">
        <w:t>advice from these evaluations</w:t>
      </w:r>
      <w:r>
        <w:t xml:space="preserve"> will be available </w:t>
      </w:r>
      <w:r w:rsidR="00461555">
        <w:t xml:space="preserve">on </w:t>
      </w:r>
      <w:r>
        <w:t xml:space="preserve">the </w:t>
      </w:r>
      <w:r w:rsidRPr="00A75E1B">
        <w:t xml:space="preserve">Labelling Standard </w:t>
      </w:r>
      <w:r w:rsidR="00B30F61">
        <w:t>i</w:t>
      </w:r>
      <w:r w:rsidRPr="00A75E1B">
        <w:t xml:space="preserve">ssues </w:t>
      </w:r>
      <w:r w:rsidR="00B30F61">
        <w:t>r</w:t>
      </w:r>
      <w:r w:rsidRPr="00A75E1B">
        <w:t>egister</w:t>
      </w:r>
      <w:r w:rsidRPr="00B30F61">
        <w:t>.</w:t>
      </w:r>
    </w:p>
    <w:p w14:paraId="4F351CA0" w14:textId="77777777" w:rsidR="00F55AD9" w:rsidRPr="00F55AD9" w:rsidRDefault="00F55AD9" w:rsidP="00F55AD9">
      <w:pPr>
        <w:pStyle w:val="BoxText"/>
      </w:pPr>
      <w:r w:rsidRPr="00F55AD9">
        <w:t>Response: Evaluate smaller label</w:t>
      </w:r>
    </w:p>
    <w:p w14:paraId="4397FE77" w14:textId="77777777" w:rsidR="00F55AD9" w:rsidRPr="00F55AD9" w:rsidRDefault="00F55AD9" w:rsidP="00F55AD9">
      <w:pPr>
        <w:pStyle w:val="BoxText"/>
      </w:pPr>
      <w:r w:rsidRPr="00F55AD9">
        <w:t>Reason: Allow clear view of catheter insertion site and avoid dressing compromise</w:t>
      </w:r>
    </w:p>
    <w:p w14:paraId="3909FAFD" w14:textId="08971EAE" w:rsidR="00F55AD9" w:rsidRPr="00F55AD9" w:rsidRDefault="00F55AD9" w:rsidP="00F55AD9">
      <w:pPr>
        <w:pStyle w:val="BoxText"/>
      </w:pPr>
      <w:r w:rsidRPr="00F55AD9">
        <w:t xml:space="preserve">Action: Use either label size while awaiting </w:t>
      </w:r>
      <w:r w:rsidR="001C7F8B">
        <w:t xml:space="preserve">results of </w:t>
      </w:r>
      <w:r w:rsidRPr="00F55AD9">
        <w:t>evaluation</w:t>
      </w:r>
    </w:p>
    <w:p w14:paraId="122D6F9B" w14:textId="090FBE97" w:rsidR="00A9020E" w:rsidRPr="0062270D" w:rsidRDefault="00A9020E" w:rsidP="00A9020E">
      <w:pPr>
        <w:pStyle w:val="Heading2"/>
      </w:pPr>
      <w:bookmarkStart w:id="10" w:name="_Toc499035741"/>
      <w:r w:rsidRPr="0062270D">
        <w:rPr>
          <w:highlight w:val="lightGray"/>
        </w:rPr>
        <w:t>IR 1</w:t>
      </w:r>
      <w:r>
        <w:rPr>
          <w:highlight w:val="lightGray"/>
        </w:rPr>
        <w:t xml:space="preserve">b: Central venous catheter lock label </w:t>
      </w:r>
      <w:r w:rsidRPr="0062270D">
        <w:rPr>
          <w:highlight w:val="lightGray"/>
        </w:rPr>
        <w:t xml:space="preserve"> </w:t>
      </w:r>
    </w:p>
    <w:p w14:paraId="1F9D0202" w14:textId="1B17B1C7" w:rsidR="00A81D19" w:rsidRPr="00245840" w:rsidRDefault="00A81D19" w:rsidP="00F55AD9">
      <w:pPr>
        <w:pStyle w:val="Heading3"/>
      </w:pPr>
      <w:bookmarkStart w:id="11" w:name="_Toc499035742"/>
      <w:bookmarkEnd w:id="10"/>
      <w:r w:rsidRPr="00245840">
        <w:t>Issue</w:t>
      </w:r>
      <w:r w:rsidR="00F676AB">
        <w:t>s</w:t>
      </w:r>
      <w:bookmarkEnd w:id="11"/>
    </w:p>
    <w:p w14:paraId="770BE8B8" w14:textId="523710B0" w:rsidR="00F676AB" w:rsidRDefault="00DD691B" w:rsidP="00DD691B">
      <w:r>
        <w:t>The</w:t>
      </w:r>
      <w:r w:rsidR="00A9020E">
        <w:t xml:space="preserve"> </w:t>
      </w:r>
      <w:r w:rsidR="00414DFE">
        <w:t>catheter lock label</w:t>
      </w:r>
      <w:r>
        <w:t xml:space="preserve"> </w:t>
      </w:r>
      <w:r w:rsidR="00414DFE">
        <w:t>includes the volume and amount of medicine contained in the venous and arterial lumens</w:t>
      </w:r>
      <w:r w:rsidR="00A9020E">
        <w:t xml:space="preserve"> (Figure 1.2)</w:t>
      </w:r>
      <w:r w:rsidR="00414DFE">
        <w:t xml:space="preserve">. </w:t>
      </w:r>
      <w:r w:rsidR="00A9020E">
        <w:t>However, c</w:t>
      </w:r>
      <w:r w:rsidR="00F676AB">
        <w:t>entral venous catheter</w:t>
      </w:r>
      <w:r w:rsidR="00A9020E">
        <w:t>s</w:t>
      </w:r>
      <w:r w:rsidR="00F676AB" w:rsidRPr="00F676AB">
        <w:t xml:space="preserve"> (CVC</w:t>
      </w:r>
      <w:r w:rsidR="00F676AB">
        <w:t>) do not have venous and arterial</w:t>
      </w:r>
      <w:r>
        <w:t xml:space="preserve"> </w:t>
      </w:r>
      <w:bookmarkStart w:id="12" w:name="_Toc465432503"/>
      <w:r w:rsidR="00A9020E">
        <w:t>lumens, so these prompts are not required.</w:t>
      </w:r>
    </w:p>
    <w:p w14:paraId="1B9371DA" w14:textId="70F4C3F8" w:rsidR="00DD691B" w:rsidRDefault="00F676AB" w:rsidP="00DD691B">
      <w:r>
        <w:t>Application of a large</w:t>
      </w:r>
      <w:r w:rsidR="00414DFE">
        <w:t xml:space="preserve"> catheter lock</w:t>
      </w:r>
      <w:r w:rsidR="00DD691B">
        <w:t xml:space="preserve"> label across dressing</w:t>
      </w:r>
      <w:r>
        <w:t>s raises similar issues</w:t>
      </w:r>
      <w:r w:rsidR="00DD691B">
        <w:t xml:space="preserve"> to those seen with dialysis catheters. </w:t>
      </w:r>
      <w:r>
        <w:t>In addition, a large label may be adhered to skin</w:t>
      </w:r>
      <w:r w:rsidR="008E4D34">
        <w:t>,</w:t>
      </w:r>
      <w:r>
        <w:t xml:space="preserve"> with potential to fall off and/or introduce infection around the insertion site.</w:t>
      </w:r>
    </w:p>
    <w:p w14:paraId="01E109A3" w14:textId="049C5F05" w:rsidR="00F676AB" w:rsidRDefault="00F676AB" w:rsidP="00DD691B">
      <w:r>
        <w:t xml:space="preserve">CVCs are </w:t>
      </w:r>
      <w:r w:rsidR="00AD4E4D">
        <w:t xml:space="preserve">often </w:t>
      </w:r>
      <w:proofErr w:type="spellStart"/>
      <w:r w:rsidR="001C7F8B">
        <w:t>multilumen</w:t>
      </w:r>
      <w:proofErr w:type="spellEnd"/>
      <w:r w:rsidR="001C7F8B">
        <w:t xml:space="preserve"> with two or more</w:t>
      </w:r>
      <w:r>
        <w:t xml:space="preserve"> lumens. </w:t>
      </w:r>
      <w:r w:rsidRPr="00F676AB">
        <w:t xml:space="preserve">Each lumen may contain an anticoagulant such as heparin to </w:t>
      </w:r>
      <w:r w:rsidR="00455AA9">
        <w:t>‘</w:t>
      </w:r>
      <w:r w:rsidRPr="00F676AB">
        <w:t>lock</w:t>
      </w:r>
      <w:r w:rsidR="00455AA9">
        <w:t>’</w:t>
      </w:r>
      <w:r w:rsidRPr="00F676AB">
        <w:t xml:space="preserve"> the catheter</w:t>
      </w:r>
      <w:r>
        <w:t>.</w:t>
      </w:r>
      <w:r w:rsidRPr="00F676AB">
        <w:t xml:space="preserve"> </w:t>
      </w:r>
      <w:r>
        <w:t xml:space="preserve">Therefore, each lumen requires a label identifying a medicine </w:t>
      </w:r>
      <w:r w:rsidR="00455AA9">
        <w:t>‘</w:t>
      </w:r>
      <w:r>
        <w:t>lock</w:t>
      </w:r>
      <w:r w:rsidR="00455AA9">
        <w:t>’</w:t>
      </w:r>
      <w:r>
        <w:t xml:space="preserve"> in place.</w:t>
      </w:r>
    </w:p>
    <w:p w14:paraId="278708D2" w14:textId="77777777" w:rsidR="00C226D3" w:rsidRPr="00C226D3" w:rsidRDefault="00C226D3" w:rsidP="00F55AD9">
      <w:pPr>
        <w:pStyle w:val="Heading3"/>
      </w:pPr>
      <w:bookmarkStart w:id="13" w:name="_Toc499035743"/>
      <w:r w:rsidRPr="00C226D3">
        <w:lastRenderedPageBreak/>
        <w:t>Proposed response and action</w:t>
      </w:r>
      <w:bookmarkEnd w:id="13"/>
    </w:p>
    <w:p w14:paraId="0283715F" w14:textId="049E027D" w:rsidR="00DD691B" w:rsidRDefault="00A81D19" w:rsidP="00DD691B">
      <w:r>
        <w:t>A</w:t>
      </w:r>
      <w:r w:rsidR="00C226D3">
        <w:t>n abbreviated,</w:t>
      </w:r>
      <w:r>
        <w:t xml:space="preserve"> smaller label could be used to </w:t>
      </w:r>
      <w:r w:rsidR="00DD691B">
        <w:t xml:space="preserve">identify the medicine held in </w:t>
      </w:r>
      <w:r w:rsidR="00C226D3">
        <w:t>the lumen of a CVC</w:t>
      </w:r>
      <w:r w:rsidR="00DD691B">
        <w:t xml:space="preserve">. </w:t>
      </w:r>
      <w:r w:rsidR="00C226D3">
        <w:t xml:space="preserve">This would be </w:t>
      </w:r>
      <w:r w:rsidR="00C226D3" w:rsidRPr="00C226D3">
        <w:t>suitable for applic</w:t>
      </w:r>
      <w:r w:rsidR="001C7F8B">
        <w:t xml:space="preserve">ation to each lumen of a </w:t>
      </w:r>
      <w:proofErr w:type="spellStart"/>
      <w:r w:rsidR="001C7F8B">
        <w:t>multilumen</w:t>
      </w:r>
      <w:proofErr w:type="spellEnd"/>
      <w:r w:rsidR="00C226D3">
        <w:t xml:space="preserve"> CVC. </w:t>
      </w:r>
      <w:r>
        <w:t>Where heparin is exclusively used</w:t>
      </w:r>
      <w:r w:rsidR="008E4D34">
        <w:t>,</w:t>
      </w:r>
      <w:r>
        <w:t xml:space="preserve"> a small label printed</w:t>
      </w:r>
      <w:r w:rsidR="00C226D3">
        <w:t xml:space="preserve"> </w:t>
      </w:r>
      <w:r w:rsidR="00455AA9">
        <w:t>‘</w:t>
      </w:r>
      <w:r w:rsidR="00C226D3">
        <w:t>heparin locked</w:t>
      </w:r>
      <w:r w:rsidR="00455AA9">
        <w:t>’</w:t>
      </w:r>
      <w:r w:rsidR="00C226D3">
        <w:t xml:space="preserve"> </w:t>
      </w:r>
      <w:r w:rsidR="00C226D3" w:rsidRPr="00C226D3">
        <w:t>colour</w:t>
      </w:r>
      <w:r w:rsidR="008E4D34">
        <w:t>-</w:t>
      </w:r>
      <w:r w:rsidR="00C226D3" w:rsidRPr="00C226D3">
        <w:t xml:space="preserve">coded teal green (PMS </w:t>
      </w:r>
      <w:r w:rsidR="00C226D3">
        <w:t>3255) with a solid black border</w:t>
      </w:r>
      <w:r w:rsidR="00494FAC">
        <w:t xml:space="preserve"> is proposed</w:t>
      </w:r>
      <w:r w:rsidR="00C226D3">
        <w:t xml:space="preserve">. This is </w:t>
      </w:r>
      <w:r w:rsidR="00DD691B">
        <w:t>consistent with colour</w:t>
      </w:r>
      <w:r w:rsidR="008E4D34">
        <w:t>-</w:t>
      </w:r>
      <w:r w:rsidR="00DD691B">
        <w:t>coding of th</w:t>
      </w:r>
      <w:r w:rsidR="00494FAC">
        <w:t>e Labelling Standard</w:t>
      </w:r>
      <w:r w:rsidR="00C226D3">
        <w:t xml:space="preserve"> (see Figure 1.3)</w:t>
      </w:r>
      <w:r w:rsidR="00DD691B">
        <w:t>.</w:t>
      </w:r>
      <w:r w:rsidR="00C226D3">
        <w:t xml:space="preserve"> Similarly, </w:t>
      </w:r>
      <w:proofErr w:type="spellStart"/>
      <w:r w:rsidR="00C226D3">
        <w:t>preprinted</w:t>
      </w:r>
      <w:proofErr w:type="spellEnd"/>
      <w:r w:rsidR="00C226D3">
        <w:t xml:space="preserve"> labels for other anticoagulants, such as </w:t>
      </w:r>
      <w:proofErr w:type="spellStart"/>
      <w:r w:rsidR="00C226D3">
        <w:t>urokinase</w:t>
      </w:r>
      <w:proofErr w:type="spellEnd"/>
      <w:r w:rsidR="00C226D3">
        <w:t>, could be used (see Figure 1.4).</w:t>
      </w:r>
    </w:p>
    <w:p w14:paraId="56A24C04" w14:textId="44F208C1" w:rsidR="001C7F8B" w:rsidRDefault="001C7F8B" w:rsidP="00DD691B">
      <w:r>
        <w:t xml:space="preserve">Labels should be placed adjacent to the portal, but not interfere or introduce infection risk. </w:t>
      </w:r>
    </w:p>
    <w:p w14:paraId="6B2739F3" w14:textId="24150D0C" w:rsidR="00DD691B" w:rsidRDefault="00C226D3" w:rsidP="00DD691B">
      <w:r w:rsidRPr="00C226D3">
        <w:t>The labels should be removed after removing the medicine from the lock</w:t>
      </w:r>
      <w:r>
        <w:t xml:space="preserve">. The </w:t>
      </w:r>
      <w:proofErr w:type="spellStart"/>
      <w:r>
        <w:t>preprinted</w:t>
      </w:r>
      <w:proofErr w:type="spellEnd"/>
      <w:r>
        <w:t xml:space="preserve"> label should be a </w:t>
      </w:r>
      <w:r w:rsidR="00455AA9">
        <w:t>‘</w:t>
      </w:r>
      <w:r>
        <w:t>peel-off</w:t>
      </w:r>
      <w:r w:rsidR="00455AA9">
        <w:t>’</w:t>
      </w:r>
      <w:r>
        <w:t xml:space="preserve"> label</w:t>
      </w:r>
      <w:r w:rsidR="001C7F8B">
        <w:t>. T</w:t>
      </w:r>
      <w:r>
        <w:t>hat is</w:t>
      </w:r>
      <w:r w:rsidR="00806611">
        <w:t>,</w:t>
      </w:r>
      <w:r>
        <w:t xml:space="preserve"> the</w:t>
      </w:r>
      <w:r w:rsidRPr="00C226D3">
        <w:t xml:space="preserve"> </w:t>
      </w:r>
      <w:r>
        <w:t xml:space="preserve">label adhesive </w:t>
      </w:r>
      <w:r w:rsidRPr="00C226D3">
        <w:t>should be strong enough to adhere but not so strong it cannot be removed as required</w:t>
      </w:r>
      <w:r>
        <w:t xml:space="preserve">. </w:t>
      </w:r>
    </w:p>
    <w:p w14:paraId="08BBC758" w14:textId="149F35BD" w:rsidR="00DD691B" w:rsidRDefault="00DD691B" w:rsidP="00DD691B">
      <w:r>
        <w:t>Wording should be duplicated so it can be read from both sides when the label is wrapped around the lumen.</w:t>
      </w:r>
    </w:p>
    <w:p w14:paraId="75A6B230" w14:textId="6F8EBBCF" w:rsidR="00494FAC" w:rsidRDefault="00494FAC" w:rsidP="00A75E1B">
      <w:pPr>
        <w:pStyle w:val="FigureNameSpace"/>
        <w:ind w:left="0" w:firstLine="0"/>
      </w:pPr>
      <w:r w:rsidRPr="00302A6D">
        <w:t xml:space="preserve">Figure </w:t>
      </w:r>
      <w:r>
        <w:t>1.3</w:t>
      </w:r>
      <w:r w:rsidR="00806611">
        <w:t>:</w:t>
      </w:r>
      <w:r w:rsidRPr="00302A6D">
        <w:t xml:space="preserve"> Proposed </w:t>
      </w:r>
      <w:r>
        <w:t>central venous</w:t>
      </w:r>
      <w:r w:rsidRPr="00302A6D">
        <w:t xml:space="preserve"> catheter lock label</w:t>
      </w:r>
      <w:r>
        <w:t xml:space="preserve"> for heparin</w:t>
      </w:r>
    </w:p>
    <w:p w14:paraId="546BF8A0" w14:textId="6E36F6FA" w:rsidR="00BA1668" w:rsidRPr="00BA1668" w:rsidRDefault="00986CFD" w:rsidP="00BA1668">
      <w:r>
        <w:rPr>
          <w:noProof/>
          <w:lang w:val="en-AU" w:eastAsia="en-AU"/>
        </w:rPr>
        <w:drawing>
          <wp:inline distT="0" distB="0" distL="0" distR="0" wp14:anchorId="4DADBB2C" wp14:editId="6FA5D28B">
            <wp:extent cx="2481072" cy="56692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pari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1072" cy="566928"/>
                    </a:xfrm>
                    <a:prstGeom prst="rect">
                      <a:avLst/>
                    </a:prstGeom>
                  </pic:spPr>
                </pic:pic>
              </a:graphicData>
            </a:graphic>
          </wp:inline>
        </w:drawing>
      </w:r>
    </w:p>
    <w:p w14:paraId="3ADD5646" w14:textId="51C7D47B" w:rsidR="00494FAC" w:rsidRDefault="00494FAC" w:rsidP="00BA1668">
      <w:pPr>
        <w:pStyle w:val="FigureNameSpace"/>
      </w:pPr>
      <w:r w:rsidRPr="00302A6D">
        <w:t xml:space="preserve">Figure </w:t>
      </w:r>
      <w:r>
        <w:t>1.4</w:t>
      </w:r>
      <w:r w:rsidR="00806611">
        <w:t>:</w:t>
      </w:r>
      <w:r w:rsidRPr="00302A6D">
        <w:t xml:space="preserve"> Proposed </w:t>
      </w:r>
      <w:r>
        <w:t>central venous</w:t>
      </w:r>
      <w:r w:rsidRPr="00302A6D">
        <w:t xml:space="preserve"> catheter lock label</w:t>
      </w:r>
      <w:r>
        <w:t xml:space="preserve"> for </w:t>
      </w:r>
      <w:proofErr w:type="spellStart"/>
      <w:r>
        <w:t>urokinase</w:t>
      </w:r>
      <w:proofErr w:type="spellEnd"/>
    </w:p>
    <w:p w14:paraId="478B04B3" w14:textId="24D5465C" w:rsidR="00986CFD" w:rsidRPr="00986CFD" w:rsidRDefault="00986CFD" w:rsidP="00986CFD">
      <w:r>
        <w:rPr>
          <w:noProof/>
          <w:lang w:val="en-AU" w:eastAsia="en-AU"/>
        </w:rPr>
        <w:drawing>
          <wp:inline distT="0" distB="0" distL="0" distR="0" wp14:anchorId="24F8F6BD" wp14:editId="73390234">
            <wp:extent cx="2459736" cy="49377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okinasseLock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9736" cy="493776"/>
                    </a:xfrm>
                    <a:prstGeom prst="rect">
                      <a:avLst/>
                    </a:prstGeom>
                  </pic:spPr>
                </pic:pic>
              </a:graphicData>
            </a:graphic>
          </wp:inline>
        </w:drawing>
      </w:r>
    </w:p>
    <w:p w14:paraId="27CE47CD" w14:textId="29BE45DB" w:rsidR="00494FAC" w:rsidRDefault="00494FAC" w:rsidP="00DD691B">
      <w:r>
        <w:t>O</w:t>
      </w:r>
      <w:r w:rsidR="00DD691B">
        <w:t>ther antico</w:t>
      </w:r>
      <w:r>
        <w:t>agulant agents may be used</w:t>
      </w:r>
      <w:r w:rsidR="00806611">
        <w:t xml:space="preserve">, such as </w:t>
      </w:r>
      <w:proofErr w:type="spellStart"/>
      <w:r>
        <w:t>urokinase</w:t>
      </w:r>
      <w:proofErr w:type="spellEnd"/>
      <w:r>
        <w:t>. Antibiotics</w:t>
      </w:r>
      <w:r w:rsidR="00DD691B">
        <w:t xml:space="preserve"> alone</w:t>
      </w:r>
      <w:r>
        <w:t>,</w:t>
      </w:r>
      <w:r w:rsidR="00DD691B">
        <w:t xml:space="preserve"> or in combination with heparin</w:t>
      </w:r>
      <w:r>
        <w:t>,</w:t>
      </w:r>
      <w:r w:rsidR="00DD691B">
        <w:t xml:space="preserve"> may be used as a lock. Specific labels</w:t>
      </w:r>
      <w:r>
        <w:t xml:space="preserve"> printed with the medicine name and the wording </w:t>
      </w:r>
      <w:r w:rsidR="00455AA9">
        <w:t>‘</w:t>
      </w:r>
      <w:r>
        <w:t>locked</w:t>
      </w:r>
      <w:r w:rsidR="00455AA9">
        <w:t>’</w:t>
      </w:r>
      <w:r w:rsidR="00DD691B">
        <w:t xml:space="preserve"> would be required for these circumstances. </w:t>
      </w:r>
    </w:p>
    <w:p w14:paraId="634A550A" w14:textId="77777777" w:rsidR="00F55AD9" w:rsidRPr="00F55AD9" w:rsidRDefault="00F55AD9" w:rsidP="00F55AD9">
      <w:pPr>
        <w:pStyle w:val="BoxText"/>
      </w:pPr>
      <w:r w:rsidRPr="00F55AD9">
        <w:t>Response: Evaluate abbreviated CVC lock label</w:t>
      </w:r>
    </w:p>
    <w:p w14:paraId="35AD46B0" w14:textId="6306B4A4" w:rsidR="00F55AD9" w:rsidRPr="00F55AD9" w:rsidRDefault="00F55AD9" w:rsidP="00F55AD9">
      <w:pPr>
        <w:pStyle w:val="BoxText"/>
      </w:pPr>
      <w:r w:rsidRPr="00F55AD9">
        <w:t xml:space="preserve">Reason: </w:t>
      </w:r>
      <w:proofErr w:type="spellStart"/>
      <w:r w:rsidRPr="00F55AD9">
        <w:t>M</w:t>
      </w:r>
      <w:r w:rsidR="001C7F8B">
        <w:t>ultilumen</w:t>
      </w:r>
      <w:proofErr w:type="spellEnd"/>
      <w:r w:rsidRPr="00F55AD9">
        <w:t xml:space="preserve"> CVC medicine locks are identified </w:t>
      </w:r>
      <w:r w:rsidR="001C7F8B">
        <w:t>with smaller labels to avoid</w:t>
      </w:r>
      <w:r w:rsidRPr="00F55AD9">
        <w:t xml:space="preserve"> compromising catheter insertion</w:t>
      </w:r>
      <w:r w:rsidRPr="00F55AD9">
        <w:tab/>
      </w:r>
    </w:p>
    <w:p w14:paraId="537D908C" w14:textId="134CE919" w:rsidR="00F55AD9" w:rsidRPr="00F55AD9" w:rsidRDefault="00F55AD9" w:rsidP="00F55AD9">
      <w:pPr>
        <w:pStyle w:val="BoxText"/>
      </w:pPr>
      <w:r w:rsidRPr="00F55AD9">
        <w:t>Action: Use either catheter lock label while awaiting</w:t>
      </w:r>
      <w:r w:rsidR="001C7F8B">
        <w:t xml:space="preserve"> results of</w:t>
      </w:r>
      <w:r w:rsidRPr="00F55AD9">
        <w:t xml:space="preserve"> evaluation</w:t>
      </w:r>
    </w:p>
    <w:p w14:paraId="5D6747A6" w14:textId="77777777" w:rsidR="00AE20E3" w:rsidRDefault="00AE20E3">
      <w:pPr>
        <w:spacing w:after="0"/>
        <w:rPr>
          <w:rFonts w:cs="Arial"/>
          <w:b/>
          <w:bCs/>
          <w:iCs/>
          <w:color w:val="000000"/>
          <w:sz w:val="28"/>
          <w:szCs w:val="28"/>
          <w:highlight w:val="lightGray"/>
          <w:lang w:val="en-AU" w:eastAsia="en-AU"/>
        </w:rPr>
      </w:pPr>
      <w:bookmarkStart w:id="14" w:name="_Toc499035744"/>
      <w:r>
        <w:rPr>
          <w:highlight w:val="lightGray"/>
        </w:rPr>
        <w:br w:type="page"/>
      </w:r>
    </w:p>
    <w:p w14:paraId="6F8D8598" w14:textId="6CE30C99" w:rsidR="00EE7F88" w:rsidRPr="0062270D" w:rsidRDefault="00EE7F88" w:rsidP="00F55AD9">
      <w:pPr>
        <w:pStyle w:val="Heading2"/>
      </w:pPr>
      <w:r w:rsidRPr="0062270D">
        <w:rPr>
          <w:highlight w:val="lightGray"/>
        </w:rPr>
        <w:lastRenderedPageBreak/>
        <w:t>I</w:t>
      </w:r>
      <w:r w:rsidR="00874E7E">
        <w:rPr>
          <w:highlight w:val="lightGray"/>
        </w:rPr>
        <w:t>R 2</w:t>
      </w:r>
      <w:r w:rsidR="00454D25">
        <w:rPr>
          <w:highlight w:val="lightGray"/>
        </w:rPr>
        <w:t xml:space="preserve">: User-applied container labelling in </w:t>
      </w:r>
      <w:r w:rsidR="00806611">
        <w:rPr>
          <w:highlight w:val="lightGray"/>
        </w:rPr>
        <w:t>E</w:t>
      </w:r>
      <w:r w:rsidR="00454D25">
        <w:rPr>
          <w:highlight w:val="lightGray"/>
        </w:rPr>
        <w:t>MM systems</w:t>
      </w:r>
      <w:bookmarkEnd w:id="12"/>
      <w:bookmarkEnd w:id="14"/>
    </w:p>
    <w:p w14:paraId="234B0AC0" w14:textId="23571532" w:rsidR="00EE7F88" w:rsidRDefault="00EE7F88" w:rsidP="00E96C81">
      <w:r w:rsidRPr="00223848">
        <w:t>The Labelling Standard</w:t>
      </w:r>
      <w:r w:rsidRPr="00223848">
        <w:rPr>
          <w:vertAlign w:val="superscript"/>
        </w:rPr>
        <w:t>1</w:t>
      </w:r>
      <w:r w:rsidRPr="00223848">
        <w:t xml:space="preserve"> sets out the min</w:t>
      </w:r>
      <w:r>
        <w:t>imum requirements for information on a container label</w:t>
      </w:r>
      <w:r w:rsidR="00461555">
        <w:t xml:space="preserve"> (Figure 2.1)</w:t>
      </w:r>
      <w:r>
        <w:t>.</w:t>
      </w:r>
    </w:p>
    <w:p w14:paraId="7D6E04ED" w14:textId="0550A962" w:rsidR="00806611" w:rsidRPr="00E96C81" w:rsidRDefault="00806611" w:rsidP="00A75E1B">
      <w:pPr>
        <w:pStyle w:val="FigureNameSpace"/>
        <w:keepNext/>
        <w:ind w:left="1077" w:hanging="1077"/>
      </w:pPr>
      <w:r>
        <w:t xml:space="preserve">Figure </w:t>
      </w:r>
      <w:r w:rsidR="008D4E2A">
        <w:t>2.1</w:t>
      </w:r>
      <w:r>
        <w:t>: Labelling Standard container label example</w:t>
      </w:r>
    </w:p>
    <w:p w14:paraId="10E820A0" w14:textId="5252F11A" w:rsidR="00E94C0B" w:rsidRPr="00986CFD" w:rsidRDefault="00EE7F88" w:rsidP="00986CFD">
      <w:r w:rsidRPr="00986CFD">
        <w:rPr>
          <w:noProof/>
          <w:lang w:val="en-AU" w:eastAsia="en-AU"/>
        </w:rPr>
        <w:drawing>
          <wp:inline distT="0" distB="0" distL="0" distR="0" wp14:anchorId="33999D1F" wp14:editId="11EB5620">
            <wp:extent cx="2119671" cy="1792082"/>
            <wp:effectExtent l="0" t="0" r="0" b="0"/>
            <wp:docPr id="4" name="Picture 4" descr="Proposed Labelling Standard container label - black text on light blue background, with blue and black hatched border. Label specifies 'for intraVENOUS use only' and has space to record the patient name, ID DOB and medicine with an equation of Amount (units) divided by Volume (mL) = Conc (units/mL). The bottom of the sticker has space to record Diluent, date, prepared by, time and checked by." title="Labelling Standard container lab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106" cy="1808513"/>
                    </a:xfrm>
                    <a:prstGeom prst="rect">
                      <a:avLst/>
                    </a:prstGeom>
                    <a:noFill/>
                    <a:ln>
                      <a:noFill/>
                    </a:ln>
                  </pic:spPr>
                </pic:pic>
              </a:graphicData>
            </a:graphic>
          </wp:inline>
        </w:drawing>
      </w:r>
    </w:p>
    <w:p w14:paraId="6E3F878A" w14:textId="1E19EA68" w:rsidR="00E94C0B" w:rsidRPr="00986CFD" w:rsidRDefault="00ED6CE7" w:rsidP="00986CFD">
      <w:r w:rsidRPr="00986CFD">
        <w:t xml:space="preserve">Electronic medication management </w:t>
      </w:r>
      <w:r w:rsidR="00461555" w:rsidRPr="00986CFD">
        <w:t>(</w:t>
      </w:r>
      <w:r w:rsidR="00806611" w:rsidRPr="00986CFD">
        <w:t>E</w:t>
      </w:r>
      <w:r w:rsidR="00461555" w:rsidRPr="00986CFD">
        <w:t xml:space="preserve">MM) </w:t>
      </w:r>
      <w:r w:rsidRPr="00986CFD">
        <w:t xml:space="preserve">systems provide </w:t>
      </w:r>
      <w:r w:rsidR="00AD4E4D" w:rsidRPr="00986CFD">
        <w:t xml:space="preserve">further </w:t>
      </w:r>
      <w:r w:rsidRPr="00986CFD">
        <w:t>benefits in cross</w:t>
      </w:r>
      <w:r w:rsidR="00461555" w:rsidRPr="00986CFD">
        <w:t>-</w:t>
      </w:r>
      <w:r w:rsidRPr="00986CFD">
        <w:t>checking and preventing medication errors. As these systems are introduced</w:t>
      </w:r>
      <w:r w:rsidR="00461555" w:rsidRPr="00986CFD">
        <w:t>,</w:t>
      </w:r>
      <w:r w:rsidRPr="00986CFD">
        <w:t xml:space="preserve"> </w:t>
      </w:r>
      <w:r w:rsidR="00806611" w:rsidRPr="00986CFD">
        <w:t>health service organisations</w:t>
      </w:r>
      <w:r w:rsidRPr="00986CFD">
        <w:t xml:space="preserve"> may be able to generate electronic labels</w:t>
      </w:r>
      <w:r w:rsidR="00806611" w:rsidRPr="00986CFD">
        <w:t>.</w:t>
      </w:r>
      <w:r w:rsidRPr="00986CFD">
        <w:t xml:space="preserve"> </w:t>
      </w:r>
      <w:r w:rsidR="00806611" w:rsidRPr="00986CFD">
        <w:t>Below</w:t>
      </w:r>
      <w:r w:rsidRPr="00986CFD">
        <w:t xml:space="preserve"> is a suggested method of pre</w:t>
      </w:r>
      <w:r w:rsidR="00695805" w:rsidRPr="00986CFD">
        <w:t>-</w:t>
      </w:r>
      <w:r w:rsidRPr="00986CFD">
        <w:t xml:space="preserve">populating information from the electronic record </w:t>
      </w:r>
      <w:r w:rsidR="00461555" w:rsidRPr="00986CFD">
        <w:t>to generate</w:t>
      </w:r>
      <w:r w:rsidRPr="00986CFD">
        <w:t xml:space="preserve"> user-applied labels that meet the minimum requirements of the Labelling Standard</w:t>
      </w:r>
      <w:r w:rsidR="00695805" w:rsidRPr="00986CFD">
        <w:t>.</w:t>
      </w:r>
      <w:r w:rsidRPr="00986CFD">
        <w:t xml:space="preserve"> </w:t>
      </w:r>
    </w:p>
    <w:p w14:paraId="163FA256" w14:textId="77777777" w:rsidR="00D803EF" w:rsidRDefault="00D803EF" w:rsidP="00F55AD9">
      <w:pPr>
        <w:pStyle w:val="Heading3"/>
      </w:pPr>
      <w:bookmarkStart w:id="15" w:name="_Toc465432504"/>
      <w:bookmarkStart w:id="16" w:name="_Toc499035745"/>
      <w:r w:rsidRPr="00245840">
        <w:t>Label preparation</w:t>
      </w:r>
      <w:bookmarkEnd w:id="15"/>
      <w:bookmarkEnd w:id="16"/>
    </w:p>
    <w:p w14:paraId="0FA81FCE" w14:textId="3FD8DE3A" w:rsidR="00DC601F" w:rsidRPr="00A75E1B" w:rsidRDefault="00DC601F" w:rsidP="00A75E1B">
      <w:pPr>
        <w:rPr>
          <w:rFonts w:ascii="Times New Roman" w:hAnsi="Times New Roman"/>
          <w:b/>
          <w:sz w:val="24"/>
        </w:rPr>
      </w:pPr>
      <w:r>
        <w:rPr>
          <w:lang w:val="en-AU" w:eastAsia="en-AU"/>
        </w:rPr>
        <w:t>The label is prepared as follows:</w:t>
      </w:r>
    </w:p>
    <w:p w14:paraId="2243719F" w14:textId="63EFF221" w:rsidR="002A7873" w:rsidRPr="00D803EF" w:rsidRDefault="00D258ED" w:rsidP="00D258ED">
      <w:pPr>
        <w:pStyle w:val="NumberList"/>
        <w:rPr>
          <w:rFonts w:eastAsia="Calibri"/>
        </w:rPr>
      </w:pPr>
      <w:r>
        <w:rPr>
          <w:rFonts w:eastAsia="Calibri"/>
        </w:rPr>
        <w:t>1.</w:t>
      </w:r>
      <w:r>
        <w:rPr>
          <w:rFonts w:eastAsia="Calibri"/>
        </w:rPr>
        <w:tab/>
      </w:r>
      <w:r w:rsidR="002A7873" w:rsidRPr="00D803EF">
        <w:rPr>
          <w:rFonts w:eastAsia="Calibri"/>
        </w:rPr>
        <w:t>A pre</w:t>
      </w:r>
      <w:r w:rsidR="00695805">
        <w:rPr>
          <w:rFonts w:eastAsia="Calibri"/>
        </w:rPr>
        <w:t>-</w:t>
      </w:r>
      <w:r w:rsidR="002A7873" w:rsidRPr="00D803EF">
        <w:rPr>
          <w:rFonts w:eastAsia="Calibri"/>
        </w:rPr>
        <w:t>populated label is generated by the electronic prescription order</w:t>
      </w:r>
      <w:r w:rsidR="00EF2F41" w:rsidRPr="00D803EF">
        <w:rPr>
          <w:rFonts w:eastAsia="Calibri"/>
        </w:rPr>
        <w:t xml:space="preserve"> </w:t>
      </w:r>
      <w:r w:rsidR="00C144A3">
        <w:rPr>
          <w:rFonts w:eastAsia="Calibri"/>
        </w:rPr>
        <w:t xml:space="preserve">(Figure </w:t>
      </w:r>
      <w:r w:rsidR="00461555">
        <w:rPr>
          <w:rFonts w:eastAsia="Calibri"/>
        </w:rPr>
        <w:t>2.2</w:t>
      </w:r>
      <w:r w:rsidR="00C144A3">
        <w:rPr>
          <w:rFonts w:eastAsia="Calibri"/>
        </w:rPr>
        <w:t xml:space="preserve">) </w:t>
      </w:r>
      <w:r w:rsidR="00EF2F41" w:rsidRPr="00D803EF">
        <w:rPr>
          <w:rFonts w:eastAsia="Calibri"/>
        </w:rPr>
        <w:t xml:space="preserve">and </w:t>
      </w:r>
      <w:r w:rsidR="002A7873" w:rsidRPr="00D803EF">
        <w:rPr>
          <w:rFonts w:eastAsia="Calibri"/>
        </w:rPr>
        <w:t>includes</w:t>
      </w:r>
      <w:r w:rsidR="00461555">
        <w:rPr>
          <w:rFonts w:eastAsia="Calibri"/>
        </w:rPr>
        <w:t>:</w:t>
      </w:r>
    </w:p>
    <w:p w14:paraId="106A92F8" w14:textId="103A072D" w:rsidR="000F41F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 xml:space="preserve">Route of administration </w:t>
      </w:r>
    </w:p>
    <w:p w14:paraId="6394DC07" w14:textId="1D32110E" w:rsidR="002A787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Patient names (given and family names)</w:t>
      </w:r>
    </w:p>
    <w:p w14:paraId="60C9F1A0" w14:textId="63424CAE" w:rsidR="000F41F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Patient identifier (ID) (</w:t>
      </w:r>
      <w:r w:rsidR="00986CFD">
        <w:rPr>
          <w:rFonts w:eastAsia="Calibri"/>
        </w:rPr>
        <w:t>for example, a</w:t>
      </w:r>
      <w:r w:rsidRPr="00EF2F41">
        <w:rPr>
          <w:rFonts w:eastAsia="Calibri"/>
        </w:rPr>
        <w:t xml:space="preserve"> medical record number)</w:t>
      </w:r>
    </w:p>
    <w:p w14:paraId="3E477558" w14:textId="36119A78" w:rsidR="000F41F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Patient date of birth (DOB)</w:t>
      </w:r>
    </w:p>
    <w:p w14:paraId="566D923A" w14:textId="5C5FC196" w:rsidR="000F41F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 xml:space="preserve">Active ingredient (medicine/s) added to bag or </w:t>
      </w:r>
      <w:r w:rsidR="00C90CDD" w:rsidRPr="00EF2F41">
        <w:rPr>
          <w:rFonts w:eastAsia="Calibri"/>
        </w:rPr>
        <w:t>syringe</w:t>
      </w:r>
    </w:p>
    <w:p w14:paraId="448F8C11" w14:textId="60928915" w:rsidR="002A787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Amount of medicine/s added (including units)</w:t>
      </w:r>
      <w:r w:rsidR="002A7873" w:rsidRPr="00EF2F41">
        <w:rPr>
          <w:rFonts w:eastAsia="Calibri"/>
        </w:rPr>
        <w:t xml:space="preserve"> </w:t>
      </w:r>
    </w:p>
    <w:p w14:paraId="51FD4F93" w14:textId="70A1D28D" w:rsidR="000F41F3" w:rsidRPr="00EF2F41" w:rsidRDefault="000F41F3" w:rsidP="00245840">
      <w:pPr>
        <w:pStyle w:val="Bullet"/>
        <w:numPr>
          <w:ilvl w:val="0"/>
          <w:numId w:val="40"/>
        </w:numPr>
        <w:spacing w:after="100" w:afterAutospacing="1"/>
        <w:ind w:left="714" w:hanging="357"/>
        <w:rPr>
          <w:rFonts w:eastAsia="Calibri"/>
        </w:rPr>
      </w:pPr>
      <w:r w:rsidRPr="00EF2F41">
        <w:rPr>
          <w:rFonts w:eastAsia="Calibri"/>
        </w:rPr>
        <w:t>Total volume of fluid (mL) in bag or syringe</w:t>
      </w:r>
    </w:p>
    <w:p w14:paraId="1698FD60" w14:textId="1C9D9D44" w:rsidR="00AE20E3" w:rsidRDefault="002A7873" w:rsidP="00B40E91">
      <w:pPr>
        <w:pStyle w:val="Bullet"/>
        <w:numPr>
          <w:ilvl w:val="0"/>
          <w:numId w:val="40"/>
        </w:numPr>
        <w:spacing w:after="100" w:afterAutospacing="1"/>
        <w:ind w:left="714" w:hanging="357"/>
        <w:rPr>
          <w:rFonts w:eastAsia="Calibri"/>
        </w:rPr>
      </w:pPr>
      <w:r w:rsidRPr="00AE20E3">
        <w:rPr>
          <w:rFonts w:eastAsia="Calibri"/>
        </w:rPr>
        <w:t xml:space="preserve">Concentration </w:t>
      </w:r>
      <w:r w:rsidR="000F41F3" w:rsidRPr="00AE20E3">
        <w:rPr>
          <w:rFonts w:eastAsia="Calibri"/>
        </w:rPr>
        <w:t>(units/mL)</w:t>
      </w:r>
    </w:p>
    <w:p w14:paraId="6B3EDE92" w14:textId="65A70C32" w:rsidR="00AE20E3" w:rsidRPr="00F6591A" w:rsidRDefault="00245840" w:rsidP="00B40E91">
      <w:pPr>
        <w:pStyle w:val="Bullet"/>
        <w:numPr>
          <w:ilvl w:val="0"/>
          <w:numId w:val="40"/>
        </w:numPr>
        <w:spacing w:after="100" w:afterAutospacing="1"/>
        <w:ind w:left="714" w:hanging="357"/>
        <w:rPr>
          <w:rFonts w:eastAsia="Calibri"/>
        </w:rPr>
      </w:pPr>
      <w:r w:rsidRPr="00AE20E3">
        <w:rPr>
          <w:rFonts w:eastAsia="Calibri"/>
        </w:rPr>
        <w:t>Diluent (for syringes: optional for bags)</w:t>
      </w:r>
    </w:p>
    <w:p w14:paraId="47708991" w14:textId="548BD9D7" w:rsidR="00806611" w:rsidRPr="00B40E91" w:rsidRDefault="00806611" w:rsidP="00B40E91">
      <w:pPr>
        <w:pStyle w:val="Bullet"/>
        <w:numPr>
          <w:ilvl w:val="0"/>
          <w:numId w:val="0"/>
        </w:numPr>
        <w:spacing w:after="100" w:afterAutospacing="1"/>
        <w:ind w:left="714"/>
        <w:rPr>
          <w:rFonts w:eastAsia="Calibri"/>
        </w:rPr>
      </w:pPr>
      <w:r w:rsidRPr="00B40E91">
        <w:rPr>
          <w:rFonts w:eastAsia="Calibri"/>
          <w:b/>
        </w:rPr>
        <w:t xml:space="preserve">Figure </w:t>
      </w:r>
      <w:r w:rsidR="008D4E2A" w:rsidRPr="00B40E91">
        <w:rPr>
          <w:rFonts w:eastAsia="Calibri"/>
          <w:b/>
        </w:rPr>
        <w:t>2.2</w:t>
      </w:r>
      <w:r w:rsidRPr="00B40E91">
        <w:rPr>
          <w:rFonts w:eastAsia="Calibri"/>
          <w:b/>
        </w:rPr>
        <w:t xml:space="preserve">: Example of pre-populated </w:t>
      </w:r>
      <w:r w:rsidR="00F6591A">
        <w:rPr>
          <w:rFonts w:eastAsia="Calibri"/>
          <w:b/>
        </w:rPr>
        <w:t xml:space="preserve">label </w:t>
      </w:r>
      <w:r w:rsidRPr="00B40E91">
        <w:rPr>
          <w:rFonts w:eastAsia="Calibri"/>
          <w:b/>
        </w:rPr>
        <w:t>for an intravenous infusion</w:t>
      </w:r>
    </w:p>
    <w:p w14:paraId="2FB11217" w14:textId="3E58EE14" w:rsidR="00D57F6D" w:rsidRPr="00986CFD" w:rsidRDefault="00D57F6D" w:rsidP="00986CFD">
      <w:pPr>
        <w:rPr>
          <w:rFonts w:eastAsia="Calibri"/>
        </w:rPr>
      </w:pPr>
      <w:r w:rsidRPr="00986CFD">
        <w:rPr>
          <w:rFonts w:eastAsia="Calibri"/>
          <w:noProof/>
          <w:lang w:val="en-AU" w:eastAsia="en-AU"/>
        </w:rPr>
        <w:drawing>
          <wp:inline distT="0" distB="0" distL="0" distR="0" wp14:anchorId="5565C8ED" wp14:editId="05353192">
            <wp:extent cx="2396067" cy="1482103"/>
            <wp:effectExtent l="0" t="0" r="4445" b="3810"/>
            <wp:docPr id="11" name="Picture 11" descr="Example of pre-populated section of label for an intravenous infusion. black text on white background, with grey border. Example label has 'For intravenous use only' the patient details, calculation for Herapin and type of diuent as sodium chloride" title="Example of pre-populated section of label for an intravenous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2.png"/>
                    <pic:cNvPicPr/>
                  </pic:nvPicPr>
                  <pic:blipFill>
                    <a:blip r:embed="rId32">
                      <a:extLst>
                        <a:ext uri="{28A0092B-C50C-407E-A947-70E740481C1C}">
                          <a14:useLocalDpi xmlns:a14="http://schemas.microsoft.com/office/drawing/2010/main" val="0"/>
                        </a:ext>
                      </a:extLst>
                    </a:blip>
                    <a:stretch>
                      <a:fillRect/>
                    </a:stretch>
                  </pic:blipFill>
                  <pic:spPr>
                    <a:xfrm>
                      <a:off x="0" y="0"/>
                      <a:ext cx="2396067" cy="1482103"/>
                    </a:xfrm>
                    <a:prstGeom prst="rect">
                      <a:avLst/>
                    </a:prstGeom>
                  </pic:spPr>
                </pic:pic>
              </a:graphicData>
            </a:graphic>
          </wp:inline>
        </w:drawing>
      </w:r>
    </w:p>
    <w:p w14:paraId="0D3A831A" w14:textId="1FA5E646" w:rsidR="00806611" w:rsidRDefault="00D258ED" w:rsidP="00B70FF5">
      <w:pPr>
        <w:pStyle w:val="NumberList"/>
        <w:rPr>
          <w:rFonts w:eastAsia="Calibri"/>
        </w:rPr>
      </w:pPr>
      <w:r>
        <w:rPr>
          <w:rFonts w:eastAsia="Calibri"/>
        </w:rPr>
        <w:lastRenderedPageBreak/>
        <w:t>2.</w:t>
      </w:r>
      <w:r>
        <w:rPr>
          <w:rFonts w:eastAsia="Calibri"/>
        </w:rPr>
        <w:tab/>
      </w:r>
      <w:r w:rsidR="00D803EF">
        <w:rPr>
          <w:rFonts w:eastAsia="Calibri"/>
        </w:rPr>
        <w:t>The l</w:t>
      </w:r>
      <w:r w:rsidR="002A7873" w:rsidRPr="00D803EF">
        <w:rPr>
          <w:rFonts w:eastAsia="Calibri"/>
        </w:rPr>
        <w:t>abel</w:t>
      </w:r>
      <w:r w:rsidR="00D803EF">
        <w:rPr>
          <w:rFonts w:eastAsia="Calibri"/>
        </w:rPr>
        <w:t xml:space="preserve"> is</w:t>
      </w:r>
      <w:r w:rsidR="002A7873" w:rsidRPr="00D803EF">
        <w:rPr>
          <w:rFonts w:eastAsia="Calibri"/>
        </w:rPr>
        <w:t xml:space="preserve"> printed and placed in </w:t>
      </w:r>
      <w:r w:rsidR="00461555">
        <w:rPr>
          <w:rFonts w:eastAsia="Calibri"/>
        </w:rPr>
        <w:t xml:space="preserve">the </w:t>
      </w:r>
      <w:r w:rsidR="00EF2F41" w:rsidRPr="00D803EF">
        <w:rPr>
          <w:rFonts w:eastAsia="Calibri"/>
        </w:rPr>
        <w:t xml:space="preserve">centre of </w:t>
      </w:r>
      <w:r w:rsidR="00461555">
        <w:rPr>
          <w:rFonts w:eastAsia="Calibri"/>
        </w:rPr>
        <w:t xml:space="preserve">the </w:t>
      </w:r>
      <w:r w:rsidR="00EF2F41" w:rsidRPr="00D803EF">
        <w:rPr>
          <w:rFonts w:eastAsia="Calibri"/>
        </w:rPr>
        <w:t>route container label</w:t>
      </w:r>
      <w:r w:rsidR="00806611">
        <w:rPr>
          <w:rFonts w:eastAsia="Calibri"/>
        </w:rPr>
        <w:t xml:space="preserve"> (Figure </w:t>
      </w:r>
      <w:r w:rsidR="008D4E2A">
        <w:rPr>
          <w:rFonts w:eastAsia="Calibri"/>
        </w:rPr>
        <w:t>2.3</w:t>
      </w:r>
      <w:r w:rsidR="00806611">
        <w:rPr>
          <w:rFonts w:eastAsia="Calibri"/>
        </w:rPr>
        <w:t>), and</w:t>
      </w:r>
      <w:r w:rsidR="00D803EF">
        <w:rPr>
          <w:rFonts w:eastAsia="Calibri"/>
        </w:rPr>
        <w:t xml:space="preserve"> </w:t>
      </w:r>
      <w:r w:rsidR="00806611">
        <w:rPr>
          <w:rFonts w:eastAsia="Calibri"/>
        </w:rPr>
        <w:t>t</w:t>
      </w:r>
      <w:r w:rsidR="00D803EF">
        <w:rPr>
          <w:rFonts w:eastAsia="Calibri"/>
        </w:rPr>
        <w:t>he r</w:t>
      </w:r>
      <w:r w:rsidR="00D803EF" w:rsidRPr="00D803EF">
        <w:rPr>
          <w:rFonts w:eastAsia="Calibri"/>
        </w:rPr>
        <w:t xml:space="preserve">oute populated with label printing is double checked against </w:t>
      </w:r>
      <w:r w:rsidR="00D803EF">
        <w:rPr>
          <w:rFonts w:eastAsia="Calibri"/>
        </w:rPr>
        <w:t xml:space="preserve">the </w:t>
      </w:r>
      <w:r w:rsidR="00D803EF" w:rsidRPr="00D803EF">
        <w:rPr>
          <w:rFonts w:eastAsia="Calibri"/>
        </w:rPr>
        <w:t>route</w:t>
      </w:r>
      <w:r w:rsidR="00D803EF">
        <w:rPr>
          <w:rFonts w:eastAsia="Calibri"/>
        </w:rPr>
        <w:t xml:space="preserve"> container</w:t>
      </w:r>
      <w:r w:rsidR="00D803EF" w:rsidRPr="00D803EF">
        <w:rPr>
          <w:rFonts w:eastAsia="Calibri"/>
        </w:rPr>
        <w:t xml:space="preserve"> label selected</w:t>
      </w:r>
    </w:p>
    <w:p w14:paraId="22E512D6" w14:textId="04B09993" w:rsidR="00245840" w:rsidRDefault="00806611" w:rsidP="00A75E1B">
      <w:pPr>
        <w:pStyle w:val="FigureName"/>
        <w:rPr>
          <w:rFonts w:eastAsia="Calibri"/>
        </w:rPr>
      </w:pPr>
      <w:r w:rsidRPr="00C61FB4">
        <w:rPr>
          <w:rFonts w:eastAsia="Calibri"/>
        </w:rPr>
        <w:t xml:space="preserve">Figure </w:t>
      </w:r>
      <w:r w:rsidR="008D4E2A">
        <w:rPr>
          <w:rFonts w:eastAsia="Calibri"/>
        </w:rPr>
        <w:t>2.3</w:t>
      </w:r>
      <w:r w:rsidR="00405F50">
        <w:rPr>
          <w:rFonts w:eastAsia="Calibri"/>
        </w:rPr>
        <w:t>:</w:t>
      </w:r>
      <w:r w:rsidR="00405F50">
        <w:rPr>
          <w:rFonts w:eastAsia="Calibri"/>
        </w:rPr>
        <w:tab/>
      </w:r>
      <w:r w:rsidRPr="00C61FB4">
        <w:rPr>
          <w:rFonts w:eastAsia="Calibri"/>
        </w:rPr>
        <w:t>Example of pre</w:t>
      </w:r>
      <w:r>
        <w:rPr>
          <w:rFonts w:eastAsia="Calibri"/>
        </w:rPr>
        <w:t>-</w:t>
      </w:r>
      <w:r w:rsidRPr="00C61FB4">
        <w:rPr>
          <w:rFonts w:eastAsia="Calibri"/>
        </w:rPr>
        <w:t>populated section of label applied to the intravenous route container label</w:t>
      </w:r>
    </w:p>
    <w:p w14:paraId="65ED6EBD" w14:textId="77777777" w:rsidR="00AE20E3" w:rsidRDefault="00D57F6D" w:rsidP="00D258ED">
      <w:pPr>
        <w:pStyle w:val="NumberList"/>
        <w:rPr>
          <w:rFonts w:eastAsia="Calibri"/>
        </w:rPr>
      </w:pPr>
      <w:r w:rsidRPr="00986CFD">
        <w:rPr>
          <w:rFonts w:eastAsia="Calibri"/>
          <w:noProof/>
        </w:rPr>
        <w:drawing>
          <wp:inline distT="0" distB="0" distL="0" distR="0" wp14:anchorId="515B3AAE" wp14:editId="6BB865BB">
            <wp:extent cx="3172504" cy="2628900"/>
            <wp:effectExtent l="0" t="0" r="8890" b="0"/>
            <wp:docPr id="12" name="Picture 12" descr="Example of pre-populated section of label applied to the intravenous route container label. Black text on blue and white background, with blue and black hatched border. label has 'For IntraVENOUS Use Only' twice at the top,  the patient details, calculation for Herapin and type of diuent as sodium chloride. The bottom of the sticker has space to record date, prepared by, time and checked by." title="Example of pre-populated section of label applied to the intravenous rout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3.png"/>
                    <pic:cNvPicPr/>
                  </pic:nvPicPr>
                  <pic:blipFill>
                    <a:blip r:embed="rId33">
                      <a:extLst>
                        <a:ext uri="{28A0092B-C50C-407E-A947-70E740481C1C}">
                          <a14:useLocalDpi xmlns:a14="http://schemas.microsoft.com/office/drawing/2010/main" val="0"/>
                        </a:ext>
                      </a:extLst>
                    </a:blip>
                    <a:stretch>
                      <a:fillRect/>
                    </a:stretch>
                  </pic:blipFill>
                  <pic:spPr>
                    <a:xfrm>
                      <a:off x="0" y="0"/>
                      <a:ext cx="3181907" cy="2636692"/>
                    </a:xfrm>
                    <a:prstGeom prst="rect">
                      <a:avLst/>
                    </a:prstGeom>
                  </pic:spPr>
                </pic:pic>
              </a:graphicData>
            </a:graphic>
          </wp:inline>
        </w:drawing>
      </w:r>
    </w:p>
    <w:p w14:paraId="6E847F87" w14:textId="60BE317C" w:rsidR="00D803EF" w:rsidRDefault="00D258ED" w:rsidP="00D258ED">
      <w:pPr>
        <w:pStyle w:val="NumberList"/>
        <w:rPr>
          <w:rFonts w:eastAsia="Calibri"/>
        </w:rPr>
      </w:pPr>
      <w:r>
        <w:rPr>
          <w:rFonts w:eastAsia="Calibri"/>
        </w:rPr>
        <w:t>3.</w:t>
      </w:r>
      <w:r>
        <w:rPr>
          <w:rFonts w:eastAsia="Calibri"/>
        </w:rPr>
        <w:tab/>
      </w:r>
      <w:r w:rsidR="00D803EF" w:rsidRPr="00D803EF">
        <w:rPr>
          <w:rFonts w:eastAsia="Calibri"/>
        </w:rPr>
        <w:t>T</w:t>
      </w:r>
      <w:r w:rsidR="00EF2F41" w:rsidRPr="00D803EF">
        <w:rPr>
          <w:rFonts w:eastAsia="Calibri"/>
        </w:rPr>
        <w:t xml:space="preserve">he medicine is drawn up from the </w:t>
      </w:r>
      <w:r w:rsidR="002A7873" w:rsidRPr="00D803EF">
        <w:rPr>
          <w:rFonts w:eastAsia="Calibri"/>
        </w:rPr>
        <w:t xml:space="preserve">original </w:t>
      </w:r>
      <w:r w:rsidR="00EF2F41" w:rsidRPr="00D803EF">
        <w:rPr>
          <w:rFonts w:eastAsia="Calibri"/>
        </w:rPr>
        <w:t xml:space="preserve">medicine </w:t>
      </w:r>
      <w:r w:rsidR="002A7873" w:rsidRPr="00D803EF">
        <w:rPr>
          <w:rFonts w:eastAsia="Calibri"/>
        </w:rPr>
        <w:t>container</w:t>
      </w:r>
      <w:r w:rsidR="00EF2F41" w:rsidRPr="00D803EF">
        <w:rPr>
          <w:rFonts w:eastAsia="Calibri"/>
        </w:rPr>
        <w:t xml:space="preserve"> </w:t>
      </w:r>
      <w:r w:rsidR="00D803EF" w:rsidRPr="00D803EF">
        <w:rPr>
          <w:rFonts w:eastAsia="Calibri"/>
        </w:rPr>
        <w:t xml:space="preserve">and </w:t>
      </w:r>
      <w:r w:rsidR="00EF2F41" w:rsidRPr="00D803EF">
        <w:rPr>
          <w:rFonts w:eastAsia="Calibri"/>
        </w:rPr>
        <w:t>cross</w:t>
      </w:r>
      <w:r w:rsidR="00461555">
        <w:rPr>
          <w:rFonts w:eastAsia="Calibri"/>
        </w:rPr>
        <w:t>-</w:t>
      </w:r>
      <w:r w:rsidR="00EF2F41" w:rsidRPr="00D803EF">
        <w:rPr>
          <w:rFonts w:eastAsia="Calibri"/>
        </w:rPr>
        <w:t>checked against the prescription order and the user-applied</w:t>
      </w:r>
      <w:r w:rsidR="008A53D2">
        <w:rPr>
          <w:rFonts w:eastAsia="Calibri"/>
        </w:rPr>
        <w:t>,</w:t>
      </w:r>
      <w:r w:rsidR="00EF2F41" w:rsidRPr="00D803EF">
        <w:rPr>
          <w:rFonts w:eastAsia="Calibri"/>
        </w:rPr>
        <w:t xml:space="preserve"> pre</w:t>
      </w:r>
      <w:r w:rsidR="00695805">
        <w:rPr>
          <w:rFonts w:eastAsia="Calibri"/>
        </w:rPr>
        <w:t>-</w:t>
      </w:r>
      <w:r w:rsidR="00EF2F41" w:rsidRPr="00D803EF">
        <w:rPr>
          <w:rFonts w:eastAsia="Calibri"/>
        </w:rPr>
        <w:t>populated label</w:t>
      </w:r>
      <w:r w:rsidR="00695805">
        <w:rPr>
          <w:rFonts w:eastAsia="Calibri"/>
        </w:rPr>
        <w:t>,</w:t>
      </w:r>
      <w:r w:rsidR="00EF2F41" w:rsidRPr="00D803EF">
        <w:rPr>
          <w:rFonts w:eastAsia="Calibri"/>
        </w:rPr>
        <w:t xml:space="preserve"> in the same way as if the label had been populated </w:t>
      </w:r>
      <w:r w:rsidR="002A7873" w:rsidRPr="00D803EF">
        <w:rPr>
          <w:rFonts w:eastAsia="Calibri"/>
        </w:rPr>
        <w:t xml:space="preserve">by </w:t>
      </w:r>
      <w:r w:rsidR="00EF2F41" w:rsidRPr="00D803EF">
        <w:rPr>
          <w:rFonts w:eastAsia="Calibri"/>
        </w:rPr>
        <w:t>hand</w:t>
      </w:r>
    </w:p>
    <w:p w14:paraId="6C1D45E4" w14:textId="543365DA" w:rsidR="00D803EF" w:rsidRDefault="00D258ED" w:rsidP="00D258ED">
      <w:pPr>
        <w:pStyle w:val="NumberList"/>
        <w:rPr>
          <w:rFonts w:eastAsia="Calibri"/>
        </w:rPr>
      </w:pPr>
      <w:r>
        <w:rPr>
          <w:rFonts w:eastAsia="Calibri"/>
        </w:rPr>
        <w:t>4.</w:t>
      </w:r>
      <w:r>
        <w:rPr>
          <w:rFonts w:eastAsia="Calibri"/>
        </w:rPr>
        <w:tab/>
      </w:r>
      <w:r w:rsidR="00D803EF" w:rsidRPr="00D803EF">
        <w:rPr>
          <w:rFonts w:eastAsia="Calibri"/>
        </w:rPr>
        <w:t>The label is applied to the syringe or bag</w:t>
      </w:r>
    </w:p>
    <w:p w14:paraId="3A0F32BD" w14:textId="52D72F84" w:rsidR="00D803EF" w:rsidRDefault="00D258ED" w:rsidP="00D258ED">
      <w:pPr>
        <w:pStyle w:val="NumberList"/>
        <w:rPr>
          <w:rFonts w:eastAsia="Calibri"/>
        </w:rPr>
      </w:pPr>
      <w:r>
        <w:rPr>
          <w:rFonts w:eastAsia="Calibri"/>
        </w:rPr>
        <w:t>5.</w:t>
      </w:r>
      <w:r>
        <w:rPr>
          <w:rFonts w:eastAsia="Calibri"/>
        </w:rPr>
        <w:tab/>
      </w:r>
      <w:r w:rsidR="00EF2F41" w:rsidRPr="00D803EF">
        <w:rPr>
          <w:rFonts w:eastAsia="Calibri"/>
        </w:rPr>
        <w:t>If scannin</w:t>
      </w:r>
      <w:r w:rsidR="00D803EF" w:rsidRPr="00D803EF">
        <w:rPr>
          <w:rFonts w:eastAsia="Calibri"/>
        </w:rPr>
        <w:t>g technology is available, the barcode</w:t>
      </w:r>
      <w:r w:rsidR="008A53D2">
        <w:rPr>
          <w:rFonts w:eastAsia="Calibri"/>
        </w:rPr>
        <w:t>(s)</w:t>
      </w:r>
      <w:r w:rsidR="00EF2F41" w:rsidRPr="00D803EF">
        <w:rPr>
          <w:rFonts w:eastAsia="Calibri"/>
        </w:rPr>
        <w:t xml:space="preserve"> generated on the</w:t>
      </w:r>
      <w:r w:rsidR="008A53D2" w:rsidRPr="008A53D2">
        <w:rPr>
          <w:rFonts w:eastAsia="Calibri"/>
        </w:rPr>
        <w:t xml:space="preserve"> manufacturer</w:t>
      </w:r>
      <w:r w:rsidR="00455AA9">
        <w:rPr>
          <w:rFonts w:eastAsia="Calibri"/>
        </w:rPr>
        <w:t>’</w:t>
      </w:r>
      <w:r w:rsidR="008A53D2" w:rsidRPr="008A53D2">
        <w:rPr>
          <w:rFonts w:eastAsia="Calibri"/>
        </w:rPr>
        <w:t xml:space="preserve">s original container </w:t>
      </w:r>
      <w:r w:rsidR="008A53D2">
        <w:rPr>
          <w:rFonts w:eastAsia="Calibri"/>
        </w:rPr>
        <w:t xml:space="preserve">and the </w:t>
      </w:r>
      <w:r w:rsidR="00D803EF" w:rsidRPr="00D803EF">
        <w:rPr>
          <w:rFonts w:eastAsia="Calibri"/>
        </w:rPr>
        <w:t xml:space="preserve">user-applied </w:t>
      </w:r>
      <w:r w:rsidR="00EF2F41" w:rsidRPr="00D803EF">
        <w:rPr>
          <w:rFonts w:eastAsia="Calibri"/>
        </w:rPr>
        <w:t xml:space="preserve">label </w:t>
      </w:r>
      <w:r w:rsidR="00D803EF" w:rsidRPr="00D803EF">
        <w:rPr>
          <w:rFonts w:eastAsia="Calibri"/>
        </w:rPr>
        <w:t>may</w:t>
      </w:r>
      <w:r w:rsidR="00EF2F41" w:rsidRPr="00D803EF">
        <w:rPr>
          <w:rFonts w:eastAsia="Calibri"/>
        </w:rPr>
        <w:t xml:space="preserve"> be </w:t>
      </w:r>
      <w:r w:rsidR="00D803EF" w:rsidRPr="00D803EF">
        <w:rPr>
          <w:rFonts w:eastAsia="Calibri"/>
        </w:rPr>
        <w:t>cross</w:t>
      </w:r>
      <w:r w:rsidR="00461555">
        <w:rPr>
          <w:rFonts w:eastAsia="Calibri"/>
        </w:rPr>
        <w:t>-</w:t>
      </w:r>
      <w:r w:rsidR="00D803EF" w:rsidRPr="00D803EF">
        <w:rPr>
          <w:rFonts w:eastAsia="Calibri"/>
        </w:rPr>
        <w:t>checked against</w:t>
      </w:r>
      <w:r w:rsidR="008A53D2">
        <w:rPr>
          <w:rFonts w:eastAsia="Calibri"/>
        </w:rPr>
        <w:t xml:space="preserve"> the electronic prescription order</w:t>
      </w:r>
    </w:p>
    <w:p w14:paraId="741A60B0" w14:textId="2446B432" w:rsidR="00D803EF" w:rsidRDefault="00D258ED" w:rsidP="00D258ED">
      <w:pPr>
        <w:pStyle w:val="NumberList"/>
        <w:rPr>
          <w:rFonts w:eastAsia="Calibri"/>
        </w:rPr>
      </w:pPr>
      <w:r>
        <w:rPr>
          <w:rFonts w:eastAsia="Calibri"/>
        </w:rPr>
        <w:t>6.</w:t>
      </w:r>
      <w:r>
        <w:rPr>
          <w:rFonts w:eastAsia="Calibri"/>
        </w:rPr>
        <w:tab/>
      </w:r>
      <w:r w:rsidR="00461555">
        <w:rPr>
          <w:rFonts w:eastAsia="Calibri"/>
        </w:rPr>
        <w:t xml:space="preserve">The </w:t>
      </w:r>
      <w:r w:rsidR="00455AA9">
        <w:rPr>
          <w:rFonts w:eastAsia="Calibri"/>
        </w:rPr>
        <w:t>‘</w:t>
      </w:r>
      <w:r w:rsidR="00D803EF" w:rsidRPr="00D803EF">
        <w:rPr>
          <w:rFonts w:eastAsia="Calibri"/>
        </w:rPr>
        <w:t>Prepared by</w:t>
      </w:r>
      <w:r w:rsidR="00455AA9">
        <w:rPr>
          <w:rFonts w:eastAsia="Calibri"/>
        </w:rPr>
        <w:t>’</w:t>
      </w:r>
      <w:r w:rsidR="00D803EF" w:rsidRPr="00D803EF">
        <w:rPr>
          <w:rFonts w:eastAsia="Calibri"/>
        </w:rPr>
        <w:t xml:space="preserve"> prompt on the route container label is hand signed and dated by the person preparing the medicine</w:t>
      </w:r>
      <w:r w:rsidR="00461555">
        <w:rPr>
          <w:rFonts w:eastAsia="Calibri"/>
        </w:rPr>
        <w:t>,</w:t>
      </w:r>
      <w:r w:rsidR="00D803EF" w:rsidRPr="00D803EF">
        <w:rPr>
          <w:rFonts w:eastAsia="Calibri"/>
        </w:rPr>
        <w:t xml:space="preserve"> and the e</w:t>
      </w:r>
      <w:r w:rsidR="002A7873" w:rsidRPr="00D803EF">
        <w:rPr>
          <w:rFonts w:eastAsia="Calibri"/>
        </w:rPr>
        <w:t xml:space="preserve">lectronic record </w:t>
      </w:r>
      <w:r w:rsidR="00461555">
        <w:rPr>
          <w:rFonts w:eastAsia="Calibri"/>
        </w:rPr>
        <w:t xml:space="preserve">is </w:t>
      </w:r>
      <w:r w:rsidR="002A7873" w:rsidRPr="00D803EF">
        <w:rPr>
          <w:rFonts w:eastAsia="Calibri"/>
        </w:rPr>
        <w:t>signed</w:t>
      </w:r>
    </w:p>
    <w:p w14:paraId="60D1D3DB" w14:textId="6D141022" w:rsidR="008A53D2" w:rsidRDefault="00D258ED" w:rsidP="008A53D2">
      <w:pPr>
        <w:pStyle w:val="NumberList"/>
        <w:rPr>
          <w:rFonts w:eastAsia="Calibri"/>
        </w:rPr>
      </w:pPr>
      <w:r>
        <w:rPr>
          <w:rFonts w:eastAsia="Calibri"/>
        </w:rPr>
        <w:t>7.</w:t>
      </w:r>
      <w:r>
        <w:rPr>
          <w:rFonts w:eastAsia="Calibri"/>
        </w:rPr>
        <w:tab/>
      </w:r>
      <w:r w:rsidR="00461555">
        <w:rPr>
          <w:rFonts w:eastAsia="Calibri"/>
        </w:rPr>
        <w:t xml:space="preserve">The </w:t>
      </w:r>
      <w:r w:rsidR="00455AA9">
        <w:rPr>
          <w:rFonts w:eastAsia="Calibri"/>
        </w:rPr>
        <w:t>‘</w:t>
      </w:r>
      <w:r w:rsidR="00D803EF" w:rsidRPr="00D803EF">
        <w:rPr>
          <w:rFonts w:eastAsia="Calibri"/>
        </w:rPr>
        <w:t>Checked by</w:t>
      </w:r>
      <w:r w:rsidR="00455AA9">
        <w:rPr>
          <w:rFonts w:eastAsia="Calibri"/>
        </w:rPr>
        <w:t>’</w:t>
      </w:r>
      <w:r w:rsidR="00D803EF" w:rsidRPr="00D803EF">
        <w:rPr>
          <w:rFonts w:eastAsia="Calibri"/>
        </w:rPr>
        <w:t xml:space="preserve"> prompt on the route container label is hand signed and dated by the person checking the </w:t>
      </w:r>
      <w:r w:rsidR="00DC601F">
        <w:rPr>
          <w:rFonts w:eastAsia="Calibri"/>
        </w:rPr>
        <w:t xml:space="preserve">preparation of the </w:t>
      </w:r>
      <w:r w:rsidR="00D803EF" w:rsidRPr="00D803EF">
        <w:rPr>
          <w:rFonts w:eastAsia="Calibri"/>
        </w:rPr>
        <w:t>medicine</w:t>
      </w:r>
      <w:r w:rsidR="00461555">
        <w:rPr>
          <w:rFonts w:eastAsia="Calibri"/>
        </w:rPr>
        <w:t>,</w:t>
      </w:r>
      <w:r w:rsidR="00D803EF" w:rsidRPr="00D803EF">
        <w:rPr>
          <w:rFonts w:eastAsia="Calibri"/>
        </w:rPr>
        <w:t xml:space="preserve"> and the electronic record </w:t>
      </w:r>
      <w:r w:rsidR="00461555">
        <w:rPr>
          <w:rFonts w:eastAsia="Calibri"/>
        </w:rPr>
        <w:t xml:space="preserve">is </w:t>
      </w:r>
      <w:r w:rsidR="00D803EF" w:rsidRPr="00D803EF">
        <w:rPr>
          <w:rFonts w:eastAsia="Calibri"/>
        </w:rPr>
        <w:t>signed</w:t>
      </w:r>
    </w:p>
    <w:p w14:paraId="0F4738A8" w14:textId="50C12969" w:rsidR="00C90CDD" w:rsidRDefault="008A53D2" w:rsidP="008A53D2">
      <w:pPr>
        <w:pStyle w:val="NumberList"/>
        <w:rPr>
          <w:rFonts w:eastAsia="Calibri" w:cs="Arial"/>
          <w:szCs w:val="22"/>
        </w:rPr>
      </w:pPr>
      <w:r>
        <w:rPr>
          <w:rFonts w:eastAsia="Calibri"/>
        </w:rPr>
        <w:t>8.</w:t>
      </w:r>
      <w:r>
        <w:rPr>
          <w:rFonts w:eastAsia="Calibri"/>
        </w:rPr>
        <w:tab/>
      </w:r>
      <w:r w:rsidRPr="008A53D2">
        <w:rPr>
          <w:rFonts w:eastAsia="Calibri" w:cs="Arial"/>
          <w:szCs w:val="22"/>
        </w:rPr>
        <w:t>If scanning technology is available at the point of administration, the barcode generated on the electronic</w:t>
      </w:r>
      <w:r>
        <w:rPr>
          <w:rFonts w:eastAsia="Calibri" w:cs="Arial"/>
          <w:szCs w:val="22"/>
        </w:rPr>
        <w:t xml:space="preserve">, user-applied </w:t>
      </w:r>
      <w:r w:rsidRPr="008A53D2">
        <w:rPr>
          <w:rFonts w:eastAsia="Calibri" w:cs="Arial"/>
          <w:szCs w:val="22"/>
        </w:rPr>
        <w:t>label may be cross-checked against the patient</w:t>
      </w:r>
      <w:r w:rsidR="00455AA9">
        <w:rPr>
          <w:rFonts w:eastAsia="Calibri" w:cs="Arial"/>
          <w:szCs w:val="22"/>
        </w:rPr>
        <w:t>’</w:t>
      </w:r>
      <w:r w:rsidRPr="008A53D2">
        <w:rPr>
          <w:rFonts w:eastAsia="Calibri" w:cs="Arial"/>
          <w:szCs w:val="22"/>
        </w:rPr>
        <w:t>s identification band and the electronic prescription order.</w:t>
      </w:r>
    </w:p>
    <w:p w14:paraId="7930352F" w14:textId="571C6EBA" w:rsidR="002A7873" w:rsidRPr="002A7873" w:rsidRDefault="00C61FB4" w:rsidP="00D258ED">
      <w:pPr>
        <w:rPr>
          <w:rFonts w:eastAsia="Calibri"/>
        </w:rPr>
      </w:pPr>
      <w:r>
        <w:rPr>
          <w:rFonts w:eastAsia="Calibri"/>
        </w:rPr>
        <w:t>R</w:t>
      </w:r>
      <w:r w:rsidR="002A7873" w:rsidRPr="002A7873">
        <w:rPr>
          <w:rFonts w:eastAsia="Calibri"/>
        </w:rPr>
        <w:t>oute labels with</w:t>
      </w:r>
      <w:r w:rsidR="00C144A3">
        <w:rPr>
          <w:rFonts w:eastAsia="Calibri"/>
        </w:rPr>
        <w:t xml:space="preserve"> a</w:t>
      </w:r>
      <w:r w:rsidR="002A7873" w:rsidRPr="002A7873">
        <w:rPr>
          <w:rFonts w:eastAsia="Calibri"/>
        </w:rPr>
        <w:t xml:space="preserve"> white unpopulated </w:t>
      </w:r>
      <w:r w:rsidR="00C144A3">
        <w:rPr>
          <w:rFonts w:eastAsia="Calibri"/>
        </w:rPr>
        <w:t>centre a</w:t>
      </w:r>
      <w:r w:rsidR="002A7873" w:rsidRPr="002A7873">
        <w:rPr>
          <w:rFonts w:eastAsia="Calibri"/>
        </w:rPr>
        <w:t xml:space="preserve">rea </w:t>
      </w:r>
      <w:r>
        <w:rPr>
          <w:rFonts w:eastAsia="Calibri"/>
        </w:rPr>
        <w:t xml:space="preserve">could be made available to fit </w:t>
      </w:r>
      <w:r w:rsidR="002A7873" w:rsidRPr="002A7873">
        <w:rPr>
          <w:rFonts w:eastAsia="Calibri"/>
        </w:rPr>
        <w:t xml:space="preserve">label machines </w:t>
      </w:r>
      <w:r>
        <w:rPr>
          <w:rFonts w:eastAsia="Calibri"/>
        </w:rPr>
        <w:t>and the pre</w:t>
      </w:r>
      <w:r w:rsidR="00695805">
        <w:rPr>
          <w:rFonts w:eastAsia="Calibri"/>
        </w:rPr>
        <w:t>-</w:t>
      </w:r>
      <w:r>
        <w:rPr>
          <w:rFonts w:eastAsia="Calibri"/>
        </w:rPr>
        <w:t>populated information</w:t>
      </w:r>
      <w:r w:rsidR="00461555">
        <w:rPr>
          <w:rFonts w:eastAsia="Calibri"/>
        </w:rPr>
        <w:t xml:space="preserve"> could be</w:t>
      </w:r>
      <w:r>
        <w:rPr>
          <w:rFonts w:eastAsia="Calibri"/>
        </w:rPr>
        <w:t xml:space="preserve"> printed directly onto the route container label.</w:t>
      </w:r>
      <w:r w:rsidR="002A7873" w:rsidRPr="002A7873">
        <w:rPr>
          <w:rFonts w:eastAsia="Calibri"/>
        </w:rPr>
        <w:t xml:space="preserve"> </w:t>
      </w:r>
      <w:r>
        <w:rPr>
          <w:rFonts w:eastAsia="Calibri"/>
        </w:rPr>
        <w:t xml:space="preserve">However, this would </w:t>
      </w:r>
      <w:r w:rsidR="00461555">
        <w:rPr>
          <w:rFonts w:eastAsia="Calibri"/>
        </w:rPr>
        <w:t xml:space="preserve">require </w:t>
      </w:r>
      <w:r>
        <w:rPr>
          <w:rFonts w:eastAsia="Calibri"/>
        </w:rPr>
        <w:t xml:space="preserve">either </w:t>
      </w:r>
      <w:r w:rsidR="002A7873" w:rsidRPr="002A7873">
        <w:rPr>
          <w:rFonts w:eastAsia="Calibri"/>
        </w:rPr>
        <w:t xml:space="preserve">several </w:t>
      </w:r>
      <w:r>
        <w:rPr>
          <w:rFonts w:eastAsia="Calibri"/>
        </w:rPr>
        <w:t xml:space="preserve">label </w:t>
      </w:r>
      <w:r w:rsidR="002A7873" w:rsidRPr="002A7873">
        <w:rPr>
          <w:rFonts w:eastAsia="Calibri"/>
        </w:rPr>
        <w:t xml:space="preserve">machines </w:t>
      </w:r>
      <w:r w:rsidR="00461555">
        <w:rPr>
          <w:rFonts w:eastAsia="Calibri"/>
        </w:rPr>
        <w:t>that are</w:t>
      </w:r>
      <w:r w:rsidR="002A7873" w:rsidRPr="002A7873">
        <w:rPr>
          <w:rFonts w:eastAsia="Calibri"/>
        </w:rPr>
        <w:t xml:space="preserve"> </w:t>
      </w:r>
      <w:r>
        <w:rPr>
          <w:rFonts w:eastAsia="Calibri"/>
        </w:rPr>
        <w:t>loaded with labels for different routes</w:t>
      </w:r>
      <w:r w:rsidR="00461555">
        <w:rPr>
          <w:rFonts w:eastAsia="Calibri"/>
        </w:rPr>
        <w:t>,</w:t>
      </w:r>
      <w:r>
        <w:rPr>
          <w:rFonts w:eastAsia="Calibri"/>
        </w:rPr>
        <w:t xml:space="preserve"> </w:t>
      </w:r>
      <w:r w:rsidR="002A7873" w:rsidRPr="002A7873">
        <w:rPr>
          <w:rFonts w:eastAsia="Calibri"/>
        </w:rPr>
        <w:t xml:space="preserve">or </w:t>
      </w:r>
      <w:r w:rsidR="00461555">
        <w:rPr>
          <w:rFonts w:eastAsia="Calibri"/>
        </w:rPr>
        <w:t xml:space="preserve">changing of </w:t>
      </w:r>
      <w:r w:rsidR="002A7873" w:rsidRPr="002A7873">
        <w:rPr>
          <w:rFonts w:eastAsia="Calibri"/>
        </w:rPr>
        <w:t>lab</w:t>
      </w:r>
      <w:r w:rsidR="00C144A3">
        <w:rPr>
          <w:rFonts w:eastAsia="Calibri"/>
        </w:rPr>
        <w:t xml:space="preserve">el rolls </w:t>
      </w:r>
      <w:r w:rsidR="00461555">
        <w:rPr>
          <w:rFonts w:eastAsia="Calibri"/>
        </w:rPr>
        <w:t>within a single machine</w:t>
      </w:r>
      <w:r w:rsidR="00C144A3">
        <w:rPr>
          <w:rFonts w:eastAsia="Calibri"/>
        </w:rPr>
        <w:t>.</w:t>
      </w:r>
    </w:p>
    <w:p w14:paraId="49753E7D" w14:textId="6E904B53" w:rsidR="002A7873" w:rsidRDefault="00C61FB4" w:rsidP="00D258ED">
      <w:pPr>
        <w:rPr>
          <w:rFonts w:eastAsia="Calibri"/>
        </w:rPr>
      </w:pPr>
      <w:r>
        <w:rPr>
          <w:rFonts w:eastAsia="Calibri"/>
        </w:rPr>
        <w:t>Examples of other route</w:t>
      </w:r>
      <w:r w:rsidR="00245840">
        <w:rPr>
          <w:rFonts w:eastAsia="Calibri"/>
        </w:rPr>
        <w:t xml:space="preserve"> container labels</w:t>
      </w:r>
      <w:r>
        <w:rPr>
          <w:rFonts w:eastAsia="Calibri"/>
        </w:rPr>
        <w:t xml:space="preserve"> are shown </w:t>
      </w:r>
      <w:r w:rsidR="00461555">
        <w:rPr>
          <w:rFonts w:eastAsia="Calibri"/>
        </w:rPr>
        <w:t>in Figures 2.4 and 2.5</w:t>
      </w:r>
      <w:r>
        <w:rPr>
          <w:rFonts w:eastAsia="Calibri"/>
        </w:rPr>
        <w:t>.</w:t>
      </w:r>
    </w:p>
    <w:p w14:paraId="2852A50F" w14:textId="02709ED7" w:rsidR="006F66E7" w:rsidRDefault="006F66E7" w:rsidP="00A75E1B">
      <w:pPr>
        <w:pStyle w:val="FigureName"/>
        <w:rPr>
          <w:rFonts w:eastAsia="Calibri"/>
        </w:rPr>
      </w:pPr>
      <w:r w:rsidRPr="00C61FB4">
        <w:rPr>
          <w:rFonts w:eastAsia="Calibri"/>
        </w:rPr>
        <w:lastRenderedPageBreak/>
        <w:t xml:space="preserve">Figure </w:t>
      </w:r>
      <w:r w:rsidR="008D4E2A">
        <w:rPr>
          <w:rFonts w:eastAsia="Calibri"/>
        </w:rPr>
        <w:t>2.4</w:t>
      </w:r>
      <w:r>
        <w:rPr>
          <w:rFonts w:eastAsia="Calibri"/>
        </w:rPr>
        <w:t>:</w:t>
      </w:r>
      <w:r>
        <w:rPr>
          <w:rFonts w:eastAsia="Calibri"/>
        </w:rPr>
        <w:tab/>
      </w:r>
      <w:r w:rsidRPr="00C61FB4">
        <w:rPr>
          <w:rFonts w:eastAsia="Calibri"/>
        </w:rPr>
        <w:t>Example of pre</w:t>
      </w:r>
      <w:r>
        <w:rPr>
          <w:rFonts w:eastAsia="Calibri"/>
        </w:rPr>
        <w:t>-</w:t>
      </w:r>
      <w:r w:rsidRPr="00C61FB4">
        <w:rPr>
          <w:rFonts w:eastAsia="Calibri"/>
        </w:rPr>
        <w:t xml:space="preserve">populated section of label applied to the </w:t>
      </w:r>
      <w:r>
        <w:rPr>
          <w:rFonts w:eastAsia="Calibri"/>
        </w:rPr>
        <w:t>epidural</w:t>
      </w:r>
      <w:r w:rsidRPr="00C61FB4">
        <w:rPr>
          <w:rFonts w:eastAsia="Calibri"/>
        </w:rPr>
        <w:t xml:space="preserve"> route container label</w:t>
      </w:r>
    </w:p>
    <w:p w14:paraId="31EB2956" w14:textId="594A2332" w:rsidR="00E94C0B" w:rsidRPr="00986CFD" w:rsidRDefault="00A75E1B" w:rsidP="00986CFD">
      <w:pPr>
        <w:rPr>
          <w:rFonts w:eastAsia="Calibri"/>
        </w:rPr>
      </w:pPr>
      <w:r>
        <w:rPr>
          <w:rFonts w:eastAsia="Calibri"/>
        </w:rPr>
        <w:t xml:space="preserve">                       </w:t>
      </w:r>
      <w:r w:rsidR="004573D8" w:rsidRPr="00986CFD">
        <w:rPr>
          <w:rFonts w:eastAsia="Calibri"/>
          <w:noProof/>
          <w:lang w:val="en-AU" w:eastAsia="en-AU"/>
        </w:rPr>
        <w:drawing>
          <wp:inline distT="0" distB="0" distL="0" distR="0" wp14:anchorId="77D4521C" wp14:editId="7AE8EA9C">
            <wp:extent cx="3707585" cy="2260600"/>
            <wp:effectExtent l="0" t="0" r="7620" b="6350"/>
            <wp:docPr id="28" name="Picture 28" descr="Example of pre-populated section of label applied to the epidural route container label -  Black text on yellow and white background, with yellow and black hatched border. label has 'For EPIDURAL Use Only' twice at the top,  the patient details, calculation for Clonidine and Levobupivacaine. The bottom of the sticker has space to record date, prepared by, time and checked by." title="Example of pre-populated section of label applied to the epidural rout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4.png"/>
                    <pic:cNvPicPr/>
                  </pic:nvPicPr>
                  <pic:blipFill rotWithShape="1">
                    <a:blip r:embed="rId34">
                      <a:extLst>
                        <a:ext uri="{28A0092B-C50C-407E-A947-70E740481C1C}">
                          <a14:useLocalDpi xmlns:a14="http://schemas.microsoft.com/office/drawing/2010/main" val="0"/>
                        </a:ext>
                      </a:extLst>
                    </a:blip>
                    <a:srcRect l="7813" t="7681" r="7683" b="6842"/>
                    <a:stretch/>
                  </pic:blipFill>
                  <pic:spPr bwMode="auto">
                    <a:xfrm>
                      <a:off x="0" y="0"/>
                      <a:ext cx="3709263" cy="2261623"/>
                    </a:xfrm>
                    <a:prstGeom prst="rect">
                      <a:avLst/>
                    </a:prstGeom>
                    <a:ln>
                      <a:noFill/>
                    </a:ln>
                    <a:extLst>
                      <a:ext uri="{53640926-AAD7-44D8-BBD7-CCE9431645EC}">
                        <a14:shadowObscured xmlns:a14="http://schemas.microsoft.com/office/drawing/2010/main"/>
                      </a:ext>
                    </a:extLst>
                  </pic:spPr>
                </pic:pic>
              </a:graphicData>
            </a:graphic>
          </wp:inline>
        </w:drawing>
      </w:r>
    </w:p>
    <w:p w14:paraId="0C3521AA" w14:textId="25FC511C" w:rsidR="00A75E1B" w:rsidRDefault="006F66E7" w:rsidP="00986CFD">
      <w:pPr>
        <w:rPr>
          <w:rFonts w:eastAsia="Calibri"/>
          <w:b/>
        </w:rPr>
      </w:pPr>
      <w:r w:rsidRPr="00A75E1B">
        <w:rPr>
          <w:rFonts w:eastAsia="Calibri"/>
          <w:b/>
        </w:rPr>
        <w:t xml:space="preserve">Figure </w:t>
      </w:r>
      <w:r w:rsidR="008D4E2A" w:rsidRPr="00A75E1B">
        <w:rPr>
          <w:rFonts w:eastAsia="Calibri"/>
          <w:b/>
        </w:rPr>
        <w:t>2.5</w:t>
      </w:r>
      <w:r w:rsidRPr="00A75E1B">
        <w:rPr>
          <w:rFonts w:eastAsia="Calibri"/>
          <w:b/>
        </w:rPr>
        <w:t>:</w:t>
      </w:r>
      <w:r w:rsidRPr="00A75E1B">
        <w:rPr>
          <w:rFonts w:eastAsia="Calibri"/>
          <w:b/>
        </w:rPr>
        <w:tab/>
        <w:t>Example of pre-populated section of label applied to the enteral route</w:t>
      </w:r>
      <w:r w:rsidR="00A75E1B">
        <w:rPr>
          <w:rFonts w:eastAsia="Calibri"/>
          <w:b/>
        </w:rPr>
        <w:t xml:space="preserve"> container label </w:t>
      </w:r>
    </w:p>
    <w:p w14:paraId="2CA051AB" w14:textId="65AAE957" w:rsidR="00E94C0B" w:rsidRPr="00986CFD" w:rsidRDefault="00A75E1B" w:rsidP="00986CFD">
      <w:pPr>
        <w:rPr>
          <w:rFonts w:eastAsia="Calibri"/>
        </w:rPr>
      </w:pPr>
      <w:r>
        <w:rPr>
          <w:rFonts w:eastAsia="Calibri"/>
        </w:rPr>
        <w:t xml:space="preserve">                       </w:t>
      </w:r>
      <w:r w:rsidR="009E2408" w:rsidRPr="00986CFD">
        <w:rPr>
          <w:noProof/>
          <w:lang w:val="en-AU" w:eastAsia="en-AU"/>
        </w:rPr>
        <w:drawing>
          <wp:inline distT="0" distB="0" distL="0" distR="0" wp14:anchorId="000905DA" wp14:editId="2F30E5C1">
            <wp:extent cx="3695700" cy="2273118"/>
            <wp:effectExtent l="0" t="0" r="0" b="0"/>
            <wp:docPr id="26" name="Picture 26" descr="Example of pre-populated section of label applied to the epidural route container label -  Black text on yellow and white background, with yellow and black hatched border. label has 'For Enteral Use Only' twice at the top,  the patient details, calculation for Paracetamol. The bottom of the sticker has space to record date, prepared by, time and checked by." title="Example of pre-populated section of label applied to the enteral rout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2.5.png"/>
                    <pic:cNvPicPr/>
                  </pic:nvPicPr>
                  <pic:blipFill rotWithShape="1">
                    <a:blip r:embed="rId35">
                      <a:extLst>
                        <a:ext uri="{28A0092B-C50C-407E-A947-70E740481C1C}">
                          <a14:useLocalDpi xmlns:a14="http://schemas.microsoft.com/office/drawing/2010/main" val="0"/>
                        </a:ext>
                      </a:extLst>
                    </a:blip>
                    <a:srcRect l="3206" t="9533" r="3510" b="9215"/>
                    <a:stretch/>
                  </pic:blipFill>
                  <pic:spPr bwMode="auto">
                    <a:xfrm>
                      <a:off x="0" y="0"/>
                      <a:ext cx="3696620" cy="2273684"/>
                    </a:xfrm>
                    <a:prstGeom prst="rect">
                      <a:avLst/>
                    </a:prstGeom>
                    <a:ln>
                      <a:noFill/>
                    </a:ln>
                    <a:extLst>
                      <a:ext uri="{53640926-AAD7-44D8-BBD7-CCE9431645EC}">
                        <a14:shadowObscured xmlns:a14="http://schemas.microsoft.com/office/drawing/2010/main"/>
                      </a:ext>
                    </a:extLst>
                  </pic:spPr>
                </pic:pic>
              </a:graphicData>
            </a:graphic>
          </wp:inline>
        </w:drawing>
      </w:r>
    </w:p>
    <w:p w14:paraId="33EEB2A2" w14:textId="20505BC8" w:rsidR="00F55AD9" w:rsidRPr="00F55AD9" w:rsidRDefault="00F55AD9" w:rsidP="00F55AD9">
      <w:pPr>
        <w:pStyle w:val="BoxText"/>
        <w:rPr>
          <w:rFonts w:eastAsia="Calibri"/>
        </w:rPr>
      </w:pPr>
      <w:r w:rsidRPr="00F55AD9">
        <w:rPr>
          <w:rFonts w:eastAsia="Calibri"/>
        </w:rPr>
        <w:t>Response: Apply EMM-generated labels to a route container label.</w:t>
      </w:r>
    </w:p>
    <w:p w14:paraId="6747B7BB" w14:textId="77777777" w:rsidR="00F55AD9" w:rsidRPr="00F55AD9" w:rsidRDefault="00F55AD9" w:rsidP="00F55AD9">
      <w:pPr>
        <w:pStyle w:val="BoxText"/>
        <w:rPr>
          <w:rFonts w:eastAsia="Calibri"/>
        </w:rPr>
      </w:pPr>
      <w:r w:rsidRPr="00F55AD9">
        <w:rPr>
          <w:rFonts w:eastAsia="Calibri"/>
        </w:rPr>
        <w:t>Reason: Increase readability of information, reduce transcription errors and introduce scanning capability.</w:t>
      </w:r>
    </w:p>
    <w:p w14:paraId="214FB883" w14:textId="6A156E58" w:rsidR="00F55AD9" w:rsidRPr="000B1947" w:rsidRDefault="00F55AD9" w:rsidP="000B1947">
      <w:pPr>
        <w:pStyle w:val="BoxText"/>
        <w:rPr>
          <w:rFonts w:eastAsia="Calibri"/>
        </w:rPr>
      </w:pPr>
      <w:r w:rsidRPr="00F55AD9">
        <w:rPr>
          <w:rFonts w:eastAsia="Calibri"/>
        </w:rPr>
        <w:t>Action: Populate route container labels either by hand or by with EMM-generated labels.</w:t>
      </w:r>
    </w:p>
    <w:p w14:paraId="64BB5453" w14:textId="019EED64" w:rsidR="00F6591A" w:rsidRDefault="00F6591A">
      <w:pPr>
        <w:spacing w:after="0"/>
        <w:rPr>
          <w:rFonts w:cs="Arial"/>
          <w:b/>
          <w:bCs/>
          <w:iCs/>
          <w:color w:val="000000"/>
          <w:sz w:val="28"/>
          <w:szCs w:val="28"/>
          <w:highlight w:val="lightGray"/>
          <w:lang w:val="en-AU" w:eastAsia="en-AU"/>
        </w:rPr>
      </w:pPr>
      <w:bookmarkStart w:id="17" w:name="_Toc465432505"/>
      <w:bookmarkStart w:id="18" w:name="_Toc499035746"/>
      <w:r>
        <w:rPr>
          <w:highlight w:val="lightGray"/>
        </w:rPr>
        <w:br w:type="page"/>
      </w:r>
    </w:p>
    <w:p w14:paraId="4F5DA9AA" w14:textId="5337147D" w:rsidR="00874E7E" w:rsidRPr="00F55AD9" w:rsidRDefault="00874E7E" w:rsidP="00F55AD9">
      <w:pPr>
        <w:pStyle w:val="Heading2"/>
        <w:rPr>
          <w:rFonts w:eastAsia="Calibri"/>
        </w:rPr>
      </w:pPr>
      <w:r w:rsidRPr="0062270D">
        <w:rPr>
          <w:highlight w:val="lightGray"/>
        </w:rPr>
        <w:lastRenderedPageBreak/>
        <w:t>I</w:t>
      </w:r>
      <w:r>
        <w:rPr>
          <w:highlight w:val="lightGray"/>
        </w:rPr>
        <w:t>R 3: Variation of colour</w:t>
      </w:r>
      <w:r w:rsidR="00AD4E4D">
        <w:rPr>
          <w:highlight w:val="lightGray"/>
        </w:rPr>
        <w:t>-</w:t>
      </w:r>
      <w:r>
        <w:rPr>
          <w:highlight w:val="lightGray"/>
        </w:rPr>
        <w:t>coding in interventional cardiology</w:t>
      </w:r>
      <w:bookmarkEnd w:id="17"/>
      <w:bookmarkEnd w:id="18"/>
      <w:r>
        <w:rPr>
          <w:highlight w:val="lightGray"/>
        </w:rPr>
        <w:t xml:space="preserve"> </w:t>
      </w:r>
    </w:p>
    <w:p w14:paraId="5742CC60" w14:textId="5B5F100D" w:rsidR="00874E7E" w:rsidRDefault="00874E7E" w:rsidP="00D258ED">
      <w:r w:rsidRPr="00223848">
        <w:t>The Labelling Standard</w:t>
      </w:r>
      <w:r w:rsidRPr="00223848">
        <w:rPr>
          <w:vertAlign w:val="superscript"/>
        </w:rPr>
        <w:t>1</w:t>
      </w:r>
      <w:r w:rsidRPr="00223848">
        <w:t xml:space="preserve"> sets out the minimum requirements for labelling </w:t>
      </w:r>
      <w:r>
        <w:t>containers in closed</w:t>
      </w:r>
      <w:r w:rsidR="00461555">
        <w:t>-</w:t>
      </w:r>
      <w:r>
        <w:t>practice environments</w:t>
      </w:r>
      <w:r w:rsidR="00461555">
        <w:t>,</w:t>
      </w:r>
      <w:r>
        <w:t xml:space="preserve"> including interventional cardiology.</w:t>
      </w:r>
      <w:r w:rsidR="00A66705">
        <w:t xml:space="preserve"> An example is shown in Figure 3.1.</w:t>
      </w:r>
    </w:p>
    <w:p w14:paraId="38A7751D" w14:textId="0319D62E" w:rsidR="00874E7E" w:rsidRDefault="00790856" w:rsidP="00D258ED">
      <w:r>
        <w:t xml:space="preserve">A </w:t>
      </w:r>
      <w:r w:rsidR="00874E7E" w:rsidRPr="0075773D">
        <w:t>cardiac catheter laboratory</w:t>
      </w:r>
      <w:r w:rsidR="00874E7E">
        <w:t xml:space="preserve"> (CCL)</w:t>
      </w:r>
      <w:r w:rsidR="00874E7E" w:rsidRPr="0075773D">
        <w:t xml:space="preserve"> has undertaken a local risk assessment and requested a</w:t>
      </w:r>
      <w:r w:rsidR="00874E7E">
        <w:t xml:space="preserve"> deviation from the Labelling Standard</w:t>
      </w:r>
      <w:r w:rsidR="00874E7E" w:rsidRPr="0075773D">
        <w:t xml:space="preserve">. </w:t>
      </w:r>
      <w:r w:rsidR="009B010A">
        <w:t>Before the introduction of the Labelling Standard, this CCL used colour</w:t>
      </w:r>
      <w:r w:rsidR="00AC2589">
        <w:t>-</w:t>
      </w:r>
      <w:r w:rsidR="009B010A">
        <w:t>coding to identify syringes that were prepared and used in the CCL, but these colours were different to those specified in the Labelling Standard.</w:t>
      </w:r>
    </w:p>
    <w:p w14:paraId="0B44A524" w14:textId="1FEFB88B" w:rsidR="00874E7E" w:rsidRDefault="00874E7E" w:rsidP="00D258ED">
      <w:r>
        <w:t xml:space="preserve">Two incidents occurred </w:t>
      </w:r>
      <w:r w:rsidR="00F55AD9">
        <w:t xml:space="preserve">(Box 1) </w:t>
      </w:r>
      <w:r>
        <w:t xml:space="preserve">when </w:t>
      </w:r>
      <w:r w:rsidRPr="004749C5">
        <w:t>the</w:t>
      </w:r>
      <w:r>
        <w:t xml:space="preserve"> label</w:t>
      </w:r>
      <w:r w:rsidRPr="004749C5">
        <w:t xml:space="preserve"> manufacturer transitioned to the new labels</w:t>
      </w:r>
      <w:r>
        <w:t xml:space="preserve"> with colour</w:t>
      </w:r>
      <w:r w:rsidR="006A7EB6">
        <w:t>-</w:t>
      </w:r>
      <w:r>
        <w:t>coding</w:t>
      </w:r>
      <w:r w:rsidR="003B3657">
        <w:t>,</w:t>
      </w:r>
      <w:r w:rsidRPr="004749C5">
        <w:t xml:space="preserve"> </w:t>
      </w:r>
      <w:r w:rsidR="00AD4E4D">
        <w:t>following</w:t>
      </w:r>
      <w:r>
        <w:t xml:space="preserve"> the Labelling Standard for the sterile labels </w:t>
      </w:r>
      <w:r w:rsidRPr="004749C5">
        <w:t xml:space="preserve">used within </w:t>
      </w:r>
      <w:r>
        <w:t>the CCL.</w:t>
      </w:r>
    </w:p>
    <w:p w14:paraId="7D628760" w14:textId="4EE16898" w:rsidR="00F55AD9" w:rsidRDefault="00F55AD9" w:rsidP="00A66705">
      <w:pPr>
        <w:pStyle w:val="BoxName"/>
      </w:pPr>
      <w:r>
        <w:t>Box 1:</w:t>
      </w:r>
      <w:r>
        <w:tab/>
        <w:t>Incidents occurring after a label manufacturer transitioned to new labels</w:t>
      </w:r>
    </w:p>
    <w:p w14:paraId="6380141E" w14:textId="77777777" w:rsidR="00D258ED" w:rsidRPr="004D198F" w:rsidRDefault="00D258ED" w:rsidP="00A66705">
      <w:pPr>
        <w:pStyle w:val="BoxName"/>
      </w:pPr>
      <w:r w:rsidRPr="004D198F">
        <w:t>Incident 1</w:t>
      </w:r>
    </w:p>
    <w:p w14:paraId="4390AC06" w14:textId="22D4759B" w:rsidR="00D258ED" w:rsidRPr="002E572D" w:rsidRDefault="00D258ED" w:rsidP="00D258ED">
      <w:pPr>
        <w:pStyle w:val="BoxText"/>
      </w:pPr>
      <w:r w:rsidRPr="002E572D">
        <w:t>Radial verapamil/glyceryl trinitrate combination was injected in error in place of glyceryl trinitrate only. The patient had chest pain</w:t>
      </w:r>
      <w:r w:rsidR="009B010A">
        <w:t>,</w:t>
      </w:r>
      <w:r w:rsidRPr="002E572D">
        <w:t xml:space="preserve"> which was resolved </w:t>
      </w:r>
      <w:r w:rsidR="009B010A">
        <w:t xml:space="preserve">quickly </w:t>
      </w:r>
      <w:r w:rsidRPr="002E572D">
        <w:t>with fentanyl and T</w:t>
      </w:r>
      <w:r w:rsidR="009B010A">
        <w:t>-</w:t>
      </w:r>
      <w:r w:rsidRPr="002E572D">
        <w:t>wave inversion</w:t>
      </w:r>
      <w:r>
        <w:t>. N</w:t>
      </w:r>
      <w:r w:rsidRPr="002E572D">
        <w:t xml:space="preserve">o other adverse reactions </w:t>
      </w:r>
      <w:r>
        <w:t xml:space="preserve">were </w:t>
      </w:r>
      <w:r w:rsidRPr="002E572D">
        <w:t xml:space="preserve">noted. </w:t>
      </w:r>
    </w:p>
    <w:p w14:paraId="202435F4" w14:textId="4A87661E" w:rsidR="00D258ED" w:rsidRDefault="00D258ED" w:rsidP="00D258ED">
      <w:pPr>
        <w:pStyle w:val="BoxText"/>
      </w:pPr>
      <w:r>
        <w:t>The labels were colour</w:t>
      </w:r>
      <w:r w:rsidR="006A7EB6">
        <w:t>-</w:t>
      </w:r>
      <w:r>
        <w:t xml:space="preserve">coded </w:t>
      </w:r>
      <w:r w:rsidRPr="002E572D">
        <w:t>violet with diagonal stripes for both glyceryl trinitrate and verapamil</w:t>
      </w:r>
      <w:r w:rsidR="009B010A">
        <w:t>,</w:t>
      </w:r>
      <w:r w:rsidRPr="002E572D">
        <w:t xml:space="preserve"> and glyceryl trinitrate combination.</w:t>
      </w:r>
    </w:p>
    <w:p w14:paraId="283687F7" w14:textId="77777777" w:rsidR="00D258ED" w:rsidRPr="004D198F" w:rsidRDefault="00D258ED" w:rsidP="00D258ED">
      <w:pPr>
        <w:pStyle w:val="BoxHeading"/>
      </w:pPr>
      <w:r w:rsidRPr="004D198F">
        <w:t>Response</w:t>
      </w:r>
    </w:p>
    <w:p w14:paraId="4F0ADCA8" w14:textId="47655A86" w:rsidR="00D258ED" w:rsidRDefault="00D258ED" w:rsidP="00D258ED">
      <w:pPr>
        <w:pStyle w:val="BoxText"/>
      </w:pPr>
      <w:r>
        <w:t>Mixing medicines</w:t>
      </w:r>
      <w:r w:rsidRPr="002E572D">
        <w:t xml:space="preserve"> in the same syringe</w:t>
      </w:r>
      <w:r>
        <w:t xml:space="preserve"> is beyond the scope of the Labelling Standard</w:t>
      </w:r>
      <w:r w:rsidR="009B010A">
        <w:t>.</w:t>
      </w:r>
      <w:r>
        <w:t xml:space="preserve"> </w:t>
      </w:r>
      <w:r w:rsidR="009B010A">
        <w:t>B</w:t>
      </w:r>
      <w:r w:rsidRPr="000A1697">
        <w:t xml:space="preserve">est practice </w:t>
      </w:r>
      <w:r w:rsidR="009B010A">
        <w:t>is to</w:t>
      </w:r>
      <w:r w:rsidR="009B010A" w:rsidRPr="000A1697">
        <w:t xml:space="preserve"> </w:t>
      </w:r>
      <w:r w:rsidRPr="000A1697">
        <w:t>administer medicines</w:t>
      </w:r>
      <w:r w:rsidRPr="005D61C0">
        <w:t xml:space="preserve"> separately. Examples of labels for identifying medicines in the closed</w:t>
      </w:r>
      <w:r w:rsidR="009B010A">
        <w:t>-</w:t>
      </w:r>
      <w:r w:rsidRPr="005D61C0">
        <w:t>practice environment are shown in the Labelling Standard (</w:t>
      </w:r>
      <w:r w:rsidR="009B010A">
        <w:t xml:space="preserve">see </w:t>
      </w:r>
      <w:r w:rsidRPr="005D61C0">
        <w:t>Figure 3</w:t>
      </w:r>
      <w:r w:rsidR="009B010A">
        <w:t>.1</w:t>
      </w:r>
      <w:r w:rsidRPr="005D61C0">
        <w:t xml:space="preserve">). The only labels that are provided with two medicines in combination are those with adrenaline and a local anaesthetic to be used where the two medicines are supplied in </w:t>
      </w:r>
      <w:r w:rsidR="002911EA" w:rsidRPr="002911EA">
        <w:t>prefilled</w:t>
      </w:r>
      <w:r w:rsidR="002911EA" w:rsidRPr="005D61C0">
        <w:t xml:space="preserve"> </w:t>
      </w:r>
      <w:r w:rsidRPr="005D61C0">
        <w:t>syringes.</w:t>
      </w:r>
    </w:p>
    <w:p w14:paraId="544B2CE4" w14:textId="6CC8093C" w:rsidR="00D258ED" w:rsidRPr="004D198F" w:rsidRDefault="00D258ED" w:rsidP="00A75E1B">
      <w:pPr>
        <w:pStyle w:val="BoxName"/>
        <w:ind w:left="0" w:firstLine="0"/>
      </w:pPr>
      <w:r w:rsidRPr="004D198F">
        <w:t xml:space="preserve">Incident </w:t>
      </w:r>
      <w:r>
        <w:t>2</w:t>
      </w:r>
    </w:p>
    <w:p w14:paraId="6306065C" w14:textId="17FA3BD5" w:rsidR="00D258ED" w:rsidRPr="002E572D" w:rsidRDefault="00D258ED" w:rsidP="00194050">
      <w:pPr>
        <w:pStyle w:val="BoxText"/>
        <w:keepNext/>
      </w:pPr>
      <w:r w:rsidRPr="002E572D">
        <w:t>Lig</w:t>
      </w:r>
      <w:r>
        <w:t>nocaine 1% was drawn up from an open container</w:t>
      </w:r>
      <w:r w:rsidRPr="002E572D">
        <w:t xml:space="preserve"> and injected in </w:t>
      </w:r>
      <w:r>
        <w:t>the coronary artery instead of a</w:t>
      </w:r>
      <w:r w:rsidRPr="002E572D">
        <w:t xml:space="preserve">denosine. </w:t>
      </w:r>
      <w:r>
        <w:t>The syringe and open container</w:t>
      </w:r>
      <w:r w:rsidRPr="002E572D">
        <w:t xml:space="preserve"> were labelled appropriately. Severe coronary artery spasm resolved with </w:t>
      </w:r>
      <w:r>
        <w:t>glyceryl trinitrate</w:t>
      </w:r>
      <w:r w:rsidRPr="002E572D">
        <w:t xml:space="preserve"> and </w:t>
      </w:r>
      <w:r w:rsidR="009B010A">
        <w:t xml:space="preserve">the </w:t>
      </w:r>
      <w:r w:rsidRPr="002E572D">
        <w:t xml:space="preserve">patient </w:t>
      </w:r>
      <w:r w:rsidR="009B010A">
        <w:t xml:space="preserve">was </w:t>
      </w:r>
      <w:r w:rsidRPr="002E572D">
        <w:t>admitted overnight on telemetry to ensure no adverse outcomes.</w:t>
      </w:r>
    </w:p>
    <w:p w14:paraId="792EE7F6" w14:textId="77777777" w:rsidR="00D258ED" w:rsidRPr="00590057" w:rsidRDefault="00D258ED" w:rsidP="00D258ED">
      <w:pPr>
        <w:pStyle w:val="BoxHeading"/>
      </w:pPr>
      <w:r>
        <w:t>Response</w:t>
      </w:r>
    </w:p>
    <w:p w14:paraId="1785C1D4" w14:textId="164EA76A" w:rsidR="00D258ED" w:rsidRPr="00F059B6" w:rsidRDefault="00D258ED" w:rsidP="00D258ED">
      <w:pPr>
        <w:pStyle w:val="BoxText"/>
      </w:pPr>
      <w:r w:rsidRPr="0081546A">
        <w:t>The lignocaine and adenosine labels are different colour</w:t>
      </w:r>
      <w:r w:rsidR="009B010A">
        <w:t>s</w:t>
      </w:r>
      <w:r w:rsidRPr="0081546A">
        <w:t xml:space="preserve"> </w:t>
      </w:r>
      <w:r>
        <w:t>(lignocaine</w:t>
      </w:r>
      <w:r w:rsidR="009B010A">
        <w:t xml:space="preserve"> is</w:t>
      </w:r>
      <w:r>
        <w:t xml:space="preserve"> grey and adenosine </w:t>
      </w:r>
      <w:r w:rsidR="009B010A">
        <w:t xml:space="preserve">is </w:t>
      </w:r>
      <w:r>
        <w:t xml:space="preserve">green). The </w:t>
      </w:r>
      <w:r w:rsidRPr="0081546A">
        <w:t xml:space="preserve">error </w:t>
      </w:r>
      <w:r>
        <w:t xml:space="preserve">appears to </w:t>
      </w:r>
      <w:r w:rsidR="009B010A">
        <w:t xml:space="preserve">have occurred </w:t>
      </w:r>
      <w:r w:rsidR="002911EA">
        <w:t>during</w:t>
      </w:r>
      <w:r w:rsidR="002911EA" w:rsidRPr="0081546A">
        <w:t xml:space="preserve"> </w:t>
      </w:r>
      <w:r w:rsidRPr="0081546A">
        <w:t>process checking rather than labelling.</w:t>
      </w:r>
    </w:p>
    <w:p w14:paraId="0169A66E" w14:textId="68C69B2D" w:rsidR="00874E7E" w:rsidRDefault="006F66E7" w:rsidP="00A75E1B">
      <w:pPr>
        <w:pStyle w:val="FigureName"/>
      </w:pPr>
      <w:r w:rsidRPr="004749C5">
        <w:lastRenderedPageBreak/>
        <w:t xml:space="preserve">Figure </w:t>
      </w:r>
      <w:r w:rsidR="008D4E2A">
        <w:t>3.1</w:t>
      </w:r>
      <w:r>
        <w:t>:</w:t>
      </w:r>
      <w:r>
        <w:tab/>
      </w:r>
      <w:r w:rsidRPr="004749C5">
        <w:t xml:space="preserve">Examples of </w:t>
      </w:r>
      <w:proofErr w:type="spellStart"/>
      <w:r w:rsidRPr="004749C5">
        <w:t>preprinted</w:t>
      </w:r>
      <w:proofErr w:type="spellEnd"/>
      <w:r w:rsidRPr="004749C5">
        <w:t xml:space="preserve"> labels in cardiac catheter laboratories</w:t>
      </w:r>
    </w:p>
    <w:p w14:paraId="4D227738" w14:textId="77777777" w:rsidR="00874E7E" w:rsidRDefault="00874E7E" w:rsidP="00874E7E">
      <w:pPr>
        <w:autoSpaceDE w:val="0"/>
        <w:autoSpaceDN w:val="0"/>
        <w:adjustRightInd w:val="0"/>
        <w:spacing w:after="120"/>
        <w:rPr>
          <w:rFonts w:cs="Arial"/>
          <w:szCs w:val="22"/>
        </w:rPr>
      </w:pPr>
      <w:r>
        <w:rPr>
          <w:noProof/>
          <w:lang w:val="en-AU" w:eastAsia="en-AU"/>
        </w:rPr>
        <w:drawing>
          <wp:inline distT="0" distB="0" distL="0" distR="0" wp14:anchorId="50B178C1" wp14:editId="7BA6E3D1">
            <wp:extent cx="5194935" cy="6602732"/>
            <wp:effectExtent l="0" t="0" r="5715" b="7620"/>
            <wp:docPr id="10" name="Picture 10" descr="An example preprinted label sheet showing 62 labels that could be used in interventional cardiology. Route labels are grouped at the top of the sheet, followed by a section for non-injectable medicines, distinguished by a red watermarked St Andrew's Cross. A range of injectable medicine labels are shown in the bottom section of the sheet." title="Figure 3.1 Examples of pre-printed labels in cardiac catheter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06-04-01.jpeg"/>
                    <pic:cNvPicPr/>
                  </pic:nvPicPr>
                  <pic:blipFill>
                    <a:blip r:embed="rId36">
                      <a:extLst>
                        <a:ext uri="{28A0092B-C50C-407E-A947-70E740481C1C}">
                          <a14:useLocalDpi xmlns:a14="http://schemas.microsoft.com/office/drawing/2010/main" val="0"/>
                        </a:ext>
                      </a:extLst>
                    </a:blip>
                    <a:stretch>
                      <a:fillRect/>
                    </a:stretch>
                  </pic:blipFill>
                  <pic:spPr>
                    <a:xfrm>
                      <a:off x="0" y="0"/>
                      <a:ext cx="5219915" cy="6634482"/>
                    </a:xfrm>
                    <a:prstGeom prst="rect">
                      <a:avLst/>
                    </a:prstGeom>
                  </pic:spPr>
                </pic:pic>
              </a:graphicData>
            </a:graphic>
          </wp:inline>
        </w:drawing>
      </w:r>
    </w:p>
    <w:p w14:paraId="5D22FA2B" w14:textId="62795417" w:rsidR="00874E7E" w:rsidRPr="00F55AD9" w:rsidRDefault="00874E7E" w:rsidP="00F55AD9">
      <w:pPr>
        <w:pStyle w:val="Heading3"/>
      </w:pPr>
      <w:bookmarkStart w:id="19" w:name="_Toc465432506"/>
      <w:bookmarkStart w:id="20" w:name="_Toc499035747"/>
      <w:r w:rsidRPr="00F55AD9">
        <w:t>In summary</w:t>
      </w:r>
      <w:bookmarkEnd w:id="19"/>
      <w:bookmarkEnd w:id="20"/>
    </w:p>
    <w:p w14:paraId="21E43CC8" w14:textId="7AD9D5AB" w:rsidR="00874E7E" w:rsidRDefault="00874E7E" w:rsidP="00D258ED">
      <w:r w:rsidRPr="002E572D">
        <w:t xml:space="preserve">The </w:t>
      </w:r>
      <w:r w:rsidR="00AD4E4D">
        <w:t>main</w:t>
      </w:r>
      <w:r w:rsidR="00AD4E4D" w:rsidRPr="002E572D">
        <w:t xml:space="preserve"> </w:t>
      </w:r>
      <w:r w:rsidRPr="002E572D">
        <w:t xml:space="preserve">principle of the </w:t>
      </w:r>
      <w:r>
        <w:t xml:space="preserve">labelling convention is to provide </w:t>
      </w:r>
      <w:r w:rsidRPr="002911EA">
        <w:t>quality and safe</w:t>
      </w:r>
      <w:r>
        <w:t xml:space="preserve"> use of medicines through consistent and standardised processes, including applying standard </w:t>
      </w:r>
      <w:r w:rsidRPr="002E572D">
        <w:t>colour labels for medicines from the same class</w:t>
      </w:r>
      <w:r>
        <w:t>.</w:t>
      </w:r>
    </w:p>
    <w:p w14:paraId="03BD9D97" w14:textId="0274008A" w:rsidR="00095398" w:rsidRDefault="00874E7E" w:rsidP="00D258ED">
      <w:r>
        <w:t>Two evaluations of labels in interventional cardiology led to the inclusion of a standard set of labels for CCL and other closed</w:t>
      </w:r>
      <w:r w:rsidR="009B010A">
        <w:t>-</w:t>
      </w:r>
      <w:r>
        <w:t>practice environments</w:t>
      </w:r>
      <w:r w:rsidR="009B010A">
        <w:t xml:space="preserve"> (see</w:t>
      </w:r>
      <w:r w:rsidR="003B3657">
        <w:t>:</w:t>
      </w:r>
      <w:r>
        <w:t xml:space="preserve"> </w:t>
      </w:r>
      <w:hyperlink r:id="rId37" w:history="1">
        <w:r w:rsidR="00095398" w:rsidRPr="00095398">
          <w:rPr>
            <w:rStyle w:val="Hyperlink"/>
          </w:rPr>
          <w:t>www.safetyandquality.gov.au/our-work/medication-safety/safer-naming-labelling-and-packaging-of-medicines/national-standard-for-user-applied-labelling-of-injectable-medi</w:t>
        </w:r>
        <w:r w:rsidR="00095398" w:rsidRPr="00A75E1B">
          <w:rPr>
            <w:rStyle w:val="Hyperlink"/>
          </w:rPr>
          <w:t>cines-fluids-and-lines/label-specifications-for-specialist-clinical-areas/</w:t>
        </w:r>
      </w:hyperlink>
    </w:p>
    <w:p w14:paraId="33B2B2D2" w14:textId="19EB6ECA" w:rsidR="00804944" w:rsidRDefault="00804944" w:rsidP="00D258ED">
      <w:r w:rsidRPr="00804944">
        <w:lastRenderedPageBreak/>
        <w:t>The introduction of standardised labels was a considerable change of practice for many interventional cardiology units</w:t>
      </w:r>
      <w:r w:rsidR="009B010A">
        <w:t>,</w:t>
      </w:r>
      <w:r w:rsidRPr="00804944">
        <w:t xml:space="preserve"> and errors more commonly occur when practice is changed. </w:t>
      </w:r>
      <w:r>
        <w:t xml:space="preserve">In both evaluations, education </w:t>
      </w:r>
      <w:r w:rsidR="009B010A">
        <w:t>before introducing</w:t>
      </w:r>
      <w:r>
        <w:t xml:space="preserve"> the labels and a period of increased vigilance around processes was necessary as </w:t>
      </w:r>
      <w:r w:rsidR="00AD4E4D">
        <w:t xml:space="preserve">the workforce </w:t>
      </w:r>
      <w:r w:rsidR="009B010A">
        <w:t>became familiar with</w:t>
      </w:r>
      <w:r>
        <w:t xml:space="preserve"> the new label sets.</w:t>
      </w:r>
    </w:p>
    <w:p w14:paraId="6982F3A9" w14:textId="7806027D" w:rsidR="00874E7E" w:rsidRDefault="00874E7E" w:rsidP="00D258ED">
      <w:r>
        <w:t xml:space="preserve">However, after </w:t>
      </w:r>
      <w:r w:rsidR="00804944">
        <w:t>this period</w:t>
      </w:r>
      <w:r>
        <w:t xml:space="preserve"> the labels were well accepted</w:t>
      </w:r>
      <w:r w:rsidR="00C8179D">
        <w:t>,</w:t>
      </w:r>
      <w:r>
        <w:t xml:space="preserve"> and the benefits of using standard and consistent labels for </w:t>
      </w:r>
      <w:r w:rsidR="00AD4E4D">
        <w:t xml:space="preserve">the workforce members </w:t>
      </w:r>
      <w:r>
        <w:t>moving between areas and across facilities was an advantage.</w:t>
      </w:r>
    </w:p>
    <w:p w14:paraId="5FCA7E46" w14:textId="4B0E7953" w:rsidR="00874E7E" w:rsidRDefault="00874E7E" w:rsidP="00D258ED">
      <w:pPr>
        <w:pStyle w:val="NormalBeforeBullet"/>
      </w:pPr>
      <w:r>
        <w:t xml:space="preserve">The hospital that has raised the issues </w:t>
      </w:r>
      <w:r w:rsidR="00D6576A">
        <w:t>is</w:t>
      </w:r>
      <w:r>
        <w:t xml:space="preserve"> further evaluat</w:t>
      </w:r>
      <w:r w:rsidR="00D6576A">
        <w:t>ing</w:t>
      </w:r>
      <w:r>
        <w:t xml:space="preserve"> Labelling Standard</w:t>
      </w:r>
      <w:r w:rsidR="009B010A">
        <w:t>–</w:t>
      </w:r>
      <w:r>
        <w:t>compliant labels</w:t>
      </w:r>
      <w:r w:rsidR="009B010A">
        <w:t>.</w:t>
      </w:r>
      <w:r>
        <w:t xml:space="preserve"> </w:t>
      </w:r>
      <w:r w:rsidR="009B010A">
        <w:t>The Commission</w:t>
      </w:r>
      <w:r>
        <w:t xml:space="preserve"> encourage</w:t>
      </w:r>
      <w:r w:rsidR="009B010A">
        <w:t>s</w:t>
      </w:r>
      <w:r>
        <w:t xml:space="preserve"> other facilities to </w:t>
      </w:r>
      <w:r w:rsidR="00D6576A">
        <w:t>make regular assessments using</w:t>
      </w:r>
      <w:r>
        <w:t xml:space="preserve"> the Labelling Standard audit tools </w:t>
      </w:r>
      <w:r w:rsidR="009B010A">
        <w:t xml:space="preserve">on </w:t>
      </w:r>
      <w:r>
        <w:t>the Commission</w:t>
      </w:r>
      <w:r w:rsidR="00455AA9">
        <w:t>’</w:t>
      </w:r>
      <w:r>
        <w:t>s website</w:t>
      </w:r>
      <w:r w:rsidR="009B010A">
        <w:t>:</w:t>
      </w:r>
    </w:p>
    <w:p w14:paraId="765B2223" w14:textId="199A5DB7" w:rsidR="00874E7E" w:rsidRPr="00454D25" w:rsidRDefault="00C8179D" w:rsidP="00F55AD9">
      <w:pPr>
        <w:pStyle w:val="Bullet"/>
        <w:rPr>
          <w:rFonts w:cs="Arial"/>
          <w:color w:val="494949"/>
          <w:szCs w:val="22"/>
          <w:lang w:val="en"/>
        </w:rPr>
      </w:pPr>
      <w:r>
        <w:rPr>
          <w:rFonts w:cs="Arial"/>
          <w:szCs w:val="22"/>
          <w:lang w:val="en"/>
        </w:rPr>
        <w:t>A</w:t>
      </w:r>
      <w:r w:rsidR="00874E7E" w:rsidRPr="00454D25">
        <w:rPr>
          <w:rFonts w:cs="Arial"/>
          <w:szCs w:val="22"/>
          <w:lang w:val="en"/>
        </w:rPr>
        <w:t xml:space="preserve">udit tool user guide </w:t>
      </w:r>
      <w:hyperlink r:id="rId38" w:tgtFrame="_blank" w:history="1">
        <w:r w:rsidR="00874E7E" w:rsidRPr="00454D25">
          <w:rPr>
            <w:rFonts w:cs="Arial"/>
            <w:color w:val="0000FF"/>
            <w:szCs w:val="22"/>
            <w:u w:val="single"/>
            <w:lang w:val="en"/>
          </w:rPr>
          <w:t>(PDF 1MB)</w:t>
        </w:r>
      </w:hyperlink>
      <w:r w:rsidR="00874E7E" w:rsidRPr="00454D25">
        <w:rPr>
          <w:rFonts w:cs="Arial"/>
          <w:color w:val="494949"/>
          <w:szCs w:val="22"/>
          <w:lang w:val="en"/>
        </w:rPr>
        <w:t> </w:t>
      </w:r>
      <w:hyperlink r:id="rId39" w:history="1">
        <w:r w:rsidR="00874E7E" w:rsidRPr="00454D25">
          <w:rPr>
            <w:rFonts w:cs="Arial"/>
            <w:color w:val="0000FF"/>
            <w:szCs w:val="22"/>
            <w:u w:val="single"/>
            <w:lang w:val="en"/>
          </w:rPr>
          <w:t>(Word 1MB)</w:t>
        </w:r>
      </w:hyperlink>
      <w:r w:rsidR="00874E7E" w:rsidRPr="00454D25">
        <w:rPr>
          <w:rFonts w:cs="Arial"/>
          <w:color w:val="494949"/>
          <w:szCs w:val="22"/>
          <w:lang w:val="en"/>
        </w:rPr>
        <w:t xml:space="preserve"> </w:t>
      </w:r>
    </w:p>
    <w:p w14:paraId="21398956" w14:textId="5209E2F6" w:rsidR="00874E7E" w:rsidRPr="00454D25" w:rsidRDefault="00C8179D" w:rsidP="00F55AD9">
      <w:pPr>
        <w:pStyle w:val="Bullet"/>
        <w:rPr>
          <w:rFonts w:cs="Arial"/>
          <w:color w:val="494949"/>
          <w:szCs w:val="22"/>
          <w:lang w:val="en"/>
        </w:rPr>
      </w:pPr>
      <w:r>
        <w:rPr>
          <w:rFonts w:cs="Arial"/>
          <w:szCs w:val="22"/>
          <w:lang w:val="en"/>
        </w:rPr>
        <w:t>D</w:t>
      </w:r>
      <w:r w:rsidR="00874E7E" w:rsidRPr="00454D25">
        <w:rPr>
          <w:rFonts w:cs="Arial"/>
          <w:szCs w:val="22"/>
          <w:lang w:val="en"/>
        </w:rPr>
        <w:t xml:space="preserve">ata collection form </w:t>
      </w:r>
      <w:hyperlink r:id="rId40" w:history="1">
        <w:r w:rsidR="00874E7E" w:rsidRPr="00454D25">
          <w:rPr>
            <w:rFonts w:cs="Arial"/>
            <w:color w:val="0000FF"/>
            <w:szCs w:val="22"/>
            <w:u w:val="single"/>
            <w:lang w:val="en"/>
          </w:rPr>
          <w:t>(Excel 126KB)</w:t>
        </w:r>
      </w:hyperlink>
    </w:p>
    <w:p w14:paraId="37565C05" w14:textId="6054DB05" w:rsidR="00804944" w:rsidRPr="00D258ED" w:rsidRDefault="00C8179D" w:rsidP="00F55AD9">
      <w:pPr>
        <w:pStyle w:val="BulletLast"/>
        <w:rPr>
          <w:rFonts w:cs="Arial"/>
          <w:szCs w:val="22"/>
        </w:rPr>
      </w:pPr>
      <w:r>
        <w:rPr>
          <w:rFonts w:cs="Arial"/>
          <w:szCs w:val="22"/>
          <w:lang w:val="en"/>
        </w:rPr>
        <w:t>D</w:t>
      </w:r>
      <w:r w:rsidR="00874E7E" w:rsidRPr="00454D25">
        <w:rPr>
          <w:rFonts w:cs="Arial"/>
          <w:szCs w:val="22"/>
          <w:lang w:val="en"/>
        </w:rPr>
        <w:t xml:space="preserve">ata entry form </w:t>
      </w:r>
      <w:hyperlink r:id="rId41" w:history="1">
        <w:r w:rsidR="00874E7E" w:rsidRPr="00454D25">
          <w:rPr>
            <w:rFonts w:cs="Arial"/>
            <w:color w:val="0000FF"/>
            <w:szCs w:val="22"/>
            <w:u w:val="single"/>
            <w:lang w:val="en"/>
          </w:rPr>
          <w:t>(Excel 111KB)</w:t>
        </w:r>
      </w:hyperlink>
      <w:r>
        <w:rPr>
          <w:rFonts w:cs="Arial"/>
          <w:color w:val="0000FF"/>
          <w:szCs w:val="22"/>
          <w:u w:val="single"/>
          <w:lang w:val="en"/>
        </w:rPr>
        <w:t>.</w:t>
      </w:r>
    </w:p>
    <w:p w14:paraId="0714F301" w14:textId="2474202A" w:rsidR="00874E7E" w:rsidRPr="0026671B" w:rsidRDefault="00874E7E" w:rsidP="00D258ED">
      <w:pPr>
        <w:pStyle w:val="NormalBeforeBullet"/>
      </w:pPr>
      <w:r>
        <w:t>H</w:t>
      </w:r>
      <w:r w:rsidRPr="0026671B">
        <w:t xml:space="preserve">ospitals not implementing </w:t>
      </w:r>
      <w:r>
        <w:t>the Labelling Standard</w:t>
      </w:r>
      <w:r w:rsidRPr="0026671B">
        <w:t xml:space="preserve"> </w:t>
      </w:r>
      <w:r w:rsidR="00D6576A">
        <w:t xml:space="preserve">in interventional cardiology </w:t>
      </w:r>
      <w:r w:rsidRPr="0026671B">
        <w:t xml:space="preserve">will need to </w:t>
      </w:r>
      <w:r w:rsidR="00AD4E4D">
        <w:t xml:space="preserve">show </w:t>
      </w:r>
      <w:r>
        <w:t>how</w:t>
      </w:r>
      <w:r w:rsidR="009B010A">
        <w:t>:</w:t>
      </w:r>
      <w:r>
        <w:t xml:space="preserve"> </w:t>
      </w:r>
    </w:p>
    <w:p w14:paraId="49BB0FE8" w14:textId="032DA34F" w:rsidR="00874E7E" w:rsidRPr="00454D25" w:rsidRDefault="00C8179D" w:rsidP="00D258ED">
      <w:pPr>
        <w:pStyle w:val="Bullet"/>
      </w:pPr>
      <w:r>
        <w:t>T</w:t>
      </w:r>
      <w:r w:rsidR="009B010A">
        <w:t xml:space="preserve">he </w:t>
      </w:r>
      <w:r w:rsidR="00874E7E" w:rsidRPr="00454D25">
        <w:t xml:space="preserve">Labelling Standard risks patient safety in their </w:t>
      </w:r>
      <w:r>
        <w:t>organisation</w:t>
      </w:r>
    </w:p>
    <w:p w14:paraId="285E0702" w14:textId="663DDAA8" w:rsidR="00874E7E" w:rsidRPr="00454D25" w:rsidRDefault="00C8179D" w:rsidP="00D258ED">
      <w:pPr>
        <w:pStyle w:val="Bullet"/>
      </w:pPr>
      <w:r>
        <w:t>T</w:t>
      </w:r>
      <w:r w:rsidR="009B010A">
        <w:t xml:space="preserve">he </w:t>
      </w:r>
      <w:r>
        <w:t>organisation</w:t>
      </w:r>
      <w:r w:rsidRPr="00454D25">
        <w:t xml:space="preserve"> </w:t>
      </w:r>
      <w:r w:rsidR="00874E7E" w:rsidRPr="00454D25">
        <w:t>will produce and maintain implementation, education and evaluation resources for the non</w:t>
      </w:r>
      <w:r w:rsidR="003B3657">
        <w:t>-</w:t>
      </w:r>
      <w:r w:rsidR="00874E7E" w:rsidRPr="00454D25">
        <w:t>standard labelling substitute</w:t>
      </w:r>
    </w:p>
    <w:p w14:paraId="3A3F9565" w14:textId="4FE7B127" w:rsidR="00874E7E" w:rsidRPr="00454D25" w:rsidRDefault="00C8179D" w:rsidP="00D258ED">
      <w:pPr>
        <w:pStyle w:val="BulletLast"/>
      </w:pPr>
      <w:r>
        <w:t>T</w:t>
      </w:r>
      <w:r w:rsidR="009B010A">
        <w:t xml:space="preserve">he </w:t>
      </w:r>
      <w:r w:rsidR="00874E7E" w:rsidRPr="00454D25">
        <w:t xml:space="preserve">risk of not using the Labelling Standard will be mitigated, such as locum and agency </w:t>
      </w:r>
      <w:r>
        <w:t>workforce members</w:t>
      </w:r>
      <w:r w:rsidRPr="00454D25">
        <w:t xml:space="preserve"> </w:t>
      </w:r>
      <w:r w:rsidR="00874E7E" w:rsidRPr="00454D25">
        <w:t xml:space="preserve">moving from other </w:t>
      </w:r>
      <w:r>
        <w:t>organisations</w:t>
      </w:r>
      <w:r w:rsidR="00874E7E" w:rsidRPr="00454D25">
        <w:t>.</w:t>
      </w:r>
    </w:p>
    <w:p w14:paraId="271ABB68" w14:textId="77777777" w:rsidR="00F55AD9" w:rsidRDefault="00F55AD9" w:rsidP="00F55AD9">
      <w:pPr>
        <w:pStyle w:val="BoxText"/>
      </w:pPr>
      <w:r>
        <w:t xml:space="preserve">Response: Labelling Standard labels to be used in closed- practice environments, including interventional cardiology. </w:t>
      </w:r>
    </w:p>
    <w:p w14:paraId="47943C27" w14:textId="77777777" w:rsidR="00F55AD9" w:rsidRDefault="00F55AD9" w:rsidP="00F55AD9">
      <w:pPr>
        <w:pStyle w:val="BoxText"/>
      </w:pPr>
      <w:r>
        <w:t>Reason: To provide quality and safe use of injectable medicines through consistent and standardised processes.</w:t>
      </w:r>
    </w:p>
    <w:p w14:paraId="1CD486ED" w14:textId="77777777" w:rsidR="00F55AD9" w:rsidRDefault="00F55AD9" w:rsidP="00F55AD9">
      <w:pPr>
        <w:pStyle w:val="BoxText"/>
      </w:pPr>
      <w:r>
        <w:t>Action: Ongoing use and evaluation of labels in interventional cardiology.</w:t>
      </w:r>
    </w:p>
    <w:p w14:paraId="057701FD" w14:textId="77777777" w:rsidR="00F6591A" w:rsidRDefault="00F6591A">
      <w:pPr>
        <w:spacing w:after="0"/>
        <w:rPr>
          <w:rFonts w:cs="Arial"/>
          <w:b/>
          <w:bCs/>
          <w:iCs/>
          <w:color w:val="000000"/>
          <w:sz w:val="28"/>
          <w:szCs w:val="28"/>
          <w:highlight w:val="lightGray"/>
          <w:lang w:val="en-AU" w:eastAsia="en-AU"/>
        </w:rPr>
      </w:pPr>
      <w:bookmarkStart w:id="21" w:name="_Toc465432507"/>
      <w:bookmarkStart w:id="22" w:name="_Toc499035748"/>
      <w:r>
        <w:rPr>
          <w:highlight w:val="lightGray"/>
        </w:rPr>
        <w:br w:type="page"/>
      </w:r>
    </w:p>
    <w:p w14:paraId="70B27DD4" w14:textId="7D5A1F7D" w:rsidR="001128F1" w:rsidRPr="0062270D" w:rsidRDefault="001128F1" w:rsidP="00F55AD9">
      <w:pPr>
        <w:pStyle w:val="Heading2"/>
      </w:pPr>
      <w:r>
        <w:rPr>
          <w:highlight w:val="lightGray"/>
        </w:rPr>
        <w:lastRenderedPageBreak/>
        <w:t xml:space="preserve">IR 4: </w:t>
      </w:r>
      <w:r w:rsidR="008758E9">
        <w:rPr>
          <w:highlight w:val="lightGray"/>
        </w:rPr>
        <w:t>International h</w:t>
      </w:r>
      <w:r>
        <w:rPr>
          <w:highlight w:val="lightGray"/>
        </w:rPr>
        <w:t>armonisation of medicine names</w:t>
      </w:r>
      <w:bookmarkEnd w:id="21"/>
      <w:bookmarkEnd w:id="22"/>
      <w:r w:rsidRPr="0062270D">
        <w:rPr>
          <w:highlight w:val="lightGray"/>
        </w:rPr>
        <w:t xml:space="preserve"> </w:t>
      </w:r>
    </w:p>
    <w:p w14:paraId="0A922F32" w14:textId="77777777" w:rsidR="00CE3761" w:rsidRPr="00CE3761" w:rsidRDefault="00CE3761" w:rsidP="00D258ED">
      <w:r w:rsidRPr="00CE3761">
        <w:t xml:space="preserve">In different countries, different names are used to describe the same medicinal ingredient. </w:t>
      </w:r>
    </w:p>
    <w:p w14:paraId="25294A56" w14:textId="64AF07FF" w:rsidR="00CE3761" w:rsidRPr="00D258ED" w:rsidRDefault="00CE3761" w:rsidP="00CE3761">
      <w:r w:rsidRPr="00CE3761">
        <w:t xml:space="preserve">The </w:t>
      </w:r>
      <w:r w:rsidR="009B010A">
        <w:t>Therapeutic Goods Administration (TGA)</w:t>
      </w:r>
      <w:r w:rsidR="009B010A" w:rsidRPr="00CE3761">
        <w:t xml:space="preserve"> </w:t>
      </w:r>
      <w:r w:rsidRPr="00CE3761">
        <w:t>has issued guidance on the introduction of name changes in Australia</w:t>
      </w:r>
      <w:r w:rsidR="003B3657">
        <w:t>,</w:t>
      </w:r>
      <w:r w:rsidRPr="00CE3761">
        <w:t xml:space="preserve"> according to the program for international harmonisation of names </w:t>
      </w:r>
      <w:r w:rsidR="009B010A">
        <w:t>(</w:t>
      </w:r>
      <w:hyperlink r:id="rId42" w:history="1">
        <w:r w:rsidRPr="00CE3761">
          <w:rPr>
            <w:color w:val="0000FF"/>
            <w:u w:val="single"/>
          </w:rPr>
          <w:t>www.tga.gov.au/updating-medicine-ingredient-names</w:t>
        </w:r>
      </w:hyperlink>
      <w:r w:rsidR="009B010A" w:rsidRPr="009B010A">
        <w:t>)</w:t>
      </w:r>
      <w:r w:rsidRPr="009B010A">
        <w:t>.</w:t>
      </w:r>
      <w:r w:rsidRPr="00CE3761">
        <w:t xml:space="preserve"> Similar harmonisation activities have previously occurred in the United Kingdom (2003) and New Zealand (2008).</w:t>
      </w:r>
    </w:p>
    <w:p w14:paraId="3C158F6C" w14:textId="1A5ACD6D" w:rsidR="00CE3761" w:rsidRPr="00CE3761" w:rsidRDefault="00CE3761" w:rsidP="00CE3761">
      <w:pPr>
        <w:rPr>
          <w:rFonts w:cs="Arial"/>
          <w:szCs w:val="22"/>
        </w:rPr>
      </w:pPr>
      <w:r w:rsidRPr="00CE3761">
        <w:rPr>
          <w:rFonts w:cs="Arial"/>
          <w:szCs w:val="22"/>
        </w:rPr>
        <w:t>The list of affected active ingredient names is available on the TGA website</w:t>
      </w:r>
      <w:r w:rsidR="003B3657">
        <w:rPr>
          <w:rFonts w:cs="Arial"/>
          <w:szCs w:val="22"/>
        </w:rPr>
        <w:t>,</w:t>
      </w:r>
      <w:r w:rsidRPr="00CE3761">
        <w:rPr>
          <w:rFonts w:cs="Arial"/>
          <w:szCs w:val="22"/>
        </w:rPr>
        <w:t xml:space="preserve"> at</w:t>
      </w:r>
      <w:r w:rsidR="003B3657">
        <w:rPr>
          <w:rFonts w:cs="Arial"/>
          <w:szCs w:val="22"/>
        </w:rPr>
        <w:t>:</w:t>
      </w:r>
      <w:r w:rsidR="00D95AFF">
        <w:rPr>
          <w:rFonts w:cs="Arial"/>
          <w:szCs w:val="22"/>
        </w:rPr>
        <w:t xml:space="preserve"> </w:t>
      </w:r>
      <w:hyperlink r:id="rId43" w:history="1">
        <w:r w:rsidRPr="00CE3761">
          <w:rPr>
            <w:rFonts w:cs="Arial"/>
            <w:color w:val="0000FF"/>
            <w:szCs w:val="22"/>
            <w:u w:val="single"/>
          </w:rPr>
          <w:t>www.tga.gov.au/updating-medicine-ingredient-names-list-affected-ingredients</w:t>
        </w:r>
      </w:hyperlink>
      <w:r w:rsidR="009B010A">
        <w:rPr>
          <w:rFonts w:cs="Arial"/>
          <w:color w:val="0000FF"/>
          <w:szCs w:val="22"/>
          <w:u w:val="single"/>
        </w:rPr>
        <w:t>.</w:t>
      </w:r>
    </w:p>
    <w:p w14:paraId="222BF555" w14:textId="6A4706B1" w:rsidR="009B010A" w:rsidRDefault="00CE3761" w:rsidP="00CE3761">
      <w:pPr>
        <w:rPr>
          <w:rFonts w:cs="Arial"/>
          <w:szCs w:val="22"/>
        </w:rPr>
      </w:pPr>
      <w:r w:rsidRPr="00CE3761">
        <w:rPr>
          <w:rFonts w:cs="Arial"/>
          <w:szCs w:val="22"/>
        </w:rPr>
        <w:t xml:space="preserve">Some changes are minor </w:t>
      </w:r>
      <w:r w:rsidR="009B010A">
        <w:rPr>
          <w:rFonts w:cs="Arial"/>
          <w:szCs w:val="22"/>
        </w:rPr>
        <w:t>(</w:t>
      </w:r>
      <w:r w:rsidR="00032F71">
        <w:rPr>
          <w:rFonts w:cs="Arial"/>
          <w:szCs w:val="22"/>
        </w:rPr>
        <w:t>for example,</w:t>
      </w:r>
      <w:r w:rsidRPr="00CE3761">
        <w:rPr>
          <w:rFonts w:cs="Arial"/>
          <w:szCs w:val="22"/>
        </w:rPr>
        <w:t xml:space="preserve"> changing a </w:t>
      </w:r>
      <w:r w:rsidR="00455AA9">
        <w:rPr>
          <w:rFonts w:cs="Arial"/>
          <w:szCs w:val="22"/>
        </w:rPr>
        <w:t>‘</w:t>
      </w:r>
      <w:r w:rsidRPr="00CE3761">
        <w:rPr>
          <w:rFonts w:cs="Arial"/>
          <w:szCs w:val="22"/>
        </w:rPr>
        <w:t>y</w:t>
      </w:r>
      <w:r w:rsidR="00455AA9">
        <w:rPr>
          <w:rFonts w:cs="Arial"/>
          <w:szCs w:val="22"/>
        </w:rPr>
        <w:t>’</w:t>
      </w:r>
      <w:r w:rsidRPr="00CE3761">
        <w:rPr>
          <w:rFonts w:cs="Arial"/>
          <w:szCs w:val="22"/>
        </w:rPr>
        <w:t xml:space="preserve"> to an </w:t>
      </w:r>
      <w:r w:rsidR="00455AA9">
        <w:rPr>
          <w:rFonts w:cs="Arial"/>
          <w:szCs w:val="22"/>
        </w:rPr>
        <w:t>‘</w:t>
      </w:r>
      <w:r w:rsidRPr="00CE3761">
        <w:rPr>
          <w:rFonts w:cs="Arial"/>
          <w:szCs w:val="22"/>
        </w:rPr>
        <w:t>i</w:t>
      </w:r>
      <w:r w:rsidR="00455AA9">
        <w:rPr>
          <w:rFonts w:cs="Arial"/>
          <w:szCs w:val="22"/>
        </w:rPr>
        <w:t>’</w:t>
      </w:r>
      <w:r w:rsidR="009B010A">
        <w:rPr>
          <w:rFonts w:cs="Arial"/>
          <w:szCs w:val="22"/>
        </w:rPr>
        <w:t>)</w:t>
      </w:r>
      <w:r w:rsidRPr="00CE3761">
        <w:rPr>
          <w:rFonts w:cs="Arial"/>
          <w:szCs w:val="22"/>
        </w:rPr>
        <w:t xml:space="preserve"> and will not affect how the ingredient name is pronounced. In some cases, the new names already appear on Australian medicine labels </w:t>
      </w:r>
      <w:r w:rsidR="00455AA9">
        <w:rPr>
          <w:rFonts w:cs="Arial"/>
          <w:szCs w:val="22"/>
        </w:rPr>
        <w:softHyphen/>
        <w:t>– for example, ‘</w:t>
      </w:r>
      <w:r w:rsidRPr="00CE3761">
        <w:rPr>
          <w:rFonts w:cs="Arial"/>
          <w:szCs w:val="22"/>
        </w:rPr>
        <w:t>amoxicillin (</w:t>
      </w:r>
      <w:proofErr w:type="spellStart"/>
      <w:r w:rsidRPr="00CE3761">
        <w:rPr>
          <w:rFonts w:cs="Arial"/>
          <w:szCs w:val="22"/>
        </w:rPr>
        <w:t>amox</w:t>
      </w:r>
      <w:r w:rsidR="00894A5D">
        <w:rPr>
          <w:rFonts w:cs="Arial"/>
          <w:szCs w:val="22"/>
        </w:rPr>
        <w:t>y</w:t>
      </w:r>
      <w:r w:rsidRPr="00CE3761">
        <w:rPr>
          <w:rFonts w:cs="Arial"/>
          <w:szCs w:val="22"/>
        </w:rPr>
        <w:t>cillin</w:t>
      </w:r>
      <w:proofErr w:type="spellEnd"/>
      <w:r w:rsidRPr="00CE3761">
        <w:rPr>
          <w:rFonts w:cs="Arial"/>
          <w:szCs w:val="22"/>
        </w:rPr>
        <w:t>)</w:t>
      </w:r>
      <w:r w:rsidR="00455AA9">
        <w:rPr>
          <w:rFonts w:cs="Arial"/>
          <w:szCs w:val="22"/>
        </w:rPr>
        <w:t>’</w:t>
      </w:r>
      <w:r w:rsidRPr="00CE3761">
        <w:rPr>
          <w:rFonts w:cs="Arial"/>
          <w:szCs w:val="22"/>
        </w:rPr>
        <w:t xml:space="preserve">. </w:t>
      </w:r>
    </w:p>
    <w:p w14:paraId="0B6F8238" w14:textId="758F2F1C" w:rsidR="00CE3761" w:rsidRDefault="00CE3761" w:rsidP="00CE3761">
      <w:pPr>
        <w:rPr>
          <w:rFonts w:cs="Arial"/>
          <w:szCs w:val="22"/>
        </w:rPr>
      </w:pPr>
      <w:r w:rsidRPr="00CE3761">
        <w:rPr>
          <w:rFonts w:cs="Arial"/>
          <w:szCs w:val="22"/>
        </w:rPr>
        <w:t xml:space="preserve">Some changes are more </w:t>
      </w:r>
      <w:r w:rsidR="00AD4E4D">
        <w:rPr>
          <w:rFonts w:cs="Arial"/>
          <w:szCs w:val="22"/>
        </w:rPr>
        <w:t>marked</w:t>
      </w:r>
      <w:r w:rsidRPr="00CE3761">
        <w:rPr>
          <w:rFonts w:cs="Arial"/>
          <w:szCs w:val="22"/>
        </w:rPr>
        <w:t xml:space="preserve">. For these products, medicine labels will need to use dual labelling to </w:t>
      </w:r>
      <w:r w:rsidR="009B010A">
        <w:rPr>
          <w:rFonts w:cs="Arial"/>
          <w:szCs w:val="22"/>
        </w:rPr>
        <w:t>help</w:t>
      </w:r>
      <w:r w:rsidR="009B010A" w:rsidRPr="00CE3761">
        <w:rPr>
          <w:rFonts w:cs="Arial"/>
          <w:szCs w:val="22"/>
        </w:rPr>
        <w:t xml:space="preserve"> </w:t>
      </w:r>
      <w:r w:rsidRPr="00CE3761">
        <w:rPr>
          <w:rFonts w:cs="Arial"/>
          <w:szCs w:val="22"/>
        </w:rPr>
        <w:t xml:space="preserve">consumers and </w:t>
      </w:r>
      <w:r w:rsidR="00455AA9">
        <w:rPr>
          <w:rFonts w:cs="Arial"/>
          <w:szCs w:val="22"/>
        </w:rPr>
        <w:t>clinician</w:t>
      </w:r>
      <w:r w:rsidRPr="00CE3761">
        <w:rPr>
          <w:rFonts w:cs="Arial"/>
          <w:szCs w:val="22"/>
        </w:rPr>
        <w:t>s become familiar with the new name</w:t>
      </w:r>
      <w:r w:rsidR="009B010A">
        <w:rPr>
          <w:rFonts w:cs="Arial"/>
          <w:szCs w:val="22"/>
        </w:rPr>
        <w:t>.</w:t>
      </w:r>
      <w:r w:rsidRPr="00CE3761">
        <w:rPr>
          <w:rFonts w:cs="Arial"/>
          <w:szCs w:val="22"/>
        </w:rPr>
        <w:t xml:space="preserve"> </w:t>
      </w:r>
      <w:r w:rsidR="009B010A">
        <w:rPr>
          <w:rFonts w:cs="Arial"/>
          <w:szCs w:val="22"/>
        </w:rPr>
        <w:t xml:space="preserve">For example, </w:t>
      </w:r>
      <w:r w:rsidRPr="00CE3761">
        <w:rPr>
          <w:rFonts w:cs="Arial"/>
          <w:szCs w:val="22"/>
        </w:rPr>
        <w:t xml:space="preserve">medicines containing lignocaine will need to be dual labelled as </w:t>
      </w:r>
      <w:r w:rsidR="00455AA9">
        <w:rPr>
          <w:rFonts w:cs="Arial"/>
          <w:szCs w:val="22"/>
        </w:rPr>
        <w:t>‘</w:t>
      </w:r>
      <w:r w:rsidRPr="00CE3761">
        <w:rPr>
          <w:rFonts w:cs="Arial"/>
          <w:szCs w:val="22"/>
        </w:rPr>
        <w:t>lidocaine (lignocaine)</w:t>
      </w:r>
      <w:r w:rsidR="00455AA9">
        <w:rPr>
          <w:rFonts w:cs="Arial"/>
          <w:szCs w:val="22"/>
        </w:rPr>
        <w:t>’</w:t>
      </w:r>
      <w:r w:rsidRPr="00CE3761">
        <w:rPr>
          <w:rFonts w:cs="Arial"/>
          <w:szCs w:val="22"/>
        </w:rPr>
        <w:t xml:space="preserve">. Adrenaline and noradrenaline will remain the approved active ingredient names and will include epinephrine or norepinephrine </w:t>
      </w:r>
      <w:r w:rsidR="00455AA9">
        <w:rPr>
          <w:rFonts w:cs="Arial"/>
          <w:szCs w:val="22"/>
        </w:rPr>
        <w:t>– for example, ‘</w:t>
      </w:r>
      <w:r w:rsidRPr="00CE3761">
        <w:rPr>
          <w:rFonts w:cs="Arial"/>
          <w:szCs w:val="22"/>
        </w:rPr>
        <w:t>adrenaline (epinephrine) hydrochloride</w:t>
      </w:r>
      <w:r w:rsidR="00455AA9">
        <w:rPr>
          <w:rFonts w:cs="Arial"/>
          <w:szCs w:val="22"/>
        </w:rPr>
        <w:t>’</w:t>
      </w:r>
      <w:r w:rsidRPr="00CE3761">
        <w:rPr>
          <w:rFonts w:cs="Arial"/>
          <w:szCs w:val="22"/>
        </w:rPr>
        <w:t>.</w:t>
      </w:r>
      <w:r w:rsidR="00162AAC">
        <w:rPr>
          <w:rFonts w:cs="Arial"/>
          <w:szCs w:val="22"/>
        </w:rPr>
        <w:t xml:space="preserve"> Examples are shown in Table </w:t>
      </w:r>
      <w:r w:rsidR="007B5AEF">
        <w:rPr>
          <w:rFonts w:cs="Arial"/>
          <w:szCs w:val="22"/>
        </w:rPr>
        <w:t>2</w:t>
      </w:r>
      <w:r w:rsidR="00162AAC">
        <w:rPr>
          <w:rFonts w:cs="Arial"/>
          <w:szCs w:val="22"/>
        </w:rPr>
        <w:t>.</w:t>
      </w:r>
    </w:p>
    <w:p w14:paraId="545DC732" w14:textId="08519D96" w:rsidR="00162AAC" w:rsidRDefault="00162AAC" w:rsidP="00194050">
      <w:pPr>
        <w:pStyle w:val="TableName"/>
      </w:pPr>
      <w:r>
        <w:t xml:space="preserve">Table </w:t>
      </w:r>
      <w:r w:rsidR="007B5AEF">
        <w:t>2</w:t>
      </w:r>
      <w:r w:rsidR="00455AA9">
        <w:t>:</w:t>
      </w:r>
      <w:r>
        <w:tab/>
        <w:t>Examples of dual</w:t>
      </w:r>
      <w:r w:rsidR="00427968">
        <w:t>-</w:t>
      </w:r>
      <w:r>
        <w:t>labelling requirements</w:t>
      </w:r>
    </w:p>
    <w:tbl>
      <w:tblPr>
        <w:tblStyle w:val="TableGrid"/>
        <w:tblW w:w="0" w:type="auto"/>
        <w:tblLook w:val="04A0" w:firstRow="1" w:lastRow="0" w:firstColumn="1" w:lastColumn="0" w:noHBand="0" w:noVBand="1"/>
        <w:tblCaption w:val="Table 4.1 Examples of dual labelling requirements"/>
        <w:tblDescription w:val="Examples of dual labelling requirements - 3 examples showing Current label and Dual label"/>
      </w:tblPr>
      <w:tblGrid>
        <w:gridCol w:w="3385"/>
        <w:gridCol w:w="3386"/>
      </w:tblGrid>
      <w:tr w:rsidR="00194050" w14:paraId="563A4F2C" w14:textId="77777777" w:rsidTr="00194050">
        <w:tc>
          <w:tcPr>
            <w:tcW w:w="3385" w:type="dxa"/>
          </w:tcPr>
          <w:p w14:paraId="270A4D93" w14:textId="135B86A9" w:rsidR="00162AAC" w:rsidRDefault="00162AAC" w:rsidP="00A66705">
            <w:pPr>
              <w:pStyle w:val="TableHeading"/>
            </w:pPr>
            <w:r>
              <w:t>Current label</w:t>
            </w:r>
          </w:p>
        </w:tc>
        <w:tc>
          <w:tcPr>
            <w:tcW w:w="3386" w:type="dxa"/>
          </w:tcPr>
          <w:p w14:paraId="514EC722" w14:textId="3949C0DC" w:rsidR="00162AAC" w:rsidRDefault="00162AAC" w:rsidP="00A66705">
            <w:pPr>
              <w:pStyle w:val="TableHeading"/>
            </w:pPr>
            <w:r>
              <w:t>Dual label</w:t>
            </w:r>
          </w:p>
        </w:tc>
      </w:tr>
      <w:tr w:rsidR="00194050" w14:paraId="580CE638" w14:textId="77777777" w:rsidTr="00194050">
        <w:tc>
          <w:tcPr>
            <w:tcW w:w="3385" w:type="dxa"/>
          </w:tcPr>
          <w:p w14:paraId="15FC3370" w14:textId="08EB09A6" w:rsidR="00162AAC" w:rsidRDefault="00693C55" w:rsidP="00CE3761">
            <w:pPr>
              <w:rPr>
                <w:rFonts w:cs="Arial"/>
                <w:szCs w:val="22"/>
              </w:rPr>
            </w:pPr>
            <w:r>
              <w:rPr>
                <w:rFonts w:cs="Arial"/>
                <w:noProof/>
                <w:szCs w:val="22"/>
                <w:lang w:val="en-AU" w:eastAsia="en-AU"/>
              </w:rPr>
              <w:drawing>
                <wp:inline distT="0" distB="0" distL="0" distR="0" wp14:anchorId="3BDDCE5E" wp14:editId="324AF4F2">
                  <wp:extent cx="1438656" cy="359664"/>
                  <wp:effectExtent l="0" t="0" r="0" b="2540"/>
                  <wp:docPr id="3" name="Picture 3" descr="Example of current Lignocaine label - Black writing on grey background" title="Table 4.1 Example of current Lignocai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3-Lignocaine.png"/>
                          <pic:cNvPicPr/>
                        </pic:nvPicPr>
                        <pic:blipFill>
                          <a:blip r:embed="rId44">
                            <a:extLst>
                              <a:ext uri="{28A0092B-C50C-407E-A947-70E740481C1C}">
                                <a14:useLocalDpi xmlns:a14="http://schemas.microsoft.com/office/drawing/2010/main" val="0"/>
                              </a:ext>
                            </a:extLst>
                          </a:blip>
                          <a:stretch>
                            <a:fillRect/>
                          </a:stretch>
                        </pic:blipFill>
                        <pic:spPr>
                          <a:xfrm>
                            <a:off x="0" y="0"/>
                            <a:ext cx="1438656" cy="359664"/>
                          </a:xfrm>
                          <a:prstGeom prst="rect">
                            <a:avLst/>
                          </a:prstGeom>
                        </pic:spPr>
                      </pic:pic>
                    </a:graphicData>
                  </a:graphic>
                </wp:inline>
              </w:drawing>
            </w:r>
          </w:p>
        </w:tc>
        <w:tc>
          <w:tcPr>
            <w:tcW w:w="3386" w:type="dxa"/>
          </w:tcPr>
          <w:p w14:paraId="074E0B1C" w14:textId="3FCDFABD" w:rsidR="00162AAC" w:rsidRDefault="00162AAC" w:rsidP="00CE3761">
            <w:pPr>
              <w:rPr>
                <w:rFonts w:cs="Arial"/>
                <w:szCs w:val="22"/>
              </w:rPr>
            </w:pPr>
            <w:r>
              <w:rPr>
                <w:rFonts w:cs="Arial"/>
                <w:noProof/>
                <w:szCs w:val="22"/>
                <w:lang w:val="en-AU" w:eastAsia="en-AU"/>
              </w:rPr>
              <w:drawing>
                <wp:inline distT="0" distB="0" distL="0" distR="0" wp14:anchorId="5C18E865" wp14:editId="00A3B731">
                  <wp:extent cx="1438781" cy="359695"/>
                  <wp:effectExtent l="0" t="0" r="0" b="2540"/>
                  <wp:docPr id="17" name="Picture 17" descr="Example of dual Lignocaine label - Black writing on grey background 'Lidocaine(lignocaine)'" title="Table 4.1 Example of dual Lignocai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docaine.png"/>
                          <pic:cNvPicPr/>
                        </pic:nvPicPr>
                        <pic:blipFill>
                          <a:blip r:embed="rId45">
                            <a:extLst>
                              <a:ext uri="{28A0092B-C50C-407E-A947-70E740481C1C}">
                                <a14:useLocalDpi xmlns:a14="http://schemas.microsoft.com/office/drawing/2010/main" val="0"/>
                              </a:ext>
                            </a:extLst>
                          </a:blip>
                          <a:stretch>
                            <a:fillRect/>
                          </a:stretch>
                        </pic:blipFill>
                        <pic:spPr>
                          <a:xfrm>
                            <a:off x="0" y="0"/>
                            <a:ext cx="1438781" cy="359695"/>
                          </a:xfrm>
                          <a:prstGeom prst="rect">
                            <a:avLst/>
                          </a:prstGeom>
                        </pic:spPr>
                      </pic:pic>
                    </a:graphicData>
                  </a:graphic>
                </wp:inline>
              </w:drawing>
            </w:r>
          </w:p>
        </w:tc>
      </w:tr>
      <w:tr w:rsidR="00194050" w14:paraId="2323F71B" w14:textId="77777777" w:rsidTr="00194050">
        <w:tc>
          <w:tcPr>
            <w:tcW w:w="3385" w:type="dxa"/>
          </w:tcPr>
          <w:p w14:paraId="01E8E344" w14:textId="655E6BFC" w:rsidR="00162AAC" w:rsidRDefault="00693C55" w:rsidP="00CE3761">
            <w:pPr>
              <w:rPr>
                <w:rFonts w:cs="Arial"/>
                <w:szCs w:val="22"/>
              </w:rPr>
            </w:pPr>
            <w:r>
              <w:rPr>
                <w:rFonts w:cs="Arial"/>
                <w:noProof/>
                <w:szCs w:val="22"/>
                <w:lang w:val="en-AU" w:eastAsia="en-AU"/>
              </w:rPr>
              <w:drawing>
                <wp:inline distT="0" distB="0" distL="0" distR="0" wp14:anchorId="72618F6A" wp14:editId="53C4D508">
                  <wp:extent cx="1450340" cy="369277"/>
                  <wp:effectExtent l="0" t="0" r="0" b="0"/>
                  <wp:docPr id="6" name="Picture 6" descr="Example of current Adrenaline label - half black and purple (split vertically). 'Adrenaline (epinephrine)' written on black half in purple writing. 'Adrenaline' written on black half in purple writing" title="Table 4.1 Example of current Adrenali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Andrenaline.png"/>
                          <pic:cNvPicPr/>
                        </pic:nvPicPr>
                        <pic:blipFill rotWithShape="1">
                          <a:blip r:embed="rId46">
                            <a:extLst>
                              <a:ext uri="{28A0092B-C50C-407E-A947-70E740481C1C}">
                                <a14:useLocalDpi xmlns:a14="http://schemas.microsoft.com/office/drawing/2010/main" val="0"/>
                              </a:ext>
                            </a:extLst>
                          </a:blip>
                          <a:srcRect l="1724" t="1" r="3310" b="6630"/>
                          <a:stretch/>
                        </pic:blipFill>
                        <pic:spPr bwMode="auto">
                          <a:xfrm>
                            <a:off x="0" y="0"/>
                            <a:ext cx="1453060" cy="369970"/>
                          </a:xfrm>
                          <a:prstGeom prst="rect">
                            <a:avLst/>
                          </a:prstGeom>
                          <a:ln>
                            <a:noFill/>
                          </a:ln>
                          <a:extLst>
                            <a:ext uri="{53640926-AAD7-44D8-BBD7-CCE9431645EC}">
                              <a14:shadowObscured xmlns:a14="http://schemas.microsoft.com/office/drawing/2010/main"/>
                            </a:ext>
                          </a:extLst>
                        </pic:spPr>
                      </pic:pic>
                    </a:graphicData>
                  </a:graphic>
                </wp:inline>
              </w:drawing>
            </w:r>
          </w:p>
        </w:tc>
        <w:tc>
          <w:tcPr>
            <w:tcW w:w="3386" w:type="dxa"/>
          </w:tcPr>
          <w:p w14:paraId="5E6350EA" w14:textId="5F764997" w:rsidR="00162AAC" w:rsidRDefault="00162AAC" w:rsidP="00CE3761">
            <w:pPr>
              <w:rPr>
                <w:rFonts w:cs="Arial"/>
                <w:szCs w:val="22"/>
              </w:rPr>
            </w:pPr>
            <w:r>
              <w:rPr>
                <w:rFonts w:cs="Arial"/>
                <w:noProof/>
                <w:szCs w:val="22"/>
                <w:lang w:val="en-AU" w:eastAsia="en-AU"/>
              </w:rPr>
              <w:drawing>
                <wp:inline distT="0" distB="0" distL="0" distR="0" wp14:anchorId="57F20490" wp14:editId="15769E01">
                  <wp:extent cx="1456807" cy="376555"/>
                  <wp:effectExtent l="0" t="0" r="0" b="4445"/>
                  <wp:docPr id="20" name="Picture 20" descr="Example of dual Adrenaline label - half black and purple (split vertically). 'Adrenaline (epinephrine)' written on black half in purple writing" title="Table 4.1 Example of dual Adrenali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renaline.png"/>
                          <pic:cNvPicPr/>
                        </pic:nvPicPr>
                        <pic:blipFill rotWithShape="1">
                          <a:blip r:embed="rId47">
                            <a:extLst>
                              <a:ext uri="{28A0092B-C50C-407E-A947-70E740481C1C}">
                                <a14:useLocalDpi xmlns:a14="http://schemas.microsoft.com/office/drawing/2010/main" val="0"/>
                              </a:ext>
                            </a:extLst>
                          </a:blip>
                          <a:srcRect l="2021" r="2664" b="4862"/>
                          <a:stretch/>
                        </pic:blipFill>
                        <pic:spPr bwMode="auto">
                          <a:xfrm>
                            <a:off x="0" y="0"/>
                            <a:ext cx="1458560" cy="377008"/>
                          </a:xfrm>
                          <a:prstGeom prst="rect">
                            <a:avLst/>
                          </a:prstGeom>
                          <a:ln>
                            <a:noFill/>
                          </a:ln>
                          <a:extLst>
                            <a:ext uri="{53640926-AAD7-44D8-BBD7-CCE9431645EC}">
                              <a14:shadowObscured xmlns:a14="http://schemas.microsoft.com/office/drawing/2010/main"/>
                            </a:ext>
                          </a:extLst>
                        </pic:spPr>
                      </pic:pic>
                    </a:graphicData>
                  </a:graphic>
                </wp:inline>
              </w:drawing>
            </w:r>
          </w:p>
        </w:tc>
      </w:tr>
      <w:tr w:rsidR="00194050" w14:paraId="283EFC23" w14:textId="77777777" w:rsidTr="00194050">
        <w:tc>
          <w:tcPr>
            <w:tcW w:w="3385" w:type="dxa"/>
          </w:tcPr>
          <w:p w14:paraId="35CB85F9" w14:textId="652677DC" w:rsidR="00162AAC" w:rsidRDefault="00693C55" w:rsidP="00CE3761">
            <w:pPr>
              <w:rPr>
                <w:rFonts w:cs="Arial"/>
                <w:szCs w:val="22"/>
              </w:rPr>
            </w:pPr>
            <w:r>
              <w:rPr>
                <w:rFonts w:cs="Arial"/>
                <w:noProof/>
                <w:szCs w:val="22"/>
                <w:lang w:val="en-AU" w:eastAsia="en-AU"/>
              </w:rPr>
              <w:drawing>
                <wp:inline distT="0" distB="0" distL="0" distR="0" wp14:anchorId="0FD12830" wp14:editId="5B1A058C">
                  <wp:extent cx="1438656" cy="359664"/>
                  <wp:effectExtent l="0" t="0" r="0" b="2540"/>
                  <wp:docPr id="8" name="Picture 8" descr="Table 4.1 Example of current Noradrenailne label - Black writing on purple background" title="Table 4.1 Example of current Noradrenail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3-Noradrenaline.png"/>
                          <pic:cNvPicPr/>
                        </pic:nvPicPr>
                        <pic:blipFill>
                          <a:blip r:embed="rId48">
                            <a:extLst>
                              <a:ext uri="{28A0092B-C50C-407E-A947-70E740481C1C}">
                                <a14:useLocalDpi xmlns:a14="http://schemas.microsoft.com/office/drawing/2010/main" val="0"/>
                              </a:ext>
                            </a:extLst>
                          </a:blip>
                          <a:stretch>
                            <a:fillRect/>
                          </a:stretch>
                        </pic:blipFill>
                        <pic:spPr>
                          <a:xfrm>
                            <a:off x="0" y="0"/>
                            <a:ext cx="1438656" cy="359664"/>
                          </a:xfrm>
                          <a:prstGeom prst="rect">
                            <a:avLst/>
                          </a:prstGeom>
                        </pic:spPr>
                      </pic:pic>
                    </a:graphicData>
                  </a:graphic>
                </wp:inline>
              </w:drawing>
            </w:r>
          </w:p>
        </w:tc>
        <w:tc>
          <w:tcPr>
            <w:tcW w:w="3386" w:type="dxa"/>
          </w:tcPr>
          <w:p w14:paraId="5BDF8004" w14:textId="35F18B9E" w:rsidR="00162AAC" w:rsidRDefault="00162AAC" w:rsidP="00CE3761">
            <w:pPr>
              <w:rPr>
                <w:rFonts w:cs="Arial"/>
                <w:szCs w:val="22"/>
              </w:rPr>
            </w:pPr>
            <w:r>
              <w:rPr>
                <w:rFonts w:cs="Arial"/>
                <w:noProof/>
                <w:szCs w:val="22"/>
                <w:lang w:val="en-AU" w:eastAsia="en-AU"/>
              </w:rPr>
              <w:drawing>
                <wp:inline distT="0" distB="0" distL="0" distR="0" wp14:anchorId="0E860BEF" wp14:editId="359FA5A5">
                  <wp:extent cx="1449877" cy="370193"/>
                  <wp:effectExtent l="0" t="0" r="0" b="0"/>
                  <wp:docPr id="21" name="Picture 21" descr="Table 4.1 Example of current Noradrenailne label - Black writing on purple background 'Noradrenailne (norepinephrine'" title="Table 4.1 Example of dual Noradrenail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radrenaline.png"/>
                          <pic:cNvPicPr/>
                        </pic:nvPicPr>
                        <pic:blipFill rotWithShape="1">
                          <a:blip r:embed="rId49">
                            <a:extLst>
                              <a:ext uri="{28A0092B-C50C-407E-A947-70E740481C1C}">
                                <a14:useLocalDpi xmlns:a14="http://schemas.microsoft.com/office/drawing/2010/main" val="0"/>
                              </a:ext>
                            </a:extLst>
                          </a:blip>
                          <a:srcRect l="2023" t="-1" r="3065" b="6420"/>
                          <a:stretch/>
                        </pic:blipFill>
                        <pic:spPr bwMode="auto">
                          <a:xfrm>
                            <a:off x="0" y="0"/>
                            <a:ext cx="1452365" cy="3708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CD43D6" w14:textId="77777777" w:rsidR="00162AAC" w:rsidRPr="00CE3761" w:rsidRDefault="00162AAC" w:rsidP="00CE3761">
      <w:pPr>
        <w:rPr>
          <w:rFonts w:cs="Arial"/>
          <w:szCs w:val="22"/>
        </w:rPr>
      </w:pPr>
    </w:p>
    <w:p w14:paraId="4FE344A2" w14:textId="42B77FEB" w:rsidR="00CE3761" w:rsidRPr="00CE3761" w:rsidRDefault="00187A1C" w:rsidP="00CE3761">
      <w:pPr>
        <w:rPr>
          <w:rFonts w:cs="Arial"/>
          <w:szCs w:val="22"/>
        </w:rPr>
      </w:pPr>
      <w:r>
        <w:rPr>
          <w:rFonts w:cs="Arial"/>
          <w:szCs w:val="22"/>
        </w:rPr>
        <w:t>Pharmaceutical product m</w:t>
      </w:r>
      <w:r w:rsidR="00CE3761" w:rsidRPr="00CE3761">
        <w:rPr>
          <w:rFonts w:cs="Arial"/>
          <w:szCs w:val="22"/>
        </w:rPr>
        <w:t xml:space="preserve">anufacturers will be given </w:t>
      </w:r>
      <w:r w:rsidR="003B3657">
        <w:rPr>
          <w:rFonts w:cs="Arial"/>
          <w:szCs w:val="22"/>
        </w:rPr>
        <w:t>four</w:t>
      </w:r>
      <w:r w:rsidR="00CE3761" w:rsidRPr="00CE3761">
        <w:rPr>
          <w:rFonts w:cs="Arial"/>
          <w:szCs w:val="22"/>
        </w:rPr>
        <w:t xml:space="preserve"> years (from April 2016 to April 2020) to introduce the new medicine names to their product labelling and packaging. For dual</w:t>
      </w:r>
      <w:r w:rsidR="00427968">
        <w:rPr>
          <w:rFonts w:cs="Arial"/>
          <w:szCs w:val="22"/>
        </w:rPr>
        <w:t>-</w:t>
      </w:r>
      <w:r w:rsidR="00CE3761" w:rsidRPr="00CE3761">
        <w:rPr>
          <w:rFonts w:cs="Arial"/>
          <w:szCs w:val="22"/>
        </w:rPr>
        <w:t>labelled products, both names must be displayed for an</w:t>
      </w:r>
      <w:r w:rsidR="00AD4E4D">
        <w:rPr>
          <w:rFonts w:cs="Arial"/>
          <w:szCs w:val="22"/>
        </w:rPr>
        <w:t>other</w:t>
      </w:r>
      <w:r w:rsidR="00CE3761" w:rsidRPr="00CE3761">
        <w:rPr>
          <w:rFonts w:cs="Arial"/>
          <w:szCs w:val="22"/>
        </w:rPr>
        <w:t xml:space="preserve"> </w:t>
      </w:r>
      <w:r w:rsidR="003B3657">
        <w:rPr>
          <w:rFonts w:cs="Arial"/>
          <w:szCs w:val="22"/>
        </w:rPr>
        <w:t>three</w:t>
      </w:r>
      <w:r w:rsidR="0007150A" w:rsidRPr="00CE3761">
        <w:rPr>
          <w:rFonts w:cs="Arial"/>
          <w:szCs w:val="22"/>
        </w:rPr>
        <w:t xml:space="preserve"> </w:t>
      </w:r>
      <w:r w:rsidR="00CE3761" w:rsidRPr="00CE3761">
        <w:rPr>
          <w:rFonts w:cs="Arial"/>
          <w:szCs w:val="22"/>
        </w:rPr>
        <w:t>years after the transition period (until 2023)</w:t>
      </w:r>
      <w:r w:rsidR="0007150A">
        <w:rPr>
          <w:rFonts w:cs="Arial"/>
          <w:szCs w:val="22"/>
        </w:rPr>
        <w:t>,</w:t>
      </w:r>
      <w:r w:rsidR="00CE3761" w:rsidRPr="00CE3761">
        <w:rPr>
          <w:rFonts w:cs="Arial"/>
          <w:szCs w:val="22"/>
        </w:rPr>
        <w:t xml:space="preserve"> when the manufacturer may remove the old name. This gives a period of at least </w:t>
      </w:r>
      <w:r w:rsidR="003B3657">
        <w:rPr>
          <w:rFonts w:cs="Arial"/>
          <w:szCs w:val="22"/>
        </w:rPr>
        <w:t>three</w:t>
      </w:r>
      <w:r w:rsidR="0007150A">
        <w:rPr>
          <w:rFonts w:cs="Arial"/>
          <w:szCs w:val="22"/>
        </w:rPr>
        <w:t> </w:t>
      </w:r>
      <w:proofErr w:type="gramStart"/>
      <w:r w:rsidR="00CE3761" w:rsidRPr="00CE3761">
        <w:rPr>
          <w:rFonts w:cs="Arial"/>
          <w:szCs w:val="22"/>
        </w:rPr>
        <w:t>years</w:t>
      </w:r>
      <w:r w:rsidR="0007150A">
        <w:rPr>
          <w:rFonts w:cs="Arial"/>
          <w:szCs w:val="22"/>
        </w:rPr>
        <w:t>,</w:t>
      </w:r>
      <w:proofErr w:type="gramEnd"/>
      <w:r w:rsidR="00CE3761" w:rsidRPr="00CE3761">
        <w:rPr>
          <w:rFonts w:cs="Arial"/>
          <w:szCs w:val="22"/>
        </w:rPr>
        <w:t xml:space="preserve"> and possibly more than </w:t>
      </w:r>
      <w:r w:rsidR="003B3657">
        <w:rPr>
          <w:rFonts w:cs="Arial"/>
          <w:szCs w:val="22"/>
        </w:rPr>
        <w:t>seven</w:t>
      </w:r>
      <w:r w:rsidR="00CE3761" w:rsidRPr="00CE3761">
        <w:rPr>
          <w:rFonts w:cs="Arial"/>
          <w:szCs w:val="22"/>
        </w:rPr>
        <w:t xml:space="preserve"> </w:t>
      </w:r>
      <w:r w:rsidR="0007150A">
        <w:rPr>
          <w:rFonts w:cs="Arial"/>
          <w:szCs w:val="22"/>
        </w:rPr>
        <w:t xml:space="preserve">years, </w:t>
      </w:r>
      <w:r w:rsidR="00CE3761" w:rsidRPr="00CE3761">
        <w:rPr>
          <w:rFonts w:cs="Arial"/>
          <w:szCs w:val="22"/>
        </w:rPr>
        <w:t>whe</w:t>
      </w:r>
      <w:r w:rsidR="00AD4E4D">
        <w:rPr>
          <w:rFonts w:cs="Arial"/>
          <w:szCs w:val="22"/>
        </w:rPr>
        <w:t>n</w:t>
      </w:r>
      <w:r w:rsidR="00CE3761" w:rsidRPr="00CE3761">
        <w:rPr>
          <w:rFonts w:cs="Arial"/>
          <w:szCs w:val="22"/>
        </w:rPr>
        <w:t xml:space="preserve"> packaging will be available for dual</w:t>
      </w:r>
      <w:r w:rsidR="00427968">
        <w:rPr>
          <w:rFonts w:cs="Arial"/>
          <w:szCs w:val="22"/>
        </w:rPr>
        <w:t>-</w:t>
      </w:r>
      <w:r w:rsidR="00CE3761" w:rsidRPr="00CE3761">
        <w:rPr>
          <w:rFonts w:cs="Arial"/>
          <w:szCs w:val="22"/>
        </w:rPr>
        <w:t>named products with both the old and new medicine name visible.</w:t>
      </w:r>
    </w:p>
    <w:p w14:paraId="5CCCCDB9" w14:textId="719EB215" w:rsidR="00CE3761" w:rsidRPr="00CE3761" w:rsidRDefault="00CE3761" w:rsidP="00CE3761">
      <w:pPr>
        <w:rPr>
          <w:rFonts w:cs="Arial"/>
          <w:szCs w:val="22"/>
        </w:rPr>
      </w:pPr>
      <w:r w:rsidRPr="00CE3761">
        <w:rPr>
          <w:rFonts w:cs="Arial"/>
          <w:szCs w:val="22"/>
        </w:rPr>
        <w:t>There will be a time</w:t>
      </w:r>
      <w:r w:rsidR="0007150A">
        <w:rPr>
          <w:rFonts w:cs="Arial"/>
          <w:szCs w:val="22"/>
        </w:rPr>
        <w:t xml:space="preserve"> </w:t>
      </w:r>
      <w:r w:rsidRPr="00CE3761">
        <w:rPr>
          <w:rFonts w:cs="Arial"/>
          <w:szCs w:val="22"/>
        </w:rPr>
        <w:t>lag between the start of the transition period and when new medicine labels start to appear on the market. During the transition period, these changes may be included in prescribing and dispensing software, clinical guidelines</w:t>
      </w:r>
      <w:r>
        <w:rPr>
          <w:rFonts w:cs="Arial"/>
          <w:szCs w:val="22"/>
        </w:rPr>
        <w:t xml:space="preserve"> and other materials</w:t>
      </w:r>
      <w:r w:rsidR="0007150A">
        <w:rPr>
          <w:rFonts w:cs="Arial"/>
          <w:szCs w:val="22"/>
        </w:rPr>
        <w:t>,</w:t>
      </w:r>
      <w:r>
        <w:rPr>
          <w:rFonts w:cs="Arial"/>
          <w:szCs w:val="22"/>
        </w:rPr>
        <w:t xml:space="preserve"> including user-applied labelling.</w:t>
      </w:r>
      <w:r w:rsidRPr="00CE3761">
        <w:rPr>
          <w:rFonts w:cs="Arial"/>
          <w:szCs w:val="22"/>
        </w:rPr>
        <w:t xml:space="preserve"> </w:t>
      </w:r>
    </w:p>
    <w:p w14:paraId="37FD0800" w14:textId="5A54EE15" w:rsidR="00CE3761" w:rsidRPr="00CE3761" w:rsidRDefault="00CE3761" w:rsidP="00CE3761">
      <w:pPr>
        <w:rPr>
          <w:rFonts w:cs="Arial"/>
          <w:szCs w:val="22"/>
        </w:rPr>
      </w:pPr>
      <w:r w:rsidRPr="00CE3761">
        <w:rPr>
          <w:rFonts w:cs="Arial"/>
          <w:szCs w:val="22"/>
        </w:rPr>
        <w:t xml:space="preserve">Health </w:t>
      </w:r>
      <w:r w:rsidR="00427968">
        <w:rPr>
          <w:rFonts w:cs="Arial"/>
          <w:szCs w:val="22"/>
        </w:rPr>
        <w:t>service organisations</w:t>
      </w:r>
      <w:r w:rsidR="00427968" w:rsidRPr="00CE3761">
        <w:rPr>
          <w:rFonts w:cs="Arial"/>
          <w:szCs w:val="22"/>
        </w:rPr>
        <w:t xml:space="preserve"> </w:t>
      </w:r>
      <w:r w:rsidRPr="00CE3761">
        <w:rPr>
          <w:rFonts w:cs="Arial"/>
          <w:szCs w:val="22"/>
        </w:rPr>
        <w:t>should work with label manufacturers to ensure</w:t>
      </w:r>
      <w:r w:rsidR="0007150A">
        <w:rPr>
          <w:rFonts w:cs="Arial"/>
          <w:szCs w:val="22"/>
        </w:rPr>
        <w:t xml:space="preserve"> that</w:t>
      </w:r>
      <w:r w:rsidRPr="00CE3761">
        <w:rPr>
          <w:rFonts w:cs="Arial"/>
          <w:szCs w:val="22"/>
        </w:rPr>
        <w:t xml:space="preserve"> </w:t>
      </w:r>
      <w:proofErr w:type="spellStart"/>
      <w:r w:rsidR="00187A1C">
        <w:rPr>
          <w:rFonts w:cs="Arial"/>
          <w:szCs w:val="22"/>
        </w:rPr>
        <w:t>preprinted</w:t>
      </w:r>
      <w:proofErr w:type="spellEnd"/>
      <w:r w:rsidR="00187A1C">
        <w:rPr>
          <w:rFonts w:cs="Arial"/>
          <w:szCs w:val="22"/>
        </w:rPr>
        <w:t xml:space="preserve"> </w:t>
      </w:r>
      <w:r w:rsidRPr="00CE3761">
        <w:rPr>
          <w:rFonts w:cs="Arial"/>
          <w:szCs w:val="22"/>
        </w:rPr>
        <w:t xml:space="preserve">labels for user-applied labelling </w:t>
      </w:r>
      <w:r w:rsidR="0025462B">
        <w:rPr>
          <w:rFonts w:cs="Arial"/>
          <w:szCs w:val="22"/>
        </w:rPr>
        <w:t>according to the Labelling Standard are consistent with international naming.</w:t>
      </w:r>
    </w:p>
    <w:p w14:paraId="0128C105" w14:textId="073E715A" w:rsidR="00CE3761" w:rsidRDefault="00CE3761" w:rsidP="00CE3761">
      <w:pPr>
        <w:rPr>
          <w:rFonts w:cs="Arial"/>
          <w:szCs w:val="22"/>
        </w:rPr>
      </w:pPr>
      <w:r w:rsidRPr="00CE3761">
        <w:rPr>
          <w:rFonts w:cs="Arial"/>
          <w:szCs w:val="22"/>
        </w:rPr>
        <w:lastRenderedPageBreak/>
        <w:t>The line label guide</w:t>
      </w:r>
      <w:r>
        <w:rPr>
          <w:rFonts w:cs="Arial"/>
          <w:szCs w:val="22"/>
        </w:rPr>
        <w:t xml:space="preserve"> </w:t>
      </w:r>
      <w:r w:rsidRPr="00CE3761">
        <w:rPr>
          <w:rFonts w:cs="Arial"/>
          <w:szCs w:val="22"/>
        </w:rPr>
        <w:t xml:space="preserve">will be revised in </w:t>
      </w:r>
      <w:r w:rsidR="00AD4E4D">
        <w:rPr>
          <w:rFonts w:cs="Arial"/>
          <w:szCs w:val="22"/>
        </w:rPr>
        <w:t>line</w:t>
      </w:r>
      <w:r w:rsidR="00AD4E4D" w:rsidRPr="00CE3761">
        <w:rPr>
          <w:rFonts w:cs="Arial"/>
          <w:szCs w:val="22"/>
        </w:rPr>
        <w:t xml:space="preserve"> </w:t>
      </w:r>
      <w:r w:rsidRPr="00CE3761">
        <w:rPr>
          <w:rFonts w:cs="Arial"/>
          <w:szCs w:val="22"/>
        </w:rPr>
        <w:t>with international harmonisation of medicine names to cover changes to naming for adrenaline and lignocaine</w:t>
      </w:r>
      <w:r>
        <w:rPr>
          <w:rFonts w:cs="Arial"/>
          <w:szCs w:val="22"/>
        </w:rPr>
        <w:t xml:space="preserve"> </w:t>
      </w:r>
      <w:r w:rsidR="0007150A">
        <w:rPr>
          <w:rFonts w:cs="Arial"/>
          <w:szCs w:val="22"/>
        </w:rPr>
        <w:t>(</w:t>
      </w:r>
      <w:hyperlink r:id="rId50" w:history="1">
        <w:r w:rsidR="003E792C" w:rsidRPr="00DE54A9">
          <w:rPr>
            <w:rStyle w:val="Hyperlink"/>
            <w:rFonts w:cs="Arial"/>
            <w:szCs w:val="22"/>
          </w:rPr>
          <w:t>www.safetyandquality.gov.au/wp-content/uploads/2015/10/Pre-printed-medicine-line-label-guide-Aug-2015.pdf)</w:t>
        </w:r>
      </w:hyperlink>
      <w:r w:rsidR="003E792C">
        <w:rPr>
          <w:rStyle w:val="Hyperlink"/>
          <w:rFonts w:cs="Arial"/>
          <w:szCs w:val="22"/>
        </w:rPr>
        <w:t xml:space="preserve"> (PDF 2.1MB)</w:t>
      </w:r>
      <w:r w:rsidR="0007150A">
        <w:rPr>
          <w:rStyle w:val="Hyperlink"/>
          <w:rFonts w:cs="Arial"/>
          <w:szCs w:val="22"/>
        </w:rPr>
        <w:t>.</w:t>
      </w:r>
    </w:p>
    <w:p w14:paraId="13818834" w14:textId="77777777" w:rsidR="008F49C8" w:rsidRDefault="008F49C8" w:rsidP="00A66705">
      <w:pPr>
        <w:pStyle w:val="NormalBeforeBullet"/>
      </w:pPr>
      <w:r>
        <w:t>The following publications will be revised at the next edition</w:t>
      </w:r>
      <w:r w:rsidR="0007150A">
        <w:t>:</w:t>
      </w:r>
    </w:p>
    <w:p w14:paraId="6B52ECE2" w14:textId="6A0743D5" w:rsidR="008F49C8" w:rsidRPr="0025462B" w:rsidRDefault="003E792C" w:rsidP="0025462B">
      <w:pPr>
        <w:pStyle w:val="Bullet"/>
        <w:rPr>
          <w:rFonts w:cs="Arial"/>
          <w:szCs w:val="22"/>
        </w:rPr>
      </w:pPr>
      <w:r w:rsidRPr="00A75E1B">
        <w:rPr>
          <w:i/>
        </w:rPr>
        <w:t>P</w:t>
      </w:r>
      <w:r w:rsidR="0007150A" w:rsidRPr="00A75E1B">
        <w:rPr>
          <w:i/>
        </w:rPr>
        <w:t xml:space="preserve">erioperative </w:t>
      </w:r>
      <w:r w:rsidR="002911EA" w:rsidRPr="00A75E1B">
        <w:rPr>
          <w:i/>
        </w:rPr>
        <w:t>L</w:t>
      </w:r>
      <w:r w:rsidR="0007150A" w:rsidRPr="00A75E1B">
        <w:rPr>
          <w:i/>
        </w:rPr>
        <w:t xml:space="preserve">abelling </w:t>
      </w:r>
      <w:r w:rsidR="002911EA" w:rsidRPr="00A75E1B">
        <w:rPr>
          <w:i/>
        </w:rPr>
        <w:t>P</w:t>
      </w:r>
      <w:r w:rsidR="0007150A" w:rsidRPr="00A75E1B">
        <w:rPr>
          <w:i/>
        </w:rPr>
        <w:t>oster</w:t>
      </w:r>
      <w:r w:rsidR="0007150A">
        <w:t xml:space="preserve"> (</w:t>
      </w:r>
      <w:r w:rsidR="0025462B" w:rsidRPr="0025462B">
        <w:t>www.safetyandquality.gov.au/wp-content/uploads/2015/10/Perioperative-labelling-of-medicines-and-fluids-poster-December-2016.pdf</w:t>
      </w:r>
      <w:r w:rsidR="0007150A" w:rsidRPr="0025462B">
        <w:rPr>
          <w:rStyle w:val="Hyperlink"/>
          <w:rFonts w:cs="Arial"/>
          <w:szCs w:val="22"/>
        </w:rPr>
        <w:t>)</w:t>
      </w:r>
    </w:p>
    <w:p w14:paraId="67569611" w14:textId="77777777" w:rsidR="00CE3761" w:rsidRDefault="0007150A" w:rsidP="00A66705">
      <w:pPr>
        <w:pStyle w:val="BulletLast"/>
        <w:rPr>
          <w:rFonts w:cs="Arial"/>
          <w:szCs w:val="22"/>
        </w:rPr>
      </w:pPr>
      <w:r>
        <w:t>Labelling Standard (</w:t>
      </w:r>
      <w:hyperlink r:id="rId51" w:history="1">
        <w:r w:rsidR="008F49C8" w:rsidRPr="0031643A">
          <w:rPr>
            <w:rStyle w:val="Hyperlink"/>
            <w:rFonts w:cs="Arial"/>
            <w:szCs w:val="22"/>
          </w:rPr>
          <w:t>www.safetyandquality.gov.au/publications/national-standard-for-user-applied-labelling/</w:t>
        </w:r>
      </w:hyperlink>
      <w:r>
        <w:rPr>
          <w:rStyle w:val="Hyperlink"/>
          <w:rFonts w:cs="Arial"/>
          <w:szCs w:val="22"/>
        </w:rPr>
        <w:t>).</w:t>
      </w:r>
    </w:p>
    <w:p w14:paraId="1803DA08" w14:textId="77777777" w:rsidR="00F55AD9" w:rsidRDefault="00F55AD9" w:rsidP="00F55AD9">
      <w:pPr>
        <w:pStyle w:val="BoxText"/>
        <w:rPr>
          <w:lang w:val="en-US"/>
        </w:rPr>
      </w:pPr>
      <w:r>
        <w:rPr>
          <w:lang w:val="en-US"/>
        </w:rPr>
        <w:t xml:space="preserve">Response: </w:t>
      </w:r>
      <w:r>
        <w:t>Incorporate international name changes to user-applied labelling.</w:t>
      </w:r>
      <w:r>
        <w:rPr>
          <w:lang w:val="en-US"/>
        </w:rPr>
        <w:t xml:space="preserve"> </w:t>
      </w:r>
    </w:p>
    <w:p w14:paraId="66D01156" w14:textId="77777777" w:rsidR="00F55AD9" w:rsidRDefault="00F55AD9" w:rsidP="00F55AD9">
      <w:pPr>
        <w:pStyle w:val="BoxText"/>
        <w:rPr>
          <w:lang w:val="en-US"/>
        </w:rPr>
      </w:pPr>
      <w:r>
        <w:rPr>
          <w:lang w:val="en-US"/>
        </w:rPr>
        <w:t>Reason:</w:t>
      </w:r>
      <w:r w:rsidRPr="00EC31C3">
        <w:t xml:space="preserve"> </w:t>
      </w:r>
      <w:r w:rsidRPr="00187A1C">
        <w:t>To be consistent with manufacturers labelling and packaging</w:t>
      </w:r>
      <w:r>
        <w:t>.</w:t>
      </w:r>
    </w:p>
    <w:p w14:paraId="5736056E" w14:textId="3E5618BE" w:rsidR="00F55AD9" w:rsidRDefault="00F55AD9" w:rsidP="00F55AD9">
      <w:pPr>
        <w:pStyle w:val="BoxText"/>
      </w:pPr>
      <w:r>
        <w:t>Action:</w:t>
      </w:r>
      <w:r w:rsidRPr="00EC31C3">
        <w:t xml:space="preserve"> </w:t>
      </w:r>
      <w:proofErr w:type="spellStart"/>
      <w:r>
        <w:t>Preprinted</w:t>
      </w:r>
      <w:proofErr w:type="spellEnd"/>
      <w:r>
        <w:t xml:space="preserve"> medicine line labels and container labels for closed-practice environments to carry new medicine names or dual labelling, according to TGA listing </w:t>
      </w:r>
      <w:hyperlink r:id="rId52" w:history="1">
        <w:r w:rsidRPr="00187A1C">
          <w:rPr>
            <w:rStyle w:val="Hyperlink"/>
            <w:lang w:val="en-US"/>
          </w:rPr>
          <w:t>www.tga.gov.au/updating-medicine-ingredient-names-list-affected-ingredients</w:t>
        </w:r>
      </w:hyperlink>
      <w:r>
        <w:rPr>
          <w:rStyle w:val="Hyperlink"/>
          <w:lang w:val="en-US"/>
        </w:rPr>
        <w:t>.</w:t>
      </w:r>
    </w:p>
    <w:p w14:paraId="64BFFC39" w14:textId="77777777" w:rsidR="00F6591A" w:rsidRDefault="00F6591A">
      <w:pPr>
        <w:spacing w:after="0"/>
        <w:rPr>
          <w:rFonts w:cs="Arial"/>
          <w:b/>
          <w:bCs/>
          <w:iCs/>
          <w:color w:val="000000"/>
          <w:sz w:val="28"/>
          <w:szCs w:val="28"/>
          <w:highlight w:val="lightGray"/>
          <w:lang w:val="en-AU" w:eastAsia="en-AU"/>
        </w:rPr>
      </w:pPr>
      <w:bookmarkStart w:id="23" w:name="_Toc499035749"/>
      <w:r>
        <w:rPr>
          <w:highlight w:val="lightGray"/>
        </w:rPr>
        <w:br w:type="page"/>
      </w:r>
    </w:p>
    <w:p w14:paraId="1FBA1855" w14:textId="2E0BF362" w:rsidR="00214039" w:rsidRPr="0062270D" w:rsidRDefault="00214039" w:rsidP="00F55AD9">
      <w:pPr>
        <w:pStyle w:val="Heading2"/>
      </w:pPr>
      <w:r w:rsidRPr="0062270D">
        <w:rPr>
          <w:highlight w:val="lightGray"/>
        </w:rPr>
        <w:lastRenderedPageBreak/>
        <w:t xml:space="preserve">IR </w:t>
      </w:r>
      <w:r>
        <w:rPr>
          <w:highlight w:val="lightGray"/>
        </w:rPr>
        <w:t xml:space="preserve">5: User-applied labelling oral </w:t>
      </w:r>
      <w:r w:rsidR="0010386B">
        <w:rPr>
          <w:highlight w:val="lightGray"/>
        </w:rPr>
        <w:t xml:space="preserve">and enteral </w:t>
      </w:r>
      <w:r>
        <w:rPr>
          <w:highlight w:val="lightGray"/>
        </w:rPr>
        <w:t>liquid medicines</w:t>
      </w:r>
      <w:bookmarkEnd w:id="23"/>
      <w:r w:rsidRPr="0062270D">
        <w:rPr>
          <w:highlight w:val="lightGray"/>
        </w:rPr>
        <w:t xml:space="preserve"> </w:t>
      </w:r>
    </w:p>
    <w:p w14:paraId="5341BA3D" w14:textId="77777777" w:rsidR="00C53B04" w:rsidRPr="00A42EAA" w:rsidRDefault="00C53B04" w:rsidP="00C53B04">
      <w:pPr>
        <w:pStyle w:val="Heading3"/>
      </w:pPr>
      <w:r w:rsidRPr="00245840">
        <w:t>Issue</w:t>
      </w:r>
    </w:p>
    <w:p w14:paraId="4EE906F0" w14:textId="4373D22C" w:rsidR="00214039" w:rsidRDefault="00214039" w:rsidP="00214039">
      <w:r w:rsidRPr="00214039">
        <w:t>The</w:t>
      </w:r>
      <w:r>
        <w:t xml:space="preserve"> Commission has been requested to provide </w:t>
      </w:r>
      <w:r w:rsidR="0010386B">
        <w:t xml:space="preserve">further </w:t>
      </w:r>
      <w:r w:rsidRPr="00214039">
        <w:t xml:space="preserve">guidance on the user-applied </w:t>
      </w:r>
      <w:r>
        <w:t xml:space="preserve">labelling of syringes containing oral </w:t>
      </w:r>
      <w:r w:rsidR="0010386B">
        <w:t xml:space="preserve">and enteral </w:t>
      </w:r>
      <w:r>
        <w:t>liquid medicines</w:t>
      </w:r>
      <w:r w:rsidR="00C53B04">
        <w:t>.</w:t>
      </w:r>
      <w:r w:rsidR="0039526C">
        <w:t xml:space="preserve"> </w:t>
      </w:r>
    </w:p>
    <w:p w14:paraId="5B6E07C4" w14:textId="3BAD26C5" w:rsidR="00214039" w:rsidRDefault="00214039" w:rsidP="00214039">
      <w:r>
        <w:t xml:space="preserve">The Labelling Standard sets out the requirements for user-applied labelling of non-injectable fluids that can no longer be identified by their original packaging, including oral </w:t>
      </w:r>
      <w:r w:rsidR="00C53B04">
        <w:t xml:space="preserve">and enteral </w:t>
      </w:r>
      <w:r>
        <w:t>liquids</w:t>
      </w:r>
      <w:r w:rsidR="0039526C">
        <w:t xml:space="preserve"> (see Section 7.6</w:t>
      </w:r>
      <w:r w:rsidR="00C53B04">
        <w:t xml:space="preserve"> of the Labelling Standard</w:t>
      </w:r>
      <w:r w:rsidR="0039526C">
        <w:t xml:space="preserve">, </w:t>
      </w:r>
      <w:r w:rsidR="003E792C">
        <w:t>N</w:t>
      </w:r>
      <w:r w:rsidR="0039526C">
        <w:t>on-injectable medicines and fluids)</w:t>
      </w:r>
      <w:r>
        <w:t>.</w:t>
      </w:r>
    </w:p>
    <w:p w14:paraId="3B2FCCB8" w14:textId="04C64CD4" w:rsidR="00C53B04" w:rsidRDefault="002978B6" w:rsidP="00C53B04">
      <w:r>
        <w:t xml:space="preserve">A </w:t>
      </w:r>
      <w:r w:rsidR="00F3429D">
        <w:t xml:space="preserve">container </w:t>
      </w:r>
      <w:r>
        <w:t xml:space="preserve">label for enteral use is available (Figure 5.1). </w:t>
      </w:r>
      <w:r w:rsidR="00F3429D">
        <w:t>However, t</w:t>
      </w:r>
      <w:r w:rsidR="00C53B04">
        <w:t>here is</w:t>
      </w:r>
      <w:r w:rsidR="00C53B04" w:rsidRPr="000B1947">
        <w:t xml:space="preserve"> no label design artw</w:t>
      </w:r>
      <w:r w:rsidR="00C53B04">
        <w:t>ork for oral syringe labels.</w:t>
      </w:r>
    </w:p>
    <w:p w14:paraId="13130599" w14:textId="68F152EA" w:rsidR="0044785A" w:rsidRDefault="003E792C" w:rsidP="00A75E1B">
      <w:pPr>
        <w:pStyle w:val="FigureName"/>
      </w:pPr>
      <w:r w:rsidRPr="00302A6D">
        <w:t xml:space="preserve">Figure </w:t>
      </w:r>
      <w:r w:rsidR="008D4E2A">
        <w:t>5.</w:t>
      </w:r>
      <w:r>
        <w:t>1:</w:t>
      </w:r>
      <w:r w:rsidRPr="00302A6D">
        <w:t xml:space="preserve"> </w:t>
      </w:r>
      <w:r w:rsidR="00F3429D">
        <w:t>Container l</w:t>
      </w:r>
      <w:r>
        <w:t>abel for enteral use</w:t>
      </w:r>
    </w:p>
    <w:p w14:paraId="67192DA1" w14:textId="461356A6" w:rsidR="0044785A" w:rsidRDefault="0044785A" w:rsidP="0044785A">
      <w:r w:rsidRPr="0019022C">
        <w:rPr>
          <w:noProof/>
          <w:lang w:val="en-AU" w:eastAsia="en-AU"/>
        </w:rPr>
        <w:drawing>
          <wp:inline distT="0" distB="0" distL="0" distR="0" wp14:anchorId="6EEFF1B3" wp14:editId="3CF967C0">
            <wp:extent cx="3081867" cy="1900108"/>
            <wp:effectExtent l="0" t="0" r="4445" b="5080"/>
            <wp:docPr id="131" name="Picture 131" descr="Label for enteral route - black text on green background with green and black hatched border. Label specifies 'For enteral use only' and has space to record patient name, ID, DOB, medicine/s, amount (units), volume (mL), concentration (units/mL), diluent, date, time, prepared by, and checked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nt"/>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2622" t="9286" r="3009" b="8246"/>
                    <a:stretch/>
                  </pic:blipFill>
                  <pic:spPr bwMode="auto">
                    <a:xfrm>
                      <a:off x="0" y="0"/>
                      <a:ext cx="3093590" cy="1907335"/>
                    </a:xfrm>
                    <a:prstGeom prst="rect">
                      <a:avLst/>
                    </a:prstGeom>
                    <a:noFill/>
                    <a:ln>
                      <a:noFill/>
                    </a:ln>
                    <a:extLst>
                      <a:ext uri="{53640926-AAD7-44D8-BBD7-CCE9431645EC}">
                        <a14:shadowObscured xmlns:a14="http://schemas.microsoft.com/office/drawing/2010/main"/>
                      </a:ext>
                    </a:extLst>
                  </pic:spPr>
                </pic:pic>
              </a:graphicData>
            </a:graphic>
          </wp:inline>
        </w:drawing>
      </w:r>
    </w:p>
    <w:p w14:paraId="3E8B35C7" w14:textId="6ACE7953" w:rsidR="00C53B04" w:rsidRDefault="00C53B04" w:rsidP="0044785A">
      <w:bookmarkStart w:id="24" w:name="_Toc499035751"/>
      <w:r>
        <w:t xml:space="preserve">Best practice specifies </w:t>
      </w:r>
      <w:bookmarkEnd w:id="24"/>
      <w:r>
        <w:t>o</w:t>
      </w:r>
      <w:r w:rsidR="0039526C">
        <w:t>ral liquids drawn up from the original container should be given immediately.</w:t>
      </w:r>
      <w:r w:rsidR="00280E6C">
        <w:t xml:space="preserve"> </w:t>
      </w:r>
      <w:r w:rsidR="00FD660A">
        <w:t xml:space="preserve">Labelling is not required when the preparation and bolus administration of a SINGLE medicine are one uninterrupted process, the </w:t>
      </w:r>
      <w:proofErr w:type="gramStart"/>
      <w:r w:rsidR="00FD660A">
        <w:t>syringe DOES NOT leave</w:t>
      </w:r>
      <w:proofErr w:type="gramEnd"/>
      <w:r w:rsidR="00FD660A">
        <w:t xml:space="preserve"> the hands of the person who prepared it and that same person administers the medicine IMMEDIATELY. </w:t>
      </w:r>
    </w:p>
    <w:p w14:paraId="00218133" w14:textId="0D65A358" w:rsidR="00016954" w:rsidRDefault="00C53B04" w:rsidP="0044785A">
      <w:r>
        <w:t xml:space="preserve">There may be instances where the </w:t>
      </w:r>
      <w:r w:rsidR="002978B6">
        <w:t>oral syringe is prepared but</w:t>
      </w:r>
      <w:r>
        <w:t xml:space="preserve"> leave</w:t>
      </w:r>
      <w:r w:rsidR="002978B6">
        <w:t>s</w:t>
      </w:r>
      <w:r>
        <w:t xml:space="preserve"> the hand prior to use</w:t>
      </w:r>
      <w:r w:rsidR="00016954">
        <w:t>. Not labelling is a risk to patient safety.</w:t>
      </w:r>
      <w:r w:rsidR="002978B6">
        <w:t xml:space="preserve"> An abbreviated </w:t>
      </w:r>
      <w:r w:rsidR="00F3429D">
        <w:t xml:space="preserve">container </w:t>
      </w:r>
      <w:r w:rsidR="002978B6">
        <w:t>label</w:t>
      </w:r>
      <w:r w:rsidR="00016954">
        <w:t xml:space="preserve"> </w:t>
      </w:r>
      <w:r w:rsidR="001426A1">
        <w:t xml:space="preserve">‘For Oral Use Only’ </w:t>
      </w:r>
      <w:r w:rsidR="00016954">
        <w:t>may be used in these circumstances.</w:t>
      </w:r>
      <w:r w:rsidR="002978B6">
        <w:t xml:space="preserve"> </w:t>
      </w:r>
      <w:r w:rsidR="001426A1">
        <w:t>B</w:t>
      </w:r>
      <w:r w:rsidR="00016954">
        <w:t>est practice principles still apply as follows:</w:t>
      </w:r>
    </w:p>
    <w:p w14:paraId="00518B34" w14:textId="3BE9B855" w:rsidR="00F83BA3" w:rsidRPr="00F83BA3" w:rsidRDefault="00F83BA3" w:rsidP="00F83BA3">
      <w:pPr>
        <w:pStyle w:val="Bullet"/>
        <w:rPr>
          <w:rFonts w:cs="Arial"/>
          <w:szCs w:val="22"/>
        </w:rPr>
      </w:pPr>
      <w:r>
        <w:t>Liquid medicines</w:t>
      </w:r>
      <w:r w:rsidRPr="0039526C">
        <w:t xml:space="preserve"> </w:t>
      </w:r>
      <w:r>
        <w:t xml:space="preserve">should not be stored </w:t>
      </w:r>
      <w:r w:rsidRPr="0039526C">
        <w:t>in a syringe fo</w:t>
      </w:r>
      <w:r>
        <w:t>r later use</w:t>
      </w:r>
    </w:p>
    <w:p w14:paraId="105167FA" w14:textId="0DF1B225" w:rsidR="00F83BA3" w:rsidRPr="00F83BA3" w:rsidRDefault="00F83BA3" w:rsidP="00F83BA3">
      <w:pPr>
        <w:pStyle w:val="Bullet"/>
        <w:rPr>
          <w:rFonts w:cs="Arial"/>
          <w:szCs w:val="22"/>
        </w:rPr>
      </w:pPr>
      <w:r>
        <w:t xml:space="preserve">Medicines should be prepared </w:t>
      </w:r>
      <w:r w:rsidRPr="00FD660A">
        <w:t>and labelled before the preparation and labelling of a subsequent medicine</w:t>
      </w:r>
    </w:p>
    <w:p w14:paraId="0C4BE71F" w14:textId="0ACE9EB4" w:rsidR="00F83BA3" w:rsidRPr="0025462B" w:rsidRDefault="00F83BA3" w:rsidP="00F83BA3">
      <w:pPr>
        <w:pStyle w:val="Bullet"/>
        <w:rPr>
          <w:rFonts w:cs="Arial"/>
          <w:szCs w:val="22"/>
        </w:rPr>
      </w:pPr>
      <w:r>
        <w:t>M</w:t>
      </w:r>
      <w:r w:rsidRPr="00FD660A">
        <w:t xml:space="preserve">ultiple oral </w:t>
      </w:r>
      <w:r w:rsidRPr="0039526C">
        <w:t xml:space="preserve">(liquid and crushed) </w:t>
      </w:r>
      <w:r>
        <w:t>medicines should not be drawn up in one</w:t>
      </w:r>
      <w:r w:rsidRPr="00FD660A">
        <w:t xml:space="preserve"> syrin</w:t>
      </w:r>
      <w:r>
        <w:t>ge</w:t>
      </w:r>
    </w:p>
    <w:p w14:paraId="02FB812E" w14:textId="19FDBD32" w:rsidR="00103407" w:rsidRDefault="001426A1" w:rsidP="00103407">
      <w:r>
        <w:t>An abbreviated container (syringe) label for oral medicines (Figure 5.2) is available to identify the oral medicine in a syringe when that medicine has been removed from its original packaging and the syringe may leave the hand. The label is based on a design by t</w:t>
      </w:r>
      <w:r w:rsidR="003039D2">
        <w:t xml:space="preserve">he </w:t>
      </w:r>
      <w:r w:rsidR="003039D2" w:rsidRPr="003039D2">
        <w:t xml:space="preserve">Women’s &amp; Children’s Hospital Network </w:t>
      </w:r>
      <w:r w:rsidR="003039D2">
        <w:t>(</w:t>
      </w:r>
      <w:r w:rsidR="00103407">
        <w:t>WCHN</w:t>
      </w:r>
      <w:r w:rsidR="003039D2">
        <w:t>)</w:t>
      </w:r>
      <w:r w:rsidR="00C53B04">
        <w:t>, South Australia</w:t>
      </w:r>
      <w:r>
        <w:t>.</w:t>
      </w:r>
    </w:p>
    <w:p w14:paraId="3D4C4BFB" w14:textId="77777777" w:rsidR="003C3347" w:rsidRDefault="003039D2" w:rsidP="003C3347">
      <w:pPr>
        <w:pStyle w:val="FigureNameSpace"/>
        <w:spacing w:after="120"/>
        <w:ind w:left="1077" w:hanging="1077"/>
      </w:pPr>
      <w:r w:rsidRPr="00302A6D">
        <w:t xml:space="preserve">Figure </w:t>
      </w:r>
      <w:r w:rsidR="008D4E2A">
        <w:t>5.2</w:t>
      </w:r>
      <w:r>
        <w:t>:</w:t>
      </w:r>
      <w:r w:rsidRPr="00302A6D">
        <w:t xml:space="preserve"> </w:t>
      </w:r>
      <w:r>
        <w:t>Abbreviated label for oral use</w:t>
      </w:r>
    </w:p>
    <w:p w14:paraId="6C3D9BCF" w14:textId="330BB1FA" w:rsidR="00103407" w:rsidRDefault="003C3347" w:rsidP="003C3347">
      <w:pPr>
        <w:pStyle w:val="FigureNameSpace"/>
      </w:pPr>
      <w:r>
        <w:t xml:space="preserve"> </w:t>
      </w:r>
      <w:r>
        <w:rPr>
          <w:noProof/>
        </w:rPr>
        <w:drawing>
          <wp:inline distT="0" distB="0" distL="0" distR="0" wp14:anchorId="5972F691" wp14:editId="161502DC">
            <wp:extent cx="2455334" cy="924619"/>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6538" cy="925072"/>
                    </a:xfrm>
                    <a:prstGeom prst="rect">
                      <a:avLst/>
                    </a:prstGeom>
                    <a:noFill/>
                    <a:ln>
                      <a:noFill/>
                    </a:ln>
                  </pic:spPr>
                </pic:pic>
              </a:graphicData>
            </a:graphic>
          </wp:inline>
        </w:drawing>
      </w:r>
    </w:p>
    <w:p w14:paraId="47FDD9EF" w14:textId="784DA82F" w:rsidR="00F3429D" w:rsidRDefault="00F3429D" w:rsidP="00103407">
      <w:r>
        <w:lastRenderedPageBreak/>
        <w:t xml:space="preserve">This label may aid identification and compliance </w:t>
      </w:r>
      <w:r w:rsidRPr="007262E6">
        <w:t>in paediatric and neonat</w:t>
      </w:r>
      <w:r>
        <w:t>al health services</w:t>
      </w:r>
      <w:r w:rsidRPr="007262E6">
        <w:t xml:space="preserve"> where a number of oral medic</w:t>
      </w:r>
      <w:r>
        <w:t>ines</w:t>
      </w:r>
      <w:r w:rsidRPr="007262E6">
        <w:t xml:space="preserve"> </w:t>
      </w:r>
      <w:r>
        <w:t>are</w:t>
      </w:r>
      <w:r w:rsidRPr="007262E6">
        <w:t xml:space="preserve"> prepared</w:t>
      </w:r>
      <w:r>
        <w:t>.</w:t>
      </w:r>
    </w:p>
    <w:p w14:paraId="35FF1400" w14:textId="6EBAA4B3" w:rsidR="0022142F" w:rsidRDefault="0022142F" w:rsidP="0022142F">
      <w:pPr>
        <w:pStyle w:val="NormalBeforeBullet"/>
      </w:pPr>
      <w:r>
        <w:t>User-applied labelling of enteral medicines:</w:t>
      </w:r>
    </w:p>
    <w:p w14:paraId="7E6DE6C9" w14:textId="639C1196" w:rsidR="00F3429D" w:rsidRDefault="00A42EAA" w:rsidP="001E1737">
      <w:pPr>
        <w:pStyle w:val="NumberList"/>
      </w:pPr>
      <w:r>
        <w:t>1.</w:t>
      </w:r>
      <w:r>
        <w:tab/>
      </w:r>
      <w:r w:rsidR="00103407">
        <w:t>All non-injectable</w:t>
      </w:r>
      <w:r w:rsidR="005320F7">
        <w:t xml:space="preserve"> enteral </w:t>
      </w:r>
      <w:r w:rsidR="00103407">
        <w:t xml:space="preserve">liquid medicines are </w:t>
      </w:r>
      <w:r w:rsidR="005320F7">
        <w:t>prepared in</w:t>
      </w:r>
      <w:r w:rsidR="00103407">
        <w:t xml:space="preserve"> a</w:t>
      </w:r>
      <w:r w:rsidR="003039D2">
        <w:t xml:space="preserve"> clearly labelled</w:t>
      </w:r>
      <w:r w:rsidR="00103407">
        <w:t xml:space="preserve"> enteral syringe</w:t>
      </w:r>
      <w:r w:rsidR="003039D2">
        <w:t>,</w:t>
      </w:r>
      <w:r w:rsidR="00103407">
        <w:t xml:space="preserve"> designed to administer medicines via </w:t>
      </w:r>
      <w:r w:rsidR="005320F7">
        <w:t xml:space="preserve">the </w:t>
      </w:r>
      <w:r w:rsidR="00103407">
        <w:t>enteral route</w:t>
      </w:r>
      <w:r w:rsidR="0022142F">
        <w:t xml:space="preserve">. </w:t>
      </w:r>
      <w:r w:rsidR="001426A1">
        <w:t xml:space="preserve">Note: </w:t>
      </w:r>
      <w:r w:rsidR="00F3429D">
        <w:t xml:space="preserve">The international standard ISO 80369-3:2016 </w:t>
      </w:r>
      <w:r w:rsidR="00F3429D" w:rsidRPr="00280E6C">
        <w:rPr>
          <w:i/>
        </w:rPr>
        <w:t xml:space="preserve">Small-bore </w:t>
      </w:r>
      <w:r w:rsidR="00F3429D">
        <w:rPr>
          <w:i/>
        </w:rPr>
        <w:t>C</w:t>
      </w:r>
      <w:r w:rsidR="00F3429D" w:rsidRPr="00280E6C">
        <w:rPr>
          <w:i/>
        </w:rPr>
        <w:t xml:space="preserve">onnectors for </w:t>
      </w:r>
      <w:r w:rsidR="00F3429D">
        <w:rPr>
          <w:i/>
        </w:rPr>
        <w:t>L</w:t>
      </w:r>
      <w:r w:rsidR="00F3429D" w:rsidRPr="00280E6C">
        <w:rPr>
          <w:i/>
        </w:rPr>
        <w:t xml:space="preserve">iquids and </w:t>
      </w:r>
      <w:r w:rsidR="00F3429D">
        <w:rPr>
          <w:i/>
        </w:rPr>
        <w:t>G</w:t>
      </w:r>
      <w:r w:rsidR="00F3429D" w:rsidRPr="00280E6C">
        <w:rPr>
          <w:i/>
        </w:rPr>
        <w:t xml:space="preserve">ases in </w:t>
      </w:r>
      <w:r w:rsidR="00F3429D">
        <w:rPr>
          <w:i/>
        </w:rPr>
        <w:t>H</w:t>
      </w:r>
      <w:r w:rsidR="00F3429D" w:rsidRPr="00280E6C">
        <w:rPr>
          <w:i/>
        </w:rPr>
        <w:t xml:space="preserve">ealthcare </w:t>
      </w:r>
      <w:r w:rsidR="00F3429D">
        <w:rPr>
          <w:i/>
        </w:rPr>
        <w:t>A</w:t>
      </w:r>
      <w:r w:rsidR="00F3429D" w:rsidRPr="00280E6C">
        <w:rPr>
          <w:i/>
        </w:rPr>
        <w:t xml:space="preserve">pplications </w:t>
      </w:r>
      <w:r w:rsidR="00F3429D">
        <w:t>specifies c</w:t>
      </w:r>
      <w:r w:rsidR="00F3429D" w:rsidRPr="00892FD1">
        <w:t>onnectors for enteral applications</w:t>
      </w:r>
      <w:r w:rsidR="00F3429D">
        <w:rPr>
          <w:vertAlign w:val="superscript"/>
        </w:rPr>
        <w:t>2</w:t>
      </w:r>
      <w:r w:rsidR="00F3429D">
        <w:t>. These connectors should be used to ensure syringes with enteral liquids are NOT compatible with parenteral entry portals.</w:t>
      </w:r>
    </w:p>
    <w:p w14:paraId="5D9F5AA0" w14:textId="3C5E8986" w:rsidR="0022142F" w:rsidRDefault="0022142F" w:rsidP="0022142F">
      <w:pPr>
        <w:pStyle w:val="NumberList"/>
      </w:pPr>
      <w:r>
        <w:t>2.</w:t>
      </w:r>
      <w:r>
        <w:tab/>
        <w:t>A medicine for enteral administration via an enteral infusion device is labelled with the full container label (Figure 5.1). Prompts are completed for medicine, dose, volume route and time of preparation, including patient identification and the signatures of the two users</w:t>
      </w:r>
    </w:p>
    <w:p w14:paraId="12DA6336" w14:textId="11CE9ADF" w:rsidR="0022142F" w:rsidRDefault="0022142F" w:rsidP="0022142F">
      <w:pPr>
        <w:pStyle w:val="NumberList"/>
      </w:pPr>
      <w:r>
        <w:t>3.</w:t>
      </w:r>
      <w:r>
        <w:tab/>
        <w:t>All administration lines for enteral medicines should be labelled and include route of administration (Figure 5.3).</w:t>
      </w:r>
    </w:p>
    <w:p w14:paraId="0835BA09" w14:textId="77777777" w:rsidR="0022142F" w:rsidRDefault="0022142F" w:rsidP="0022142F">
      <w:pPr>
        <w:pStyle w:val="FigureName"/>
      </w:pPr>
      <w:r>
        <w:t>Figure 5.3: Route label for enteral use</w:t>
      </w:r>
    </w:p>
    <w:p w14:paraId="69C4E8E2" w14:textId="04E97F3C" w:rsidR="0022142F" w:rsidRDefault="0022142F" w:rsidP="0022142F">
      <w:pPr>
        <w:pStyle w:val="NumberList"/>
      </w:pPr>
      <w:r>
        <w:rPr>
          <w:noProof/>
        </w:rPr>
        <w:drawing>
          <wp:inline distT="0" distB="0" distL="0" distR="0" wp14:anchorId="0CC2D5ED" wp14:editId="2AFD398B">
            <wp:extent cx="1778000" cy="860037"/>
            <wp:effectExtent l="0" t="0" r="0" b="0"/>
            <wp:docPr id="15" name="Picture 15" descr="Line label for enteral route - black text on green background with green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label for enteral route - black text on green background with green and black hatched border. Label specifies the route and has space to record date and time commenced."/>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75051" cy="858611"/>
                    </a:xfrm>
                    <a:prstGeom prst="rect">
                      <a:avLst/>
                    </a:prstGeom>
                    <a:noFill/>
                    <a:ln>
                      <a:noFill/>
                    </a:ln>
                  </pic:spPr>
                </pic:pic>
              </a:graphicData>
            </a:graphic>
          </wp:inline>
        </w:drawing>
      </w:r>
    </w:p>
    <w:p w14:paraId="7264CE72" w14:textId="0CDD9556" w:rsidR="0022142F" w:rsidRDefault="0022142F" w:rsidP="0022142F">
      <w:pPr>
        <w:pStyle w:val="NormalBeforeBullet"/>
      </w:pPr>
      <w:r>
        <w:t>User-applied labelling of oral medicines:</w:t>
      </w:r>
    </w:p>
    <w:p w14:paraId="57758CC2" w14:textId="3E181189" w:rsidR="005320F7" w:rsidRDefault="0022142F" w:rsidP="005320F7">
      <w:pPr>
        <w:pStyle w:val="NumberList"/>
      </w:pPr>
      <w:r>
        <w:t>1</w:t>
      </w:r>
      <w:r w:rsidR="005320F7">
        <w:t>.</w:t>
      </w:r>
      <w:r w:rsidR="005320F7">
        <w:tab/>
        <w:t>All non-injectable oral liquid medicines are prepared in a clearly labelled syringe designed to administer medicines orally</w:t>
      </w:r>
    </w:p>
    <w:p w14:paraId="3E5DB8B4" w14:textId="3C659B46" w:rsidR="003039D2" w:rsidRDefault="0022142F" w:rsidP="00A75E1B">
      <w:pPr>
        <w:pStyle w:val="NumberList"/>
      </w:pPr>
      <w:r>
        <w:t>2</w:t>
      </w:r>
      <w:r w:rsidR="00A42EAA">
        <w:t>.</w:t>
      </w:r>
      <w:r w:rsidR="00A42EAA">
        <w:tab/>
      </w:r>
      <w:r w:rsidR="005320F7">
        <w:t>The</w:t>
      </w:r>
      <w:r w:rsidR="00103407">
        <w:t xml:space="preserve"> green oral/enteral </w:t>
      </w:r>
      <w:r w:rsidR="005320F7">
        <w:t>abbreviated container</w:t>
      </w:r>
      <w:r w:rsidR="00103407">
        <w:t xml:space="preserve"> label (Figure 5.2) </w:t>
      </w:r>
      <w:r w:rsidR="005320F7">
        <w:t xml:space="preserve">is completed </w:t>
      </w:r>
      <w:r w:rsidR="00103407">
        <w:t xml:space="preserve">with the patient </w:t>
      </w:r>
      <w:r w:rsidR="005320F7">
        <w:t xml:space="preserve">name and identifiers </w:t>
      </w:r>
      <w:r w:rsidR="00103407">
        <w:t>and the medicine in the syringe/container</w:t>
      </w:r>
      <w:r w:rsidR="005320F7">
        <w:t>. M</w:t>
      </w:r>
      <w:r w:rsidR="00103407">
        <w:t>edicines</w:t>
      </w:r>
      <w:r w:rsidR="003039D2">
        <w:t xml:space="preserve"> </w:t>
      </w:r>
      <w:r w:rsidR="00103407">
        <w:t>prepared and administered in a single action</w:t>
      </w:r>
      <w:r w:rsidR="008175E8">
        <w:t>,</w:t>
      </w:r>
      <w:r w:rsidR="00103407">
        <w:t xml:space="preserve"> </w:t>
      </w:r>
      <w:r w:rsidR="003039D2">
        <w:t xml:space="preserve">and </w:t>
      </w:r>
      <w:r w:rsidR="005320F7">
        <w:t xml:space="preserve">that </w:t>
      </w:r>
      <w:r w:rsidR="00103407">
        <w:t>do not leave the hands of the person preparing/administering the medicine do not require labelling</w:t>
      </w:r>
      <w:r>
        <w:t>.</w:t>
      </w:r>
    </w:p>
    <w:p w14:paraId="52A656C0" w14:textId="77777777" w:rsidR="00F3429D" w:rsidRPr="00F3429D" w:rsidRDefault="00F3429D" w:rsidP="00F3429D">
      <w:r w:rsidRPr="00F3429D">
        <w:t>Colour coding</w:t>
      </w:r>
    </w:p>
    <w:p w14:paraId="4807354B" w14:textId="755BA13F" w:rsidR="001426A1" w:rsidRDefault="00F3429D" w:rsidP="001E1737">
      <w:pPr>
        <w:pStyle w:val="NormalBeforeBullet"/>
      </w:pPr>
      <w:r>
        <w:t xml:space="preserve">Colour remains a secondary identifier to the written word as the primary identifier. </w:t>
      </w:r>
      <w:r w:rsidRPr="004E44FF">
        <w:t>In Australia, some manufacturers have advised that purple colour will be used for enteral specific connectors and adaptors</w:t>
      </w:r>
      <w:r>
        <w:t xml:space="preserve"> that comply with ISO80369-3:2016</w:t>
      </w:r>
      <w:r w:rsidRPr="004E44FF">
        <w:t>. For oral syringes, purple and orange colours are used depending on the manufacturer. The user-applied Labelling Standard uses green</w:t>
      </w:r>
      <w:r>
        <w:t>-</w:t>
      </w:r>
      <w:r w:rsidRPr="004E44FF">
        <w:t>coloured labels for enteral route containers and lines. The Health Services Medication Advisory Group note</w:t>
      </w:r>
      <w:r>
        <w:t>s</w:t>
      </w:r>
      <w:r w:rsidRPr="004E44FF">
        <w:t xml:space="preserve"> that </w:t>
      </w:r>
      <w:r>
        <w:t>organisation</w:t>
      </w:r>
      <w:r w:rsidRPr="004E44FF">
        <w:t>s are managing this variation at a local level and that no changes are required to the</w:t>
      </w:r>
      <w:r>
        <w:t xml:space="preserve"> </w:t>
      </w:r>
      <w:r w:rsidRPr="004E44FF">
        <w:t>Labelling Standard.</w:t>
      </w:r>
      <w:r>
        <w:t xml:space="preserve"> The standard specifies green (PMS 361) for enteral/oral route labels.</w:t>
      </w:r>
    </w:p>
    <w:p w14:paraId="57945CF4" w14:textId="6C99C7E6" w:rsidR="001426A1" w:rsidRDefault="001426A1" w:rsidP="001426A1">
      <w:pPr>
        <w:pStyle w:val="BoxText"/>
        <w:rPr>
          <w:lang w:val="en-US"/>
        </w:rPr>
      </w:pPr>
      <w:r>
        <w:rPr>
          <w:lang w:val="en-US"/>
        </w:rPr>
        <w:t xml:space="preserve">Response: </w:t>
      </w:r>
      <w:r w:rsidR="001E1737">
        <w:rPr>
          <w:lang w:val="en-US"/>
        </w:rPr>
        <w:t>Make available a</w:t>
      </w:r>
      <w:r>
        <w:rPr>
          <w:lang w:val="en-US"/>
        </w:rPr>
        <w:t xml:space="preserve"> label ‘For Oral Use Only’</w:t>
      </w:r>
      <w:r w:rsidR="001E1737">
        <w:rPr>
          <w:lang w:val="en-US"/>
        </w:rPr>
        <w:t>.</w:t>
      </w:r>
    </w:p>
    <w:p w14:paraId="4BEB93C6" w14:textId="2879FC26" w:rsidR="001426A1" w:rsidRDefault="001426A1" w:rsidP="001426A1">
      <w:pPr>
        <w:pStyle w:val="BoxText"/>
      </w:pPr>
      <w:r>
        <w:rPr>
          <w:lang w:val="en-US"/>
        </w:rPr>
        <w:t>Reason:</w:t>
      </w:r>
      <w:r w:rsidRPr="00EC31C3">
        <w:t xml:space="preserve"> </w:t>
      </w:r>
      <w:r w:rsidRPr="00187A1C">
        <w:t xml:space="preserve">To </w:t>
      </w:r>
      <w:r>
        <w:t>ensure oral medicines removed from their original packaging can be identified</w:t>
      </w:r>
      <w:r w:rsidR="00F83BA3" w:rsidRPr="00F83BA3">
        <w:rPr>
          <w:lang w:val="en-US"/>
        </w:rPr>
        <w:t xml:space="preserve"> </w:t>
      </w:r>
      <w:r w:rsidR="00F83BA3">
        <w:rPr>
          <w:lang w:val="en-US"/>
        </w:rPr>
        <w:t xml:space="preserve">where </w:t>
      </w:r>
      <w:proofErr w:type="spellStart"/>
      <w:r w:rsidR="00F83BA3">
        <w:rPr>
          <w:lang w:val="en-US"/>
        </w:rPr>
        <w:t>paediatric</w:t>
      </w:r>
      <w:proofErr w:type="spellEnd"/>
      <w:r w:rsidR="00F83BA3">
        <w:rPr>
          <w:lang w:val="en-US"/>
        </w:rPr>
        <w:t xml:space="preserve"> and neonatal services prepare oral syringes that may leave the hand.</w:t>
      </w:r>
    </w:p>
    <w:p w14:paraId="71BEED41" w14:textId="6ACB01C3" w:rsidR="001426A1" w:rsidRDefault="001426A1" w:rsidP="001426A1">
      <w:pPr>
        <w:pStyle w:val="BoxText"/>
        <w:rPr>
          <w:lang w:val="en-US"/>
        </w:rPr>
      </w:pPr>
      <w:r>
        <w:t xml:space="preserve">Action: Use </w:t>
      </w:r>
      <w:r w:rsidR="001E1737">
        <w:t>the label ‘For Oral Use Only’ noting the label is under evaluation</w:t>
      </w:r>
      <w:r w:rsidR="00F83BA3">
        <w:t>.</w:t>
      </w:r>
    </w:p>
    <w:p w14:paraId="6D819A14" w14:textId="459BF5FF" w:rsidR="005E2972" w:rsidRDefault="005E2972" w:rsidP="001426A1">
      <w:r>
        <w:br w:type="page"/>
      </w:r>
    </w:p>
    <w:p w14:paraId="56B23A6F" w14:textId="3AC593BD" w:rsidR="005E2972" w:rsidRDefault="005E2972" w:rsidP="005E2972">
      <w:pPr>
        <w:pStyle w:val="Heading1"/>
      </w:pPr>
      <w:r>
        <w:lastRenderedPageBreak/>
        <w:t>References</w:t>
      </w:r>
    </w:p>
    <w:p w14:paraId="48C1978C" w14:textId="0CC2CCD3" w:rsidR="005E2972" w:rsidRDefault="005E2972" w:rsidP="00A75E1B">
      <w:pPr>
        <w:rPr>
          <w:lang w:val="en-AU" w:eastAsia="en-AU"/>
        </w:rPr>
      </w:pPr>
      <w:r>
        <w:rPr>
          <w:lang w:val="en-AU" w:eastAsia="en-AU"/>
        </w:rPr>
        <w:t xml:space="preserve">1. </w:t>
      </w:r>
      <w:r w:rsidRPr="005E2972">
        <w:rPr>
          <w:lang w:val="en-AU" w:eastAsia="en-AU"/>
        </w:rPr>
        <w:t xml:space="preserve">Australian Commission on Safety and Quality in Health Care. </w:t>
      </w:r>
      <w:proofErr w:type="gramStart"/>
      <w:r w:rsidRPr="005E2972">
        <w:rPr>
          <w:lang w:val="en-AU" w:eastAsia="en-AU"/>
        </w:rPr>
        <w:t>National Standard for User-a</w:t>
      </w:r>
      <w:r>
        <w:rPr>
          <w:lang w:val="en-AU" w:eastAsia="en-AU"/>
        </w:rPr>
        <w:t xml:space="preserve">pplied Labelling of Injectable </w:t>
      </w:r>
      <w:r w:rsidRPr="005E2972">
        <w:rPr>
          <w:lang w:val="en-AU" w:eastAsia="en-AU"/>
        </w:rPr>
        <w:t>Medicines, Fluids and Lines.</w:t>
      </w:r>
      <w:proofErr w:type="gramEnd"/>
      <w:r w:rsidRPr="005E2972">
        <w:rPr>
          <w:lang w:val="en-AU" w:eastAsia="en-AU"/>
        </w:rPr>
        <w:t xml:space="preserve"> Sydney: ACSQHC, 2015</w:t>
      </w:r>
    </w:p>
    <w:p w14:paraId="508AAC74" w14:textId="59428CFE" w:rsidR="003419C5" w:rsidRDefault="005E2972" w:rsidP="003419C5">
      <w:pPr>
        <w:rPr>
          <w:rStyle w:val="Hyperlink"/>
        </w:rPr>
      </w:pPr>
      <w:r>
        <w:rPr>
          <w:lang w:val="en-AU" w:eastAsia="en-AU"/>
        </w:rPr>
        <w:t xml:space="preserve">2. </w:t>
      </w:r>
      <w:r w:rsidR="003419C5">
        <w:t>International Organization for Standardization. P</w:t>
      </w:r>
      <w:r w:rsidR="003419C5" w:rsidRPr="005D5B67">
        <w:t>art 3: connectors for enteral applications</w:t>
      </w:r>
      <w:r w:rsidR="003419C5">
        <w:t xml:space="preserve">. In ISO 80369-3:2016 </w:t>
      </w:r>
      <w:r w:rsidR="003419C5" w:rsidRPr="00A75E1B">
        <w:t>Small-bore connectors for liquids and gases in healthcare applications</w:t>
      </w:r>
      <w:r w:rsidR="003419C5">
        <w:t xml:space="preserve">. Geneva: ISO; 2016 </w:t>
      </w:r>
      <w:r w:rsidR="003419C5" w:rsidRPr="00892FD1">
        <w:t>[cited 2017 30 October]</w:t>
      </w:r>
      <w:r w:rsidR="003419C5">
        <w:t xml:space="preserve">. Available at: </w:t>
      </w:r>
      <w:hyperlink r:id="rId57" w:history="1">
        <w:r w:rsidR="003419C5" w:rsidRPr="00465161">
          <w:rPr>
            <w:rStyle w:val="Hyperlink"/>
          </w:rPr>
          <w:t>www.iso.org/standard/50731.html</w:t>
        </w:r>
      </w:hyperlink>
    </w:p>
    <w:p w14:paraId="44DC3705" w14:textId="77777777" w:rsidR="003419C5" w:rsidRDefault="003419C5" w:rsidP="003419C5">
      <w:r w:rsidRPr="003266AC">
        <w:rPr>
          <w:rStyle w:val="Hyperlink"/>
          <w:color w:val="auto"/>
          <w:u w:val="none"/>
        </w:rPr>
        <w:t>3.</w:t>
      </w:r>
      <w:r w:rsidRPr="00BF151B">
        <w:rPr>
          <w:rStyle w:val="Hyperlink"/>
          <w:u w:val="none"/>
        </w:rPr>
        <w:t xml:space="preserve"> </w:t>
      </w:r>
      <w:r w:rsidRPr="00892FD1">
        <w:t>Cohen MR</w:t>
      </w:r>
      <w:r>
        <w:t xml:space="preserve">, editor. </w:t>
      </w:r>
      <w:proofErr w:type="gramStart"/>
      <w:r w:rsidRPr="00892FD1">
        <w:t xml:space="preserve">Medication </w:t>
      </w:r>
      <w:r>
        <w:t>e</w:t>
      </w:r>
      <w:r w:rsidRPr="00892FD1">
        <w:t>rrors</w:t>
      </w:r>
      <w:r>
        <w:t>,</w:t>
      </w:r>
      <w:r w:rsidRPr="00892FD1">
        <w:t xml:space="preserve"> 2nd edition.</w:t>
      </w:r>
      <w:proofErr w:type="gramEnd"/>
      <w:r w:rsidRPr="00892FD1">
        <w:t xml:space="preserve"> Washington DC: American Pharmacists Association; 2007</w:t>
      </w:r>
      <w:r>
        <w:t>.</w:t>
      </w:r>
    </w:p>
    <w:p w14:paraId="4F378286" w14:textId="1F972201" w:rsidR="003419C5" w:rsidRDefault="003419C5" w:rsidP="003419C5">
      <w:proofErr w:type="gramStart"/>
      <w:r>
        <w:t xml:space="preserve">4. </w:t>
      </w:r>
      <w:r w:rsidRPr="00892FD1">
        <w:t>National Patient Safety Agency.</w:t>
      </w:r>
      <w:proofErr w:type="gramEnd"/>
      <w:r w:rsidRPr="00892FD1">
        <w:t xml:space="preserve"> </w:t>
      </w:r>
      <w:r w:rsidRPr="00A75E1B">
        <w:t>Patient safety alert 19: promoting safer measurement and administration of liquid medicines via oral and other enteral routes</w:t>
      </w:r>
      <w:r>
        <w:t xml:space="preserve">. London, UK: </w:t>
      </w:r>
      <w:r w:rsidRPr="00892FD1">
        <w:t>National Patient Safety Agency; 2007 [cited 201</w:t>
      </w:r>
      <w:r>
        <w:t>7 30</w:t>
      </w:r>
      <w:r w:rsidRPr="00892FD1">
        <w:t xml:space="preserve"> </w:t>
      </w:r>
      <w:r>
        <w:t xml:space="preserve">October]. Available at: </w:t>
      </w:r>
      <w:hyperlink r:id="rId58" w:history="1">
        <w:r w:rsidRPr="005D5B67">
          <w:rPr>
            <w:rStyle w:val="Hyperlink"/>
          </w:rPr>
          <w:t>www.nrls.npsa.nhs.uk/resources/?EntryId45=59808</w:t>
        </w:r>
      </w:hyperlink>
    </w:p>
    <w:p w14:paraId="1BB744FE" w14:textId="1188B6DF" w:rsidR="003419C5" w:rsidRDefault="003419C5" w:rsidP="003419C5"/>
    <w:p w14:paraId="283861B1" w14:textId="16088F22" w:rsidR="005E2972" w:rsidRPr="00A75E1B" w:rsidRDefault="005E2972" w:rsidP="00A75E1B">
      <w:pPr>
        <w:rPr>
          <w:lang w:val="en-AU" w:eastAsia="en-AU"/>
        </w:rPr>
      </w:pPr>
    </w:p>
    <w:p w14:paraId="453F3236" w14:textId="77777777" w:rsidR="00214039" w:rsidRDefault="00214039" w:rsidP="004E44FF"/>
    <w:sectPr w:rsidR="00214039">
      <w:headerReference w:type="even" r:id="rId59"/>
      <w:headerReference w:type="default" r:id="rId60"/>
      <w:footerReference w:type="even" r:id="rId61"/>
      <w:headerReference w:type="first" r:id="rId62"/>
      <w:footerReference w:type="first" r:id="rId63"/>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758AB" w15:done="0"/>
  <w15:commentEx w15:paraId="24596D33" w15:done="0"/>
  <w15:commentEx w15:paraId="4AA36771" w15:done="0"/>
  <w15:commentEx w15:paraId="4DE0BD64" w15:done="0"/>
  <w15:commentEx w15:paraId="7411777F" w15:done="0"/>
  <w15:commentEx w15:paraId="092C47F5" w15:done="0"/>
  <w15:commentEx w15:paraId="792222BB" w15:done="0"/>
  <w15:commentEx w15:paraId="1300DFE3" w15:done="0"/>
  <w15:commentEx w15:paraId="5A7B79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ADEE1" w14:textId="77777777" w:rsidR="00A75E1B" w:rsidRDefault="00A75E1B" w:rsidP="00741160">
      <w:r>
        <w:separator/>
      </w:r>
    </w:p>
  </w:endnote>
  <w:endnote w:type="continuationSeparator" w:id="0">
    <w:p w14:paraId="1083F21B" w14:textId="77777777" w:rsidR="00A75E1B" w:rsidRDefault="00A75E1B" w:rsidP="0074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6AD66" w14:textId="12174C5B" w:rsidR="00A75E1B" w:rsidRPr="00C3631B" w:rsidRDefault="00A75E1B" w:rsidP="009B010A">
    <w:pPr>
      <w:pStyle w:val="Footer"/>
      <w:spacing w:after="840"/>
      <w:ind w:left="1418"/>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A5B50" w14:textId="77777777" w:rsidR="00A75E1B" w:rsidRPr="00E8371B" w:rsidRDefault="00A75E1B">
    <w:pPr>
      <w:pStyle w:val="Footer"/>
      <w:rPr>
        <w:rFonts w:cs="Arial"/>
        <w:b/>
        <w:sz w:val="18"/>
        <w:szCs w:val="18"/>
      </w:rPr>
    </w:pPr>
    <w:r w:rsidRPr="00E8371B">
      <w:rPr>
        <w:rStyle w:val="PageNumber"/>
        <w:rFonts w:ascii="Arial" w:hAnsi="Arial" w:cs="Arial"/>
        <w:b w:val="0"/>
        <w:sz w:val="18"/>
        <w:szCs w:val="18"/>
      </w:rPr>
      <w:fldChar w:fldCharType="begin"/>
    </w:r>
    <w:r w:rsidRPr="00E8371B">
      <w:rPr>
        <w:rStyle w:val="PageNumber"/>
        <w:rFonts w:ascii="Arial" w:hAnsi="Arial" w:cs="Arial"/>
        <w:b w:val="0"/>
        <w:sz w:val="18"/>
        <w:szCs w:val="18"/>
      </w:rPr>
      <w:instrText xml:space="preserve"> PAGE </w:instrText>
    </w:r>
    <w:r w:rsidRPr="00E8371B">
      <w:rPr>
        <w:rStyle w:val="PageNumber"/>
        <w:rFonts w:ascii="Arial" w:hAnsi="Arial" w:cs="Arial"/>
        <w:b w:val="0"/>
        <w:sz w:val="18"/>
        <w:szCs w:val="18"/>
      </w:rPr>
      <w:fldChar w:fldCharType="separate"/>
    </w:r>
    <w:r>
      <w:rPr>
        <w:rStyle w:val="PageNumber"/>
        <w:rFonts w:ascii="Arial" w:hAnsi="Arial" w:cs="Arial"/>
        <w:b w:val="0"/>
        <w:noProof/>
        <w:sz w:val="18"/>
        <w:szCs w:val="18"/>
      </w:rPr>
      <w:t>2</w:t>
    </w:r>
    <w:r w:rsidRPr="00E8371B">
      <w:rPr>
        <w:rStyle w:val="PageNumber"/>
        <w:rFonts w:ascii="Arial" w:hAnsi="Arial" w:cs="Arial"/>
        <w:b w:val="0"/>
        <w:sz w:val="18"/>
        <w:szCs w:val="18"/>
      </w:rPr>
      <w:fldChar w:fldCharType="end"/>
    </w:r>
    <w:r w:rsidRPr="00E8371B">
      <w:rPr>
        <w:rStyle w:val="PageNumber"/>
        <w:rFonts w:ascii="Arial" w:hAnsi="Arial" w:cs="Arial"/>
        <w:b w:val="0"/>
        <w:sz w:val="18"/>
        <w:szCs w:val="18"/>
      </w:rPr>
      <w:tab/>
      <w:t>National Standard for User-applied Labelling of Injectable Medicines, Fluids and Lines: audit tool user guide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6B212" w14:textId="103B5DF3" w:rsidR="00A75E1B" w:rsidRPr="000573FE" w:rsidRDefault="00A75E1B">
    <w:pPr>
      <w:pStyle w:val="Footer"/>
      <w:jc w:val="right"/>
      <w:rPr>
        <w:rFonts w:asciiTheme="minorHAnsi" w:hAnsiTheme="minorHAnsi"/>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8C8CD" w14:textId="3005ED95" w:rsidR="00A75E1B" w:rsidRPr="00693C55" w:rsidRDefault="00A75E1B">
    <w:pPr>
      <w:pStyle w:val="Footer"/>
      <w:jc w:val="right"/>
      <w:rPr>
        <w:rFonts w:cs="Arial"/>
        <w:b/>
        <w:sz w:val="18"/>
        <w:szCs w:val="18"/>
      </w:rPr>
    </w:pPr>
    <w:r w:rsidRPr="00693C55">
      <w:rPr>
        <w:rStyle w:val="PageNumber"/>
        <w:rFonts w:ascii="Arial" w:hAnsi="Arial" w:cs="Arial"/>
        <w:b w:val="0"/>
        <w:sz w:val="18"/>
        <w:szCs w:val="18"/>
      </w:rPr>
      <w:t xml:space="preserve">National Standard for User-applied Labelling of Injectable Medicines, Fluids and Lines: </w:t>
    </w:r>
    <w:r>
      <w:rPr>
        <w:rStyle w:val="PageNumber"/>
        <w:rFonts w:ascii="Arial" w:hAnsi="Arial" w:cs="Arial"/>
        <w:b w:val="0"/>
        <w:sz w:val="18"/>
        <w:szCs w:val="18"/>
      </w:rPr>
      <w:t>I</w:t>
    </w:r>
    <w:r w:rsidRPr="00693C55">
      <w:rPr>
        <w:rStyle w:val="PageNumber"/>
        <w:rFonts w:ascii="Arial" w:hAnsi="Arial" w:cs="Arial"/>
        <w:b w:val="0"/>
        <w:sz w:val="18"/>
        <w:szCs w:val="18"/>
      </w:rPr>
      <w:t>ssues register</w:t>
    </w:r>
    <w:r w:rsidRPr="00693C55">
      <w:rPr>
        <w:rStyle w:val="PageNumber"/>
        <w:rFonts w:ascii="Arial" w:hAnsi="Arial" w:cs="Arial"/>
        <w:b w:val="0"/>
        <w:sz w:val="18"/>
        <w:szCs w:val="18"/>
      </w:rPr>
      <w:tab/>
    </w:r>
    <w:r w:rsidRPr="00693C55">
      <w:rPr>
        <w:rStyle w:val="PageNumber"/>
        <w:rFonts w:ascii="Arial" w:hAnsi="Arial" w:cs="Arial"/>
        <w:b w:val="0"/>
        <w:sz w:val="18"/>
        <w:szCs w:val="18"/>
      </w:rPr>
      <w:fldChar w:fldCharType="begin"/>
    </w:r>
    <w:r w:rsidRPr="00693C55">
      <w:rPr>
        <w:rStyle w:val="PageNumber"/>
        <w:rFonts w:ascii="Arial" w:hAnsi="Arial" w:cs="Arial"/>
        <w:b w:val="0"/>
        <w:sz w:val="18"/>
        <w:szCs w:val="18"/>
      </w:rPr>
      <w:instrText xml:space="preserve"> PAGE </w:instrText>
    </w:r>
    <w:r w:rsidRPr="00693C55">
      <w:rPr>
        <w:rStyle w:val="PageNumber"/>
        <w:rFonts w:ascii="Arial" w:hAnsi="Arial" w:cs="Arial"/>
        <w:b w:val="0"/>
        <w:sz w:val="18"/>
        <w:szCs w:val="18"/>
      </w:rPr>
      <w:fldChar w:fldCharType="separate"/>
    </w:r>
    <w:r w:rsidR="00701554">
      <w:rPr>
        <w:rStyle w:val="PageNumber"/>
        <w:rFonts w:ascii="Arial" w:hAnsi="Arial" w:cs="Arial"/>
        <w:b w:val="0"/>
        <w:noProof/>
        <w:sz w:val="18"/>
        <w:szCs w:val="18"/>
      </w:rPr>
      <w:t>ii</w:t>
    </w:r>
    <w:r w:rsidRPr="00693C55">
      <w:rPr>
        <w:rStyle w:val="PageNumber"/>
        <w:rFonts w:ascii="Arial" w:hAnsi="Arial" w:cs="Arial"/>
        <w:b w:val="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C4E0" w14:textId="77777777" w:rsidR="00A75E1B" w:rsidRDefault="00A75E1B" w:rsidP="009B01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79DF2" w14:textId="77777777" w:rsidR="00A75E1B" w:rsidRDefault="00A75E1B" w:rsidP="009B010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9FC3B" w14:textId="7CAB1A0C" w:rsidR="00A75E1B" w:rsidRPr="00404016" w:rsidRDefault="00404016" w:rsidP="006303DE">
    <w:pPr>
      <w:pStyle w:val="Footer"/>
      <w:tabs>
        <w:tab w:val="left" w:pos="7013"/>
      </w:tabs>
      <w:jc w:val="right"/>
    </w:pPr>
    <w:r w:rsidRPr="00693C55">
      <w:rPr>
        <w:rStyle w:val="PageNumber"/>
        <w:rFonts w:ascii="Arial" w:hAnsi="Arial" w:cs="Arial"/>
        <w:b w:val="0"/>
        <w:sz w:val="18"/>
        <w:szCs w:val="18"/>
      </w:rPr>
      <w:t xml:space="preserve">National Standard for User-applied Labelling of Injectable Medicines, Fluids and Lines: </w:t>
    </w:r>
    <w:r>
      <w:rPr>
        <w:rStyle w:val="PageNumber"/>
        <w:rFonts w:ascii="Arial" w:hAnsi="Arial" w:cs="Arial"/>
        <w:b w:val="0"/>
        <w:sz w:val="18"/>
        <w:szCs w:val="18"/>
      </w:rPr>
      <w:t>I</w:t>
    </w:r>
    <w:r w:rsidRPr="00693C55">
      <w:rPr>
        <w:rStyle w:val="PageNumber"/>
        <w:rFonts w:ascii="Arial" w:hAnsi="Arial" w:cs="Arial"/>
        <w:b w:val="0"/>
        <w:sz w:val="18"/>
        <w:szCs w:val="18"/>
      </w:rPr>
      <w:t>ssues register</w:t>
    </w:r>
    <w:r w:rsidRPr="00693C55">
      <w:rPr>
        <w:rStyle w:val="PageNumber"/>
        <w:rFonts w:ascii="Arial" w:hAnsi="Arial" w:cs="Arial"/>
        <w:b w:val="0"/>
        <w:sz w:val="18"/>
        <w:szCs w:val="18"/>
      </w:rPr>
      <w:tab/>
    </w:r>
    <w:r w:rsidR="00F91D86" w:rsidRPr="00F91D86">
      <w:rPr>
        <w:rStyle w:val="PageNumber"/>
        <w:rFonts w:ascii="Arial" w:hAnsi="Arial" w:cs="Arial"/>
        <w:b w:val="0"/>
        <w:sz w:val="18"/>
        <w:szCs w:val="18"/>
      </w:rPr>
      <w:fldChar w:fldCharType="begin"/>
    </w:r>
    <w:r w:rsidR="00F91D86" w:rsidRPr="00F91D86">
      <w:rPr>
        <w:rStyle w:val="PageNumber"/>
        <w:rFonts w:ascii="Arial" w:hAnsi="Arial" w:cs="Arial"/>
        <w:b w:val="0"/>
        <w:sz w:val="18"/>
        <w:szCs w:val="18"/>
      </w:rPr>
      <w:instrText xml:space="preserve"> PAGE   \* MERGEFORMAT </w:instrText>
    </w:r>
    <w:r w:rsidR="00F91D86" w:rsidRPr="00F91D86">
      <w:rPr>
        <w:rStyle w:val="PageNumber"/>
        <w:rFonts w:ascii="Arial" w:hAnsi="Arial" w:cs="Arial"/>
        <w:b w:val="0"/>
        <w:sz w:val="18"/>
        <w:szCs w:val="18"/>
      </w:rPr>
      <w:fldChar w:fldCharType="separate"/>
    </w:r>
    <w:r w:rsidR="00701554">
      <w:rPr>
        <w:rStyle w:val="PageNumber"/>
        <w:rFonts w:ascii="Arial" w:hAnsi="Arial" w:cs="Arial"/>
        <w:b w:val="0"/>
        <w:noProof/>
        <w:sz w:val="18"/>
        <w:szCs w:val="18"/>
      </w:rPr>
      <w:t>19</w:t>
    </w:r>
    <w:r w:rsidR="00F91D86" w:rsidRPr="00F91D86">
      <w:rPr>
        <w:rStyle w:val="PageNumber"/>
        <w:rFonts w:ascii="Arial" w:hAnsi="Arial" w:cs="Arial"/>
        <w:b w:val="0"/>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4632"/>
    </w:tblGrid>
    <w:tr w:rsidR="00676BC3" w14:paraId="74E1DF82" w14:textId="77777777" w:rsidTr="00676BC3">
      <w:trPr>
        <w:trHeight w:val="292"/>
      </w:trPr>
      <w:tc>
        <w:tcPr>
          <w:tcW w:w="5000" w:type="pct"/>
          <w:tcBorders>
            <w:top w:val="single" w:sz="4" w:space="0" w:color="000000" w:themeColor="text1"/>
          </w:tcBorders>
        </w:tcPr>
        <w:p w14:paraId="5F6B7303" w14:textId="2436AF86" w:rsidR="00676BC3" w:rsidRDefault="00676BC3">
          <w:pPr>
            <w:pStyle w:val="Footer"/>
            <w:jc w:val="right"/>
          </w:pPr>
          <w:r w:rsidRPr="00693C55">
            <w:rPr>
              <w:rStyle w:val="PageNumber"/>
              <w:rFonts w:ascii="Arial" w:hAnsi="Arial" w:cs="Arial"/>
              <w:b w:val="0"/>
              <w:sz w:val="18"/>
              <w:szCs w:val="18"/>
            </w:rPr>
            <w:t xml:space="preserve">National Standard for User-applied Labelling of Injectable Medicines, Fluids and Lines: </w:t>
          </w:r>
          <w:r>
            <w:rPr>
              <w:rStyle w:val="PageNumber"/>
              <w:rFonts w:ascii="Arial" w:hAnsi="Arial" w:cs="Arial"/>
              <w:b w:val="0"/>
              <w:sz w:val="18"/>
              <w:szCs w:val="18"/>
            </w:rPr>
            <w:t>I</w:t>
          </w:r>
          <w:r w:rsidRPr="00693C55">
            <w:rPr>
              <w:rStyle w:val="PageNumber"/>
              <w:rFonts w:ascii="Arial" w:hAnsi="Arial" w:cs="Arial"/>
              <w:b w:val="0"/>
              <w:sz w:val="18"/>
              <w:szCs w:val="18"/>
            </w:rPr>
            <w:t>ssues register</w:t>
          </w:r>
          <w:r>
            <w:rPr>
              <w:rStyle w:val="PageNumber"/>
              <w:rFonts w:ascii="Arial" w:hAnsi="Arial" w:cs="Arial"/>
              <w:b w:val="0"/>
              <w:sz w:val="18"/>
              <w:szCs w:val="18"/>
            </w:rPr>
            <w:t xml:space="preserve">                    4                                    </w:t>
          </w:r>
        </w:p>
      </w:tc>
    </w:tr>
  </w:tbl>
  <w:p w14:paraId="01841B59" w14:textId="3D8183C7" w:rsidR="007748C7" w:rsidRPr="00404016" w:rsidRDefault="00676BC3" w:rsidP="00404016">
    <w:pPr>
      <w:pStyle w:val="Footer"/>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43D74" w14:textId="77777777" w:rsidR="00A75E1B" w:rsidRDefault="00A75E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C7FDB" w14:textId="77777777" w:rsidR="00A75E1B" w:rsidRDefault="00A75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D093D" w14:textId="77777777" w:rsidR="00A75E1B" w:rsidRDefault="00A75E1B" w:rsidP="00741160">
      <w:r>
        <w:separator/>
      </w:r>
    </w:p>
  </w:footnote>
  <w:footnote w:type="continuationSeparator" w:id="0">
    <w:p w14:paraId="6CE2449B" w14:textId="77777777" w:rsidR="00A75E1B" w:rsidRDefault="00A75E1B" w:rsidP="00741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C530B" w14:textId="77777777" w:rsidR="00A75E1B" w:rsidRDefault="00701554" w:rsidP="009B010A">
    <w:pPr>
      <w:pStyle w:val="Header"/>
    </w:pPr>
    <w:r>
      <w:rPr>
        <w:noProof/>
      </w:rPr>
      <w:pict w14:anchorId="78FF5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9C8B1" w14:textId="77777777" w:rsidR="00A75E1B" w:rsidRPr="00C845D7" w:rsidRDefault="00701554" w:rsidP="009B010A">
    <w:pPr>
      <w:pStyle w:val="Header"/>
    </w:pPr>
    <w:r>
      <w:rPr>
        <w:noProof/>
      </w:rPr>
      <w:pict w14:anchorId="76FAD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445A7" w14:textId="77777777" w:rsidR="00A75E1B" w:rsidRPr="0085389B" w:rsidRDefault="00A75E1B" w:rsidP="009B01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6588D" w14:textId="77777777" w:rsidR="00A75E1B" w:rsidRPr="0085389B" w:rsidRDefault="00A75E1B" w:rsidP="009B01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6D15F" w14:textId="2063618F" w:rsidR="00A75E1B" w:rsidRPr="0085389B" w:rsidRDefault="00A75E1B" w:rsidP="009B01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8BBB5" w14:textId="77777777" w:rsidR="00A75E1B" w:rsidRPr="0085389B" w:rsidRDefault="00A75E1B" w:rsidP="009B01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E4D83" w14:textId="77777777" w:rsidR="00A75E1B" w:rsidRDefault="00A75E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BA3A" w14:textId="0D1A1F99" w:rsidR="00A75E1B" w:rsidRDefault="00A75E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F35CA" w14:textId="77777777" w:rsidR="00A75E1B" w:rsidRDefault="00A75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66BED4"/>
    <w:lvl w:ilvl="0">
      <w:start w:val="1"/>
      <w:numFmt w:val="decimal"/>
      <w:lvlText w:val="%1."/>
      <w:lvlJc w:val="left"/>
      <w:pPr>
        <w:tabs>
          <w:tab w:val="num" w:pos="1492"/>
        </w:tabs>
        <w:ind w:left="1492" w:hanging="360"/>
      </w:pPr>
    </w:lvl>
  </w:abstractNum>
  <w:abstractNum w:abstractNumId="2">
    <w:nsid w:val="FFFFFF7D"/>
    <w:multiLevelType w:val="singleLevel"/>
    <w:tmpl w:val="1EAC1CB8"/>
    <w:lvl w:ilvl="0">
      <w:start w:val="1"/>
      <w:numFmt w:val="decimal"/>
      <w:lvlText w:val="%1."/>
      <w:lvlJc w:val="left"/>
      <w:pPr>
        <w:tabs>
          <w:tab w:val="num" w:pos="1209"/>
        </w:tabs>
        <w:ind w:left="1209" w:hanging="360"/>
      </w:pPr>
    </w:lvl>
  </w:abstractNum>
  <w:abstractNum w:abstractNumId="3">
    <w:nsid w:val="FFFFFF7E"/>
    <w:multiLevelType w:val="singleLevel"/>
    <w:tmpl w:val="3E9C713A"/>
    <w:lvl w:ilvl="0">
      <w:start w:val="1"/>
      <w:numFmt w:val="decimal"/>
      <w:lvlText w:val="%1."/>
      <w:lvlJc w:val="left"/>
      <w:pPr>
        <w:tabs>
          <w:tab w:val="num" w:pos="926"/>
        </w:tabs>
        <w:ind w:left="926" w:hanging="360"/>
      </w:pPr>
    </w:lvl>
  </w:abstractNum>
  <w:abstractNum w:abstractNumId="4">
    <w:nsid w:val="FFFFFF7F"/>
    <w:multiLevelType w:val="singleLevel"/>
    <w:tmpl w:val="815641AE"/>
    <w:lvl w:ilvl="0">
      <w:start w:val="1"/>
      <w:numFmt w:val="decimal"/>
      <w:lvlText w:val="%1."/>
      <w:lvlJc w:val="left"/>
      <w:pPr>
        <w:tabs>
          <w:tab w:val="num" w:pos="643"/>
        </w:tabs>
        <w:ind w:left="643" w:hanging="360"/>
      </w:pPr>
    </w:lvl>
  </w:abstractNum>
  <w:abstractNum w:abstractNumId="5">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863BAC"/>
    <w:lvl w:ilvl="0">
      <w:start w:val="1"/>
      <w:numFmt w:val="decimal"/>
      <w:lvlText w:val="%1."/>
      <w:lvlJc w:val="left"/>
      <w:pPr>
        <w:tabs>
          <w:tab w:val="num" w:pos="360"/>
        </w:tabs>
        <w:ind w:left="360" w:hanging="360"/>
      </w:pPr>
    </w:lvl>
  </w:abstractNum>
  <w:abstractNum w:abstractNumId="1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4DC23E8"/>
    <w:multiLevelType w:val="hybridMultilevel"/>
    <w:tmpl w:val="545CBEC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1F478C0"/>
    <w:multiLevelType w:val="hybridMultilevel"/>
    <w:tmpl w:val="7416D0F8"/>
    <w:lvl w:ilvl="0" w:tplc="8D044C2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30C575A"/>
    <w:multiLevelType w:val="hybridMultilevel"/>
    <w:tmpl w:val="74985F82"/>
    <w:lvl w:ilvl="0" w:tplc="E9A85C6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772D2E"/>
    <w:multiLevelType w:val="hybridMultilevel"/>
    <w:tmpl w:val="0088A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6375F8"/>
    <w:multiLevelType w:val="hybridMultilevel"/>
    <w:tmpl w:val="F0FCB58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22F6E47"/>
    <w:multiLevelType w:val="hybridMultilevel"/>
    <w:tmpl w:val="B70A758A"/>
    <w:lvl w:ilvl="0" w:tplc="5B2ACBD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66A31F7"/>
    <w:multiLevelType w:val="hybridMultilevel"/>
    <w:tmpl w:val="0D8E4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87275A3"/>
    <w:multiLevelType w:val="hybridMultilevel"/>
    <w:tmpl w:val="99503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BB5B9B"/>
    <w:multiLevelType w:val="hybridMultilevel"/>
    <w:tmpl w:val="2AF4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EF52BB"/>
    <w:multiLevelType w:val="hybridMultilevel"/>
    <w:tmpl w:val="13E0E022"/>
    <w:lvl w:ilvl="0" w:tplc="0AE0B4D8">
      <w:start w:val="1"/>
      <w:numFmt w:val="lowerLetter"/>
      <w:lvlText w:val="%1)"/>
      <w:lvlJc w:val="left"/>
      <w:pPr>
        <w:tabs>
          <w:tab w:val="num" w:pos="720"/>
        </w:tabs>
        <w:ind w:left="72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DBB1AA1"/>
    <w:multiLevelType w:val="hybridMultilevel"/>
    <w:tmpl w:val="7DFC89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5DC04FBE"/>
    <w:multiLevelType w:val="hybridMultilevel"/>
    <w:tmpl w:val="5A5AC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7918EA"/>
    <w:multiLevelType w:val="hybridMultilevel"/>
    <w:tmpl w:val="F0C09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5B10F0"/>
    <w:multiLevelType w:val="hybridMultilevel"/>
    <w:tmpl w:val="92FE9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E631A8F"/>
    <w:multiLevelType w:val="hybridMultilevel"/>
    <w:tmpl w:val="3BC08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677C0"/>
    <w:multiLevelType w:val="hybridMultilevel"/>
    <w:tmpl w:val="02500154"/>
    <w:lvl w:ilvl="0" w:tplc="391687D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6B71A95"/>
    <w:multiLevelType w:val="hybridMultilevel"/>
    <w:tmpl w:val="0DAA7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9F5D35"/>
    <w:multiLevelType w:val="hybridMultilevel"/>
    <w:tmpl w:val="B2F03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CEA612C"/>
    <w:multiLevelType w:val="hybridMultilevel"/>
    <w:tmpl w:val="3954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490FD1"/>
    <w:multiLevelType w:val="hybridMultilevel"/>
    <w:tmpl w:val="F9026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39"/>
  </w:num>
  <w:num w:numId="4">
    <w:abstractNumId w:val="33"/>
  </w:num>
  <w:num w:numId="5">
    <w:abstractNumId w:val="37"/>
  </w:num>
  <w:num w:numId="6">
    <w:abstractNumId w:val="21"/>
  </w:num>
  <w:num w:numId="7">
    <w:abstractNumId w:val="38"/>
  </w:num>
  <w:num w:numId="8">
    <w:abstractNumId w:val="28"/>
  </w:num>
  <w:num w:numId="9">
    <w:abstractNumId w:val="15"/>
  </w:num>
  <w:num w:numId="10">
    <w:abstractNumId w:val="20"/>
  </w:num>
  <w:num w:numId="11">
    <w:abstractNumId w:val="44"/>
  </w:num>
  <w:num w:numId="12">
    <w:abstractNumId w:val="31"/>
  </w:num>
  <w:num w:numId="13">
    <w:abstractNumId w:val="42"/>
  </w:num>
  <w:num w:numId="14">
    <w:abstractNumId w:val="26"/>
  </w:num>
  <w:num w:numId="15">
    <w:abstractNumId w:val="30"/>
  </w:num>
  <w:num w:numId="16">
    <w:abstractNumId w:val="41"/>
  </w:num>
  <w:num w:numId="17">
    <w:abstractNumId w:val="13"/>
  </w:num>
  <w:num w:numId="18">
    <w:abstractNumId w:val="11"/>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35"/>
  </w:num>
  <w:num w:numId="30">
    <w:abstractNumId w:val="0"/>
  </w:num>
  <w:num w:numId="31">
    <w:abstractNumId w:val="18"/>
  </w:num>
  <w:num w:numId="32">
    <w:abstractNumId w:val="36"/>
  </w:num>
  <w:num w:numId="33">
    <w:abstractNumId w:val="19"/>
  </w:num>
  <w:num w:numId="34">
    <w:abstractNumId w:val="24"/>
  </w:num>
  <w:num w:numId="35">
    <w:abstractNumId w:val="25"/>
  </w:num>
  <w:num w:numId="36">
    <w:abstractNumId w:val="16"/>
  </w:num>
  <w:num w:numId="37">
    <w:abstractNumId w:val="22"/>
  </w:num>
  <w:num w:numId="38">
    <w:abstractNumId w:val="34"/>
  </w:num>
  <w:num w:numId="39">
    <w:abstractNumId w:val="27"/>
  </w:num>
  <w:num w:numId="40">
    <w:abstractNumId w:val="17"/>
  </w:num>
  <w:num w:numId="41">
    <w:abstractNumId w:val="43"/>
  </w:num>
  <w:num w:numId="42">
    <w:abstractNumId w:val="14"/>
  </w:num>
  <w:num w:numId="43">
    <w:abstractNumId w:val="32"/>
  </w:num>
  <w:num w:numId="44">
    <w:abstractNumId w:val="23"/>
  </w:num>
  <w:num w:numId="45">
    <w:abstractNumId w:val="4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otext">
    <w15:presenceInfo w15:providerId="None" w15:userId="Biotex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48"/>
    <w:rsid w:val="00003743"/>
    <w:rsid w:val="00016954"/>
    <w:rsid w:val="00023382"/>
    <w:rsid w:val="00032F71"/>
    <w:rsid w:val="000354E5"/>
    <w:rsid w:val="00067456"/>
    <w:rsid w:val="0007150A"/>
    <w:rsid w:val="000904D9"/>
    <w:rsid w:val="00095398"/>
    <w:rsid w:val="00097190"/>
    <w:rsid w:val="000A1697"/>
    <w:rsid w:val="000A41DF"/>
    <w:rsid w:val="000A5B96"/>
    <w:rsid w:val="000B127C"/>
    <w:rsid w:val="000B12B2"/>
    <w:rsid w:val="000B1947"/>
    <w:rsid w:val="000B665E"/>
    <w:rsid w:val="000C1546"/>
    <w:rsid w:val="000D347E"/>
    <w:rsid w:val="000E1E8C"/>
    <w:rsid w:val="000F41F3"/>
    <w:rsid w:val="001002CF"/>
    <w:rsid w:val="00103407"/>
    <w:rsid w:val="0010386B"/>
    <w:rsid w:val="001128F1"/>
    <w:rsid w:val="00123FD0"/>
    <w:rsid w:val="00133F13"/>
    <w:rsid w:val="001373B9"/>
    <w:rsid w:val="001426A1"/>
    <w:rsid w:val="00147D01"/>
    <w:rsid w:val="00162AAC"/>
    <w:rsid w:val="00175322"/>
    <w:rsid w:val="00187A1C"/>
    <w:rsid w:val="00194050"/>
    <w:rsid w:val="001A3DA9"/>
    <w:rsid w:val="001A5D65"/>
    <w:rsid w:val="001B3443"/>
    <w:rsid w:val="001C1D35"/>
    <w:rsid w:val="001C7F8B"/>
    <w:rsid w:val="001E1737"/>
    <w:rsid w:val="00201D81"/>
    <w:rsid w:val="00214039"/>
    <w:rsid w:val="0022142F"/>
    <w:rsid w:val="00223848"/>
    <w:rsid w:val="00224FB5"/>
    <w:rsid w:val="00242C1B"/>
    <w:rsid w:val="00244DB4"/>
    <w:rsid w:val="00245840"/>
    <w:rsid w:val="002511C7"/>
    <w:rsid w:val="0025462B"/>
    <w:rsid w:val="00265840"/>
    <w:rsid w:val="0026671B"/>
    <w:rsid w:val="00273127"/>
    <w:rsid w:val="00280E6C"/>
    <w:rsid w:val="002911EA"/>
    <w:rsid w:val="002978B6"/>
    <w:rsid w:val="002A4E70"/>
    <w:rsid w:val="002A7873"/>
    <w:rsid w:val="002B0B05"/>
    <w:rsid w:val="002C74BF"/>
    <w:rsid w:val="002E16C1"/>
    <w:rsid w:val="002E572D"/>
    <w:rsid w:val="002F3AE3"/>
    <w:rsid w:val="00302A6D"/>
    <w:rsid w:val="003039D2"/>
    <w:rsid w:val="003076F8"/>
    <w:rsid w:val="0030786C"/>
    <w:rsid w:val="003266AC"/>
    <w:rsid w:val="003419C5"/>
    <w:rsid w:val="00356CC0"/>
    <w:rsid w:val="00363E13"/>
    <w:rsid w:val="00381B29"/>
    <w:rsid w:val="0039526C"/>
    <w:rsid w:val="00395CDE"/>
    <w:rsid w:val="003B3657"/>
    <w:rsid w:val="003C3347"/>
    <w:rsid w:val="003C4316"/>
    <w:rsid w:val="003C5A48"/>
    <w:rsid w:val="003D17F9"/>
    <w:rsid w:val="003E3779"/>
    <w:rsid w:val="003E792C"/>
    <w:rsid w:val="00401137"/>
    <w:rsid w:val="00404016"/>
    <w:rsid w:val="00405F50"/>
    <w:rsid w:val="00414DFE"/>
    <w:rsid w:val="00427968"/>
    <w:rsid w:val="0044785A"/>
    <w:rsid w:val="00454D25"/>
    <w:rsid w:val="00455AA9"/>
    <w:rsid w:val="004573D8"/>
    <w:rsid w:val="00460A5F"/>
    <w:rsid w:val="00461555"/>
    <w:rsid w:val="00465161"/>
    <w:rsid w:val="004661BB"/>
    <w:rsid w:val="004749C5"/>
    <w:rsid w:val="0048098C"/>
    <w:rsid w:val="004867E2"/>
    <w:rsid w:val="00494FAC"/>
    <w:rsid w:val="00495C41"/>
    <w:rsid w:val="004A7CA4"/>
    <w:rsid w:val="004D198F"/>
    <w:rsid w:val="004D22A0"/>
    <w:rsid w:val="004E44FF"/>
    <w:rsid w:val="004F5E29"/>
    <w:rsid w:val="00501E35"/>
    <w:rsid w:val="00513AEB"/>
    <w:rsid w:val="0053109F"/>
    <w:rsid w:val="005320F7"/>
    <w:rsid w:val="005321A8"/>
    <w:rsid w:val="005626CB"/>
    <w:rsid w:val="00570D73"/>
    <w:rsid w:val="00590057"/>
    <w:rsid w:val="005C121C"/>
    <w:rsid w:val="005C6E5A"/>
    <w:rsid w:val="005D5B67"/>
    <w:rsid w:val="005D61C0"/>
    <w:rsid w:val="005D66DF"/>
    <w:rsid w:val="005D7BFB"/>
    <w:rsid w:val="005E2972"/>
    <w:rsid w:val="0062270D"/>
    <w:rsid w:val="00624657"/>
    <w:rsid w:val="006252CC"/>
    <w:rsid w:val="00626A7B"/>
    <w:rsid w:val="006303DE"/>
    <w:rsid w:val="00634321"/>
    <w:rsid w:val="006703BD"/>
    <w:rsid w:val="00676BC3"/>
    <w:rsid w:val="0068602F"/>
    <w:rsid w:val="00691ADD"/>
    <w:rsid w:val="00693C55"/>
    <w:rsid w:val="00695805"/>
    <w:rsid w:val="006A3EED"/>
    <w:rsid w:val="006A7EB6"/>
    <w:rsid w:val="006B1AB3"/>
    <w:rsid w:val="006D43E6"/>
    <w:rsid w:val="006F3A3B"/>
    <w:rsid w:val="006F66E7"/>
    <w:rsid w:val="00701554"/>
    <w:rsid w:val="007121DF"/>
    <w:rsid w:val="0072116E"/>
    <w:rsid w:val="007262E6"/>
    <w:rsid w:val="00741160"/>
    <w:rsid w:val="00743353"/>
    <w:rsid w:val="0074561D"/>
    <w:rsid w:val="00751A81"/>
    <w:rsid w:val="0075773D"/>
    <w:rsid w:val="007748C7"/>
    <w:rsid w:val="007836F6"/>
    <w:rsid w:val="00790856"/>
    <w:rsid w:val="00790B92"/>
    <w:rsid w:val="007A3780"/>
    <w:rsid w:val="007B5AEF"/>
    <w:rsid w:val="007C2411"/>
    <w:rsid w:val="007E645D"/>
    <w:rsid w:val="007E6CDB"/>
    <w:rsid w:val="007F0CE8"/>
    <w:rsid w:val="007F23EC"/>
    <w:rsid w:val="00800A16"/>
    <w:rsid w:val="00804944"/>
    <w:rsid w:val="00806611"/>
    <w:rsid w:val="00813FFD"/>
    <w:rsid w:val="0081546A"/>
    <w:rsid w:val="008175E8"/>
    <w:rsid w:val="008264EB"/>
    <w:rsid w:val="00844003"/>
    <w:rsid w:val="00874E7E"/>
    <w:rsid w:val="008758E9"/>
    <w:rsid w:val="008902E8"/>
    <w:rsid w:val="00892FD1"/>
    <w:rsid w:val="00894A5D"/>
    <w:rsid w:val="008A53D2"/>
    <w:rsid w:val="008B2F57"/>
    <w:rsid w:val="008B4EC6"/>
    <w:rsid w:val="008D34A1"/>
    <w:rsid w:val="008D4E2A"/>
    <w:rsid w:val="008E4D34"/>
    <w:rsid w:val="008F49C8"/>
    <w:rsid w:val="0091117C"/>
    <w:rsid w:val="009221FC"/>
    <w:rsid w:val="00930FF6"/>
    <w:rsid w:val="00975EDE"/>
    <w:rsid w:val="009819C5"/>
    <w:rsid w:val="00986A05"/>
    <w:rsid w:val="00986CFD"/>
    <w:rsid w:val="009B010A"/>
    <w:rsid w:val="009D0B86"/>
    <w:rsid w:val="009D59A0"/>
    <w:rsid w:val="009D7C20"/>
    <w:rsid w:val="009E2408"/>
    <w:rsid w:val="009F0A8E"/>
    <w:rsid w:val="00A12B2F"/>
    <w:rsid w:val="00A12C67"/>
    <w:rsid w:val="00A154CD"/>
    <w:rsid w:val="00A17E53"/>
    <w:rsid w:val="00A320D4"/>
    <w:rsid w:val="00A40849"/>
    <w:rsid w:val="00A42EAA"/>
    <w:rsid w:val="00A44520"/>
    <w:rsid w:val="00A4512D"/>
    <w:rsid w:val="00A473C1"/>
    <w:rsid w:val="00A66705"/>
    <w:rsid w:val="00A66B58"/>
    <w:rsid w:val="00A66B81"/>
    <w:rsid w:val="00A705AF"/>
    <w:rsid w:val="00A75E1B"/>
    <w:rsid w:val="00A80847"/>
    <w:rsid w:val="00A81D19"/>
    <w:rsid w:val="00A9020E"/>
    <w:rsid w:val="00A91CF2"/>
    <w:rsid w:val="00A95D05"/>
    <w:rsid w:val="00AA3741"/>
    <w:rsid w:val="00AB1A9F"/>
    <w:rsid w:val="00AC2589"/>
    <w:rsid w:val="00AD0B15"/>
    <w:rsid w:val="00AD4E4D"/>
    <w:rsid w:val="00AE20E3"/>
    <w:rsid w:val="00AE7758"/>
    <w:rsid w:val="00B15AAB"/>
    <w:rsid w:val="00B22024"/>
    <w:rsid w:val="00B255EB"/>
    <w:rsid w:val="00B30F61"/>
    <w:rsid w:val="00B34184"/>
    <w:rsid w:val="00B351DC"/>
    <w:rsid w:val="00B40E91"/>
    <w:rsid w:val="00B42851"/>
    <w:rsid w:val="00B44F52"/>
    <w:rsid w:val="00B47254"/>
    <w:rsid w:val="00B543B1"/>
    <w:rsid w:val="00B70FF5"/>
    <w:rsid w:val="00B7102A"/>
    <w:rsid w:val="00B760CB"/>
    <w:rsid w:val="00B94255"/>
    <w:rsid w:val="00BA1668"/>
    <w:rsid w:val="00BB3DD9"/>
    <w:rsid w:val="00BD0F5F"/>
    <w:rsid w:val="00BF151B"/>
    <w:rsid w:val="00C05A56"/>
    <w:rsid w:val="00C05F72"/>
    <w:rsid w:val="00C144A3"/>
    <w:rsid w:val="00C226D3"/>
    <w:rsid w:val="00C3631B"/>
    <w:rsid w:val="00C42416"/>
    <w:rsid w:val="00C42479"/>
    <w:rsid w:val="00C53B04"/>
    <w:rsid w:val="00C61FB4"/>
    <w:rsid w:val="00C72D80"/>
    <w:rsid w:val="00C73C1B"/>
    <w:rsid w:val="00C8179D"/>
    <w:rsid w:val="00C90CDD"/>
    <w:rsid w:val="00C95F2C"/>
    <w:rsid w:val="00CB5B1A"/>
    <w:rsid w:val="00CC1AA3"/>
    <w:rsid w:val="00CD0847"/>
    <w:rsid w:val="00CD3795"/>
    <w:rsid w:val="00CE3761"/>
    <w:rsid w:val="00D258ED"/>
    <w:rsid w:val="00D57F6D"/>
    <w:rsid w:val="00D64C50"/>
    <w:rsid w:val="00D6576A"/>
    <w:rsid w:val="00D66E4F"/>
    <w:rsid w:val="00D677D3"/>
    <w:rsid w:val="00D803EF"/>
    <w:rsid w:val="00D92E51"/>
    <w:rsid w:val="00D94A70"/>
    <w:rsid w:val="00D95AFF"/>
    <w:rsid w:val="00DA479F"/>
    <w:rsid w:val="00DB35C7"/>
    <w:rsid w:val="00DB4BC9"/>
    <w:rsid w:val="00DC13B3"/>
    <w:rsid w:val="00DC42B5"/>
    <w:rsid w:val="00DC601F"/>
    <w:rsid w:val="00DD12B3"/>
    <w:rsid w:val="00DD5E15"/>
    <w:rsid w:val="00DD691B"/>
    <w:rsid w:val="00DE17BB"/>
    <w:rsid w:val="00DE5FC0"/>
    <w:rsid w:val="00DF3EFF"/>
    <w:rsid w:val="00DF52B8"/>
    <w:rsid w:val="00DF576C"/>
    <w:rsid w:val="00E01A36"/>
    <w:rsid w:val="00E21D86"/>
    <w:rsid w:val="00E23872"/>
    <w:rsid w:val="00E2593D"/>
    <w:rsid w:val="00E721F7"/>
    <w:rsid w:val="00E76B20"/>
    <w:rsid w:val="00E94C0B"/>
    <w:rsid w:val="00E96C81"/>
    <w:rsid w:val="00EB2BDD"/>
    <w:rsid w:val="00EC1229"/>
    <w:rsid w:val="00EC31C3"/>
    <w:rsid w:val="00EC6F2C"/>
    <w:rsid w:val="00ED5483"/>
    <w:rsid w:val="00ED6CE7"/>
    <w:rsid w:val="00EE0751"/>
    <w:rsid w:val="00EE7F88"/>
    <w:rsid w:val="00EF2482"/>
    <w:rsid w:val="00EF2F41"/>
    <w:rsid w:val="00F00F05"/>
    <w:rsid w:val="00F050E6"/>
    <w:rsid w:val="00F059B6"/>
    <w:rsid w:val="00F17B32"/>
    <w:rsid w:val="00F3426C"/>
    <w:rsid w:val="00F3429D"/>
    <w:rsid w:val="00F44221"/>
    <w:rsid w:val="00F55750"/>
    <w:rsid w:val="00F55AD9"/>
    <w:rsid w:val="00F6591A"/>
    <w:rsid w:val="00F676AB"/>
    <w:rsid w:val="00F77063"/>
    <w:rsid w:val="00F77446"/>
    <w:rsid w:val="00F83BA3"/>
    <w:rsid w:val="00F8477F"/>
    <w:rsid w:val="00F91D86"/>
    <w:rsid w:val="00F940B4"/>
    <w:rsid w:val="00FC59B9"/>
    <w:rsid w:val="00FD660A"/>
    <w:rsid w:val="00FF4C24"/>
    <w:rsid w:val="00FF6F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A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55AD9"/>
    <w:pPr>
      <w:spacing w:after="240"/>
    </w:pPr>
    <w:rPr>
      <w:rFonts w:ascii="Arial" w:hAnsi="Arial"/>
      <w:sz w:val="22"/>
      <w:szCs w:val="24"/>
      <w:lang w:val="en-GB" w:eastAsia="en-GB"/>
    </w:rPr>
  </w:style>
  <w:style w:type="paragraph" w:styleId="Heading1">
    <w:name w:val="heading 1"/>
    <w:basedOn w:val="Normal"/>
    <w:next w:val="Normal"/>
    <w:qFormat/>
    <w:rsid w:val="00E96C81"/>
    <w:pPr>
      <w:keepNext/>
      <w:pageBreakBefore/>
      <w:spacing w:after="480"/>
      <w:ind w:left="720" w:hanging="720"/>
      <w:outlineLvl w:val="0"/>
    </w:pPr>
    <w:rPr>
      <w:rFonts w:cs="Arial"/>
      <w:b/>
      <w:bCs/>
      <w:color w:val="000000"/>
      <w:kern w:val="32"/>
      <w:sz w:val="40"/>
      <w:szCs w:val="32"/>
      <w:lang w:val="en-AU" w:eastAsia="en-AU"/>
    </w:rPr>
  </w:style>
  <w:style w:type="paragraph" w:styleId="Heading2">
    <w:name w:val="heading 2"/>
    <w:basedOn w:val="Normal"/>
    <w:next w:val="Normal"/>
    <w:qFormat/>
    <w:rsid w:val="00E96C81"/>
    <w:pPr>
      <w:keepNext/>
      <w:spacing w:before="240"/>
      <w:ind w:left="720" w:hanging="720"/>
      <w:outlineLvl w:val="1"/>
    </w:pPr>
    <w:rPr>
      <w:rFonts w:cs="Arial"/>
      <w:b/>
      <w:bCs/>
      <w:iCs/>
      <w:color w:val="000000"/>
      <w:sz w:val="28"/>
      <w:szCs w:val="28"/>
      <w:lang w:val="en-AU" w:eastAsia="en-AU"/>
    </w:rPr>
  </w:style>
  <w:style w:type="paragraph" w:styleId="Heading3">
    <w:name w:val="heading 3"/>
    <w:basedOn w:val="Normal"/>
    <w:next w:val="Normal"/>
    <w:qFormat/>
    <w:rsid w:val="00E96C81"/>
    <w:pPr>
      <w:keepNext/>
      <w:spacing w:before="240"/>
      <w:ind w:left="720" w:hanging="720"/>
      <w:outlineLvl w:val="2"/>
    </w:pPr>
    <w:rPr>
      <w:rFonts w:cs="Arial"/>
      <w:b/>
      <w:bCs/>
      <w:color w:val="000000"/>
      <w:szCs w:val="26"/>
      <w:lang w:val="en-AU" w:eastAsia="en-AU"/>
    </w:rPr>
  </w:style>
  <w:style w:type="paragraph" w:styleId="Heading4">
    <w:name w:val="heading 4"/>
    <w:basedOn w:val="Normal"/>
    <w:next w:val="Normal"/>
    <w:rsid w:val="00E96C81"/>
    <w:pPr>
      <w:keepNext/>
      <w:spacing w:before="120" w:after="120"/>
      <w:outlineLvl w:val="3"/>
    </w:pPr>
    <w:rPr>
      <w:b/>
      <w:bCs/>
      <w:i/>
      <w:color w:val="000000"/>
      <w:szCs w:val="28"/>
      <w:lang w:val="en-AU" w:eastAsia="en-AU"/>
    </w:rPr>
  </w:style>
  <w:style w:type="paragraph" w:styleId="Heading5">
    <w:name w:val="heading 5"/>
    <w:basedOn w:val="Normal"/>
    <w:next w:val="Normal"/>
    <w:rsid w:val="00E96C81"/>
    <w:pPr>
      <w:keepNext/>
      <w:spacing w:before="60" w:after="60"/>
      <w:outlineLvl w:val="4"/>
    </w:pPr>
    <w:rPr>
      <w:bCs/>
      <w:i/>
      <w:iCs/>
      <w:color w:val="000000"/>
      <w:szCs w:val="26"/>
      <w:lang w:val="en-AU" w:eastAsia="en-AU"/>
    </w:rPr>
  </w:style>
  <w:style w:type="paragraph" w:styleId="Heading6">
    <w:name w:val="heading 6"/>
    <w:basedOn w:val="Normal"/>
    <w:next w:val="Normal"/>
    <w:qFormat/>
    <w:rsid w:val="00A705AF"/>
    <w:pPr>
      <w:keepNext/>
      <w:spacing w:before="240" w:after="60"/>
      <w:outlineLvl w:val="5"/>
    </w:pPr>
    <w:rPr>
      <w:b/>
      <w:bCs/>
      <w:i/>
      <w:color w:val="000000"/>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96C81"/>
    <w:rPr>
      <w:i/>
      <w:iCs/>
    </w:rPr>
  </w:style>
  <w:style w:type="character" w:styleId="Strong">
    <w:name w:val="Strong"/>
    <w:basedOn w:val="DefaultParagraphFont"/>
    <w:uiPriority w:val="22"/>
    <w:qFormat/>
    <w:rsid w:val="00E96C81"/>
    <w:rPr>
      <w:b/>
      <w:bCs/>
    </w:rPr>
  </w:style>
  <w:style w:type="paragraph" w:styleId="Subtitle">
    <w:name w:val="Subtitle"/>
    <w:basedOn w:val="Normal"/>
    <w:next w:val="Normal"/>
    <w:link w:val="SubtitleChar"/>
    <w:uiPriority w:val="11"/>
    <w:rsid w:val="00E96C81"/>
    <w:pPr>
      <w:numPr>
        <w:ilvl w:val="1"/>
      </w:numPr>
      <w:jc w:val="center"/>
    </w:pPr>
    <w:rPr>
      <w:rFonts w:eastAsiaTheme="majorEastAsia" w:cstheme="majorBidi"/>
      <w:b/>
      <w:iCs/>
      <w:sz w:val="40"/>
      <w:lang w:val="en-AU" w:eastAsia="en-AU"/>
    </w:rPr>
  </w:style>
  <w:style w:type="character" w:customStyle="1" w:styleId="SubtitleChar">
    <w:name w:val="Subtitle Char"/>
    <w:basedOn w:val="DefaultParagraphFont"/>
    <w:link w:val="Subtitle"/>
    <w:uiPriority w:val="11"/>
    <w:rsid w:val="00E96C81"/>
    <w:rPr>
      <w:rFonts w:ascii="Calibri" w:eastAsiaTheme="majorEastAsia" w:hAnsi="Calibri" w:cstheme="majorBidi"/>
      <w:b/>
      <w:iCs/>
      <w:sz w:val="40"/>
      <w:szCs w:val="24"/>
    </w:rPr>
  </w:style>
  <w:style w:type="paragraph" w:styleId="Title">
    <w:name w:val="Title"/>
    <w:basedOn w:val="Normal"/>
    <w:next w:val="Normal"/>
    <w:link w:val="TitleChar"/>
    <w:uiPriority w:val="10"/>
    <w:rsid w:val="00E96C81"/>
    <w:pPr>
      <w:spacing w:after="300"/>
      <w:contextualSpacing/>
      <w:jc w:val="center"/>
    </w:pPr>
    <w:rPr>
      <w:rFonts w:eastAsiaTheme="majorEastAsia" w:cstheme="majorBidi"/>
      <w:b/>
      <w:spacing w:val="5"/>
      <w:kern w:val="28"/>
      <w:sz w:val="48"/>
      <w:szCs w:val="52"/>
      <w:lang w:val="en-AU" w:eastAsia="en-AU"/>
    </w:rPr>
  </w:style>
  <w:style w:type="character" w:customStyle="1" w:styleId="TitleChar">
    <w:name w:val="Title Char"/>
    <w:basedOn w:val="DefaultParagraphFont"/>
    <w:link w:val="Title"/>
    <w:uiPriority w:val="10"/>
    <w:rsid w:val="00E96C81"/>
    <w:rPr>
      <w:rFonts w:ascii="Calibri" w:eastAsiaTheme="majorEastAsia" w:hAnsi="Calibri" w:cstheme="majorBidi"/>
      <w:b/>
      <w:spacing w:val="5"/>
      <w:kern w:val="28"/>
      <w:sz w:val="48"/>
      <w:szCs w:val="52"/>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link w:val="QuoteChar"/>
    <w:rsid w:val="00E96C81"/>
    <w:pPr>
      <w:ind w:left="720" w:right="720"/>
    </w:pPr>
    <w:rPr>
      <w:color w:val="000000"/>
      <w:sz w:val="20"/>
      <w:szCs w:val="20"/>
      <w:lang w:val="en-AU" w:eastAsia="en-AU"/>
    </w:rPr>
  </w:style>
  <w:style w:type="character" w:customStyle="1" w:styleId="QuoteChar">
    <w:name w:val="Quote Char"/>
    <w:basedOn w:val="DefaultParagraphFont"/>
    <w:link w:val="Quote"/>
    <w:rsid w:val="00A4512D"/>
    <w:rPr>
      <w:rFonts w:ascii="Calibri" w:hAnsi="Calibri"/>
      <w:color w:val="000000"/>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szCs w:val="20"/>
      <w:lang w:val="en-AU" w:eastAsia="en-AU"/>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rPr>
      <w:color w:val="000000"/>
      <w:szCs w:val="20"/>
      <w:lang w:val="en-AU" w:eastAsia="en-AU"/>
    </w:rPr>
  </w:style>
  <w:style w:type="paragraph" w:styleId="BalloonText">
    <w:name w:val="Balloon Text"/>
    <w:basedOn w:val="Normal"/>
    <w:link w:val="BalloonTextChar"/>
    <w:uiPriority w:val="99"/>
    <w:unhideWhenUsed/>
    <w:rsid w:val="00E96C81"/>
    <w:rPr>
      <w:rFonts w:ascii="Tahoma" w:hAnsi="Tahoma" w:cs="Tahoma"/>
      <w:color w:val="000000"/>
      <w:sz w:val="16"/>
      <w:szCs w:val="16"/>
      <w:lang w:val="en-AU" w:eastAsia="en-AU"/>
    </w:rPr>
  </w:style>
  <w:style w:type="character" w:customStyle="1" w:styleId="BalloonTextChar">
    <w:name w:val="Balloon Text Char"/>
    <w:basedOn w:val="DefaultParagraphFont"/>
    <w:link w:val="BalloonText"/>
    <w:uiPriority w:val="99"/>
    <w:rsid w:val="00E96C81"/>
    <w:rPr>
      <w:rFonts w:ascii="Tahoma" w:hAnsi="Tahoma" w:cs="Tahoma"/>
      <w:color w:val="000000"/>
      <w:sz w:val="16"/>
      <w:szCs w:val="16"/>
    </w:rPr>
  </w:style>
  <w:style w:type="paragraph" w:styleId="Header">
    <w:name w:val="header"/>
    <w:basedOn w:val="Normal"/>
    <w:link w:val="HeaderChar"/>
    <w:uiPriority w:val="99"/>
    <w:rsid w:val="00E96C81"/>
    <w:pPr>
      <w:tabs>
        <w:tab w:val="right" w:pos="9000"/>
      </w:tabs>
    </w:pPr>
    <w:rPr>
      <w:color w:val="000000"/>
      <w:sz w:val="18"/>
      <w:szCs w:val="20"/>
      <w:lang w:val="en-AU" w:eastAsia="en-AU"/>
    </w:rPr>
  </w:style>
  <w:style w:type="character" w:customStyle="1" w:styleId="HeaderChar">
    <w:name w:val="Header Char"/>
    <w:basedOn w:val="DefaultParagraphFont"/>
    <w:link w:val="Header"/>
    <w:uiPriority w:val="99"/>
    <w:rsid w:val="00223848"/>
    <w:rPr>
      <w:rFonts w:ascii="Calibri" w:hAnsi="Calibri"/>
      <w:color w:val="000000"/>
      <w:sz w:val="18"/>
    </w:rPr>
  </w:style>
  <w:style w:type="paragraph" w:styleId="Footer">
    <w:name w:val="footer"/>
    <w:basedOn w:val="Normal"/>
    <w:link w:val="FooterChar"/>
    <w:uiPriority w:val="99"/>
    <w:rsid w:val="00E96C81"/>
    <w:pPr>
      <w:tabs>
        <w:tab w:val="right" w:pos="9000"/>
      </w:tabs>
    </w:pPr>
    <w:rPr>
      <w:color w:val="000000"/>
      <w:sz w:val="20"/>
      <w:szCs w:val="20"/>
      <w:lang w:val="en-AU" w:eastAsia="en-AU"/>
    </w:rPr>
  </w:style>
  <w:style w:type="character" w:customStyle="1" w:styleId="FooterChar">
    <w:name w:val="Footer Char"/>
    <w:basedOn w:val="DefaultParagraphFont"/>
    <w:link w:val="Footer"/>
    <w:uiPriority w:val="99"/>
    <w:rsid w:val="00E96C81"/>
    <w:rPr>
      <w:rFonts w:ascii="Calibri" w:hAnsi="Calibri"/>
      <w:color w:val="000000"/>
    </w:rPr>
  </w:style>
  <w:style w:type="character" w:styleId="PageNumber">
    <w:name w:val="page number"/>
    <w:basedOn w:val="DefaultParagraphFont"/>
    <w:rsid w:val="00E96C81"/>
    <w:rPr>
      <w:rFonts w:ascii="Times New Roman" w:hAnsi="Times New Roman"/>
      <w:b/>
      <w:sz w:val="20"/>
    </w:rPr>
  </w:style>
  <w:style w:type="table" w:customStyle="1" w:styleId="TableGrid1">
    <w:name w:val="Table Grid1"/>
    <w:basedOn w:val="TableNormal"/>
    <w:next w:val="TableGrid"/>
    <w:uiPriority w:val="59"/>
    <w:rsid w:val="00223848"/>
    <w:rPr>
      <w:sz w:val="24"/>
      <w:szCs w:val="24"/>
      <w:lang w:eastAsia="en-US"/>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96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66E4F"/>
    <w:rPr>
      <w:color w:val="0000FF" w:themeColor="hyperlink"/>
      <w:u w:val="single"/>
    </w:rPr>
  </w:style>
  <w:style w:type="table" w:customStyle="1" w:styleId="TableGrid2">
    <w:name w:val="Table Grid2"/>
    <w:basedOn w:val="TableNormal"/>
    <w:next w:val="TableGrid"/>
    <w:uiPriority w:val="39"/>
    <w:rsid w:val="00EE7F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90CDD"/>
    <w:rPr>
      <w:sz w:val="16"/>
      <w:szCs w:val="16"/>
    </w:rPr>
  </w:style>
  <w:style w:type="paragraph" w:styleId="CommentText">
    <w:name w:val="annotation text"/>
    <w:basedOn w:val="Normal"/>
    <w:link w:val="CommentTextChar"/>
    <w:rsid w:val="00C90CDD"/>
    <w:rPr>
      <w:color w:val="000000"/>
      <w:sz w:val="20"/>
      <w:szCs w:val="20"/>
      <w:lang w:val="en-AU" w:eastAsia="en-AU"/>
    </w:rPr>
  </w:style>
  <w:style w:type="character" w:customStyle="1" w:styleId="CommentTextChar">
    <w:name w:val="Comment Text Char"/>
    <w:basedOn w:val="DefaultParagraphFont"/>
    <w:link w:val="CommentText"/>
    <w:rsid w:val="00C90CDD"/>
    <w:rPr>
      <w:lang w:eastAsia="en-US"/>
    </w:rPr>
  </w:style>
  <w:style w:type="paragraph" w:styleId="CommentSubject">
    <w:name w:val="annotation subject"/>
    <w:basedOn w:val="CommentText"/>
    <w:next w:val="CommentText"/>
    <w:link w:val="CommentSubjectChar"/>
    <w:rsid w:val="00C90CDD"/>
    <w:rPr>
      <w:b/>
      <w:bCs/>
    </w:rPr>
  </w:style>
  <w:style w:type="character" w:customStyle="1" w:styleId="CommentSubjectChar">
    <w:name w:val="Comment Subject Char"/>
    <w:basedOn w:val="CommentTextChar"/>
    <w:link w:val="CommentSubject"/>
    <w:rsid w:val="00C90CDD"/>
    <w:rPr>
      <w:b/>
      <w:bCs/>
      <w:lang w:eastAsia="en-US"/>
    </w:rPr>
  </w:style>
  <w:style w:type="paragraph" w:customStyle="1" w:styleId="PullQuote">
    <w:name w:val="PullQuote"/>
    <w:basedOn w:val="Normal"/>
    <w:next w:val="Normal"/>
    <w:rsid w:val="00E96C81"/>
    <w:rPr>
      <w:b/>
      <w:color w:val="76923C" w:themeColor="accent3" w:themeShade="BF"/>
      <w:szCs w:val="20"/>
      <w:lang w:val="en-AU" w:eastAsia="en-AU"/>
    </w:rPr>
  </w:style>
  <w:style w:type="paragraph" w:customStyle="1" w:styleId="ReportDate">
    <w:name w:val="ReportDate"/>
    <w:basedOn w:val="Normal"/>
    <w:rsid w:val="00E96C81"/>
    <w:pPr>
      <w:jc w:val="center"/>
    </w:pPr>
    <w:rPr>
      <w:color w:val="000000"/>
      <w:sz w:val="40"/>
      <w:szCs w:val="20"/>
      <w:lang w:val="en-AU" w:eastAsia="en-AU"/>
    </w:rPr>
  </w:style>
  <w:style w:type="paragraph" w:customStyle="1" w:styleId="Heading1a">
    <w:name w:val="Heading 1a"/>
    <w:basedOn w:val="Heading1"/>
    <w:next w:val="Normal"/>
    <w:rsid w:val="00E96C81"/>
    <w:pPr>
      <w:outlineLvl w:val="9"/>
    </w:pPr>
  </w:style>
  <w:style w:type="paragraph" w:customStyle="1" w:styleId="Heading2a">
    <w:name w:val="Heading 2a"/>
    <w:basedOn w:val="Heading2"/>
    <w:next w:val="Normal"/>
    <w:rsid w:val="00E96C81"/>
    <w:pPr>
      <w:ind w:left="0" w:firstLine="0"/>
      <w:outlineLvl w:val="9"/>
    </w:pPr>
  </w:style>
  <w:style w:type="paragraph" w:customStyle="1" w:styleId="Heading3a">
    <w:name w:val="Heading 3a"/>
    <w:basedOn w:val="Heading3"/>
    <w:next w:val="Normal"/>
    <w:rsid w:val="00E96C81"/>
    <w:pPr>
      <w:ind w:left="0" w:firstLine="0"/>
      <w:outlineLvl w:val="9"/>
    </w:pPr>
  </w:style>
  <w:style w:type="paragraph" w:customStyle="1" w:styleId="TableText">
    <w:name w:val="TableText"/>
    <w:basedOn w:val="Normal"/>
    <w:rsid w:val="00E96C81"/>
    <w:pPr>
      <w:keepNext/>
      <w:spacing w:before="60" w:after="60"/>
    </w:pPr>
    <w:rPr>
      <w:color w:val="000000"/>
      <w:sz w:val="21"/>
      <w:szCs w:val="21"/>
      <w:lang w:val="en-AU" w:eastAsia="en-AU"/>
    </w:rPr>
  </w:style>
  <w:style w:type="paragraph" w:customStyle="1" w:styleId="TFListNotesSpace">
    <w:name w:val="TFListNotes+Space"/>
    <w:basedOn w:val="TableText"/>
    <w:next w:val="Normal"/>
    <w:rsid w:val="00E96C81"/>
    <w:pPr>
      <w:keepNext w:val="0"/>
      <w:keepLines/>
      <w:spacing w:before="0" w:after="360"/>
      <w:ind w:left="170" w:hanging="170"/>
    </w:pPr>
    <w:rPr>
      <w:sz w:val="18"/>
      <w:szCs w:val="18"/>
    </w:rPr>
  </w:style>
  <w:style w:type="paragraph" w:customStyle="1" w:styleId="TFListNotes">
    <w:name w:val="TFListNotes"/>
    <w:basedOn w:val="TFListNotesSpace"/>
    <w:rsid w:val="00E96C81"/>
    <w:pPr>
      <w:keepNext/>
      <w:spacing w:after="0"/>
    </w:pPr>
  </w:style>
  <w:style w:type="paragraph" w:customStyle="1" w:styleId="TableName">
    <w:name w:val="TableName"/>
    <w:basedOn w:val="TableText"/>
    <w:rsid w:val="00E96C81"/>
    <w:pPr>
      <w:tabs>
        <w:tab w:val="left" w:pos="1080"/>
      </w:tabs>
      <w:spacing w:before="120" w:after="120"/>
      <w:ind w:left="1080" w:hanging="1080"/>
    </w:pPr>
    <w:rPr>
      <w:b/>
      <w:bCs/>
      <w:sz w:val="22"/>
    </w:rPr>
  </w:style>
  <w:style w:type="paragraph" w:customStyle="1" w:styleId="TableHeading">
    <w:name w:val="TableHeading"/>
    <w:basedOn w:val="TableText"/>
    <w:rsid w:val="00E96C81"/>
    <w:rPr>
      <w:b/>
      <w:bCs/>
    </w:rPr>
  </w:style>
  <w:style w:type="paragraph" w:customStyle="1" w:styleId="TableBullet">
    <w:name w:val="TableBullet"/>
    <w:basedOn w:val="TableText"/>
    <w:rsid w:val="00E96C81"/>
    <w:pPr>
      <w:numPr>
        <w:numId w:val="14"/>
      </w:numPr>
      <w:tabs>
        <w:tab w:val="clear" w:pos="360"/>
        <w:tab w:val="left" w:pos="216"/>
      </w:tabs>
      <w:ind w:left="216" w:hanging="216"/>
    </w:pPr>
  </w:style>
  <w:style w:type="paragraph" w:customStyle="1" w:styleId="TableDash">
    <w:name w:val="TableDash"/>
    <w:basedOn w:val="TableText"/>
    <w:rsid w:val="00E96C81"/>
    <w:pPr>
      <w:numPr>
        <w:numId w:val="15"/>
      </w:numPr>
      <w:tabs>
        <w:tab w:val="clear" w:pos="216"/>
        <w:tab w:val="num" w:pos="432"/>
      </w:tabs>
    </w:pPr>
  </w:style>
  <w:style w:type="paragraph" w:customStyle="1" w:styleId="References">
    <w:name w:val="References"/>
    <w:basedOn w:val="Normal"/>
    <w:rsid w:val="00E96C81"/>
    <w:pPr>
      <w:keepLines/>
      <w:ind w:left="720" w:hanging="720"/>
    </w:pPr>
    <w:rPr>
      <w:color w:val="000000"/>
      <w:szCs w:val="20"/>
      <w:lang w:val="en-AU" w:eastAsia="en-AU"/>
    </w:rPr>
  </w:style>
  <w:style w:type="paragraph" w:styleId="FootnoteText">
    <w:name w:val="footnote text"/>
    <w:basedOn w:val="Normal"/>
    <w:link w:val="FootnoteTextChar"/>
    <w:semiHidden/>
    <w:rsid w:val="00E96C81"/>
    <w:pPr>
      <w:ind w:left="360" w:hanging="360"/>
    </w:pPr>
    <w:rPr>
      <w:color w:val="000000"/>
      <w:sz w:val="20"/>
      <w:szCs w:val="20"/>
      <w:lang w:val="en-AU" w:eastAsia="en-AU"/>
    </w:rPr>
  </w:style>
  <w:style w:type="character" w:customStyle="1" w:styleId="FootnoteTextChar">
    <w:name w:val="Footnote Text Char"/>
    <w:basedOn w:val="DefaultParagraphFont"/>
    <w:link w:val="FootnoteText"/>
    <w:semiHidden/>
    <w:rsid w:val="00E96C81"/>
    <w:rPr>
      <w:rFonts w:ascii="Calibri" w:hAnsi="Calibri"/>
      <w:color w:val="000000"/>
    </w:rPr>
  </w:style>
  <w:style w:type="character" w:styleId="FootnoteReference">
    <w:name w:val="footnote reference"/>
    <w:basedOn w:val="DefaultParagraphFont"/>
    <w:semiHidden/>
    <w:rsid w:val="00E96C81"/>
    <w:rPr>
      <w:vertAlign w:val="superscript"/>
    </w:rPr>
  </w:style>
  <w:style w:type="paragraph" w:customStyle="1" w:styleId="FigTabPara">
    <w:name w:val="FigTabPara"/>
    <w:basedOn w:val="Normal"/>
    <w:next w:val="TFIHolder"/>
    <w:rsid w:val="00E96C81"/>
    <w:pPr>
      <w:keepNext/>
      <w:spacing w:after="120"/>
      <w:ind w:left="1077"/>
    </w:pPr>
    <w:rPr>
      <w:color w:val="000000"/>
      <w:szCs w:val="20"/>
      <w:lang w:val="en-AU" w:eastAsia="en-AU"/>
    </w:rPr>
  </w:style>
  <w:style w:type="paragraph" w:customStyle="1" w:styleId="TFIHolder">
    <w:name w:val="TFIHolder"/>
    <w:basedOn w:val="TFAbbrevs"/>
    <w:qFormat/>
    <w:rsid w:val="00E96C81"/>
    <w:rPr>
      <w:sz w:val="12"/>
    </w:rPr>
  </w:style>
  <w:style w:type="paragraph" w:customStyle="1" w:styleId="TFAbbrevs">
    <w:name w:val="TFAbbrevs"/>
    <w:basedOn w:val="TFListNotes"/>
    <w:rsid w:val="00E96C81"/>
    <w:pPr>
      <w:ind w:left="0" w:firstLine="0"/>
    </w:pPr>
  </w:style>
  <w:style w:type="paragraph" w:customStyle="1" w:styleId="FigureNameSpace">
    <w:name w:val="FigureName+Space"/>
    <w:basedOn w:val="Normal"/>
    <w:next w:val="Normal"/>
    <w:rsid w:val="00E96C81"/>
    <w:pPr>
      <w:keepLines/>
      <w:tabs>
        <w:tab w:val="left" w:pos="1080"/>
      </w:tabs>
      <w:spacing w:before="120" w:after="360"/>
      <w:ind w:left="1080" w:hanging="1080"/>
    </w:pPr>
    <w:rPr>
      <w:b/>
      <w:bCs/>
      <w:color w:val="000000"/>
      <w:szCs w:val="20"/>
      <w:lang w:val="en-AU" w:eastAsia="en-AU"/>
    </w:rPr>
  </w:style>
  <w:style w:type="paragraph" w:styleId="TOC1">
    <w:name w:val="toc 1"/>
    <w:basedOn w:val="Normal"/>
    <w:next w:val="Normal"/>
    <w:autoRedefine/>
    <w:uiPriority w:val="39"/>
    <w:rsid w:val="00B70FF5"/>
    <w:pPr>
      <w:tabs>
        <w:tab w:val="left" w:pos="720"/>
        <w:tab w:val="right" w:leader="dot" w:pos="9016"/>
      </w:tabs>
      <w:spacing w:before="360" w:after="60"/>
      <w:ind w:left="720" w:right="720" w:hanging="720"/>
    </w:pPr>
    <w:rPr>
      <w:b/>
      <w:bCs/>
      <w:noProof/>
      <w:color w:val="000000"/>
      <w:szCs w:val="20"/>
      <w:lang w:val="en-AU" w:eastAsia="en-AU"/>
    </w:rPr>
  </w:style>
  <w:style w:type="paragraph" w:styleId="TOC2">
    <w:name w:val="toc 2"/>
    <w:basedOn w:val="Normal"/>
    <w:next w:val="Normal"/>
    <w:autoRedefine/>
    <w:uiPriority w:val="39"/>
    <w:rsid w:val="00E96C81"/>
    <w:pPr>
      <w:tabs>
        <w:tab w:val="left" w:pos="1440"/>
        <w:tab w:val="right" w:leader="dot" w:pos="9016"/>
      </w:tabs>
      <w:spacing w:before="120" w:after="60"/>
      <w:ind w:left="1440" w:right="720" w:hanging="720"/>
    </w:pPr>
    <w:rPr>
      <w:color w:val="000000"/>
      <w:szCs w:val="20"/>
      <w:lang w:val="en-AU" w:eastAsia="en-AU"/>
    </w:rPr>
  </w:style>
  <w:style w:type="paragraph" w:styleId="TOC3">
    <w:name w:val="toc 3"/>
    <w:basedOn w:val="Normal"/>
    <w:next w:val="Normal"/>
    <w:autoRedefine/>
    <w:uiPriority w:val="39"/>
    <w:rsid w:val="00E96C81"/>
    <w:pPr>
      <w:tabs>
        <w:tab w:val="left" w:pos="2160"/>
        <w:tab w:val="right" w:leader="dot" w:pos="9016"/>
      </w:tabs>
      <w:spacing w:after="20"/>
      <w:ind w:left="2160" w:right="720" w:hanging="720"/>
    </w:pPr>
    <w:rPr>
      <w:color w:val="000000"/>
      <w:szCs w:val="20"/>
      <w:lang w:val="en-AU" w:eastAsia="en-AU"/>
    </w:rPr>
  </w:style>
  <w:style w:type="paragraph" w:styleId="TableofFigures">
    <w:name w:val="table of figures"/>
    <w:basedOn w:val="Normal"/>
    <w:next w:val="Normal"/>
    <w:uiPriority w:val="99"/>
    <w:rsid w:val="00E96C81"/>
    <w:pPr>
      <w:tabs>
        <w:tab w:val="left" w:pos="1080"/>
        <w:tab w:val="right" w:leader="dot" w:pos="9000"/>
      </w:tabs>
      <w:spacing w:after="120"/>
      <w:ind w:left="1080" w:right="720" w:hangingChars="450" w:hanging="1080"/>
    </w:pPr>
    <w:rPr>
      <w:color w:val="000000"/>
      <w:szCs w:val="20"/>
      <w:lang w:val="en-AU" w:eastAsia="en-AU"/>
    </w:rPr>
  </w:style>
  <w:style w:type="paragraph" w:customStyle="1" w:styleId="BulletBeforeDash">
    <w:name w:val="BulletBeforeDash"/>
    <w:basedOn w:val="Normal"/>
    <w:rsid w:val="00E96C81"/>
    <w:pPr>
      <w:numPr>
        <w:numId w:val="16"/>
      </w:numPr>
    </w:pPr>
    <w:rPr>
      <w:color w:val="000000"/>
      <w:szCs w:val="20"/>
      <w:lang w:val="en-AU" w:eastAsia="en-AU"/>
    </w:rPr>
  </w:style>
  <w:style w:type="paragraph" w:customStyle="1" w:styleId="Bullet">
    <w:name w:val="Bullet"/>
    <w:basedOn w:val="BulletBeforeDash"/>
    <w:qFormat/>
    <w:rsid w:val="00E96C81"/>
    <w:pPr>
      <w:spacing w:after="120"/>
    </w:pPr>
  </w:style>
  <w:style w:type="paragraph" w:customStyle="1" w:styleId="BulletLast">
    <w:name w:val="BulletLast"/>
    <w:basedOn w:val="Bullet"/>
    <w:qFormat/>
    <w:rsid w:val="00E96C81"/>
    <w:pPr>
      <w:spacing w:after="240"/>
    </w:pPr>
  </w:style>
  <w:style w:type="paragraph" w:customStyle="1" w:styleId="Dash">
    <w:name w:val="Dash"/>
    <w:basedOn w:val="Normal"/>
    <w:rsid w:val="00E96C81"/>
    <w:pPr>
      <w:numPr>
        <w:numId w:val="17"/>
      </w:numPr>
      <w:tabs>
        <w:tab w:val="clear" w:pos="216"/>
        <w:tab w:val="left" w:pos="720"/>
      </w:tabs>
      <w:ind w:left="720" w:hanging="360"/>
    </w:pPr>
    <w:rPr>
      <w:color w:val="000000"/>
      <w:szCs w:val="20"/>
      <w:lang w:val="en-AU" w:eastAsia="en-AU"/>
    </w:rPr>
  </w:style>
  <w:style w:type="paragraph" w:customStyle="1" w:styleId="DashLast">
    <w:name w:val="DashLast"/>
    <w:basedOn w:val="Dash"/>
    <w:rsid w:val="00E96C81"/>
    <w:pPr>
      <w:spacing w:after="120"/>
    </w:pPr>
  </w:style>
  <w:style w:type="paragraph" w:customStyle="1" w:styleId="DashLastSpace">
    <w:name w:val="DashLast+Space"/>
    <w:basedOn w:val="DashLast"/>
    <w:rsid w:val="00E96C81"/>
    <w:pPr>
      <w:spacing w:after="240"/>
    </w:pPr>
  </w:style>
  <w:style w:type="paragraph" w:customStyle="1" w:styleId="NormalBeforeBullet">
    <w:name w:val="NormalBeforeBullet"/>
    <w:basedOn w:val="Normal"/>
    <w:qFormat/>
    <w:rsid w:val="00E96C81"/>
    <w:pPr>
      <w:keepNext/>
      <w:spacing w:after="120"/>
    </w:pPr>
    <w:rPr>
      <w:color w:val="000000"/>
      <w:szCs w:val="20"/>
      <w:lang w:val="en-AU" w:eastAsia="en-AU"/>
    </w:rPr>
  </w:style>
  <w:style w:type="paragraph" w:customStyle="1" w:styleId="BoxText">
    <w:name w:val="BoxText"/>
    <w:basedOn w:val="Normal"/>
    <w:qFormat/>
    <w:rsid w:val="00E96C81"/>
    <w:pPr>
      <w:pBdr>
        <w:top w:val="single" w:sz="4" w:space="4" w:color="000000"/>
        <w:left w:val="single" w:sz="4" w:space="4" w:color="000000"/>
        <w:bottom w:val="single" w:sz="4" w:space="4" w:color="000000"/>
        <w:right w:val="single" w:sz="4" w:space="4" w:color="000000"/>
      </w:pBdr>
      <w:spacing w:after="120"/>
    </w:pPr>
    <w:rPr>
      <w:color w:val="000000"/>
      <w:szCs w:val="20"/>
      <w:lang w:val="en-AU" w:eastAsia="en-AU"/>
    </w:rPr>
  </w:style>
  <w:style w:type="paragraph" w:customStyle="1" w:styleId="BoxNotes">
    <w:name w:val="BoxNotes"/>
    <w:basedOn w:val="BoxText"/>
    <w:rsid w:val="00E96C81"/>
    <w:pPr>
      <w:spacing w:before="120" w:after="60"/>
    </w:pPr>
    <w:rPr>
      <w:sz w:val="18"/>
    </w:rPr>
  </w:style>
  <w:style w:type="paragraph" w:customStyle="1" w:styleId="BoxName">
    <w:name w:val="BoxName"/>
    <w:basedOn w:val="BoxText"/>
    <w:rsid w:val="00E96C81"/>
    <w:pPr>
      <w:keepNext/>
      <w:spacing w:before="180"/>
      <w:ind w:left="1080" w:hanging="1080"/>
    </w:pPr>
    <w:rPr>
      <w:b/>
      <w:bCs/>
      <w:sz w:val="24"/>
    </w:rPr>
  </w:style>
  <w:style w:type="paragraph" w:customStyle="1" w:styleId="BoxHeading">
    <w:name w:val="BoxHeading"/>
    <w:basedOn w:val="BoxText"/>
    <w:rsid w:val="00E96C81"/>
    <w:pPr>
      <w:keepNext/>
      <w:spacing w:before="120" w:after="60"/>
    </w:pPr>
    <w:rPr>
      <w:b/>
      <w:bCs/>
    </w:rPr>
  </w:style>
  <w:style w:type="paragraph" w:customStyle="1" w:styleId="BoxBullet">
    <w:name w:val="BoxBullet"/>
    <w:basedOn w:val="BoxText"/>
    <w:rsid w:val="00E96C81"/>
    <w:pPr>
      <w:numPr>
        <w:numId w:val="36"/>
      </w:numPr>
    </w:pPr>
  </w:style>
  <w:style w:type="paragraph" w:customStyle="1" w:styleId="BoxDashManual">
    <w:name w:val="BoxDashManual"/>
    <w:basedOn w:val="BoxText"/>
    <w:rsid w:val="00E96C81"/>
    <w:pPr>
      <w:tabs>
        <w:tab w:val="left" w:pos="360"/>
        <w:tab w:val="left" w:pos="720"/>
      </w:tabs>
      <w:ind w:left="720" w:hanging="720"/>
    </w:pPr>
  </w:style>
  <w:style w:type="paragraph" w:customStyle="1" w:styleId="FigureName">
    <w:name w:val="FigureName"/>
    <w:basedOn w:val="FigureNameSpace"/>
    <w:next w:val="Normal"/>
    <w:rsid w:val="00E96C81"/>
    <w:pPr>
      <w:keepNext/>
      <w:spacing w:after="120"/>
      <w:ind w:left="1077" w:hanging="1077"/>
    </w:pPr>
  </w:style>
  <w:style w:type="paragraph" w:styleId="Index1">
    <w:name w:val="index 1"/>
    <w:basedOn w:val="Normal"/>
    <w:next w:val="Normal"/>
    <w:rsid w:val="00E96C81"/>
    <w:pPr>
      <w:ind w:left="518" w:hanging="518"/>
    </w:pPr>
    <w:rPr>
      <w:noProof/>
      <w:color w:val="000000"/>
      <w:szCs w:val="20"/>
      <w:lang w:val="en-AU" w:eastAsia="en-AU"/>
    </w:rPr>
  </w:style>
  <w:style w:type="paragraph" w:styleId="Index2">
    <w:name w:val="index 2"/>
    <w:basedOn w:val="Index1"/>
    <w:next w:val="Normal"/>
    <w:rsid w:val="00E96C81"/>
    <w:pPr>
      <w:ind w:left="816" w:hanging="476"/>
    </w:pPr>
  </w:style>
  <w:style w:type="paragraph" w:styleId="TOC4">
    <w:name w:val="toc 4"/>
    <w:basedOn w:val="Normal"/>
    <w:next w:val="Normal"/>
    <w:autoRedefine/>
    <w:semiHidden/>
    <w:rsid w:val="00E96C81"/>
    <w:pPr>
      <w:tabs>
        <w:tab w:val="right" w:leader="dot" w:pos="9016"/>
      </w:tabs>
      <w:ind w:left="2160" w:right="720"/>
    </w:pPr>
    <w:rPr>
      <w:noProof/>
    </w:rPr>
  </w:style>
  <w:style w:type="paragraph" w:customStyle="1" w:styleId="NumberList">
    <w:name w:val="NumberList"/>
    <w:basedOn w:val="Normal"/>
    <w:rsid w:val="00E96C81"/>
    <w:pPr>
      <w:tabs>
        <w:tab w:val="left" w:pos="360"/>
      </w:tabs>
      <w:ind w:left="360" w:hanging="360"/>
    </w:pPr>
    <w:rPr>
      <w:color w:val="000000"/>
      <w:szCs w:val="20"/>
      <w:lang w:val="en-AU" w:eastAsia="en-AU"/>
    </w:rPr>
  </w:style>
  <w:style w:type="paragraph" w:customStyle="1" w:styleId="TFNoteSourceSpace">
    <w:name w:val="TFNoteSource+Space"/>
    <w:basedOn w:val="TFListNotesSpace"/>
    <w:next w:val="Normal"/>
    <w:rsid w:val="00E96C81"/>
    <w:pPr>
      <w:ind w:left="624" w:hanging="624"/>
    </w:pPr>
  </w:style>
  <w:style w:type="paragraph" w:customStyle="1" w:styleId="TFNoteSource">
    <w:name w:val="TFNoteSource"/>
    <w:basedOn w:val="TFNoteSourceSpace"/>
    <w:rsid w:val="00E96C81"/>
    <w:pPr>
      <w:spacing w:after="0"/>
    </w:pPr>
  </w:style>
  <w:style w:type="character" w:customStyle="1" w:styleId="DesignerNotesChar">
    <w:name w:val="DesignerNotesChar"/>
    <w:basedOn w:val="DefaultParagraphFont"/>
    <w:rsid w:val="00E96C81"/>
    <w:rPr>
      <w:rFonts w:ascii="Arial" w:hAnsi="Arial"/>
      <w:b/>
      <w:color w:val="3366FF"/>
      <w:sz w:val="20"/>
    </w:rPr>
  </w:style>
  <w:style w:type="paragraph" w:customStyle="1" w:styleId="TFAbbrevsSpace">
    <w:name w:val="TFAbbrevs+Space"/>
    <w:basedOn w:val="TFAbbrevs"/>
    <w:next w:val="Normal"/>
    <w:rsid w:val="00E96C81"/>
    <w:pPr>
      <w:spacing w:after="360"/>
    </w:pPr>
  </w:style>
  <w:style w:type="character" w:customStyle="1" w:styleId="Roman">
    <w:name w:val="Roman"/>
    <w:uiPriority w:val="1"/>
    <w:rsid w:val="00E96C81"/>
    <w:rPr>
      <w:b w:val="0"/>
      <w:i/>
    </w:rPr>
  </w:style>
  <w:style w:type="character" w:customStyle="1" w:styleId="PullQuoteOrigin">
    <w:name w:val="PullQuoteOrigin"/>
    <w:basedOn w:val="DefaultParagraphFont"/>
    <w:uiPriority w:val="1"/>
    <w:rsid w:val="00E96C81"/>
    <w:rPr>
      <w:b/>
      <w:noProof/>
      <w:color w:val="76923C" w:themeColor="accent3" w:themeShade="BF"/>
    </w:rPr>
  </w:style>
  <w:style w:type="paragraph" w:customStyle="1" w:styleId="TFIHolderSpace">
    <w:name w:val="TFIHolder+Space"/>
    <w:basedOn w:val="TFIHolder"/>
    <w:qFormat/>
    <w:rsid w:val="00E96C81"/>
    <w:pPr>
      <w:spacing w:after="240"/>
    </w:pPr>
  </w:style>
  <w:style w:type="paragraph" w:customStyle="1" w:styleId="DesignerNotes">
    <w:name w:val="DesignerNotes"/>
    <w:basedOn w:val="Normal"/>
    <w:rsid w:val="00E96C81"/>
    <w:rPr>
      <w:b/>
      <w:color w:val="3366FF"/>
      <w:sz w:val="20"/>
      <w:szCs w:val="20"/>
      <w:lang w:val="en-AU" w:eastAsia="en-AU"/>
    </w:rPr>
  </w:style>
  <w:style w:type="character" w:customStyle="1" w:styleId="Subscript">
    <w:name w:val="Subscript"/>
    <w:basedOn w:val="DefaultParagraphFont"/>
    <w:uiPriority w:val="1"/>
    <w:rsid w:val="00E96C81"/>
    <w:rPr>
      <w:noProof/>
      <w:vertAlign w:val="subscript"/>
    </w:rPr>
  </w:style>
  <w:style w:type="character" w:customStyle="1" w:styleId="Superscript">
    <w:name w:val="Superscript"/>
    <w:basedOn w:val="DefaultParagraphFont"/>
    <w:uiPriority w:val="1"/>
    <w:rsid w:val="00E96C81"/>
    <w:rPr>
      <w:noProof/>
      <w:vertAlign w:val="superscript"/>
    </w:rPr>
  </w:style>
  <w:style w:type="character" w:customStyle="1" w:styleId="Symbol">
    <w:name w:val="Symbol"/>
    <w:basedOn w:val="DefaultParagraphFont"/>
    <w:uiPriority w:val="1"/>
    <w:rsid w:val="00E96C81"/>
    <w:rPr>
      <w:noProof/>
    </w:rPr>
  </w:style>
  <w:style w:type="character" w:customStyle="1" w:styleId="NoBreak">
    <w:name w:val="NoBreak"/>
    <w:basedOn w:val="DefaultParagraphFont"/>
    <w:uiPriority w:val="1"/>
    <w:rsid w:val="00E96C81"/>
    <w:rPr>
      <w:noProof/>
    </w:rPr>
  </w:style>
  <w:style w:type="paragraph" w:customStyle="1" w:styleId="MathEquation">
    <w:name w:val="MathEquation"/>
    <w:basedOn w:val="Normal"/>
    <w:rsid w:val="00E96C81"/>
    <w:rPr>
      <w:rFonts w:ascii="Cambria Math" w:hAnsi="Cambria Math"/>
      <w:i/>
      <w:noProof/>
      <w:color w:val="000000"/>
      <w:szCs w:val="20"/>
      <w:lang w:val="en-AU" w:eastAsia="en-AU"/>
    </w:rPr>
  </w:style>
  <w:style w:type="paragraph" w:customStyle="1" w:styleId="ComputerCode">
    <w:name w:val="ComputerCode"/>
    <w:basedOn w:val="Normal"/>
    <w:rsid w:val="00E96C81"/>
    <w:pPr>
      <w:ind w:left="567"/>
      <w:contextualSpacing/>
    </w:pPr>
    <w:rPr>
      <w:rFonts w:ascii="Courier New" w:hAnsi="Courier New"/>
      <w:sz w:val="20"/>
      <w:lang w:val="en-AU" w:eastAsia="en-AU"/>
    </w:rPr>
  </w:style>
  <w:style w:type="paragraph" w:customStyle="1" w:styleId="BulletChecklist">
    <w:name w:val="BulletChecklist"/>
    <w:basedOn w:val="Bullet"/>
    <w:rsid w:val="00E96C81"/>
    <w:pPr>
      <w:numPr>
        <w:numId w:val="29"/>
      </w:numPr>
    </w:pPr>
    <w:rPr>
      <w:noProof/>
    </w:rPr>
  </w:style>
  <w:style w:type="paragraph" w:customStyle="1" w:styleId="ImprintText">
    <w:name w:val="ImprintText"/>
    <w:basedOn w:val="Normal"/>
    <w:rsid w:val="00E96C81"/>
    <w:pPr>
      <w:spacing w:after="120"/>
    </w:pPr>
    <w:rPr>
      <w:color w:val="000000"/>
      <w:sz w:val="20"/>
      <w:szCs w:val="20"/>
      <w:lang w:val="en-AU" w:eastAsia="en-AU"/>
    </w:rPr>
  </w:style>
  <w:style w:type="paragraph" w:customStyle="1" w:styleId="AltText">
    <w:name w:val="AltText"/>
    <w:basedOn w:val="Normal"/>
    <w:rsid w:val="00E96C81"/>
    <w:rPr>
      <w:color w:val="E36C0A" w:themeColor="accent6" w:themeShade="BF"/>
      <w:sz w:val="20"/>
      <w:szCs w:val="20"/>
      <w:lang w:val="en-AU" w:eastAsia="en-AU"/>
    </w:rPr>
  </w:style>
  <w:style w:type="paragraph" w:styleId="Caption">
    <w:name w:val="caption"/>
    <w:basedOn w:val="Normal"/>
    <w:next w:val="Credit"/>
    <w:uiPriority w:val="35"/>
    <w:unhideWhenUsed/>
    <w:rsid w:val="00E96C81"/>
    <w:rPr>
      <w:b/>
      <w:bCs/>
      <w:sz w:val="18"/>
      <w:szCs w:val="18"/>
      <w:lang w:val="en-AU" w:eastAsia="en-AU"/>
    </w:rPr>
  </w:style>
  <w:style w:type="paragraph" w:customStyle="1" w:styleId="Credit">
    <w:name w:val="Credit"/>
    <w:basedOn w:val="Caption"/>
    <w:next w:val="Normal"/>
    <w:rsid w:val="00E96C81"/>
    <w:rPr>
      <w:b w:val="0"/>
      <w:noProof/>
    </w:rPr>
  </w:style>
  <w:style w:type="paragraph" w:customStyle="1" w:styleId="NormalFirstPara">
    <w:name w:val="NormalFirstPara"/>
    <w:basedOn w:val="Normal"/>
    <w:rsid w:val="00E96C81"/>
    <w:rPr>
      <w:noProof/>
      <w:color w:val="9BBB59" w:themeColor="accent3"/>
      <w:szCs w:val="20"/>
      <w:lang w:val="en-AU" w:eastAsia="en-AU"/>
    </w:rPr>
  </w:style>
  <w:style w:type="paragraph" w:customStyle="1" w:styleId="TableHeadingCA">
    <w:name w:val="TableHeadingCA"/>
    <w:basedOn w:val="TableHeading"/>
    <w:rsid w:val="00E96C81"/>
    <w:pPr>
      <w:jc w:val="center"/>
    </w:pPr>
  </w:style>
  <w:style w:type="paragraph" w:customStyle="1" w:styleId="TableTextCA">
    <w:name w:val="TableTextCA"/>
    <w:basedOn w:val="TableText"/>
    <w:rsid w:val="00E96C81"/>
    <w:pPr>
      <w:jc w:val="center"/>
    </w:pPr>
  </w:style>
  <w:style w:type="paragraph" w:customStyle="1" w:styleId="TableTextDecimalAlign">
    <w:name w:val="TableTextDecimalAlign"/>
    <w:basedOn w:val="TableText"/>
    <w:rsid w:val="00E96C81"/>
    <w:pPr>
      <w:tabs>
        <w:tab w:val="decimal" w:pos="1119"/>
      </w:tabs>
    </w:pPr>
  </w:style>
  <w:style w:type="paragraph" w:customStyle="1" w:styleId="NormalIndent">
    <w:name w:val="NormalIndent"/>
    <w:basedOn w:val="Normal"/>
    <w:rsid w:val="00E96C81"/>
    <w:pPr>
      <w:ind w:left="357"/>
    </w:pPr>
    <w:rPr>
      <w:color w:val="000000"/>
      <w:szCs w:val="20"/>
      <w:lang w:val="en-AU" w:eastAsia="en-AU"/>
    </w:rPr>
  </w:style>
  <w:style w:type="paragraph" w:customStyle="1" w:styleId="SectionTitle">
    <w:name w:val="SectionTitle"/>
    <w:basedOn w:val="Normal"/>
    <w:next w:val="Normal"/>
    <w:rsid w:val="00E96C81"/>
    <w:pPr>
      <w:jc w:val="center"/>
    </w:pPr>
    <w:rPr>
      <w:b/>
      <w:color w:val="000000"/>
      <w:sz w:val="40"/>
      <w:szCs w:val="20"/>
      <w:lang w:val="en-AU" w:eastAsia="en-AU"/>
    </w:rPr>
  </w:style>
  <w:style w:type="paragraph" w:customStyle="1" w:styleId="SectionSubtitle">
    <w:name w:val="SectionSubtitle"/>
    <w:basedOn w:val="Normal"/>
    <w:rsid w:val="00E96C81"/>
    <w:pPr>
      <w:jc w:val="center"/>
    </w:pPr>
    <w:rPr>
      <w:color w:val="000000"/>
      <w:sz w:val="32"/>
      <w:szCs w:val="20"/>
      <w:lang w:val="en-AU" w:eastAsia="en-AU"/>
    </w:rPr>
  </w:style>
  <w:style w:type="paragraph" w:customStyle="1" w:styleId="QuoteNumberList">
    <w:name w:val="QuoteNumberList"/>
    <w:basedOn w:val="Quote"/>
    <w:rsid w:val="00E96C81"/>
    <w:pPr>
      <w:ind w:left="1117" w:hanging="397"/>
    </w:pPr>
    <w:rPr>
      <w:noProof/>
    </w:rPr>
  </w:style>
  <w:style w:type="paragraph" w:customStyle="1" w:styleId="QuoteBullet">
    <w:name w:val="QuoteBullet"/>
    <w:basedOn w:val="Quote"/>
    <w:rsid w:val="00E96C81"/>
    <w:pPr>
      <w:numPr>
        <w:numId w:val="31"/>
      </w:numPr>
      <w:ind w:left="1117" w:hanging="397"/>
    </w:pPr>
    <w:rPr>
      <w:noProof/>
    </w:rPr>
  </w:style>
  <w:style w:type="paragraph" w:customStyle="1" w:styleId="BoxDash">
    <w:name w:val="BoxDash"/>
    <w:basedOn w:val="BoxBullet"/>
    <w:rsid w:val="00E96C81"/>
    <w:pPr>
      <w:numPr>
        <w:numId w:val="18"/>
      </w:numPr>
    </w:pPr>
  </w:style>
  <w:style w:type="character" w:customStyle="1" w:styleId="CrossRef">
    <w:name w:val="CrossRef"/>
    <w:basedOn w:val="DefaultParagraphFont"/>
    <w:uiPriority w:val="1"/>
    <w:rsid w:val="00E96C81"/>
    <w:rPr>
      <w:rFonts w:ascii="Calibri" w:hAnsi="Calibri"/>
      <w:b/>
      <w:noProof/>
      <w:color w:val="C0504D" w:themeColor="accent2"/>
      <w:sz w:val="24"/>
    </w:rPr>
  </w:style>
  <w:style w:type="character" w:customStyle="1" w:styleId="StrongEmphasis">
    <w:name w:val="StrongEmphasis"/>
    <w:basedOn w:val="DefaultParagraphFont"/>
    <w:rsid w:val="00E96C81"/>
    <w:rPr>
      <w:b/>
      <w:bCs/>
      <w:i/>
      <w:iCs/>
    </w:rPr>
  </w:style>
  <w:style w:type="paragraph" w:styleId="TOC5">
    <w:name w:val="toc 5"/>
    <w:basedOn w:val="Normal"/>
    <w:next w:val="Normal"/>
    <w:autoRedefine/>
    <w:unhideWhenUsed/>
    <w:rsid w:val="00D258ED"/>
    <w:pPr>
      <w:ind w:left="880"/>
    </w:pPr>
    <w:rPr>
      <w:color w:val="000000"/>
      <w:szCs w:val="20"/>
      <w:lang w:val="en-AU" w:eastAsia="en-AU"/>
    </w:rPr>
  </w:style>
  <w:style w:type="paragraph" w:styleId="TOC6">
    <w:name w:val="toc 6"/>
    <w:basedOn w:val="Normal"/>
    <w:next w:val="Normal"/>
    <w:autoRedefine/>
    <w:unhideWhenUsed/>
    <w:rsid w:val="00D258ED"/>
    <w:pPr>
      <w:ind w:left="1100"/>
    </w:pPr>
    <w:rPr>
      <w:color w:val="000000"/>
      <w:szCs w:val="20"/>
      <w:lang w:val="en-AU" w:eastAsia="en-AU"/>
    </w:rPr>
  </w:style>
  <w:style w:type="paragraph" w:styleId="TOC7">
    <w:name w:val="toc 7"/>
    <w:basedOn w:val="Normal"/>
    <w:next w:val="Normal"/>
    <w:autoRedefine/>
    <w:unhideWhenUsed/>
    <w:rsid w:val="00D258ED"/>
    <w:pPr>
      <w:ind w:left="1320"/>
    </w:pPr>
    <w:rPr>
      <w:color w:val="000000"/>
      <w:szCs w:val="20"/>
      <w:lang w:val="en-AU" w:eastAsia="en-AU"/>
    </w:rPr>
  </w:style>
  <w:style w:type="paragraph" w:styleId="TOC8">
    <w:name w:val="toc 8"/>
    <w:basedOn w:val="Normal"/>
    <w:next w:val="Normal"/>
    <w:autoRedefine/>
    <w:unhideWhenUsed/>
    <w:rsid w:val="00D258ED"/>
    <w:pPr>
      <w:ind w:left="1540"/>
    </w:pPr>
    <w:rPr>
      <w:color w:val="000000"/>
      <w:szCs w:val="20"/>
      <w:lang w:val="en-AU" w:eastAsia="en-AU"/>
    </w:rPr>
  </w:style>
  <w:style w:type="paragraph" w:styleId="TOC9">
    <w:name w:val="toc 9"/>
    <w:basedOn w:val="Normal"/>
    <w:next w:val="Normal"/>
    <w:autoRedefine/>
    <w:unhideWhenUsed/>
    <w:rsid w:val="00D258ED"/>
    <w:pPr>
      <w:ind w:left="1760"/>
    </w:pPr>
    <w:rPr>
      <w:color w:val="000000"/>
      <w:szCs w:val="20"/>
      <w:lang w:val="en-AU" w:eastAsia="en-AU"/>
    </w:rPr>
  </w:style>
  <w:style w:type="paragraph" w:styleId="Revision">
    <w:name w:val="Revision"/>
    <w:hidden/>
    <w:uiPriority w:val="99"/>
    <w:semiHidden/>
    <w:rsid w:val="00A66705"/>
    <w:rPr>
      <w:rFonts w:ascii="Arial" w:hAnsi="Arial"/>
      <w:color w:val="000000"/>
      <w:sz w:val="22"/>
    </w:rPr>
  </w:style>
  <w:style w:type="character" w:styleId="FollowedHyperlink">
    <w:name w:val="FollowedHyperlink"/>
    <w:basedOn w:val="DefaultParagraphFont"/>
    <w:semiHidden/>
    <w:unhideWhenUsed/>
    <w:rsid w:val="00495C41"/>
    <w:rPr>
      <w:color w:val="800080" w:themeColor="followedHyperlink"/>
      <w:u w:val="single"/>
    </w:rPr>
  </w:style>
  <w:style w:type="paragraph" w:styleId="DocumentMap">
    <w:name w:val="Document Map"/>
    <w:basedOn w:val="Normal"/>
    <w:link w:val="DocumentMapChar"/>
    <w:semiHidden/>
    <w:unhideWhenUsed/>
    <w:rsid w:val="00455AA9"/>
  </w:style>
  <w:style w:type="character" w:customStyle="1" w:styleId="DocumentMapChar">
    <w:name w:val="Document Map Char"/>
    <w:basedOn w:val="DefaultParagraphFont"/>
    <w:link w:val="DocumentMap"/>
    <w:semiHidden/>
    <w:rsid w:val="00455AA9"/>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55AD9"/>
    <w:pPr>
      <w:spacing w:after="240"/>
    </w:pPr>
    <w:rPr>
      <w:rFonts w:ascii="Arial" w:hAnsi="Arial"/>
      <w:sz w:val="22"/>
      <w:szCs w:val="24"/>
      <w:lang w:val="en-GB" w:eastAsia="en-GB"/>
    </w:rPr>
  </w:style>
  <w:style w:type="paragraph" w:styleId="Heading1">
    <w:name w:val="heading 1"/>
    <w:basedOn w:val="Normal"/>
    <w:next w:val="Normal"/>
    <w:qFormat/>
    <w:rsid w:val="00E96C81"/>
    <w:pPr>
      <w:keepNext/>
      <w:pageBreakBefore/>
      <w:spacing w:after="480"/>
      <w:ind w:left="720" w:hanging="720"/>
      <w:outlineLvl w:val="0"/>
    </w:pPr>
    <w:rPr>
      <w:rFonts w:cs="Arial"/>
      <w:b/>
      <w:bCs/>
      <w:color w:val="000000"/>
      <w:kern w:val="32"/>
      <w:sz w:val="40"/>
      <w:szCs w:val="32"/>
      <w:lang w:val="en-AU" w:eastAsia="en-AU"/>
    </w:rPr>
  </w:style>
  <w:style w:type="paragraph" w:styleId="Heading2">
    <w:name w:val="heading 2"/>
    <w:basedOn w:val="Normal"/>
    <w:next w:val="Normal"/>
    <w:qFormat/>
    <w:rsid w:val="00E96C81"/>
    <w:pPr>
      <w:keepNext/>
      <w:spacing w:before="240"/>
      <w:ind w:left="720" w:hanging="720"/>
      <w:outlineLvl w:val="1"/>
    </w:pPr>
    <w:rPr>
      <w:rFonts w:cs="Arial"/>
      <w:b/>
      <w:bCs/>
      <w:iCs/>
      <w:color w:val="000000"/>
      <w:sz w:val="28"/>
      <w:szCs w:val="28"/>
      <w:lang w:val="en-AU" w:eastAsia="en-AU"/>
    </w:rPr>
  </w:style>
  <w:style w:type="paragraph" w:styleId="Heading3">
    <w:name w:val="heading 3"/>
    <w:basedOn w:val="Normal"/>
    <w:next w:val="Normal"/>
    <w:qFormat/>
    <w:rsid w:val="00E96C81"/>
    <w:pPr>
      <w:keepNext/>
      <w:spacing w:before="240"/>
      <w:ind w:left="720" w:hanging="720"/>
      <w:outlineLvl w:val="2"/>
    </w:pPr>
    <w:rPr>
      <w:rFonts w:cs="Arial"/>
      <w:b/>
      <w:bCs/>
      <w:color w:val="000000"/>
      <w:szCs w:val="26"/>
      <w:lang w:val="en-AU" w:eastAsia="en-AU"/>
    </w:rPr>
  </w:style>
  <w:style w:type="paragraph" w:styleId="Heading4">
    <w:name w:val="heading 4"/>
    <w:basedOn w:val="Normal"/>
    <w:next w:val="Normal"/>
    <w:rsid w:val="00E96C81"/>
    <w:pPr>
      <w:keepNext/>
      <w:spacing w:before="120" w:after="120"/>
      <w:outlineLvl w:val="3"/>
    </w:pPr>
    <w:rPr>
      <w:b/>
      <w:bCs/>
      <w:i/>
      <w:color w:val="000000"/>
      <w:szCs w:val="28"/>
      <w:lang w:val="en-AU" w:eastAsia="en-AU"/>
    </w:rPr>
  </w:style>
  <w:style w:type="paragraph" w:styleId="Heading5">
    <w:name w:val="heading 5"/>
    <w:basedOn w:val="Normal"/>
    <w:next w:val="Normal"/>
    <w:rsid w:val="00E96C81"/>
    <w:pPr>
      <w:keepNext/>
      <w:spacing w:before="60" w:after="60"/>
      <w:outlineLvl w:val="4"/>
    </w:pPr>
    <w:rPr>
      <w:bCs/>
      <w:i/>
      <w:iCs/>
      <w:color w:val="000000"/>
      <w:szCs w:val="26"/>
      <w:lang w:val="en-AU" w:eastAsia="en-AU"/>
    </w:rPr>
  </w:style>
  <w:style w:type="paragraph" w:styleId="Heading6">
    <w:name w:val="heading 6"/>
    <w:basedOn w:val="Normal"/>
    <w:next w:val="Normal"/>
    <w:qFormat/>
    <w:rsid w:val="00A705AF"/>
    <w:pPr>
      <w:keepNext/>
      <w:spacing w:before="240" w:after="60"/>
      <w:outlineLvl w:val="5"/>
    </w:pPr>
    <w:rPr>
      <w:b/>
      <w:bCs/>
      <w:i/>
      <w:color w:val="000000"/>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96C81"/>
    <w:rPr>
      <w:i/>
      <w:iCs/>
    </w:rPr>
  </w:style>
  <w:style w:type="character" w:styleId="Strong">
    <w:name w:val="Strong"/>
    <w:basedOn w:val="DefaultParagraphFont"/>
    <w:uiPriority w:val="22"/>
    <w:qFormat/>
    <w:rsid w:val="00E96C81"/>
    <w:rPr>
      <w:b/>
      <w:bCs/>
    </w:rPr>
  </w:style>
  <w:style w:type="paragraph" w:styleId="Subtitle">
    <w:name w:val="Subtitle"/>
    <w:basedOn w:val="Normal"/>
    <w:next w:val="Normal"/>
    <w:link w:val="SubtitleChar"/>
    <w:uiPriority w:val="11"/>
    <w:rsid w:val="00E96C81"/>
    <w:pPr>
      <w:numPr>
        <w:ilvl w:val="1"/>
      </w:numPr>
      <w:jc w:val="center"/>
    </w:pPr>
    <w:rPr>
      <w:rFonts w:eastAsiaTheme="majorEastAsia" w:cstheme="majorBidi"/>
      <w:b/>
      <w:iCs/>
      <w:sz w:val="40"/>
      <w:lang w:val="en-AU" w:eastAsia="en-AU"/>
    </w:rPr>
  </w:style>
  <w:style w:type="character" w:customStyle="1" w:styleId="SubtitleChar">
    <w:name w:val="Subtitle Char"/>
    <w:basedOn w:val="DefaultParagraphFont"/>
    <w:link w:val="Subtitle"/>
    <w:uiPriority w:val="11"/>
    <w:rsid w:val="00E96C81"/>
    <w:rPr>
      <w:rFonts w:ascii="Calibri" w:eastAsiaTheme="majorEastAsia" w:hAnsi="Calibri" w:cstheme="majorBidi"/>
      <w:b/>
      <w:iCs/>
      <w:sz w:val="40"/>
      <w:szCs w:val="24"/>
    </w:rPr>
  </w:style>
  <w:style w:type="paragraph" w:styleId="Title">
    <w:name w:val="Title"/>
    <w:basedOn w:val="Normal"/>
    <w:next w:val="Normal"/>
    <w:link w:val="TitleChar"/>
    <w:uiPriority w:val="10"/>
    <w:rsid w:val="00E96C81"/>
    <w:pPr>
      <w:spacing w:after="300"/>
      <w:contextualSpacing/>
      <w:jc w:val="center"/>
    </w:pPr>
    <w:rPr>
      <w:rFonts w:eastAsiaTheme="majorEastAsia" w:cstheme="majorBidi"/>
      <w:b/>
      <w:spacing w:val="5"/>
      <w:kern w:val="28"/>
      <w:sz w:val="48"/>
      <w:szCs w:val="52"/>
      <w:lang w:val="en-AU" w:eastAsia="en-AU"/>
    </w:rPr>
  </w:style>
  <w:style w:type="character" w:customStyle="1" w:styleId="TitleChar">
    <w:name w:val="Title Char"/>
    <w:basedOn w:val="DefaultParagraphFont"/>
    <w:link w:val="Title"/>
    <w:uiPriority w:val="10"/>
    <w:rsid w:val="00E96C81"/>
    <w:rPr>
      <w:rFonts w:ascii="Calibri" w:eastAsiaTheme="majorEastAsia" w:hAnsi="Calibri" w:cstheme="majorBidi"/>
      <w:b/>
      <w:spacing w:val="5"/>
      <w:kern w:val="28"/>
      <w:sz w:val="48"/>
      <w:szCs w:val="52"/>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link w:val="QuoteChar"/>
    <w:rsid w:val="00E96C81"/>
    <w:pPr>
      <w:ind w:left="720" w:right="720"/>
    </w:pPr>
    <w:rPr>
      <w:color w:val="000000"/>
      <w:sz w:val="20"/>
      <w:szCs w:val="20"/>
      <w:lang w:val="en-AU" w:eastAsia="en-AU"/>
    </w:rPr>
  </w:style>
  <w:style w:type="character" w:customStyle="1" w:styleId="QuoteChar">
    <w:name w:val="Quote Char"/>
    <w:basedOn w:val="DefaultParagraphFont"/>
    <w:link w:val="Quote"/>
    <w:rsid w:val="00A4512D"/>
    <w:rPr>
      <w:rFonts w:ascii="Calibri" w:hAnsi="Calibri"/>
      <w:color w:val="000000"/>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szCs w:val="20"/>
      <w:lang w:val="en-AU" w:eastAsia="en-AU"/>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rPr>
      <w:color w:val="000000"/>
      <w:szCs w:val="20"/>
      <w:lang w:val="en-AU" w:eastAsia="en-AU"/>
    </w:rPr>
  </w:style>
  <w:style w:type="paragraph" w:styleId="BalloonText">
    <w:name w:val="Balloon Text"/>
    <w:basedOn w:val="Normal"/>
    <w:link w:val="BalloonTextChar"/>
    <w:uiPriority w:val="99"/>
    <w:unhideWhenUsed/>
    <w:rsid w:val="00E96C81"/>
    <w:rPr>
      <w:rFonts w:ascii="Tahoma" w:hAnsi="Tahoma" w:cs="Tahoma"/>
      <w:color w:val="000000"/>
      <w:sz w:val="16"/>
      <w:szCs w:val="16"/>
      <w:lang w:val="en-AU" w:eastAsia="en-AU"/>
    </w:rPr>
  </w:style>
  <w:style w:type="character" w:customStyle="1" w:styleId="BalloonTextChar">
    <w:name w:val="Balloon Text Char"/>
    <w:basedOn w:val="DefaultParagraphFont"/>
    <w:link w:val="BalloonText"/>
    <w:uiPriority w:val="99"/>
    <w:rsid w:val="00E96C81"/>
    <w:rPr>
      <w:rFonts w:ascii="Tahoma" w:hAnsi="Tahoma" w:cs="Tahoma"/>
      <w:color w:val="000000"/>
      <w:sz w:val="16"/>
      <w:szCs w:val="16"/>
    </w:rPr>
  </w:style>
  <w:style w:type="paragraph" w:styleId="Header">
    <w:name w:val="header"/>
    <w:basedOn w:val="Normal"/>
    <w:link w:val="HeaderChar"/>
    <w:uiPriority w:val="99"/>
    <w:rsid w:val="00E96C81"/>
    <w:pPr>
      <w:tabs>
        <w:tab w:val="right" w:pos="9000"/>
      </w:tabs>
    </w:pPr>
    <w:rPr>
      <w:color w:val="000000"/>
      <w:sz w:val="18"/>
      <w:szCs w:val="20"/>
      <w:lang w:val="en-AU" w:eastAsia="en-AU"/>
    </w:rPr>
  </w:style>
  <w:style w:type="character" w:customStyle="1" w:styleId="HeaderChar">
    <w:name w:val="Header Char"/>
    <w:basedOn w:val="DefaultParagraphFont"/>
    <w:link w:val="Header"/>
    <w:uiPriority w:val="99"/>
    <w:rsid w:val="00223848"/>
    <w:rPr>
      <w:rFonts w:ascii="Calibri" w:hAnsi="Calibri"/>
      <w:color w:val="000000"/>
      <w:sz w:val="18"/>
    </w:rPr>
  </w:style>
  <w:style w:type="paragraph" w:styleId="Footer">
    <w:name w:val="footer"/>
    <w:basedOn w:val="Normal"/>
    <w:link w:val="FooterChar"/>
    <w:uiPriority w:val="99"/>
    <w:rsid w:val="00E96C81"/>
    <w:pPr>
      <w:tabs>
        <w:tab w:val="right" w:pos="9000"/>
      </w:tabs>
    </w:pPr>
    <w:rPr>
      <w:color w:val="000000"/>
      <w:sz w:val="20"/>
      <w:szCs w:val="20"/>
      <w:lang w:val="en-AU" w:eastAsia="en-AU"/>
    </w:rPr>
  </w:style>
  <w:style w:type="character" w:customStyle="1" w:styleId="FooterChar">
    <w:name w:val="Footer Char"/>
    <w:basedOn w:val="DefaultParagraphFont"/>
    <w:link w:val="Footer"/>
    <w:uiPriority w:val="99"/>
    <w:rsid w:val="00E96C81"/>
    <w:rPr>
      <w:rFonts w:ascii="Calibri" w:hAnsi="Calibri"/>
      <w:color w:val="000000"/>
    </w:rPr>
  </w:style>
  <w:style w:type="character" w:styleId="PageNumber">
    <w:name w:val="page number"/>
    <w:basedOn w:val="DefaultParagraphFont"/>
    <w:rsid w:val="00E96C81"/>
    <w:rPr>
      <w:rFonts w:ascii="Times New Roman" w:hAnsi="Times New Roman"/>
      <w:b/>
      <w:sz w:val="20"/>
    </w:rPr>
  </w:style>
  <w:style w:type="table" w:customStyle="1" w:styleId="TableGrid1">
    <w:name w:val="Table Grid1"/>
    <w:basedOn w:val="TableNormal"/>
    <w:next w:val="TableGrid"/>
    <w:uiPriority w:val="59"/>
    <w:rsid w:val="00223848"/>
    <w:rPr>
      <w:sz w:val="24"/>
      <w:szCs w:val="24"/>
      <w:lang w:eastAsia="en-US"/>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96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66E4F"/>
    <w:rPr>
      <w:color w:val="0000FF" w:themeColor="hyperlink"/>
      <w:u w:val="single"/>
    </w:rPr>
  </w:style>
  <w:style w:type="table" w:customStyle="1" w:styleId="TableGrid2">
    <w:name w:val="Table Grid2"/>
    <w:basedOn w:val="TableNormal"/>
    <w:next w:val="TableGrid"/>
    <w:uiPriority w:val="39"/>
    <w:rsid w:val="00EE7F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90CDD"/>
    <w:rPr>
      <w:sz w:val="16"/>
      <w:szCs w:val="16"/>
    </w:rPr>
  </w:style>
  <w:style w:type="paragraph" w:styleId="CommentText">
    <w:name w:val="annotation text"/>
    <w:basedOn w:val="Normal"/>
    <w:link w:val="CommentTextChar"/>
    <w:rsid w:val="00C90CDD"/>
    <w:rPr>
      <w:color w:val="000000"/>
      <w:sz w:val="20"/>
      <w:szCs w:val="20"/>
      <w:lang w:val="en-AU" w:eastAsia="en-AU"/>
    </w:rPr>
  </w:style>
  <w:style w:type="character" w:customStyle="1" w:styleId="CommentTextChar">
    <w:name w:val="Comment Text Char"/>
    <w:basedOn w:val="DefaultParagraphFont"/>
    <w:link w:val="CommentText"/>
    <w:rsid w:val="00C90CDD"/>
    <w:rPr>
      <w:lang w:eastAsia="en-US"/>
    </w:rPr>
  </w:style>
  <w:style w:type="paragraph" w:styleId="CommentSubject">
    <w:name w:val="annotation subject"/>
    <w:basedOn w:val="CommentText"/>
    <w:next w:val="CommentText"/>
    <w:link w:val="CommentSubjectChar"/>
    <w:rsid w:val="00C90CDD"/>
    <w:rPr>
      <w:b/>
      <w:bCs/>
    </w:rPr>
  </w:style>
  <w:style w:type="character" w:customStyle="1" w:styleId="CommentSubjectChar">
    <w:name w:val="Comment Subject Char"/>
    <w:basedOn w:val="CommentTextChar"/>
    <w:link w:val="CommentSubject"/>
    <w:rsid w:val="00C90CDD"/>
    <w:rPr>
      <w:b/>
      <w:bCs/>
      <w:lang w:eastAsia="en-US"/>
    </w:rPr>
  </w:style>
  <w:style w:type="paragraph" w:customStyle="1" w:styleId="PullQuote">
    <w:name w:val="PullQuote"/>
    <w:basedOn w:val="Normal"/>
    <w:next w:val="Normal"/>
    <w:rsid w:val="00E96C81"/>
    <w:rPr>
      <w:b/>
      <w:color w:val="76923C" w:themeColor="accent3" w:themeShade="BF"/>
      <w:szCs w:val="20"/>
      <w:lang w:val="en-AU" w:eastAsia="en-AU"/>
    </w:rPr>
  </w:style>
  <w:style w:type="paragraph" w:customStyle="1" w:styleId="ReportDate">
    <w:name w:val="ReportDate"/>
    <w:basedOn w:val="Normal"/>
    <w:rsid w:val="00E96C81"/>
    <w:pPr>
      <w:jc w:val="center"/>
    </w:pPr>
    <w:rPr>
      <w:color w:val="000000"/>
      <w:sz w:val="40"/>
      <w:szCs w:val="20"/>
      <w:lang w:val="en-AU" w:eastAsia="en-AU"/>
    </w:rPr>
  </w:style>
  <w:style w:type="paragraph" w:customStyle="1" w:styleId="Heading1a">
    <w:name w:val="Heading 1a"/>
    <w:basedOn w:val="Heading1"/>
    <w:next w:val="Normal"/>
    <w:rsid w:val="00E96C81"/>
    <w:pPr>
      <w:outlineLvl w:val="9"/>
    </w:pPr>
  </w:style>
  <w:style w:type="paragraph" w:customStyle="1" w:styleId="Heading2a">
    <w:name w:val="Heading 2a"/>
    <w:basedOn w:val="Heading2"/>
    <w:next w:val="Normal"/>
    <w:rsid w:val="00E96C81"/>
    <w:pPr>
      <w:ind w:left="0" w:firstLine="0"/>
      <w:outlineLvl w:val="9"/>
    </w:pPr>
  </w:style>
  <w:style w:type="paragraph" w:customStyle="1" w:styleId="Heading3a">
    <w:name w:val="Heading 3a"/>
    <w:basedOn w:val="Heading3"/>
    <w:next w:val="Normal"/>
    <w:rsid w:val="00E96C81"/>
    <w:pPr>
      <w:ind w:left="0" w:firstLine="0"/>
      <w:outlineLvl w:val="9"/>
    </w:pPr>
  </w:style>
  <w:style w:type="paragraph" w:customStyle="1" w:styleId="TableText">
    <w:name w:val="TableText"/>
    <w:basedOn w:val="Normal"/>
    <w:rsid w:val="00E96C81"/>
    <w:pPr>
      <w:keepNext/>
      <w:spacing w:before="60" w:after="60"/>
    </w:pPr>
    <w:rPr>
      <w:color w:val="000000"/>
      <w:sz w:val="21"/>
      <w:szCs w:val="21"/>
      <w:lang w:val="en-AU" w:eastAsia="en-AU"/>
    </w:rPr>
  </w:style>
  <w:style w:type="paragraph" w:customStyle="1" w:styleId="TFListNotesSpace">
    <w:name w:val="TFListNotes+Space"/>
    <w:basedOn w:val="TableText"/>
    <w:next w:val="Normal"/>
    <w:rsid w:val="00E96C81"/>
    <w:pPr>
      <w:keepNext w:val="0"/>
      <w:keepLines/>
      <w:spacing w:before="0" w:after="360"/>
      <w:ind w:left="170" w:hanging="170"/>
    </w:pPr>
    <w:rPr>
      <w:sz w:val="18"/>
      <w:szCs w:val="18"/>
    </w:rPr>
  </w:style>
  <w:style w:type="paragraph" w:customStyle="1" w:styleId="TFListNotes">
    <w:name w:val="TFListNotes"/>
    <w:basedOn w:val="TFListNotesSpace"/>
    <w:rsid w:val="00E96C81"/>
    <w:pPr>
      <w:keepNext/>
      <w:spacing w:after="0"/>
    </w:pPr>
  </w:style>
  <w:style w:type="paragraph" w:customStyle="1" w:styleId="TableName">
    <w:name w:val="TableName"/>
    <w:basedOn w:val="TableText"/>
    <w:rsid w:val="00E96C81"/>
    <w:pPr>
      <w:tabs>
        <w:tab w:val="left" w:pos="1080"/>
      </w:tabs>
      <w:spacing w:before="120" w:after="120"/>
      <w:ind w:left="1080" w:hanging="1080"/>
    </w:pPr>
    <w:rPr>
      <w:b/>
      <w:bCs/>
      <w:sz w:val="22"/>
    </w:rPr>
  </w:style>
  <w:style w:type="paragraph" w:customStyle="1" w:styleId="TableHeading">
    <w:name w:val="TableHeading"/>
    <w:basedOn w:val="TableText"/>
    <w:rsid w:val="00E96C81"/>
    <w:rPr>
      <w:b/>
      <w:bCs/>
    </w:rPr>
  </w:style>
  <w:style w:type="paragraph" w:customStyle="1" w:styleId="TableBullet">
    <w:name w:val="TableBullet"/>
    <w:basedOn w:val="TableText"/>
    <w:rsid w:val="00E96C81"/>
    <w:pPr>
      <w:numPr>
        <w:numId w:val="14"/>
      </w:numPr>
      <w:tabs>
        <w:tab w:val="clear" w:pos="360"/>
        <w:tab w:val="left" w:pos="216"/>
      </w:tabs>
      <w:ind w:left="216" w:hanging="216"/>
    </w:pPr>
  </w:style>
  <w:style w:type="paragraph" w:customStyle="1" w:styleId="TableDash">
    <w:name w:val="TableDash"/>
    <w:basedOn w:val="TableText"/>
    <w:rsid w:val="00E96C81"/>
    <w:pPr>
      <w:numPr>
        <w:numId w:val="15"/>
      </w:numPr>
      <w:tabs>
        <w:tab w:val="clear" w:pos="216"/>
        <w:tab w:val="num" w:pos="432"/>
      </w:tabs>
    </w:pPr>
  </w:style>
  <w:style w:type="paragraph" w:customStyle="1" w:styleId="References">
    <w:name w:val="References"/>
    <w:basedOn w:val="Normal"/>
    <w:rsid w:val="00E96C81"/>
    <w:pPr>
      <w:keepLines/>
      <w:ind w:left="720" w:hanging="720"/>
    </w:pPr>
    <w:rPr>
      <w:color w:val="000000"/>
      <w:szCs w:val="20"/>
      <w:lang w:val="en-AU" w:eastAsia="en-AU"/>
    </w:rPr>
  </w:style>
  <w:style w:type="paragraph" w:styleId="FootnoteText">
    <w:name w:val="footnote text"/>
    <w:basedOn w:val="Normal"/>
    <w:link w:val="FootnoteTextChar"/>
    <w:semiHidden/>
    <w:rsid w:val="00E96C81"/>
    <w:pPr>
      <w:ind w:left="360" w:hanging="360"/>
    </w:pPr>
    <w:rPr>
      <w:color w:val="000000"/>
      <w:sz w:val="20"/>
      <w:szCs w:val="20"/>
      <w:lang w:val="en-AU" w:eastAsia="en-AU"/>
    </w:rPr>
  </w:style>
  <w:style w:type="character" w:customStyle="1" w:styleId="FootnoteTextChar">
    <w:name w:val="Footnote Text Char"/>
    <w:basedOn w:val="DefaultParagraphFont"/>
    <w:link w:val="FootnoteText"/>
    <w:semiHidden/>
    <w:rsid w:val="00E96C81"/>
    <w:rPr>
      <w:rFonts w:ascii="Calibri" w:hAnsi="Calibri"/>
      <w:color w:val="000000"/>
    </w:rPr>
  </w:style>
  <w:style w:type="character" w:styleId="FootnoteReference">
    <w:name w:val="footnote reference"/>
    <w:basedOn w:val="DefaultParagraphFont"/>
    <w:semiHidden/>
    <w:rsid w:val="00E96C81"/>
    <w:rPr>
      <w:vertAlign w:val="superscript"/>
    </w:rPr>
  </w:style>
  <w:style w:type="paragraph" w:customStyle="1" w:styleId="FigTabPara">
    <w:name w:val="FigTabPara"/>
    <w:basedOn w:val="Normal"/>
    <w:next w:val="TFIHolder"/>
    <w:rsid w:val="00E96C81"/>
    <w:pPr>
      <w:keepNext/>
      <w:spacing w:after="120"/>
      <w:ind w:left="1077"/>
    </w:pPr>
    <w:rPr>
      <w:color w:val="000000"/>
      <w:szCs w:val="20"/>
      <w:lang w:val="en-AU" w:eastAsia="en-AU"/>
    </w:rPr>
  </w:style>
  <w:style w:type="paragraph" w:customStyle="1" w:styleId="TFIHolder">
    <w:name w:val="TFIHolder"/>
    <w:basedOn w:val="TFAbbrevs"/>
    <w:qFormat/>
    <w:rsid w:val="00E96C81"/>
    <w:rPr>
      <w:sz w:val="12"/>
    </w:rPr>
  </w:style>
  <w:style w:type="paragraph" w:customStyle="1" w:styleId="TFAbbrevs">
    <w:name w:val="TFAbbrevs"/>
    <w:basedOn w:val="TFListNotes"/>
    <w:rsid w:val="00E96C81"/>
    <w:pPr>
      <w:ind w:left="0" w:firstLine="0"/>
    </w:pPr>
  </w:style>
  <w:style w:type="paragraph" w:customStyle="1" w:styleId="FigureNameSpace">
    <w:name w:val="FigureName+Space"/>
    <w:basedOn w:val="Normal"/>
    <w:next w:val="Normal"/>
    <w:rsid w:val="00E96C81"/>
    <w:pPr>
      <w:keepLines/>
      <w:tabs>
        <w:tab w:val="left" w:pos="1080"/>
      </w:tabs>
      <w:spacing w:before="120" w:after="360"/>
      <w:ind w:left="1080" w:hanging="1080"/>
    </w:pPr>
    <w:rPr>
      <w:b/>
      <w:bCs/>
      <w:color w:val="000000"/>
      <w:szCs w:val="20"/>
      <w:lang w:val="en-AU" w:eastAsia="en-AU"/>
    </w:rPr>
  </w:style>
  <w:style w:type="paragraph" w:styleId="TOC1">
    <w:name w:val="toc 1"/>
    <w:basedOn w:val="Normal"/>
    <w:next w:val="Normal"/>
    <w:autoRedefine/>
    <w:uiPriority w:val="39"/>
    <w:rsid w:val="00B70FF5"/>
    <w:pPr>
      <w:tabs>
        <w:tab w:val="left" w:pos="720"/>
        <w:tab w:val="right" w:leader="dot" w:pos="9016"/>
      </w:tabs>
      <w:spacing w:before="360" w:after="60"/>
      <w:ind w:left="720" w:right="720" w:hanging="720"/>
    </w:pPr>
    <w:rPr>
      <w:b/>
      <w:bCs/>
      <w:noProof/>
      <w:color w:val="000000"/>
      <w:szCs w:val="20"/>
      <w:lang w:val="en-AU" w:eastAsia="en-AU"/>
    </w:rPr>
  </w:style>
  <w:style w:type="paragraph" w:styleId="TOC2">
    <w:name w:val="toc 2"/>
    <w:basedOn w:val="Normal"/>
    <w:next w:val="Normal"/>
    <w:autoRedefine/>
    <w:uiPriority w:val="39"/>
    <w:rsid w:val="00E96C81"/>
    <w:pPr>
      <w:tabs>
        <w:tab w:val="left" w:pos="1440"/>
        <w:tab w:val="right" w:leader="dot" w:pos="9016"/>
      </w:tabs>
      <w:spacing w:before="120" w:after="60"/>
      <w:ind w:left="1440" w:right="720" w:hanging="720"/>
    </w:pPr>
    <w:rPr>
      <w:color w:val="000000"/>
      <w:szCs w:val="20"/>
      <w:lang w:val="en-AU" w:eastAsia="en-AU"/>
    </w:rPr>
  </w:style>
  <w:style w:type="paragraph" w:styleId="TOC3">
    <w:name w:val="toc 3"/>
    <w:basedOn w:val="Normal"/>
    <w:next w:val="Normal"/>
    <w:autoRedefine/>
    <w:uiPriority w:val="39"/>
    <w:rsid w:val="00E96C81"/>
    <w:pPr>
      <w:tabs>
        <w:tab w:val="left" w:pos="2160"/>
        <w:tab w:val="right" w:leader="dot" w:pos="9016"/>
      </w:tabs>
      <w:spacing w:after="20"/>
      <w:ind w:left="2160" w:right="720" w:hanging="720"/>
    </w:pPr>
    <w:rPr>
      <w:color w:val="000000"/>
      <w:szCs w:val="20"/>
      <w:lang w:val="en-AU" w:eastAsia="en-AU"/>
    </w:rPr>
  </w:style>
  <w:style w:type="paragraph" w:styleId="TableofFigures">
    <w:name w:val="table of figures"/>
    <w:basedOn w:val="Normal"/>
    <w:next w:val="Normal"/>
    <w:uiPriority w:val="99"/>
    <w:rsid w:val="00E96C81"/>
    <w:pPr>
      <w:tabs>
        <w:tab w:val="left" w:pos="1080"/>
        <w:tab w:val="right" w:leader="dot" w:pos="9000"/>
      </w:tabs>
      <w:spacing w:after="120"/>
      <w:ind w:left="1080" w:right="720" w:hangingChars="450" w:hanging="1080"/>
    </w:pPr>
    <w:rPr>
      <w:color w:val="000000"/>
      <w:szCs w:val="20"/>
      <w:lang w:val="en-AU" w:eastAsia="en-AU"/>
    </w:rPr>
  </w:style>
  <w:style w:type="paragraph" w:customStyle="1" w:styleId="BulletBeforeDash">
    <w:name w:val="BulletBeforeDash"/>
    <w:basedOn w:val="Normal"/>
    <w:rsid w:val="00E96C81"/>
    <w:pPr>
      <w:numPr>
        <w:numId w:val="16"/>
      </w:numPr>
    </w:pPr>
    <w:rPr>
      <w:color w:val="000000"/>
      <w:szCs w:val="20"/>
      <w:lang w:val="en-AU" w:eastAsia="en-AU"/>
    </w:rPr>
  </w:style>
  <w:style w:type="paragraph" w:customStyle="1" w:styleId="Bullet">
    <w:name w:val="Bullet"/>
    <w:basedOn w:val="BulletBeforeDash"/>
    <w:qFormat/>
    <w:rsid w:val="00E96C81"/>
    <w:pPr>
      <w:spacing w:after="120"/>
    </w:pPr>
  </w:style>
  <w:style w:type="paragraph" w:customStyle="1" w:styleId="BulletLast">
    <w:name w:val="BulletLast"/>
    <w:basedOn w:val="Bullet"/>
    <w:qFormat/>
    <w:rsid w:val="00E96C81"/>
    <w:pPr>
      <w:spacing w:after="240"/>
    </w:pPr>
  </w:style>
  <w:style w:type="paragraph" w:customStyle="1" w:styleId="Dash">
    <w:name w:val="Dash"/>
    <w:basedOn w:val="Normal"/>
    <w:rsid w:val="00E96C81"/>
    <w:pPr>
      <w:numPr>
        <w:numId w:val="17"/>
      </w:numPr>
      <w:tabs>
        <w:tab w:val="clear" w:pos="216"/>
        <w:tab w:val="left" w:pos="720"/>
      </w:tabs>
      <w:ind w:left="720" w:hanging="360"/>
    </w:pPr>
    <w:rPr>
      <w:color w:val="000000"/>
      <w:szCs w:val="20"/>
      <w:lang w:val="en-AU" w:eastAsia="en-AU"/>
    </w:rPr>
  </w:style>
  <w:style w:type="paragraph" w:customStyle="1" w:styleId="DashLast">
    <w:name w:val="DashLast"/>
    <w:basedOn w:val="Dash"/>
    <w:rsid w:val="00E96C81"/>
    <w:pPr>
      <w:spacing w:after="120"/>
    </w:pPr>
  </w:style>
  <w:style w:type="paragraph" w:customStyle="1" w:styleId="DashLastSpace">
    <w:name w:val="DashLast+Space"/>
    <w:basedOn w:val="DashLast"/>
    <w:rsid w:val="00E96C81"/>
    <w:pPr>
      <w:spacing w:after="240"/>
    </w:pPr>
  </w:style>
  <w:style w:type="paragraph" w:customStyle="1" w:styleId="NormalBeforeBullet">
    <w:name w:val="NormalBeforeBullet"/>
    <w:basedOn w:val="Normal"/>
    <w:qFormat/>
    <w:rsid w:val="00E96C81"/>
    <w:pPr>
      <w:keepNext/>
      <w:spacing w:after="120"/>
    </w:pPr>
    <w:rPr>
      <w:color w:val="000000"/>
      <w:szCs w:val="20"/>
      <w:lang w:val="en-AU" w:eastAsia="en-AU"/>
    </w:rPr>
  </w:style>
  <w:style w:type="paragraph" w:customStyle="1" w:styleId="BoxText">
    <w:name w:val="BoxText"/>
    <w:basedOn w:val="Normal"/>
    <w:qFormat/>
    <w:rsid w:val="00E96C81"/>
    <w:pPr>
      <w:pBdr>
        <w:top w:val="single" w:sz="4" w:space="4" w:color="000000"/>
        <w:left w:val="single" w:sz="4" w:space="4" w:color="000000"/>
        <w:bottom w:val="single" w:sz="4" w:space="4" w:color="000000"/>
        <w:right w:val="single" w:sz="4" w:space="4" w:color="000000"/>
      </w:pBdr>
      <w:spacing w:after="120"/>
    </w:pPr>
    <w:rPr>
      <w:color w:val="000000"/>
      <w:szCs w:val="20"/>
      <w:lang w:val="en-AU" w:eastAsia="en-AU"/>
    </w:rPr>
  </w:style>
  <w:style w:type="paragraph" w:customStyle="1" w:styleId="BoxNotes">
    <w:name w:val="BoxNotes"/>
    <w:basedOn w:val="BoxText"/>
    <w:rsid w:val="00E96C81"/>
    <w:pPr>
      <w:spacing w:before="120" w:after="60"/>
    </w:pPr>
    <w:rPr>
      <w:sz w:val="18"/>
    </w:rPr>
  </w:style>
  <w:style w:type="paragraph" w:customStyle="1" w:styleId="BoxName">
    <w:name w:val="BoxName"/>
    <w:basedOn w:val="BoxText"/>
    <w:rsid w:val="00E96C81"/>
    <w:pPr>
      <w:keepNext/>
      <w:spacing w:before="180"/>
      <w:ind w:left="1080" w:hanging="1080"/>
    </w:pPr>
    <w:rPr>
      <w:b/>
      <w:bCs/>
      <w:sz w:val="24"/>
    </w:rPr>
  </w:style>
  <w:style w:type="paragraph" w:customStyle="1" w:styleId="BoxHeading">
    <w:name w:val="BoxHeading"/>
    <w:basedOn w:val="BoxText"/>
    <w:rsid w:val="00E96C81"/>
    <w:pPr>
      <w:keepNext/>
      <w:spacing w:before="120" w:after="60"/>
    </w:pPr>
    <w:rPr>
      <w:b/>
      <w:bCs/>
    </w:rPr>
  </w:style>
  <w:style w:type="paragraph" w:customStyle="1" w:styleId="BoxBullet">
    <w:name w:val="BoxBullet"/>
    <w:basedOn w:val="BoxText"/>
    <w:rsid w:val="00E96C81"/>
    <w:pPr>
      <w:numPr>
        <w:numId w:val="36"/>
      </w:numPr>
    </w:pPr>
  </w:style>
  <w:style w:type="paragraph" w:customStyle="1" w:styleId="BoxDashManual">
    <w:name w:val="BoxDashManual"/>
    <w:basedOn w:val="BoxText"/>
    <w:rsid w:val="00E96C81"/>
    <w:pPr>
      <w:tabs>
        <w:tab w:val="left" w:pos="360"/>
        <w:tab w:val="left" w:pos="720"/>
      </w:tabs>
      <w:ind w:left="720" w:hanging="720"/>
    </w:pPr>
  </w:style>
  <w:style w:type="paragraph" w:customStyle="1" w:styleId="FigureName">
    <w:name w:val="FigureName"/>
    <w:basedOn w:val="FigureNameSpace"/>
    <w:next w:val="Normal"/>
    <w:rsid w:val="00E96C81"/>
    <w:pPr>
      <w:keepNext/>
      <w:spacing w:after="120"/>
      <w:ind w:left="1077" w:hanging="1077"/>
    </w:pPr>
  </w:style>
  <w:style w:type="paragraph" w:styleId="Index1">
    <w:name w:val="index 1"/>
    <w:basedOn w:val="Normal"/>
    <w:next w:val="Normal"/>
    <w:rsid w:val="00E96C81"/>
    <w:pPr>
      <w:ind w:left="518" w:hanging="518"/>
    </w:pPr>
    <w:rPr>
      <w:noProof/>
      <w:color w:val="000000"/>
      <w:szCs w:val="20"/>
      <w:lang w:val="en-AU" w:eastAsia="en-AU"/>
    </w:rPr>
  </w:style>
  <w:style w:type="paragraph" w:styleId="Index2">
    <w:name w:val="index 2"/>
    <w:basedOn w:val="Index1"/>
    <w:next w:val="Normal"/>
    <w:rsid w:val="00E96C81"/>
    <w:pPr>
      <w:ind w:left="816" w:hanging="476"/>
    </w:pPr>
  </w:style>
  <w:style w:type="paragraph" w:styleId="TOC4">
    <w:name w:val="toc 4"/>
    <w:basedOn w:val="Normal"/>
    <w:next w:val="Normal"/>
    <w:autoRedefine/>
    <w:semiHidden/>
    <w:rsid w:val="00E96C81"/>
    <w:pPr>
      <w:tabs>
        <w:tab w:val="right" w:leader="dot" w:pos="9016"/>
      </w:tabs>
      <w:ind w:left="2160" w:right="720"/>
    </w:pPr>
    <w:rPr>
      <w:noProof/>
    </w:rPr>
  </w:style>
  <w:style w:type="paragraph" w:customStyle="1" w:styleId="NumberList">
    <w:name w:val="NumberList"/>
    <w:basedOn w:val="Normal"/>
    <w:rsid w:val="00E96C81"/>
    <w:pPr>
      <w:tabs>
        <w:tab w:val="left" w:pos="360"/>
      </w:tabs>
      <w:ind w:left="360" w:hanging="360"/>
    </w:pPr>
    <w:rPr>
      <w:color w:val="000000"/>
      <w:szCs w:val="20"/>
      <w:lang w:val="en-AU" w:eastAsia="en-AU"/>
    </w:rPr>
  </w:style>
  <w:style w:type="paragraph" w:customStyle="1" w:styleId="TFNoteSourceSpace">
    <w:name w:val="TFNoteSource+Space"/>
    <w:basedOn w:val="TFListNotesSpace"/>
    <w:next w:val="Normal"/>
    <w:rsid w:val="00E96C81"/>
    <w:pPr>
      <w:ind w:left="624" w:hanging="624"/>
    </w:pPr>
  </w:style>
  <w:style w:type="paragraph" w:customStyle="1" w:styleId="TFNoteSource">
    <w:name w:val="TFNoteSource"/>
    <w:basedOn w:val="TFNoteSourceSpace"/>
    <w:rsid w:val="00E96C81"/>
    <w:pPr>
      <w:spacing w:after="0"/>
    </w:pPr>
  </w:style>
  <w:style w:type="character" w:customStyle="1" w:styleId="DesignerNotesChar">
    <w:name w:val="DesignerNotesChar"/>
    <w:basedOn w:val="DefaultParagraphFont"/>
    <w:rsid w:val="00E96C81"/>
    <w:rPr>
      <w:rFonts w:ascii="Arial" w:hAnsi="Arial"/>
      <w:b/>
      <w:color w:val="3366FF"/>
      <w:sz w:val="20"/>
    </w:rPr>
  </w:style>
  <w:style w:type="paragraph" w:customStyle="1" w:styleId="TFAbbrevsSpace">
    <w:name w:val="TFAbbrevs+Space"/>
    <w:basedOn w:val="TFAbbrevs"/>
    <w:next w:val="Normal"/>
    <w:rsid w:val="00E96C81"/>
    <w:pPr>
      <w:spacing w:after="360"/>
    </w:pPr>
  </w:style>
  <w:style w:type="character" w:customStyle="1" w:styleId="Roman">
    <w:name w:val="Roman"/>
    <w:uiPriority w:val="1"/>
    <w:rsid w:val="00E96C81"/>
    <w:rPr>
      <w:b w:val="0"/>
      <w:i/>
    </w:rPr>
  </w:style>
  <w:style w:type="character" w:customStyle="1" w:styleId="PullQuoteOrigin">
    <w:name w:val="PullQuoteOrigin"/>
    <w:basedOn w:val="DefaultParagraphFont"/>
    <w:uiPriority w:val="1"/>
    <w:rsid w:val="00E96C81"/>
    <w:rPr>
      <w:b/>
      <w:noProof/>
      <w:color w:val="76923C" w:themeColor="accent3" w:themeShade="BF"/>
    </w:rPr>
  </w:style>
  <w:style w:type="paragraph" w:customStyle="1" w:styleId="TFIHolderSpace">
    <w:name w:val="TFIHolder+Space"/>
    <w:basedOn w:val="TFIHolder"/>
    <w:qFormat/>
    <w:rsid w:val="00E96C81"/>
    <w:pPr>
      <w:spacing w:after="240"/>
    </w:pPr>
  </w:style>
  <w:style w:type="paragraph" w:customStyle="1" w:styleId="DesignerNotes">
    <w:name w:val="DesignerNotes"/>
    <w:basedOn w:val="Normal"/>
    <w:rsid w:val="00E96C81"/>
    <w:rPr>
      <w:b/>
      <w:color w:val="3366FF"/>
      <w:sz w:val="20"/>
      <w:szCs w:val="20"/>
      <w:lang w:val="en-AU" w:eastAsia="en-AU"/>
    </w:rPr>
  </w:style>
  <w:style w:type="character" w:customStyle="1" w:styleId="Subscript">
    <w:name w:val="Subscript"/>
    <w:basedOn w:val="DefaultParagraphFont"/>
    <w:uiPriority w:val="1"/>
    <w:rsid w:val="00E96C81"/>
    <w:rPr>
      <w:noProof/>
      <w:vertAlign w:val="subscript"/>
    </w:rPr>
  </w:style>
  <w:style w:type="character" w:customStyle="1" w:styleId="Superscript">
    <w:name w:val="Superscript"/>
    <w:basedOn w:val="DefaultParagraphFont"/>
    <w:uiPriority w:val="1"/>
    <w:rsid w:val="00E96C81"/>
    <w:rPr>
      <w:noProof/>
      <w:vertAlign w:val="superscript"/>
    </w:rPr>
  </w:style>
  <w:style w:type="character" w:customStyle="1" w:styleId="Symbol">
    <w:name w:val="Symbol"/>
    <w:basedOn w:val="DefaultParagraphFont"/>
    <w:uiPriority w:val="1"/>
    <w:rsid w:val="00E96C81"/>
    <w:rPr>
      <w:noProof/>
    </w:rPr>
  </w:style>
  <w:style w:type="character" w:customStyle="1" w:styleId="NoBreak">
    <w:name w:val="NoBreak"/>
    <w:basedOn w:val="DefaultParagraphFont"/>
    <w:uiPriority w:val="1"/>
    <w:rsid w:val="00E96C81"/>
    <w:rPr>
      <w:noProof/>
    </w:rPr>
  </w:style>
  <w:style w:type="paragraph" w:customStyle="1" w:styleId="MathEquation">
    <w:name w:val="MathEquation"/>
    <w:basedOn w:val="Normal"/>
    <w:rsid w:val="00E96C81"/>
    <w:rPr>
      <w:rFonts w:ascii="Cambria Math" w:hAnsi="Cambria Math"/>
      <w:i/>
      <w:noProof/>
      <w:color w:val="000000"/>
      <w:szCs w:val="20"/>
      <w:lang w:val="en-AU" w:eastAsia="en-AU"/>
    </w:rPr>
  </w:style>
  <w:style w:type="paragraph" w:customStyle="1" w:styleId="ComputerCode">
    <w:name w:val="ComputerCode"/>
    <w:basedOn w:val="Normal"/>
    <w:rsid w:val="00E96C81"/>
    <w:pPr>
      <w:ind w:left="567"/>
      <w:contextualSpacing/>
    </w:pPr>
    <w:rPr>
      <w:rFonts w:ascii="Courier New" w:hAnsi="Courier New"/>
      <w:sz w:val="20"/>
      <w:lang w:val="en-AU" w:eastAsia="en-AU"/>
    </w:rPr>
  </w:style>
  <w:style w:type="paragraph" w:customStyle="1" w:styleId="BulletChecklist">
    <w:name w:val="BulletChecklist"/>
    <w:basedOn w:val="Bullet"/>
    <w:rsid w:val="00E96C81"/>
    <w:pPr>
      <w:numPr>
        <w:numId w:val="29"/>
      </w:numPr>
    </w:pPr>
    <w:rPr>
      <w:noProof/>
    </w:rPr>
  </w:style>
  <w:style w:type="paragraph" w:customStyle="1" w:styleId="ImprintText">
    <w:name w:val="ImprintText"/>
    <w:basedOn w:val="Normal"/>
    <w:rsid w:val="00E96C81"/>
    <w:pPr>
      <w:spacing w:after="120"/>
    </w:pPr>
    <w:rPr>
      <w:color w:val="000000"/>
      <w:sz w:val="20"/>
      <w:szCs w:val="20"/>
      <w:lang w:val="en-AU" w:eastAsia="en-AU"/>
    </w:rPr>
  </w:style>
  <w:style w:type="paragraph" w:customStyle="1" w:styleId="AltText">
    <w:name w:val="AltText"/>
    <w:basedOn w:val="Normal"/>
    <w:rsid w:val="00E96C81"/>
    <w:rPr>
      <w:color w:val="E36C0A" w:themeColor="accent6" w:themeShade="BF"/>
      <w:sz w:val="20"/>
      <w:szCs w:val="20"/>
      <w:lang w:val="en-AU" w:eastAsia="en-AU"/>
    </w:rPr>
  </w:style>
  <w:style w:type="paragraph" w:styleId="Caption">
    <w:name w:val="caption"/>
    <w:basedOn w:val="Normal"/>
    <w:next w:val="Credit"/>
    <w:uiPriority w:val="35"/>
    <w:unhideWhenUsed/>
    <w:rsid w:val="00E96C81"/>
    <w:rPr>
      <w:b/>
      <w:bCs/>
      <w:sz w:val="18"/>
      <w:szCs w:val="18"/>
      <w:lang w:val="en-AU" w:eastAsia="en-AU"/>
    </w:rPr>
  </w:style>
  <w:style w:type="paragraph" w:customStyle="1" w:styleId="Credit">
    <w:name w:val="Credit"/>
    <w:basedOn w:val="Caption"/>
    <w:next w:val="Normal"/>
    <w:rsid w:val="00E96C81"/>
    <w:rPr>
      <w:b w:val="0"/>
      <w:noProof/>
    </w:rPr>
  </w:style>
  <w:style w:type="paragraph" w:customStyle="1" w:styleId="NormalFirstPara">
    <w:name w:val="NormalFirstPara"/>
    <w:basedOn w:val="Normal"/>
    <w:rsid w:val="00E96C81"/>
    <w:rPr>
      <w:noProof/>
      <w:color w:val="9BBB59" w:themeColor="accent3"/>
      <w:szCs w:val="20"/>
      <w:lang w:val="en-AU" w:eastAsia="en-AU"/>
    </w:rPr>
  </w:style>
  <w:style w:type="paragraph" w:customStyle="1" w:styleId="TableHeadingCA">
    <w:name w:val="TableHeadingCA"/>
    <w:basedOn w:val="TableHeading"/>
    <w:rsid w:val="00E96C81"/>
    <w:pPr>
      <w:jc w:val="center"/>
    </w:pPr>
  </w:style>
  <w:style w:type="paragraph" w:customStyle="1" w:styleId="TableTextCA">
    <w:name w:val="TableTextCA"/>
    <w:basedOn w:val="TableText"/>
    <w:rsid w:val="00E96C81"/>
    <w:pPr>
      <w:jc w:val="center"/>
    </w:pPr>
  </w:style>
  <w:style w:type="paragraph" w:customStyle="1" w:styleId="TableTextDecimalAlign">
    <w:name w:val="TableTextDecimalAlign"/>
    <w:basedOn w:val="TableText"/>
    <w:rsid w:val="00E96C81"/>
    <w:pPr>
      <w:tabs>
        <w:tab w:val="decimal" w:pos="1119"/>
      </w:tabs>
    </w:pPr>
  </w:style>
  <w:style w:type="paragraph" w:customStyle="1" w:styleId="NormalIndent">
    <w:name w:val="NormalIndent"/>
    <w:basedOn w:val="Normal"/>
    <w:rsid w:val="00E96C81"/>
    <w:pPr>
      <w:ind w:left="357"/>
    </w:pPr>
    <w:rPr>
      <w:color w:val="000000"/>
      <w:szCs w:val="20"/>
      <w:lang w:val="en-AU" w:eastAsia="en-AU"/>
    </w:rPr>
  </w:style>
  <w:style w:type="paragraph" w:customStyle="1" w:styleId="SectionTitle">
    <w:name w:val="SectionTitle"/>
    <w:basedOn w:val="Normal"/>
    <w:next w:val="Normal"/>
    <w:rsid w:val="00E96C81"/>
    <w:pPr>
      <w:jc w:val="center"/>
    </w:pPr>
    <w:rPr>
      <w:b/>
      <w:color w:val="000000"/>
      <w:sz w:val="40"/>
      <w:szCs w:val="20"/>
      <w:lang w:val="en-AU" w:eastAsia="en-AU"/>
    </w:rPr>
  </w:style>
  <w:style w:type="paragraph" w:customStyle="1" w:styleId="SectionSubtitle">
    <w:name w:val="SectionSubtitle"/>
    <w:basedOn w:val="Normal"/>
    <w:rsid w:val="00E96C81"/>
    <w:pPr>
      <w:jc w:val="center"/>
    </w:pPr>
    <w:rPr>
      <w:color w:val="000000"/>
      <w:sz w:val="32"/>
      <w:szCs w:val="20"/>
      <w:lang w:val="en-AU" w:eastAsia="en-AU"/>
    </w:rPr>
  </w:style>
  <w:style w:type="paragraph" w:customStyle="1" w:styleId="QuoteNumberList">
    <w:name w:val="QuoteNumberList"/>
    <w:basedOn w:val="Quote"/>
    <w:rsid w:val="00E96C81"/>
    <w:pPr>
      <w:ind w:left="1117" w:hanging="397"/>
    </w:pPr>
    <w:rPr>
      <w:noProof/>
    </w:rPr>
  </w:style>
  <w:style w:type="paragraph" w:customStyle="1" w:styleId="QuoteBullet">
    <w:name w:val="QuoteBullet"/>
    <w:basedOn w:val="Quote"/>
    <w:rsid w:val="00E96C81"/>
    <w:pPr>
      <w:numPr>
        <w:numId w:val="31"/>
      </w:numPr>
      <w:ind w:left="1117" w:hanging="397"/>
    </w:pPr>
    <w:rPr>
      <w:noProof/>
    </w:rPr>
  </w:style>
  <w:style w:type="paragraph" w:customStyle="1" w:styleId="BoxDash">
    <w:name w:val="BoxDash"/>
    <w:basedOn w:val="BoxBullet"/>
    <w:rsid w:val="00E96C81"/>
    <w:pPr>
      <w:numPr>
        <w:numId w:val="18"/>
      </w:numPr>
    </w:pPr>
  </w:style>
  <w:style w:type="character" w:customStyle="1" w:styleId="CrossRef">
    <w:name w:val="CrossRef"/>
    <w:basedOn w:val="DefaultParagraphFont"/>
    <w:uiPriority w:val="1"/>
    <w:rsid w:val="00E96C81"/>
    <w:rPr>
      <w:rFonts w:ascii="Calibri" w:hAnsi="Calibri"/>
      <w:b/>
      <w:noProof/>
      <w:color w:val="C0504D" w:themeColor="accent2"/>
      <w:sz w:val="24"/>
    </w:rPr>
  </w:style>
  <w:style w:type="character" w:customStyle="1" w:styleId="StrongEmphasis">
    <w:name w:val="StrongEmphasis"/>
    <w:basedOn w:val="DefaultParagraphFont"/>
    <w:rsid w:val="00E96C81"/>
    <w:rPr>
      <w:b/>
      <w:bCs/>
      <w:i/>
      <w:iCs/>
    </w:rPr>
  </w:style>
  <w:style w:type="paragraph" w:styleId="TOC5">
    <w:name w:val="toc 5"/>
    <w:basedOn w:val="Normal"/>
    <w:next w:val="Normal"/>
    <w:autoRedefine/>
    <w:unhideWhenUsed/>
    <w:rsid w:val="00D258ED"/>
    <w:pPr>
      <w:ind w:left="880"/>
    </w:pPr>
    <w:rPr>
      <w:color w:val="000000"/>
      <w:szCs w:val="20"/>
      <w:lang w:val="en-AU" w:eastAsia="en-AU"/>
    </w:rPr>
  </w:style>
  <w:style w:type="paragraph" w:styleId="TOC6">
    <w:name w:val="toc 6"/>
    <w:basedOn w:val="Normal"/>
    <w:next w:val="Normal"/>
    <w:autoRedefine/>
    <w:unhideWhenUsed/>
    <w:rsid w:val="00D258ED"/>
    <w:pPr>
      <w:ind w:left="1100"/>
    </w:pPr>
    <w:rPr>
      <w:color w:val="000000"/>
      <w:szCs w:val="20"/>
      <w:lang w:val="en-AU" w:eastAsia="en-AU"/>
    </w:rPr>
  </w:style>
  <w:style w:type="paragraph" w:styleId="TOC7">
    <w:name w:val="toc 7"/>
    <w:basedOn w:val="Normal"/>
    <w:next w:val="Normal"/>
    <w:autoRedefine/>
    <w:unhideWhenUsed/>
    <w:rsid w:val="00D258ED"/>
    <w:pPr>
      <w:ind w:left="1320"/>
    </w:pPr>
    <w:rPr>
      <w:color w:val="000000"/>
      <w:szCs w:val="20"/>
      <w:lang w:val="en-AU" w:eastAsia="en-AU"/>
    </w:rPr>
  </w:style>
  <w:style w:type="paragraph" w:styleId="TOC8">
    <w:name w:val="toc 8"/>
    <w:basedOn w:val="Normal"/>
    <w:next w:val="Normal"/>
    <w:autoRedefine/>
    <w:unhideWhenUsed/>
    <w:rsid w:val="00D258ED"/>
    <w:pPr>
      <w:ind w:left="1540"/>
    </w:pPr>
    <w:rPr>
      <w:color w:val="000000"/>
      <w:szCs w:val="20"/>
      <w:lang w:val="en-AU" w:eastAsia="en-AU"/>
    </w:rPr>
  </w:style>
  <w:style w:type="paragraph" w:styleId="TOC9">
    <w:name w:val="toc 9"/>
    <w:basedOn w:val="Normal"/>
    <w:next w:val="Normal"/>
    <w:autoRedefine/>
    <w:unhideWhenUsed/>
    <w:rsid w:val="00D258ED"/>
    <w:pPr>
      <w:ind w:left="1760"/>
    </w:pPr>
    <w:rPr>
      <w:color w:val="000000"/>
      <w:szCs w:val="20"/>
      <w:lang w:val="en-AU" w:eastAsia="en-AU"/>
    </w:rPr>
  </w:style>
  <w:style w:type="paragraph" w:styleId="Revision">
    <w:name w:val="Revision"/>
    <w:hidden/>
    <w:uiPriority w:val="99"/>
    <w:semiHidden/>
    <w:rsid w:val="00A66705"/>
    <w:rPr>
      <w:rFonts w:ascii="Arial" w:hAnsi="Arial"/>
      <w:color w:val="000000"/>
      <w:sz w:val="22"/>
    </w:rPr>
  </w:style>
  <w:style w:type="character" w:styleId="FollowedHyperlink">
    <w:name w:val="FollowedHyperlink"/>
    <w:basedOn w:val="DefaultParagraphFont"/>
    <w:semiHidden/>
    <w:unhideWhenUsed/>
    <w:rsid w:val="00495C41"/>
    <w:rPr>
      <w:color w:val="800080" w:themeColor="followedHyperlink"/>
      <w:u w:val="single"/>
    </w:rPr>
  </w:style>
  <w:style w:type="paragraph" w:styleId="DocumentMap">
    <w:name w:val="Document Map"/>
    <w:basedOn w:val="Normal"/>
    <w:link w:val="DocumentMapChar"/>
    <w:semiHidden/>
    <w:unhideWhenUsed/>
    <w:rsid w:val="00455AA9"/>
  </w:style>
  <w:style w:type="character" w:customStyle="1" w:styleId="DocumentMapChar">
    <w:name w:val="Document Map Char"/>
    <w:basedOn w:val="DefaultParagraphFont"/>
    <w:link w:val="DocumentMap"/>
    <w:semiHidden/>
    <w:rsid w:val="00455AA9"/>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87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hyperlink" Target="https://www.safetyandquality.gov.au/wp-content/uploads/2016/09/National-Standard-for-User-applied-Labelling-of-Injectable-Medicines-Fluids-and-Lines-Audit-Tool-User-Guide-Sep-2016.docx" TargetMode="External"/><Relationship Id="rId21" Type="http://schemas.openxmlformats.org/officeDocument/2006/relationships/hyperlink" Target="mailto:accreditionACSQHC@safetyandquality.gov.au" TargetMode="External"/><Relationship Id="rId34" Type="http://schemas.openxmlformats.org/officeDocument/2006/relationships/image" Target="media/image10.png"/><Relationship Id="rId42" Type="http://schemas.openxmlformats.org/officeDocument/2006/relationships/hyperlink" Target="http://www.tga.gov.au/updating-medicine-ingredient-names" TargetMode="External"/><Relationship Id="rId47" Type="http://schemas.openxmlformats.org/officeDocument/2006/relationships/image" Target="media/image16.png"/><Relationship Id="rId50" Type="http://schemas.openxmlformats.org/officeDocument/2006/relationships/hyperlink" Target="http://www.safetyandquality.gov.au/wp-content/uploads/2015/10/Pre-printed-medicine-line-label-guide-Aug-2015.pdf)" TargetMode="External"/><Relationship Id="rId55" Type="http://schemas.openxmlformats.org/officeDocument/2006/relationships/image" Target="media/image21.gif"/><Relationship Id="rId63" Type="http://schemas.openxmlformats.org/officeDocument/2006/relationships/footer" Target="footer9.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ga.gov.au/updating-medicine-ingredient-names-list-affected-ingredients" TargetMode="External"/><Relationship Id="rId32" Type="http://schemas.openxmlformats.org/officeDocument/2006/relationships/image" Target="media/image8.png"/><Relationship Id="rId37" Type="http://schemas.openxmlformats.org/officeDocument/2006/relationships/hyperlink" Target="http://www.safetyandquality.gov.au/our-work/medication-safety/safer-naming-labelling-and-packaging-of-medicines/national-standard-for-user-applied-labelling-of-injectable-medicines-fluids-and-lines/label-specifications-for-specialist-clinical-areas/" TargetMode="External"/><Relationship Id="rId40" Type="http://schemas.openxmlformats.org/officeDocument/2006/relationships/hyperlink" Target="https://www.safetyandquality.gov.au/wp-content/uploads/2016/09/Labelling-standard-audit-collection-tool.xlsx" TargetMode="External"/><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hyperlink" Target="http://www.nrls.npsa.nhs.uk/resources/?EntryId45=59808"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18.png"/><Relationship Id="rId57" Type="http://schemas.openxmlformats.org/officeDocument/2006/relationships/hyperlink" Target="http://www.iso.org/standard/50731.html" TargetMode="External"/><Relationship Id="rId61" Type="http://schemas.openxmlformats.org/officeDocument/2006/relationships/footer" Target="footer8.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image" Target="media/image7.emf"/><Relationship Id="rId44" Type="http://schemas.openxmlformats.org/officeDocument/2006/relationships/image" Target="media/image13.png"/><Relationship Id="rId52" Type="http://schemas.openxmlformats.org/officeDocument/2006/relationships/hyperlink" Target="http://www.tga.gov.au/updating-medicine-ingredient-names-list-affected-ingredients" TargetMode="External"/><Relationship Id="rId60" Type="http://schemas.openxmlformats.org/officeDocument/2006/relationships/header" Target="header8.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www.tga.gov.au/updating-medicine-ingredient-names-list-affected-ingredients" TargetMode="External"/><Relationship Id="rId48" Type="http://schemas.openxmlformats.org/officeDocument/2006/relationships/image" Target="media/image17.png"/><Relationship Id="rId56" Type="http://schemas.openxmlformats.org/officeDocument/2006/relationships/image" Target="cid:image011.png@01D34E6C.718C2200"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afetyandquality.gov.au/publications/national-standard-for-user-applied-labellin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hyperlink" Target="https://www.safetyandquality.gov.au/wp-content/uploads/2016/09/Labelling-standard-audit-tool-Jan-2016.pdf" TargetMode="External"/><Relationship Id="rId46" Type="http://schemas.openxmlformats.org/officeDocument/2006/relationships/image" Target="media/image15.png"/><Relationship Id="rId59" Type="http://schemas.openxmlformats.org/officeDocument/2006/relationships/header" Target="header7.xml"/><Relationship Id="rId20" Type="http://schemas.openxmlformats.org/officeDocument/2006/relationships/hyperlink" Target="https://www.safetyandquality.gov.au/our-work/medication-safety/safer-naming-labelling-and-packaging-of-medicines/national-standard-for-user-applied-labelling-of-injectable-medicines-fluids-and-lines/labelling-standard-issues-register/" TargetMode="External"/><Relationship Id="rId41" Type="http://schemas.openxmlformats.org/officeDocument/2006/relationships/hyperlink" Target="https://www.safetyandquality.gov.au/wp-content/uploads/2016/09/Labelling-Standard-audit-entry-tool.xlsx" TargetMode="External"/><Relationship Id="rId54" Type="http://schemas.openxmlformats.org/officeDocument/2006/relationships/image" Target="media/image20.png"/><Relationship Id="rId62" Type="http://schemas.openxmlformats.org/officeDocument/2006/relationships/header" Target="header9.xml"/><Relationship Id="rId7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002E96-55F4-44F2-B7BF-EF44A367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3937</Words>
  <Characters>26053</Characters>
  <Application>Microsoft Office Word</Application>
  <DocSecurity>4</DocSecurity>
  <Lines>217</Lines>
  <Paragraphs>59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 Diana</dc:creator>
  <cp:lastModifiedBy>STINGEMORE, Karen</cp:lastModifiedBy>
  <cp:revision>2</cp:revision>
  <cp:lastPrinted>2018-05-08T23:42:00Z</cp:lastPrinted>
  <dcterms:created xsi:type="dcterms:W3CDTF">2018-05-15T05:51:00Z</dcterms:created>
  <dcterms:modified xsi:type="dcterms:W3CDTF">2018-05-15T05:51:00Z</dcterms:modified>
</cp:coreProperties>
</file>