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1636250267"/>
        <w:docPartObj>
          <w:docPartGallery w:val="Cover Pages"/>
          <w:docPartUnique/>
        </w:docPartObj>
      </w:sdtPr>
      <w:sdtEndPr/>
      <w:sdtContent>
        <w:p w14:paraId="594F6718" w14:textId="77777777" w:rsidR="00F124B7" w:rsidRDefault="00F124B7">
          <w:pPr>
            <w:rPr>
              <w:lang w:val="en-GB"/>
            </w:rPr>
          </w:pPr>
          <w:r>
            <w:rPr>
              <w:noProof/>
              <w:lang w:val="en-GB"/>
            </w:rPr>
            <w:drawing>
              <wp:anchor distT="0" distB="0" distL="114300" distR="114300" simplePos="0" relativeHeight="251680768" behindDoc="1" locked="1" layoutInCell="1" allowOverlap="1" wp14:anchorId="4BA059A9" wp14:editId="619C91BE">
                <wp:simplePos x="859809" y="1705970"/>
                <wp:positionH relativeFrom="page">
                  <wp:align>left</wp:align>
                </wp:positionH>
                <wp:positionV relativeFrom="page">
                  <wp:align>top</wp:align>
                </wp:positionV>
                <wp:extent cx="7560000" cy="10695600"/>
                <wp:effectExtent l="0" t="0" r="3175" b="0"/>
                <wp:wrapNone/>
                <wp:docPr id="309679144" name="Picture 22" descr="A purpl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79144" name="Picture 22" descr="A purple and white rectang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anchor distT="0" distB="360045" distL="114300" distR="114300" simplePos="0" relativeHeight="251679744" behindDoc="0" locked="1" layoutInCell="1" allowOverlap="1" wp14:anchorId="4E900EB3" wp14:editId="0790B95B">
                <wp:simplePos x="0" y="0"/>
                <wp:positionH relativeFrom="page">
                  <wp:posOffset>648335</wp:posOffset>
                </wp:positionH>
                <wp:positionV relativeFrom="page">
                  <wp:posOffset>648335</wp:posOffset>
                </wp:positionV>
                <wp:extent cx="1782000" cy="615600"/>
                <wp:effectExtent l="0" t="0" r="8890" b="0"/>
                <wp:wrapTopAndBottom/>
                <wp:docPr id="1921113218" name="Picture 2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13218" name="Picture 21" descr="A black background with a black squa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2000" cy="615600"/>
                        </a:xfrm>
                        <a:prstGeom prst="rect">
                          <a:avLst/>
                        </a:prstGeom>
                      </pic:spPr>
                    </pic:pic>
                  </a:graphicData>
                </a:graphic>
                <wp14:sizeRelH relativeFrom="margin">
                  <wp14:pctWidth>0</wp14:pctWidth>
                </wp14:sizeRelH>
                <wp14:sizeRelV relativeFrom="margin">
                  <wp14:pctHeight>0</wp14:pctHeight>
                </wp14:sizeRelV>
              </wp:anchor>
            </w:drawing>
          </w:r>
        </w:p>
        <w:p w14:paraId="5632D70A" w14:textId="699B8086" w:rsidR="00F124B7" w:rsidRDefault="001B3E4F" w:rsidP="00062BA3">
          <w:pPr>
            <w:pStyle w:val="Date"/>
            <w:framePr w:wrap="around"/>
            <w:rPr>
              <w:lang w:val="en-GB"/>
            </w:rPr>
          </w:pPr>
          <w:sdt>
            <w:sdtPr>
              <w:rPr>
                <w:lang w:val="en-GB"/>
              </w:rPr>
              <w:id w:val="2064452849"/>
              <w:placeholder>
                <w:docPart w:val="C6F285ED02FC45669451B57CB2E7E9E0"/>
              </w:placeholder>
              <w:date w:fullDate="2025-07-29T00:00:00Z">
                <w:dateFormat w:val="d MMMM yyyy"/>
                <w:lid w:val="en-AU"/>
                <w:storeMappedDataAs w:val="dateTime"/>
                <w:calendar w:val="gregorian"/>
              </w:date>
            </w:sdtPr>
            <w:sdtEndPr/>
            <w:sdtContent>
              <w:r w:rsidR="00342A22">
                <w:t>29 July 2025</w:t>
              </w:r>
            </w:sdtContent>
          </w:sdt>
          <w:r w:rsidR="00F124B7">
            <w:rPr>
              <w:lang w:val="en-GB"/>
            </w:rPr>
            <w:t xml:space="preserve"> </w:t>
          </w:r>
          <w:r w:rsidR="00F124B7">
            <w:rPr>
              <w:lang w:val="en-GB"/>
            </w:rPr>
            <w:tab/>
            <w:t>s</w:t>
          </w:r>
          <w:r w:rsidR="00F124B7" w:rsidRPr="00896871">
            <w:rPr>
              <w:lang w:val="en-GB"/>
            </w:rPr>
            <w:t>afetyandquality.gov.au</w:t>
          </w:r>
        </w:p>
        <w:sdt>
          <w:sdtPr>
            <w:id w:val="-919949614"/>
            <w:placeholder>
              <w:docPart w:val="B3583DFFD67D4BB79CDB09BCC60FD4C1"/>
            </w:placeholder>
          </w:sdtPr>
          <w:sdtEndPr/>
          <w:sdtContent>
            <w:p w14:paraId="777073DF" w14:textId="214861E0" w:rsidR="00F124B7" w:rsidRPr="00062BA3" w:rsidRDefault="00656CA9" w:rsidP="004525FC">
              <w:pPr>
                <w:pStyle w:val="Title"/>
                <w:framePr w:wrap="around" w:x="1033" w:y="4815"/>
              </w:pPr>
              <w:r>
                <w:t>Three-year Data Plan 2025-26 to 2027-28</w:t>
              </w:r>
            </w:p>
          </w:sdtContent>
        </w:sdt>
        <w:p w14:paraId="17BC4816" w14:textId="77777777" w:rsidR="00F124B7" w:rsidRDefault="00F124B7">
          <w:pPr>
            <w:rPr>
              <w:lang w:val="en-GB"/>
            </w:rPr>
          </w:pPr>
          <w:r>
            <w:rPr>
              <w:lang w:val="en-GB"/>
            </w:rPr>
            <w:br w:type="page"/>
          </w:r>
        </w:p>
      </w:sdtContent>
    </w:sdt>
    <w:p w14:paraId="63694BEE" w14:textId="77777777" w:rsidR="007F1006" w:rsidRDefault="007F1006" w:rsidP="00444B74">
      <w:pPr>
        <w:sectPr w:rsidR="007F1006" w:rsidSect="00517A40">
          <w:headerReference w:type="even" r:id="rId10"/>
          <w:headerReference w:type="default" r:id="rId11"/>
          <w:footerReference w:type="even" r:id="rId12"/>
          <w:footerReference w:type="default" r:id="rId13"/>
          <w:headerReference w:type="first" r:id="rId14"/>
          <w:footerReference w:type="first" r:id="rId15"/>
          <w:pgSz w:w="11906" w:h="16838" w:code="9"/>
          <w:pgMar w:top="1361" w:right="1361" w:bottom="1361" w:left="1361" w:header="567" w:footer="567" w:gutter="0"/>
          <w:pgNumType w:start="0"/>
          <w:cols w:space="708"/>
          <w:vAlign w:val="bottom"/>
          <w:titlePg/>
          <w:docGrid w:linePitch="360"/>
        </w:sectPr>
      </w:pPr>
    </w:p>
    <w:sdt>
      <w:sdtPr>
        <w:rPr>
          <w:rFonts w:asciiTheme="minorHAnsi" w:eastAsiaTheme="minorHAnsi" w:hAnsiTheme="minorHAnsi" w:cs="Times New Roman"/>
          <w:bCs w:val="0"/>
          <w:sz w:val="20"/>
          <w:szCs w:val="20"/>
        </w:rPr>
        <w:id w:val="-1516530368"/>
        <w:docPartObj>
          <w:docPartGallery w:val="Table of Contents"/>
          <w:docPartUnique/>
        </w:docPartObj>
      </w:sdtPr>
      <w:sdtEndPr>
        <w:rPr>
          <w:b/>
          <w:noProof/>
          <w:sz w:val="22"/>
          <w:szCs w:val="22"/>
        </w:rPr>
      </w:sdtEndPr>
      <w:sdtContent>
        <w:p w14:paraId="5992CCD1" w14:textId="77777777" w:rsidR="00444B74" w:rsidRDefault="00444B74">
          <w:pPr>
            <w:pStyle w:val="TOCHeading"/>
          </w:pPr>
          <w:r>
            <w:t>Contents</w:t>
          </w:r>
        </w:p>
        <w:p w14:paraId="4B2C0B94" w14:textId="696B0218" w:rsidR="00294F48" w:rsidRDefault="005F36C3">
          <w:pPr>
            <w:pStyle w:val="TOC1"/>
            <w:rPr>
              <w:rFonts w:eastAsiaTheme="minorEastAsia" w:cstheme="minorBidi"/>
              <w:b w:val="0"/>
              <w:noProof/>
              <w:color w:val="auto"/>
              <w:kern w:val="2"/>
              <w:sz w:val="24"/>
              <w:szCs w:val="24"/>
              <w:lang w:eastAsia="zh-CN"/>
              <w14:ligatures w14:val="standardContextual"/>
            </w:rPr>
          </w:pPr>
          <w:r>
            <w:rPr>
              <w:b w:val="0"/>
            </w:rPr>
            <w:fldChar w:fldCharType="begin"/>
          </w:r>
          <w:r>
            <w:rPr>
              <w:b w:val="0"/>
            </w:rPr>
            <w:instrText xml:space="preserve"> TOC \o "1-2" \h \z \u </w:instrText>
          </w:r>
          <w:r>
            <w:rPr>
              <w:b w:val="0"/>
            </w:rPr>
            <w:fldChar w:fldCharType="separate"/>
          </w:r>
          <w:hyperlink w:anchor="_Toc204691101" w:history="1">
            <w:r w:rsidR="00294F48" w:rsidRPr="00673142">
              <w:rPr>
                <w:rStyle w:val="Hyperlink"/>
                <w:noProof/>
              </w:rPr>
              <w:t>Message from the CEO</w:t>
            </w:r>
            <w:r w:rsidR="00294F48">
              <w:rPr>
                <w:noProof/>
                <w:webHidden/>
              </w:rPr>
              <w:tab/>
            </w:r>
            <w:r w:rsidR="00294F48">
              <w:rPr>
                <w:noProof/>
                <w:webHidden/>
              </w:rPr>
              <w:fldChar w:fldCharType="begin"/>
            </w:r>
            <w:r w:rsidR="00294F48">
              <w:rPr>
                <w:noProof/>
                <w:webHidden/>
              </w:rPr>
              <w:instrText xml:space="preserve"> PAGEREF _Toc204691101 \h </w:instrText>
            </w:r>
            <w:r w:rsidR="00294F48">
              <w:rPr>
                <w:noProof/>
                <w:webHidden/>
              </w:rPr>
            </w:r>
            <w:r w:rsidR="00294F48">
              <w:rPr>
                <w:noProof/>
                <w:webHidden/>
              </w:rPr>
              <w:fldChar w:fldCharType="separate"/>
            </w:r>
            <w:r w:rsidR="00342E5C">
              <w:rPr>
                <w:noProof/>
                <w:webHidden/>
              </w:rPr>
              <w:t>1</w:t>
            </w:r>
            <w:r w:rsidR="00294F48">
              <w:rPr>
                <w:noProof/>
                <w:webHidden/>
              </w:rPr>
              <w:fldChar w:fldCharType="end"/>
            </w:r>
          </w:hyperlink>
        </w:p>
        <w:p w14:paraId="73C50C39" w14:textId="174075E4"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02" w:history="1">
            <w:r w:rsidRPr="00673142">
              <w:rPr>
                <w:rStyle w:val="Hyperlink"/>
                <w:rFonts w:cs="Arial"/>
                <w:noProof/>
              </w:rPr>
              <w:t>Overview</w:t>
            </w:r>
            <w:r>
              <w:rPr>
                <w:noProof/>
                <w:webHidden/>
              </w:rPr>
              <w:tab/>
            </w:r>
            <w:r>
              <w:rPr>
                <w:noProof/>
                <w:webHidden/>
              </w:rPr>
              <w:fldChar w:fldCharType="begin"/>
            </w:r>
            <w:r>
              <w:rPr>
                <w:noProof/>
                <w:webHidden/>
              </w:rPr>
              <w:instrText xml:space="preserve"> PAGEREF _Toc204691102 \h </w:instrText>
            </w:r>
            <w:r>
              <w:rPr>
                <w:noProof/>
                <w:webHidden/>
              </w:rPr>
            </w:r>
            <w:r>
              <w:rPr>
                <w:noProof/>
                <w:webHidden/>
              </w:rPr>
              <w:fldChar w:fldCharType="separate"/>
            </w:r>
            <w:r w:rsidR="00342E5C">
              <w:rPr>
                <w:noProof/>
                <w:webHidden/>
              </w:rPr>
              <w:t>3</w:t>
            </w:r>
            <w:r>
              <w:rPr>
                <w:noProof/>
                <w:webHidden/>
              </w:rPr>
              <w:fldChar w:fldCharType="end"/>
            </w:r>
          </w:hyperlink>
        </w:p>
        <w:p w14:paraId="6972D047" w14:textId="11D3D33D"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03" w:history="1">
            <w:r w:rsidRPr="00673142">
              <w:rPr>
                <w:rStyle w:val="Hyperlink"/>
                <w:noProof/>
              </w:rPr>
              <w:t>Background</w:t>
            </w:r>
            <w:r>
              <w:rPr>
                <w:noProof/>
                <w:webHidden/>
              </w:rPr>
              <w:tab/>
            </w:r>
            <w:r>
              <w:rPr>
                <w:noProof/>
                <w:webHidden/>
              </w:rPr>
              <w:fldChar w:fldCharType="begin"/>
            </w:r>
            <w:r>
              <w:rPr>
                <w:noProof/>
                <w:webHidden/>
              </w:rPr>
              <w:instrText xml:space="preserve"> PAGEREF _Toc204691103 \h </w:instrText>
            </w:r>
            <w:r>
              <w:rPr>
                <w:noProof/>
                <w:webHidden/>
              </w:rPr>
            </w:r>
            <w:r>
              <w:rPr>
                <w:noProof/>
                <w:webHidden/>
              </w:rPr>
              <w:fldChar w:fldCharType="separate"/>
            </w:r>
            <w:r w:rsidR="00342E5C">
              <w:rPr>
                <w:noProof/>
                <w:webHidden/>
              </w:rPr>
              <w:t>4</w:t>
            </w:r>
            <w:r>
              <w:rPr>
                <w:noProof/>
                <w:webHidden/>
              </w:rPr>
              <w:fldChar w:fldCharType="end"/>
            </w:r>
          </w:hyperlink>
        </w:p>
        <w:p w14:paraId="74AD3172" w14:textId="7DF691D1" w:rsidR="00294F48" w:rsidRDefault="00294F48">
          <w:pPr>
            <w:pStyle w:val="TOC2"/>
            <w:rPr>
              <w:rFonts w:eastAsiaTheme="minorEastAsia" w:cstheme="minorBidi"/>
              <w:color w:val="auto"/>
              <w:kern w:val="2"/>
              <w:sz w:val="24"/>
              <w:szCs w:val="24"/>
              <w:lang w:eastAsia="zh-CN"/>
              <w14:ligatures w14:val="standardContextual"/>
            </w:rPr>
          </w:pPr>
          <w:hyperlink w:anchor="_Toc204691104" w:history="1">
            <w:r w:rsidRPr="00673142">
              <w:rPr>
                <w:rStyle w:val="Hyperlink"/>
              </w:rPr>
              <w:t>Purpose of the Commission</w:t>
            </w:r>
            <w:r>
              <w:rPr>
                <w:webHidden/>
              </w:rPr>
              <w:tab/>
            </w:r>
            <w:r>
              <w:rPr>
                <w:webHidden/>
              </w:rPr>
              <w:fldChar w:fldCharType="begin"/>
            </w:r>
            <w:r>
              <w:rPr>
                <w:webHidden/>
              </w:rPr>
              <w:instrText xml:space="preserve"> PAGEREF _Toc204691104 \h </w:instrText>
            </w:r>
            <w:r>
              <w:rPr>
                <w:webHidden/>
              </w:rPr>
            </w:r>
            <w:r>
              <w:rPr>
                <w:webHidden/>
              </w:rPr>
              <w:fldChar w:fldCharType="separate"/>
            </w:r>
            <w:r w:rsidR="00342E5C">
              <w:rPr>
                <w:webHidden/>
              </w:rPr>
              <w:t>4</w:t>
            </w:r>
            <w:r>
              <w:rPr>
                <w:webHidden/>
              </w:rPr>
              <w:fldChar w:fldCharType="end"/>
            </w:r>
          </w:hyperlink>
        </w:p>
        <w:p w14:paraId="334ED3B5" w14:textId="2B6FB895" w:rsidR="00294F48" w:rsidRDefault="00294F48">
          <w:pPr>
            <w:pStyle w:val="TOC2"/>
            <w:rPr>
              <w:rFonts w:eastAsiaTheme="minorEastAsia" w:cstheme="minorBidi"/>
              <w:color w:val="auto"/>
              <w:kern w:val="2"/>
              <w:sz w:val="24"/>
              <w:szCs w:val="24"/>
              <w:lang w:eastAsia="zh-CN"/>
              <w14:ligatures w14:val="standardContextual"/>
            </w:rPr>
          </w:pPr>
          <w:hyperlink w:anchor="_Toc204691105" w:history="1">
            <w:r w:rsidRPr="00673142">
              <w:rPr>
                <w:rStyle w:val="Hyperlink"/>
              </w:rPr>
              <w:t>Legislative basis and functions of the Commission</w:t>
            </w:r>
            <w:r>
              <w:rPr>
                <w:webHidden/>
              </w:rPr>
              <w:tab/>
            </w:r>
            <w:r>
              <w:rPr>
                <w:webHidden/>
              </w:rPr>
              <w:fldChar w:fldCharType="begin"/>
            </w:r>
            <w:r>
              <w:rPr>
                <w:webHidden/>
              </w:rPr>
              <w:instrText xml:space="preserve"> PAGEREF _Toc204691105 \h </w:instrText>
            </w:r>
            <w:r>
              <w:rPr>
                <w:webHidden/>
              </w:rPr>
            </w:r>
            <w:r>
              <w:rPr>
                <w:webHidden/>
              </w:rPr>
              <w:fldChar w:fldCharType="separate"/>
            </w:r>
            <w:r w:rsidR="00342E5C">
              <w:rPr>
                <w:webHidden/>
              </w:rPr>
              <w:t>4</w:t>
            </w:r>
            <w:r>
              <w:rPr>
                <w:webHidden/>
              </w:rPr>
              <w:fldChar w:fldCharType="end"/>
            </w:r>
          </w:hyperlink>
        </w:p>
        <w:p w14:paraId="721C92CE" w14:textId="0D310D07" w:rsidR="00294F48" w:rsidRDefault="00294F48">
          <w:pPr>
            <w:pStyle w:val="TOC2"/>
            <w:rPr>
              <w:rFonts w:eastAsiaTheme="minorEastAsia" w:cstheme="minorBidi"/>
              <w:color w:val="auto"/>
              <w:kern w:val="2"/>
              <w:sz w:val="24"/>
              <w:szCs w:val="24"/>
              <w:lang w:eastAsia="zh-CN"/>
              <w14:ligatures w14:val="standardContextual"/>
            </w:rPr>
          </w:pPr>
          <w:hyperlink w:anchor="_Toc204691106" w:history="1">
            <w:r w:rsidRPr="00673142">
              <w:rPr>
                <w:rStyle w:val="Hyperlink"/>
              </w:rPr>
              <w:t>Work Plan</w:t>
            </w:r>
            <w:r>
              <w:rPr>
                <w:webHidden/>
              </w:rPr>
              <w:tab/>
            </w:r>
            <w:r>
              <w:rPr>
                <w:webHidden/>
              </w:rPr>
              <w:fldChar w:fldCharType="begin"/>
            </w:r>
            <w:r>
              <w:rPr>
                <w:webHidden/>
              </w:rPr>
              <w:instrText xml:space="preserve"> PAGEREF _Toc204691106 \h </w:instrText>
            </w:r>
            <w:r>
              <w:rPr>
                <w:webHidden/>
              </w:rPr>
            </w:r>
            <w:r>
              <w:rPr>
                <w:webHidden/>
              </w:rPr>
              <w:fldChar w:fldCharType="separate"/>
            </w:r>
            <w:r w:rsidR="00342E5C">
              <w:rPr>
                <w:webHidden/>
              </w:rPr>
              <w:t>5</w:t>
            </w:r>
            <w:r>
              <w:rPr>
                <w:webHidden/>
              </w:rPr>
              <w:fldChar w:fldCharType="end"/>
            </w:r>
          </w:hyperlink>
        </w:p>
        <w:p w14:paraId="4D38D0B0" w14:textId="3FD3790A" w:rsidR="00294F48" w:rsidRDefault="00294F48">
          <w:pPr>
            <w:pStyle w:val="TOC2"/>
            <w:rPr>
              <w:rFonts w:eastAsiaTheme="minorEastAsia" w:cstheme="minorBidi"/>
              <w:color w:val="auto"/>
              <w:kern w:val="2"/>
              <w:sz w:val="24"/>
              <w:szCs w:val="24"/>
              <w:lang w:eastAsia="zh-CN"/>
              <w14:ligatures w14:val="standardContextual"/>
            </w:rPr>
          </w:pPr>
          <w:hyperlink w:anchor="_Toc204691107" w:history="1">
            <w:r w:rsidRPr="00673142">
              <w:rPr>
                <w:rStyle w:val="Hyperlink"/>
              </w:rPr>
              <w:t>Data Governance Framework</w:t>
            </w:r>
            <w:r>
              <w:rPr>
                <w:webHidden/>
              </w:rPr>
              <w:tab/>
            </w:r>
            <w:r>
              <w:rPr>
                <w:webHidden/>
              </w:rPr>
              <w:fldChar w:fldCharType="begin"/>
            </w:r>
            <w:r>
              <w:rPr>
                <w:webHidden/>
              </w:rPr>
              <w:instrText xml:space="preserve"> PAGEREF _Toc204691107 \h </w:instrText>
            </w:r>
            <w:r>
              <w:rPr>
                <w:webHidden/>
              </w:rPr>
            </w:r>
            <w:r>
              <w:rPr>
                <w:webHidden/>
              </w:rPr>
              <w:fldChar w:fldCharType="separate"/>
            </w:r>
            <w:r w:rsidR="00342E5C">
              <w:rPr>
                <w:webHidden/>
              </w:rPr>
              <w:t>7</w:t>
            </w:r>
            <w:r>
              <w:rPr>
                <w:webHidden/>
              </w:rPr>
              <w:fldChar w:fldCharType="end"/>
            </w:r>
          </w:hyperlink>
        </w:p>
        <w:p w14:paraId="17AAC07D" w14:textId="13DC15CA" w:rsidR="00294F48" w:rsidRDefault="00294F48">
          <w:pPr>
            <w:pStyle w:val="TOC2"/>
            <w:rPr>
              <w:rFonts w:eastAsiaTheme="minorEastAsia" w:cstheme="minorBidi"/>
              <w:color w:val="auto"/>
              <w:kern w:val="2"/>
              <w:sz w:val="24"/>
              <w:szCs w:val="24"/>
              <w:lang w:eastAsia="zh-CN"/>
              <w14:ligatures w14:val="standardContextual"/>
            </w:rPr>
          </w:pPr>
          <w:hyperlink w:anchor="_Toc204691108" w:history="1">
            <w:r w:rsidRPr="00673142">
              <w:rPr>
                <w:rStyle w:val="Hyperlink"/>
              </w:rPr>
              <w:t>Data management policy and procedures</w:t>
            </w:r>
            <w:r>
              <w:rPr>
                <w:webHidden/>
              </w:rPr>
              <w:tab/>
            </w:r>
            <w:r>
              <w:rPr>
                <w:webHidden/>
              </w:rPr>
              <w:fldChar w:fldCharType="begin"/>
            </w:r>
            <w:r>
              <w:rPr>
                <w:webHidden/>
              </w:rPr>
              <w:instrText xml:space="preserve"> PAGEREF _Toc204691108 \h </w:instrText>
            </w:r>
            <w:r>
              <w:rPr>
                <w:webHidden/>
              </w:rPr>
            </w:r>
            <w:r>
              <w:rPr>
                <w:webHidden/>
              </w:rPr>
              <w:fldChar w:fldCharType="separate"/>
            </w:r>
            <w:r w:rsidR="00342E5C">
              <w:rPr>
                <w:webHidden/>
              </w:rPr>
              <w:t>7</w:t>
            </w:r>
            <w:r>
              <w:rPr>
                <w:webHidden/>
              </w:rPr>
              <w:fldChar w:fldCharType="end"/>
            </w:r>
          </w:hyperlink>
        </w:p>
        <w:p w14:paraId="0CA73901" w14:textId="1965D8E8"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09" w:history="1">
            <w:r w:rsidRPr="00673142">
              <w:rPr>
                <w:rStyle w:val="Hyperlink"/>
                <w:noProof/>
              </w:rPr>
              <w:t>Security and Privacy</w:t>
            </w:r>
            <w:r>
              <w:rPr>
                <w:noProof/>
                <w:webHidden/>
              </w:rPr>
              <w:tab/>
            </w:r>
            <w:r>
              <w:rPr>
                <w:noProof/>
                <w:webHidden/>
              </w:rPr>
              <w:fldChar w:fldCharType="begin"/>
            </w:r>
            <w:r>
              <w:rPr>
                <w:noProof/>
                <w:webHidden/>
              </w:rPr>
              <w:instrText xml:space="preserve"> PAGEREF _Toc204691109 \h </w:instrText>
            </w:r>
            <w:r>
              <w:rPr>
                <w:noProof/>
                <w:webHidden/>
              </w:rPr>
            </w:r>
            <w:r>
              <w:rPr>
                <w:noProof/>
                <w:webHidden/>
              </w:rPr>
              <w:fldChar w:fldCharType="separate"/>
            </w:r>
            <w:r w:rsidR="00342E5C">
              <w:rPr>
                <w:noProof/>
                <w:webHidden/>
              </w:rPr>
              <w:t>9</w:t>
            </w:r>
            <w:r>
              <w:rPr>
                <w:noProof/>
                <w:webHidden/>
              </w:rPr>
              <w:fldChar w:fldCharType="end"/>
            </w:r>
          </w:hyperlink>
        </w:p>
        <w:p w14:paraId="06429AAE" w14:textId="5207A58F" w:rsidR="00294F48" w:rsidRDefault="00294F48">
          <w:pPr>
            <w:pStyle w:val="TOC2"/>
            <w:rPr>
              <w:rFonts w:eastAsiaTheme="minorEastAsia" w:cstheme="minorBidi"/>
              <w:color w:val="auto"/>
              <w:kern w:val="2"/>
              <w:sz w:val="24"/>
              <w:szCs w:val="24"/>
              <w:lang w:eastAsia="zh-CN"/>
              <w14:ligatures w14:val="standardContextual"/>
            </w:rPr>
          </w:pPr>
          <w:hyperlink w:anchor="_Toc204691110" w:history="1">
            <w:r w:rsidRPr="00673142">
              <w:rPr>
                <w:rStyle w:val="Hyperlink"/>
              </w:rPr>
              <w:t>Security</w:t>
            </w:r>
            <w:r>
              <w:rPr>
                <w:webHidden/>
              </w:rPr>
              <w:tab/>
            </w:r>
            <w:r>
              <w:rPr>
                <w:webHidden/>
              </w:rPr>
              <w:fldChar w:fldCharType="begin"/>
            </w:r>
            <w:r>
              <w:rPr>
                <w:webHidden/>
              </w:rPr>
              <w:instrText xml:space="preserve"> PAGEREF _Toc204691110 \h </w:instrText>
            </w:r>
            <w:r>
              <w:rPr>
                <w:webHidden/>
              </w:rPr>
            </w:r>
            <w:r>
              <w:rPr>
                <w:webHidden/>
              </w:rPr>
              <w:fldChar w:fldCharType="separate"/>
            </w:r>
            <w:r w:rsidR="00342E5C">
              <w:rPr>
                <w:webHidden/>
              </w:rPr>
              <w:t>9</w:t>
            </w:r>
            <w:r>
              <w:rPr>
                <w:webHidden/>
              </w:rPr>
              <w:fldChar w:fldCharType="end"/>
            </w:r>
          </w:hyperlink>
        </w:p>
        <w:p w14:paraId="4434CB58" w14:textId="372DD5B5" w:rsidR="00294F48" w:rsidRDefault="00294F48">
          <w:pPr>
            <w:pStyle w:val="TOC2"/>
            <w:rPr>
              <w:rFonts w:eastAsiaTheme="minorEastAsia" w:cstheme="minorBidi"/>
              <w:color w:val="auto"/>
              <w:kern w:val="2"/>
              <w:sz w:val="24"/>
              <w:szCs w:val="24"/>
              <w:lang w:eastAsia="zh-CN"/>
              <w14:ligatures w14:val="standardContextual"/>
            </w:rPr>
          </w:pPr>
          <w:hyperlink w:anchor="_Toc204691111" w:history="1">
            <w:r w:rsidRPr="00673142">
              <w:rPr>
                <w:rStyle w:val="Hyperlink"/>
              </w:rPr>
              <w:t>Privacy</w:t>
            </w:r>
            <w:r>
              <w:rPr>
                <w:webHidden/>
              </w:rPr>
              <w:tab/>
            </w:r>
            <w:r>
              <w:rPr>
                <w:webHidden/>
              </w:rPr>
              <w:fldChar w:fldCharType="begin"/>
            </w:r>
            <w:r>
              <w:rPr>
                <w:webHidden/>
              </w:rPr>
              <w:instrText xml:space="preserve"> PAGEREF _Toc204691111 \h </w:instrText>
            </w:r>
            <w:r>
              <w:rPr>
                <w:webHidden/>
              </w:rPr>
            </w:r>
            <w:r>
              <w:rPr>
                <w:webHidden/>
              </w:rPr>
              <w:fldChar w:fldCharType="separate"/>
            </w:r>
            <w:r w:rsidR="00342E5C">
              <w:rPr>
                <w:webHidden/>
              </w:rPr>
              <w:t>9</w:t>
            </w:r>
            <w:r>
              <w:rPr>
                <w:webHidden/>
              </w:rPr>
              <w:fldChar w:fldCharType="end"/>
            </w:r>
          </w:hyperlink>
        </w:p>
        <w:p w14:paraId="3869C968" w14:textId="7B7A8F49"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12" w:history="1">
            <w:r w:rsidRPr="00673142">
              <w:rPr>
                <w:rStyle w:val="Hyperlink"/>
                <w:noProof/>
              </w:rPr>
              <w:t>Process to develop and review safety and quality indicators</w:t>
            </w:r>
            <w:r>
              <w:rPr>
                <w:noProof/>
                <w:webHidden/>
              </w:rPr>
              <w:tab/>
            </w:r>
            <w:r>
              <w:rPr>
                <w:noProof/>
                <w:webHidden/>
              </w:rPr>
              <w:fldChar w:fldCharType="begin"/>
            </w:r>
            <w:r>
              <w:rPr>
                <w:noProof/>
                <w:webHidden/>
              </w:rPr>
              <w:instrText xml:space="preserve"> PAGEREF _Toc204691112 \h </w:instrText>
            </w:r>
            <w:r>
              <w:rPr>
                <w:noProof/>
                <w:webHidden/>
              </w:rPr>
            </w:r>
            <w:r>
              <w:rPr>
                <w:noProof/>
                <w:webHidden/>
              </w:rPr>
              <w:fldChar w:fldCharType="separate"/>
            </w:r>
            <w:r w:rsidR="00342E5C">
              <w:rPr>
                <w:noProof/>
                <w:webHidden/>
              </w:rPr>
              <w:t>10</w:t>
            </w:r>
            <w:r>
              <w:rPr>
                <w:noProof/>
                <w:webHidden/>
              </w:rPr>
              <w:fldChar w:fldCharType="end"/>
            </w:r>
          </w:hyperlink>
        </w:p>
        <w:p w14:paraId="4D607DD6" w14:textId="1E3719C1"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13" w:history="1">
            <w:r w:rsidRPr="00673142">
              <w:rPr>
                <w:rStyle w:val="Hyperlink"/>
                <w:noProof/>
              </w:rPr>
              <w:t>Approach to data collection, management, analysis and reporting</w:t>
            </w:r>
            <w:r>
              <w:rPr>
                <w:noProof/>
                <w:webHidden/>
              </w:rPr>
              <w:tab/>
            </w:r>
            <w:r>
              <w:rPr>
                <w:noProof/>
                <w:webHidden/>
              </w:rPr>
              <w:fldChar w:fldCharType="begin"/>
            </w:r>
            <w:r>
              <w:rPr>
                <w:noProof/>
                <w:webHidden/>
              </w:rPr>
              <w:instrText xml:space="preserve"> PAGEREF _Toc204691113 \h </w:instrText>
            </w:r>
            <w:r>
              <w:rPr>
                <w:noProof/>
                <w:webHidden/>
              </w:rPr>
            </w:r>
            <w:r>
              <w:rPr>
                <w:noProof/>
                <w:webHidden/>
              </w:rPr>
              <w:fldChar w:fldCharType="separate"/>
            </w:r>
            <w:r w:rsidR="00342E5C">
              <w:rPr>
                <w:noProof/>
                <w:webHidden/>
              </w:rPr>
              <w:t>11</w:t>
            </w:r>
            <w:r>
              <w:rPr>
                <w:noProof/>
                <w:webHidden/>
              </w:rPr>
              <w:fldChar w:fldCharType="end"/>
            </w:r>
          </w:hyperlink>
        </w:p>
        <w:p w14:paraId="09C85988" w14:textId="3434FACC" w:rsidR="00294F48" w:rsidRDefault="00294F48">
          <w:pPr>
            <w:pStyle w:val="TOC2"/>
            <w:rPr>
              <w:rFonts w:eastAsiaTheme="minorEastAsia" w:cstheme="minorBidi"/>
              <w:color w:val="auto"/>
              <w:kern w:val="2"/>
              <w:sz w:val="24"/>
              <w:szCs w:val="24"/>
              <w:lang w:eastAsia="zh-CN"/>
              <w14:ligatures w14:val="standardContextual"/>
            </w:rPr>
          </w:pPr>
          <w:hyperlink w:anchor="_Toc204691114" w:history="1">
            <w:r w:rsidRPr="00673142">
              <w:rPr>
                <w:rStyle w:val="Hyperlink"/>
              </w:rPr>
              <w:t>Single provision, multiple use in action</w:t>
            </w:r>
            <w:r>
              <w:rPr>
                <w:webHidden/>
              </w:rPr>
              <w:tab/>
            </w:r>
            <w:r>
              <w:rPr>
                <w:webHidden/>
              </w:rPr>
              <w:fldChar w:fldCharType="begin"/>
            </w:r>
            <w:r>
              <w:rPr>
                <w:webHidden/>
              </w:rPr>
              <w:instrText xml:space="preserve"> PAGEREF _Toc204691114 \h </w:instrText>
            </w:r>
            <w:r>
              <w:rPr>
                <w:webHidden/>
              </w:rPr>
            </w:r>
            <w:r>
              <w:rPr>
                <w:webHidden/>
              </w:rPr>
              <w:fldChar w:fldCharType="separate"/>
            </w:r>
            <w:r w:rsidR="00342E5C">
              <w:rPr>
                <w:webHidden/>
              </w:rPr>
              <w:t>12</w:t>
            </w:r>
            <w:r>
              <w:rPr>
                <w:webHidden/>
              </w:rPr>
              <w:fldChar w:fldCharType="end"/>
            </w:r>
          </w:hyperlink>
        </w:p>
        <w:p w14:paraId="661F6143" w14:textId="095463DD" w:rsidR="00294F48" w:rsidRDefault="00294F48">
          <w:pPr>
            <w:pStyle w:val="TOC2"/>
            <w:rPr>
              <w:rFonts w:eastAsiaTheme="minorEastAsia" w:cstheme="minorBidi"/>
              <w:color w:val="auto"/>
              <w:kern w:val="2"/>
              <w:sz w:val="24"/>
              <w:szCs w:val="24"/>
              <w:lang w:eastAsia="zh-CN"/>
              <w14:ligatures w14:val="standardContextual"/>
            </w:rPr>
          </w:pPr>
          <w:hyperlink w:anchor="_Toc204691115" w:history="1">
            <w:r w:rsidRPr="00673142">
              <w:rPr>
                <w:rStyle w:val="Hyperlink"/>
              </w:rPr>
              <w:t>National engagement and data use</w:t>
            </w:r>
            <w:r>
              <w:rPr>
                <w:webHidden/>
              </w:rPr>
              <w:tab/>
            </w:r>
            <w:r>
              <w:rPr>
                <w:webHidden/>
              </w:rPr>
              <w:fldChar w:fldCharType="begin"/>
            </w:r>
            <w:r>
              <w:rPr>
                <w:webHidden/>
              </w:rPr>
              <w:instrText xml:space="preserve"> PAGEREF _Toc204691115 \h </w:instrText>
            </w:r>
            <w:r>
              <w:rPr>
                <w:webHidden/>
              </w:rPr>
            </w:r>
            <w:r>
              <w:rPr>
                <w:webHidden/>
              </w:rPr>
              <w:fldChar w:fldCharType="separate"/>
            </w:r>
            <w:r w:rsidR="00342E5C">
              <w:rPr>
                <w:webHidden/>
              </w:rPr>
              <w:t>12</w:t>
            </w:r>
            <w:r>
              <w:rPr>
                <w:webHidden/>
              </w:rPr>
              <w:fldChar w:fldCharType="end"/>
            </w:r>
          </w:hyperlink>
        </w:p>
        <w:p w14:paraId="5CE343A5" w14:textId="433F48C2"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16" w:history="1">
            <w:r w:rsidRPr="00673142">
              <w:rPr>
                <w:rStyle w:val="Hyperlink"/>
                <w:noProof/>
              </w:rPr>
              <w:t>Data collections used by the Commission</w:t>
            </w:r>
            <w:r>
              <w:rPr>
                <w:noProof/>
                <w:webHidden/>
              </w:rPr>
              <w:tab/>
            </w:r>
            <w:r>
              <w:rPr>
                <w:noProof/>
                <w:webHidden/>
              </w:rPr>
              <w:fldChar w:fldCharType="begin"/>
            </w:r>
            <w:r>
              <w:rPr>
                <w:noProof/>
                <w:webHidden/>
              </w:rPr>
              <w:instrText xml:space="preserve"> PAGEREF _Toc204691116 \h </w:instrText>
            </w:r>
            <w:r>
              <w:rPr>
                <w:noProof/>
                <w:webHidden/>
              </w:rPr>
            </w:r>
            <w:r>
              <w:rPr>
                <w:noProof/>
                <w:webHidden/>
              </w:rPr>
              <w:fldChar w:fldCharType="separate"/>
            </w:r>
            <w:r w:rsidR="00342E5C">
              <w:rPr>
                <w:noProof/>
                <w:webHidden/>
              </w:rPr>
              <w:t>13</w:t>
            </w:r>
            <w:r>
              <w:rPr>
                <w:noProof/>
                <w:webHidden/>
              </w:rPr>
              <w:fldChar w:fldCharType="end"/>
            </w:r>
          </w:hyperlink>
        </w:p>
        <w:p w14:paraId="15A6F7E5" w14:textId="6C1F9C88" w:rsidR="00294F48" w:rsidRDefault="00294F48">
          <w:pPr>
            <w:pStyle w:val="TOC2"/>
            <w:rPr>
              <w:rFonts w:eastAsiaTheme="minorEastAsia" w:cstheme="minorBidi"/>
              <w:color w:val="auto"/>
              <w:kern w:val="2"/>
              <w:sz w:val="24"/>
              <w:szCs w:val="24"/>
              <w:lang w:eastAsia="zh-CN"/>
              <w14:ligatures w14:val="standardContextual"/>
            </w:rPr>
          </w:pPr>
          <w:hyperlink w:anchor="_Toc204691117" w:history="1">
            <w:r w:rsidRPr="00673142">
              <w:rPr>
                <w:rStyle w:val="Hyperlink"/>
                <w:bCs/>
                <w:iCs/>
                <w:spacing w:val="5"/>
              </w:rPr>
              <w:t>Secondary use of data</w:t>
            </w:r>
            <w:r>
              <w:rPr>
                <w:webHidden/>
              </w:rPr>
              <w:tab/>
            </w:r>
            <w:r>
              <w:rPr>
                <w:webHidden/>
              </w:rPr>
              <w:fldChar w:fldCharType="begin"/>
            </w:r>
            <w:r>
              <w:rPr>
                <w:webHidden/>
              </w:rPr>
              <w:instrText xml:space="preserve"> PAGEREF _Toc204691117 \h </w:instrText>
            </w:r>
            <w:r>
              <w:rPr>
                <w:webHidden/>
              </w:rPr>
            </w:r>
            <w:r>
              <w:rPr>
                <w:webHidden/>
              </w:rPr>
              <w:fldChar w:fldCharType="separate"/>
            </w:r>
            <w:r w:rsidR="00342E5C">
              <w:rPr>
                <w:webHidden/>
              </w:rPr>
              <w:t>13</w:t>
            </w:r>
            <w:r>
              <w:rPr>
                <w:webHidden/>
              </w:rPr>
              <w:fldChar w:fldCharType="end"/>
            </w:r>
          </w:hyperlink>
        </w:p>
        <w:p w14:paraId="4180D5B2" w14:textId="065511B4" w:rsidR="00294F48" w:rsidRDefault="00294F48">
          <w:pPr>
            <w:pStyle w:val="TOC2"/>
            <w:rPr>
              <w:rFonts w:eastAsiaTheme="minorEastAsia" w:cstheme="minorBidi"/>
              <w:color w:val="auto"/>
              <w:kern w:val="2"/>
              <w:sz w:val="24"/>
              <w:szCs w:val="24"/>
              <w:lang w:eastAsia="zh-CN"/>
              <w14:ligatures w14:val="standardContextual"/>
            </w:rPr>
          </w:pPr>
          <w:hyperlink w:anchor="_Toc204691118" w:history="1">
            <w:r w:rsidRPr="00673142">
              <w:rPr>
                <w:rStyle w:val="Hyperlink"/>
              </w:rPr>
              <w:t>Data linkage as a priority</w:t>
            </w:r>
            <w:r>
              <w:rPr>
                <w:webHidden/>
              </w:rPr>
              <w:tab/>
            </w:r>
            <w:r>
              <w:rPr>
                <w:webHidden/>
              </w:rPr>
              <w:fldChar w:fldCharType="begin"/>
            </w:r>
            <w:r>
              <w:rPr>
                <w:webHidden/>
              </w:rPr>
              <w:instrText xml:space="preserve"> PAGEREF _Toc204691118 \h </w:instrText>
            </w:r>
            <w:r>
              <w:rPr>
                <w:webHidden/>
              </w:rPr>
            </w:r>
            <w:r>
              <w:rPr>
                <w:webHidden/>
              </w:rPr>
              <w:fldChar w:fldCharType="separate"/>
            </w:r>
            <w:r w:rsidR="00342E5C">
              <w:rPr>
                <w:webHidden/>
              </w:rPr>
              <w:t>14</w:t>
            </w:r>
            <w:r>
              <w:rPr>
                <w:webHidden/>
              </w:rPr>
              <w:fldChar w:fldCharType="end"/>
            </w:r>
          </w:hyperlink>
        </w:p>
        <w:p w14:paraId="0692EEC6" w14:textId="51460D85"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19" w:history="1">
            <w:r w:rsidRPr="00673142">
              <w:rPr>
                <w:rStyle w:val="Hyperlink"/>
                <w:noProof/>
              </w:rPr>
              <w:t>Reporting and publishing</w:t>
            </w:r>
            <w:r>
              <w:rPr>
                <w:noProof/>
                <w:webHidden/>
              </w:rPr>
              <w:tab/>
            </w:r>
            <w:r>
              <w:rPr>
                <w:noProof/>
                <w:webHidden/>
              </w:rPr>
              <w:fldChar w:fldCharType="begin"/>
            </w:r>
            <w:r>
              <w:rPr>
                <w:noProof/>
                <w:webHidden/>
              </w:rPr>
              <w:instrText xml:space="preserve"> PAGEREF _Toc204691119 \h </w:instrText>
            </w:r>
            <w:r>
              <w:rPr>
                <w:noProof/>
                <w:webHidden/>
              </w:rPr>
            </w:r>
            <w:r>
              <w:rPr>
                <w:noProof/>
                <w:webHidden/>
              </w:rPr>
              <w:fldChar w:fldCharType="separate"/>
            </w:r>
            <w:r w:rsidR="00342E5C">
              <w:rPr>
                <w:noProof/>
                <w:webHidden/>
              </w:rPr>
              <w:t>15</w:t>
            </w:r>
            <w:r>
              <w:rPr>
                <w:noProof/>
                <w:webHidden/>
              </w:rPr>
              <w:fldChar w:fldCharType="end"/>
            </w:r>
          </w:hyperlink>
        </w:p>
        <w:p w14:paraId="4DDEE4FD" w14:textId="0D33997E" w:rsidR="00294F48" w:rsidRDefault="00294F48">
          <w:pPr>
            <w:pStyle w:val="TOC2"/>
            <w:rPr>
              <w:rFonts w:eastAsiaTheme="minorEastAsia" w:cstheme="minorBidi"/>
              <w:color w:val="auto"/>
              <w:kern w:val="2"/>
              <w:sz w:val="24"/>
              <w:szCs w:val="24"/>
              <w:lang w:eastAsia="zh-CN"/>
              <w14:ligatures w14:val="standardContextual"/>
            </w:rPr>
          </w:pPr>
          <w:hyperlink w:anchor="_Toc204691120" w:history="1">
            <w:r w:rsidRPr="00673142">
              <w:rPr>
                <w:rStyle w:val="Hyperlink"/>
                <w:shd w:val="clear" w:color="auto" w:fill="FFFFFF"/>
              </w:rPr>
              <w:t>Commitment to Closing the Gap</w:t>
            </w:r>
            <w:r>
              <w:rPr>
                <w:webHidden/>
              </w:rPr>
              <w:tab/>
            </w:r>
            <w:r>
              <w:rPr>
                <w:webHidden/>
              </w:rPr>
              <w:fldChar w:fldCharType="begin"/>
            </w:r>
            <w:r>
              <w:rPr>
                <w:webHidden/>
              </w:rPr>
              <w:instrText xml:space="preserve"> PAGEREF _Toc204691120 \h </w:instrText>
            </w:r>
            <w:r>
              <w:rPr>
                <w:webHidden/>
              </w:rPr>
            </w:r>
            <w:r>
              <w:rPr>
                <w:webHidden/>
              </w:rPr>
              <w:fldChar w:fldCharType="separate"/>
            </w:r>
            <w:r w:rsidR="00342E5C">
              <w:rPr>
                <w:webHidden/>
              </w:rPr>
              <w:t>15</w:t>
            </w:r>
            <w:r>
              <w:rPr>
                <w:webHidden/>
              </w:rPr>
              <w:fldChar w:fldCharType="end"/>
            </w:r>
          </w:hyperlink>
        </w:p>
        <w:p w14:paraId="7B03AD8D" w14:textId="43423E1E"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21" w:history="1">
            <w:r w:rsidRPr="00673142">
              <w:rPr>
                <w:rStyle w:val="Hyperlink"/>
                <w:noProof/>
              </w:rPr>
              <w:t xml:space="preserve">Appendix 1: </w:t>
            </w:r>
            <w:r w:rsidRPr="00673142">
              <w:rPr>
                <w:rStyle w:val="Hyperlink"/>
                <w:i/>
                <w:noProof/>
              </w:rPr>
              <w:t>National Health Reform Act 2011</w:t>
            </w:r>
            <w:r w:rsidRPr="00673142">
              <w:rPr>
                <w:rStyle w:val="Hyperlink"/>
                <w:noProof/>
              </w:rPr>
              <w:t>, the 2020-2025 Addendum to the National Health Reform Agreement and the National Health Information Agreement</w:t>
            </w:r>
            <w:r>
              <w:rPr>
                <w:noProof/>
                <w:webHidden/>
              </w:rPr>
              <w:tab/>
            </w:r>
            <w:r>
              <w:rPr>
                <w:noProof/>
                <w:webHidden/>
              </w:rPr>
              <w:fldChar w:fldCharType="begin"/>
            </w:r>
            <w:r>
              <w:rPr>
                <w:noProof/>
                <w:webHidden/>
              </w:rPr>
              <w:instrText xml:space="preserve"> PAGEREF _Toc204691121 \h </w:instrText>
            </w:r>
            <w:r>
              <w:rPr>
                <w:noProof/>
                <w:webHidden/>
              </w:rPr>
            </w:r>
            <w:r>
              <w:rPr>
                <w:noProof/>
                <w:webHidden/>
              </w:rPr>
              <w:fldChar w:fldCharType="separate"/>
            </w:r>
            <w:r w:rsidR="00342E5C">
              <w:rPr>
                <w:noProof/>
                <w:webHidden/>
              </w:rPr>
              <w:t>17</w:t>
            </w:r>
            <w:r>
              <w:rPr>
                <w:noProof/>
                <w:webHidden/>
              </w:rPr>
              <w:fldChar w:fldCharType="end"/>
            </w:r>
          </w:hyperlink>
        </w:p>
        <w:p w14:paraId="5725ECC9" w14:textId="7E5712EC"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22" w:history="1">
            <w:r w:rsidRPr="00673142">
              <w:rPr>
                <w:rStyle w:val="Hyperlink"/>
                <w:rFonts w:cs="Arial"/>
                <w:noProof/>
              </w:rPr>
              <w:t xml:space="preserve">Appendix 2a: </w:t>
            </w:r>
            <w:r w:rsidRPr="00673142">
              <w:rPr>
                <w:rStyle w:val="Hyperlink"/>
                <w:noProof/>
              </w:rPr>
              <w:t>Work Plan priorities and data sets where jurisdictional/Commonwealth approval is required (and will be sought)</w:t>
            </w:r>
            <w:r>
              <w:rPr>
                <w:noProof/>
                <w:webHidden/>
              </w:rPr>
              <w:tab/>
            </w:r>
            <w:r>
              <w:rPr>
                <w:noProof/>
                <w:webHidden/>
              </w:rPr>
              <w:fldChar w:fldCharType="begin"/>
            </w:r>
            <w:r>
              <w:rPr>
                <w:noProof/>
                <w:webHidden/>
              </w:rPr>
              <w:instrText xml:space="preserve"> PAGEREF _Toc204691122 \h </w:instrText>
            </w:r>
            <w:r>
              <w:rPr>
                <w:noProof/>
                <w:webHidden/>
              </w:rPr>
            </w:r>
            <w:r>
              <w:rPr>
                <w:noProof/>
                <w:webHidden/>
              </w:rPr>
              <w:fldChar w:fldCharType="separate"/>
            </w:r>
            <w:r w:rsidR="00342E5C">
              <w:rPr>
                <w:noProof/>
                <w:webHidden/>
              </w:rPr>
              <w:t>22</w:t>
            </w:r>
            <w:r>
              <w:rPr>
                <w:noProof/>
                <w:webHidden/>
              </w:rPr>
              <w:fldChar w:fldCharType="end"/>
            </w:r>
          </w:hyperlink>
        </w:p>
        <w:p w14:paraId="64F9D0E1" w14:textId="0F99F225"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23" w:history="1">
            <w:r w:rsidRPr="00673142">
              <w:rPr>
                <w:rStyle w:val="Hyperlink"/>
                <w:noProof/>
              </w:rPr>
              <w:t>Appendix 2b: Currently funded projects</w:t>
            </w:r>
            <w:r>
              <w:rPr>
                <w:noProof/>
                <w:webHidden/>
              </w:rPr>
              <w:tab/>
            </w:r>
            <w:r>
              <w:rPr>
                <w:noProof/>
                <w:webHidden/>
              </w:rPr>
              <w:fldChar w:fldCharType="begin"/>
            </w:r>
            <w:r>
              <w:rPr>
                <w:noProof/>
                <w:webHidden/>
              </w:rPr>
              <w:instrText xml:space="preserve"> PAGEREF _Toc204691123 \h </w:instrText>
            </w:r>
            <w:r>
              <w:rPr>
                <w:noProof/>
                <w:webHidden/>
              </w:rPr>
            </w:r>
            <w:r>
              <w:rPr>
                <w:noProof/>
                <w:webHidden/>
              </w:rPr>
              <w:fldChar w:fldCharType="separate"/>
            </w:r>
            <w:r w:rsidR="00342E5C">
              <w:rPr>
                <w:noProof/>
                <w:webHidden/>
              </w:rPr>
              <w:t>29</w:t>
            </w:r>
            <w:r>
              <w:rPr>
                <w:noProof/>
                <w:webHidden/>
              </w:rPr>
              <w:fldChar w:fldCharType="end"/>
            </w:r>
          </w:hyperlink>
        </w:p>
        <w:p w14:paraId="5ECF3D39" w14:textId="1DC0F7B3"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24" w:history="1">
            <w:r w:rsidRPr="00673142">
              <w:rPr>
                <w:rStyle w:val="Hyperlink"/>
                <w:noProof/>
              </w:rPr>
              <w:t>Appendix 3a: Data sets which require jurisdictional approval (2025-26 to 2027-28)</w:t>
            </w:r>
            <w:r>
              <w:rPr>
                <w:noProof/>
                <w:webHidden/>
              </w:rPr>
              <w:tab/>
            </w:r>
            <w:r>
              <w:rPr>
                <w:noProof/>
                <w:webHidden/>
              </w:rPr>
              <w:fldChar w:fldCharType="begin"/>
            </w:r>
            <w:r>
              <w:rPr>
                <w:noProof/>
                <w:webHidden/>
              </w:rPr>
              <w:instrText xml:space="preserve"> PAGEREF _Toc204691124 \h </w:instrText>
            </w:r>
            <w:r>
              <w:rPr>
                <w:noProof/>
                <w:webHidden/>
              </w:rPr>
            </w:r>
            <w:r>
              <w:rPr>
                <w:noProof/>
                <w:webHidden/>
              </w:rPr>
              <w:fldChar w:fldCharType="separate"/>
            </w:r>
            <w:r w:rsidR="00342E5C">
              <w:rPr>
                <w:noProof/>
                <w:webHidden/>
              </w:rPr>
              <w:t>31</w:t>
            </w:r>
            <w:r>
              <w:rPr>
                <w:noProof/>
                <w:webHidden/>
              </w:rPr>
              <w:fldChar w:fldCharType="end"/>
            </w:r>
          </w:hyperlink>
        </w:p>
        <w:p w14:paraId="4F6CACB7" w14:textId="71DB07EE"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25" w:history="1">
            <w:r w:rsidRPr="00673142">
              <w:rPr>
                <w:rStyle w:val="Hyperlink"/>
                <w:noProof/>
              </w:rPr>
              <w:t>Appendix 3b: Data sets which require approval from Commonwealth bodies (2025-28)</w:t>
            </w:r>
            <w:r>
              <w:rPr>
                <w:noProof/>
                <w:webHidden/>
              </w:rPr>
              <w:tab/>
            </w:r>
            <w:r>
              <w:rPr>
                <w:noProof/>
                <w:webHidden/>
              </w:rPr>
              <w:fldChar w:fldCharType="begin"/>
            </w:r>
            <w:r>
              <w:rPr>
                <w:noProof/>
                <w:webHidden/>
              </w:rPr>
              <w:instrText xml:space="preserve"> PAGEREF _Toc204691125 \h </w:instrText>
            </w:r>
            <w:r>
              <w:rPr>
                <w:noProof/>
                <w:webHidden/>
              </w:rPr>
            </w:r>
            <w:r>
              <w:rPr>
                <w:noProof/>
                <w:webHidden/>
              </w:rPr>
              <w:fldChar w:fldCharType="separate"/>
            </w:r>
            <w:r w:rsidR="00342E5C">
              <w:rPr>
                <w:noProof/>
                <w:webHidden/>
              </w:rPr>
              <w:t>33</w:t>
            </w:r>
            <w:r>
              <w:rPr>
                <w:noProof/>
                <w:webHidden/>
              </w:rPr>
              <w:fldChar w:fldCharType="end"/>
            </w:r>
          </w:hyperlink>
        </w:p>
        <w:p w14:paraId="172ACFBC" w14:textId="0522A44E"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26" w:history="1">
            <w:r w:rsidRPr="00673142">
              <w:rPr>
                <w:rStyle w:val="Hyperlink"/>
                <w:noProof/>
              </w:rPr>
              <w:t>Appendix 3c: Other data sets used by the Commission</w:t>
            </w:r>
            <w:r>
              <w:rPr>
                <w:noProof/>
                <w:webHidden/>
              </w:rPr>
              <w:tab/>
            </w:r>
            <w:r>
              <w:rPr>
                <w:noProof/>
                <w:webHidden/>
              </w:rPr>
              <w:fldChar w:fldCharType="begin"/>
            </w:r>
            <w:r>
              <w:rPr>
                <w:noProof/>
                <w:webHidden/>
              </w:rPr>
              <w:instrText xml:space="preserve"> PAGEREF _Toc204691126 \h </w:instrText>
            </w:r>
            <w:r>
              <w:rPr>
                <w:noProof/>
                <w:webHidden/>
              </w:rPr>
            </w:r>
            <w:r>
              <w:rPr>
                <w:noProof/>
                <w:webHidden/>
              </w:rPr>
              <w:fldChar w:fldCharType="separate"/>
            </w:r>
            <w:r w:rsidR="00342E5C">
              <w:rPr>
                <w:noProof/>
                <w:webHidden/>
              </w:rPr>
              <w:t>35</w:t>
            </w:r>
            <w:r>
              <w:rPr>
                <w:noProof/>
                <w:webHidden/>
              </w:rPr>
              <w:fldChar w:fldCharType="end"/>
            </w:r>
          </w:hyperlink>
        </w:p>
        <w:p w14:paraId="60701E4F" w14:textId="08A4BC60" w:rsidR="00294F48" w:rsidRDefault="00294F48">
          <w:pPr>
            <w:pStyle w:val="TOC1"/>
            <w:rPr>
              <w:rFonts w:eastAsiaTheme="minorEastAsia" w:cstheme="minorBidi"/>
              <w:b w:val="0"/>
              <w:noProof/>
              <w:color w:val="auto"/>
              <w:kern w:val="2"/>
              <w:sz w:val="24"/>
              <w:szCs w:val="24"/>
              <w:lang w:eastAsia="zh-CN"/>
              <w14:ligatures w14:val="standardContextual"/>
            </w:rPr>
          </w:pPr>
          <w:hyperlink w:anchor="_Toc204691127" w:history="1">
            <w:r w:rsidRPr="00673142">
              <w:rPr>
                <w:rStyle w:val="Hyperlink"/>
                <w:noProof/>
              </w:rPr>
              <w:t>Acronyms and abbreviations</w:t>
            </w:r>
            <w:r>
              <w:rPr>
                <w:noProof/>
                <w:webHidden/>
              </w:rPr>
              <w:tab/>
            </w:r>
            <w:r>
              <w:rPr>
                <w:noProof/>
                <w:webHidden/>
              </w:rPr>
              <w:fldChar w:fldCharType="begin"/>
            </w:r>
            <w:r>
              <w:rPr>
                <w:noProof/>
                <w:webHidden/>
              </w:rPr>
              <w:instrText xml:space="preserve"> PAGEREF _Toc204691127 \h </w:instrText>
            </w:r>
            <w:r>
              <w:rPr>
                <w:noProof/>
                <w:webHidden/>
              </w:rPr>
            </w:r>
            <w:r>
              <w:rPr>
                <w:noProof/>
                <w:webHidden/>
              </w:rPr>
              <w:fldChar w:fldCharType="separate"/>
            </w:r>
            <w:r w:rsidR="00342E5C">
              <w:rPr>
                <w:noProof/>
                <w:webHidden/>
              </w:rPr>
              <w:t>37</w:t>
            </w:r>
            <w:r>
              <w:rPr>
                <w:noProof/>
                <w:webHidden/>
              </w:rPr>
              <w:fldChar w:fldCharType="end"/>
            </w:r>
          </w:hyperlink>
        </w:p>
        <w:p w14:paraId="0E2A1127" w14:textId="4847B3AF" w:rsidR="00444B74" w:rsidRDefault="005F36C3">
          <w:r>
            <w:rPr>
              <w:b/>
            </w:rPr>
            <w:fldChar w:fldCharType="end"/>
          </w:r>
        </w:p>
      </w:sdtContent>
    </w:sdt>
    <w:p w14:paraId="7EE0C90D" w14:textId="77777777" w:rsidR="00444B74" w:rsidRPr="00444B74" w:rsidRDefault="00444B74" w:rsidP="00444B74"/>
    <w:p w14:paraId="108DE74B" w14:textId="77777777" w:rsidR="00F92885" w:rsidRDefault="00F92885" w:rsidP="00D02F69">
      <w:pPr>
        <w:sectPr w:rsidR="00F92885" w:rsidSect="00444B74">
          <w:headerReference w:type="default" r:id="rId16"/>
          <w:pgSz w:w="11906" w:h="16838" w:code="9"/>
          <w:pgMar w:top="1361" w:right="1361" w:bottom="1361" w:left="1361" w:header="567" w:footer="567" w:gutter="0"/>
          <w:cols w:space="708"/>
          <w:docGrid w:linePitch="360"/>
        </w:sectPr>
      </w:pPr>
      <w:bookmarkStart w:id="0" w:name="_Toc501634887"/>
    </w:p>
    <w:p w14:paraId="3865D413" w14:textId="42CBB95C" w:rsidR="00EC32B0" w:rsidRDefault="00EC32B0" w:rsidP="002A1211">
      <w:pPr>
        <w:pStyle w:val="Heading1"/>
      </w:pPr>
      <w:bookmarkStart w:id="1" w:name="_Toc204691101"/>
      <w:bookmarkEnd w:id="0"/>
      <w:r w:rsidRPr="00EC32B0">
        <w:lastRenderedPageBreak/>
        <w:t>Message from the CEO</w:t>
      </w:r>
      <w:bookmarkEnd w:id="1"/>
    </w:p>
    <w:p w14:paraId="5D051FE6" w14:textId="28729B9E" w:rsidR="00EC32B0" w:rsidRDefault="00EC32B0" w:rsidP="00EC32B0">
      <w:r>
        <w:t xml:space="preserve">The Australian Commission on Safety and Quality in Health Care (the Commission) is set up under the </w:t>
      </w:r>
      <w:hyperlink r:id="rId17" w:history="1">
        <w:r w:rsidRPr="00EC32B0">
          <w:rPr>
            <w:rStyle w:val="Hyperlink"/>
          </w:rPr>
          <w:t>National Health Reform Act 2011</w:t>
        </w:r>
      </w:hyperlink>
      <w:r>
        <w:t xml:space="preserve"> (NHR Act) to lead and coordinate improvements in the safety and quality of health care in Australia.  The Commission commenced as an independent statutory authority on 1 July 2011, funded jointly by the Australian Government and state and territory governments.</w:t>
      </w:r>
    </w:p>
    <w:p w14:paraId="28A5B464" w14:textId="77777777" w:rsidR="00EC32B0" w:rsidRDefault="00EC32B0" w:rsidP="00EC32B0">
      <w:r>
        <w:t>To meet its specified functions under the NHR Act, the Commission requires timely access to accurate and reliable data. The Commission has prepared this three-year Data Plan in accordance with section B66 of the 2020–2025 Addendum to the National Health Reform Agreement (NHRA). This Data Plan extends across the commencement of the 2025-2030 Addendum to the NHRA. The need for data under a new Addendum is not expected to reduce.</w:t>
      </w:r>
    </w:p>
    <w:p w14:paraId="3B6670D4" w14:textId="78062123" w:rsidR="00EC32B0" w:rsidRDefault="00EC32B0" w:rsidP="00EC32B0">
      <w:r>
        <w:t>This Data Plan forms part of the Commission’s commitment to the ‘single provision, multiple use’ principle, alongside all national bodies under the NHRA Addendum. It communicates the Commission’s minimum data requirements for the period from 2025-26 to 2027-28, to fulfil its legislative functions, perform work as requested by the Australian, state and territory governments and to communicate the projects from the Commission’s Work Plan where these data will be used.</w:t>
      </w:r>
    </w:p>
    <w:p w14:paraId="40D6B40B" w14:textId="0E258030" w:rsidR="00342A22" w:rsidRDefault="00342A22" w:rsidP="00EC32B0">
      <w:r>
        <w:rPr>
          <w:noProof/>
        </w:rPr>
        <mc:AlternateContent>
          <mc:Choice Requires="wps">
            <w:drawing>
              <wp:inline distT="0" distB="0" distL="0" distR="0" wp14:anchorId="4FB36FB4" wp14:editId="31D1240F">
                <wp:extent cx="5831840" cy="1219835"/>
                <wp:effectExtent l="0" t="0" r="0" b="0"/>
                <wp:docPr id="1975357860" name="Text Box 12"/>
                <wp:cNvGraphicFramePr/>
                <a:graphic xmlns:a="http://schemas.openxmlformats.org/drawingml/2006/main">
                  <a:graphicData uri="http://schemas.microsoft.com/office/word/2010/wordprocessingShape">
                    <wps:wsp>
                      <wps:cNvSpPr txBox="1"/>
                      <wps:spPr>
                        <a:xfrm>
                          <a:off x="0" y="0"/>
                          <a:ext cx="5831840" cy="121983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342A22" w14:paraId="2CF8A4EE" w14:textId="77777777" w:rsidTr="00C33215">
                              <w:tc>
                                <w:tcPr>
                                  <w:tcW w:w="9114" w:type="dxa"/>
                                  <w:tcBorders>
                                    <w:right w:val="single" w:sz="48" w:space="0" w:color="F0E8FE" w:themeColor="background2"/>
                                  </w:tcBorders>
                                  <w:shd w:val="clear" w:color="auto" w:fill="F0E8FE" w:themeFill="background2"/>
                                </w:tcPr>
                                <w:p w14:paraId="3411CD4E" w14:textId="77777777" w:rsidR="00342A22" w:rsidRDefault="00342A22" w:rsidP="00342A22">
                                  <w:r>
                                    <w:t>The Data Plan serves as an acknowledgement of the Commission’s need to access the data sets identified to perform its legislated functions to monitor safety and quality in healthcare and fulfil agreed Work Plan items and projects, and its responsibilities in seeking approval and authorisation for use of that data. In particular, Appendix 3a identifies data sets that require jurisdictional approval.</w:t>
                                  </w:r>
                                </w:p>
                                <w:p w14:paraId="374D5668" w14:textId="106DCB4A" w:rsidR="00342A22" w:rsidRDefault="00342A22" w:rsidP="00342A22">
                                  <w:r>
                                    <w:t>The Commission will liaise with authorising entities to ensure data sought is accessed in a safe and secure manner, in line with the respective governance processes of jurisdictional and Commonwealth data custodians.</w:t>
                                  </w:r>
                                </w:p>
                              </w:tc>
                            </w:tr>
                          </w:tbl>
                          <w:p w14:paraId="59DC0D6F" w14:textId="77777777" w:rsidR="00342A22" w:rsidRPr="00402F1C" w:rsidRDefault="00342A22" w:rsidP="00342A2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FB36FB4" id="_x0000_t202" coordsize="21600,21600" o:spt="202" path="m,l,21600r21600,l21600,xe">
                <v:stroke joinstyle="miter"/>
                <v:path gradientshapeok="t" o:connecttype="rect"/>
              </v:shapetype>
              <v:shape id="Text Box 12" o:spid="_x0000_s1026" type="#_x0000_t202" style="width:459.2pt;height: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342A22" w14:paraId="2CF8A4EE" w14:textId="77777777" w:rsidTr="00C33215">
                        <w:tc>
                          <w:tcPr>
                            <w:tcW w:w="9114" w:type="dxa"/>
                            <w:tcBorders>
                              <w:right w:val="single" w:sz="48" w:space="0" w:color="F0E8FE" w:themeColor="background2"/>
                            </w:tcBorders>
                            <w:shd w:val="clear" w:color="auto" w:fill="F0E8FE" w:themeFill="background2"/>
                          </w:tcPr>
                          <w:p w14:paraId="3411CD4E" w14:textId="77777777" w:rsidR="00342A22" w:rsidRDefault="00342A22" w:rsidP="00342A22">
                            <w:r>
                              <w:t>The Data Plan serves as an acknowledgement of the Commission’s need to access the data sets identified to perform its legislated functions to monitor safety and quality in healthcare and fulfil agreed Work Plan items and projects, and its responsibilities in seeking approval and authorisation for use of that data. In particular, Appendix 3a identifies data sets that require jurisdictional approval.</w:t>
                            </w:r>
                          </w:p>
                          <w:p w14:paraId="374D5668" w14:textId="106DCB4A" w:rsidR="00342A22" w:rsidRDefault="00342A22" w:rsidP="00342A22">
                            <w:r>
                              <w:t>The Commission will liaise with authorising entities to ensure data sought is accessed in a safe and secure manner, in line with the respective governance processes of jurisdictional and Commonwealth data custodians.</w:t>
                            </w:r>
                          </w:p>
                        </w:tc>
                      </w:tr>
                    </w:tbl>
                    <w:p w14:paraId="59DC0D6F" w14:textId="77777777" w:rsidR="00342A22" w:rsidRPr="00402F1C" w:rsidRDefault="00342A22" w:rsidP="00342A22">
                      <w:pPr>
                        <w:pStyle w:val="NoSpacing"/>
                        <w:spacing w:line="240" w:lineRule="auto"/>
                        <w:rPr>
                          <w:sz w:val="2"/>
                          <w:szCs w:val="2"/>
                        </w:rPr>
                      </w:pPr>
                    </w:p>
                  </w:txbxContent>
                </v:textbox>
                <w10:anchorlock/>
              </v:shape>
            </w:pict>
          </mc:Fallback>
        </mc:AlternateContent>
      </w:r>
    </w:p>
    <w:p w14:paraId="6ED22913" w14:textId="77777777" w:rsidR="00EC32B0" w:rsidRPr="005348A2" w:rsidRDefault="00EC32B0" w:rsidP="00EC32B0">
      <w:r w:rsidRPr="005348A2">
        <w:rPr>
          <w:rFonts w:eastAsia="Arial" w:cs="Arial"/>
        </w:rPr>
        <w:t>The Commission’s</w:t>
      </w:r>
      <w:r w:rsidRPr="005348A2">
        <w:rPr>
          <w:rFonts w:cs="Arial"/>
        </w:rPr>
        <w:t xml:space="preserve"> current Work Plan</w:t>
      </w:r>
      <w:r w:rsidRPr="005348A2">
        <w:rPr>
          <w:rFonts w:eastAsia="Arial" w:cs="Arial"/>
          <w:i/>
        </w:rPr>
        <w:t xml:space="preserve"> </w:t>
      </w:r>
      <w:r w:rsidRPr="005348A2">
        <w:rPr>
          <w:rFonts w:eastAsia="Arial" w:cs="Arial"/>
        </w:rPr>
        <w:t xml:space="preserve">is structured according to the </w:t>
      </w:r>
      <w:r w:rsidRPr="005348A2">
        <w:t xml:space="preserve">four priority areas identified in the Commission’s </w:t>
      </w:r>
      <w:hyperlink r:id="rId18" w:history="1">
        <w:r w:rsidRPr="00EC32B0">
          <w:rPr>
            <w:rStyle w:val="Hyperlink"/>
          </w:rPr>
          <w:t>Strategic Intent 2025-2030</w:t>
        </w:r>
      </w:hyperlink>
      <w:r>
        <w:rPr>
          <w:rStyle w:val="Hyperlink"/>
          <w:i/>
        </w:rPr>
        <w:t>:</w:t>
      </w:r>
    </w:p>
    <w:p w14:paraId="0F7EAB60" w14:textId="77777777" w:rsidR="00EC32B0" w:rsidRPr="005348A2" w:rsidRDefault="00EC32B0" w:rsidP="00EC32B0">
      <w:pPr>
        <w:pStyle w:val="ListBullet"/>
      </w:pPr>
      <w:r>
        <w:t>High-quality care in an evolving environment</w:t>
      </w:r>
    </w:p>
    <w:p w14:paraId="098143E4" w14:textId="77777777" w:rsidR="00EC32B0" w:rsidRDefault="00EC32B0" w:rsidP="00EC32B0">
      <w:pPr>
        <w:pStyle w:val="ListBullet"/>
      </w:pPr>
      <w:r w:rsidRPr="00DE2B19">
        <w:t>Strong outcome-focused clinical governance</w:t>
      </w:r>
    </w:p>
    <w:p w14:paraId="3F163647" w14:textId="77777777" w:rsidR="00EC32B0" w:rsidRDefault="00EC32B0" w:rsidP="00EC32B0">
      <w:pPr>
        <w:pStyle w:val="ListBullet"/>
      </w:pPr>
      <w:r w:rsidRPr="00DE2B19">
        <w:t>Empowered patients, carers and communities</w:t>
      </w:r>
    </w:p>
    <w:p w14:paraId="522D2153" w14:textId="77777777" w:rsidR="00EC32B0" w:rsidRDefault="00EC32B0" w:rsidP="00EC32B0">
      <w:pPr>
        <w:pStyle w:val="ListBullet"/>
      </w:pPr>
      <w:r w:rsidRPr="00DE2B19">
        <w:t>An improvement-driven workforce culture</w:t>
      </w:r>
      <w:r>
        <w:t>.</w:t>
      </w:r>
    </w:p>
    <w:p w14:paraId="28645DB2" w14:textId="77777777" w:rsidR="00EC32B0" w:rsidRPr="005348A2" w:rsidRDefault="00EC32B0" w:rsidP="00EC32B0">
      <w:pPr>
        <w:rPr>
          <w:rFonts w:cs="Arial"/>
        </w:rPr>
      </w:pPr>
      <w:r w:rsidRPr="005348A2">
        <w:rPr>
          <w:rFonts w:cs="Arial"/>
        </w:rPr>
        <w:t>Th</w:t>
      </w:r>
      <w:r>
        <w:rPr>
          <w:rFonts w:cs="Arial"/>
        </w:rPr>
        <w:t xml:space="preserve">is </w:t>
      </w:r>
      <w:r w:rsidRPr="005348A2">
        <w:rPr>
          <w:rFonts w:cs="Arial"/>
        </w:rPr>
        <w:t xml:space="preserve">Data Plan </w:t>
      </w:r>
      <w:r>
        <w:rPr>
          <w:rFonts w:cs="Arial"/>
        </w:rPr>
        <w:t>includes:</w:t>
      </w:r>
    </w:p>
    <w:p w14:paraId="2D6B48C3" w14:textId="77777777" w:rsidR="00EC32B0" w:rsidRPr="00EC32B0" w:rsidRDefault="00EC32B0" w:rsidP="00EC32B0">
      <w:pPr>
        <w:pStyle w:val="ListBullet"/>
      </w:pPr>
      <w:r w:rsidRPr="00EC32B0">
        <w:rPr>
          <w:bCs/>
        </w:rPr>
        <w:t>Background</w:t>
      </w:r>
      <w:r w:rsidRPr="00EC32B0">
        <w:t xml:space="preserve"> information that outlines legislative requirements and the role of the Commission</w:t>
      </w:r>
    </w:p>
    <w:p w14:paraId="07D3252E" w14:textId="77777777" w:rsidR="00EC32B0" w:rsidRPr="00EC32B0" w:rsidRDefault="00EC32B0" w:rsidP="00EC32B0">
      <w:pPr>
        <w:pStyle w:val="ListBullet"/>
      </w:pPr>
      <w:r w:rsidRPr="00EC32B0">
        <w:rPr>
          <w:bCs/>
        </w:rPr>
        <w:t>Data requirements</w:t>
      </w:r>
      <w:r w:rsidRPr="00EC32B0">
        <w:t xml:space="preserve"> that underpin the development of the Data Plan and the Commission’s approach to the effective use of data</w:t>
      </w:r>
    </w:p>
    <w:p w14:paraId="4A45FC00" w14:textId="77777777" w:rsidR="00EC32B0" w:rsidRPr="00EC32B0" w:rsidRDefault="00EC32B0" w:rsidP="00EC32B0">
      <w:pPr>
        <w:pStyle w:val="ListBullet"/>
      </w:pPr>
      <w:r w:rsidRPr="00EC32B0">
        <w:rPr>
          <w:bCs/>
        </w:rPr>
        <w:t>Appendices</w:t>
      </w:r>
      <w:r w:rsidRPr="00EC32B0">
        <w:rPr>
          <w:b/>
        </w:rPr>
        <w:t xml:space="preserve"> </w:t>
      </w:r>
      <w:r w:rsidRPr="00EC32B0">
        <w:t>that describe what data is required, where the data will be sourced, and what the data will be used for by linking back to the relevant Work Plan activities and priority areas.</w:t>
      </w:r>
    </w:p>
    <w:p w14:paraId="79E15EDE" w14:textId="77777777" w:rsidR="00EC32B0" w:rsidRPr="005348A2" w:rsidRDefault="00EC32B0" w:rsidP="00EC32B0">
      <w:pPr>
        <w:keepNext/>
        <w:rPr>
          <w:rFonts w:cs="Arial"/>
        </w:rPr>
      </w:pPr>
      <w:r>
        <w:t xml:space="preserve">The Commission has developed the following documents </w:t>
      </w:r>
      <w:r w:rsidRPr="005348A2">
        <w:t xml:space="preserve">to support the appropriate </w:t>
      </w:r>
      <w:r>
        <w:t xml:space="preserve">and effective </w:t>
      </w:r>
      <w:r w:rsidRPr="005348A2">
        <w:t>use of data and analytics for improving safety and quality in health care</w:t>
      </w:r>
      <w:r>
        <w:t xml:space="preserve">: </w:t>
      </w:r>
    </w:p>
    <w:p w14:paraId="560166CE" w14:textId="77777777" w:rsidR="00EC32B0" w:rsidRPr="005348A2" w:rsidRDefault="00EC32B0" w:rsidP="00EC32B0">
      <w:pPr>
        <w:pStyle w:val="ListBullet"/>
      </w:pPr>
      <w:r w:rsidRPr="005348A2">
        <w:t xml:space="preserve">Work Plan </w:t>
      </w:r>
    </w:p>
    <w:p w14:paraId="0ED1C5EE" w14:textId="77777777" w:rsidR="00EC32B0" w:rsidRPr="005348A2" w:rsidRDefault="00EC32B0" w:rsidP="00EC32B0">
      <w:pPr>
        <w:pStyle w:val="ListBullet"/>
      </w:pPr>
      <w:r w:rsidRPr="005348A2">
        <w:t>Data Governance Framework</w:t>
      </w:r>
    </w:p>
    <w:p w14:paraId="20A2EDD1" w14:textId="77777777" w:rsidR="00EC32B0" w:rsidRPr="005348A2" w:rsidRDefault="00EC32B0" w:rsidP="00EC32B0">
      <w:pPr>
        <w:pStyle w:val="ListBullet"/>
        <w:rPr>
          <w:rFonts w:ascii="EYInterstate Light" w:hAnsi="EYInterstate Light"/>
        </w:rPr>
      </w:pPr>
      <w:r>
        <w:lastRenderedPageBreak/>
        <w:t>Internal, formal d</w:t>
      </w:r>
      <w:r w:rsidRPr="005348A2">
        <w:t>ata management policies and procedures</w:t>
      </w:r>
      <w:r>
        <w:t>.</w:t>
      </w:r>
      <w:r>
        <w:br/>
      </w:r>
    </w:p>
    <w:p w14:paraId="258A20CD" w14:textId="77777777" w:rsidR="00EC32B0" w:rsidRDefault="00EC32B0" w:rsidP="00EC32B0">
      <w:bookmarkStart w:id="2" w:name="_Toc457232243"/>
      <w:bookmarkStart w:id="3" w:name="_Toc457237622"/>
      <w:r>
        <w:t xml:space="preserve">The Commission has reached an agreement to access the National Hospitals Data collections with jurisdictional data custodians, facilitated by the </w:t>
      </w:r>
      <w:r w:rsidRPr="00CC3DCB">
        <w:t>Australian Institute on Health and Welfare (AIHW)</w:t>
      </w:r>
      <w:r>
        <w:t xml:space="preserve">. This arrangement, via an annual letter of exchange between the Commission and the AIHW, enables </w:t>
      </w:r>
      <w:r>
        <w:rPr>
          <w:rFonts w:cs="Arial"/>
        </w:rPr>
        <w:t>jurisdictional</w:t>
      </w:r>
      <w:r w:rsidRPr="002B0339">
        <w:rPr>
          <w:rFonts w:cs="Arial"/>
        </w:rPr>
        <w:t xml:space="preserve"> data custodian</w:t>
      </w:r>
      <w:r>
        <w:rPr>
          <w:rFonts w:cs="Arial"/>
        </w:rPr>
        <w:t>s to</w:t>
      </w:r>
    </w:p>
    <w:p w14:paraId="3F1922F4" w14:textId="77777777" w:rsidR="00EC32B0" w:rsidRDefault="00EC32B0" w:rsidP="00EC32B0">
      <w:pPr>
        <w:pStyle w:val="ListBullet"/>
      </w:pPr>
      <w:r>
        <w:t>be assured that Commission accesses National Hospitals Data collections within a strict authorisation framework</w:t>
      </w:r>
    </w:p>
    <w:p w14:paraId="425EB33F" w14:textId="77777777" w:rsidR="00EC32B0" w:rsidRPr="00C43FC2" w:rsidRDefault="00EC32B0" w:rsidP="00EC32B0">
      <w:pPr>
        <w:pStyle w:val="ListBullet"/>
      </w:pPr>
      <w:r w:rsidRPr="00C43FC2">
        <w:t>maintain oversight and control on the use their hospital data, via annual reviews of the Commission’s access to clearly identified data sets</w:t>
      </w:r>
    </w:p>
    <w:p w14:paraId="460F521A" w14:textId="77777777" w:rsidR="00EC32B0" w:rsidRDefault="00EC32B0" w:rsidP="00EC32B0">
      <w:pPr>
        <w:pStyle w:val="ListBullet"/>
      </w:pPr>
      <w:r w:rsidRPr="00C43FC2">
        <w:t>ensure public disclosure of state and/or territory specific data and statements occurs only with prior approval of the respective data custodian</w:t>
      </w:r>
    </w:p>
    <w:p w14:paraId="720A957F" w14:textId="77777777" w:rsidR="00EC32B0" w:rsidRPr="00C43FC2" w:rsidRDefault="00EC32B0" w:rsidP="00EC32B0">
      <w:pPr>
        <w:pStyle w:val="ListBullet"/>
        <w:numPr>
          <w:ilvl w:val="0"/>
          <w:numId w:val="0"/>
        </w:numPr>
        <w:ind w:left="360"/>
      </w:pPr>
    </w:p>
    <w:p w14:paraId="54CD7D98" w14:textId="77777777" w:rsidR="00EC32B0" w:rsidRDefault="00EC32B0" w:rsidP="00EC32B0">
      <w:r w:rsidRPr="009C493A">
        <w:t>Data sharing is instrumental in quality improvement and monitoring performance across all healthcare settings. It can ensure patients will access the right care, in the right place, at the right time and cost, in a transparent, sustainable and resilient health system.</w:t>
      </w:r>
    </w:p>
    <w:p w14:paraId="3867058D" w14:textId="77777777" w:rsidR="00EC32B0" w:rsidRPr="009C493A" w:rsidRDefault="00EC32B0" w:rsidP="00EC32B0"/>
    <w:p w14:paraId="6A581B5D" w14:textId="77777777" w:rsidR="00EC32B0" w:rsidRPr="003F16A3" w:rsidRDefault="00EC32B0" w:rsidP="00EC32B0">
      <w:pPr>
        <w:rPr>
          <w:rFonts w:cs="Arial"/>
          <w:color w:val="000000"/>
          <w:lang w:eastAsia="en-AU"/>
        </w:rPr>
      </w:pPr>
      <w:r w:rsidRPr="003F16A3">
        <w:rPr>
          <w:rFonts w:cs="Arial"/>
          <w:b/>
          <w:bCs/>
          <w:lang w:eastAsia="en-AU"/>
        </w:rPr>
        <w:t>Conjoint Professor Anne Duggan</w:t>
      </w:r>
      <w:r w:rsidRPr="003F16A3">
        <w:rPr>
          <w:rFonts w:cs="Arial"/>
          <w:b/>
          <w:bCs/>
          <w:lang w:eastAsia="en-AU"/>
        </w:rPr>
        <w:br/>
        <w:t>Chief Executive Officer</w:t>
      </w:r>
      <w:r w:rsidRPr="003F16A3">
        <w:rPr>
          <w:rFonts w:cs="Arial"/>
          <w:b/>
          <w:bCs/>
          <w:lang w:eastAsia="en-AU"/>
        </w:rPr>
        <w:br/>
      </w:r>
      <w:r w:rsidRPr="003F16A3">
        <w:rPr>
          <w:rFonts w:cs="Arial"/>
          <w:color w:val="000000"/>
          <w:lang w:eastAsia="en-AU"/>
        </w:rPr>
        <w:t>Australian Commission on Safety and Quality in Health Care</w:t>
      </w:r>
    </w:p>
    <w:bookmarkEnd w:id="2"/>
    <w:bookmarkEnd w:id="3"/>
    <w:p w14:paraId="3952F5D1" w14:textId="77777777" w:rsidR="00EC32B0" w:rsidRDefault="00EC32B0" w:rsidP="00EC32B0"/>
    <w:p w14:paraId="1F34325C" w14:textId="77777777" w:rsidR="003942F5" w:rsidRDefault="003942F5">
      <w:pPr>
        <w:rPr>
          <w:rFonts w:asciiTheme="majorHAnsi" w:hAnsiTheme="majorHAnsi"/>
          <w:sz w:val="52"/>
          <w:szCs w:val="44"/>
        </w:rPr>
      </w:pPr>
      <w:r>
        <w:br w:type="page"/>
      </w:r>
    </w:p>
    <w:p w14:paraId="471951AA" w14:textId="77777777" w:rsidR="003942F5" w:rsidRPr="005348A2" w:rsidRDefault="003942F5" w:rsidP="003942F5">
      <w:pPr>
        <w:pStyle w:val="Heading1"/>
        <w:rPr>
          <w:rFonts w:cs="Arial"/>
        </w:rPr>
      </w:pPr>
      <w:bookmarkStart w:id="4" w:name="_Toc188972522"/>
      <w:bookmarkStart w:id="5" w:name="_Toc204691102"/>
      <w:r>
        <w:rPr>
          <w:rFonts w:cs="Arial"/>
        </w:rPr>
        <w:lastRenderedPageBreak/>
        <w:t>Overview</w:t>
      </w:r>
      <w:bookmarkEnd w:id="4"/>
      <w:bookmarkEnd w:id="5"/>
    </w:p>
    <w:p w14:paraId="315EC8D7" w14:textId="77777777" w:rsidR="003942F5" w:rsidRDefault="003942F5" w:rsidP="003942F5">
      <w:r w:rsidRPr="005348A2">
        <w:t xml:space="preserve">This document sets out the </w:t>
      </w:r>
      <w:r>
        <w:t xml:space="preserve">Commission’s </w:t>
      </w:r>
      <w:r w:rsidRPr="005348A2">
        <w:t xml:space="preserve">Data Plan for </w:t>
      </w:r>
      <w:r>
        <w:t xml:space="preserve">the </w:t>
      </w:r>
      <w:r w:rsidRPr="005348A2">
        <w:t>three-year</w:t>
      </w:r>
      <w:r>
        <w:t xml:space="preserve"> period </w:t>
      </w:r>
      <w:r w:rsidRPr="005348A2">
        <w:t xml:space="preserve">covering </w:t>
      </w:r>
      <w:r w:rsidRPr="003940EF">
        <w:t>202</w:t>
      </w:r>
      <w:r>
        <w:t>5</w:t>
      </w:r>
      <w:r w:rsidRPr="003940EF">
        <w:t>-2</w:t>
      </w:r>
      <w:r>
        <w:t>6</w:t>
      </w:r>
      <w:r w:rsidRPr="003940EF">
        <w:t>, 202</w:t>
      </w:r>
      <w:r>
        <w:t>6</w:t>
      </w:r>
      <w:r w:rsidRPr="003940EF">
        <w:t>-2</w:t>
      </w:r>
      <w:r>
        <w:t>7</w:t>
      </w:r>
      <w:r w:rsidRPr="003940EF">
        <w:t xml:space="preserve"> and 202</w:t>
      </w:r>
      <w:r>
        <w:t>7</w:t>
      </w:r>
      <w:r w:rsidRPr="003940EF">
        <w:t>-2</w:t>
      </w:r>
      <w:r>
        <w:t>8.</w:t>
      </w:r>
    </w:p>
    <w:p w14:paraId="4FDDAB1A" w14:textId="77777777" w:rsidR="003942F5" w:rsidRPr="003942F5" w:rsidRDefault="003942F5" w:rsidP="003942F5">
      <w:r w:rsidRPr="003942F5">
        <w:t xml:space="preserve">The objectives of the Data Plan are to: </w:t>
      </w:r>
    </w:p>
    <w:p w14:paraId="05F9E987" w14:textId="0FC54D98" w:rsidR="003942F5" w:rsidRPr="003942F5" w:rsidRDefault="003942F5" w:rsidP="003942F5">
      <w:pPr>
        <w:pStyle w:val="ListBullet"/>
      </w:pPr>
      <w:r w:rsidRPr="003942F5">
        <w:t>Outline the data the Commission requires to deliver its responsibilities</w:t>
      </w:r>
    </w:p>
    <w:p w14:paraId="5F8094CA" w14:textId="3DB4D9A0" w:rsidR="003942F5" w:rsidRPr="003942F5" w:rsidRDefault="003942F5" w:rsidP="003942F5">
      <w:pPr>
        <w:pStyle w:val="ListBullet"/>
      </w:pPr>
      <w:r w:rsidRPr="003942F5">
        <w:t>Summarise how the data will be used and managed across the Commission</w:t>
      </w:r>
    </w:p>
    <w:p w14:paraId="62D904CA" w14:textId="4B40729D" w:rsidR="003942F5" w:rsidRPr="003942F5" w:rsidRDefault="003942F5" w:rsidP="003942F5">
      <w:pPr>
        <w:pStyle w:val="ListBullet"/>
      </w:pPr>
      <w:r w:rsidRPr="003942F5">
        <w:t>Communicate how the Commission plans to manage and use data over the next three years, in accordance with the Commission’s Work Plan priorities, to jurisdictions, other government agencies, the private sector and broader stakeholders in the health care sector</w:t>
      </w:r>
    </w:p>
    <w:p w14:paraId="3A999971" w14:textId="13241F2C" w:rsidR="003942F5" w:rsidRPr="003942F5" w:rsidRDefault="003942F5" w:rsidP="003942F5">
      <w:pPr>
        <w:pStyle w:val="ListBullet"/>
      </w:pPr>
      <w:r w:rsidRPr="003942F5">
        <w:t xml:space="preserve">Contribute to broader national policy in support of the use of enduring national linked data to improve the safety and quality of health care in Australia. </w:t>
      </w:r>
    </w:p>
    <w:p w14:paraId="31A058A5" w14:textId="77777777" w:rsidR="003942F5" w:rsidRPr="003942F5" w:rsidRDefault="003942F5" w:rsidP="003942F5"/>
    <w:p w14:paraId="01B9A02A" w14:textId="6F758E8D" w:rsidR="003942F5" w:rsidRDefault="003942F5" w:rsidP="003942F5">
      <w:r w:rsidRPr="003942F5">
        <w:t>Data sets required by the Commission to perform its core functions where access is subjected to approval from jurisdictions and other Commonwealth bodies are identified in Appendix 3a and 3b respectively.</w:t>
      </w:r>
    </w:p>
    <w:p w14:paraId="59806053" w14:textId="49A0218E" w:rsidR="00A43122" w:rsidRPr="005348A2" w:rsidRDefault="00EC32B0" w:rsidP="00A43122">
      <w:pPr>
        <w:pStyle w:val="Heading1"/>
      </w:pPr>
      <w:r>
        <w:br w:type="page"/>
      </w:r>
      <w:bookmarkStart w:id="6" w:name="_Toc188972523"/>
      <w:bookmarkStart w:id="7" w:name="_Toc204691103"/>
      <w:r w:rsidR="00A43122" w:rsidRPr="005348A2">
        <w:lastRenderedPageBreak/>
        <w:t>Background</w:t>
      </w:r>
      <w:bookmarkEnd w:id="6"/>
      <w:bookmarkEnd w:id="7"/>
    </w:p>
    <w:p w14:paraId="2CFC43FE" w14:textId="77777777" w:rsidR="00A43122" w:rsidRPr="005348A2" w:rsidRDefault="00A43122" w:rsidP="00F61373">
      <w:pPr>
        <w:pStyle w:val="Heading2"/>
      </w:pPr>
      <w:bookmarkStart w:id="8" w:name="_Toc455668319"/>
      <w:bookmarkStart w:id="9" w:name="_Toc457232246"/>
      <w:bookmarkStart w:id="10" w:name="_Toc457237625"/>
      <w:bookmarkStart w:id="11" w:name="_Toc188972524"/>
      <w:bookmarkStart w:id="12" w:name="_Toc204691104"/>
      <w:r w:rsidRPr="005348A2">
        <w:t>Purpose of the Commission</w:t>
      </w:r>
      <w:bookmarkEnd w:id="8"/>
      <w:bookmarkEnd w:id="9"/>
      <w:bookmarkEnd w:id="10"/>
      <w:bookmarkEnd w:id="11"/>
      <w:bookmarkEnd w:id="12"/>
    </w:p>
    <w:p w14:paraId="64C93A11" w14:textId="77777777" w:rsidR="00A43122" w:rsidRPr="005348A2" w:rsidRDefault="00A43122" w:rsidP="00A43122">
      <w:r w:rsidRPr="005348A2">
        <w:t>The Commission commenced as an independent, statutory authority on 1 July 2011</w:t>
      </w:r>
      <w:r>
        <w:t xml:space="preserve"> </w:t>
      </w:r>
      <w:r w:rsidRPr="005348A2">
        <w:t xml:space="preserve">to lead and coordinate national improvements in healthcare safety and quality. </w:t>
      </w:r>
    </w:p>
    <w:p w14:paraId="16C5935E" w14:textId="77777777" w:rsidR="00A43122" w:rsidRPr="005348A2" w:rsidRDefault="00A43122" w:rsidP="00F61373">
      <w:pPr>
        <w:pStyle w:val="Heading2"/>
      </w:pPr>
      <w:bookmarkStart w:id="13" w:name="_Toc455668320"/>
      <w:bookmarkStart w:id="14" w:name="_Toc457232247"/>
      <w:bookmarkStart w:id="15" w:name="_Toc457237626"/>
      <w:bookmarkStart w:id="16" w:name="_Toc188972525"/>
      <w:bookmarkStart w:id="17" w:name="_Toc204691105"/>
      <w:r w:rsidRPr="005348A2">
        <w:t>Legislative basis and functions of the Commission</w:t>
      </w:r>
      <w:bookmarkEnd w:id="13"/>
      <w:bookmarkEnd w:id="14"/>
      <w:bookmarkEnd w:id="15"/>
      <w:bookmarkEnd w:id="16"/>
      <w:bookmarkEnd w:id="17"/>
    </w:p>
    <w:p w14:paraId="34B333EC" w14:textId="77777777" w:rsidR="00A43122" w:rsidRPr="005348A2" w:rsidRDefault="00A43122" w:rsidP="00A43122">
      <w:r w:rsidRPr="005348A2">
        <w:t xml:space="preserve">The NHR Act established the Commission as a corporate Commonwealth entity under the </w:t>
      </w:r>
      <w:r w:rsidRPr="005348A2">
        <w:rPr>
          <w:i/>
        </w:rPr>
        <w:t>Public Governance, Performance and Accountability Act 2013</w:t>
      </w:r>
      <w:r w:rsidRPr="005348A2">
        <w:t xml:space="preserve"> (PGPA Act).</w:t>
      </w:r>
    </w:p>
    <w:p w14:paraId="59DBB61B" w14:textId="77777777" w:rsidR="00A43122" w:rsidRPr="005348A2" w:rsidRDefault="00A43122" w:rsidP="00A43122">
      <w:r w:rsidRPr="005348A2">
        <w:t xml:space="preserve">The functions of the Commission are specified in the </w:t>
      </w:r>
      <w:r w:rsidRPr="005348A2">
        <w:rPr>
          <w:iCs/>
        </w:rPr>
        <w:t>NHR Act</w:t>
      </w:r>
      <w:r w:rsidRPr="005348A2">
        <w:rPr>
          <w:i/>
          <w:iCs/>
        </w:rPr>
        <w:t xml:space="preserve"> </w:t>
      </w:r>
      <w:r w:rsidRPr="005348A2">
        <w:t xml:space="preserve">and its roles and responsibilities </w:t>
      </w:r>
      <w:r>
        <w:t xml:space="preserve">are </w:t>
      </w:r>
      <w:r w:rsidRPr="005348A2">
        <w:t xml:space="preserve">outlined in Schedule B to the </w:t>
      </w:r>
      <w:hyperlink w:anchor="_Appendix_1:_National" w:history="1">
        <w:r w:rsidRPr="00613E07">
          <w:rPr>
            <w:rStyle w:val="Hyperlink"/>
          </w:rPr>
          <w:t>NHRA</w:t>
        </w:r>
      </w:hyperlink>
      <w:r w:rsidRPr="005348A2">
        <w:t>.</w:t>
      </w:r>
    </w:p>
    <w:p w14:paraId="5CE60DB0" w14:textId="77777777" w:rsidR="00A43122" w:rsidRPr="005348A2" w:rsidRDefault="00A43122" w:rsidP="00A43122">
      <w:r w:rsidRPr="005348A2">
        <w:t xml:space="preserve">These functions include: </w:t>
      </w:r>
    </w:p>
    <w:p w14:paraId="00A7F7A7" w14:textId="77777777" w:rsidR="00A43122" w:rsidRPr="005348A2" w:rsidRDefault="00A43122" w:rsidP="00A43122">
      <w:pPr>
        <w:pStyle w:val="ListBullet"/>
      </w:pPr>
      <w:r w:rsidRPr="005348A2">
        <w:t xml:space="preserve">formulating standards, guidelines and indicators relating to healthcare safety and quality matters </w:t>
      </w:r>
    </w:p>
    <w:p w14:paraId="46D4658F" w14:textId="77777777" w:rsidR="00A43122" w:rsidRPr="005348A2" w:rsidRDefault="00A43122" w:rsidP="00A43122">
      <w:pPr>
        <w:pStyle w:val="ListBullet"/>
      </w:pPr>
      <w:r w:rsidRPr="005348A2">
        <w:t xml:space="preserve">advising health ministers on national clinical standards </w:t>
      </w:r>
    </w:p>
    <w:p w14:paraId="5D48F903" w14:textId="77777777" w:rsidR="00A43122" w:rsidRPr="005348A2" w:rsidRDefault="00A43122" w:rsidP="00A43122">
      <w:pPr>
        <w:pStyle w:val="ListBullet"/>
      </w:pPr>
      <w:r w:rsidRPr="005348A2">
        <w:t xml:space="preserve">promoting, supporting and encouraging the implementation of these standards and related guidelines and indicators </w:t>
      </w:r>
    </w:p>
    <w:p w14:paraId="5385DA21" w14:textId="77777777" w:rsidR="00A43122" w:rsidRPr="005348A2" w:rsidRDefault="00A43122" w:rsidP="00A43122">
      <w:pPr>
        <w:pStyle w:val="ListBullet"/>
      </w:pPr>
      <w:r w:rsidRPr="005348A2">
        <w:t>monitoring the implementation and impact of these standards</w:t>
      </w:r>
    </w:p>
    <w:p w14:paraId="510E0F5C" w14:textId="77777777" w:rsidR="00A43122" w:rsidRPr="005348A2" w:rsidRDefault="00A43122" w:rsidP="00A43122">
      <w:pPr>
        <w:pStyle w:val="ListBullet"/>
      </w:pPr>
      <w:r w:rsidRPr="005348A2">
        <w:t xml:space="preserve">promoting, supporting and encouraging the implementation of programs and initiatives relating to healthcare safety and quality matters </w:t>
      </w:r>
    </w:p>
    <w:p w14:paraId="2370216D" w14:textId="77777777" w:rsidR="00A43122" w:rsidRPr="005348A2" w:rsidRDefault="00A43122" w:rsidP="00A43122">
      <w:pPr>
        <w:pStyle w:val="ListBullet"/>
      </w:pPr>
      <w:r w:rsidRPr="005348A2">
        <w:t xml:space="preserve">formulating model national schemes that provide for the accreditation of organisations that provide healthcare services and relate to healthcare safety and quality matters </w:t>
      </w:r>
    </w:p>
    <w:p w14:paraId="1FBF26BF" w14:textId="77777777" w:rsidR="00A43122" w:rsidRPr="005348A2" w:rsidRDefault="00A43122" w:rsidP="00A43122">
      <w:pPr>
        <w:pStyle w:val="ListBullet"/>
      </w:pPr>
      <w:r w:rsidRPr="005348A2">
        <w:t xml:space="preserve">collecting analysing, interpreting and disseminating information relating to healthcare safety and quality matters and </w:t>
      </w:r>
    </w:p>
    <w:p w14:paraId="033E2031" w14:textId="77777777" w:rsidR="00A43122" w:rsidRPr="005348A2" w:rsidRDefault="00A43122" w:rsidP="00A43122">
      <w:pPr>
        <w:pStyle w:val="ListBullet"/>
      </w:pPr>
      <w:r w:rsidRPr="005348A2">
        <w:t xml:space="preserve">publishing reports and papers relating to healthcare safety and quality matters. </w:t>
      </w:r>
    </w:p>
    <w:p w14:paraId="0165B120" w14:textId="77777777" w:rsidR="00A43122" w:rsidRPr="005348A2" w:rsidRDefault="00A43122" w:rsidP="00A43122">
      <w:pPr>
        <w:pStyle w:val="EYBodytextwithparaspace"/>
        <w:spacing w:line="276" w:lineRule="auto"/>
        <w:ind w:left="714"/>
        <w:contextualSpacing/>
        <w:rPr>
          <w:rFonts w:cs="Arial"/>
          <w:lang w:val="en-AU"/>
        </w:rPr>
      </w:pPr>
    </w:p>
    <w:p w14:paraId="3548CA61" w14:textId="77777777" w:rsidR="00A43122" w:rsidRPr="005348A2" w:rsidRDefault="00A43122" w:rsidP="00A43122">
      <w:r w:rsidRPr="005348A2">
        <w:t xml:space="preserve">Appendix 1 provides details of the governing and operational principles underlying the Commission’s role in relation to data as per the </w:t>
      </w:r>
      <w:r w:rsidRPr="005348A2">
        <w:rPr>
          <w:i/>
        </w:rPr>
        <w:t>National Health Information Agreement</w:t>
      </w:r>
      <w:r w:rsidRPr="005348A2">
        <w:t xml:space="preserve"> (NHIA).</w:t>
      </w:r>
    </w:p>
    <w:p w14:paraId="4488CD17" w14:textId="77777777" w:rsidR="00A43122" w:rsidRPr="005348A2" w:rsidRDefault="00A43122" w:rsidP="00A43122">
      <w:bookmarkStart w:id="18" w:name="_Toc455668321"/>
      <w:bookmarkStart w:id="19" w:name="_Ref457217179"/>
      <w:r w:rsidRPr="005348A2">
        <w:t xml:space="preserve">The Data Plan aligns with the Commission’s agreed Work Plan and does not change the intent or direction of the Commission’s work. It forms part of a suite of documents to support using data and analysis to improve safety and quality in health care, including: </w:t>
      </w:r>
    </w:p>
    <w:p w14:paraId="4F30BA97" w14:textId="77777777" w:rsidR="00A43122" w:rsidRPr="005348A2" w:rsidRDefault="00A43122" w:rsidP="00A43122">
      <w:pPr>
        <w:pStyle w:val="ListBullet"/>
      </w:pPr>
      <w:r w:rsidRPr="005348A2">
        <w:t xml:space="preserve">Work Plan </w:t>
      </w:r>
    </w:p>
    <w:p w14:paraId="1B73231A" w14:textId="77777777" w:rsidR="00A43122" w:rsidRPr="005348A2" w:rsidRDefault="00A43122" w:rsidP="00A43122">
      <w:pPr>
        <w:pStyle w:val="ListBullet"/>
      </w:pPr>
      <w:r w:rsidRPr="005348A2">
        <w:t>Data Governance Framework</w:t>
      </w:r>
    </w:p>
    <w:p w14:paraId="2B1653AB" w14:textId="77777777" w:rsidR="00A43122" w:rsidRPr="005348A2" w:rsidRDefault="00A43122" w:rsidP="00A43122">
      <w:pPr>
        <w:pStyle w:val="ListBullet"/>
      </w:pPr>
      <w:r w:rsidRPr="005348A2">
        <w:t>Data management policies</w:t>
      </w:r>
      <w:r>
        <w:t xml:space="preserve"> and procedures.</w:t>
      </w:r>
    </w:p>
    <w:p w14:paraId="12949BF1" w14:textId="77777777" w:rsidR="00A43122" w:rsidRPr="005348A2" w:rsidRDefault="00A43122" w:rsidP="00A43122">
      <w:pPr>
        <w:pStyle w:val="EYBodytextwithparaspace"/>
        <w:spacing w:after="60"/>
        <w:ind w:left="360"/>
        <w:rPr>
          <w:rFonts w:ascii="Arial" w:hAnsi="Arial" w:cs="Arial"/>
          <w:sz w:val="22"/>
          <w:szCs w:val="22"/>
          <w:lang w:val="en-AU"/>
        </w:rPr>
      </w:pPr>
    </w:p>
    <w:bookmarkEnd w:id="18"/>
    <w:bookmarkEnd w:id="19"/>
    <w:p w14:paraId="2A03EDA3" w14:textId="77777777" w:rsidR="00A43122" w:rsidRDefault="00A43122" w:rsidP="00A43122">
      <w:pPr>
        <w:sectPr w:rsidR="00A43122" w:rsidSect="00517A40">
          <w:headerReference w:type="even" r:id="rId19"/>
          <w:headerReference w:type="default" r:id="rId20"/>
          <w:footerReference w:type="default" r:id="rId21"/>
          <w:headerReference w:type="first" r:id="rId22"/>
          <w:pgSz w:w="11906" w:h="16838"/>
          <w:pgMar w:top="1134" w:right="992" w:bottom="1531" w:left="1440" w:header="709" w:footer="176" w:gutter="0"/>
          <w:pgNumType w:start="1"/>
          <w:cols w:space="708"/>
          <w:docGrid w:linePitch="360"/>
        </w:sectPr>
      </w:pPr>
      <w:r w:rsidRPr="005348A2">
        <w:t xml:space="preserve">Data governance, privacy, security and storage of data are outlined in the </w:t>
      </w:r>
      <w:r w:rsidRPr="005348A2">
        <w:rPr>
          <w:i/>
        </w:rPr>
        <w:t>Data Governance Framework</w:t>
      </w:r>
      <w:r w:rsidRPr="005348A2">
        <w:t xml:space="preserve"> (the Framework), and these elements are included briefly in this document.</w:t>
      </w:r>
    </w:p>
    <w:p w14:paraId="73C055C9" w14:textId="77777777" w:rsidR="00A43122" w:rsidRPr="00A43122" w:rsidRDefault="00A43122" w:rsidP="00F61373">
      <w:pPr>
        <w:pStyle w:val="Heading2"/>
      </w:pPr>
      <w:bookmarkStart w:id="20" w:name="_Toc188972526"/>
      <w:bookmarkStart w:id="21" w:name="_Toc204691106"/>
      <w:r w:rsidRPr="00A43122">
        <w:lastRenderedPageBreak/>
        <w:t>Work Plan</w:t>
      </w:r>
      <w:bookmarkEnd w:id="20"/>
      <w:bookmarkEnd w:id="21"/>
      <w:r w:rsidRPr="00A43122">
        <w:t xml:space="preserve"> </w:t>
      </w:r>
    </w:p>
    <w:p w14:paraId="34A7FC7A" w14:textId="77777777" w:rsidR="00A43122" w:rsidRDefault="00A43122" w:rsidP="00A43122">
      <w:r w:rsidRPr="005348A2">
        <w:t>The Commission’s Work Plan is a requirement under the NHR Act. It outlines the Commission’s priorities over the next three financial years</w:t>
      </w:r>
      <w:r>
        <w:t>, across six high-level objectives - the current 2025-2028 work plan priorities are illustrated below. The Data Plan supports the Commission to fulfil its functions and tasks across six strategic objectives.</w:t>
      </w:r>
    </w:p>
    <w:p w14:paraId="51DA8430" w14:textId="77777777" w:rsidR="00A43122" w:rsidRDefault="00A43122" w:rsidP="00A43122">
      <w:pPr>
        <w:spacing w:after="240"/>
        <w:rPr>
          <w:rFonts w:cs="Arial"/>
        </w:rPr>
        <w:sectPr w:rsidR="00A43122" w:rsidSect="00294F48">
          <w:pgSz w:w="16838" w:h="11906" w:orient="landscape"/>
          <w:pgMar w:top="1440" w:right="1134" w:bottom="992" w:left="1531" w:header="709" w:footer="176" w:gutter="0"/>
          <w:cols w:space="708"/>
          <w:docGrid w:linePitch="360"/>
        </w:sectPr>
      </w:pPr>
      <w:r w:rsidRPr="00B676A3">
        <w:rPr>
          <w:rFonts w:cstheme="minorHAnsi"/>
          <w:noProof/>
          <w:sz w:val="32"/>
          <w:szCs w:val="32"/>
        </w:rPr>
        <w:drawing>
          <wp:inline distT="0" distB="0" distL="0" distR="0" wp14:anchorId="0EAA7920" wp14:editId="3CF58A94">
            <wp:extent cx="8633460" cy="4091940"/>
            <wp:effectExtent l="0" t="0" r="0" b="38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70DFA2E" w14:textId="77777777" w:rsidR="00A43122" w:rsidRDefault="00A43122" w:rsidP="00A43122">
      <w:pPr>
        <w:spacing w:after="240"/>
        <w:rPr>
          <w:rFonts w:cs="Arial"/>
        </w:rPr>
      </w:pPr>
    </w:p>
    <w:p w14:paraId="7E43A141" w14:textId="77777777" w:rsidR="00A43122" w:rsidRPr="005348A2" w:rsidRDefault="00A43122" w:rsidP="00A43122">
      <w:pPr>
        <w:spacing w:after="240"/>
      </w:pPr>
      <w:r w:rsidRPr="005348A2">
        <w:rPr>
          <w:rFonts w:cs="Arial"/>
        </w:rPr>
        <w:t xml:space="preserve">The current Work Plan is structured according to the four </w:t>
      </w:r>
      <w:r>
        <w:rPr>
          <w:rFonts w:cs="Arial"/>
        </w:rPr>
        <w:t xml:space="preserve">strategic </w:t>
      </w:r>
      <w:r w:rsidRPr="005348A2">
        <w:rPr>
          <w:rFonts w:cs="Arial"/>
        </w:rPr>
        <w:t xml:space="preserve">priority areas in the Commission’s </w:t>
      </w:r>
      <w:hyperlink r:id="rId28" w:history="1">
        <w:r>
          <w:rPr>
            <w:rStyle w:val="Hyperlink"/>
            <w:i/>
          </w:rPr>
          <w:t>Strategic Intent 2025-2030</w:t>
        </w:r>
      </w:hyperlink>
      <w:r>
        <w:rPr>
          <w:rStyle w:val="Hyperlink"/>
          <w:i/>
        </w:rPr>
        <w:t>,</w:t>
      </w:r>
      <w:r>
        <w:t xml:space="preserve"> described below</w:t>
      </w:r>
    </w:p>
    <w:p w14:paraId="2AA1B4D2" w14:textId="77777777" w:rsidR="00A43122" w:rsidRDefault="00A43122" w:rsidP="00A43122">
      <w:pPr>
        <w:pStyle w:val="EYBodytextwithparaspace"/>
        <w:spacing w:line="276" w:lineRule="auto"/>
        <w:contextualSpacing/>
        <w:rPr>
          <w:rFonts w:ascii="Arial" w:hAnsi="Arial" w:cs="Arial"/>
          <w:sz w:val="22"/>
          <w:szCs w:val="22"/>
          <w:lang w:val="en-AU"/>
        </w:rPr>
      </w:pPr>
      <w:r>
        <w:rPr>
          <w:noProof/>
        </w:rPr>
        <w:drawing>
          <wp:inline distT="0" distB="0" distL="0" distR="0" wp14:anchorId="7D863FC3" wp14:editId="075706A6">
            <wp:extent cx="5831840" cy="5261829"/>
            <wp:effectExtent l="0" t="0" r="0" b="0"/>
            <wp:docPr id="178388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8810" name=""/>
                    <pic:cNvPicPr/>
                  </pic:nvPicPr>
                  <pic:blipFill>
                    <a:blip r:embed="rId29"/>
                    <a:stretch>
                      <a:fillRect/>
                    </a:stretch>
                  </pic:blipFill>
                  <pic:spPr>
                    <a:xfrm>
                      <a:off x="0" y="0"/>
                      <a:ext cx="5831840" cy="5261829"/>
                    </a:xfrm>
                    <a:prstGeom prst="rect">
                      <a:avLst/>
                    </a:prstGeom>
                  </pic:spPr>
                </pic:pic>
              </a:graphicData>
            </a:graphic>
          </wp:inline>
        </w:drawing>
      </w:r>
    </w:p>
    <w:p w14:paraId="33EA3068" w14:textId="77777777" w:rsidR="00A43122" w:rsidRDefault="00A43122" w:rsidP="00A43122">
      <w:pPr>
        <w:pStyle w:val="EYBodytextwithparaspace"/>
        <w:spacing w:line="276" w:lineRule="auto"/>
        <w:contextualSpacing/>
        <w:rPr>
          <w:rFonts w:ascii="Arial" w:hAnsi="Arial" w:cs="Arial"/>
          <w:sz w:val="22"/>
          <w:szCs w:val="22"/>
          <w:lang w:val="en-AU"/>
        </w:rPr>
      </w:pPr>
    </w:p>
    <w:p w14:paraId="633D2AEC" w14:textId="0B09C630" w:rsidR="00A43122" w:rsidRDefault="00A43122" w:rsidP="003942F5">
      <w:r w:rsidRPr="005348A2">
        <w:t xml:space="preserve">The Work Plan describes activities that support the specification, review and maintenance of health information standards and indicators that underpin the </w:t>
      </w:r>
      <w:r w:rsidRPr="005348A2">
        <w:rPr>
          <w:i/>
        </w:rPr>
        <w:t>Australian Health Performance Framework</w:t>
      </w:r>
      <w:r w:rsidRPr="005348A2">
        <w:t xml:space="preserve"> (AHPF)</w:t>
      </w:r>
      <w:r w:rsidRPr="005348A2">
        <w:rPr>
          <w:rStyle w:val="FootnoteReference"/>
          <w:rFonts w:ascii="Arial" w:hAnsi="Arial" w:cs="Arial"/>
        </w:rPr>
        <w:footnoteReference w:id="2"/>
      </w:r>
      <w:r w:rsidRPr="005348A2">
        <w:t xml:space="preserve">, the </w:t>
      </w:r>
      <w:r w:rsidRPr="005348A2">
        <w:rPr>
          <w:i/>
        </w:rPr>
        <w:t>Report on Government Services</w:t>
      </w:r>
      <w:r w:rsidRPr="005348A2">
        <w:t xml:space="preserve">, </w:t>
      </w:r>
      <w:r>
        <w:t xml:space="preserve">the NHRA Addendum, </w:t>
      </w:r>
      <w:r w:rsidRPr="005348A2">
        <w:t>the Australian Health Service Safety and Quality Accreditation (AHSSQA) Scheme and the Commission’s clinical care standards</w:t>
      </w:r>
      <w:r w:rsidR="003942F5">
        <w:t>.</w:t>
      </w:r>
    </w:p>
    <w:p w14:paraId="331A73AE" w14:textId="77777777" w:rsidR="003942F5" w:rsidRPr="005348A2" w:rsidRDefault="003942F5" w:rsidP="003942F5">
      <w:pPr>
        <w:rPr>
          <w:rFonts w:ascii="Arial" w:hAnsi="Arial" w:cs="Arial"/>
        </w:rPr>
      </w:pPr>
      <w:r w:rsidRPr="005348A2">
        <w:rPr>
          <w:rFonts w:ascii="Arial" w:hAnsi="Arial" w:cs="Arial"/>
        </w:rPr>
        <w:t>The key areas of work relating to use of data</w:t>
      </w:r>
      <w:r>
        <w:rPr>
          <w:rFonts w:ascii="Arial" w:hAnsi="Arial" w:cs="Arial"/>
        </w:rPr>
        <w:t xml:space="preserve"> for the above</w:t>
      </w:r>
      <w:r w:rsidRPr="005348A2">
        <w:rPr>
          <w:rFonts w:ascii="Arial" w:hAnsi="Arial" w:cs="Arial"/>
        </w:rPr>
        <w:t xml:space="preserve"> include:</w:t>
      </w:r>
    </w:p>
    <w:p w14:paraId="39DF9922" w14:textId="77777777" w:rsidR="003942F5" w:rsidRPr="005348A2" w:rsidRDefault="003942F5" w:rsidP="003942F5">
      <w:pPr>
        <w:pStyle w:val="ListBullet"/>
      </w:pPr>
      <w:r w:rsidRPr="005348A2">
        <w:t xml:space="preserve">the development and maintenance of clinical </w:t>
      </w:r>
      <w:r>
        <w:t xml:space="preserve">standards and </w:t>
      </w:r>
      <w:r w:rsidRPr="005348A2">
        <w:t>measures to support safety and quality improvement</w:t>
      </w:r>
    </w:p>
    <w:p w14:paraId="52027AAD" w14:textId="77777777" w:rsidR="003942F5" w:rsidRDefault="003942F5" w:rsidP="003942F5">
      <w:pPr>
        <w:pStyle w:val="ListBullet"/>
      </w:pPr>
      <w:r w:rsidRPr="005348A2">
        <w:t>the development and support of a model for local monitoring of patient safety</w:t>
      </w:r>
    </w:p>
    <w:p w14:paraId="44292A12" w14:textId="77777777" w:rsidR="003942F5" w:rsidRPr="00220066" w:rsidRDefault="003942F5" w:rsidP="003942F5">
      <w:pPr>
        <w:pStyle w:val="ListBullet"/>
      </w:pPr>
      <w:r w:rsidRPr="005348A2">
        <w:lastRenderedPageBreak/>
        <w:t xml:space="preserve">examining unwarranted healthcare variation </w:t>
      </w:r>
    </w:p>
    <w:p w14:paraId="7A3FCB9A" w14:textId="77777777" w:rsidR="003942F5" w:rsidRPr="00220066" w:rsidRDefault="003942F5" w:rsidP="003942F5">
      <w:pPr>
        <w:pStyle w:val="ListBullet"/>
      </w:pPr>
      <w:r w:rsidRPr="005348A2">
        <w:t xml:space="preserve">the development and support of measures to report consistently and nationally on patient safety in collaboration with the Australian Institute of Health and Welfare (AIHW), </w:t>
      </w:r>
      <w:r>
        <w:t xml:space="preserve">the </w:t>
      </w:r>
      <w:r w:rsidRPr="00D105F6">
        <w:t>Australian, state and territory governments</w:t>
      </w:r>
      <w:r w:rsidRPr="005348A2">
        <w:t>,</w:t>
      </w:r>
      <w:r>
        <w:t xml:space="preserve"> and the private sector</w:t>
      </w:r>
      <w:r w:rsidRPr="005348A2">
        <w:t xml:space="preserve"> through joint work on the AHPF</w:t>
      </w:r>
    </w:p>
    <w:p w14:paraId="7C72D5B1" w14:textId="77777777" w:rsidR="003942F5" w:rsidRDefault="003942F5" w:rsidP="003942F5">
      <w:pPr>
        <w:pStyle w:val="ListBullet"/>
      </w:pPr>
      <w:r>
        <w:t>support and advice for developing and maintaining safety and quality measures under the NHRA addendum</w:t>
      </w:r>
    </w:p>
    <w:p w14:paraId="5C7CE627" w14:textId="77777777" w:rsidR="003942F5" w:rsidRPr="005348A2" w:rsidRDefault="003942F5" w:rsidP="003942F5">
      <w:pPr>
        <w:pStyle w:val="ListBullet"/>
      </w:pPr>
      <w:r w:rsidRPr="005348A2">
        <w:t>the advancement of initiatives to prevent and contain antimicrobial resistance (AMR)</w:t>
      </w:r>
    </w:p>
    <w:p w14:paraId="3E9653F0" w14:textId="77777777" w:rsidR="003942F5" w:rsidRDefault="003942F5" w:rsidP="003942F5">
      <w:pPr>
        <w:pStyle w:val="ListBullet"/>
      </w:pPr>
      <w:r w:rsidRPr="005348A2">
        <w:t>the maintenance and development of strategies to reduce healthcare</w:t>
      </w:r>
      <w:r>
        <w:t>-</w:t>
      </w:r>
      <w:r w:rsidRPr="005348A2">
        <w:t>associated infections (HAI</w:t>
      </w:r>
      <w:r>
        <w:t>s</w:t>
      </w:r>
      <w:r w:rsidRPr="005348A2">
        <w:t xml:space="preserve">) </w:t>
      </w:r>
    </w:p>
    <w:p w14:paraId="281EFC00" w14:textId="77777777" w:rsidR="003942F5" w:rsidRPr="005348A2" w:rsidRDefault="003942F5" w:rsidP="003942F5">
      <w:pPr>
        <w:pStyle w:val="ListBullet"/>
      </w:pPr>
      <w:r>
        <w:t>safety and quality monitoring to support national accreditation schemes</w:t>
      </w:r>
    </w:p>
    <w:p w14:paraId="47B64F5C" w14:textId="77777777" w:rsidR="003942F5" w:rsidRPr="005348A2" w:rsidRDefault="003942F5" w:rsidP="003942F5">
      <w:pPr>
        <w:pStyle w:val="ListBullet"/>
      </w:pPr>
      <w:r w:rsidRPr="005348A2">
        <w:t>the support and improvement of appropriate antimicrobial use, informed by AURA (Antimicrobial Use and Resistance in Australia)</w:t>
      </w:r>
      <w:r w:rsidRPr="005348A2">
        <w:rPr>
          <w:rStyle w:val="FootnoteReference"/>
          <w:rFonts w:ascii="Arial" w:hAnsi="Arial" w:cs="Arial"/>
        </w:rPr>
        <w:footnoteReference w:id="3"/>
      </w:r>
    </w:p>
    <w:p w14:paraId="380F6193" w14:textId="77777777" w:rsidR="003942F5" w:rsidRPr="005348A2" w:rsidRDefault="003942F5" w:rsidP="003942F5">
      <w:pPr>
        <w:pStyle w:val="ListBullet"/>
      </w:pPr>
      <w:r w:rsidRPr="005348A2">
        <w:t>working with partners on national clinical quality registries.</w:t>
      </w:r>
    </w:p>
    <w:p w14:paraId="5A80A445" w14:textId="77777777" w:rsidR="003942F5" w:rsidRDefault="003942F5"/>
    <w:p w14:paraId="10464CD9" w14:textId="77777777" w:rsidR="003942F5" w:rsidRDefault="003942F5">
      <w:r w:rsidRPr="003942F5">
        <w:t>Together, these activities contribute to delivering the Commission’s broader objectives to improve safety and quality in the Australian healthcare sector.</w:t>
      </w:r>
    </w:p>
    <w:p w14:paraId="39C4C41F" w14:textId="77777777" w:rsidR="003942F5" w:rsidRPr="003942F5" w:rsidRDefault="003942F5" w:rsidP="00F61373">
      <w:pPr>
        <w:pStyle w:val="Heading2"/>
      </w:pPr>
      <w:bookmarkStart w:id="22" w:name="_Toc188972527"/>
      <w:bookmarkStart w:id="23" w:name="_Toc204691107"/>
      <w:r w:rsidRPr="003942F5">
        <w:t>Data Governance Framework</w:t>
      </w:r>
      <w:bookmarkEnd w:id="22"/>
      <w:bookmarkEnd w:id="23"/>
    </w:p>
    <w:p w14:paraId="4CA4A204" w14:textId="77777777" w:rsidR="003942F5" w:rsidRPr="005348A2" w:rsidRDefault="003942F5" w:rsidP="003942F5">
      <w:r w:rsidRPr="005348A2">
        <w:t>The Framework ensures that:</w:t>
      </w:r>
    </w:p>
    <w:p w14:paraId="62E85B9A" w14:textId="77777777" w:rsidR="003942F5" w:rsidRPr="005348A2" w:rsidRDefault="003942F5" w:rsidP="003942F5">
      <w:pPr>
        <w:pStyle w:val="ListBullet"/>
      </w:pPr>
      <w:r w:rsidRPr="005348A2">
        <w:t>data conforms to appropriate standards of data management and quality prior to use</w:t>
      </w:r>
    </w:p>
    <w:p w14:paraId="070F0F38" w14:textId="77777777" w:rsidR="003942F5" w:rsidRPr="005348A2" w:rsidRDefault="003942F5" w:rsidP="003942F5">
      <w:pPr>
        <w:pStyle w:val="ListBullet"/>
      </w:pPr>
      <w:r w:rsidRPr="005348A2">
        <w:t>data are used in accordance with appropriate approvals and protocols.</w:t>
      </w:r>
    </w:p>
    <w:p w14:paraId="67C79CE0" w14:textId="77777777" w:rsidR="003942F5" w:rsidRPr="005348A2" w:rsidRDefault="003942F5" w:rsidP="003942F5"/>
    <w:p w14:paraId="6FDA2CCA" w14:textId="77777777" w:rsidR="003942F5" w:rsidRPr="005348A2" w:rsidRDefault="003942F5" w:rsidP="003942F5">
      <w:pPr>
        <w:rPr>
          <w:rFonts w:eastAsia="Times New Roman"/>
          <w:lang w:eastAsia="en-AU"/>
        </w:rPr>
      </w:pPr>
      <w:r w:rsidRPr="005348A2">
        <w:t xml:space="preserve">It contains key information for all Commission staff and is a source of information for external stakeholders that may share data with the Commission. </w:t>
      </w:r>
      <w:r w:rsidRPr="005348A2">
        <w:rPr>
          <w:rFonts w:eastAsia="Times New Roman"/>
          <w:lang w:eastAsia="en-AU"/>
        </w:rPr>
        <w:t xml:space="preserve">The data governance arrangements apply to all data requested, collected, or funded by the Commission. </w:t>
      </w:r>
    </w:p>
    <w:p w14:paraId="5751D828" w14:textId="77777777" w:rsidR="003942F5" w:rsidRPr="005348A2" w:rsidRDefault="003942F5" w:rsidP="00F61373">
      <w:pPr>
        <w:pStyle w:val="Heading2"/>
      </w:pPr>
      <w:bookmarkStart w:id="24" w:name="_Toc188972528"/>
      <w:bookmarkStart w:id="25" w:name="_Toc204691108"/>
      <w:r w:rsidRPr="005348A2">
        <w:t xml:space="preserve">Data management </w:t>
      </w:r>
      <w:r>
        <w:t xml:space="preserve">policy and </w:t>
      </w:r>
      <w:r w:rsidRPr="005348A2">
        <w:t>procedures</w:t>
      </w:r>
      <w:bookmarkEnd w:id="24"/>
      <w:bookmarkEnd w:id="25"/>
    </w:p>
    <w:p w14:paraId="4ED3F04E" w14:textId="77777777" w:rsidR="003942F5" w:rsidRPr="005348A2" w:rsidRDefault="003942F5" w:rsidP="003942F5">
      <w:r w:rsidRPr="005348A2">
        <w:t xml:space="preserve">The Commission’s data management </w:t>
      </w:r>
      <w:r>
        <w:t>policy</w:t>
      </w:r>
      <w:r w:rsidRPr="005348A2">
        <w:t xml:space="preserve"> provides an organisation-wide basis for data management. </w:t>
      </w:r>
      <w:r>
        <w:t xml:space="preserve">The policy and associated procedures builds on the foundation of data governance as defined in the </w:t>
      </w:r>
      <w:hyperlink r:id="rId30" w:history="1">
        <w:r w:rsidRPr="000251B9">
          <w:rPr>
            <w:rStyle w:val="Hyperlink"/>
          </w:rPr>
          <w:t>Data Governance Framework</w:t>
        </w:r>
      </w:hyperlink>
      <w:r>
        <w:t xml:space="preserve">, and provides guidance on the data management lifecycle  </w:t>
      </w:r>
      <w:r w:rsidRPr="005348A2">
        <w:t>to ensure appropriate storage and use of data as below:</w:t>
      </w:r>
    </w:p>
    <w:p w14:paraId="33B6D1DA" w14:textId="77777777" w:rsidR="003942F5" w:rsidRDefault="003942F5" w:rsidP="003942F5">
      <w:pPr>
        <w:pStyle w:val="ListBullet"/>
      </w:pPr>
      <w:r w:rsidRPr="005348A2">
        <w:t>Data governance</w:t>
      </w:r>
      <w:r>
        <w:t xml:space="preserve"> structure</w:t>
      </w:r>
    </w:p>
    <w:p w14:paraId="079D7928" w14:textId="77777777" w:rsidR="003942F5" w:rsidRPr="005348A2" w:rsidRDefault="003942F5" w:rsidP="003942F5">
      <w:pPr>
        <w:pStyle w:val="ListBullet"/>
      </w:pPr>
      <w:r>
        <w:t>Data request streams</w:t>
      </w:r>
    </w:p>
    <w:p w14:paraId="3F3DA8A8" w14:textId="77777777" w:rsidR="003942F5" w:rsidRPr="005348A2" w:rsidRDefault="003942F5" w:rsidP="003942F5">
      <w:pPr>
        <w:pStyle w:val="ListBullet"/>
      </w:pPr>
      <w:r w:rsidRPr="005348A2">
        <w:t xml:space="preserve">Data </w:t>
      </w:r>
      <w:r>
        <w:t xml:space="preserve">development, </w:t>
      </w:r>
      <w:r w:rsidRPr="005348A2">
        <w:t>acquisition, storage and management</w:t>
      </w:r>
    </w:p>
    <w:p w14:paraId="3B7C068E" w14:textId="77777777" w:rsidR="003942F5" w:rsidRPr="005348A2" w:rsidRDefault="003942F5" w:rsidP="003942F5">
      <w:pPr>
        <w:pStyle w:val="ListBullet"/>
      </w:pPr>
      <w:r w:rsidRPr="005348A2">
        <w:lastRenderedPageBreak/>
        <w:t>Data security</w:t>
      </w:r>
      <w:r>
        <w:t xml:space="preserve"> and privacy</w:t>
      </w:r>
    </w:p>
    <w:p w14:paraId="2014410A" w14:textId="77777777" w:rsidR="003942F5" w:rsidRPr="005348A2" w:rsidRDefault="003942F5" w:rsidP="003942F5">
      <w:pPr>
        <w:pStyle w:val="ListBullet"/>
      </w:pPr>
      <w:r w:rsidRPr="005348A2">
        <w:t>Data quality management</w:t>
      </w:r>
    </w:p>
    <w:p w14:paraId="440FF31A" w14:textId="77777777" w:rsidR="003942F5" w:rsidRPr="005348A2" w:rsidRDefault="003942F5" w:rsidP="003942F5">
      <w:pPr>
        <w:pStyle w:val="ListBullet"/>
      </w:pPr>
      <w:r w:rsidRPr="005348A2">
        <w:t>Data processing</w:t>
      </w:r>
    </w:p>
    <w:p w14:paraId="32EDF773" w14:textId="77777777" w:rsidR="003942F5" w:rsidRPr="005348A2" w:rsidRDefault="003942F5" w:rsidP="003942F5">
      <w:pPr>
        <w:pStyle w:val="ListBullet"/>
      </w:pPr>
      <w:r w:rsidRPr="005348A2">
        <w:t>Data disclosure and reporting</w:t>
      </w:r>
    </w:p>
    <w:p w14:paraId="6E3AC9CC" w14:textId="77777777" w:rsidR="003942F5" w:rsidRPr="005348A2" w:rsidRDefault="003942F5" w:rsidP="003942F5">
      <w:pPr>
        <w:pStyle w:val="ListBullet"/>
      </w:pPr>
      <w:r w:rsidRPr="005348A2">
        <w:t xml:space="preserve">Metadata management </w:t>
      </w:r>
    </w:p>
    <w:p w14:paraId="605C7AD6" w14:textId="77777777" w:rsidR="003942F5" w:rsidRPr="005348A2" w:rsidRDefault="003942F5" w:rsidP="003942F5">
      <w:pPr>
        <w:pStyle w:val="ListBullet"/>
      </w:pPr>
      <w:r w:rsidRPr="005348A2">
        <w:t xml:space="preserve">Staff education, support and training. </w:t>
      </w:r>
    </w:p>
    <w:p w14:paraId="0618ABFE" w14:textId="77777777" w:rsidR="003942F5" w:rsidRDefault="003942F5">
      <w:pPr>
        <w:rPr>
          <w:rFonts w:asciiTheme="majorHAnsi" w:hAnsiTheme="majorHAnsi"/>
          <w:sz w:val="52"/>
          <w:szCs w:val="44"/>
        </w:rPr>
      </w:pPr>
      <w:bookmarkStart w:id="26" w:name="_Toc188972529"/>
      <w:r>
        <w:br w:type="page"/>
      </w:r>
    </w:p>
    <w:p w14:paraId="221985BE" w14:textId="0FBDF97B" w:rsidR="003942F5" w:rsidRPr="005348A2" w:rsidRDefault="003942F5" w:rsidP="003942F5">
      <w:pPr>
        <w:pStyle w:val="Heading1"/>
      </w:pPr>
      <w:bookmarkStart w:id="27" w:name="_Toc204691109"/>
      <w:r w:rsidRPr="005348A2">
        <w:lastRenderedPageBreak/>
        <w:t>Security and Privacy</w:t>
      </w:r>
      <w:bookmarkEnd w:id="26"/>
      <w:bookmarkEnd w:id="27"/>
    </w:p>
    <w:p w14:paraId="482C7EC6" w14:textId="77777777" w:rsidR="003942F5" w:rsidRPr="005348A2" w:rsidRDefault="003942F5" w:rsidP="003942F5">
      <w:pPr>
        <w:rPr>
          <w:rFonts w:cs="Arial"/>
        </w:rPr>
      </w:pPr>
      <w:r w:rsidRPr="005348A2">
        <w:rPr>
          <w:rFonts w:cs="Arial"/>
        </w:rPr>
        <w:t>The Commission is committed to using data and information in accordance with relevant legislation and national privacy principles, ethical guidelines and practices.</w:t>
      </w:r>
    </w:p>
    <w:p w14:paraId="2C6CC3B7" w14:textId="77777777" w:rsidR="003942F5" w:rsidRPr="005348A2" w:rsidRDefault="003942F5" w:rsidP="00F61373">
      <w:pPr>
        <w:pStyle w:val="Heading2"/>
      </w:pPr>
      <w:bookmarkStart w:id="28" w:name="_Toc204691110"/>
      <w:r w:rsidRPr="005348A2">
        <w:t>Security</w:t>
      </w:r>
      <w:bookmarkEnd w:id="28"/>
    </w:p>
    <w:p w14:paraId="639D118E" w14:textId="77777777" w:rsidR="003942F5" w:rsidRDefault="003942F5" w:rsidP="003942F5">
      <w:r w:rsidRPr="005348A2">
        <w:t xml:space="preserve">Systems and processes used for collection, analysis and storage of data and information have been designed to ensure that the confidentiality, integrity and availability of data and information is protected. Data and information will be maintained in a secure environment and in accordance with the Australian Government Protective Security Policy Framework and the Australian Government Information Security Manual. </w:t>
      </w:r>
    </w:p>
    <w:p w14:paraId="1BB758C5" w14:textId="7CAE0C61" w:rsidR="003942F5" w:rsidRDefault="003942F5" w:rsidP="003942F5">
      <w:r>
        <w:t>The Commission uses the Commonwealth Department of Health</w:t>
      </w:r>
      <w:r w:rsidR="0040514F">
        <w:t xml:space="preserve">, Disability and </w:t>
      </w:r>
      <w:r>
        <w:t>Age</w:t>
      </w:r>
      <w:r w:rsidR="0040514F">
        <w:t>ing</w:t>
      </w:r>
      <w:r>
        <w:t>’s IT Network and Enterprise Data Warehouse (EDW), under the existing shared services agreement, for the access, storage and analysis of data collections. IT resources which are not part of the Commission’s network are used once relevant Agency and Data security policy requirements (via the Commission’s Data Governance Committee) have been met.</w:t>
      </w:r>
    </w:p>
    <w:p w14:paraId="63D52B6C" w14:textId="77777777" w:rsidR="003942F5" w:rsidRPr="005348A2" w:rsidRDefault="003942F5" w:rsidP="00F61373">
      <w:pPr>
        <w:pStyle w:val="Heading2"/>
      </w:pPr>
      <w:bookmarkStart w:id="29" w:name="_Toc204691111"/>
      <w:r w:rsidRPr="005348A2">
        <w:t>Privacy</w:t>
      </w:r>
      <w:bookmarkEnd w:id="29"/>
    </w:p>
    <w:p w14:paraId="03EFAE5F" w14:textId="77777777" w:rsidR="003942F5" w:rsidRPr="005348A2" w:rsidRDefault="003942F5" w:rsidP="003942F5">
      <w:r w:rsidRPr="005348A2">
        <w:t xml:space="preserve">The Commission is subject to privacy obligations under the NHRA, the </w:t>
      </w:r>
      <w:r w:rsidRPr="005348A2">
        <w:rPr>
          <w:i/>
        </w:rPr>
        <w:t>Privacy Act 1988</w:t>
      </w:r>
      <w:r w:rsidRPr="005348A2">
        <w:t xml:space="preserve"> and the </w:t>
      </w:r>
      <w:r w:rsidRPr="005348A2">
        <w:rPr>
          <w:i/>
        </w:rPr>
        <w:t>Privacy Amendment (Enhancing Privacy Protections) Act 2012</w:t>
      </w:r>
      <w:r w:rsidRPr="005348A2">
        <w:t xml:space="preserve">. </w:t>
      </w:r>
    </w:p>
    <w:p w14:paraId="1D0127B7" w14:textId="77777777" w:rsidR="003942F5" w:rsidRPr="005348A2" w:rsidRDefault="003942F5" w:rsidP="003942F5">
      <w:r w:rsidRPr="005348A2">
        <w:t xml:space="preserve">The </w:t>
      </w:r>
      <w:r w:rsidRPr="005348A2">
        <w:rPr>
          <w:i/>
        </w:rPr>
        <w:t>Privacy Act 1988</w:t>
      </w:r>
      <w:r w:rsidRPr="005348A2">
        <w:t xml:space="preserve"> sets out 13 Australian Privacy Principles which apply to the collection, use, disclosure and other aspects of handing personal information. </w:t>
      </w:r>
      <w:r>
        <w:t>The Commission is required to comply with these principles</w:t>
      </w:r>
      <w:r w:rsidRPr="005348A2">
        <w:t>.</w:t>
      </w:r>
    </w:p>
    <w:p w14:paraId="505D499B" w14:textId="77777777" w:rsidR="003942F5" w:rsidRDefault="003942F5" w:rsidP="003942F5">
      <w:pPr>
        <w:rPr>
          <w:rFonts w:ascii="Arial" w:hAnsi="Arial" w:cs="Arial"/>
        </w:rPr>
      </w:pPr>
      <w:r w:rsidRPr="005348A2">
        <w:rPr>
          <w:rFonts w:ascii="Arial" w:hAnsi="Arial" w:cs="Arial"/>
        </w:rPr>
        <w:t>Any requests received by the Commission for access to specific data sources, extracts of data or results of indicators (which are not aggregated at the national level), will be forwarded to the data owner or custodian of the specific collections to manage the request directly.</w:t>
      </w:r>
    </w:p>
    <w:p w14:paraId="25DDAD01" w14:textId="77777777" w:rsidR="003942F5" w:rsidRDefault="003942F5" w:rsidP="003942F5">
      <w:pPr>
        <w:rPr>
          <w:rFonts w:ascii="Arial" w:hAnsi="Arial" w:cs="Arial"/>
        </w:rPr>
      </w:pPr>
    </w:p>
    <w:p w14:paraId="4442D635" w14:textId="77777777" w:rsidR="003942F5" w:rsidRDefault="003942F5" w:rsidP="003942F5">
      <w:pPr>
        <w:rPr>
          <w:rFonts w:ascii="Arial" w:hAnsi="Arial" w:cs="Arial"/>
        </w:rPr>
      </w:pPr>
      <w:r>
        <w:rPr>
          <w:rFonts w:ascii="Arial" w:hAnsi="Arial" w:cs="Arial"/>
        </w:rPr>
        <w:t xml:space="preserve">A </w:t>
      </w:r>
      <w:r w:rsidRPr="00C8315D">
        <w:rPr>
          <w:rFonts w:ascii="Arial" w:hAnsi="Arial" w:cs="Arial"/>
        </w:rPr>
        <w:t xml:space="preserve">data custodian is an entity </w:t>
      </w:r>
      <w:r w:rsidRPr="00B7447E">
        <w:rPr>
          <w:rFonts w:ascii="Arial" w:hAnsi="Arial" w:cs="Arial"/>
        </w:rPr>
        <w:t>that collects or generates data for any purpose and is accountable and</w:t>
      </w:r>
      <w:r>
        <w:rPr>
          <w:rFonts w:ascii="Arial" w:hAnsi="Arial" w:cs="Arial"/>
        </w:rPr>
        <w:t xml:space="preserve"> </w:t>
      </w:r>
      <w:r w:rsidRPr="00B7447E">
        <w:rPr>
          <w:rFonts w:ascii="Arial" w:hAnsi="Arial" w:cs="Arial"/>
        </w:rPr>
        <w:t xml:space="preserve">responsible for the </w:t>
      </w:r>
      <w:r>
        <w:rPr>
          <w:rFonts w:ascii="Arial" w:hAnsi="Arial" w:cs="Arial"/>
        </w:rPr>
        <w:t>operational management</w:t>
      </w:r>
      <w:r w:rsidRPr="00B7447E">
        <w:rPr>
          <w:rFonts w:ascii="Arial" w:hAnsi="Arial" w:cs="Arial"/>
        </w:rPr>
        <w:t xml:space="preserve"> </w:t>
      </w:r>
      <w:r>
        <w:rPr>
          <w:rFonts w:ascii="Arial" w:hAnsi="Arial" w:cs="Arial"/>
        </w:rPr>
        <w:t xml:space="preserve">(including collection, disclosure and use) </w:t>
      </w:r>
      <w:r w:rsidRPr="00B7447E">
        <w:rPr>
          <w:rFonts w:ascii="Arial" w:hAnsi="Arial" w:cs="Arial"/>
        </w:rPr>
        <w:t>of that data</w:t>
      </w:r>
      <w:r>
        <w:rPr>
          <w:rFonts w:ascii="Arial" w:hAnsi="Arial" w:cs="Arial"/>
        </w:rPr>
        <w:t xml:space="preserve"> collection.</w:t>
      </w:r>
      <w:r w:rsidRPr="00C8315D">
        <w:rPr>
          <w:rFonts w:ascii="Arial" w:hAnsi="Arial" w:cs="Arial"/>
        </w:rPr>
        <w:t xml:space="preserve"> A data collection may have one or more data custodians and/or </w:t>
      </w:r>
      <w:r>
        <w:rPr>
          <w:rFonts w:ascii="Arial" w:hAnsi="Arial" w:cs="Arial"/>
        </w:rPr>
        <w:t xml:space="preserve">be </w:t>
      </w:r>
      <w:r w:rsidRPr="00C8315D">
        <w:rPr>
          <w:rFonts w:ascii="Arial" w:hAnsi="Arial" w:cs="Arial"/>
        </w:rPr>
        <w:t xml:space="preserve">sourced from multiple data </w:t>
      </w:r>
      <w:r>
        <w:rPr>
          <w:rFonts w:ascii="Arial" w:hAnsi="Arial" w:cs="Arial"/>
        </w:rPr>
        <w:t>owners</w:t>
      </w:r>
      <w:r w:rsidRPr="00C8315D">
        <w:rPr>
          <w:rFonts w:ascii="Arial" w:hAnsi="Arial" w:cs="Arial"/>
        </w:rPr>
        <w:t>.</w:t>
      </w:r>
      <w:r>
        <w:rPr>
          <w:rFonts w:ascii="Arial" w:hAnsi="Arial" w:cs="Arial"/>
        </w:rPr>
        <w:t xml:space="preserve"> A data custodian can provide access to the data collection subject to approval from the data owner. </w:t>
      </w:r>
    </w:p>
    <w:p w14:paraId="6F21AA65" w14:textId="77777777" w:rsidR="003942F5" w:rsidRDefault="003942F5"/>
    <w:p w14:paraId="73F99A44" w14:textId="77777777" w:rsidR="003942F5" w:rsidRDefault="003942F5">
      <w:pPr>
        <w:rPr>
          <w:rFonts w:asciiTheme="majorHAnsi" w:hAnsiTheme="majorHAnsi"/>
          <w:sz w:val="52"/>
          <w:szCs w:val="44"/>
        </w:rPr>
      </w:pPr>
      <w:bookmarkStart w:id="30" w:name="_Toc188972530"/>
      <w:r>
        <w:br w:type="page"/>
      </w:r>
    </w:p>
    <w:p w14:paraId="5CB0A1FC" w14:textId="4749C439" w:rsidR="003942F5" w:rsidRPr="005348A2" w:rsidRDefault="003942F5" w:rsidP="003942F5">
      <w:pPr>
        <w:pStyle w:val="Heading1"/>
      </w:pPr>
      <w:bookmarkStart w:id="31" w:name="_Toc204691112"/>
      <w:r w:rsidRPr="005348A2">
        <w:lastRenderedPageBreak/>
        <w:t>Process to develop and review safety and quality indicators</w:t>
      </w:r>
      <w:bookmarkEnd w:id="30"/>
      <w:bookmarkEnd w:id="31"/>
      <w:r w:rsidRPr="005348A2">
        <w:t xml:space="preserve"> </w:t>
      </w:r>
    </w:p>
    <w:p w14:paraId="7F432F4A" w14:textId="77777777" w:rsidR="003942F5" w:rsidRPr="005348A2" w:rsidRDefault="003942F5" w:rsidP="003942F5">
      <w:r w:rsidRPr="005348A2">
        <w:t xml:space="preserve">Development, maintenance and review of safety and quality indicators is a key function of the Commission. The Commission has a robust process for </w:t>
      </w:r>
      <w:r>
        <w:t xml:space="preserve">data driven </w:t>
      </w:r>
      <w:r w:rsidRPr="005348A2">
        <w:t xml:space="preserve">development and review of safety and quality indicators. This process is compliant with the Framework and supporting data management principles.  </w:t>
      </w:r>
    </w:p>
    <w:p w14:paraId="4F7A158E" w14:textId="6DF84DC5" w:rsidR="00F3419C" w:rsidRDefault="003942F5" w:rsidP="003942F5">
      <w:r w:rsidRPr="005348A2">
        <w:t>The Data Plan is intended to be read in conjunction with the Framework</w:t>
      </w:r>
      <w:r>
        <w:t xml:space="preserve"> and </w:t>
      </w:r>
      <w:r w:rsidRPr="005348A2">
        <w:t xml:space="preserve">data management </w:t>
      </w:r>
      <w:r>
        <w:t>policy</w:t>
      </w:r>
      <w:r w:rsidRPr="005348A2">
        <w:t xml:space="preserve"> for indicator development and review</w:t>
      </w:r>
      <w:r w:rsidRPr="003942F5">
        <w:t xml:space="preserve">. </w:t>
      </w:r>
    </w:p>
    <w:p w14:paraId="69CC6943" w14:textId="77777777" w:rsidR="00F3419C" w:rsidRDefault="00F3419C">
      <w:r>
        <w:br w:type="page"/>
      </w:r>
    </w:p>
    <w:p w14:paraId="0106FB3D" w14:textId="77777777" w:rsidR="00F3419C" w:rsidRPr="005348A2" w:rsidRDefault="00F3419C" w:rsidP="00F3419C">
      <w:pPr>
        <w:pStyle w:val="Heading1"/>
      </w:pPr>
      <w:bookmarkStart w:id="32" w:name="_Toc455668324"/>
      <w:bookmarkStart w:id="33" w:name="_Toc457232252"/>
      <w:bookmarkStart w:id="34" w:name="_Toc457237631"/>
      <w:bookmarkStart w:id="35" w:name="_Toc188972531"/>
      <w:bookmarkStart w:id="36" w:name="_Toc204691113"/>
      <w:r w:rsidRPr="005348A2">
        <w:lastRenderedPageBreak/>
        <w:t>Approach to data collection, management, analysis and reporting</w:t>
      </w:r>
      <w:bookmarkEnd w:id="32"/>
      <w:bookmarkEnd w:id="33"/>
      <w:bookmarkEnd w:id="34"/>
      <w:bookmarkEnd w:id="35"/>
      <w:bookmarkEnd w:id="36"/>
    </w:p>
    <w:p w14:paraId="03E10D29" w14:textId="77777777" w:rsidR="00F3419C" w:rsidRDefault="00F3419C" w:rsidP="00F3419C">
      <w:r w:rsidRPr="005348A2">
        <w:t>There are five leading principles which summarise the Commission’s approach to the use of data</w:t>
      </w:r>
      <w:r>
        <w:t>. These principles address</w:t>
      </w:r>
      <w:r w:rsidRPr="005348A2">
        <w:t xml:space="preserve"> the </w:t>
      </w:r>
      <w:r>
        <w:t>acquisition</w:t>
      </w:r>
      <w:r w:rsidRPr="005348A2">
        <w:t xml:space="preserve">, management, analysis, use and reporting of data. </w:t>
      </w:r>
    </w:p>
    <w:p w14:paraId="6BC281A2" w14:textId="77777777" w:rsidR="00F3419C" w:rsidRPr="005348A2" w:rsidRDefault="00F3419C" w:rsidP="00F3419C">
      <w:r w:rsidRPr="005348A2">
        <w:t>Figure 1 details the Commission’s principles in relation to data.</w:t>
      </w:r>
    </w:p>
    <w:p w14:paraId="79264E4D" w14:textId="74C2AA34" w:rsidR="00F3419C" w:rsidRDefault="00F3419C" w:rsidP="00F3419C">
      <w:pPr>
        <w:pStyle w:val="Caption"/>
      </w:pPr>
      <w:r w:rsidRPr="005348A2">
        <w:t>Principles of data use</w:t>
      </w:r>
    </w:p>
    <w:tbl>
      <w:tblPr>
        <w:tblW w:w="9634" w:type="dxa"/>
        <w:tblLook w:val="04A0" w:firstRow="1" w:lastRow="0" w:firstColumn="1" w:lastColumn="0" w:noHBand="0" w:noVBand="1"/>
      </w:tblPr>
      <w:tblGrid>
        <w:gridCol w:w="1610"/>
        <w:gridCol w:w="8024"/>
      </w:tblGrid>
      <w:tr w:rsidR="00F3419C" w:rsidRPr="00054C54" w14:paraId="217D3B00" w14:textId="77777777" w:rsidTr="00F3419C">
        <w:trPr>
          <w:trHeight w:hRule="exact" w:val="2155"/>
        </w:trPr>
        <w:tc>
          <w:tcPr>
            <w:tcW w:w="1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21A75" w:themeFill="accent1"/>
            <w:vAlign w:val="center"/>
            <w:hideMark/>
          </w:tcPr>
          <w:p w14:paraId="532A37EB" w14:textId="77777777" w:rsidR="00F3419C" w:rsidRPr="009E7F2D" w:rsidRDefault="00F3419C" w:rsidP="00511995">
            <w:pPr>
              <w:spacing w:after="0" w:line="240" w:lineRule="auto"/>
              <w:jc w:val="center"/>
              <w:rPr>
                <w:rFonts w:eastAsia="Times New Roman" w:cs="Arial"/>
                <w:b/>
                <w:bCs/>
                <w:color w:val="FFFFFF"/>
                <w:lang w:eastAsia="en-AU"/>
              </w:rPr>
            </w:pPr>
            <w:r>
              <w:rPr>
                <w:rFonts w:eastAsia="Times New Roman" w:cs="Arial"/>
                <w:b/>
                <w:bCs/>
                <w:color w:val="FFFFFF"/>
                <w:lang w:eastAsia="en-AU"/>
              </w:rPr>
              <w:t xml:space="preserve">Minimising burden when acquiring data </w:t>
            </w:r>
          </w:p>
        </w:tc>
        <w:tc>
          <w:tcPr>
            <w:tcW w:w="8024" w:type="dxa"/>
            <w:tcBorders>
              <w:left w:val="single" w:sz="4" w:space="0" w:color="FFFFFF" w:themeColor="background1"/>
            </w:tcBorders>
            <w:vAlign w:val="center"/>
            <w:hideMark/>
          </w:tcPr>
          <w:p w14:paraId="15B024B7" w14:textId="77777777" w:rsidR="00F3419C" w:rsidRPr="00054C54" w:rsidRDefault="00F3419C" w:rsidP="00511995">
            <w:pPr>
              <w:spacing w:after="0"/>
              <w:rPr>
                <w:rFonts w:eastAsia="Times New Roman" w:cs="Arial"/>
                <w:color w:val="000000"/>
                <w:lang w:eastAsia="en-AU"/>
              </w:rPr>
            </w:pPr>
            <w:r w:rsidRPr="00054C54">
              <w:rPr>
                <w:rFonts w:eastAsia="Times New Roman" w:cs="Arial"/>
                <w:color w:val="000000"/>
                <w:lang w:eastAsia="en-AU"/>
              </w:rPr>
              <w:t xml:space="preserve">Data will be collected appropriately, minimising burden by employing the </w:t>
            </w:r>
            <w:r w:rsidRPr="00C10196">
              <w:rPr>
                <w:rFonts w:eastAsia="Times New Roman" w:cs="Arial"/>
                <w:i/>
                <w:iCs/>
                <w:color w:val="000000"/>
                <w:lang w:eastAsia="en-AU"/>
              </w:rPr>
              <w:t>single provision multiple use</w:t>
            </w:r>
            <w:r w:rsidRPr="00054C54">
              <w:rPr>
                <w:rFonts w:eastAsia="Times New Roman" w:cs="Arial"/>
                <w:color w:val="000000"/>
                <w:lang w:eastAsia="en-AU"/>
              </w:rPr>
              <w:t xml:space="preserve"> principle. Where this is not possible, consent and agreement from jurisdictions will be sought to use jurisdictional collections and/or the development of a new collection. All data will go through robust validation and verification process to ensure it is fit for purpose and of high quality.</w:t>
            </w:r>
          </w:p>
        </w:tc>
      </w:tr>
      <w:tr w:rsidR="00F3419C" w:rsidRPr="00054C54" w14:paraId="532B1A72" w14:textId="77777777" w:rsidTr="00F3419C">
        <w:trPr>
          <w:trHeight w:hRule="exact" w:val="1721"/>
        </w:trPr>
        <w:tc>
          <w:tcPr>
            <w:tcW w:w="1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21A75" w:themeFill="accent1"/>
            <w:vAlign w:val="center"/>
            <w:hideMark/>
          </w:tcPr>
          <w:p w14:paraId="5C4D4385" w14:textId="77777777" w:rsidR="00F3419C" w:rsidRPr="009E7F2D" w:rsidRDefault="00F3419C" w:rsidP="00511995">
            <w:pPr>
              <w:spacing w:after="0" w:line="240" w:lineRule="auto"/>
              <w:jc w:val="center"/>
              <w:rPr>
                <w:rFonts w:eastAsia="Times New Roman" w:cs="Arial"/>
                <w:b/>
                <w:bCs/>
                <w:color w:val="FFFFFF"/>
                <w:lang w:eastAsia="en-AU"/>
              </w:rPr>
            </w:pPr>
            <w:r>
              <w:rPr>
                <w:rFonts w:eastAsia="Times New Roman" w:cs="Arial"/>
                <w:b/>
                <w:bCs/>
                <w:color w:val="FFFFFF"/>
                <w:lang w:eastAsia="en-AU"/>
              </w:rPr>
              <w:t xml:space="preserve">Handling data appropriately </w:t>
            </w:r>
          </w:p>
        </w:tc>
        <w:tc>
          <w:tcPr>
            <w:tcW w:w="8024" w:type="dxa"/>
            <w:tcBorders>
              <w:left w:val="single" w:sz="4" w:space="0" w:color="FFFFFF" w:themeColor="background1"/>
            </w:tcBorders>
            <w:vAlign w:val="center"/>
            <w:hideMark/>
          </w:tcPr>
          <w:p w14:paraId="1B241AF6" w14:textId="77777777" w:rsidR="00F3419C" w:rsidRPr="00054C54" w:rsidRDefault="00F3419C" w:rsidP="00511995">
            <w:pPr>
              <w:spacing w:after="0"/>
              <w:rPr>
                <w:rFonts w:eastAsia="Times New Roman" w:cs="Arial"/>
                <w:color w:val="000000"/>
                <w:lang w:eastAsia="en-AU"/>
              </w:rPr>
            </w:pPr>
            <w:r w:rsidRPr="00054C54">
              <w:rPr>
                <w:rFonts w:eastAsia="Times New Roman" w:cs="Arial"/>
                <w:color w:val="000000"/>
                <w:lang w:eastAsia="en-AU"/>
              </w:rPr>
              <w:t xml:space="preserve">The use of data will be managed consistent with the Commission’s Work Plan requirements, security and privacy measures and any relevant legislation. </w:t>
            </w:r>
          </w:p>
        </w:tc>
      </w:tr>
      <w:tr w:rsidR="00F3419C" w:rsidRPr="00054C54" w14:paraId="172BB9B1" w14:textId="77777777" w:rsidTr="00F3419C">
        <w:trPr>
          <w:trHeight w:hRule="exact" w:val="2155"/>
        </w:trPr>
        <w:tc>
          <w:tcPr>
            <w:tcW w:w="1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21A75" w:themeFill="accent1"/>
            <w:vAlign w:val="center"/>
            <w:hideMark/>
          </w:tcPr>
          <w:p w14:paraId="37A26167" w14:textId="77777777" w:rsidR="00F3419C" w:rsidRPr="009E7F2D" w:rsidRDefault="00F3419C" w:rsidP="00511995">
            <w:pPr>
              <w:spacing w:after="0" w:line="240" w:lineRule="auto"/>
              <w:jc w:val="center"/>
              <w:rPr>
                <w:rFonts w:eastAsia="Times New Roman" w:cs="Arial"/>
                <w:b/>
                <w:bCs/>
                <w:color w:val="FFFFFF"/>
                <w:lang w:eastAsia="en-AU"/>
              </w:rPr>
            </w:pPr>
            <w:r>
              <w:rPr>
                <w:rFonts w:eastAsia="Times New Roman" w:cs="Arial"/>
                <w:b/>
                <w:bCs/>
                <w:color w:val="FFFFFF"/>
                <w:lang w:eastAsia="en-AU"/>
              </w:rPr>
              <w:t xml:space="preserve">Analysis </w:t>
            </w:r>
            <w:r>
              <w:rPr>
                <w:rFonts w:eastAsia="Times New Roman" w:cs="Arial"/>
                <w:b/>
                <w:bCs/>
                <w:color w:val="FFFFFF"/>
                <w:lang w:eastAsia="en-AU"/>
              </w:rPr>
              <w:br/>
              <w:t xml:space="preserve">informed by </w:t>
            </w:r>
            <w:r>
              <w:rPr>
                <w:rFonts w:eastAsia="Times New Roman" w:cs="Arial"/>
                <w:b/>
                <w:bCs/>
                <w:color w:val="FFFFFF"/>
                <w:lang w:eastAsia="en-AU"/>
              </w:rPr>
              <w:br/>
              <w:t xml:space="preserve">clinical expertise </w:t>
            </w:r>
            <w:r>
              <w:rPr>
                <w:rFonts w:eastAsia="Times New Roman" w:cs="Arial"/>
                <w:b/>
                <w:bCs/>
                <w:color w:val="FFFFFF"/>
                <w:lang w:eastAsia="en-AU"/>
              </w:rPr>
              <w:br/>
              <w:t>and broad consultation</w:t>
            </w:r>
          </w:p>
        </w:tc>
        <w:tc>
          <w:tcPr>
            <w:tcW w:w="8024" w:type="dxa"/>
            <w:tcBorders>
              <w:left w:val="single" w:sz="4" w:space="0" w:color="FFFFFF" w:themeColor="background1"/>
            </w:tcBorders>
            <w:vAlign w:val="center"/>
            <w:hideMark/>
          </w:tcPr>
          <w:p w14:paraId="6B7F8C06" w14:textId="77777777" w:rsidR="00F3419C" w:rsidRPr="00054C54" w:rsidRDefault="00F3419C" w:rsidP="00511995">
            <w:pPr>
              <w:spacing w:after="0" w:line="240" w:lineRule="auto"/>
              <w:rPr>
                <w:rFonts w:eastAsia="Times New Roman" w:cs="Arial"/>
                <w:color w:val="000000"/>
                <w:lang w:eastAsia="en-AU"/>
              </w:rPr>
            </w:pPr>
            <w:r w:rsidRPr="00054C54">
              <w:rPr>
                <w:rFonts w:eastAsia="Times New Roman" w:cs="Arial"/>
                <w:color w:val="000000"/>
                <w:lang w:eastAsia="en-AU"/>
              </w:rPr>
              <w:t>Project design and data analyses are supported by clinical and jurisdictional consultation, expertise. The advice provided informs an understanding of clinical impact, and response strategies. Clinicians, jurisdictional and private sector safety and quality officials, and technical experts are involved in the development of any new indicators or data sets. The views of consumers, academics, and experts in safety and quality are vital components of such consultation processes</w:t>
            </w:r>
          </w:p>
        </w:tc>
      </w:tr>
      <w:tr w:rsidR="00F3419C" w:rsidRPr="00054C54" w14:paraId="385CA9E2" w14:textId="77777777" w:rsidTr="00F3419C">
        <w:trPr>
          <w:trHeight w:hRule="exact" w:val="1817"/>
        </w:trPr>
        <w:tc>
          <w:tcPr>
            <w:tcW w:w="1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21A75" w:themeFill="accent1"/>
            <w:vAlign w:val="center"/>
            <w:hideMark/>
          </w:tcPr>
          <w:p w14:paraId="037F8A5B" w14:textId="77777777" w:rsidR="00F3419C" w:rsidRPr="009E7F2D" w:rsidRDefault="00F3419C" w:rsidP="00511995">
            <w:pPr>
              <w:spacing w:after="0" w:line="240" w:lineRule="auto"/>
              <w:jc w:val="center"/>
              <w:rPr>
                <w:rFonts w:eastAsia="Times New Roman" w:cs="Arial"/>
                <w:b/>
                <w:bCs/>
                <w:color w:val="FFFFFF"/>
                <w:lang w:eastAsia="en-AU"/>
              </w:rPr>
            </w:pPr>
            <w:r>
              <w:rPr>
                <w:rFonts w:eastAsia="Times New Roman" w:cs="Arial"/>
                <w:b/>
                <w:bCs/>
                <w:color w:val="FFFFFF"/>
                <w:lang w:eastAsia="en-AU"/>
              </w:rPr>
              <w:t>Effective use of data</w:t>
            </w:r>
          </w:p>
        </w:tc>
        <w:tc>
          <w:tcPr>
            <w:tcW w:w="8024" w:type="dxa"/>
            <w:tcBorders>
              <w:left w:val="single" w:sz="4" w:space="0" w:color="FFFFFF" w:themeColor="background1"/>
            </w:tcBorders>
            <w:vAlign w:val="center"/>
            <w:hideMark/>
          </w:tcPr>
          <w:p w14:paraId="4EEB6A5F" w14:textId="77777777" w:rsidR="00F3419C" w:rsidRPr="00054C54" w:rsidRDefault="00F3419C" w:rsidP="00511995">
            <w:pPr>
              <w:spacing w:after="0"/>
              <w:rPr>
                <w:rFonts w:eastAsia="Times New Roman" w:cs="Arial"/>
                <w:color w:val="000000"/>
                <w:lang w:eastAsia="en-AU"/>
              </w:rPr>
            </w:pPr>
            <w:r w:rsidRPr="00054C54">
              <w:rPr>
                <w:rFonts w:eastAsia="Times New Roman" w:cs="Arial"/>
                <w:color w:val="000000"/>
                <w:lang w:eastAsia="en-AU"/>
              </w:rPr>
              <w:t xml:space="preserve">Best practice analytical methodologies appropriate to large health data sets are employed. Including, but not limited to, data suppression for low and/or identifiable numbers, identification of variation and inconsistencies, independent analysis run by multiple analysts to ensure accuracy and vertical usability when and where possible.   </w:t>
            </w:r>
          </w:p>
        </w:tc>
      </w:tr>
      <w:tr w:rsidR="00F3419C" w:rsidRPr="00054C54" w14:paraId="14F1D4CF" w14:textId="77777777" w:rsidTr="00F3419C">
        <w:trPr>
          <w:trHeight w:hRule="exact" w:val="2561"/>
        </w:trPr>
        <w:tc>
          <w:tcPr>
            <w:tcW w:w="1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21A75" w:themeFill="accent1"/>
            <w:vAlign w:val="center"/>
            <w:hideMark/>
          </w:tcPr>
          <w:p w14:paraId="55EE281B" w14:textId="77777777" w:rsidR="00F3419C" w:rsidRPr="009E7F2D" w:rsidRDefault="00F3419C" w:rsidP="00511995">
            <w:pPr>
              <w:spacing w:after="0" w:line="240" w:lineRule="auto"/>
              <w:jc w:val="center"/>
              <w:rPr>
                <w:rFonts w:eastAsia="Times New Roman" w:cs="Arial"/>
                <w:b/>
                <w:bCs/>
                <w:color w:val="FFFFFF"/>
                <w:lang w:eastAsia="en-AU"/>
              </w:rPr>
            </w:pPr>
            <w:r>
              <w:rPr>
                <w:rFonts w:eastAsia="Times New Roman" w:cs="Arial"/>
                <w:b/>
                <w:bCs/>
                <w:color w:val="FFFFFF"/>
                <w:lang w:eastAsia="en-AU"/>
              </w:rPr>
              <w:t>Public information to support safety and quality</w:t>
            </w:r>
          </w:p>
        </w:tc>
        <w:tc>
          <w:tcPr>
            <w:tcW w:w="8024" w:type="dxa"/>
            <w:tcBorders>
              <w:left w:val="single" w:sz="4" w:space="0" w:color="FFFFFF" w:themeColor="background1"/>
            </w:tcBorders>
            <w:vAlign w:val="center"/>
            <w:hideMark/>
          </w:tcPr>
          <w:p w14:paraId="2C8567F4" w14:textId="77777777" w:rsidR="00F3419C" w:rsidRPr="00054C54" w:rsidRDefault="00F3419C" w:rsidP="00511995">
            <w:pPr>
              <w:spacing w:after="0"/>
              <w:rPr>
                <w:rFonts w:eastAsia="Times New Roman" w:cs="Arial"/>
                <w:color w:val="000000"/>
                <w:lang w:eastAsia="en-AU"/>
              </w:rPr>
            </w:pPr>
            <w:r w:rsidRPr="00054C54">
              <w:rPr>
                <w:rFonts w:eastAsia="Times New Roman" w:cs="Arial"/>
                <w:color w:val="000000"/>
                <w:lang w:eastAsia="en-AU"/>
              </w:rPr>
              <w:t>Information included in reports published on the commission website are:</w:t>
            </w:r>
            <w:r w:rsidRPr="00054C54">
              <w:rPr>
                <w:rFonts w:eastAsia="Times New Roman" w:cs="Arial"/>
                <w:color w:val="000000"/>
                <w:lang w:eastAsia="en-AU"/>
              </w:rPr>
              <w:br/>
            </w:r>
            <w:r w:rsidRPr="00054C54">
              <w:rPr>
                <w:rFonts w:eastAsia="Times New Roman" w:cs="Arial"/>
                <w:b/>
                <w:bCs/>
                <w:color w:val="000000"/>
                <w:lang w:eastAsia="en-AU"/>
              </w:rPr>
              <w:t xml:space="preserve">Timely </w:t>
            </w:r>
            <w:r w:rsidRPr="00054C54">
              <w:rPr>
                <w:rFonts w:eastAsia="Times New Roman" w:cs="Arial"/>
                <w:color w:val="000000"/>
                <w:lang w:eastAsia="en-AU"/>
              </w:rPr>
              <w:t>– up-to-date and reflect needs of the current environment,</w:t>
            </w:r>
            <w:r>
              <w:rPr>
                <w:rFonts w:eastAsia="Times New Roman" w:cs="Arial"/>
                <w:color w:val="000000"/>
                <w:lang w:eastAsia="en-AU"/>
              </w:rPr>
              <w:t xml:space="preserve"> </w:t>
            </w:r>
            <w:r w:rsidRPr="00054C54">
              <w:rPr>
                <w:rFonts w:eastAsia="Times New Roman" w:cs="Arial"/>
                <w:color w:val="000000"/>
                <w:lang w:eastAsia="en-AU"/>
              </w:rPr>
              <w:t>or is consistent with latest best practice / research</w:t>
            </w:r>
            <w:r w:rsidRPr="00054C54">
              <w:rPr>
                <w:rFonts w:eastAsia="Times New Roman" w:cs="Arial"/>
                <w:color w:val="000000"/>
                <w:lang w:eastAsia="en-AU"/>
              </w:rPr>
              <w:br/>
            </w:r>
            <w:r w:rsidRPr="00054C54">
              <w:rPr>
                <w:rFonts w:eastAsia="Times New Roman" w:cs="Arial"/>
                <w:b/>
                <w:bCs/>
                <w:color w:val="000000"/>
                <w:lang w:eastAsia="en-AU"/>
              </w:rPr>
              <w:t>Fit for purpose</w:t>
            </w:r>
            <w:r w:rsidRPr="00054C54">
              <w:rPr>
                <w:rFonts w:eastAsia="Times New Roman" w:cs="Arial"/>
                <w:color w:val="000000"/>
                <w:lang w:eastAsia="en-AU"/>
              </w:rPr>
              <w:t xml:space="preserve"> – identified variations and inconsistencies in the data have been addressed or properly caveated. </w:t>
            </w:r>
            <w:r w:rsidRPr="00054C54">
              <w:rPr>
                <w:rFonts w:eastAsia="Times New Roman" w:cs="Arial"/>
                <w:color w:val="000000"/>
                <w:lang w:eastAsia="en-AU"/>
              </w:rPr>
              <w:br/>
            </w:r>
            <w:r w:rsidRPr="00054C54">
              <w:rPr>
                <w:rFonts w:eastAsia="Times New Roman" w:cs="Arial"/>
                <w:b/>
                <w:bCs/>
                <w:color w:val="000000"/>
                <w:lang w:eastAsia="en-AU"/>
              </w:rPr>
              <w:t>High quality</w:t>
            </w:r>
            <w:r w:rsidRPr="00054C54">
              <w:rPr>
                <w:rFonts w:eastAsia="Times New Roman" w:cs="Arial"/>
                <w:color w:val="000000"/>
                <w:lang w:eastAsia="en-AU"/>
              </w:rPr>
              <w:t xml:space="preserve"> – including clarity of outputs and interpretations, relevant technical documentation provided, data quality statements are provided and principles of data use are followed.</w:t>
            </w:r>
          </w:p>
        </w:tc>
      </w:tr>
    </w:tbl>
    <w:p w14:paraId="44A30092" w14:textId="77777777" w:rsidR="00F3419C" w:rsidRDefault="00F3419C" w:rsidP="00F61373">
      <w:pPr>
        <w:pStyle w:val="Heading2"/>
      </w:pPr>
      <w:bookmarkStart w:id="37" w:name="_Toc204691114"/>
      <w:r>
        <w:lastRenderedPageBreak/>
        <w:t>Single provision, multiple use in action</w:t>
      </w:r>
      <w:bookmarkEnd w:id="37"/>
    </w:p>
    <w:p w14:paraId="3C59C8D1" w14:textId="77777777" w:rsidR="00F3419C" w:rsidRDefault="00F3419C" w:rsidP="00F3419C">
      <w:r>
        <w:t xml:space="preserve">An example of the Commission’s commitment to the </w:t>
      </w:r>
      <w:r>
        <w:rPr>
          <w:i/>
          <w:iCs/>
        </w:rPr>
        <w:t>single provision, multiple use</w:t>
      </w:r>
      <w:r>
        <w:t xml:space="preserve"> vision is its transparent and consultative approach in seeking access to data.</w:t>
      </w:r>
    </w:p>
    <w:p w14:paraId="5B79C35B" w14:textId="77777777" w:rsidR="00F3419C" w:rsidRDefault="00F3419C" w:rsidP="00F3419C">
      <w:r>
        <w:t xml:space="preserve">In December 2024, the Commission established a new data sharing arrangement to access the </w:t>
      </w:r>
      <w:r w:rsidRPr="00C10196">
        <w:rPr>
          <w:i/>
          <w:iCs/>
        </w:rPr>
        <w:t>National Hospitals Data Collection</w:t>
      </w:r>
      <w:r>
        <w:t xml:space="preserve"> with jurisdictional data custodians, facilitated by the AIHW. This data sharing mechanism,</w:t>
      </w:r>
      <w:r w:rsidRPr="00157D8B">
        <w:t xml:space="preserve"> </w:t>
      </w:r>
      <w:r>
        <w:t xml:space="preserve">enabled under </w:t>
      </w:r>
      <w:r w:rsidRPr="00F04735">
        <w:t>clause B77(a) of the</w:t>
      </w:r>
      <w:r>
        <w:t xml:space="preserve"> NHRA Addendum, explicitly articulates the</w:t>
      </w:r>
    </w:p>
    <w:p w14:paraId="69485432" w14:textId="77777777" w:rsidR="00F3419C" w:rsidRDefault="00F3419C" w:rsidP="00F3419C">
      <w:pPr>
        <w:pStyle w:val="ListBullet"/>
      </w:pPr>
      <w:r>
        <w:t>agreed purpose for use and disclosure of shared data</w:t>
      </w:r>
    </w:p>
    <w:p w14:paraId="16D2EFB6" w14:textId="77777777" w:rsidR="00F3419C" w:rsidRDefault="00F3419C" w:rsidP="00F3419C">
      <w:pPr>
        <w:pStyle w:val="ListBullet"/>
      </w:pPr>
      <w:r>
        <w:t>terms and conditions of data use</w:t>
      </w:r>
    </w:p>
    <w:p w14:paraId="3542E206" w14:textId="77777777" w:rsidR="00F3419C" w:rsidRDefault="00F3419C" w:rsidP="00F3419C">
      <w:pPr>
        <w:pStyle w:val="ListBullet"/>
      </w:pPr>
      <w:r>
        <w:t xml:space="preserve">datasets to be shared </w:t>
      </w:r>
    </w:p>
    <w:p w14:paraId="61E5CFE7" w14:textId="77777777" w:rsidR="00F3419C" w:rsidRDefault="00F3419C" w:rsidP="00F3419C">
      <w:r>
        <w:t>Each year, t</w:t>
      </w:r>
      <w:r w:rsidRPr="00047771">
        <w:t xml:space="preserve">he Commission will </w:t>
      </w:r>
      <w:r>
        <w:t xml:space="preserve">enter into </w:t>
      </w:r>
      <w:r w:rsidRPr="00047771">
        <w:t xml:space="preserve">a </w:t>
      </w:r>
      <w:r>
        <w:t>Letter of Exchange</w:t>
      </w:r>
      <w:r w:rsidRPr="00047771">
        <w:t xml:space="preserve"> to the </w:t>
      </w:r>
      <w:r>
        <w:t xml:space="preserve">AIHW </w:t>
      </w:r>
      <w:r w:rsidRPr="00047771">
        <w:t>outlining any changes to the agreed purpose and use of the data, and specifying the national hospitals databases and years required. Following receipt of this letter, periodically throughout each year</w:t>
      </w:r>
      <w:r>
        <w:t>, the</w:t>
      </w:r>
      <w:r w:rsidRPr="00047771">
        <w:t xml:space="preserve"> </w:t>
      </w:r>
      <w:r>
        <w:t>AIHW</w:t>
      </w:r>
      <w:r w:rsidRPr="00047771">
        <w:t xml:space="preserve"> will seek approval from jurisdictional data custodians to share data extracts from the national hospitals databases </w:t>
      </w:r>
      <w:r>
        <w:t xml:space="preserve">with </w:t>
      </w:r>
      <w:r w:rsidRPr="00047771">
        <w:t xml:space="preserve">the Commission. The timing of these approval requests will be aligned with the annual data supply cycle from the jurisdictions to the </w:t>
      </w:r>
      <w:r>
        <w:t>AIHW.</w:t>
      </w:r>
    </w:p>
    <w:p w14:paraId="4865B4F2" w14:textId="77777777" w:rsidR="00F3419C" w:rsidRDefault="00F3419C" w:rsidP="00F3419C">
      <w:r>
        <w:t xml:space="preserve">Throughout this data sharing mechanism, jurisdictional data custodians </w:t>
      </w:r>
    </w:p>
    <w:p w14:paraId="00DB9490" w14:textId="77777777" w:rsidR="00F3419C" w:rsidRPr="00047771" w:rsidRDefault="00F3419C" w:rsidP="00F3419C">
      <w:pPr>
        <w:pStyle w:val="ListBullet"/>
      </w:pPr>
      <w:r>
        <w:t xml:space="preserve">maintain ongoing oversight of the Commission’s </w:t>
      </w:r>
      <w:r w:rsidRPr="00047771">
        <w:rPr>
          <w:rFonts w:cs="Arial"/>
        </w:rPr>
        <w:t xml:space="preserve">access </w:t>
      </w:r>
      <w:r>
        <w:rPr>
          <w:rFonts w:cs="Arial"/>
        </w:rPr>
        <w:t>and use</w:t>
      </w:r>
    </w:p>
    <w:p w14:paraId="02DF1A54" w14:textId="77777777" w:rsidR="00F3419C" w:rsidRPr="00047771" w:rsidRDefault="00F3419C" w:rsidP="00F3419C">
      <w:pPr>
        <w:pStyle w:val="ListBullet"/>
      </w:pPr>
      <w:r>
        <w:t xml:space="preserve">maintain the </w:t>
      </w:r>
      <w:r>
        <w:rPr>
          <w:rFonts w:cs="Arial"/>
        </w:rPr>
        <w:t>right to review state or territory specific data/data statements prior to the Commission releasing any material to the public domain</w:t>
      </w:r>
    </w:p>
    <w:p w14:paraId="4401BCF7" w14:textId="77777777" w:rsidR="00F3419C" w:rsidRDefault="00F3419C" w:rsidP="00F3419C">
      <w:pPr>
        <w:pStyle w:val="ListBullet"/>
      </w:pPr>
      <w:r w:rsidRPr="00047771">
        <w:t xml:space="preserve">ensure appropriate data governance and security </w:t>
      </w:r>
      <w:r>
        <w:t>are in place at the Commission</w:t>
      </w:r>
    </w:p>
    <w:p w14:paraId="35309954" w14:textId="77777777" w:rsidR="00F3419C" w:rsidRPr="005348A2" w:rsidRDefault="00F3419C" w:rsidP="00F61373">
      <w:pPr>
        <w:pStyle w:val="Heading2"/>
      </w:pPr>
      <w:bookmarkStart w:id="38" w:name="_Toc204691115"/>
      <w:r w:rsidRPr="005348A2">
        <w:t>National engagement and data use</w:t>
      </w:r>
      <w:bookmarkEnd w:id="38"/>
    </w:p>
    <w:p w14:paraId="2477037C" w14:textId="77777777" w:rsidR="00F3419C" w:rsidRPr="005348A2" w:rsidRDefault="00F3419C" w:rsidP="00F3419C">
      <w:r w:rsidRPr="005348A2">
        <w:t xml:space="preserve">The Commission works closely with the AIHW, the National Health Data and Information Standards Committee and the Strategic Committee for National Health Information to ensure that the Commission conforms to existing indicator and data development processes and structures. </w:t>
      </w:r>
    </w:p>
    <w:p w14:paraId="04CD68F8" w14:textId="77777777" w:rsidR="00F3419C" w:rsidRDefault="00F3419C" w:rsidP="00F3419C">
      <w:pPr>
        <w:rPr>
          <w:snapToGrid w:val="0"/>
        </w:rPr>
      </w:pPr>
      <w:r w:rsidRPr="005348A2">
        <w:rPr>
          <w:lang w:eastAsia="en-AU"/>
        </w:rPr>
        <w:t xml:space="preserve">The Metadata Online Registry (METeOR) is Australia's web-based repository for national metadata standards for the health, community services and housing assistance sectors. Hosted by the AIHW, METeOR provides users with a suite of features and tools, including online access to a wide range of nationally endorsed data definitions. </w:t>
      </w:r>
      <w:r w:rsidRPr="005348A2">
        <w:t xml:space="preserve">Since July 2016, the Commission has been </w:t>
      </w:r>
      <w:r w:rsidRPr="005348A2">
        <w:rPr>
          <w:snapToGrid w:val="0"/>
        </w:rPr>
        <w:t>established as an autonomous Registration Authority (RA) in METeOR. This enables the Commission to register, develop and endorse its own metadata content for local and national indicators of safety and quality in health care, for potential use by the public and private health sectors.</w:t>
      </w:r>
    </w:p>
    <w:p w14:paraId="6EB5A3B5" w14:textId="77777777" w:rsidR="00F61373" w:rsidRDefault="00F61373">
      <w:pPr>
        <w:rPr>
          <w:rFonts w:asciiTheme="majorHAnsi" w:hAnsiTheme="majorHAnsi" w:cs="Arial"/>
          <w:b/>
          <w:sz w:val="30"/>
          <w:szCs w:val="28"/>
        </w:rPr>
      </w:pPr>
      <w:bookmarkStart w:id="39" w:name="_Toc457232254"/>
      <w:bookmarkStart w:id="40" w:name="_Toc457237633"/>
      <w:bookmarkStart w:id="41" w:name="_Toc188972532"/>
      <w:r>
        <w:br w:type="page"/>
      </w:r>
    </w:p>
    <w:p w14:paraId="030ED182" w14:textId="039B0FB1" w:rsidR="00F61373" w:rsidRPr="005348A2" w:rsidRDefault="00F61373" w:rsidP="00F61373">
      <w:pPr>
        <w:pStyle w:val="Heading1"/>
      </w:pPr>
      <w:bookmarkStart w:id="42" w:name="_Toc204691116"/>
      <w:r w:rsidRPr="005348A2">
        <w:lastRenderedPageBreak/>
        <w:t>Data collection</w:t>
      </w:r>
      <w:bookmarkEnd w:id="39"/>
      <w:bookmarkEnd w:id="40"/>
      <w:r w:rsidRPr="005348A2">
        <w:t xml:space="preserve">s </w:t>
      </w:r>
      <w:r>
        <w:t>used</w:t>
      </w:r>
      <w:r w:rsidRPr="005348A2">
        <w:t xml:space="preserve"> by the Commission</w:t>
      </w:r>
      <w:bookmarkEnd w:id="41"/>
      <w:bookmarkEnd w:id="42"/>
    </w:p>
    <w:p w14:paraId="6A880C0A" w14:textId="77777777" w:rsidR="00F61373" w:rsidRPr="005348A2" w:rsidRDefault="00F61373" w:rsidP="00F61373">
      <w:pPr>
        <w:pStyle w:val="EYBodytextwithparaspace"/>
        <w:spacing w:line="276" w:lineRule="auto"/>
        <w:contextualSpacing/>
        <w:rPr>
          <w:rFonts w:ascii="Arial" w:hAnsi="Arial" w:cs="Arial"/>
          <w:sz w:val="22"/>
          <w:szCs w:val="22"/>
          <w:lang w:val="en-AU"/>
        </w:rPr>
      </w:pPr>
      <w:r w:rsidRPr="005348A2">
        <w:rPr>
          <w:rFonts w:ascii="Arial" w:hAnsi="Arial" w:cs="Arial"/>
          <w:sz w:val="22"/>
          <w:szCs w:val="22"/>
          <w:lang w:val="en-AU"/>
        </w:rPr>
        <w:t>The Commission will collect data appropriately, minimising the burden of data collection on the health sector by aligning requirements in the NHRA specifying the need for ‘single provision, multiple use’ of information to maximise efficiency (NHRA – Addendum 2020</w:t>
      </w:r>
      <w:r>
        <w:rPr>
          <w:rFonts w:ascii="Arial" w:hAnsi="Arial" w:cs="Arial"/>
          <w:sz w:val="22"/>
          <w:szCs w:val="22"/>
          <w:lang w:val="en-AU"/>
        </w:rPr>
        <w:t>–</w:t>
      </w:r>
      <w:r w:rsidRPr="005348A2">
        <w:rPr>
          <w:rFonts w:ascii="Arial" w:hAnsi="Arial" w:cs="Arial"/>
          <w:sz w:val="22"/>
          <w:szCs w:val="22"/>
          <w:lang w:val="en-AU"/>
        </w:rPr>
        <w:t xml:space="preserve">2025 B67 (d)). The Commission focusses primarily on established data collections to achieve its functions under the relevant legislative acts and in accordance with objectives of the Work Plan. </w:t>
      </w:r>
    </w:p>
    <w:p w14:paraId="0FE31F4B" w14:textId="537BBE5F" w:rsidR="003942F5" w:rsidRDefault="00F61373" w:rsidP="00F61373">
      <w:r w:rsidRPr="005348A2">
        <w:t xml:space="preserve">The Commission has determined that the key data sets relevant to </w:t>
      </w:r>
      <w:r>
        <w:t>deliver</w:t>
      </w:r>
      <w:r w:rsidRPr="005348A2">
        <w:t xml:space="preserve"> the</w:t>
      </w:r>
      <w:r>
        <w:t xml:space="preserve"> projects outlined in the </w:t>
      </w:r>
      <w:r w:rsidRPr="005348A2">
        <w:t>Work Plan are:</w:t>
      </w:r>
    </w:p>
    <w:p w14:paraId="7DF3FC3D" w14:textId="77777777" w:rsidR="00F61373" w:rsidRPr="005348A2" w:rsidRDefault="00F61373" w:rsidP="00F61373">
      <w:pPr>
        <w:pStyle w:val="ListBullet"/>
      </w:pPr>
      <w:r w:rsidRPr="005348A2">
        <w:rPr>
          <w:b/>
        </w:rPr>
        <w:t xml:space="preserve">Commission data collections </w:t>
      </w:r>
      <w:r w:rsidRPr="005348A2">
        <w:t>–</w:t>
      </w:r>
      <w:r w:rsidRPr="005348A2">
        <w:rPr>
          <w:b/>
        </w:rPr>
        <w:t xml:space="preserve"> </w:t>
      </w:r>
      <w:r w:rsidRPr="005348A2">
        <w:t xml:space="preserve">the Commission is responsible for </w:t>
      </w:r>
      <w:r>
        <w:t>acquiring</w:t>
      </w:r>
      <w:r w:rsidRPr="005348A2">
        <w:t xml:space="preserve"> data relating to accreditation outcomes, safety and quality </w:t>
      </w:r>
      <w:r>
        <w:t>assessments</w:t>
      </w:r>
      <w:r w:rsidRPr="005348A2">
        <w:t xml:space="preserve">, queries and advice provided on current safety and quality priorities, the National Hand Hygiene Initiative (NHHI), </w:t>
      </w:r>
      <w:r w:rsidRPr="00786D81">
        <w:t xml:space="preserve">National Alert System for Critical Antimicrobial Resistances </w:t>
      </w:r>
      <w:r>
        <w:t>(</w:t>
      </w:r>
      <w:r w:rsidRPr="005348A2">
        <w:t>CARAlert</w:t>
      </w:r>
      <w:r>
        <w:t>),</w:t>
      </w:r>
      <w:r w:rsidRPr="005348A2">
        <w:t xml:space="preserve"> </w:t>
      </w:r>
      <w:r w:rsidRPr="00786D81">
        <w:t>Australian Passive AMR Surveillance</w:t>
      </w:r>
      <w:r w:rsidRPr="005348A2">
        <w:t xml:space="preserve"> </w:t>
      </w:r>
      <w:r>
        <w:t>(</w:t>
      </w:r>
      <w:r w:rsidRPr="005348A2">
        <w:t>APAS</w:t>
      </w:r>
      <w:r>
        <w:t>), Accreditation outcomes and MedicineInsight.</w:t>
      </w:r>
    </w:p>
    <w:p w14:paraId="14209F0F" w14:textId="77777777" w:rsidR="00F61373" w:rsidRPr="005348A2" w:rsidRDefault="00F61373" w:rsidP="00F61373">
      <w:pPr>
        <w:pStyle w:val="ListBullet"/>
      </w:pPr>
      <w:r w:rsidRPr="005348A2">
        <w:rPr>
          <w:b/>
        </w:rPr>
        <w:t xml:space="preserve">Data collected by other organisations </w:t>
      </w:r>
      <w:r w:rsidRPr="005348A2">
        <w:t>–</w:t>
      </w:r>
      <w:r w:rsidRPr="005348A2">
        <w:rPr>
          <w:b/>
        </w:rPr>
        <w:t xml:space="preserve"> </w:t>
      </w:r>
      <w:r w:rsidRPr="005348A2">
        <w:t xml:space="preserve">the Commission supports organisations to collect, analyse and manage data that relate to safety and quality </w:t>
      </w:r>
      <w:r>
        <w:t>improvement priorities. The Commission may also utilise a combined approach whereby it contracts or is provided data and then takes on the analysis and reporting role</w:t>
      </w:r>
      <w:r w:rsidRPr="005348A2">
        <w:t xml:space="preserve"> </w:t>
      </w:r>
    </w:p>
    <w:p w14:paraId="4282AF55" w14:textId="77777777" w:rsidR="00F61373" w:rsidRPr="00054C54" w:rsidRDefault="00F61373" w:rsidP="00F61373">
      <w:pPr>
        <w:pStyle w:val="ListBullet"/>
      </w:pPr>
      <w:r w:rsidRPr="005348A2">
        <w:rPr>
          <w:rFonts w:eastAsia="Arial"/>
          <w:b/>
        </w:rPr>
        <w:t xml:space="preserve">National </w:t>
      </w:r>
      <w:r>
        <w:rPr>
          <w:rFonts w:eastAsia="Arial"/>
          <w:b/>
        </w:rPr>
        <w:t xml:space="preserve">public and private </w:t>
      </w:r>
      <w:r w:rsidRPr="005348A2">
        <w:rPr>
          <w:rFonts w:eastAsia="Arial"/>
          <w:b/>
        </w:rPr>
        <w:t>administrative data sets</w:t>
      </w:r>
      <w:r w:rsidRPr="005348A2">
        <w:rPr>
          <w:rFonts w:eastAsia="Arial"/>
        </w:rPr>
        <w:t xml:space="preserve"> – </w:t>
      </w:r>
      <w:r>
        <w:rPr>
          <w:rFonts w:eastAsia="Arial"/>
        </w:rPr>
        <w:t>this includes, but is not limited to,</w:t>
      </w:r>
      <w:r w:rsidRPr="005348A2">
        <w:rPr>
          <w:rFonts w:eastAsia="Arial"/>
        </w:rPr>
        <w:t xml:space="preserve"> the Medical Benefits Schedule (MBS), the Pharmaceutical Benefits Scheme (PBS) and the Admitted Patient Care National Minimum Data Set (APC NMDS)</w:t>
      </w:r>
      <w:r>
        <w:rPr>
          <w:rFonts w:eastAsia="Arial"/>
        </w:rPr>
        <w:t>, and private sector specific data collections</w:t>
      </w:r>
      <w:r w:rsidRPr="005348A2">
        <w:rPr>
          <w:rFonts w:eastAsia="Arial"/>
        </w:rPr>
        <w:t>.</w:t>
      </w:r>
    </w:p>
    <w:p w14:paraId="35B7089D" w14:textId="77777777" w:rsidR="00F61373" w:rsidRDefault="00F61373" w:rsidP="00F61373">
      <w:r>
        <w:t xml:space="preserve">Data collections are mapped against the Commission’s Work Plan items in Appendix 2a. Appendix 2b describes the separately funded projects for 2024-2025 that the Commission has been engaged to undertake in addition to the cost-shared workplan activities. These projects provide opportunities for the Commission to respond to emerging safety and quality issues and enhance greater collaboration across the health system. Some projects continue into future budget years, and there may be more projects that are funded. For some projects (*) the Commission provides in-kind support where there are opportunities to create synergies with elements of the cost-shared work plan, and where it supports the strategic intent of the work plan. </w:t>
      </w:r>
    </w:p>
    <w:p w14:paraId="46E52692" w14:textId="205A0C8B" w:rsidR="003942F5" w:rsidRDefault="00F61373" w:rsidP="00F61373">
      <w:r>
        <w:t>Minimally required data sets for the Commission to perform its core functions are identified in Appendices 3a and 3b, where approval is needed from jurisdictional and Commonwealth data custodians respectively. Appendix 3c lists remaining data collections nominated by the Commission for safety and quality monitoring, including data sets where the Commission is its data custodian.</w:t>
      </w:r>
    </w:p>
    <w:p w14:paraId="3A9DE233" w14:textId="77777777" w:rsidR="00F61373" w:rsidRPr="00F61373" w:rsidRDefault="00F61373" w:rsidP="00F61373">
      <w:pPr>
        <w:pStyle w:val="Heading2"/>
        <w:rPr>
          <w:rStyle w:val="BookTitle"/>
          <w:b/>
          <w:i w:val="0"/>
        </w:rPr>
      </w:pPr>
      <w:bookmarkStart w:id="43" w:name="_Toc204691117"/>
      <w:r w:rsidRPr="00F61373">
        <w:rPr>
          <w:rStyle w:val="BookTitle"/>
          <w:b/>
          <w:i w:val="0"/>
        </w:rPr>
        <w:t>Secondary use of data</w:t>
      </w:r>
      <w:bookmarkEnd w:id="43"/>
    </w:p>
    <w:p w14:paraId="55FB8E66" w14:textId="77777777" w:rsidR="00F61373" w:rsidRDefault="00F61373" w:rsidP="00983D28">
      <w:r>
        <w:t>The s</w:t>
      </w:r>
      <w:r w:rsidRPr="00AA0A71">
        <w:t xml:space="preserve">econdary use of data </w:t>
      </w:r>
      <w:r>
        <w:t>is the application of data, outside the purposes of its initial collection or primary use/purpose. An example of such a case where the Commission would be implementing secondary use, is with hospital administrative data collections. The primary purpose of the collection is for the provision of healthcare for the patient, the secondary use would be the derivation of indicators for the measurement of health care safety and quality, by the Commission, to meet its legislative obligations and requirements under the NHRA.</w:t>
      </w:r>
    </w:p>
    <w:p w14:paraId="2E92D106" w14:textId="77777777" w:rsidR="00F61373" w:rsidRDefault="00F61373" w:rsidP="00983D28"/>
    <w:p w14:paraId="51699138" w14:textId="77777777" w:rsidR="00F61373" w:rsidRPr="00AA0A71" w:rsidRDefault="00F61373" w:rsidP="00983D28">
      <w:r>
        <w:t>To ensure the appropriate use of data for secondary purposes, the Commission follows the relevant governance process, with the appropriate data custodians. The Data Plan reflects acknowledgement of the secondary use of the identified data collections where required to align with the Commission’s functions and Work Plan.</w:t>
      </w:r>
    </w:p>
    <w:p w14:paraId="59F4FA78" w14:textId="77777777" w:rsidR="00F61373" w:rsidRPr="005348A2" w:rsidRDefault="00F61373" w:rsidP="00983D28">
      <w:pPr>
        <w:pStyle w:val="Heading2"/>
      </w:pPr>
      <w:bookmarkStart w:id="44" w:name="_Toc204691118"/>
      <w:r w:rsidRPr="005348A2">
        <w:t>Data linkage as a priority</w:t>
      </w:r>
      <w:bookmarkEnd w:id="44"/>
    </w:p>
    <w:p w14:paraId="2639A15E" w14:textId="77777777" w:rsidR="00F61373" w:rsidRPr="00D105F6" w:rsidRDefault="00F61373" w:rsidP="00983D28">
      <w:r w:rsidRPr="00D105F6">
        <w:t xml:space="preserve">The Commission supports the development of national enduring data linkage to enable meaningful analysis of patient outcomes resulting from healthcare interventions. Linking administrative data (for example from APC NMDS, MBS, PBS and births/deaths registries) provides an opportunity to understand and monitor processes of health care, identify areas of risk or harm, and draw attention to potential safety and quality issues. However, the Commission recognises the increased importance of security, privacy, and ethics provisions in undertaking data linkage. </w:t>
      </w:r>
    </w:p>
    <w:p w14:paraId="0BF0497A" w14:textId="77777777" w:rsidR="00F61373" w:rsidRPr="005348A2" w:rsidRDefault="00F61373" w:rsidP="00F61373">
      <w:pPr>
        <w:spacing w:after="240"/>
        <w:contextualSpacing/>
      </w:pPr>
      <w:r w:rsidRPr="005348A2">
        <w:t>The Australian Atlas of Healthcare Variation presents data from the MBS, PBS and APC NMDS to explore variation across different healthcare settings. Some of this observed variation will be warranted and associated with need</w:t>
      </w:r>
      <w:r>
        <w:t>-</w:t>
      </w:r>
      <w:r w:rsidRPr="005348A2">
        <w:t>related factors such as underlying differences in the health of specific populations, or personal preferences. However, the weight of evidence in Australia and internationally suggests that much of the variation documented in the Atlas is likely to be unwarranted. It may reflect differences in clinicians’ practices, in the organisation of health care, and in people’s access to services. It may also reflect poor-quality health care that is not in accordance with evidence-based practice.</w:t>
      </w:r>
      <w:r>
        <w:br/>
      </w:r>
    </w:p>
    <w:p w14:paraId="1C3F74E3" w14:textId="77777777" w:rsidR="00F61373" w:rsidRPr="005348A2" w:rsidRDefault="00F61373" w:rsidP="00F61373">
      <w:pPr>
        <w:spacing w:after="240"/>
        <w:contextualSpacing/>
      </w:pPr>
      <w:r w:rsidRPr="005348A2">
        <w:t>Access to linked data sources would provide valuable insight into the outcomes of interventions and help identify appropriate intervention rates and what level of variation is warranted. Future editions of the Australian Atlas of Healthcare Variation and AURA reports will seek to incorporate and access the linkage of relevant healthcare and administrative data sets, such as the</w:t>
      </w:r>
      <w:r>
        <w:t xml:space="preserve"> National Health Data Hub </w:t>
      </w:r>
      <w:r w:rsidRPr="001F63CE">
        <w:t>(NHDH)</w:t>
      </w:r>
      <w:r>
        <w:t>, formerly the</w:t>
      </w:r>
      <w:r w:rsidRPr="005348A2">
        <w:t xml:space="preserve"> National Integrated Health Services Information (NIHSI) Analysis Asset.</w:t>
      </w:r>
    </w:p>
    <w:p w14:paraId="4973D858" w14:textId="77777777" w:rsidR="00F61373" w:rsidRPr="005348A2" w:rsidRDefault="00F61373" w:rsidP="00F61373">
      <w:pPr>
        <w:spacing w:after="240"/>
        <w:contextualSpacing/>
      </w:pPr>
    </w:p>
    <w:p w14:paraId="7C3F846D" w14:textId="72719123" w:rsidR="00F61373" w:rsidRPr="005348A2" w:rsidRDefault="00F61373" w:rsidP="00F61373">
      <w:pPr>
        <w:spacing w:after="240"/>
        <w:contextualSpacing/>
        <w:rPr>
          <w:bCs/>
        </w:rPr>
      </w:pPr>
      <w:r w:rsidRPr="005348A2">
        <w:t xml:space="preserve">The Commission is not a registered national linking authority and as such will </w:t>
      </w:r>
      <w:r w:rsidRPr="00282A3F">
        <w:rPr>
          <w:b/>
          <w:bCs/>
          <w:u w:val="single"/>
        </w:rPr>
        <w:t>not</w:t>
      </w:r>
      <w:r w:rsidRPr="005348A2">
        <w:t xml:space="preserve"> be linking any data itself. The Commission will use the expertise, authority and processes of national </w:t>
      </w:r>
      <w:r>
        <w:t xml:space="preserve">linking authorities </w:t>
      </w:r>
      <w:r w:rsidRPr="005348A2">
        <w:t xml:space="preserve">such as the AIHW, </w:t>
      </w:r>
      <w:r>
        <w:t xml:space="preserve">the </w:t>
      </w:r>
      <w:r w:rsidR="00574A3A">
        <w:t>Australian Government Department of Health, Disability and Ageing</w:t>
      </w:r>
      <w:r>
        <w:t xml:space="preserve"> </w:t>
      </w:r>
      <w:r w:rsidRPr="005348A2">
        <w:t xml:space="preserve">and the Australian Bureau of Statistics for any such linkage processes and projects. </w:t>
      </w:r>
    </w:p>
    <w:p w14:paraId="4AF1D5A4" w14:textId="158AFADF" w:rsidR="00983D28" w:rsidRDefault="00983D28">
      <w:r>
        <w:br w:type="page"/>
      </w:r>
    </w:p>
    <w:p w14:paraId="576A28D4" w14:textId="77777777" w:rsidR="00983D28" w:rsidRPr="005348A2" w:rsidRDefault="00983D28" w:rsidP="00983D28">
      <w:pPr>
        <w:pStyle w:val="Heading1"/>
      </w:pPr>
      <w:bookmarkStart w:id="45" w:name="_Toc188972533"/>
      <w:bookmarkStart w:id="46" w:name="_Toc204691119"/>
      <w:r w:rsidRPr="005348A2">
        <w:lastRenderedPageBreak/>
        <w:t>Reporting and publishing</w:t>
      </w:r>
      <w:bookmarkEnd w:id="45"/>
      <w:bookmarkEnd w:id="46"/>
    </w:p>
    <w:p w14:paraId="1EAD3325" w14:textId="77777777" w:rsidR="00983D28" w:rsidRPr="005348A2" w:rsidRDefault="00983D28" w:rsidP="00983D28">
      <w:pPr>
        <w:rPr>
          <w:lang w:eastAsia="en-AU"/>
        </w:rPr>
      </w:pPr>
      <w:r w:rsidRPr="005348A2">
        <w:t>The Commission has a legislative responsibility t</w:t>
      </w:r>
      <w:r w:rsidRPr="005348A2">
        <w:rPr>
          <w:lang w:eastAsia="en-AU"/>
        </w:rPr>
        <w:t>o publish reports and papers relating to healthcare safety and quality matters for a range of audiences, for example, health ministers, clinicians, consumers and health system managers.</w:t>
      </w:r>
    </w:p>
    <w:p w14:paraId="758FDC05" w14:textId="77777777" w:rsidR="00983D28" w:rsidRPr="005348A2" w:rsidRDefault="00983D28" w:rsidP="00983D28">
      <w:pPr>
        <w:rPr>
          <w:rFonts w:ascii="Arial" w:hAnsi="Arial"/>
        </w:rPr>
      </w:pPr>
      <w:r w:rsidRPr="005348A2">
        <w:rPr>
          <w:rFonts w:ascii="Arial" w:hAnsi="Arial"/>
        </w:rPr>
        <w:t>Examples of the Commission’s key reporting functions are as follows:</w:t>
      </w:r>
    </w:p>
    <w:p w14:paraId="7D538234" w14:textId="77777777" w:rsidR="00983D28" w:rsidRPr="003F16A3" w:rsidRDefault="00983D28" w:rsidP="00983D28">
      <w:pPr>
        <w:pStyle w:val="ListBullet"/>
        <w:rPr>
          <w:b/>
        </w:rPr>
      </w:pPr>
      <w:r w:rsidRPr="005348A2">
        <w:rPr>
          <w:b/>
        </w:rPr>
        <w:t xml:space="preserve">Safety and quality report </w:t>
      </w:r>
      <w:r w:rsidRPr="005348A2">
        <w:t>– The Commission publishes a report on the safety and quality of health care aimed at consumers. It includes case studies that provide an in-depth, but reader-friendly, analysis of safety and quality in a select number of priority areas to understand issues about safety and quality in health care and to develop solutions to address them</w:t>
      </w:r>
      <w:r>
        <w:t>.</w:t>
      </w:r>
    </w:p>
    <w:p w14:paraId="07B705B2" w14:textId="77777777" w:rsidR="00983D28" w:rsidRPr="00054C54" w:rsidRDefault="00983D28" w:rsidP="00983D28">
      <w:pPr>
        <w:pStyle w:val="ListBullet"/>
        <w:rPr>
          <w:bCs/>
        </w:rPr>
      </w:pPr>
      <w:r w:rsidRPr="00054C54">
        <w:rPr>
          <w:b/>
        </w:rPr>
        <w:t>Safety in Health Care web tool</w:t>
      </w:r>
      <w:r>
        <w:rPr>
          <w:b/>
        </w:rPr>
        <w:t xml:space="preserve"> </w:t>
      </w:r>
      <w:r w:rsidRPr="00054C54">
        <w:rPr>
          <w:bCs/>
        </w:rPr>
        <w:t>–</w:t>
      </w:r>
      <w:r w:rsidRPr="00054C54">
        <w:rPr>
          <w:b/>
        </w:rPr>
        <w:t xml:space="preserve"> </w:t>
      </w:r>
      <w:r w:rsidRPr="00054C54">
        <w:rPr>
          <w:bCs/>
        </w:rPr>
        <w:t>The Commission work</w:t>
      </w:r>
      <w:r>
        <w:rPr>
          <w:bCs/>
        </w:rPr>
        <w:t>s</w:t>
      </w:r>
      <w:r w:rsidRPr="00054C54">
        <w:rPr>
          <w:bCs/>
        </w:rPr>
        <w:t xml:space="preserve"> towards publicly reporting safety and quality information about Australian public and private hospitals via a national platform. Initial safety and quality indicators showcased and </w:t>
      </w:r>
      <w:r>
        <w:rPr>
          <w:bCs/>
        </w:rPr>
        <w:t>released</w:t>
      </w:r>
      <w:r w:rsidRPr="00054C54">
        <w:rPr>
          <w:bCs/>
        </w:rPr>
        <w:t xml:space="preserve"> in mid-2024 are sourced from publicly available national data collections. </w:t>
      </w:r>
    </w:p>
    <w:p w14:paraId="3A6873B7" w14:textId="77777777" w:rsidR="00983D28" w:rsidRPr="00054C54" w:rsidRDefault="00983D28" w:rsidP="00983D28">
      <w:pPr>
        <w:pStyle w:val="ListBullet"/>
      </w:pPr>
      <w:r w:rsidRPr="005348A2">
        <w:rPr>
          <w:b/>
        </w:rPr>
        <w:t xml:space="preserve">Reporting of accreditation outcomes </w:t>
      </w:r>
      <w:r>
        <w:t xml:space="preserve">– </w:t>
      </w:r>
      <w:r w:rsidRPr="00054C54">
        <w:t>The Commission contributes to national reports on outcomes of accreditation in relation to the National Safety and Quality Health Service (NSQHS) Standards</w:t>
      </w:r>
      <w:r>
        <w:t>, along with the additional accreditation schemes</w:t>
      </w:r>
    </w:p>
    <w:p w14:paraId="371F2A72" w14:textId="77777777" w:rsidR="00983D28" w:rsidRPr="00054C54" w:rsidRDefault="00983D28" w:rsidP="00983D28">
      <w:pPr>
        <w:pStyle w:val="ListBullet"/>
        <w:rPr>
          <w:b/>
        </w:rPr>
      </w:pPr>
      <w:r w:rsidRPr="005348A2">
        <w:rPr>
          <w:b/>
          <w:i/>
        </w:rPr>
        <w:t>Australian Atlas of Healthcare Variation</w:t>
      </w:r>
      <w:r w:rsidRPr="005348A2">
        <w:rPr>
          <w:b/>
        </w:rPr>
        <w:t xml:space="preserve"> </w:t>
      </w:r>
      <w:r>
        <w:rPr>
          <w:b/>
        </w:rPr>
        <w:t>series</w:t>
      </w:r>
      <w:r w:rsidRPr="005348A2">
        <w:t>– The Commission publishes the Atlas to highlight variation in in healthcare interventions across Australia. Information from a range of national healthcare data sets and information are used</w:t>
      </w:r>
      <w:r>
        <w:t>.</w:t>
      </w:r>
    </w:p>
    <w:p w14:paraId="0FC6F42A" w14:textId="41AC3AD8" w:rsidR="00F61373" w:rsidRDefault="00983D28" w:rsidP="00983D28">
      <w:pPr>
        <w:pStyle w:val="ListBullet"/>
      </w:pPr>
      <w:r w:rsidRPr="005348A2">
        <w:rPr>
          <w:b/>
        </w:rPr>
        <w:t>Other national publications</w:t>
      </w:r>
      <w:r w:rsidRPr="005348A2">
        <w:t xml:space="preserve"> – The Commission produces and contributes to a number of other national reports on safety and quality of health services, for example </w:t>
      </w:r>
      <w:r w:rsidRPr="005348A2">
        <w:rPr>
          <w:i/>
        </w:rPr>
        <w:t>AURA</w:t>
      </w:r>
      <w:r>
        <w:rPr>
          <w:i/>
        </w:rPr>
        <w:t>2023</w:t>
      </w:r>
      <w:r w:rsidRPr="005348A2">
        <w:rPr>
          <w:i/>
        </w:rPr>
        <w:t xml:space="preserve">: </w:t>
      </w:r>
      <w:r>
        <w:rPr>
          <w:i/>
        </w:rPr>
        <w:t>Fifth</w:t>
      </w:r>
      <w:r w:rsidRPr="005348A2">
        <w:rPr>
          <w:i/>
        </w:rPr>
        <w:t xml:space="preserve"> Australian report on antimicrobial use and resistance in human health </w:t>
      </w:r>
      <w:r w:rsidRPr="005348A2">
        <w:t xml:space="preserve">and other </w:t>
      </w:r>
      <w:r w:rsidRPr="00B13428">
        <w:t>AURA reports; and the National Standard Medication Chart (NSMC) audit reports.</w:t>
      </w:r>
    </w:p>
    <w:p w14:paraId="06AB6762" w14:textId="77777777" w:rsidR="00983D28" w:rsidRDefault="00983D28" w:rsidP="00983D28"/>
    <w:p w14:paraId="1C09DE19" w14:textId="31AE4C21" w:rsidR="00983D28" w:rsidRDefault="00983D28" w:rsidP="00983D28">
      <w:r w:rsidRPr="00B13428">
        <w:t xml:space="preserve">Prior to the publication of data where results are </w:t>
      </w:r>
      <w:r>
        <w:t>not aggregated at the national level</w:t>
      </w:r>
      <w:r w:rsidRPr="00B13428">
        <w:t>, the Commission will provide the relevant data custodians (and other authorising entities) the opportunity to review and validate the data, against the specifications used by the Commission, in advance of publication.</w:t>
      </w:r>
      <w:r w:rsidRPr="005348A2">
        <w:t xml:space="preserve"> </w:t>
      </w:r>
      <w:r>
        <w:t>Authorising entities will be engaged based on the level of data aggregation involved in reporting. For example, state and territory authorities for statistical findings presented at the jurisdictional level.</w:t>
      </w:r>
    </w:p>
    <w:p w14:paraId="18E03B3A" w14:textId="77777777" w:rsidR="00983D28" w:rsidRDefault="00983D28" w:rsidP="00983D28">
      <w:pPr>
        <w:pStyle w:val="Heading2"/>
        <w:rPr>
          <w:shd w:val="clear" w:color="auto" w:fill="FFFFFF"/>
        </w:rPr>
      </w:pPr>
      <w:bookmarkStart w:id="47" w:name="_Toc204691120"/>
      <w:r>
        <w:rPr>
          <w:shd w:val="clear" w:color="auto" w:fill="FFFFFF"/>
        </w:rPr>
        <w:t>Commitment to Closing the Gap</w:t>
      </w:r>
      <w:bookmarkEnd w:id="47"/>
    </w:p>
    <w:p w14:paraId="6D4CE7A0" w14:textId="77777777" w:rsidR="00983D28" w:rsidRPr="00F824D1" w:rsidRDefault="00983D28" w:rsidP="00983D28">
      <w:pPr>
        <w:rPr>
          <w:rFonts w:cs="Arial"/>
          <w:color w:val="1C2B39"/>
          <w:shd w:val="clear" w:color="auto" w:fill="FFFFFF"/>
        </w:rPr>
      </w:pPr>
      <w:r w:rsidRPr="00F824D1">
        <w:rPr>
          <w:rFonts w:cs="Arial"/>
          <w:color w:val="1C2B39"/>
          <w:shd w:val="clear" w:color="auto" w:fill="FFFFFF"/>
        </w:rPr>
        <w:t xml:space="preserve">As part of the National Agreement on Closing the Gap , </w:t>
      </w:r>
      <w:hyperlink r:id="rId31" w:history="1">
        <w:r w:rsidRPr="00F824D1">
          <w:rPr>
            <w:rStyle w:val="Hyperlink"/>
            <w:rFonts w:cs="Arial"/>
            <w:shd w:val="clear" w:color="auto" w:fill="FFFFFF"/>
          </w:rPr>
          <w:t>Priority Reform Four</w:t>
        </w:r>
      </w:hyperlink>
      <w:r w:rsidRPr="00F824D1">
        <w:rPr>
          <w:rFonts w:cs="Arial"/>
          <w:color w:val="1C2B39"/>
          <w:shd w:val="clear" w:color="auto" w:fill="FFFFFF"/>
        </w:rPr>
        <w:t xml:space="preserve"> under the </w:t>
      </w:r>
      <w:r w:rsidRPr="00891AA0">
        <w:rPr>
          <w:rFonts w:cs="Arial"/>
          <w:i/>
          <w:iCs/>
          <w:color w:val="1C2B39"/>
          <w:shd w:val="clear" w:color="auto" w:fill="FFFFFF"/>
        </w:rPr>
        <w:t>2023 Commonwealth Closing the Gap Implementation Plan</w:t>
      </w:r>
      <w:r>
        <w:rPr>
          <w:rFonts w:cs="Arial"/>
          <w:color w:val="1C2B39"/>
          <w:shd w:val="clear" w:color="auto" w:fill="FFFFFF"/>
        </w:rPr>
        <w:t xml:space="preserve"> </w:t>
      </w:r>
      <w:r w:rsidRPr="00F824D1">
        <w:rPr>
          <w:rFonts w:cs="Arial"/>
          <w:color w:val="1C2B39"/>
          <w:shd w:val="clear" w:color="auto" w:fill="FFFFFF"/>
        </w:rPr>
        <w:t>specifies that</w:t>
      </w:r>
      <w:r>
        <w:rPr>
          <w:rFonts w:cs="Arial"/>
          <w:color w:val="1C2B39"/>
          <w:shd w:val="clear" w:color="auto" w:fill="FFFFFF"/>
        </w:rPr>
        <w:t>:</w:t>
      </w:r>
      <w:r w:rsidRPr="00F824D1">
        <w:rPr>
          <w:rFonts w:cs="Arial"/>
          <w:color w:val="1C2B39"/>
          <w:shd w:val="clear" w:color="auto" w:fill="FFFFFF"/>
        </w:rPr>
        <w:t xml:space="preserve"> </w:t>
      </w:r>
    </w:p>
    <w:p w14:paraId="3A5ED0DF" w14:textId="77777777" w:rsidR="00983D28" w:rsidRPr="00F824D1" w:rsidRDefault="00983D28" w:rsidP="0011787C">
      <w:pPr>
        <w:rPr>
          <w:rFonts w:cs="Arial"/>
          <w:i/>
          <w:iCs/>
          <w:color w:val="1C2B39"/>
          <w:shd w:val="clear" w:color="auto" w:fill="FFFFFF"/>
        </w:rPr>
      </w:pPr>
      <w:r w:rsidRPr="00F824D1">
        <w:rPr>
          <w:rFonts w:cs="Arial"/>
          <w:i/>
          <w:iCs/>
          <w:color w:val="1C2B39"/>
          <w:shd w:val="clear" w:color="auto" w:fill="FFFFFF"/>
        </w:rPr>
        <w:t>Aboriginal and Torres Strait Islander people have access to, and the capability to use, locally relevant data and information to set and monitor the implementation of efforts to close the gap, their priorities and drive their own development.</w:t>
      </w:r>
    </w:p>
    <w:p w14:paraId="627FDCA4" w14:textId="77777777" w:rsidR="00983D28" w:rsidRPr="00F824D1" w:rsidRDefault="00983D28" w:rsidP="00983D28">
      <w:pPr>
        <w:rPr>
          <w:rFonts w:cs="Arial"/>
        </w:rPr>
      </w:pPr>
      <w:r w:rsidRPr="00F824D1">
        <w:rPr>
          <w:rFonts w:cs="Arial"/>
        </w:rPr>
        <w:t xml:space="preserve">The Commission supports this reform </w:t>
      </w:r>
      <w:r>
        <w:rPr>
          <w:rFonts w:cs="Arial"/>
        </w:rPr>
        <w:t xml:space="preserve">and Indigenous Data Sovereignty </w:t>
      </w:r>
      <w:r w:rsidRPr="00F824D1">
        <w:rPr>
          <w:rFonts w:cs="Arial"/>
        </w:rPr>
        <w:t xml:space="preserve">by continuing to engage with </w:t>
      </w:r>
      <w:r>
        <w:rPr>
          <w:rFonts w:cs="Arial"/>
        </w:rPr>
        <w:t xml:space="preserve">First Nations </w:t>
      </w:r>
      <w:r w:rsidRPr="00F824D1">
        <w:rPr>
          <w:rFonts w:cs="Arial"/>
        </w:rPr>
        <w:t xml:space="preserve">organisations as part of its comprehensive stakeholder consultation process </w:t>
      </w:r>
      <w:r>
        <w:rPr>
          <w:rFonts w:cs="Arial"/>
        </w:rPr>
        <w:t>for</w:t>
      </w:r>
      <w:r w:rsidRPr="00F824D1">
        <w:rPr>
          <w:rFonts w:cs="Arial"/>
        </w:rPr>
        <w:t xml:space="preserve"> First Nations specific projects and general programs.</w:t>
      </w:r>
    </w:p>
    <w:p w14:paraId="5E40736A" w14:textId="77777777" w:rsidR="00983D28" w:rsidRDefault="00983D28" w:rsidP="00983D28">
      <w:r w:rsidRPr="00F824D1">
        <w:rPr>
          <w:rFonts w:cs="Arial"/>
        </w:rPr>
        <w:t>The Commission regularly seeks guidance from, and works in collaboration with, organisations such as the National Aboriginal Community Controlled Health Organisation (</w:t>
      </w:r>
      <w:hyperlink r:id="rId32" w:history="1">
        <w:r w:rsidRPr="00F824D1">
          <w:rPr>
            <w:rStyle w:val="Hyperlink"/>
            <w:rFonts w:cs="Arial"/>
          </w:rPr>
          <w:t>NACCHO</w:t>
        </w:r>
      </w:hyperlink>
      <w:r w:rsidRPr="00F824D1">
        <w:rPr>
          <w:rFonts w:cs="Arial"/>
        </w:rPr>
        <w:t>) and the Australian Indigenous Doctors Associations (</w:t>
      </w:r>
      <w:hyperlink r:id="rId33" w:history="1">
        <w:r w:rsidRPr="00F824D1">
          <w:rPr>
            <w:rStyle w:val="Hyperlink"/>
            <w:rFonts w:cs="Arial"/>
          </w:rPr>
          <w:t>AIDA</w:t>
        </w:r>
      </w:hyperlink>
      <w:r w:rsidRPr="00F824D1">
        <w:rPr>
          <w:rFonts w:cs="Arial"/>
        </w:rPr>
        <w:t xml:space="preserve">), and partners with First Nations research organisations such as the </w:t>
      </w:r>
      <w:hyperlink r:id="rId34" w:history="1">
        <w:r w:rsidRPr="00F824D1">
          <w:rPr>
            <w:rStyle w:val="Hyperlink"/>
            <w:rFonts w:cs="Arial"/>
          </w:rPr>
          <w:t>South Australian Health and Medical Research Institute</w:t>
        </w:r>
      </w:hyperlink>
      <w:r w:rsidRPr="00F824D1">
        <w:rPr>
          <w:rFonts w:cs="Arial"/>
        </w:rPr>
        <w:t xml:space="preserve"> and the </w:t>
      </w:r>
      <w:hyperlink r:id="rId35" w:history="1">
        <w:r w:rsidRPr="00F824D1">
          <w:rPr>
            <w:rStyle w:val="Hyperlink"/>
            <w:rFonts w:cs="Arial"/>
          </w:rPr>
          <w:t>Lowitja Institute</w:t>
        </w:r>
      </w:hyperlink>
      <w:r w:rsidRPr="00F824D1">
        <w:rPr>
          <w:rFonts w:cs="Arial"/>
        </w:rPr>
        <w:t>. The Commission also collaborate</w:t>
      </w:r>
      <w:r>
        <w:rPr>
          <w:rFonts w:cs="Arial"/>
        </w:rPr>
        <w:t>s</w:t>
      </w:r>
      <w:r w:rsidRPr="00F824D1">
        <w:rPr>
          <w:rFonts w:cs="Arial"/>
        </w:rPr>
        <w:t xml:space="preserve"> with organisations including the Congress of Aboriginal and Torres Strait Islander Nurses and Midwives (</w:t>
      </w:r>
      <w:hyperlink r:id="rId36" w:history="1">
        <w:r w:rsidRPr="00F824D1">
          <w:rPr>
            <w:rStyle w:val="Hyperlink"/>
            <w:rFonts w:cs="Arial"/>
          </w:rPr>
          <w:t>CATSINaM</w:t>
        </w:r>
      </w:hyperlink>
      <w:r w:rsidRPr="00F824D1">
        <w:rPr>
          <w:rFonts w:cs="Arial"/>
        </w:rPr>
        <w:t>) to create and implement health programs, consulting them regularly throughout the development process to improve healthcare safety and quality in Australia.</w:t>
      </w:r>
    </w:p>
    <w:p w14:paraId="007C09D6" w14:textId="77777777" w:rsidR="00983D28" w:rsidRPr="00183590" w:rsidRDefault="00983D28" w:rsidP="00983D28">
      <w:pPr>
        <w:sectPr w:rsidR="00983D28" w:rsidRPr="00183590" w:rsidSect="00294F48">
          <w:pgSz w:w="11906" w:h="16838"/>
          <w:pgMar w:top="1134" w:right="992" w:bottom="1531" w:left="1440" w:header="709" w:footer="176" w:gutter="0"/>
          <w:cols w:space="708"/>
          <w:docGrid w:linePitch="360"/>
        </w:sectPr>
      </w:pPr>
    </w:p>
    <w:p w14:paraId="319206EC" w14:textId="77777777" w:rsidR="00983D28" w:rsidRPr="005348A2" w:rsidRDefault="00983D28" w:rsidP="00983D28">
      <w:pPr>
        <w:pStyle w:val="Heading1"/>
      </w:pPr>
      <w:bookmarkStart w:id="48" w:name="_Appendix_1:_National"/>
      <w:bookmarkStart w:id="49" w:name="_Ref456282008"/>
      <w:bookmarkStart w:id="50" w:name="_Ref456282098"/>
      <w:bookmarkStart w:id="51" w:name="_Ref456636411"/>
      <w:bookmarkStart w:id="52" w:name="_Toc457232261"/>
      <w:bookmarkStart w:id="53" w:name="_Toc457237640"/>
      <w:bookmarkStart w:id="54" w:name="_Toc188972534"/>
      <w:bookmarkStart w:id="55" w:name="_Toc204691121"/>
      <w:bookmarkEnd w:id="48"/>
      <w:r w:rsidRPr="005348A2">
        <w:lastRenderedPageBreak/>
        <w:t xml:space="preserve">Appendix 1: </w:t>
      </w:r>
      <w:r w:rsidRPr="00986B5A">
        <w:rPr>
          <w:i/>
        </w:rPr>
        <w:t>National Health Reform Act 2011</w:t>
      </w:r>
      <w:r>
        <w:t xml:space="preserve">, the 2020-2025 Addendum to the National Health Reform Agreement </w:t>
      </w:r>
      <w:r w:rsidRPr="005348A2">
        <w:t xml:space="preserve">and </w:t>
      </w:r>
      <w:r>
        <w:t>the</w:t>
      </w:r>
      <w:r w:rsidRPr="005348A2">
        <w:t xml:space="preserve"> National Health Information Agreement</w:t>
      </w:r>
      <w:bookmarkEnd w:id="49"/>
      <w:bookmarkEnd w:id="50"/>
      <w:bookmarkEnd w:id="51"/>
      <w:bookmarkEnd w:id="52"/>
      <w:bookmarkEnd w:id="53"/>
      <w:bookmarkEnd w:id="54"/>
      <w:bookmarkEnd w:id="55"/>
    </w:p>
    <w:p w14:paraId="4A205DB5" w14:textId="77777777" w:rsidR="00983D28" w:rsidRPr="005348A2" w:rsidRDefault="00983D28" w:rsidP="00983D28">
      <w:pPr>
        <w:rPr>
          <w:rFonts w:cs="Arial"/>
        </w:rPr>
      </w:pPr>
      <w:r w:rsidRPr="005348A2">
        <w:t xml:space="preserve">This section details the role and functions of the Commission as specified in both the National Health Reform Agreement and Act. It also outlines principles of data management as specified in the </w:t>
      </w:r>
      <w:r w:rsidRPr="005348A2">
        <w:rPr>
          <w:rFonts w:cs="Arial"/>
        </w:rPr>
        <w:t>National Health Information Agreement.</w:t>
      </w:r>
    </w:p>
    <w:tbl>
      <w:tblPr>
        <w:tblStyle w:val="SQHTable"/>
        <w:tblW w:w="0" w:type="auto"/>
        <w:tblLook w:val="04A0" w:firstRow="1" w:lastRow="0" w:firstColumn="1" w:lastColumn="0" w:noHBand="0" w:noVBand="1"/>
      </w:tblPr>
      <w:tblGrid>
        <w:gridCol w:w="9463"/>
      </w:tblGrid>
      <w:tr w:rsidR="00125160" w14:paraId="1DA3A6ED" w14:textId="77777777" w:rsidTr="00125160">
        <w:trPr>
          <w:cnfStyle w:val="100000000000" w:firstRow="1" w:lastRow="0" w:firstColumn="0" w:lastColumn="0" w:oddVBand="0" w:evenVBand="0" w:oddHBand="0" w:evenHBand="0" w:firstRowFirstColumn="0" w:firstRowLastColumn="0" w:lastRowFirstColumn="0" w:lastRowLastColumn="0"/>
        </w:trPr>
        <w:tc>
          <w:tcPr>
            <w:tcW w:w="9463" w:type="dxa"/>
          </w:tcPr>
          <w:p w14:paraId="7F0C8051" w14:textId="15227029" w:rsidR="00125160" w:rsidRDefault="00125160" w:rsidP="00983D28">
            <w:r w:rsidRPr="006B423F">
              <w:rPr>
                <w:rFonts w:cs="Arial"/>
                <w:i/>
              </w:rPr>
              <w:t>National Health Reform Act 2011</w:t>
            </w:r>
          </w:p>
        </w:tc>
      </w:tr>
      <w:tr w:rsidR="00125160" w14:paraId="1959F659" w14:textId="77777777" w:rsidTr="00125160">
        <w:tc>
          <w:tcPr>
            <w:tcW w:w="9463" w:type="dxa"/>
          </w:tcPr>
          <w:p w14:paraId="2A47A38C" w14:textId="194245E6" w:rsidR="00125160" w:rsidRDefault="00125160" w:rsidP="00983D28">
            <w:r w:rsidRPr="00983D28">
              <w:rPr>
                <w:rFonts w:cs="Arial"/>
                <w:b/>
                <w:color w:val="auto"/>
              </w:rPr>
              <w:t>Functions of the Commission</w:t>
            </w:r>
          </w:p>
        </w:tc>
      </w:tr>
      <w:tr w:rsidR="00125160" w14:paraId="2D540094" w14:textId="77777777" w:rsidTr="00125160">
        <w:trPr>
          <w:cnfStyle w:val="000000010000" w:firstRow="0" w:lastRow="0" w:firstColumn="0" w:lastColumn="0" w:oddVBand="0" w:evenVBand="0" w:oddHBand="0" w:evenHBand="1" w:firstRowFirstColumn="0" w:firstRowLastColumn="0" w:lastRowFirstColumn="0" w:lastRowLastColumn="0"/>
        </w:trPr>
        <w:tc>
          <w:tcPr>
            <w:tcW w:w="9463" w:type="dxa"/>
          </w:tcPr>
          <w:p w14:paraId="69FE60A7" w14:textId="77777777" w:rsidR="00125160" w:rsidRPr="005348A2" w:rsidRDefault="00125160" w:rsidP="00125160">
            <w:pPr>
              <w:rPr>
                <w:b/>
              </w:rPr>
            </w:pPr>
            <w:r w:rsidRPr="005348A2">
              <w:br/>
              <w:t>The Commission’s functions are specified in the National Health Reform Act 2011. They include requirements to report on the state of safety and quality in health care, and the formulation, support and promotion of indicators, as well as to collect, analyse, interpret and disseminate information relating to healthcare safety and quality matters.</w:t>
            </w:r>
          </w:p>
          <w:p w14:paraId="5ECEDF4D" w14:textId="77777777" w:rsidR="00125160" w:rsidRPr="005348A2" w:rsidRDefault="00125160" w:rsidP="00125160">
            <w:pPr>
              <w:rPr>
                <w:lang w:eastAsia="en-AU"/>
              </w:rPr>
            </w:pPr>
            <w:r w:rsidRPr="005348A2">
              <w:rPr>
                <w:lang w:eastAsia="en-AU"/>
              </w:rPr>
              <w:t xml:space="preserve">Chapter 2 Section 9 of the National Health Reform Act 2011, specifically details the Commission’s functions as the following: </w:t>
            </w:r>
          </w:p>
          <w:p w14:paraId="415977BF"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promote, support and encourage the implementation of arrangements, programs and initiatives relating to health care safety and quality matters; </w:t>
            </w:r>
          </w:p>
          <w:p w14:paraId="2053AE02"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collect, analyse, interpret and disseminate information relating to health care safety and quality matters; </w:t>
            </w:r>
          </w:p>
          <w:p w14:paraId="4547517A"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advise the Minister about health care safety and quality matters; </w:t>
            </w:r>
          </w:p>
          <w:p w14:paraId="5C0D8B7D"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publish (whether on the internet or otherwise) reports and papers relating to health care safety and quality matters; </w:t>
            </w:r>
          </w:p>
          <w:p w14:paraId="0EAD0FE8"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formulate, in writing, standards relating to health care safety and quality matters; </w:t>
            </w:r>
          </w:p>
          <w:p w14:paraId="2047F46D"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formulate, in writing, guidelines relating to health care safety and quality matters; </w:t>
            </w:r>
          </w:p>
          <w:p w14:paraId="0378B578"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formulate, in writing, indicators relating to health care safety and quality matters; </w:t>
            </w:r>
          </w:p>
          <w:p w14:paraId="48D67517"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promote, support and encourage the implementation of: </w:t>
            </w:r>
          </w:p>
          <w:p w14:paraId="6656CB8B" w14:textId="77777777" w:rsidR="00125160" w:rsidRPr="005348A2" w:rsidRDefault="00125160" w:rsidP="00125160">
            <w:pPr>
              <w:pStyle w:val="ListParagraph"/>
              <w:numPr>
                <w:ilvl w:val="1"/>
                <w:numId w:val="12"/>
              </w:numPr>
              <w:spacing w:before="100" w:beforeAutospacing="1" w:after="100" w:afterAutospacing="1" w:line="240" w:lineRule="auto"/>
              <w:rPr>
                <w:rFonts w:cs="Arial"/>
                <w:lang w:eastAsia="en-AU"/>
              </w:rPr>
            </w:pPr>
            <w:r w:rsidRPr="005348A2">
              <w:rPr>
                <w:rFonts w:cs="Arial"/>
                <w:lang w:eastAsia="en-AU"/>
              </w:rPr>
              <w:t xml:space="preserve">standards formulated under paragraph (e); and </w:t>
            </w:r>
          </w:p>
          <w:p w14:paraId="2ACB8BAF" w14:textId="77777777" w:rsidR="00125160" w:rsidRPr="005348A2" w:rsidRDefault="00125160" w:rsidP="00125160">
            <w:pPr>
              <w:pStyle w:val="ListParagraph"/>
              <w:numPr>
                <w:ilvl w:val="1"/>
                <w:numId w:val="12"/>
              </w:numPr>
              <w:spacing w:before="100" w:beforeAutospacing="1" w:after="100" w:afterAutospacing="1" w:line="240" w:lineRule="auto"/>
              <w:rPr>
                <w:rFonts w:cs="Arial"/>
                <w:lang w:eastAsia="en-AU"/>
              </w:rPr>
            </w:pPr>
            <w:r w:rsidRPr="005348A2">
              <w:rPr>
                <w:rFonts w:cs="Arial"/>
                <w:lang w:eastAsia="en-AU"/>
              </w:rPr>
              <w:t xml:space="preserve">guidelines formulated under paragraph (f); </w:t>
            </w:r>
          </w:p>
          <w:p w14:paraId="5DBA7989"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to promote, support and encourage the use of indicators formulated under paragraph (g);</w:t>
            </w:r>
          </w:p>
          <w:p w14:paraId="55D5691D"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monitor the implementation and impact of: </w:t>
            </w:r>
          </w:p>
          <w:p w14:paraId="772E7066" w14:textId="77777777" w:rsidR="00125160" w:rsidRPr="005348A2" w:rsidRDefault="00125160" w:rsidP="00125160">
            <w:pPr>
              <w:pStyle w:val="ListParagraph"/>
              <w:numPr>
                <w:ilvl w:val="1"/>
                <w:numId w:val="12"/>
              </w:numPr>
              <w:spacing w:before="100" w:beforeAutospacing="1" w:after="100" w:afterAutospacing="1" w:line="240" w:lineRule="auto"/>
              <w:rPr>
                <w:rFonts w:cs="Arial"/>
                <w:lang w:eastAsia="en-AU"/>
              </w:rPr>
            </w:pPr>
            <w:r w:rsidRPr="005348A2">
              <w:rPr>
                <w:rFonts w:cs="Arial"/>
                <w:lang w:eastAsia="en-AU"/>
              </w:rPr>
              <w:t>standards formulated under paragraph (e); and</w:t>
            </w:r>
          </w:p>
          <w:p w14:paraId="4B9AE45A" w14:textId="77777777" w:rsidR="00125160" w:rsidRPr="005348A2" w:rsidRDefault="00125160" w:rsidP="00125160">
            <w:pPr>
              <w:pStyle w:val="ListParagraph"/>
              <w:numPr>
                <w:ilvl w:val="1"/>
                <w:numId w:val="12"/>
              </w:numPr>
              <w:spacing w:before="100" w:beforeAutospacing="1" w:after="100" w:afterAutospacing="1" w:line="240" w:lineRule="auto"/>
              <w:rPr>
                <w:rFonts w:cs="Arial"/>
                <w:lang w:eastAsia="en-AU"/>
              </w:rPr>
            </w:pPr>
            <w:r w:rsidRPr="005348A2">
              <w:rPr>
                <w:rFonts w:cs="Arial"/>
                <w:lang w:eastAsia="en-AU"/>
              </w:rPr>
              <w:t>guidelines formulated under paragraph (f);</w:t>
            </w:r>
          </w:p>
          <w:p w14:paraId="10372EBC"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advise: </w:t>
            </w:r>
          </w:p>
          <w:p w14:paraId="30089433" w14:textId="77777777" w:rsidR="00125160" w:rsidRPr="005348A2" w:rsidRDefault="00125160" w:rsidP="00125160">
            <w:pPr>
              <w:pStyle w:val="ListParagraph"/>
              <w:numPr>
                <w:ilvl w:val="1"/>
                <w:numId w:val="12"/>
              </w:numPr>
              <w:spacing w:before="100" w:beforeAutospacing="1" w:after="100" w:afterAutospacing="1" w:line="240" w:lineRule="auto"/>
              <w:rPr>
                <w:rFonts w:cs="Arial"/>
                <w:lang w:eastAsia="en-AU"/>
              </w:rPr>
            </w:pPr>
            <w:r w:rsidRPr="005348A2">
              <w:rPr>
                <w:rFonts w:cs="Arial"/>
                <w:lang w:eastAsia="en-AU"/>
              </w:rPr>
              <w:t xml:space="preserve">the Minister; and </w:t>
            </w:r>
          </w:p>
          <w:p w14:paraId="542A4151" w14:textId="77777777" w:rsidR="00125160" w:rsidRPr="005348A2" w:rsidRDefault="00125160" w:rsidP="00125160">
            <w:pPr>
              <w:pStyle w:val="ListParagraph"/>
              <w:numPr>
                <w:ilvl w:val="1"/>
                <w:numId w:val="12"/>
              </w:numPr>
              <w:spacing w:before="100" w:beforeAutospacing="1" w:after="100" w:afterAutospacing="1" w:line="240" w:lineRule="auto"/>
              <w:rPr>
                <w:rFonts w:cs="Arial"/>
                <w:lang w:eastAsia="en-AU"/>
              </w:rPr>
            </w:pPr>
            <w:r w:rsidRPr="005348A2">
              <w:rPr>
                <w:rFonts w:cs="Arial"/>
                <w:lang w:eastAsia="en-AU"/>
              </w:rPr>
              <w:t>each participating State/Territory Health Minister;</w:t>
            </w:r>
          </w:p>
          <w:p w14:paraId="7418A3A1" w14:textId="77777777" w:rsidR="00125160" w:rsidRPr="005348A2" w:rsidRDefault="00125160" w:rsidP="00125160">
            <w:pPr>
              <w:pStyle w:val="ListParagraph"/>
              <w:spacing w:before="100" w:beforeAutospacing="1" w:after="100" w:afterAutospacing="1"/>
              <w:ind w:left="785" w:firstLine="0"/>
              <w:rPr>
                <w:rFonts w:cs="Arial"/>
                <w:lang w:eastAsia="en-AU"/>
              </w:rPr>
            </w:pPr>
            <w:r w:rsidRPr="005348A2">
              <w:rPr>
                <w:rFonts w:cs="Arial"/>
                <w:lang w:eastAsia="en-AU"/>
              </w:rPr>
              <w:t xml:space="preserve">about which standards formulated under paragraph (e) are suitable for implementation as national clinical standards; </w:t>
            </w:r>
          </w:p>
          <w:p w14:paraId="704A4435"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formulate model national schemes that: </w:t>
            </w:r>
          </w:p>
          <w:p w14:paraId="6C2794AB" w14:textId="77777777" w:rsidR="00125160" w:rsidRPr="005348A2" w:rsidRDefault="00125160" w:rsidP="00125160">
            <w:pPr>
              <w:pStyle w:val="ListParagraph"/>
              <w:numPr>
                <w:ilvl w:val="1"/>
                <w:numId w:val="12"/>
              </w:numPr>
              <w:spacing w:before="100" w:beforeAutospacing="1" w:after="100" w:afterAutospacing="1" w:line="240" w:lineRule="auto"/>
              <w:rPr>
                <w:rFonts w:cs="Arial"/>
                <w:lang w:eastAsia="en-AU"/>
              </w:rPr>
            </w:pPr>
            <w:r w:rsidRPr="005348A2">
              <w:rPr>
                <w:rFonts w:cs="Arial"/>
                <w:lang w:eastAsia="en-AU"/>
              </w:rPr>
              <w:t>provide for the accreditation of organisations that provide health care services; and</w:t>
            </w:r>
          </w:p>
          <w:p w14:paraId="457F6838" w14:textId="77777777" w:rsidR="00125160" w:rsidRPr="005348A2" w:rsidRDefault="00125160" w:rsidP="00125160">
            <w:pPr>
              <w:pStyle w:val="ListParagraph"/>
              <w:numPr>
                <w:ilvl w:val="1"/>
                <w:numId w:val="12"/>
              </w:numPr>
              <w:spacing w:before="100" w:beforeAutospacing="1" w:after="100" w:afterAutospacing="1" w:line="240" w:lineRule="auto"/>
              <w:rPr>
                <w:rFonts w:cs="Arial"/>
                <w:lang w:eastAsia="en-AU"/>
              </w:rPr>
            </w:pPr>
            <w:r w:rsidRPr="005348A2">
              <w:rPr>
                <w:rFonts w:cs="Arial"/>
                <w:lang w:eastAsia="en-AU"/>
              </w:rPr>
              <w:t>relate to health care safety and quality matters;</w:t>
            </w:r>
          </w:p>
          <w:p w14:paraId="43CE0F2D"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consult and co-operate with other persons, organisations and governments on health care safety and quality matters; </w:t>
            </w:r>
          </w:p>
          <w:p w14:paraId="5328FB3A"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such functions (if any) as are specified in a written instrument given by the Minister to the Commission Board Chair; </w:t>
            </w:r>
          </w:p>
          <w:p w14:paraId="663ABDA7" w14:textId="77777777" w:rsidR="00125160" w:rsidRPr="005348A2"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lastRenderedPageBreak/>
              <w:t xml:space="preserve">to promote, support, encourage, conduct and evaluate training programs for purposes in connection with the performance of any of the Commission's functions; </w:t>
            </w:r>
          </w:p>
          <w:p w14:paraId="4C36BC15" w14:textId="77777777" w:rsidR="00A27DED" w:rsidRDefault="00125160" w:rsidP="00125160">
            <w:pPr>
              <w:pStyle w:val="ListParagraph"/>
              <w:numPr>
                <w:ilvl w:val="0"/>
                <w:numId w:val="12"/>
              </w:numPr>
              <w:spacing w:before="100" w:beforeAutospacing="1" w:after="100" w:afterAutospacing="1" w:line="240" w:lineRule="auto"/>
              <w:rPr>
                <w:rFonts w:cs="Arial"/>
                <w:lang w:eastAsia="en-AU"/>
              </w:rPr>
            </w:pPr>
            <w:r w:rsidRPr="005348A2">
              <w:rPr>
                <w:rFonts w:cs="Arial"/>
                <w:lang w:eastAsia="en-AU"/>
              </w:rPr>
              <w:t xml:space="preserve">to promote, support, encourage, conduct and evaluate research for purposes in connection with the performance of any of the Commission's functions; </w:t>
            </w:r>
          </w:p>
          <w:p w14:paraId="2B4C688F" w14:textId="5A3C091E" w:rsidR="00125160" w:rsidRPr="00A27DED" w:rsidRDefault="00125160" w:rsidP="00125160">
            <w:pPr>
              <w:pStyle w:val="ListParagraph"/>
              <w:numPr>
                <w:ilvl w:val="0"/>
                <w:numId w:val="12"/>
              </w:numPr>
              <w:spacing w:before="100" w:beforeAutospacing="1" w:after="100" w:afterAutospacing="1" w:line="240" w:lineRule="auto"/>
              <w:rPr>
                <w:rFonts w:cs="Arial"/>
                <w:lang w:eastAsia="en-AU"/>
              </w:rPr>
            </w:pPr>
            <w:r w:rsidRPr="00A27DED">
              <w:rPr>
                <w:rFonts w:cs="Arial"/>
                <w:lang w:eastAsia="en-AU"/>
              </w:rPr>
              <w:t xml:space="preserve">to do anything incidental to or conducive to the performance of any of the above functions. </w:t>
            </w:r>
          </w:p>
        </w:tc>
      </w:tr>
    </w:tbl>
    <w:p w14:paraId="4D075251" w14:textId="77777777" w:rsidR="00983D28" w:rsidRDefault="00983D28" w:rsidP="00983D28"/>
    <w:tbl>
      <w:tblPr>
        <w:tblStyle w:val="SQHTable"/>
        <w:tblW w:w="0" w:type="auto"/>
        <w:tblLook w:val="04A0" w:firstRow="1" w:lastRow="0" w:firstColumn="1" w:lastColumn="0" w:noHBand="0" w:noVBand="1"/>
      </w:tblPr>
      <w:tblGrid>
        <w:gridCol w:w="9463"/>
      </w:tblGrid>
      <w:tr w:rsidR="00A67464" w14:paraId="6B10995B" w14:textId="77777777" w:rsidTr="00A67464">
        <w:trPr>
          <w:cnfStyle w:val="100000000000" w:firstRow="1" w:lastRow="0" w:firstColumn="0" w:lastColumn="0" w:oddVBand="0" w:evenVBand="0" w:oddHBand="0" w:evenHBand="0" w:firstRowFirstColumn="0" w:firstRowLastColumn="0" w:lastRowFirstColumn="0" w:lastRowLastColumn="0"/>
        </w:trPr>
        <w:tc>
          <w:tcPr>
            <w:tcW w:w="9463" w:type="dxa"/>
          </w:tcPr>
          <w:p w14:paraId="49DE2A7B" w14:textId="137088A4" w:rsidR="00A67464" w:rsidRPr="00411086" w:rsidRDefault="00582268" w:rsidP="00983D28">
            <w:pPr>
              <w:rPr>
                <w:i/>
                <w:iCs/>
              </w:rPr>
            </w:pPr>
            <w:r w:rsidRPr="00411086">
              <w:rPr>
                <w:rFonts w:cs="Arial"/>
                <w:i/>
                <w:iCs/>
              </w:rPr>
              <w:t>National Health Reform Agreement – Addendum 2020-2025</w:t>
            </w:r>
          </w:p>
        </w:tc>
      </w:tr>
      <w:tr w:rsidR="00A67464" w14:paraId="5E86246F" w14:textId="77777777" w:rsidTr="00A67464">
        <w:tc>
          <w:tcPr>
            <w:tcW w:w="9463" w:type="dxa"/>
          </w:tcPr>
          <w:p w14:paraId="76D82EBE" w14:textId="33194496" w:rsidR="00A67464" w:rsidRDefault="00582268" w:rsidP="00983D28">
            <w:r w:rsidRPr="00983D28">
              <w:rPr>
                <w:rFonts w:cs="Arial"/>
                <w:b/>
                <w:color w:val="auto"/>
              </w:rPr>
              <w:t>Functions of the Commission</w:t>
            </w:r>
          </w:p>
        </w:tc>
      </w:tr>
      <w:tr w:rsidR="00F54AFE" w14:paraId="74BAC306" w14:textId="77777777" w:rsidTr="00A67464">
        <w:trPr>
          <w:cnfStyle w:val="000000010000" w:firstRow="0" w:lastRow="0" w:firstColumn="0" w:lastColumn="0" w:oddVBand="0" w:evenVBand="0" w:oddHBand="0" w:evenHBand="1" w:firstRowFirstColumn="0" w:firstRowLastColumn="0" w:lastRowFirstColumn="0" w:lastRowLastColumn="0"/>
        </w:trPr>
        <w:tc>
          <w:tcPr>
            <w:tcW w:w="9463" w:type="dxa"/>
          </w:tcPr>
          <w:p w14:paraId="3876EFBE" w14:textId="77777777" w:rsidR="00F54AFE" w:rsidRPr="005348A2" w:rsidRDefault="00F54AFE" w:rsidP="00F54AFE">
            <w:pPr>
              <w:pStyle w:val="EYBodytextwithparaspace"/>
              <w:rPr>
                <w:rFonts w:ascii="Arial" w:hAnsi="Arial" w:cs="Arial"/>
                <w:b/>
                <w:sz w:val="22"/>
                <w:szCs w:val="22"/>
                <w:lang w:val="en-AU"/>
              </w:rPr>
            </w:pPr>
            <w:r w:rsidRPr="005348A2">
              <w:rPr>
                <w:rFonts w:ascii="Arial" w:hAnsi="Arial" w:cs="Arial"/>
                <w:sz w:val="22"/>
                <w:szCs w:val="22"/>
                <w:lang w:val="en-AU"/>
              </w:rPr>
              <w:br/>
              <w:t>The NHRA is established between the Commonwealth and the States and Territories. Under the Agreement (B48), the Commission’s role is to:</w:t>
            </w:r>
          </w:p>
          <w:p w14:paraId="45D80F62" w14:textId="77777777" w:rsidR="00F54AFE" w:rsidRPr="005348A2" w:rsidRDefault="00F54AFE" w:rsidP="00F54AFE">
            <w:pPr>
              <w:pStyle w:val="ListParagraph"/>
              <w:numPr>
                <w:ilvl w:val="0"/>
                <w:numId w:val="10"/>
              </w:numPr>
              <w:spacing w:before="100" w:beforeAutospacing="1" w:after="100" w:afterAutospacing="1" w:line="240" w:lineRule="auto"/>
              <w:ind w:left="785"/>
              <w:rPr>
                <w:rFonts w:cs="Arial"/>
                <w:lang w:eastAsia="en-AU"/>
              </w:rPr>
            </w:pPr>
            <w:r w:rsidRPr="005348A2">
              <w:rPr>
                <w:rFonts w:cs="Arial"/>
                <w:lang w:eastAsia="en-AU"/>
              </w:rPr>
              <w:t>lead and coordinate improvements in safety and quality in health care in Australia by identifying issues and policy directions, and recommending priorities for action;</w:t>
            </w:r>
          </w:p>
          <w:p w14:paraId="0CD307C2" w14:textId="77777777" w:rsidR="00F54AFE" w:rsidRPr="005348A2" w:rsidRDefault="00F54AFE" w:rsidP="00F54AFE">
            <w:pPr>
              <w:pStyle w:val="ListParagraph"/>
              <w:numPr>
                <w:ilvl w:val="0"/>
                <w:numId w:val="10"/>
              </w:numPr>
              <w:spacing w:before="100" w:beforeAutospacing="1" w:after="100" w:afterAutospacing="1" w:line="240" w:lineRule="auto"/>
              <w:ind w:left="785"/>
              <w:rPr>
                <w:rFonts w:cs="Arial"/>
                <w:lang w:eastAsia="en-AU"/>
              </w:rPr>
            </w:pPr>
            <w:r w:rsidRPr="005348A2">
              <w:rPr>
                <w:rFonts w:cs="Arial"/>
                <w:lang w:eastAsia="en-AU"/>
              </w:rPr>
              <w:t>disseminate knowledge and advocate for safety and quality;</w:t>
            </w:r>
          </w:p>
          <w:p w14:paraId="16DD5932" w14:textId="77777777" w:rsidR="00F54AFE" w:rsidRPr="005348A2" w:rsidRDefault="00F54AFE" w:rsidP="00F54AFE">
            <w:pPr>
              <w:pStyle w:val="ListParagraph"/>
              <w:numPr>
                <w:ilvl w:val="0"/>
                <w:numId w:val="10"/>
              </w:numPr>
              <w:spacing w:before="100" w:beforeAutospacing="1" w:after="100" w:afterAutospacing="1" w:line="240" w:lineRule="auto"/>
              <w:ind w:left="785"/>
              <w:rPr>
                <w:rFonts w:cs="Arial"/>
                <w:lang w:eastAsia="en-AU"/>
              </w:rPr>
            </w:pPr>
            <w:r w:rsidRPr="005348A2">
              <w:rPr>
                <w:rFonts w:cs="Arial"/>
                <w:lang w:eastAsia="en-AU"/>
              </w:rPr>
              <w:t>report publicly on the state of safety and quality including performance against national standards;</w:t>
            </w:r>
          </w:p>
          <w:p w14:paraId="44B3A416" w14:textId="77777777" w:rsidR="00F54AFE" w:rsidRPr="005348A2" w:rsidRDefault="00F54AFE" w:rsidP="00F54AFE">
            <w:pPr>
              <w:pStyle w:val="ListParagraph"/>
              <w:numPr>
                <w:ilvl w:val="0"/>
                <w:numId w:val="10"/>
              </w:numPr>
              <w:spacing w:before="100" w:beforeAutospacing="1" w:after="100" w:afterAutospacing="1" w:line="240" w:lineRule="auto"/>
              <w:ind w:left="785"/>
              <w:rPr>
                <w:rFonts w:cs="Arial"/>
                <w:lang w:eastAsia="en-AU"/>
              </w:rPr>
            </w:pPr>
            <w:r w:rsidRPr="005348A2">
              <w:rPr>
                <w:rFonts w:cs="Arial"/>
                <w:lang w:eastAsia="en-AU"/>
              </w:rPr>
              <w:t>recommend national data sets for safety and quality, working within current multilateral governmental arrangements for data development, standards, collection and reporting;</w:t>
            </w:r>
          </w:p>
          <w:p w14:paraId="3AAAC06D" w14:textId="77777777" w:rsidR="00F54AFE" w:rsidRPr="005348A2" w:rsidRDefault="00F54AFE" w:rsidP="00F54AFE">
            <w:pPr>
              <w:pStyle w:val="ListParagraph"/>
              <w:numPr>
                <w:ilvl w:val="0"/>
                <w:numId w:val="10"/>
              </w:numPr>
              <w:spacing w:before="100" w:beforeAutospacing="1" w:after="100" w:afterAutospacing="1" w:line="240" w:lineRule="auto"/>
              <w:ind w:left="785"/>
              <w:rPr>
                <w:rFonts w:cs="Arial"/>
                <w:lang w:eastAsia="en-AU"/>
              </w:rPr>
            </w:pPr>
            <w:r w:rsidRPr="005348A2">
              <w:rPr>
                <w:rFonts w:cs="Arial"/>
                <w:lang w:eastAsia="en-AU"/>
              </w:rPr>
              <w:t>provide strategic advice to CHC</w:t>
            </w:r>
            <w:r w:rsidRPr="005348A2">
              <w:rPr>
                <w:rStyle w:val="FootnoteReference"/>
                <w:rFonts w:cs="Arial"/>
                <w:lang w:eastAsia="en-AU"/>
              </w:rPr>
              <w:footnoteReference w:id="4"/>
            </w:r>
            <w:r w:rsidRPr="005348A2">
              <w:rPr>
                <w:rFonts w:cs="Arial"/>
                <w:lang w:eastAsia="en-AU"/>
              </w:rPr>
              <w:t xml:space="preserve"> on best practice thinking to drive quality improvement, including implementation strategies; and</w:t>
            </w:r>
          </w:p>
          <w:p w14:paraId="43A4E6AC" w14:textId="77777777" w:rsidR="00F54AFE" w:rsidRPr="005348A2" w:rsidRDefault="00F54AFE" w:rsidP="00F54AFE">
            <w:pPr>
              <w:pStyle w:val="ListParagraph"/>
              <w:numPr>
                <w:ilvl w:val="0"/>
                <w:numId w:val="10"/>
              </w:numPr>
              <w:spacing w:before="100" w:beforeAutospacing="1" w:after="100" w:afterAutospacing="1" w:line="240" w:lineRule="auto"/>
              <w:ind w:left="785"/>
              <w:rPr>
                <w:rFonts w:cs="Arial"/>
                <w:lang w:eastAsia="en-AU"/>
              </w:rPr>
            </w:pPr>
            <w:r w:rsidRPr="005348A2">
              <w:rPr>
                <w:rFonts w:cs="Arial"/>
                <w:lang w:eastAsia="en-AU"/>
              </w:rPr>
              <w:t>recommend nationally agreed standards for safety and quality improvement.</w:t>
            </w:r>
          </w:p>
          <w:p w14:paraId="28321C7E" w14:textId="77777777" w:rsidR="00F54AFE" w:rsidRPr="005348A2" w:rsidRDefault="00F54AFE" w:rsidP="00F54AFE">
            <w:pPr>
              <w:spacing w:before="100" w:beforeAutospacing="1" w:after="100" w:afterAutospacing="1"/>
              <w:rPr>
                <w:rFonts w:cs="Arial"/>
                <w:lang w:eastAsia="en-AU"/>
              </w:rPr>
            </w:pPr>
            <w:r w:rsidRPr="005348A2">
              <w:rPr>
                <w:rFonts w:cs="Arial"/>
                <w:lang w:eastAsia="en-AU"/>
              </w:rPr>
              <w:t>In addition:</w:t>
            </w:r>
          </w:p>
          <w:p w14:paraId="257BD69B" w14:textId="77777777" w:rsidR="00F54AFE" w:rsidRPr="005348A2" w:rsidRDefault="00F54AFE" w:rsidP="00F54AFE">
            <w:pPr>
              <w:spacing w:before="100" w:beforeAutospacing="1" w:after="100" w:afterAutospacing="1"/>
              <w:rPr>
                <w:rFonts w:cs="Arial"/>
                <w:lang w:eastAsia="en-AU"/>
              </w:rPr>
            </w:pPr>
            <w:r w:rsidRPr="005348A2">
              <w:rPr>
                <w:rFonts w:cs="Arial"/>
                <w:lang w:eastAsia="en-AU"/>
              </w:rPr>
              <w:t>B49. The Commission will expand its role of developing national clinical standards and strengthened clinical governance. These arrangements will be further developed in consultation with</w:t>
            </w:r>
            <w:r w:rsidRPr="005348A2">
              <w:t xml:space="preserve"> Parties to this Addendum via AHMAC</w:t>
            </w:r>
            <w:r w:rsidRPr="005348A2">
              <w:rPr>
                <w:rFonts w:cs="Arial"/>
                <w:lang w:eastAsia="en-AU"/>
              </w:rPr>
              <w:t>.</w:t>
            </w:r>
          </w:p>
          <w:p w14:paraId="1AE4C111" w14:textId="77777777" w:rsidR="00F54AFE" w:rsidRPr="005348A2" w:rsidRDefault="00F54AFE" w:rsidP="00F54AFE">
            <w:pPr>
              <w:spacing w:before="100" w:beforeAutospacing="1" w:after="100" w:afterAutospacing="1"/>
              <w:rPr>
                <w:rFonts w:cs="Arial"/>
                <w:lang w:eastAsia="en-AU"/>
              </w:rPr>
            </w:pPr>
            <w:r w:rsidRPr="005348A2">
              <w:rPr>
                <w:rFonts w:cs="Arial"/>
                <w:lang w:eastAsia="en-AU"/>
              </w:rPr>
              <w:t>B50. The Commission will:</w:t>
            </w:r>
          </w:p>
          <w:p w14:paraId="54CF6AF6" w14:textId="77777777" w:rsidR="00F54AFE" w:rsidRPr="005348A2" w:rsidRDefault="00F54AFE" w:rsidP="00F54AFE">
            <w:pPr>
              <w:pStyle w:val="ListParagraph"/>
              <w:numPr>
                <w:ilvl w:val="0"/>
                <w:numId w:val="11"/>
              </w:numPr>
              <w:spacing w:before="100" w:beforeAutospacing="1" w:after="100" w:afterAutospacing="1" w:line="240" w:lineRule="auto"/>
              <w:rPr>
                <w:rFonts w:cs="Arial"/>
                <w:lang w:eastAsia="en-AU"/>
              </w:rPr>
            </w:pPr>
            <w:r w:rsidRPr="005348A2">
              <w:rPr>
                <w:rFonts w:cs="Arial"/>
                <w:lang w:eastAsia="en-AU"/>
              </w:rPr>
              <w:t>formulate and monitor safety and quality standards and work with clinicians to identify best practice clinical care, to ensure the appropriateness of services being delivered in a particular health care setting; and</w:t>
            </w:r>
          </w:p>
          <w:p w14:paraId="34474BA4" w14:textId="77777777" w:rsidR="00F54AFE" w:rsidRPr="005348A2" w:rsidRDefault="00F54AFE" w:rsidP="00F54AFE">
            <w:pPr>
              <w:pStyle w:val="ListParagraph"/>
              <w:numPr>
                <w:ilvl w:val="0"/>
                <w:numId w:val="11"/>
              </w:numPr>
              <w:spacing w:before="100" w:beforeAutospacing="1" w:after="100" w:afterAutospacing="1" w:line="240" w:lineRule="auto"/>
              <w:rPr>
                <w:rFonts w:cs="Arial"/>
                <w:lang w:eastAsia="en-AU"/>
              </w:rPr>
            </w:pPr>
            <w:r w:rsidRPr="005348A2">
              <w:rPr>
                <w:rFonts w:cs="Arial"/>
                <w:lang w:eastAsia="en-AU"/>
              </w:rPr>
              <w:t>provide advice to CHC about which of the standards are suitable for implementation as national clinical standards.</w:t>
            </w:r>
          </w:p>
          <w:p w14:paraId="2E2D981D" w14:textId="77777777" w:rsidR="00F54AFE" w:rsidRPr="005348A2" w:rsidRDefault="00F54AFE" w:rsidP="00F54AFE">
            <w:pPr>
              <w:spacing w:before="100" w:beforeAutospacing="1" w:after="100" w:afterAutospacing="1"/>
              <w:rPr>
                <w:rFonts w:cs="Arial"/>
                <w:lang w:eastAsia="en-AU"/>
              </w:rPr>
            </w:pPr>
            <w:r w:rsidRPr="005348A2">
              <w:rPr>
                <w:rFonts w:cs="Arial"/>
                <w:lang w:eastAsia="en-AU"/>
              </w:rPr>
              <w:t>B52. The Commission will:</w:t>
            </w:r>
          </w:p>
          <w:p w14:paraId="26315998" w14:textId="77777777" w:rsidR="00F54AFE" w:rsidRPr="005348A2" w:rsidRDefault="00F54AFE" w:rsidP="00F54AFE">
            <w:pPr>
              <w:pStyle w:val="ListParagraph"/>
              <w:numPr>
                <w:ilvl w:val="0"/>
                <w:numId w:val="17"/>
              </w:numPr>
              <w:spacing w:before="100" w:beforeAutospacing="1" w:after="100" w:afterAutospacing="1" w:line="240" w:lineRule="auto"/>
              <w:rPr>
                <w:rFonts w:cs="Arial"/>
                <w:lang w:eastAsia="en-AU"/>
              </w:rPr>
            </w:pPr>
            <w:r w:rsidRPr="005348A2">
              <w:rPr>
                <w:rFonts w:cs="Arial"/>
                <w:lang w:eastAsia="en-AU"/>
              </w:rPr>
              <w:t>curate the Sentinel Events and HAC lists for the purposes of ensuring they remain robust and relevant for clinical improvement purposes, within its existing governance</w:t>
            </w:r>
            <w:r w:rsidRPr="005348A2">
              <w:t xml:space="preserve"> </w:t>
            </w:r>
            <w:r w:rsidRPr="005348A2">
              <w:rPr>
                <w:rFonts w:cs="Arial"/>
                <w:lang w:eastAsia="en-AU"/>
              </w:rPr>
              <w:t>arrangements and in conjunction with IHPA Technical Advisory Committee advice;</w:t>
            </w:r>
          </w:p>
          <w:p w14:paraId="4E46D384" w14:textId="77777777" w:rsidR="00F54AFE" w:rsidRPr="005348A2" w:rsidRDefault="00F54AFE" w:rsidP="00F54AFE">
            <w:pPr>
              <w:pStyle w:val="ListParagraph"/>
              <w:numPr>
                <w:ilvl w:val="0"/>
                <w:numId w:val="17"/>
              </w:numPr>
              <w:spacing w:before="100" w:beforeAutospacing="1" w:after="100" w:afterAutospacing="1" w:line="240" w:lineRule="auto"/>
              <w:rPr>
                <w:rFonts w:cs="Arial"/>
                <w:lang w:eastAsia="en-AU"/>
              </w:rPr>
            </w:pPr>
            <w:r w:rsidRPr="005348A2">
              <w:rPr>
                <w:rFonts w:cs="Arial"/>
                <w:lang w:eastAsia="en-AU"/>
              </w:rPr>
              <w:t xml:space="preserve">maintain a HAC Curation Clinical Advisory Group (HCCAG) to advise on new and existing complications on the HAC list. The HCCAG will have regard to the recommendations of specialty Clinical Panels established by the Commission where necessary; </w:t>
            </w:r>
          </w:p>
          <w:p w14:paraId="0E2D4ABE" w14:textId="77777777" w:rsidR="00F54AFE" w:rsidRPr="005348A2" w:rsidRDefault="00F54AFE" w:rsidP="00F54AFE">
            <w:pPr>
              <w:pStyle w:val="ListParagraph"/>
              <w:numPr>
                <w:ilvl w:val="0"/>
                <w:numId w:val="17"/>
              </w:numPr>
              <w:spacing w:before="100" w:beforeAutospacing="1" w:after="100" w:afterAutospacing="1" w:line="240" w:lineRule="auto"/>
              <w:rPr>
                <w:rFonts w:cs="Arial"/>
                <w:lang w:eastAsia="en-AU"/>
              </w:rPr>
            </w:pPr>
            <w:r w:rsidRPr="005348A2">
              <w:rPr>
                <w:rFonts w:cs="Arial"/>
                <w:lang w:eastAsia="en-AU"/>
              </w:rPr>
              <w:t>assess rates of preventability for each HAC to inform a risk adjustment methodology developed by IHPA</w:t>
            </w:r>
          </w:p>
          <w:p w14:paraId="7A99220D" w14:textId="77777777" w:rsidR="00F54AFE" w:rsidRPr="005348A2" w:rsidRDefault="00F54AFE" w:rsidP="00F54AFE">
            <w:pPr>
              <w:pStyle w:val="ListParagraph"/>
              <w:numPr>
                <w:ilvl w:val="0"/>
                <w:numId w:val="17"/>
              </w:numPr>
              <w:spacing w:before="100" w:beforeAutospacing="1" w:after="100" w:afterAutospacing="1" w:line="240" w:lineRule="auto"/>
              <w:rPr>
                <w:rFonts w:cs="Arial"/>
                <w:lang w:eastAsia="en-AU"/>
              </w:rPr>
            </w:pPr>
            <w:r w:rsidRPr="005348A2">
              <w:rPr>
                <w:rFonts w:cs="Arial"/>
                <w:lang w:eastAsia="en-AU"/>
              </w:rPr>
              <w:t>maintain a nationally consistent definition for avoidable hospital readmissions associated with a HAC;</w:t>
            </w:r>
          </w:p>
          <w:p w14:paraId="7981B84A" w14:textId="77777777" w:rsidR="000866A0" w:rsidRDefault="00F54AFE" w:rsidP="00F54AFE">
            <w:pPr>
              <w:pStyle w:val="ListParagraph"/>
              <w:numPr>
                <w:ilvl w:val="0"/>
                <w:numId w:val="17"/>
              </w:numPr>
              <w:spacing w:before="100" w:beforeAutospacing="1" w:after="100" w:afterAutospacing="1" w:line="240" w:lineRule="auto"/>
              <w:rPr>
                <w:rFonts w:cs="Arial"/>
                <w:lang w:eastAsia="en-AU"/>
              </w:rPr>
            </w:pPr>
            <w:r w:rsidRPr="005348A2">
              <w:rPr>
                <w:rFonts w:cs="Arial"/>
                <w:lang w:eastAsia="en-AU"/>
              </w:rPr>
              <w:lastRenderedPageBreak/>
              <w:t>consult with ACSQHC committees to ensure proposals forwarded to AHMAC and CHC best represent matters that are supported by the relevant committees; and</w:t>
            </w:r>
            <w:r w:rsidR="004847CD">
              <w:rPr>
                <w:rFonts w:cs="Arial"/>
                <w:lang w:eastAsia="en-AU"/>
              </w:rPr>
              <w:t xml:space="preserve"> </w:t>
            </w:r>
          </w:p>
          <w:p w14:paraId="5B30A870" w14:textId="5BBCEA9F" w:rsidR="00F54AFE" w:rsidRPr="004847CD" w:rsidRDefault="00F54AFE" w:rsidP="00F54AFE">
            <w:pPr>
              <w:pStyle w:val="ListParagraph"/>
              <w:numPr>
                <w:ilvl w:val="0"/>
                <w:numId w:val="17"/>
              </w:numPr>
              <w:spacing w:before="100" w:beforeAutospacing="1" w:after="100" w:afterAutospacing="1" w:line="240" w:lineRule="auto"/>
              <w:rPr>
                <w:rFonts w:cs="Arial"/>
                <w:lang w:eastAsia="en-AU"/>
              </w:rPr>
            </w:pPr>
            <w:r w:rsidRPr="004847CD">
              <w:rPr>
                <w:rFonts w:cs="Arial"/>
                <w:lang w:eastAsia="en-AU"/>
              </w:rPr>
              <w:t>advise on clinician engagement.</w:t>
            </w:r>
          </w:p>
        </w:tc>
      </w:tr>
      <w:tr w:rsidR="00F54AFE" w14:paraId="05F45E32" w14:textId="77777777" w:rsidTr="00A67464">
        <w:tc>
          <w:tcPr>
            <w:tcW w:w="9463" w:type="dxa"/>
          </w:tcPr>
          <w:p w14:paraId="3BD8C46D" w14:textId="008331C6" w:rsidR="00F54AFE" w:rsidRDefault="00F54AFE" w:rsidP="00F54AFE">
            <w:r w:rsidRPr="004968B7">
              <w:rPr>
                <w:rFonts w:cs="Arial"/>
                <w:b/>
                <w:color w:val="auto"/>
              </w:rPr>
              <w:lastRenderedPageBreak/>
              <w:t>Principles of data management</w:t>
            </w:r>
          </w:p>
        </w:tc>
      </w:tr>
      <w:tr w:rsidR="00F54AFE" w14:paraId="296F5B77" w14:textId="77777777" w:rsidTr="00A67464">
        <w:trPr>
          <w:cnfStyle w:val="000000010000" w:firstRow="0" w:lastRow="0" w:firstColumn="0" w:lastColumn="0" w:oddVBand="0" w:evenVBand="0" w:oddHBand="0" w:evenHBand="1" w:firstRowFirstColumn="0" w:firstRowLastColumn="0" w:lastRowFirstColumn="0" w:lastRowLastColumn="0"/>
        </w:trPr>
        <w:tc>
          <w:tcPr>
            <w:tcW w:w="9463" w:type="dxa"/>
          </w:tcPr>
          <w:p w14:paraId="1B372C56" w14:textId="77777777" w:rsidR="00F54AFE" w:rsidRPr="005348A2" w:rsidRDefault="00F54AFE" w:rsidP="00F54AFE">
            <w:pPr>
              <w:pStyle w:val="EYBodytextwithparaspace"/>
              <w:rPr>
                <w:rFonts w:ascii="Arial" w:hAnsi="Arial" w:cs="Arial"/>
                <w:sz w:val="22"/>
                <w:szCs w:val="22"/>
                <w:lang w:val="en-AU"/>
              </w:rPr>
            </w:pPr>
            <w:r w:rsidRPr="005348A2">
              <w:rPr>
                <w:rFonts w:ascii="Arial" w:hAnsi="Arial" w:cs="Arial"/>
                <w:sz w:val="22"/>
                <w:szCs w:val="22"/>
                <w:lang w:val="en-AU"/>
              </w:rPr>
              <w:t>Clause B66 of the NHRA specifies that the national bodies outlined in B1-B65 of the NHRA will develop rolling three-year data plans indicating their future data needs.</w:t>
            </w:r>
          </w:p>
          <w:p w14:paraId="2EAC8D2D" w14:textId="77777777" w:rsidR="00F54AFE" w:rsidRPr="005348A2" w:rsidRDefault="00F54AFE" w:rsidP="00F54AFE">
            <w:pPr>
              <w:pStyle w:val="EYBodytextwithparaspace"/>
              <w:rPr>
                <w:rFonts w:ascii="Arial" w:hAnsi="Arial" w:cs="Arial"/>
                <w:sz w:val="22"/>
                <w:szCs w:val="22"/>
                <w:lang w:val="en-AU"/>
              </w:rPr>
            </w:pPr>
            <w:r w:rsidRPr="005348A2">
              <w:rPr>
                <w:rFonts w:ascii="Arial" w:hAnsi="Arial" w:cs="Arial"/>
                <w:sz w:val="22"/>
                <w:szCs w:val="22"/>
                <w:lang w:val="en-AU"/>
              </w:rPr>
              <w:t>Clause B67 of the NHRA specifies what each body must do in determining their data requirements, including</w:t>
            </w:r>
          </w:p>
          <w:p w14:paraId="2CB0B816" w14:textId="77777777" w:rsidR="00F54AFE" w:rsidRPr="005348A2" w:rsidRDefault="00F54AFE" w:rsidP="00F54AFE">
            <w:pPr>
              <w:pStyle w:val="EYBodytextwithparaspace"/>
              <w:numPr>
                <w:ilvl w:val="0"/>
                <w:numId w:val="18"/>
              </w:numPr>
              <w:rPr>
                <w:rFonts w:ascii="Arial" w:hAnsi="Arial" w:cs="Arial"/>
                <w:sz w:val="22"/>
                <w:szCs w:val="22"/>
                <w:lang w:val="en-AU"/>
              </w:rPr>
            </w:pPr>
            <w:r w:rsidRPr="005348A2">
              <w:rPr>
                <w:rFonts w:ascii="Arial" w:hAnsi="Arial" w:cs="Arial"/>
                <w:sz w:val="22"/>
                <w:szCs w:val="22"/>
                <w:lang w:val="en-AU"/>
              </w:rPr>
              <w:t xml:space="preserve">seek to meet its data requirements through </w:t>
            </w:r>
            <w:r w:rsidRPr="005348A2">
              <w:rPr>
                <w:rFonts w:ascii="Arial" w:hAnsi="Arial" w:cs="Arial"/>
                <w:b/>
                <w:sz w:val="22"/>
                <w:szCs w:val="22"/>
                <w:lang w:val="en-AU"/>
              </w:rPr>
              <w:t>existing national data collections</w:t>
            </w:r>
            <w:r w:rsidRPr="005348A2">
              <w:rPr>
                <w:rFonts w:ascii="Arial" w:hAnsi="Arial" w:cs="Arial"/>
                <w:sz w:val="22"/>
                <w:szCs w:val="22"/>
                <w:lang w:val="en-AU"/>
              </w:rPr>
              <w:t>, where practical;</w:t>
            </w:r>
          </w:p>
          <w:p w14:paraId="1292FB70" w14:textId="77777777" w:rsidR="00F54AFE" w:rsidRPr="005348A2" w:rsidRDefault="00F54AFE" w:rsidP="00F54AFE">
            <w:pPr>
              <w:pStyle w:val="EYBodytextwithparaspace"/>
              <w:numPr>
                <w:ilvl w:val="0"/>
                <w:numId w:val="18"/>
              </w:numPr>
              <w:rPr>
                <w:rFonts w:ascii="Arial" w:hAnsi="Arial" w:cs="Arial"/>
                <w:sz w:val="22"/>
                <w:szCs w:val="22"/>
                <w:lang w:val="en-AU"/>
              </w:rPr>
            </w:pPr>
            <w:r w:rsidRPr="005348A2">
              <w:rPr>
                <w:rFonts w:ascii="Arial" w:hAnsi="Arial" w:cs="Arial"/>
                <w:sz w:val="22"/>
                <w:szCs w:val="22"/>
                <w:lang w:val="en-AU"/>
              </w:rPr>
              <w:t xml:space="preserve">conform with </w:t>
            </w:r>
            <w:r w:rsidRPr="005348A2">
              <w:rPr>
                <w:rFonts w:ascii="Arial" w:hAnsi="Arial" w:cs="Arial"/>
                <w:b/>
                <w:sz w:val="22"/>
                <w:szCs w:val="22"/>
                <w:lang w:val="en-AU"/>
              </w:rPr>
              <w:t>national data development principles</w:t>
            </w:r>
            <w:r w:rsidRPr="005348A2">
              <w:rPr>
                <w:rFonts w:ascii="Arial" w:hAnsi="Arial" w:cs="Arial"/>
                <w:sz w:val="22"/>
                <w:szCs w:val="22"/>
                <w:lang w:val="en-AU"/>
              </w:rPr>
              <w:t xml:space="preserve"> and wherever practical use existing data development governance processes and structures, except where to do so would compromise the performance of its statutory functions;</w:t>
            </w:r>
          </w:p>
          <w:p w14:paraId="2BC4AA31" w14:textId="77777777" w:rsidR="00F54AFE" w:rsidRPr="005348A2" w:rsidRDefault="00F54AFE" w:rsidP="00F54AFE">
            <w:pPr>
              <w:pStyle w:val="EYBodytextwithparaspace"/>
              <w:numPr>
                <w:ilvl w:val="0"/>
                <w:numId w:val="18"/>
              </w:numPr>
              <w:rPr>
                <w:rFonts w:ascii="Arial" w:hAnsi="Arial" w:cs="Arial"/>
                <w:sz w:val="22"/>
                <w:szCs w:val="22"/>
                <w:lang w:val="en-AU"/>
              </w:rPr>
            </w:pPr>
            <w:r w:rsidRPr="005348A2">
              <w:rPr>
                <w:rFonts w:ascii="Arial" w:hAnsi="Arial" w:cs="Arial"/>
                <w:sz w:val="22"/>
                <w:szCs w:val="22"/>
                <w:lang w:val="en-AU"/>
              </w:rPr>
              <w:t xml:space="preserve">allow for a reasonable, clearly defined, timeframe to incorporate </w:t>
            </w:r>
            <w:r w:rsidRPr="005348A2">
              <w:rPr>
                <w:rFonts w:ascii="Arial" w:hAnsi="Arial" w:cs="Arial"/>
                <w:b/>
                <w:sz w:val="22"/>
                <w:szCs w:val="22"/>
                <w:lang w:val="en-AU"/>
              </w:rPr>
              <w:t>standardised data collection methods across all jurisdictions</w:t>
            </w:r>
            <w:r w:rsidRPr="005348A2">
              <w:rPr>
                <w:rFonts w:ascii="Arial" w:hAnsi="Arial" w:cs="Arial"/>
                <w:sz w:val="22"/>
                <w:szCs w:val="22"/>
                <w:lang w:val="en-AU"/>
              </w:rPr>
              <w:t>;</w:t>
            </w:r>
          </w:p>
          <w:p w14:paraId="32C1DD9D" w14:textId="77777777" w:rsidR="00F54AFE" w:rsidRPr="005348A2" w:rsidRDefault="00F54AFE" w:rsidP="00F54AFE">
            <w:pPr>
              <w:pStyle w:val="EYBodytextwithparaspace"/>
              <w:numPr>
                <w:ilvl w:val="0"/>
                <w:numId w:val="18"/>
              </w:numPr>
              <w:rPr>
                <w:rFonts w:ascii="Arial" w:hAnsi="Arial" w:cs="Arial"/>
                <w:sz w:val="22"/>
                <w:szCs w:val="22"/>
                <w:lang w:val="en-AU"/>
              </w:rPr>
            </w:pPr>
            <w:r w:rsidRPr="005348A2">
              <w:rPr>
                <w:rFonts w:ascii="Arial" w:hAnsi="Arial" w:cs="Arial"/>
                <w:sz w:val="22"/>
                <w:szCs w:val="22"/>
                <w:lang w:val="en-AU"/>
              </w:rPr>
              <w:t xml:space="preserve">support the concept of </w:t>
            </w:r>
            <w:r w:rsidRPr="005348A2">
              <w:rPr>
                <w:rFonts w:ascii="Arial" w:hAnsi="Arial" w:cs="Arial"/>
                <w:b/>
                <w:sz w:val="22"/>
                <w:szCs w:val="22"/>
                <w:lang w:val="en-AU"/>
              </w:rPr>
              <w:t>‘single provision, multiple use’</w:t>
            </w:r>
            <w:r w:rsidRPr="005348A2">
              <w:rPr>
                <w:rFonts w:ascii="Arial" w:hAnsi="Arial" w:cs="Arial"/>
                <w:sz w:val="22"/>
                <w:szCs w:val="22"/>
                <w:lang w:val="en-AU"/>
              </w:rPr>
              <w:t xml:space="preserve"> of information to maximise efficiency of data provision and validation where practical, in accordance with privacy requirements;</w:t>
            </w:r>
          </w:p>
          <w:p w14:paraId="4F2FCB25" w14:textId="77777777" w:rsidR="00A97797" w:rsidRDefault="00F54AFE" w:rsidP="00F54AFE">
            <w:pPr>
              <w:pStyle w:val="EYBodytextwithparaspace"/>
              <w:numPr>
                <w:ilvl w:val="0"/>
                <w:numId w:val="18"/>
              </w:numPr>
              <w:rPr>
                <w:rFonts w:ascii="Arial" w:hAnsi="Arial" w:cs="Arial"/>
                <w:sz w:val="22"/>
                <w:szCs w:val="22"/>
                <w:lang w:val="en-AU"/>
              </w:rPr>
            </w:pPr>
            <w:r w:rsidRPr="005348A2">
              <w:rPr>
                <w:rFonts w:ascii="Arial" w:hAnsi="Arial" w:cs="Arial"/>
                <w:b/>
                <w:sz w:val="22"/>
                <w:szCs w:val="22"/>
                <w:lang w:val="en-AU"/>
              </w:rPr>
              <w:t>balance</w:t>
            </w:r>
            <w:r w:rsidRPr="005348A2">
              <w:rPr>
                <w:rFonts w:ascii="Arial" w:hAnsi="Arial" w:cs="Arial"/>
                <w:sz w:val="22"/>
                <w:szCs w:val="22"/>
                <w:lang w:val="en-AU"/>
              </w:rPr>
              <w:t xml:space="preserve"> the </w:t>
            </w:r>
            <w:r w:rsidRPr="005348A2">
              <w:rPr>
                <w:rFonts w:ascii="Arial" w:hAnsi="Arial" w:cs="Arial"/>
                <w:b/>
                <w:sz w:val="22"/>
                <w:szCs w:val="22"/>
                <w:lang w:val="en-AU"/>
              </w:rPr>
              <w:t>national benefits</w:t>
            </w:r>
            <w:r w:rsidRPr="005348A2">
              <w:rPr>
                <w:rFonts w:ascii="Arial" w:hAnsi="Arial" w:cs="Arial"/>
                <w:sz w:val="22"/>
                <w:szCs w:val="22"/>
                <w:lang w:val="en-AU"/>
              </w:rPr>
              <w:t xml:space="preserve"> of access to the requested data against the </w:t>
            </w:r>
            <w:r w:rsidRPr="005348A2">
              <w:rPr>
                <w:rFonts w:ascii="Arial" w:hAnsi="Arial" w:cs="Arial"/>
                <w:b/>
                <w:sz w:val="22"/>
                <w:szCs w:val="22"/>
                <w:lang w:val="en-AU"/>
              </w:rPr>
              <w:t>impact on jurisdictions</w:t>
            </w:r>
            <w:r w:rsidRPr="005348A2">
              <w:rPr>
                <w:rFonts w:ascii="Arial" w:hAnsi="Arial" w:cs="Arial"/>
                <w:sz w:val="22"/>
                <w:szCs w:val="22"/>
                <w:lang w:val="en-AU"/>
              </w:rPr>
              <w:t xml:space="preserve"> providing that data; and</w:t>
            </w:r>
            <w:r w:rsidR="00B83EFB">
              <w:rPr>
                <w:rFonts w:ascii="Arial" w:hAnsi="Arial" w:cs="Arial"/>
                <w:sz w:val="22"/>
                <w:szCs w:val="22"/>
                <w:lang w:val="en-AU"/>
              </w:rPr>
              <w:t xml:space="preserve"> </w:t>
            </w:r>
          </w:p>
          <w:p w14:paraId="0ACE5A6A" w14:textId="3B3DDC0E" w:rsidR="00F54AFE" w:rsidRPr="00B83EFB" w:rsidRDefault="00F54AFE" w:rsidP="00F54AFE">
            <w:pPr>
              <w:pStyle w:val="EYBodytextwithparaspace"/>
              <w:numPr>
                <w:ilvl w:val="0"/>
                <w:numId w:val="18"/>
              </w:numPr>
              <w:rPr>
                <w:rFonts w:ascii="Arial" w:hAnsi="Arial" w:cs="Arial"/>
                <w:sz w:val="22"/>
                <w:szCs w:val="22"/>
                <w:lang w:val="en-AU"/>
              </w:rPr>
            </w:pPr>
            <w:r w:rsidRPr="00A97797">
              <w:rPr>
                <w:rFonts w:ascii="Arial" w:hAnsi="Arial" w:cs="Arial"/>
                <w:b/>
                <w:sz w:val="22"/>
                <w:szCs w:val="28"/>
              </w:rPr>
              <w:t>consult with the Commonwealth and States</w:t>
            </w:r>
            <w:r w:rsidRPr="00A97797">
              <w:rPr>
                <w:rFonts w:ascii="Arial" w:hAnsi="Arial" w:cs="Arial"/>
                <w:sz w:val="22"/>
                <w:szCs w:val="28"/>
              </w:rPr>
              <w:t xml:space="preserve"> when determining its requirements.</w:t>
            </w:r>
          </w:p>
        </w:tc>
      </w:tr>
    </w:tbl>
    <w:p w14:paraId="652997EE" w14:textId="77777777" w:rsidR="00A67464" w:rsidRDefault="00A67464" w:rsidP="00983D28"/>
    <w:tbl>
      <w:tblPr>
        <w:tblStyle w:val="SQHTable"/>
        <w:tblW w:w="0" w:type="auto"/>
        <w:tblLook w:val="04A0" w:firstRow="1" w:lastRow="0" w:firstColumn="1" w:lastColumn="0" w:noHBand="0" w:noVBand="1"/>
      </w:tblPr>
      <w:tblGrid>
        <w:gridCol w:w="9463"/>
      </w:tblGrid>
      <w:tr w:rsidR="0076128D" w14:paraId="28F21E1E" w14:textId="77777777" w:rsidTr="0076128D">
        <w:trPr>
          <w:cnfStyle w:val="100000000000" w:firstRow="1" w:lastRow="0" w:firstColumn="0" w:lastColumn="0" w:oddVBand="0" w:evenVBand="0" w:oddHBand="0" w:evenHBand="0" w:firstRowFirstColumn="0" w:firstRowLastColumn="0" w:lastRowFirstColumn="0" w:lastRowLastColumn="0"/>
        </w:trPr>
        <w:tc>
          <w:tcPr>
            <w:tcW w:w="9463" w:type="dxa"/>
          </w:tcPr>
          <w:p w14:paraId="12ECFEA8" w14:textId="2FCF0C9F" w:rsidR="0076128D" w:rsidRPr="003A0A4F" w:rsidRDefault="003A0A4F" w:rsidP="00983D28">
            <w:pPr>
              <w:rPr>
                <w:i/>
                <w:iCs/>
              </w:rPr>
            </w:pPr>
            <w:r w:rsidRPr="003A0A4F">
              <w:rPr>
                <w:rFonts w:cs="Arial"/>
                <w:i/>
                <w:iCs/>
              </w:rPr>
              <w:t>National Health Information Agreement</w:t>
            </w:r>
          </w:p>
        </w:tc>
      </w:tr>
      <w:tr w:rsidR="0076128D" w14:paraId="48926F31" w14:textId="77777777" w:rsidTr="0076128D">
        <w:tc>
          <w:tcPr>
            <w:tcW w:w="9463" w:type="dxa"/>
          </w:tcPr>
          <w:p w14:paraId="6B7A2961" w14:textId="42EADC4C" w:rsidR="0076128D" w:rsidRDefault="0057415D" w:rsidP="00983D28">
            <w:r w:rsidRPr="004968B7">
              <w:rPr>
                <w:rFonts w:cs="Arial"/>
                <w:b/>
                <w:color w:val="auto"/>
              </w:rPr>
              <w:t>Principles of data management</w:t>
            </w:r>
          </w:p>
        </w:tc>
      </w:tr>
      <w:tr w:rsidR="008E73A5" w14:paraId="5668B35F" w14:textId="77777777" w:rsidTr="0076128D">
        <w:trPr>
          <w:cnfStyle w:val="000000010000" w:firstRow="0" w:lastRow="0" w:firstColumn="0" w:lastColumn="0" w:oddVBand="0" w:evenVBand="0" w:oddHBand="0" w:evenHBand="1" w:firstRowFirstColumn="0" w:firstRowLastColumn="0" w:lastRowFirstColumn="0" w:lastRowLastColumn="0"/>
        </w:trPr>
        <w:tc>
          <w:tcPr>
            <w:tcW w:w="9463" w:type="dxa"/>
          </w:tcPr>
          <w:p w14:paraId="57D4618B" w14:textId="77777777" w:rsidR="008E73A5" w:rsidRPr="005348A2" w:rsidRDefault="008E73A5" w:rsidP="008E73A5">
            <w:pPr>
              <w:pStyle w:val="EYBodytextwithparaspace"/>
              <w:rPr>
                <w:rFonts w:ascii="Arial" w:hAnsi="Arial" w:cs="Arial"/>
                <w:sz w:val="22"/>
                <w:szCs w:val="22"/>
                <w:lang w:val="en-AU"/>
              </w:rPr>
            </w:pPr>
            <w:r w:rsidRPr="005348A2">
              <w:rPr>
                <w:rFonts w:ascii="Arial" w:hAnsi="Arial" w:cs="Arial"/>
                <w:sz w:val="22"/>
                <w:szCs w:val="22"/>
                <w:lang w:val="en-AU"/>
              </w:rPr>
              <w:br/>
              <w:t>The NHIA is an agreement between state and territory health authorities and various Commonwealth agencies (including the Commission) on the establishment of structures and processes through which these authorities ’will develop agreed programs to improve, maintain and share national health information’ (p. 1). The Agreement provides the framework under which health information will be collected and maintained nationally.</w:t>
            </w:r>
          </w:p>
          <w:p w14:paraId="09AEF60E" w14:textId="77777777" w:rsidR="008E73A5" w:rsidRPr="005348A2" w:rsidRDefault="008E73A5" w:rsidP="008E73A5">
            <w:pPr>
              <w:pStyle w:val="EYBodytextwithparaspace"/>
              <w:rPr>
                <w:rFonts w:ascii="Arial" w:hAnsi="Arial" w:cs="Arial"/>
                <w:sz w:val="22"/>
                <w:szCs w:val="22"/>
                <w:u w:val="single"/>
                <w:lang w:val="en-AU"/>
              </w:rPr>
            </w:pPr>
            <w:r w:rsidRPr="005348A2">
              <w:rPr>
                <w:rFonts w:ascii="Arial" w:hAnsi="Arial" w:cs="Arial"/>
                <w:sz w:val="22"/>
                <w:szCs w:val="22"/>
                <w:u w:val="single"/>
                <w:lang w:val="en-AU"/>
              </w:rPr>
              <w:t>Governing principles</w:t>
            </w:r>
          </w:p>
          <w:p w14:paraId="1822216C" w14:textId="77777777" w:rsidR="008E73A5" w:rsidRPr="005348A2" w:rsidRDefault="008E73A5" w:rsidP="008E73A5">
            <w:pPr>
              <w:pStyle w:val="EYBodytextwithparaspace"/>
              <w:rPr>
                <w:rFonts w:ascii="Arial" w:hAnsi="Arial" w:cs="Arial"/>
                <w:sz w:val="22"/>
                <w:szCs w:val="22"/>
                <w:lang w:val="en-AU"/>
              </w:rPr>
            </w:pPr>
            <w:r w:rsidRPr="005348A2">
              <w:rPr>
                <w:rFonts w:ascii="Arial" w:hAnsi="Arial" w:cs="Arial"/>
                <w:sz w:val="22"/>
                <w:szCs w:val="22"/>
                <w:lang w:val="en-AU"/>
              </w:rPr>
              <w:t>The Agreement will:</w:t>
            </w:r>
          </w:p>
          <w:p w14:paraId="7068F7C2"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provide a structure for the capture through the use of health information in the national interest by implementing a </w:t>
            </w:r>
            <w:r w:rsidRPr="005348A2">
              <w:rPr>
                <w:rFonts w:ascii="Arial" w:hAnsi="Arial" w:cs="Arial"/>
                <w:b/>
                <w:sz w:val="22"/>
                <w:szCs w:val="22"/>
                <w:lang w:val="en-AU"/>
              </w:rPr>
              <w:t>commitment by Parties to work together</w:t>
            </w:r>
            <w:r w:rsidRPr="005348A2">
              <w:rPr>
                <w:rFonts w:ascii="Arial" w:hAnsi="Arial" w:cs="Arial"/>
                <w:sz w:val="22"/>
                <w:szCs w:val="22"/>
                <w:lang w:val="en-AU"/>
              </w:rPr>
              <w:t xml:space="preserve"> to ensure the provision of timely and quality health information in the national interest;</w:t>
            </w:r>
          </w:p>
          <w:p w14:paraId="05F5D148"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lead to better and more timely information, through </w:t>
            </w:r>
            <w:r w:rsidRPr="005348A2">
              <w:rPr>
                <w:rFonts w:ascii="Arial" w:hAnsi="Arial" w:cs="Arial"/>
                <w:b/>
                <w:sz w:val="22"/>
                <w:szCs w:val="22"/>
                <w:lang w:val="en-AU"/>
              </w:rPr>
              <w:t>enabling collection, use and access</w:t>
            </w:r>
            <w:r w:rsidRPr="005348A2">
              <w:rPr>
                <w:rFonts w:ascii="Arial" w:hAnsi="Arial" w:cs="Arial"/>
                <w:sz w:val="22"/>
                <w:szCs w:val="22"/>
                <w:lang w:val="en-AU"/>
              </w:rPr>
              <w:t xml:space="preserve"> to more relevant and timely quality information;</w:t>
            </w:r>
          </w:p>
          <w:p w14:paraId="426A57C0"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lastRenderedPageBreak/>
              <w:t xml:space="preserve">provide access to </w:t>
            </w:r>
            <w:r w:rsidRPr="005348A2">
              <w:rPr>
                <w:rFonts w:ascii="Arial" w:hAnsi="Arial" w:cs="Arial"/>
                <w:b/>
                <w:sz w:val="22"/>
                <w:szCs w:val="22"/>
                <w:lang w:val="en-AU"/>
              </w:rPr>
              <w:t>timely high quality, nationally consistent, health information</w:t>
            </w:r>
            <w:r w:rsidRPr="005348A2">
              <w:rPr>
                <w:rFonts w:ascii="Arial" w:hAnsi="Arial" w:cs="Arial"/>
                <w:sz w:val="22"/>
                <w:szCs w:val="22"/>
                <w:lang w:val="en-AU"/>
              </w:rPr>
              <w:t xml:space="preserve"> essential for the conduct of research and analysis and to inform the </w:t>
            </w:r>
            <w:r w:rsidRPr="005348A2">
              <w:rPr>
                <w:rFonts w:ascii="Arial" w:hAnsi="Arial" w:cs="Arial"/>
                <w:b/>
                <w:sz w:val="22"/>
                <w:szCs w:val="22"/>
                <w:lang w:val="en-AU"/>
              </w:rPr>
              <w:t>development and implementation of policies</w:t>
            </w:r>
            <w:r w:rsidRPr="005348A2">
              <w:rPr>
                <w:rFonts w:ascii="Arial" w:hAnsi="Arial" w:cs="Arial"/>
                <w:sz w:val="22"/>
                <w:szCs w:val="22"/>
                <w:lang w:val="en-AU"/>
              </w:rPr>
              <w:t xml:space="preserve"> for improving health outcomes for all Australians;</w:t>
            </w:r>
          </w:p>
          <w:p w14:paraId="04B53B1E"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facilitate and encourage strategic planning to ensure </w:t>
            </w:r>
            <w:r w:rsidRPr="005348A2">
              <w:rPr>
                <w:rFonts w:ascii="Arial" w:hAnsi="Arial" w:cs="Arial"/>
                <w:b/>
                <w:sz w:val="22"/>
                <w:szCs w:val="22"/>
                <w:lang w:val="en-AU"/>
              </w:rPr>
              <w:t>activities</w:t>
            </w:r>
            <w:r w:rsidRPr="005348A2">
              <w:rPr>
                <w:rFonts w:ascii="Arial" w:hAnsi="Arial" w:cs="Arial"/>
                <w:sz w:val="22"/>
                <w:szCs w:val="22"/>
                <w:lang w:val="en-AU"/>
              </w:rPr>
              <w:t xml:space="preserve"> focus on areas where they are likely to meet </w:t>
            </w:r>
            <w:r w:rsidRPr="005348A2">
              <w:rPr>
                <w:rFonts w:ascii="Arial" w:hAnsi="Arial" w:cs="Arial"/>
                <w:b/>
                <w:sz w:val="22"/>
                <w:szCs w:val="22"/>
                <w:lang w:val="en-AU"/>
              </w:rPr>
              <w:t>highest priority needs</w:t>
            </w:r>
            <w:r w:rsidRPr="005348A2">
              <w:rPr>
                <w:rFonts w:ascii="Arial" w:hAnsi="Arial" w:cs="Arial"/>
                <w:sz w:val="22"/>
                <w:szCs w:val="22"/>
                <w:lang w:val="en-AU"/>
              </w:rPr>
              <w:t>;</w:t>
            </w:r>
          </w:p>
          <w:p w14:paraId="37A9A39F"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b/>
                <w:sz w:val="22"/>
                <w:szCs w:val="22"/>
                <w:lang w:val="en-AU"/>
              </w:rPr>
              <w:t xml:space="preserve">protect the privacy of individuals’ information </w:t>
            </w:r>
            <w:r w:rsidRPr="005348A2">
              <w:rPr>
                <w:rFonts w:ascii="Arial" w:hAnsi="Arial" w:cs="Arial"/>
                <w:sz w:val="22"/>
                <w:szCs w:val="22"/>
                <w:lang w:val="en-AU"/>
              </w:rPr>
              <w:t>and ensure the responsible handling and reporting of health information will provide the foundation for the information collected and published under the auspices of this Agreement;</w:t>
            </w:r>
          </w:p>
          <w:p w14:paraId="01F6EDAC"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maximise efficiency of data management and access to data by the parties, researchers, policy makers and the community, through a </w:t>
            </w:r>
            <w:r w:rsidRPr="005348A2">
              <w:rPr>
                <w:rFonts w:ascii="Arial" w:hAnsi="Arial" w:cs="Arial"/>
                <w:b/>
                <w:sz w:val="22"/>
                <w:szCs w:val="22"/>
                <w:lang w:val="en-AU"/>
              </w:rPr>
              <w:t>‘single provision, multiple use’ basis</w:t>
            </w:r>
            <w:r w:rsidRPr="005348A2">
              <w:rPr>
                <w:rFonts w:ascii="Arial" w:hAnsi="Arial" w:cs="Arial"/>
                <w:sz w:val="22"/>
                <w:szCs w:val="22"/>
                <w:lang w:val="en-AU"/>
              </w:rPr>
              <w:t xml:space="preserve"> for information sharing, within the constraints of privacy, security and confidentiality and other relevant legislation and data ownership protocols;</w:t>
            </w:r>
          </w:p>
          <w:p w14:paraId="790889F7"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enable an environment where health information is </w:t>
            </w:r>
            <w:r w:rsidRPr="005348A2">
              <w:rPr>
                <w:rFonts w:ascii="Arial" w:hAnsi="Arial" w:cs="Arial"/>
                <w:b/>
                <w:sz w:val="22"/>
                <w:szCs w:val="22"/>
                <w:lang w:val="en-AU"/>
              </w:rPr>
              <w:t>calculated once, verified once and published widely</w:t>
            </w:r>
            <w:r w:rsidRPr="005348A2">
              <w:rPr>
                <w:rFonts w:ascii="Arial" w:hAnsi="Arial" w:cs="Arial"/>
                <w:sz w:val="22"/>
                <w:szCs w:val="22"/>
                <w:lang w:val="en-AU"/>
              </w:rPr>
              <w:t>;</w:t>
            </w:r>
          </w:p>
          <w:p w14:paraId="57A1C88F"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take account of available funding and human resources in </w:t>
            </w:r>
            <w:r w:rsidRPr="005348A2">
              <w:rPr>
                <w:rFonts w:ascii="Arial" w:hAnsi="Arial" w:cs="Arial"/>
                <w:b/>
                <w:sz w:val="22"/>
                <w:szCs w:val="22"/>
                <w:lang w:val="en-AU"/>
              </w:rPr>
              <w:t>balancing national benefits of information activities against imposition on jurisdictions</w:t>
            </w:r>
            <w:r w:rsidRPr="005348A2">
              <w:rPr>
                <w:rFonts w:ascii="Arial" w:hAnsi="Arial" w:cs="Arial"/>
                <w:sz w:val="22"/>
                <w:szCs w:val="22"/>
                <w:lang w:val="en-AU"/>
              </w:rPr>
              <w:t xml:space="preserve"> and other data providers and managers;</w:t>
            </w:r>
          </w:p>
          <w:p w14:paraId="74980238"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reduce the burden associated with data capture and </w:t>
            </w:r>
            <w:r w:rsidRPr="005348A2">
              <w:rPr>
                <w:rFonts w:ascii="Arial" w:hAnsi="Arial" w:cs="Arial"/>
                <w:b/>
                <w:sz w:val="22"/>
                <w:szCs w:val="22"/>
                <w:lang w:val="en-AU"/>
              </w:rPr>
              <w:t>reporting through rationalisation of existing and new health information</w:t>
            </w:r>
            <w:r w:rsidRPr="005348A2">
              <w:rPr>
                <w:rFonts w:ascii="Arial" w:hAnsi="Arial" w:cs="Arial"/>
                <w:sz w:val="22"/>
                <w:szCs w:val="22"/>
                <w:lang w:val="en-AU"/>
              </w:rPr>
              <w:t>;</w:t>
            </w:r>
          </w:p>
          <w:p w14:paraId="069A0A3F"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promote, where possible, </w:t>
            </w:r>
            <w:r w:rsidRPr="005348A2">
              <w:rPr>
                <w:rFonts w:ascii="Arial" w:hAnsi="Arial" w:cs="Arial"/>
                <w:b/>
                <w:sz w:val="22"/>
                <w:szCs w:val="22"/>
                <w:lang w:val="en-AU"/>
              </w:rPr>
              <w:t>consistency with information activities under related agreements</w:t>
            </w:r>
            <w:r w:rsidRPr="005348A2">
              <w:rPr>
                <w:rFonts w:ascii="Arial" w:hAnsi="Arial" w:cs="Arial"/>
                <w:sz w:val="22"/>
                <w:szCs w:val="22"/>
                <w:lang w:val="en-AU"/>
              </w:rPr>
              <w:t>, such as community services, housing and homelessness and early childhood and in non-government sectors;</w:t>
            </w:r>
          </w:p>
          <w:p w14:paraId="5E87B594"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ensure consistency of </w:t>
            </w:r>
            <w:r w:rsidRPr="005348A2">
              <w:rPr>
                <w:rFonts w:ascii="Arial" w:hAnsi="Arial" w:cs="Arial"/>
                <w:b/>
                <w:sz w:val="22"/>
                <w:szCs w:val="22"/>
                <w:lang w:val="en-AU"/>
              </w:rPr>
              <w:t>privacy and security measures and standards</w:t>
            </w:r>
            <w:r w:rsidRPr="005348A2">
              <w:rPr>
                <w:rFonts w:ascii="Arial" w:hAnsi="Arial" w:cs="Arial"/>
                <w:sz w:val="22"/>
                <w:szCs w:val="22"/>
                <w:lang w:val="en-AU"/>
              </w:rPr>
              <w:t xml:space="preserve"> through the use of Commonwealth Standards provided within the Protective Security Policy framework issued by the Commonwealth Attorney-general’s Department, and Australian Government Information Security Manual issued by the Defence Signals;</w:t>
            </w:r>
          </w:p>
          <w:p w14:paraId="174DCC6E"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support the </w:t>
            </w:r>
            <w:r w:rsidRPr="005348A2">
              <w:rPr>
                <w:rFonts w:ascii="Arial" w:hAnsi="Arial" w:cs="Arial"/>
                <w:b/>
                <w:sz w:val="22"/>
                <w:szCs w:val="22"/>
                <w:lang w:val="en-AU"/>
              </w:rPr>
              <w:t>participation in national health information arrangements</w:t>
            </w:r>
            <w:r w:rsidRPr="005348A2">
              <w:rPr>
                <w:rFonts w:ascii="Arial" w:hAnsi="Arial" w:cs="Arial"/>
                <w:sz w:val="22"/>
                <w:szCs w:val="22"/>
                <w:lang w:val="en-AU"/>
              </w:rPr>
              <w:t xml:space="preserve"> by stakeholders not signatory to the agreement;</w:t>
            </w:r>
          </w:p>
          <w:p w14:paraId="1EA84D63"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take into account the </w:t>
            </w:r>
            <w:r w:rsidRPr="005348A2">
              <w:rPr>
                <w:rFonts w:ascii="Arial" w:hAnsi="Arial" w:cs="Arial"/>
                <w:b/>
                <w:sz w:val="22"/>
                <w:szCs w:val="22"/>
                <w:lang w:val="en-AU"/>
              </w:rPr>
              <w:t xml:space="preserve">management of national data collection </w:t>
            </w:r>
            <w:r w:rsidRPr="005348A2">
              <w:rPr>
                <w:rFonts w:ascii="Arial" w:hAnsi="Arial" w:cs="Arial"/>
                <w:sz w:val="22"/>
                <w:szCs w:val="22"/>
                <w:lang w:val="en-AU"/>
              </w:rPr>
              <w:t>on the processes and systems that generate or manage national data including national data repositories and e-health operations supporting clinical care; and</w:t>
            </w:r>
          </w:p>
          <w:p w14:paraId="39AD95FF" w14:textId="77777777" w:rsidR="008E73A5" w:rsidRPr="005348A2" w:rsidRDefault="008E73A5" w:rsidP="008E73A5">
            <w:pPr>
              <w:pStyle w:val="EYBodytextwithparaspace"/>
              <w:numPr>
                <w:ilvl w:val="0"/>
                <w:numId w:val="13"/>
              </w:numPr>
              <w:rPr>
                <w:rFonts w:ascii="Arial" w:hAnsi="Arial" w:cs="Arial"/>
                <w:sz w:val="22"/>
                <w:szCs w:val="22"/>
                <w:lang w:val="en-AU"/>
              </w:rPr>
            </w:pPr>
            <w:r w:rsidRPr="005348A2">
              <w:rPr>
                <w:rFonts w:ascii="Arial" w:hAnsi="Arial" w:cs="Arial"/>
                <w:sz w:val="22"/>
                <w:szCs w:val="22"/>
                <w:lang w:val="en-AU"/>
              </w:rPr>
              <w:t xml:space="preserve">apply </w:t>
            </w:r>
            <w:r w:rsidRPr="005348A2">
              <w:rPr>
                <w:rFonts w:ascii="Arial" w:hAnsi="Arial" w:cs="Arial"/>
                <w:b/>
                <w:sz w:val="22"/>
                <w:szCs w:val="22"/>
                <w:lang w:val="en-AU"/>
              </w:rPr>
              <w:t>outsourced health services</w:t>
            </w:r>
            <w:r w:rsidRPr="005348A2">
              <w:rPr>
                <w:rFonts w:ascii="Arial" w:hAnsi="Arial" w:cs="Arial"/>
                <w:sz w:val="22"/>
                <w:szCs w:val="22"/>
                <w:lang w:val="en-AU"/>
              </w:rPr>
              <w:t xml:space="preserve"> provided on behalf of a party.</w:t>
            </w:r>
          </w:p>
          <w:p w14:paraId="536038F8" w14:textId="77777777" w:rsidR="008E73A5" w:rsidRPr="005348A2" w:rsidRDefault="008E73A5" w:rsidP="008E73A5">
            <w:pPr>
              <w:pStyle w:val="EYBodytextwithparaspace"/>
              <w:rPr>
                <w:rFonts w:ascii="Arial" w:hAnsi="Arial" w:cs="Arial"/>
                <w:sz w:val="22"/>
                <w:szCs w:val="22"/>
                <w:u w:val="single"/>
                <w:lang w:val="en-AU"/>
              </w:rPr>
            </w:pPr>
            <w:r w:rsidRPr="005348A2">
              <w:rPr>
                <w:rFonts w:ascii="Arial" w:hAnsi="Arial" w:cs="Arial"/>
                <w:sz w:val="22"/>
                <w:szCs w:val="22"/>
                <w:u w:val="single"/>
                <w:lang w:val="en-AU"/>
              </w:rPr>
              <w:t>Operational guiding principles</w:t>
            </w:r>
          </w:p>
          <w:p w14:paraId="2D765A10" w14:textId="77777777" w:rsidR="008E73A5" w:rsidRPr="005348A2" w:rsidRDefault="008E73A5" w:rsidP="008E73A5">
            <w:pPr>
              <w:pStyle w:val="EYBodytextwithparaspace"/>
              <w:rPr>
                <w:rFonts w:ascii="Arial" w:hAnsi="Arial" w:cs="Arial"/>
                <w:sz w:val="22"/>
                <w:szCs w:val="22"/>
                <w:lang w:val="en-AU"/>
              </w:rPr>
            </w:pPr>
            <w:r w:rsidRPr="005348A2">
              <w:rPr>
                <w:rFonts w:ascii="Arial" w:hAnsi="Arial" w:cs="Arial"/>
                <w:sz w:val="22"/>
                <w:szCs w:val="22"/>
                <w:lang w:val="en-AU"/>
              </w:rPr>
              <w:t>The following operational guiding principles will inform the development of required schedules and support the day to day application of the Agreement:</w:t>
            </w:r>
          </w:p>
          <w:p w14:paraId="3069D4BB" w14:textId="77777777" w:rsidR="008E73A5" w:rsidRPr="005348A2" w:rsidRDefault="008E73A5" w:rsidP="008E73A5">
            <w:pPr>
              <w:pStyle w:val="EYBodytextwithparaspace"/>
              <w:rPr>
                <w:rFonts w:ascii="Arial" w:hAnsi="Arial" w:cs="Arial"/>
                <w:i/>
                <w:sz w:val="22"/>
                <w:szCs w:val="22"/>
                <w:lang w:val="en-AU"/>
              </w:rPr>
            </w:pPr>
            <w:r w:rsidRPr="005348A2">
              <w:rPr>
                <w:rFonts w:ascii="Arial" w:hAnsi="Arial" w:cs="Arial"/>
                <w:i/>
                <w:sz w:val="22"/>
                <w:szCs w:val="22"/>
                <w:lang w:val="en-AU"/>
              </w:rPr>
              <w:t>Development</w:t>
            </w:r>
          </w:p>
          <w:p w14:paraId="6712D742"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improving the national consistency of data, through </w:t>
            </w:r>
            <w:r w:rsidRPr="005348A2">
              <w:rPr>
                <w:rFonts w:ascii="Arial" w:hAnsi="Arial" w:cs="Arial"/>
                <w:b/>
                <w:sz w:val="22"/>
                <w:szCs w:val="22"/>
                <w:lang w:val="en-AU"/>
              </w:rPr>
              <w:t>development and implementation of agreed standards</w:t>
            </w:r>
            <w:r w:rsidRPr="005348A2">
              <w:rPr>
                <w:rFonts w:ascii="Arial" w:hAnsi="Arial" w:cs="Arial"/>
                <w:sz w:val="22"/>
                <w:szCs w:val="22"/>
                <w:lang w:val="en-AU"/>
              </w:rPr>
              <w:t>;</w:t>
            </w:r>
          </w:p>
          <w:p w14:paraId="58D8EA33"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lastRenderedPageBreak/>
              <w:t xml:space="preserve">improving the </w:t>
            </w:r>
            <w:r w:rsidRPr="005348A2">
              <w:rPr>
                <w:rFonts w:ascii="Arial" w:hAnsi="Arial" w:cs="Arial"/>
                <w:b/>
                <w:sz w:val="22"/>
                <w:szCs w:val="22"/>
                <w:lang w:val="en-AU"/>
              </w:rPr>
              <w:t>integration of clinical and statistical standards</w:t>
            </w:r>
            <w:r w:rsidRPr="005348A2">
              <w:rPr>
                <w:rFonts w:ascii="Arial" w:hAnsi="Arial" w:cs="Arial"/>
                <w:sz w:val="22"/>
                <w:szCs w:val="22"/>
                <w:lang w:val="en-AU"/>
              </w:rPr>
              <w:t xml:space="preserve"> to facilitate communication and a continuum of health information, avoiding duplication or incompatible or inconsistent data collection and flows;</w:t>
            </w:r>
          </w:p>
          <w:p w14:paraId="149D7D99" w14:textId="77777777" w:rsidR="008E73A5" w:rsidRPr="005348A2" w:rsidRDefault="008E73A5" w:rsidP="008E73A5">
            <w:pPr>
              <w:pStyle w:val="EYBodytextwithparaspace"/>
              <w:rPr>
                <w:rFonts w:ascii="Arial" w:hAnsi="Arial" w:cs="Arial"/>
                <w:i/>
                <w:sz w:val="22"/>
                <w:szCs w:val="22"/>
                <w:lang w:val="en-AU"/>
              </w:rPr>
            </w:pPr>
            <w:r w:rsidRPr="005348A2">
              <w:rPr>
                <w:rFonts w:ascii="Arial" w:hAnsi="Arial" w:cs="Arial"/>
                <w:i/>
                <w:sz w:val="22"/>
                <w:szCs w:val="22"/>
                <w:lang w:val="en-AU"/>
              </w:rPr>
              <w:t>Production and distribution</w:t>
            </w:r>
          </w:p>
          <w:p w14:paraId="78E80C9A"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enabling information to be captured as close as possible to the point of service delivery, with the </w:t>
            </w:r>
            <w:r w:rsidRPr="005348A2">
              <w:rPr>
                <w:rFonts w:ascii="Arial" w:hAnsi="Arial" w:cs="Arial"/>
                <w:b/>
                <w:sz w:val="22"/>
                <w:szCs w:val="22"/>
                <w:lang w:val="en-AU"/>
              </w:rPr>
              <w:t>development and deployment of information capture tools</w:t>
            </w:r>
            <w:r w:rsidRPr="005348A2">
              <w:rPr>
                <w:rFonts w:ascii="Arial" w:hAnsi="Arial" w:cs="Arial"/>
                <w:sz w:val="22"/>
                <w:szCs w:val="22"/>
                <w:lang w:val="en-AU"/>
              </w:rPr>
              <w:t xml:space="preserve"> that do not impede the effective delivery of care;</w:t>
            </w:r>
          </w:p>
          <w:p w14:paraId="79386EB9"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ensuring the </w:t>
            </w:r>
            <w:r w:rsidRPr="005348A2">
              <w:rPr>
                <w:rFonts w:ascii="Arial" w:hAnsi="Arial" w:cs="Arial"/>
                <w:b/>
                <w:sz w:val="22"/>
                <w:szCs w:val="22"/>
                <w:lang w:val="en-AU"/>
              </w:rPr>
              <w:t>quality of health information</w:t>
            </w:r>
            <w:r w:rsidRPr="005348A2">
              <w:rPr>
                <w:rFonts w:ascii="Arial" w:hAnsi="Arial" w:cs="Arial"/>
                <w:sz w:val="22"/>
                <w:szCs w:val="22"/>
                <w:lang w:val="en-AU"/>
              </w:rPr>
              <w:t xml:space="preserve"> supplied for a particular use is application specific and appropriateness is reviewed when data is considered for another purpose;</w:t>
            </w:r>
          </w:p>
          <w:p w14:paraId="04FC95F0"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ensuring </w:t>
            </w:r>
            <w:r w:rsidRPr="005348A2">
              <w:rPr>
                <w:rFonts w:ascii="Arial" w:hAnsi="Arial" w:cs="Arial"/>
                <w:b/>
                <w:sz w:val="22"/>
                <w:szCs w:val="22"/>
                <w:lang w:val="en-AU"/>
              </w:rPr>
              <w:t>data suppression rules</w:t>
            </w:r>
            <w:r w:rsidRPr="005348A2">
              <w:rPr>
                <w:rFonts w:ascii="Arial" w:hAnsi="Arial" w:cs="Arial"/>
                <w:sz w:val="22"/>
                <w:szCs w:val="22"/>
                <w:lang w:val="en-AU"/>
              </w:rPr>
              <w:t xml:space="preserve"> are case specific and only enacted where there is a risk that an individual or commercial in confidence information could be disclosed that was previously unknown to the recipients of the data;</w:t>
            </w:r>
          </w:p>
          <w:p w14:paraId="6910CCDC"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ensuring data is maintained in a </w:t>
            </w:r>
            <w:r w:rsidRPr="005348A2">
              <w:rPr>
                <w:rFonts w:ascii="Arial" w:hAnsi="Arial" w:cs="Arial"/>
                <w:b/>
                <w:sz w:val="22"/>
                <w:szCs w:val="22"/>
                <w:lang w:val="en-AU"/>
              </w:rPr>
              <w:t>secure environment</w:t>
            </w:r>
            <w:r w:rsidRPr="005348A2">
              <w:rPr>
                <w:rFonts w:ascii="Arial" w:hAnsi="Arial" w:cs="Arial"/>
                <w:sz w:val="22"/>
                <w:szCs w:val="22"/>
                <w:lang w:val="en-AU"/>
              </w:rPr>
              <w:t xml:space="preserve"> and transmitted through secure methods;</w:t>
            </w:r>
          </w:p>
          <w:p w14:paraId="4490085C"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supporting </w:t>
            </w:r>
            <w:r w:rsidRPr="005348A2">
              <w:rPr>
                <w:rFonts w:ascii="Arial" w:hAnsi="Arial" w:cs="Arial"/>
                <w:b/>
                <w:sz w:val="22"/>
                <w:szCs w:val="22"/>
                <w:lang w:val="en-AU"/>
              </w:rPr>
              <w:t>transparent data transformation processes</w:t>
            </w:r>
            <w:r w:rsidRPr="005348A2">
              <w:rPr>
                <w:rFonts w:ascii="Arial" w:hAnsi="Arial" w:cs="Arial"/>
                <w:sz w:val="22"/>
                <w:szCs w:val="22"/>
                <w:lang w:val="en-AU"/>
              </w:rPr>
              <w:t xml:space="preserve">, such as shared statistical standards and validation processes; </w:t>
            </w:r>
          </w:p>
          <w:p w14:paraId="649D9599"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enabling provision and access to </w:t>
            </w:r>
            <w:r w:rsidRPr="005348A2">
              <w:rPr>
                <w:rFonts w:ascii="Arial" w:hAnsi="Arial" w:cs="Arial"/>
                <w:b/>
                <w:sz w:val="22"/>
                <w:szCs w:val="22"/>
                <w:lang w:val="en-AU"/>
              </w:rPr>
              <w:t>quality statements</w:t>
            </w:r>
            <w:r w:rsidRPr="005348A2">
              <w:rPr>
                <w:rFonts w:ascii="Arial" w:hAnsi="Arial" w:cs="Arial"/>
                <w:sz w:val="22"/>
                <w:szCs w:val="22"/>
                <w:lang w:val="en-AU"/>
              </w:rPr>
              <w:t xml:space="preserve">; </w:t>
            </w:r>
          </w:p>
          <w:p w14:paraId="0C81092B" w14:textId="77777777" w:rsidR="008E73A5" w:rsidRPr="005348A2" w:rsidRDefault="008E73A5" w:rsidP="008E73A5">
            <w:pPr>
              <w:pStyle w:val="EYBodytextwithparaspace"/>
              <w:rPr>
                <w:rFonts w:ascii="Arial" w:hAnsi="Arial" w:cs="Arial"/>
                <w:i/>
                <w:sz w:val="22"/>
                <w:szCs w:val="22"/>
                <w:lang w:val="en-AU"/>
              </w:rPr>
            </w:pPr>
            <w:r w:rsidRPr="005348A2">
              <w:rPr>
                <w:rFonts w:ascii="Arial" w:hAnsi="Arial" w:cs="Arial"/>
                <w:i/>
                <w:sz w:val="22"/>
                <w:szCs w:val="22"/>
                <w:lang w:val="en-AU"/>
              </w:rPr>
              <w:t xml:space="preserve">Use </w:t>
            </w:r>
          </w:p>
          <w:p w14:paraId="4D497064"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ensuring potential users of health information have access to </w:t>
            </w:r>
            <w:r w:rsidRPr="005348A2">
              <w:rPr>
                <w:rFonts w:ascii="Arial" w:hAnsi="Arial" w:cs="Arial"/>
                <w:b/>
                <w:sz w:val="22"/>
                <w:szCs w:val="22"/>
                <w:lang w:val="en-AU"/>
              </w:rPr>
              <w:t>data quality statement and metadata</w:t>
            </w:r>
            <w:r w:rsidRPr="005348A2">
              <w:rPr>
                <w:rFonts w:ascii="Arial" w:hAnsi="Arial" w:cs="Arial"/>
                <w:sz w:val="22"/>
                <w:szCs w:val="22"/>
                <w:lang w:val="en-AU"/>
              </w:rPr>
              <w:t xml:space="preserve"> to determine and assess appropriateness of use; </w:t>
            </w:r>
          </w:p>
          <w:p w14:paraId="156987E5"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ensuring the </w:t>
            </w:r>
            <w:r w:rsidRPr="005348A2">
              <w:rPr>
                <w:rFonts w:ascii="Arial" w:hAnsi="Arial" w:cs="Arial"/>
                <w:b/>
                <w:sz w:val="22"/>
                <w:szCs w:val="22"/>
                <w:lang w:val="en-AU"/>
              </w:rPr>
              <w:t>existence of information is easily discoverable</w:t>
            </w:r>
            <w:r w:rsidRPr="005348A2">
              <w:rPr>
                <w:rFonts w:ascii="Arial" w:hAnsi="Arial" w:cs="Arial"/>
                <w:sz w:val="22"/>
                <w:szCs w:val="22"/>
                <w:lang w:val="en-AU"/>
              </w:rPr>
              <w:t xml:space="preserve">, either by the world at large or at least by those parties who are entitles to use it; </w:t>
            </w:r>
          </w:p>
          <w:p w14:paraId="0C8F0E52" w14:textId="77777777" w:rsidR="008E73A5" w:rsidRPr="005348A2"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ensuring the systems for providing </w:t>
            </w:r>
            <w:r w:rsidRPr="006310A4">
              <w:rPr>
                <w:rFonts w:ascii="Arial" w:hAnsi="Arial" w:cs="Arial"/>
                <w:b/>
                <w:sz w:val="22"/>
                <w:szCs w:val="22"/>
                <w:lang w:val="en-AU"/>
              </w:rPr>
              <w:t>appropriate</w:t>
            </w:r>
            <w:r w:rsidRPr="005348A2">
              <w:rPr>
                <w:rFonts w:ascii="Arial" w:hAnsi="Arial" w:cs="Arial"/>
                <w:sz w:val="22"/>
                <w:szCs w:val="22"/>
                <w:lang w:val="en-AU"/>
              </w:rPr>
              <w:t xml:space="preserve"> </w:t>
            </w:r>
            <w:r w:rsidRPr="005348A2">
              <w:rPr>
                <w:rFonts w:ascii="Arial" w:hAnsi="Arial" w:cs="Arial"/>
                <w:b/>
                <w:sz w:val="22"/>
                <w:szCs w:val="22"/>
                <w:lang w:val="en-AU"/>
              </w:rPr>
              <w:t>access to information</w:t>
            </w:r>
            <w:r w:rsidRPr="005348A2">
              <w:rPr>
                <w:rFonts w:ascii="Arial" w:hAnsi="Arial" w:cs="Arial"/>
                <w:sz w:val="22"/>
                <w:szCs w:val="22"/>
                <w:lang w:val="en-AU"/>
              </w:rPr>
              <w:t xml:space="preserve"> give effect to access entitlements and make it as easy as possible for authorised users to obtain the data they need; </w:t>
            </w:r>
          </w:p>
          <w:p w14:paraId="2D9463DE" w14:textId="77777777" w:rsidR="008E73A5" w:rsidRDefault="008E73A5" w:rsidP="008E73A5">
            <w:pPr>
              <w:pStyle w:val="EYBodytextwithparaspace"/>
              <w:numPr>
                <w:ilvl w:val="0"/>
                <w:numId w:val="14"/>
              </w:numPr>
              <w:rPr>
                <w:rFonts w:ascii="Arial" w:hAnsi="Arial" w:cs="Arial"/>
                <w:sz w:val="22"/>
                <w:szCs w:val="22"/>
                <w:lang w:val="en-AU"/>
              </w:rPr>
            </w:pPr>
            <w:r w:rsidRPr="005348A2">
              <w:rPr>
                <w:rFonts w:ascii="Arial" w:hAnsi="Arial" w:cs="Arial"/>
                <w:sz w:val="22"/>
                <w:szCs w:val="22"/>
                <w:lang w:val="en-AU"/>
              </w:rPr>
              <w:t xml:space="preserve">improve and </w:t>
            </w:r>
            <w:r w:rsidRPr="005348A2">
              <w:rPr>
                <w:rFonts w:ascii="Arial" w:hAnsi="Arial" w:cs="Arial"/>
                <w:b/>
                <w:sz w:val="22"/>
                <w:szCs w:val="22"/>
                <w:lang w:val="en-AU"/>
              </w:rPr>
              <w:t>reduce unnecessary reporting and evaluation</w:t>
            </w:r>
            <w:r w:rsidRPr="005348A2">
              <w:rPr>
                <w:rFonts w:ascii="Arial" w:hAnsi="Arial" w:cs="Arial"/>
                <w:sz w:val="22"/>
                <w:szCs w:val="22"/>
                <w:lang w:val="en-AU"/>
              </w:rPr>
              <w:t xml:space="preserve">, to maximise process efficiency and the usefulness of information; and </w:t>
            </w:r>
          </w:p>
          <w:p w14:paraId="34C07581" w14:textId="4BE1B974" w:rsidR="008E73A5" w:rsidRPr="008E73A5" w:rsidRDefault="008E73A5" w:rsidP="008E73A5">
            <w:pPr>
              <w:pStyle w:val="EYBodytextwithparaspace"/>
              <w:numPr>
                <w:ilvl w:val="0"/>
                <w:numId w:val="14"/>
              </w:numPr>
              <w:rPr>
                <w:rFonts w:ascii="Arial" w:hAnsi="Arial" w:cs="Arial"/>
                <w:sz w:val="22"/>
                <w:szCs w:val="22"/>
                <w:lang w:val="en-AU"/>
              </w:rPr>
            </w:pPr>
            <w:r w:rsidRPr="008E73A5">
              <w:rPr>
                <w:rFonts w:ascii="Arial" w:hAnsi="Arial" w:cs="Arial"/>
                <w:sz w:val="22"/>
                <w:szCs w:val="28"/>
              </w:rPr>
              <w:t xml:space="preserve">enabling the </w:t>
            </w:r>
            <w:r w:rsidRPr="008E73A5">
              <w:rPr>
                <w:rFonts w:ascii="Arial" w:hAnsi="Arial" w:cs="Arial"/>
                <w:b/>
                <w:sz w:val="22"/>
                <w:szCs w:val="28"/>
              </w:rPr>
              <w:t>National Minimum Data Set information to be reused</w:t>
            </w:r>
            <w:r w:rsidRPr="008E73A5">
              <w:rPr>
                <w:rFonts w:ascii="Arial" w:hAnsi="Arial" w:cs="Arial"/>
                <w:sz w:val="22"/>
                <w:szCs w:val="28"/>
              </w:rPr>
              <w:t xml:space="preserve"> without individual approval from the data owner where the data is de-identified and used within the boundaries of its original intent.</w:t>
            </w:r>
          </w:p>
        </w:tc>
      </w:tr>
    </w:tbl>
    <w:p w14:paraId="72A5262A" w14:textId="77777777" w:rsidR="0076128D" w:rsidRDefault="0076128D" w:rsidP="00983D28"/>
    <w:p w14:paraId="7AC35B05" w14:textId="77777777" w:rsidR="00A67464" w:rsidRDefault="00A67464" w:rsidP="00983D28"/>
    <w:p w14:paraId="74340586" w14:textId="30DD85E9" w:rsidR="00574A3A" w:rsidRPr="005348A2" w:rsidRDefault="00574A3A" w:rsidP="00574A3A">
      <w:pPr>
        <w:rPr>
          <w:rFonts w:cs="Arial"/>
        </w:rPr>
        <w:sectPr w:rsidR="00574A3A" w:rsidRPr="005348A2" w:rsidSect="00574A3A">
          <w:pgSz w:w="11906" w:h="16838"/>
          <w:pgMar w:top="1530" w:right="1440" w:bottom="1134" w:left="993" w:header="709" w:footer="176" w:gutter="0"/>
          <w:cols w:space="708"/>
          <w:docGrid w:linePitch="360"/>
        </w:sectPr>
      </w:pPr>
    </w:p>
    <w:p w14:paraId="0AC4E9C8" w14:textId="0F241DE0" w:rsidR="00574A3A" w:rsidRDefault="00574A3A" w:rsidP="00294F48">
      <w:pPr>
        <w:pStyle w:val="Heading1"/>
      </w:pPr>
      <w:bookmarkStart w:id="56" w:name="_Appendix_2a:_Work"/>
      <w:bookmarkStart w:id="57" w:name="_Toc188972535"/>
      <w:bookmarkStart w:id="58" w:name="_Toc204691122"/>
      <w:bookmarkEnd w:id="56"/>
      <w:r w:rsidRPr="005348A2">
        <w:rPr>
          <w:rFonts w:cs="Arial"/>
        </w:rPr>
        <w:lastRenderedPageBreak/>
        <w:t>Appendix 2</w:t>
      </w:r>
      <w:r>
        <w:rPr>
          <w:rFonts w:cs="Arial"/>
        </w:rPr>
        <w:t>a</w:t>
      </w:r>
      <w:r w:rsidRPr="005348A2">
        <w:rPr>
          <w:rFonts w:cs="Arial"/>
        </w:rPr>
        <w:t xml:space="preserve">: </w:t>
      </w:r>
      <w:r w:rsidRPr="005348A2">
        <w:t xml:space="preserve">Work Plan priorities and data </w:t>
      </w:r>
      <w:r>
        <w:t>sets where jurisdictional/Commonwealth approval is required</w:t>
      </w:r>
      <w:bookmarkEnd w:id="57"/>
      <w:r>
        <w:t xml:space="preserve"> (and will be sought)</w:t>
      </w:r>
      <w:bookmarkEnd w:id="58"/>
    </w:p>
    <w:tbl>
      <w:tblPr>
        <w:tblStyle w:val="ListTable3-Accent4"/>
        <w:tblW w:w="13744" w:type="dxa"/>
        <w:tblLook w:val="04A0" w:firstRow="1" w:lastRow="0" w:firstColumn="1" w:lastColumn="0" w:noHBand="0" w:noVBand="1"/>
      </w:tblPr>
      <w:tblGrid>
        <w:gridCol w:w="1980"/>
        <w:gridCol w:w="4394"/>
        <w:gridCol w:w="3685"/>
        <w:gridCol w:w="3685"/>
      </w:tblGrid>
      <w:tr w:rsidR="003C6224" w:rsidRPr="00C10196" w14:paraId="2CB192B3" w14:textId="77777777" w:rsidTr="006C1FD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shd w:val="clear" w:color="auto" w:fill="421A75" w:themeFill="accent1"/>
          </w:tcPr>
          <w:p w14:paraId="2C91898E" w14:textId="77777777" w:rsidR="00574A3A" w:rsidRPr="00B4759D" w:rsidRDefault="00574A3A" w:rsidP="008702BC">
            <w:pPr>
              <w:rPr>
                <w:b w:val="0"/>
                <w:bCs w:val="0"/>
                <w:color w:val="F2F2F2" w:themeColor="background1" w:themeShade="F2"/>
                <w:sz w:val="20"/>
                <w:szCs w:val="20"/>
              </w:rPr>
            </w:pPr>
            <w:r w:rsidRPr="00B4759D">
              <w:rPr>
                <w:color w:val="F2F2F2" w:themeColor="background1" w:themeShade="F2"/>
                <w:sz w:val="20"/>
                <w:szCs w:val="20"/>
              </w:rPr>
              <w:t>Area of focus</w:t>
            </w:r>
          </w:p>
        </w:tc>
        <w:tc>
          <w:tcPr>
            <w:tcW w:w="4394" w:type="dxa"/>
            <w:shd w:val="clear" w:color="auto" w:fill="421A75" w:themeFill="accent1"/>
          </w:tcPr>
          <w:p w14:paraId="6656E021" w14:textId="77777777" w:rsidR="00574A3A" w:rsidRPr="00B4759D" w:rsidRDefault="00574A3A" w:rsidP="008702BC">
            <w:pPr>
              <w:cnfStyle w:val="100000000000" w:firstRow="1" w:lastRow="0" w:firstColumn="0" w:lastColumn="0" w:oddVBand="0" w:evenVBand="0" w:oddHBand="0" w:evenHBand="0" w:firstRowFirstColumn="0" w:firstRowLastColumn="0" w:lastRowFirstColumn="0" w:lastRowLastColumn="0"/>
              <w:rPr>
                <w:b w:val="0"/>
                <w:bCs w:val="0"/>
                <w:color w:val="F2F2F2" w:themeColor="background1" w:themeShade="F2"/>
                <w:sz w:val="20"/>
                <w:szCs w:val="20"/>
              </w:rPr>
            </w:pPr>
            <w:r w:rsidRPr="00B4759D">
              <w:rPr>
                <w:color w:val="F2F2F2" w:themeColor="background1" w:themeShade="F2"/>
                <w:sz w:val="20"/>
                <w:szCs w:val="20"/>
              </w:rPr>
              <w:t>Key activities</w:t>
            </w:r>
          </w:p>
        </w:tc>
        <w:tc>
          <w:tcPr>
            <w:tcW w:w="3685" w:type="dxa"/>
            <w:shd w:val="clear" w:color="auto" w:fill="421A75" w:themeFill="accent1"/>
          </w:tcPr>
          <w:p w14:paraId="2DE14022" w14:textId="77777777" w:rsidR="00574A3A" w:rsidRPr="00B4759D" w:rsidRDefault="00574A3A" w:rsidP="008702BC">
            <w:pPr>
              <w:cnfStyle w:val="100000000000" w:firstRow="1" w:lastRow="0" w:firstColumn="0" w:lastColumn="0" w:oddVBand="0" w:evenVBand="0" w:oddHBand="0" w:evenHBand="0" w:firstRowFirstColumn="0" w:firstRowLastColumn="0" w:lastRowFirstColumn="0" w:lastRowLastColumn="0"/>
              <w:rPr>
                <w:b w:val="0"/>
                <w:bCs w:val="0"/>
                <w:color w:val="F2F2F2" w:themeColor="background1" w:themeShade="F2"/>
                <w:sz w:val="20"/>
                <w:szCs w:val="20"/>
              </w:rPr>
            </w:pPr>
            <w:r w:rsidRPr="00B4759D">
              <w:rPr>
                <w:color w:val="F2F2F2" w:themeColor="background1" w:themeShade="F2"/>
                <w:sz w:val="20"/>
                <w:szCs w:val="20"/>
              </w:rPr>
              <w:t>Subject to jurisdiction approval</w:t>
            </w:r>
          </w:p>
        </w:tc>
        <w:tc>
          <w:tcPr>
            <w:tcW w:w="3685" w:type="dxa"/>
            <w:shd w:val="clear" w:color="auto" w:fill="421A75" w:themeFill="accent1"/>
          </w:tcPr>
          <w:p w14:paraId="356632A4" w14:textId="77777777" w:rsidR="00574A3A" w:rsidRPr="00B4759D" w:rsidRDefault="00574A3A" w:rsidP="008702BC">
            <w:pPr>
              <w:cnfStyle w:val="100000000000" w:firstRow="1" w:lastRow="0" w:firstColumn="0" w:lastColumn="0" w:oddVBand="0" w:evenVBand="0" w:oddHBand="0" w:evenHBand="0" w:firstRowFirstColumn="0" w:firstRowLastColumn="0" w:lastRowFirstColumn="0" w:lastRowLastColumn="0"/>
              <w:rPr>
                <w:b w:val="0"/>
                <w:bCs w:val="0"/>
                <w:color w:val="F2F2F2" w:themeColor="background1" w:themeShade="F2"/>
                <w:sz w:val="20"/>
                <w:szCs w:val="20"/>
              </w:rPr>
            </w:pPr>
            <w:r w:rsidRPr="00B4759D">
              <w:rPr>
                <w:color w:val="F2F2F2" w:themeColor="background1" w:themeShade="F2"/>
                <w:sz w:val="20"/>
                <w:szCs w:val="20"/>
              </w:rPr>
              <w:t>Subject to Commonwealth approval</w:t>
            </w:r>
          </w:p>
        </w:tc>
      </w:tr>
      <w:tr w:rsidR="00574A3A" w:rsidRPr="00ED39A2" w14:paraId="768F5FC5" w14:textId="77777777" w:rsidTr="00C74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4" w:type="dxa"/>
            <w:gridSpan w:val="4"/>
            <w:shd w:val="clear" w:color="auto" w:fill="F0E8FE" w:themeFill="background2"/>
          </w:tcPr>
          <w:p w14:paraId="33559DB1" w14:textId="77777777" w:rsidR="00574A3A" w:rsidRPr="00574A3A" w:rsidRDefault="00574A3A" w:rsidP="008702BC">
            <w:pPr>
              <w:rPr>
                <w:b w:val="0"/>
                <w:bCs w:val="0"/>
                <w:color w:val="auto"/>
                <w:sz w:val="20"/>
                <w:szCs w:val="20"/>
              </w:rPr>
            </w:pPr>
            <w:r w:rsidRPr="00574A3A">
              <w:rPr>
                <w:color w:val="auto"/>
                <w:sz w:val="20"/>
                <w:szCs w:val="20"/>
              </w:rPr>
              <w:t>Clinical governance</w:t>
            </w:r>
          </w:p>
        </w:tc>
      </w:tr>
      <w:tr w:rsidR="00574A3A" w:rsidRPr="00C10196" w14:paraId="2355BD78"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val="restart"/>
          </w:tcPr>
          <w:p w14:paraId="755A0BEA" w14:textId="77777777" w:rsidR="00574A3A" w:rsidRPr="00C10196" w:rsidRDefault="00574A3A" w:rsidP="008702BC">
            <w:pPr>
              <w:rPr>
                <w:sz w:val="20"/>
                <w:szCs w:val="20"/>
              </w:rPr>
            </w:pPr>
            <w:r w:rsidRPr="00C10196">
              <w:rPr>
                <w:sz w:val="20"/>
                <w:szCs w:val="20"/>
              </w:rPr>
              <w:t>National standards for health care</w:t>
            </w:r>
          </w:p>
        </w:tc>
        <w:tc>
          <w:tcPr>
            <w:tcW w:w="4394" w:type="dxa"/>
          </w:tcPr>
          <w:p w14:paraId="1A87F9E2" w14:textId="77777777" w:rsidR="00574A3A" w:rsidRPr="00C10196"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C10196">
              <w:rPr>
                <w:sz w:val="20"/>
                <w:szCs w:val="20"/>
              </w:rPr>
              <w:t>Develop the third edition of the NSQHS Standards including evidence review, drafting, piloting, consultation, impact assessment, refinement and Ministerial endorsement.</w:t>
            </w:r>
          </w:p>
        </w:tc>
        <w:tc>
          <w:tcPr>
            <w:tcW w:w="3685" w:type="dxa"/>
            <w:vMerge w:val="restart"/>
          </w:tcPr>
          <w:p w14:paraId="6D8A1FE7"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APC NMDS</w:t>
            </w:r>
          </w:p>
          <w:p w14:paraId="66F6C1B9"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ESWT</w:t>
            </w:r>
          </w:p>
          <w:p w14:paraId="2372CA20"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NAPEDC NMDS</w:t>
            </w:r>
          </w:p>
          <w:p w14:paraId="05C0E108"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NAPAG</w:t>
            </w:r>
          </w:p>
          <w:p w14:paraId="5385943F"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NAPUR</w:t>
            </w:r>
          </w:p>
          <w:p w14:paraId="46951266"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PHE</w:t>
            </w:r>
          </w:p>
          <w:p w14:paraId="5FEFA0E7"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PHE-JLHN</w:t>
            </w:r>
          </w:p>
          <w:p w14:paraId="06FCB38F"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PALCARE</w:t>
            </w:r>
          </w:p>
          <w:p w14:paraId="27812F2C"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ASNAHC</w:t>
            </w:r>
          </w:p>
          <w:p w14:paraId="21FB63A2"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NMD</w:t>
            </w:r>
          </w:p>
          <w:p w14:paraId="4429FD9E"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 xml:space="preserve">National </w:t>
            </w:r>
            <w:r w:rsidRPr="002622A2">
              <w:rPr>
                <w:rFonts w:cs="Arial"/>
                <w:i/>
                <w:iCs/>
                <w:sz w:val="20"/>
                <w:szCs w:val="20"/>
              </w:rPr>
              <w:t>Staphylococcus aureus</w:t>
            </w:r>
            <w:r w:rsidRPr="00287435">
              <w:rPr>
                <w:rFonts w:cs="Arial"/>
                <w:sz w:val="20"/>
                <w:szCs w:val="20"/>
              </w:rPr>
              <w:t xml:space="preserve"> bacteraemia data collection</w:t>
            </w:r>
            <w:r>
              <w:rPr>
                <w:rFonts w:cs="Arial"/>
                <w:sz w:val="20"/>
                <w:szCs w:val="20"/>
              </w:rPr>
              <w:t xml:space="preserve"> (SABSI)</w:t>
            </w:r>
          </w:p>
          <w:p w14:paraId="19F35FFB"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NPDC</w:t>
            </w:r>
          </w:p>
          <w:p w14:paraId="28B5E1E6"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NHDH</w:t>
            </w:r>
          </w:p>
          <w:p w14:paraId="64A7F37E"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Sentinel Events data collections</w:t>
            </w:r>
          </w:p>
          <w:p w14:paraId="1A3518CB"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 xml:space="preserve">Admitted Patient Care data as held by IHACPA </w:t>
            </w:r>
          </w:p>
          <w:p w14:paraId="0204EC6E" w14:textId="77777777" w:rsidR="00574A3A"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Non-Admitted Patient Emergency Department as held by IHACPA</w:t>
            </w:r>
          </w:p>
          <w:p w14:paraId="11EEF2C8" w14:textId="77777777" w:rsidR="00574A3A" w:rsidRPr="00C10196"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C10196">
              <w:rPr>
                <w:rFonts w:cs="Arial"/>
                <w:sz w:val="20"/>
                <w:szCs w:val="20"/>
              </w:rPr>
              <w:t>Non-Admitted Patient services as held by IHACPA</w:t>
            </w:r>
          </w:p>
        </w:tc>
        <w:tc>
          <w:tcPr>
            <w:tcW w:w="3685" w:type="dxa"/>
            <w:vMerge w:val="restart"/>
          </w:tcPr>
          <w:p w14:paraId="16E4ACB1" w14:textId="77777777" w:rsidR="00574A3A" w:rsidRPr="00287435"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Admitted Patient Care Submission B</w:t>
            </w:r>
          </w:p>
          <w:p w14:paraId="5DC1B819" w14:textId="77777777" w:rsidR="00574A3A" w:rsidRPr="00287435"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GTD</w:t>
            </w:r>
          </w:p>
          <w:p w14:paraId="6BC080F4" w14:textId="77777777" w:rsidR="00574A3A" w:rsidRPr="007A7D78"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HCP</w:t>
            </w:r>
          </w:p>
          <w:p w14:paraId="532003BB" w14:textId="77777777" w:rsidR="00574A3A" w:rsidRPr="00287435"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MBS</w:t>
            </w:r>
          </w:p>
          <w:p w14:paraId="0E3BF6C7" w14:textId="77777777" w:rsidR="00574A3A"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PBS</w:t>
            </w:r>
          </w:p>
          <w:p w14:paraId="2D76DB9A" w14:textId="77777777" w:rsidR="00574A3A"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C10196">
              <w:rPr>
                <w:rFonts w:cs="Arial"/>
                <w:sz w:val="20"/>
                <w:szCs w:val="20"/>
              </w:rPr>
              <w:t>PHDB</w:t>
            </w:r>
          </w:p>
          <w:p w14:paraId="43D37C56" w14:textId="77777777" w:rsidR="00574A3A" w:rsidRPr="00C10196"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ABS</w:t>
            </w:r>
            <w:r w:rsidRPr="000F014A">
              <w:rPr>
                <w:rFonts w:cs="Arial"/>
                <w:sz w:val="20"/>
                <w:szCs w:val="20"/>
              </w:rPr>
              <w:t xml:space="preserve"> National Study of Mental Health and Wellbeing</w:t>
            </w:r>
          </w:p>
        </w:tc>
      </w:tr>
      <w:tr w:rsidR="00574A3A" w:rsidRPr="00C10196" w14:paraId="3ECE06F3"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2B527059" w14:textId="77777777" w:rsidR="00574A3A" w:rsidRPr="00C10196" w:rsidRDefault="00574A3A" w:rsidP="008702BC">
            <w:pPr>
              <w:rPr>
                <w:sz w:val="20"/>
                <w:szCs w:val="20"/>
              </w:rPr>
            </w:pPr>
          </w:p>
        </w:tc>
        <w:tc>
          <w:tcPr>
            <w:tcW w:w="4394" w:type="dxa"/>
          </w:tcPr>
          <w:p w14:paraId="14ACD250" w14:textId="77777777" w:rsidR="00574A3A" w:rsidRPr="00C10196"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C10196">
              <w:rPr>
                <w:sz w:val="20"/>
                <w:szCs w:val="20"/>
              </w:rPr>
              <w:t>Develop guidance and resources to support implementation of the third edition of the NSQHS Standards and improve the quality of health services under the NSQHS Standards.</w:t>
            </w:r>
          </w:p>
        </w:tc>
        <w:tc>
          <w:tcPr>
            <w:tcW w:w="3685" w:type="dxa"/>
            <w:vMerge/>
          </w:tcPr>
          <w:p w14:paraId="450D0195" w14:textId="77777777" w:rsidR="00574A3A" w:rsidRPr="00C10196"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1F0285A6" w14:textId="77777777" w:rsidR="00574A3A" w:rsidRPr="00C10196"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C10196" w14:paraId="0A1FBB86"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00ED635C" w14:textId="77777777" w:rsidR="00574A3A" w:rsidRPr="00C10196" w:rsidRDefault="00574A3A" w:rsidP="008702BC">
            <w:pPr>
              <w:rPr>
                <w:sz w:val="20"/>
                <w:szCs w:val="20"/>
              </w:rPr>
            </w:pPr>
          </w:p>
        </w:tc>
        <w:tc>
          <w:tcPr>
            <w:tcW w:w="4394" w:type="dxa"/>
          </w:tcPr>
          <w:p w14:paraId="2E09740D" w14:textId="77777777" w:rsidR="00574A3A" w:rsidRPr="00C10196"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C10196">
              <w:rPr>
                <w:sz w:val="20"/>
                <w:szCs w:val="20"/>
              </w:rPr>
              <w:t>Provide advisory services, training and education, and resources and guidance to support implementation and maintenance of national safety and quality standards for:</w:t>
            </w:r>
          </w:p>
          <w:p w14:paraId="3BB5CFF8" w14:textId="77777777" w:rsidR="00574A3A" w:rsidRPr="00C10196" w:rsidRDefault="00574A3A" w:rsidP="00574A3A">
            <w:pPr>
              <w:pStyle w:val="ListParagraph"/>
              <w:numPr>
                <w:ilvl w:val="0"/>
                <w:numId w:val="27"/>
              </w:numPr>
              <w:spacing w:after="120" w:line="280" w:lineRule="atLeast"/>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C10196">
              <w:rPr>
                <w:rFonts w:eastAsiaTheme="majorEastAsia"/>
                <w:sz w:val="20"/>
                <w:szCs w:val="20"/>
              </w:rPr>
              <w:t>Acute and sub-acute health services</w:t>
            </w:r>
          </w:p>
          <w:p w14:paraId="48F839BE" w14:textId="77777777" w:rsidR="00574A3A" w:rsidRPr="00C10196" w:rsidRDefault="00574A3A" w:rsidP="00574A3A">
            <w:pPr>
              <w:pStyle w:val="ListParagraph"/>
              <w:numPr>
                <w:ilvl w:val="0"/>
                <w:numId w:val="26"/>
              </w:numPr>
              <w:spacing w:after="120" w:line="280" w:lineRule="atLeast"/>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C10196">
              <w:rPr>
                <w:rFonts w:eastAsiaTheme="majorEastAsia"/>
                <w:sz w:val="20"/>
                <w:szCs w:val="20"/>
              </w:rPr>
              <w:t>Digital health services</w:t>
            </w:r>
          </w:p>
          <w:p w14:paraId="75CC0BAE" w14:textId="77777777" w:rsidR="00574A3A" w:rsidRPr="00C10196" w:rsidRDefault="00574A3A" w:rsidP="00574A3A">
            <w:pPr>
              <w:pStyle w:val="ListParagraph"/>
              <w:numPr>
                <w:ilvl w:val="0"/>
                <w:numId w:val="26"/>
              </w:numPr>
              <w:spacing w:after="120" w:line="280" w:lineRule="atLeast"/>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C10196">
              <w:rPr>
                <w:rFonts w:eastAsiaTheme="majorEastAsia"/>
                <w:sz w:val="20"/>
                <w:szCs w:val="20"/>
              </w:rPr>
              <w:t>National clinical trials</w:t>
            </w:r>
          </w:p>
          <w:p w14:paraId="2FE9145D" w14:textId="77777777" w:rsidR="00574A3A" w:rsidRPr="00C10196" w:rsidRDefault="00574A3A" w:rsidP="00574A3A">
            <w:pPr>
              <w:pStyle w:val="ListParagraph"/>
              <w:numPr>
                <w:ilvl w:val="0"/>
                <w:numId w:val="26"/>
              </w:numPr>
              <w:spacing w:after="120" w:line="280" w:lineRule="atLeast"/>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C10196">
              <w:rPr>
                <w:rFonts w:eastAsiaTheme="majorEastAsia"/>
                <w:sz w:val="20"/>
                <w:szCs w:val="20"/>
              </w:rPr>
              <w:t>Primary and community health services</w:t>
            </w:r>
          </w:p>
          <w:p w14:paraId="1BBEFAE5" w14:textId="77777777" w:rsidR="00574A3A" w:rsidRPr="00C10196" w:rsidRDefault="00574A3A" w:rsidP="00574A3A">
            <w:pPr>
              <w:pStyle w:val="ListParagraph"/>
              <w:numPr>
                <w:ilvl w:val="0"/>
                <w:numId w:val="26"/>
              </w:numPr>
              <w:spacing w:after="120" w:line="280" w:lineRule="atLeast"/>
              <w:cnfStyle w:val="000000000000" w:firstRow="0" w:lastRow="0" w:firstColumn="0" w:lastColumn="0" w:oddVBand="0" w:evenVBand="0" w:oddHBand="0" w:evenHBand="0" w:firstRowFirstColumn="0" w:firstRowLastColumn="0" w:lastRowFirstColumn="0" w:lastRowLastColumn="0"/>
              <w:rPr>
                <w:sz w:val="20"/>
                <w:szCs w:val="20"/>
              </w:rPr>
            </w:pPr>
            <w:r w:rsidRPr="00C10196">
              <w:rPr>
                <w:rFonts w:eastAsiaTheme="majorEastAsia"/>
                <w:sz w:val="20"/>
                <w:szCs w:val="20"/>
              </w:rPr>
              <w:t>Mental health services</w:t>
            </w:r>
          </w:p>
          <w:p w14:paraId="08ABE522" w14:textId="77777777" w:rsidR="00574A3A" w:rsidRPr="00C10196" w:rsidRDefault="00574A3A" w:rsidP="00574A3A">
            <w:pPr>
              <w:pStyle w:val="ListParagraph"/>
              <w:numPr>
                <w:ilvl w:val="0"/>
                <w:numId w:val="26"/>
              </w:numPr>
              <w:spacing w:after="120" w:line="280" w:lineRule="atLeast"/>
              <w:cnfStyle w:val="000000000000" w:firstRow="0" w:lastRow="0" w:firstColumn="0" w:lastColumn="0" w:oddVBand="0" w:evenVBand="0" w:oddHBand="0" w:evenHBand="0" w:firstRowFirstColumn="0" w:firstRowLastColumn="0" w:lastRowFirstColumn="0" w:lastRowLastColumn="0"/>
              <w:rPr>
                <w:sz w:val="20"/>
                <w:szCs w:val="20"/>
              </w:rPr>
            </w:pPr>
            <w:r w:rsidRPr="00C10196">
              <w:rPr>
                <w:rFonts w:eastAsiaTheme="majorEastAsia"/>
                <w:sz w:val="20"/>
                <w:szCs w:val="20"/>
              </w:rPr>
              <w:t>Cosmetic surgery</w:t>
            </w:r>
          </w:p>
          <w:p w14:paraId="4581F6D5" w14:textId="77777777" w:rsidR="00574A3A" w:rsidRPr="00C10196" w:rsidRDefault="00574A3A" w:rsidP="00574A3A">
            <w:pPr>
              <w:pStyle w:val="ListParagraph"/>
              <w:numPr>
                <w:ilvl w:val="0"/>
                <w:numId w:val="26"/>
              </w:numPr>
              <w:spacing w:after="120" w:line="280" w:lineRule="atLeast"/>
              <w:cnfStyle w:val="000000000000" w:firstRow="0" w:lastRow="0" w:firstColumn="0" w:lastColumn="0" w:oddVBand="0" w:evenVBand="0" w:oddHBand="0" w:evenHBand="0" w:firstRowFirstColumn="0" w:firstRowLastColumn="0" w:lastRowFirstColumn="0" w:lastRowLastColumn="0"/>
              <w:rPr>
                <w:sz w:val="20"/>
                <w:szCs w:val="20"/>
              </w:rPr>
            </w:pPr>
            <w:r w:rsidRPr="00C10196">
              <w:rPr>
                <w:rFonts w:eastAsiaTheme="majorEastAsia"/>
                <w:sz w:val="20"/>
                <w:szCs w:val="20"/>
              </w:rPr>
              <w:t>Ambulance services.</w:t>
            </w:r>
          </w:p>
        </w:tc>
        <w:tc>
          <w:tcPr>
            <w:tcW w:w="3685" w:type="dxa"/>
            <w:vMerge/>
          </w:tcPr>
          <w:p w14:paraId="25E72D09" w14:textId="77777777" w:rsidR="00574A3A" w:rsidRPr="00C10196"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30B77C13" w14:textId="77777777" w:rsidR="00574A3A" w:rsidRPr="00C10196"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C10196" w14:paraId="39071809"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7E69B641" w14:textId="77777777" w:rsidR="00574A3A" w:rsidRPr="00C10196" w:rsidRDefault="00574A3A" w:rsidP="008702BC">
            <w:pPr>
              <w:rPr>
                <w:sz w:val="20"/>
                <w:szCs w:val="20"/>
              </w:rPr>
            </w:pPr>
            <w:r w:rsidRPr="00C10196">
              <w:rPr>
                <w:sz w:val="20"/>
                <w:szCs w:val="20"/>
              </w:rPr>
              <w:lastRenderedPageBreak/>
              <w:t>Accreditation against the NSQHS Standards</w:t>
            </w:r>
          </w:p>
        </w:tc>
        <w:tc>
          <w:tcPr>
            <w:tcW w:w="4394" w:type="dxa"/>
          </w:tcPr>
          <w:p w14:paraId="3881CCC1" w14:textId="77777777" w:rsidR="00574A3A" w:rsidRPr="00C10196"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C10196">
              <w:rPr>
                <w:sz w:val="20"/>
                <w:szCs w:val="20"/>
              </w:rPr>
              <w:t>Review of the accreditation process to support the assessment to the third edition of NSQHS Standards.</w:t>
            </w:r>
          </w:p>
        </w:tc>
        <w:tc>
          <w:tcPr>
            <w:tcW w:w="3685" w:type="dxa"/>
            <w:vMerge w:val="restart"/>
          </w:tcPr>
          <w:p w14:paraId="6698ECBD" w14:textId="77777777" w:rsidR="00574A3A" w:rsidRDefault="00574A3A" w:rsidP="00574A3A">
            <w:pPr>
              <w:pStyle w:val="ListParagraph"/>
              <w:numPr>
                <w:ilvl w:val="0"/>
                <w:numId w:val="25"/>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4775B">
              <w:rPr>
                <w:rFonts w:cs="Arial"/>
                <w:sz w:val="20"/>
                <w:szCs w:val="20"/>
              </w:rPr>
              <w:t>PHE</w:t>
            </w:r>
          </w:p>
          <w:p w14:paraId="13BF0CB1" w14:textId="77777777" w:rsidR="00574A3A" w:rsidRPr="00C10196" w:rsidRDefault="00574A3A" w:rsidP="00574A3A">
            <w:pPr>
              <w:pStyle w:val="ListParagraph"/>
              <w:numPr>
                <w:ilvl w:val="0"/>
                <w:numId w:val="25"/>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10196">
              <w:rPr>
                <w:rFonts w:cs="Arial"/>
                <w:sz w:val="20"/>
                <w:szCs w:val="20"/>
              </w:rPr>
              <w:t>PHE-JLHN</w:t>
            </w:r>
          </w:p>
        </w:tc>
        <w:tc>
          <w:tcPr>
            <w:tcW w:w="3685" w:type="dxa"/>
            <w:vMerge w:val="restart"/>
          </w:tcPr>
          <w:p w14:paraId="2356A9B6" w14:textId="77777777" w:rsidR="00574A3A" w:rsidRDefault="00574A3A" w:rsidP="00574A3A">
            <w:pPr>
              <w:pStyle w:val="ListParagraph"/>
              <w:numPr>
                <w:ilvl w:val="0"/>
                <w:numId w:val="20"/>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17B53">
              <w:rPr>
                <w:rFonts w:cs="Arial"/>
                <w:sz w:val="20"/>
                <w:szCs w:val="20"/>
              </w:rPr>
              <w:t>Master list of Hospitals</w:t>
            </w:r>
          </w:p>
          <w:p w14:paraId="4EB96290" w14:textId="77777777" w:rsidR="00574A3A" w:rsidRPr="00C10196" w:rsidRDefault="00574A3A" w:rsidP="00574A3A">
            <w:pPr>
              <w:pStyle w:val="ListParagraph"/>
              <w:numPr>
                <w:ilvl w:val="0"/>
                <w:numId w:val="20"/>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10196">
              <w:rPr>
                <w:rFonts w:cs="Arial"/>
                <w:sz w:val="20"/>
                <w:szCs w:val="20"/>
              </w:rPr>
              <w:t>NHSD</w:t>
            </w:r>
          </w:p>
        </w:tc>
      </w:tr>
      <w:tr w:rsidR="00574A3A" w:rsidRPr="00C10196" w14:paraId="2E83154E"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6031F66C" w14:textId="77777777" w:rsidR="00574A3A" w:rsidRPr="00C10196" w:rsidRDefault="00574A3A" w:rsidP="008702BC">
            <w:pPr>
              <w:rPr>
                <w:sz w:val="20"/>
                <w:szCs w:val="20"/>
              </w:rPr>
            </w:pPr>
          </w:p>
        </w:tc>
        <w:tc>
          <w:tcPr>
            <w:tcW w:w="4394" w:type="dxa"/>
          </w:tcPr>
          <w:p w14:paraId="77C76F50" w14:textId="77777777" w:rsidR="00574A3A" w:rsidRPr="00C10196"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C10196">
              <w:rPr>
                <w:sz w:val="20"/>
                <w:szCs w:val="20"/>
              </w:rPr>
              <w:t>Ongoing management, oversight and regular review of the Australian Health Service Safety and Quality Accreditation (AHSSQA) Scheme including:</w:t>
            </w:r>
          </w:p>
          <w:p w14:paraId="39064759" w14:textId="77777777" w:rsidR="00574A3A" w:rsidRPr="00C10196" w:rsidRDefault="00574A3A" w:rsidP="00574A3A">
            <w:pPr>
              <w:pStyle w:val="ListParagraph"/>
              <w:numPr>
                <w:ilvl w:val="0"/>
                <w:numId w:val="28"/>
              </w:numPr>
              <w:spacing w:after="120" w:line="280" w:lineRule="atLeast"/>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C10196">
              <w:rPr>
                <w:rFonts w:eastAsiaTheme="majorEastAsia"/>
                <w:sz w:val="20"/>
                <w:szCs w:val="20"/>
              </w:rPr>
              <w:t>Oversight, review and approval of accreditation agencies assessing against standards under the AHSSQA Scheme</w:t>
            </w:r>
          </w:p>
          <w:p w14:paraId="40EC01C4" w14:textId="77777777" w:rsidR="00574A3A" w:rsidRPr="00C10196"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C10196">
              <w:rPr>
                <w:rFonts w:eastAsiaTheme="majorEastAsia"/>
                <w:sz w:val="20"/>
                <w:szCs w:val="20"/>
              </w:rPr>
              <w:t>Management of expansion and adaptation of the AHSSQA Scheme to accommodate new national safety and quality standards.</w:t>
            </w:r>
          </w:p>
        </w:tc>
        <w:tc>
          <w:tcPr>
            <w:tcW w:w="3685" w:type="dxa"/>
            <w:vMerge/>
          </w:tcPr>
          <w:p w14:paraId="390C8D47" w14:textId="77777777" w:rsidR="00574A3A" w:rsidRPr="00C10196" w:rsidRDefault="00574A3A" w:rsidP="00574A3A">
            <w:pPr>
              <w:pStyle w:val="ListParagraph"/>
              <w:numPr>
                <w:ilvl w:val="0"/>
                <w:numId w:val="25"/>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3194A4CD" w14:textId="77777777" w:rsidR="00574A3A" w:rsidRPr="00C10196" w:rsidRDefault="00574A3A" w:rsidP="00574A3A">
            <w:pPr>
              <w:pStyle w:val="ListParagraph"/>
              <w:numPr>
                <w:ilvl w:val="0"/>
                <w:numId w:val="20"/>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C10196" w14:paraId="4128AD16"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75D51A17" w14:textId="77777777" w:rsidR="00574A3A" w:rsidRPr="00C10196" w:rsidRDefault="00574A3A" w:rsidP="008702BC">
            <w:pPr>
              <w:rPr>
                <w:sz w:val="20"/>
                <w:szCs w:val="20"/>
              </w:rPr>
            </w:pPr>
          </w:p>
        </w:tc>
        <w:tc>
          <w:tcPr>
            <w:tcW w:w="4394" w:type="dxa"/>
          </w:tcPr>
          <w:p w14:paraId="0B56CC82" w14:textId="4C50A72A" w:rsidR="00574A3A" w:rsidRPr="00C10196"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C10196">
              <w:rPr>
                <w:sz w:val="20"/>
                <w:szCs w:val="20"/>
              </w:rPr>
              <w:t>National reporting on outcomes of accreditation of health services, including reports to the Australian Government Department of Health</w:t>
            </w:r>
            <w:r w:rsidR="0040514F">
              <w:rPr>
                <w:sz w:val="20"/>
                <w:szCs w:val="20"/>
              </w:rPr>
              <w:t>, Disability</w:t>
            </w:r>
            <w:r w:rsidRPr="00C10196">
              <w:rPr>
                <w:sz w:val="20"/>
                <w:szCs w:val="20"/>
              </w:rPr>
              <w:t xml:space="preserve"> and Age</w:t>
            </w:r>
            <w:r w:rsidR="0040514F">
              <w:rPr>
                <w:sz w:val="20"/>
                <w:szCs w:val="20"/>
              </w:rPr>
              <w:t>ing</w:t>
            </w:r>
            <w:r w:rsidRPr="00C10196">
              <w:rPr>
                <w:sz w:val="20"/>
                <w:szCs w:val="20"/>
              </w:rPr>
              <w:t xml:space="preserve"> and state and territory regulators.</w:t>
            </w:r>
          </w:p>
        </w:tc>
        <w:tc>
          <w:tcPr>
            <w:tcW w:w="3685" w:type="dxa"/>
            <w:vMerge/>
          </w:tcPr>
          <w:p w14:paraId="1BF05D49" w14:textId="77777777" w:rsidR="00574A3A" w:rsidRPr="00C10196" w:rsidRDefault="00574A3A" w:rsidP="00574A3A">
            <w:pPr>
              <w:pStyle w:val="ListParagraph"/>
              <w:numPr>
                <w:ilvl w:val="0"/>
                <w:numId w:val="25"/>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6F378CFD" w14:textId="77777777" w:rsidR="00574A3A" w:rsidRPr="00C10196" w:rsidRDefault="00574A3A" w:rsidP="00574A3A">
            <w:pPr>
              <w:pStyle w:val="ListParagraph"/>
              <w:numPr>
                <w:ilvl w:val="0"/>
                <w:numId w:val="20"/>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C10196" w14:paraId="37843679"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5085037A" w14:textId="77777777" w:rsidR="00574A3A" w:rsidRPr="00C10196" w:rsidRDefault="00574A3A" w:rsidP="008702BC">
            <w:pPr>
              <w:rPr>
                <w:sz w:val="20"/>
                <w:szCs w:val="20"/>
              </w:rPr>
            </w:pPr>
          </w:p>
        </w:tc>
        <w:tc>
          <w:tcPr>
            <w:tcW w:w="4394" w:type="dxa"/>
          </w:tcPr>
          <w:p w14:paraId="19E33B09" w14:textId="77777777" w:rsidR="00574A3A" w:rsidRPr="00C10196" w:rsidRDefault="00574A3A" w:rsidP="008702BC">
            <w:pPr>
              <w:cnfStyle w:val="000000000000" w:firstRow="0" w:lastRow="0" w:firstColumn="0" w:lastColumn="0" w:oddVBand="0" w:evenVBand="0" w:oddHBand="0" w:evenHBand="0" w:firstRowFirstColumn="0" w:firstRowLastColumn="0" w:lastRowFirstColumn="0" w:lastRowLastColumn="0"/>
              <w:rPr>
                <w:b/>
                <w:bCs/>
                <w:sz w:val="20"/>
                <w:szCs w:val="20"/>
              </w:rPr>
            </w:pPr>
            <w:bookmarkStart w:id="59" w:name="_Hlk175752891"/>
            <w:r w:rsidRPr="00C10196">
              <w:rPr>
                <w:sz w:val="20"/>
                <w:szCs w:val="20"/>
              </w:rPr>
              <w:t>Mediation resources to manage and resolve differences between assessors and facilities in relation to accreditation processes</w:t>
            </w:r>
            <w:bookmarkEnd w:id="59"/>
            <w:r w:rsidRPr="00C10196">
              <w:rPr>
                <w:b/>
                <w:bCs/>
                <w:sz w:val="20"/>
                <w:szCs w:val="20"/>
              </w:rPr>
              <w:t>.</w:t>
            </w:r>
          </w:p>
        </w:tc>
        <w:tc>
          <w:tcPr>
            <w:tcW w:w="3685" w:type="dxa"/>
            <w:vMerge/>
          </w:tcPr>
          <w:p w14:paraId="3D5C8855" w14:textId="77777777" w:rsidR="00574A3A" w:rsidRPr="00C10196"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21E70A55" w14:textId="77777777" w:rsidR="00574A3A" w:rsidRPr="00C10196"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078C84A0" w14:textId="77777777" w:rsidTr="00FA0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4" w:type="dxa"/>
            <w:gridSpan w:val="4"/>
            <w:shd w:val="clear" w:color="auto" w:fill="F0E8FE" w:themeFill="background2"/>
          </w:tcPr>
          <w:p w14:paraId="662A8065" w14:textId="77777777" w:rsidR="00574A3A" w:rsidRPr="00574A3A" w:rsidRDefault="00574A3A" w:rsidP="008702BC">
            <w:pPr>
              <w:rPr>
                <w:b w:val="0"/>
                <w:bCs w:val="0"/>
                <w:color w:val="auto"/>
                <w:sz w:val="20"/>
                <w:szCs w:val="20"/>
              </w:rPr>
            </w:pPr>
            <w:r w:rsidRPr="00574A3A">
              <w:rPr>
                <w:color w:val="auto"/>
                <w:sz w:val="20"/>
                <w:szCs w:val="20"/>
              </w:rPr>
              <w:t>Partnerships with patients, their carers and families and, communities</w:t>
            </w:r>
          </w:p>
        </w:tc>
      </w:tr>
      <w:tr w:rsidR="00574A3A" w:rsidRPr="00BC7844" w14:paraId="40F0C81F"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val="restart"/>
          </w:tcPr>
          <w:p w14:paraId="34C8B11D" w14:textId="77777777" w:rsidR="00574A3A" w:rsidRPr="00BC7844" w:rsidRDefault="00574A3A" w:rsidP="008702BC">
            <w:pPr>
              <w:rPr>
                <w:sz w:val="20"/>
                <w:szCs w:val="20"/>
              </w:rPr>
            </w:pPr>
            <w:r w:rsidRPr="00BC7844">
              <w:rPr>
                <w:sz w:val="20"/>
                <w:szCs w:val="20"/>
              </w:rPr>
              <w:t>Enabling the patient voice in their health care</w:t>
            </w:r>
          </w:p>
        </w:tc>
        <w:tc>
          <w:tcPr>
            <w:tcW w:w="4394" w:type="dxa"/>
          </w:tcPr>
          <w:p w14:paraId="123F67DA" w14:textId="77777777" w:rsidR="00574A3A" w:rsidRPr="00BC7844" w:rsidRDefault="00574A3A" w:rsidP="008702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Style w:val="normaltextrun"/>
                <w:rFonts w:ascii="Arial" w:hAnsi="Arial" w:cs="Arial"/>
                <w:sz w:val="20"/>
                <w:szCs w:val="20"/>
              </w:rPr>
              <w:t>Strengthen guidance on informed consent for patients and clinicians to support improvements to the validity, and patient experience, of consent processes.</w:t>
            </w:r>
          </w:p>
        </w:tc>
        <w:tc>
          <w:tcPr>
            <w:tcW w:w="3685" w:type="dxa"/>
            <w:vMerge w:val="restart"/>
          </w:tcPr>
          <w:p w14:paraId="257FC028" w14:textId="77777777" w:rsidR="00574A3A" w:rsidRPr="00287435"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APC NMDS</w:t>
            </w:r>
          </w:p>
          <w:p w14:paraId="30FB8D95" w14:textId="77777777" w:rsidR="00574A3A"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1F63CE">
              <w:rPr>
                <w:rFonts w:cs="Arial"/>
                <w:sz w:val="20"/>
                <w:szCs w:val="20"/>
              </w:rPr>
              <w:t>NHDH</w:t>
            </w:r>
          </w:p>
          <w:p w14:paraId="3D7358CF" w14:textId="77777777" w:rsidR="00574A3A" w:rsidRPr="00BC7844"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t>NPDC</w:t>
            </w:r>
          </w:p>
        </w:tc>
        <w:tc>
          <w:tcPr>
            <w:tcW w:w="3685" w:type="dxa"/>
            <w:vMerge w:val="restart"/>
          </w:tcPr>
          <w:p w14:paraId="0D22C236" w14:textId="77777777" w:rsidR="00574A3A"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MBS</w:t>
            </w:r>
          </w:p>
          <w:p w14:paraId="09815043" w14:textId="77777777" w:rsidR="00574A3A" w:rsidRPr="00BC7844"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t>PBS</w:t>
            </w:r>
          </w:p>
        </w:tc>
      </w:tr>
      <w:tr w:rsidR="00574A3A" w:rsidRPr="00BC7844" w14:paraId="38689F7F"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703A266C" w14:textId="77777777" w:rsidR="00574A3A" w:rsidRPr="00BC7844" w:rsidRDefault="00574A3A" w:rsidP="008702BC">
            <w:pPr>
              <w:rPr>
                <w:sz w:val="20"/>
                <w:szCs w:val="20"/>
              </w:rPr>
            </w:pPr>
          </w:p>
        </w:tc>
        <w:tc>
          <w:tcPr>
            <w:tcW w:w="4394" w:type="dxa"/>
          </w:tcPr>
          <w:p w14:paraId="01E10349"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Provide resources to support clinicians and patients to share decision-making about clinical care.</w:t>
            </w:r>
          </w:p>
        </w:tc>
        <w:tc>
          <w:tcPr>
            <w:tcW w:w="3685" w:type="dxa"/>
            <w:vMerge/>
          </w:tcPr>
          <w:p w14:paraId="3047B959" w14:textId="77777777" w:rsidR="00574A3A" w:rsidRPr="00BC7844"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4A9E5D28" w14:textId="77777777" w:rsidR="00574A3A" w:rsidRPr="00BC7844"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BC7844" w14:paraId="2850954B"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20BBAE6B" w14:textId="77777777" w:rsidR="00574A3A" w:rsidRPr="00BC7844" w:rsidRDefault="00574A3A" w:rsidP="008702BC">
            <w:pPr>
              <w:rPr>
                <w:sz w:val="20"/>
                <w:szCs w:val="20"/>
              </w:rPr>
            </w:pPr>
          </w:p>
        </w:tc>
        <w:tc>
          <w:tcPr>
            <w:tcW w:w="4394" w:type="dxa"/>
          </w:tcPr>
          <w:p w14:paraId="5B1F0C32"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 xml:space="preserve">Provide guidance on the use and integration of patient reported measures in clinical practice in different health settings, to support shared </w:t>
            </w:r>
            <w:r w:rsidRPr="00BC7844">
              <w:rPr>
                <w:sz w:val="20"/>
                <w:szCs w:val="20"/>
              </w:rPr>
              <w:lastRenderedPageBreak/>
              <w:t>decision-making and measure patient outcomes and experience.</w:t>
            </w:r>
          </w:p>
        </w:tc>
        <w:tc>
          <w:tcPr>
            <w:tcW w:w="3685" w:type="dxa"/>
            <w:vMerge/>
          </w:tcPr>
          <w:p w14:paraId="5123C563"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64583E08"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CD3ECC" w14:paraId="746A1F75"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367C36AA" w14:textId="77777777" w:rsidR="00574A3A" w:rsidRPr="00CD3ECC" w:rsidRDefault="00574A3A" w:rsidP="008702BC">
            <w:pPr>
              <w:rPr>
                <w:sz w:val="20"/>
                <w:szCs w:val="20"/>
              </w:rPr>
            </w:pPr>
            <w:r w:rsidRPr="00CD3ECC">
              <w:rPr>
                <w:sz w:val="20"/>
                <w:szCs w:val="20"/>
              </w:rPr>
              <w:t>Equitable health care</w:t>
            </w:r>
          </w:p>
        </w:tc>
        <w:tc>
          <w:tcPr>
            <w:tcW w:w="4394" w:type="dxa"/>
          </w:tcPr>
          <w:p w14:paraId="5649D81F" w14:textId="77777777" w:rsidR="00574A3A" w:rsidRPr="00CD3ECC"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CD3ECC">
              <w:rPr>
                <w:sz w:val="20"/>
                <w:szCs w:val="20"/>
              </w:rPr>
              <w:t>Identify, design and develop resources to improve the safety and quality of health care for people most at risk of discrimination and unequal care.</w:t>
            </w:r>
          </w:p>
        </w:tc>
        <w:tc>
          <w:tcPr>
            <w:tcW w:w="3685" w:type="dxa"/>
            <w:vMerge w:val="restart"/>
          </w:tcPr>
          <w:p w14:paraId="69F4F839"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val="restart"/>
          </w:tcPr>
          <w:p w14:paraId="75E3902D" w14:textId="77777777" w:rsidR="00574A3A"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MBS</w:t>
            </w:r>
          </w:p>
          <w:p w14:paraId="361EF6A6" w14:textId="77777777" w:rsidR="00574A3A"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C7844">
              <w:rPr>
                <w:rFonts w:cs="Arial"/>
                <w:sz w:val="20"/>
                <w:szCs w:val="20"/>
              </w:rPr>
              <w:t>PBS</w:t>
            </w:r>
          </w:p>
          <w:p w14:paraId="5CE91226" w14:textId="77777777" w:rsidR="00574A3A" w:rsidRPr="00CD3ECC" w:rsidRDefault="00574A3A" w:rsidP="00574A3A">
            <w:pPr>
              <w:pStyle w:val="ListParagraph"/>
              <w:numPr>
                <w:ilvl w:val="0"/>
                <w:numId w:val="24"/>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CD3ECC">
              <w:rPr>
                <w:rFonts w:cs="Arial"/>
                <w:sz w:val="20"/>
                <w:szCs w:val="20"/>
              </w:rPr>
              <w:t>RAAHS</w:t>
            </w:r>
          </w:p>
        </w:tc>
      </w:tr>
      <w:tr w:rsidR="00574A3A" w:rsidRPr="00BC7844" w14:paraId="363DB7B5"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2645BBAC" w14:textId="77777777" w:rsidR="00574A3A" w:rsidRPr="00CD3ECC" w:rsidRDefault="00574A3A" w:rsidP="008702BC">
            <w:pPr>
              <w:rPr>
                <w:sz w:val="20"/>
                <w:szCs w:val="20"/>
              </w:rPr>
            </w:pPr>
          </w:p>
        </w:tc>
        <w:tc>
          <w:tcPr>
            <w:tcW w:w="4394" w:type="dxa"/>
          </w:tcPr>
          <w:p w14:paraId="5C3D8C2D" w14:textId="77777777" w:rsidR="00574A3A" w:rsidRPr="00CD3ECC"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CD3ECC">
              <w:rPr>
                <w:sz w:val="20"/>
                <w:szCs w:val="20"/>
              </w:rPr>
              <w:t>Identify, design and develop resources to improve the safety and quality of health care for people who live in rural and remote communities</w:t>
            </w:r>
          </w:p>
        </w:tc>
        <w:tc>
          <w:tcPr>
            <w:tcW w:w="3685" w:type="dxa"/>
            <w:vMerge/>
          </w:tcPr>
          <w:p w14:paraId="40377A42"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2B59FCA3"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434D3C1D"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8BD60F5" w14:textId="77777777" w:rsidR="00574A3A" w:rsidRPr="00BC7844" w:rsidRDefault="00574A3A" w:rsidP="008702BC">
            <w:pPr>
              <w:rPr>
                <w:sz w:val="20"/>
                <w:szCs w:val="20"/>
              </w:rPr>
            </w:pPr>
            <w:r w:rsidRPr="00BC7844">
              <w:rPr>
                <w:sz w:val="20"/>
                <w:szCs w:val="20"/>
              </w:rPr>
              <w:t>Mental health and suicide prevention</w:t>
            </w:r>
          </w:p>
        </w:tc>
        <w:tc>
          <w:tcPr>
            <w:tcW w:w="4394" w:type="dxa"/>
          </w:tcPr>
          <w:p w14:paraId="143D9EC7" w14:textId="77777777" w:rsidR="00574A3A" w:rsidRPr="00BC7844" w:rsidRDefault="00574A3A" w:rsidP="008702BC">
            <w:pPr>
              <w:widowControl w:val="0"/>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Collaborate with governments and other agencies to support mental health and suicide prevention national priorities.</w:t>
            </w:r>
            <w:r w:rsidRPr="00BC7844" w:rsidDel="001068C2">
              <w:rPr>
                <w:sz w:val="20"/>
                <w:szCs w:val="20"/>
              </w:rPr>
              <w:t xml:space="preserve"> </w:t>
            </w:r>
          </w:p>
        </w:tc>
        <w:tc>
          <w:tcPr>
            <w:tcW w:w="3685" w:type="dxa"/>
          </w:tcPr>
          <w:p w14:paraId="1B00F0DE" w14:textId="77777777" w:rsidR="00574A3A" w:rsidRPr="00BC7844" w:rsidRDefault="00574A3A" w:rsidP="00574A3A">
            <w:pPr>
              <w:pStyle w:val="ListParagraph"/>
              <w:numPr>
                <w:ilvl w:val="0"/>
                <w:numId w:val="28"/>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3F2540">
              <w:rPr>
                <w:rFonts w:cs="Arial"/>
                <w:sz w:val="20"/>
                <w:szCs w:val="20"/>
              </w:rPr>
              <w:t xml:space="preserve">Mental Health Seclusion and Restraint National Best Endeavours Data Set </w:t>
            </w:r>
          </w:p>
        </w:tc>
        <w:tc>
          <w:tcPr>
            <w:tcW w:w="3685" w:type="dxa"/>
          </w:tcPr>
          <w:p w14:paraId="0E252D73" w14:textId="77777777" w:rsidR="00574A3A" w:rsidRPr="00BC7844" w:rsidRDefault="00574A3A" w:rsidP="00574A3A">
            <w:pPr>
              <w:pStyle w:val="ListParagraph"/>
              <w:numPr>
                <w:ilvl w:val="0"/>
                <w:numId w:val="28"/>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3F2540">
              <w:rPr>
                <w:rFonts w:cs="Arial"/>
                <w:sz w:val="20"/>
                <w:szCs w:val="20"/>
              </w:rPr>
              <w:t>National Study of Mental Health and Wellbeing</w:t>
            </w:r>
            <w:r>
              <w:rPr>
                <w:rFonts w:cs="Arial"/>
                <w:sz w:val="20"/>
                <w:szCs w:val="20"/>
              </w:rPr>
              <w:t xml:space="preserve"> </w:t>
            </w:r>
          </w:p>
        </w:tc>
      </w:tr>
      <w:tr w:rsidR="00574A3A" w:rsidRPr="00BC7844" w14:paraId="20CA42A0" w14:textId="77777777" w:rsidTr="008F2DE4">
        <w:tc>
          <w:tcPr>
            <w:cnfStyle w:val="001000000000" w:firstRow="0" w:lastRow="0" w:firstColumn="1" w:lastColumn="0" w:oddVBand="0" w:evenVBand="0" w:oddHBand="0" w:evenHBand="0" w:firstRowFirstColumn="0" w:firstRowLastColumn="0" w:lastRowFirstColumn="0" w:lastRowLastColumn="0"/>
            <w:tcW w:w="13744" w:type="dxa"/>
            <w:gridSpan w:val="4"/>
            <w:shd w:val="clear" w:color="auto" w:fill="F0E8FE" w:themeFill="background2"/>
          </w:tcPr>
          <w:p w14:paraId="05080C3D" w14:textId="77777777" w:rsidR="00574A3A" w:rsidRPr="00574A3A" w:rsidRDefault="00574A3A" w:rsidP="008702BC">
            <w:pPr>
              <w:rPr>
                <w:b w:val="0"/>
                <w:bCs w:val="0"/>
                <w:color w:val="auto"/>
                <w:sz w:val="20"/>
                <w:szCs w:val="20"/>
              </w:rPr>
            </w:pPr>
            <w:r w:rsidRPr="00574A3A">
              <w:rPr>
                <w:color w:val="auto"/>
                <w:sz w:val="20"/>
                <w:szCs w:val="20"/>
              </w:rPr>
              <w:t>Appropriate and sustainable health care</w:t>
            </w:r>
          </w:p>
        </w:tc>
      </w:tr>
      <w:tr w:rsidR="00574A3A" w:rsidRPr="00BC7844" w14:paraId="6B3F21E8"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A6AAC06" w14:textId="77777777" w:rsidR="00574A3A" w:rsidRPr="00BC7844" w:rsidRDefault="00574A3A" w:rsidP="008702BC">
            <w:pPr>
              <w:rPr>
                <w:sz w:val="20"/>
                <w:szCs w:val="20"/>
              </w:rPr>
            </w:pPr>
            <w:r w:rsidRPr="00BC7844">
              <w:rPr>
                <w:sz w:val="20"/>
                <w:szCs w:val="20"/>
              </w:rPr>
              <w:t>Healthcare variation and low value care</w:t>
            </w:r>
          </w:p>
          <w:p w14:paraId="395628FD" w14:textId="77777777" w:rsidR="00574A3A" w:rsidRPr="00BC7844" w:rsidRDefault="00574A3A" w:rsidP="008702BC">
            <w:pPr>
              <w:rPr>
                <w:sz w:val="20"/>
                <w:szCs w:val="20"/>
              </w:rPr>
            </w:pPr>
          </w:p>
        </w:tc>
        <w:tc>
          <w:tcPr>
            <w:tcW w:w="4394" w:type="dxa"/>
          </w:tcPr>
          <w:p w14:paraId="396F3E56"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Collaborate with, and review levers available and action taken by, states and territories, the Australian Government and other organisations to reduce unwarranted variation and low value care.</w:t>
            </w:r>
          </w:p>
        </w:tc>
        <w:tc>
          <w:tcPr>
            <w:tcW w:w="3685" w:type="dxa"/>
            <w:vMerge w:val="restart"/>
          </w:tcPr>
          <w:p w14:paraId="7BB74D91" w14:textId="77777777" w:rsidR="00574A3A" w:rsidRPr="00287435"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APC NMDS</w:t>
            </w:r>
          </w:p>
          <w:p w14:paraId="4227BC32" w14:textId="77777777" w:rsidR="00574A3A" w:rsidRPr="00287435"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NAPEDC NMDS</w:t>
            </w:r>
          </w:p>
          <w:p w14:paraId="096BA235" w14:textId="77777777" w:rsidR="00574A3A" w:rsidRPr="001F63CE"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1F63CE">
              <w:rPr>
                <w:rFonts w:cs="Arial"/>
                <w:sz w:val="20"/>
                <w:szCs w:val="20"/>
              </w:rPr>
              <w:t>NHDH</w:t>
            </w:r>
          </w:p>
          <w:p w14:paraId="013A8F25" w14:textId="77777777" w:rsidR="00574A3A" w:rsidRPr="00287435"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NPDC</w:t>
            </w:r>
          </w:p>
          <w:p w14:paraId="3E922149"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val="restart"/>
          </w:tcPr>
          <w:p w14:paraId="0713B2C2" w14:textId="77777777" w:rsidR="00574A3A" w:rsidRPr="00287435"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MBS</w:t>
            </w:r>
          </w:p>
          <w:p w14:paraId="19BD7520" w14:textId="77777777" w:rsidR="00574A3A"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PBS</w:t>
            </w:r>
          </w:p>
          <w:p w14:paraId="14430C64" w14:textId="77777777" w:rsidR="00574A3A" w:rsidRPr="00BC7844"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C7844">
              <w:rPr>
                <w:rFonts w:cs="Arial"/>
                <w:sz w:val="20"/>
                <w:szCs w:val="20"/>
              </w:rPr>
              <w:t>Admitted Patient Care Submission B</w:t>
            </w:r>
          </w:p>
        </w:tc>
      </w:tr>
      <w:tr w:rsidR="00574A3A" w:rsidRPr="00BC7844" w14:paraId="26D5DE15"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7004A95B" w14:textId="77777777" w:rsidR="00574A3A" w:rsidRPr="00BC7844" w:rsidRDefault="00574A3A" w:rsidP="008702BC">
            <w:pPr>
              <w:rPr>
                <w:sz w:val="20"/>
                <w:szCs w:val="20"/>
              </w:rPr>
            </w:pPr>
          </w:p>
        </w:tc>
        <w:tc>
          <w:tcPr>
            <w:tcW w:w="4394" w:type="dxa"/>
          </w:tcPr>
          <w:p w14:paraId="7DE1ED6F"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 xml:space="preserve">Provide guidance and tools for measuring and monitoring healthcare variation and improving appropriateness of care. </w:t>
            </w:r>
          </w:p>
        </w:tc>
        <w:tc>
          <w:tcPr>
            <w:tcW w:w="3685" w:type="dxa"/>
            <w:vMerge/>
          </w:tcPr>
          <w:p w14:paraId="5F5EB262"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4EEE4B91" w14:textId="77777777" w:rsidR="00574A3A" w:rsidRPr="00BC7844"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14914739" w14:textId="77777777" w:rsidTr="003C6224">
        <w:trPr>
          <w:cnfStyle w:val="000000100000" w:firstRow="0" w:lastRow="0" w:firstColumn="0" w:lastColumn="0" w:oddVBand="0" w:evenVBand="0" w:oddHBand="1" w:evenHBand="0" w:firstRowFirstColumn="0" w:firstRowLastColumn="0" w:lastRowFirstColumn="0" w:lastRowLastColumn="0"/>
          <w:trHeight w:val="1075"/>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75B58E63" w14:textId="77777777" w:rsidR="00574A3A" w:rsidRPr="00BC7844" w:rsidRDefault="00574A3A" w:rsidP="008702BC">
            <w:pPr>
              <w:rPr>
                <w:sz w:val="20"/>
                <w:szCs w:val="20"/>
              </w:rPr>
            </w:pPr>
            <w:r w:rsidRPr="00BC7844">
              <w:rPr>
                <w:sz w:val="20"/>
                <w:szCs w:val="20"/>
              </w:rPr>
              <w:t xml:space="preserve">High-value care pathways and best practice care </w:t>
            </w:r>
          </w:p>
          <w:p w14:paraId="51246619" w14:textId="77777777" w:rsidR="00574A3A" w:rsidRPr="00BC7844" w:rsidRDefault="00574A3A" w:rsidP="008702BC">
            <w:pPr>
              <w:rPr>
                <w:sz w:val="20"/>
                <w:szCs w:val="20"/>
              </w:rPr>
            </w:pPr>
          </w:p>
        </w:tc>
        <w:tc>
          <w:tcPr>
            <w:tcW w:w="4394" w:type="dxa"/>
          </w:tcPr>
          <w:p w14:paraId="7C6DA9EA" w14:textId="77777777" w:rsidR="00574A3A" w:rsidRPr="00BC7844" w:rsidRDefault="00574A3A" w:rsidP="008702BC">
            <w:pPr>
              <w:widowControl w:val="0"/>
              <w:cnfStyle w:val="000000100000" w:firstRow="0" w:lastRow="0" w:firstColumn="0" w:lastColumn="0" w:oddVBand="0" w:evenVBand="0" w:oddHBand="1" w:evenHBand="0" w:firstRowFirstColumn="0" w:firstRowLastColumn="0" w:lastRowFirstColumn="0" w:lastRowLastColumn="0"/>
              <w:rPr>
                <w:b/>
                <w:bCs/>
                <w:sz w:val="20"/>
                <w:szCs w:val="20"/>
              </w:rPr>
            </w:pPr>
            <w:r w:rsidRPr="00BC7844">
              <w:rPr>
                <w:sz w:val="20"/>
                <w:szCs w:val="20"/>
              </w:rPr>
              <w:t>Develop new clinical care standards, associated guidance and indicators, and strategies to support implementation, according to an agreed prioritisation process.</w:t>
            </w:r>
          </w:p>
        </w:tc>
        <w:tc>
          <w:tcPr>
            <w:tcW w:w="3685" w:type="dxa"/>
            <w:vMerge w:val="restart"/>
          </w:tcPr>
          <w:p w14:paraId="161C783C" w14:textId="77777777" w:rsidR="00574A3A"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APC NMDS</w:t>
            </w:r>
          </w:p>
          <w:p w14:paraId="5D3D63F2" w14:textId="77777777" w:rsidR="00574A3A" w:rsidRPr="00AE61BB"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AE61BB">
              <w:rPr>
                <w:rFonts w:cs="Arial"/>
                <w:sz w:val="20"/>
                <w:szCs w:val="20"/>
              </w:rPr>
              <w:t>NAPEDC NMDS</w:t>
            </w:r>
          </w:p>
          <w:p w14:paraId="17302610" w14:textId="77777777" w:rsidR="00574A3A"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1F63CE">
              <w:rPr>
                <w:rFonts w:cs="Arial"/>
                <w:sz w:val="20"/>
                <w:szCs w:val="20"/>
              </w:rPr>
              <w:t>NHDH</w:t>
            </w:r>
          </w:p>
          <w:p w14:paraId="2D3103EA" w14:textId="77777777" w:rsidR="00574A3A" w:rsidRPr="00BC7844"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C7844">
              <w:rPr>
                <w:rFonts w:cs="Arial"/>
                <w:sz w:val="20"/>
                <w:szCs w:val="20"/>
              </w:rPr>
              <w:t>NPDC</w:t>
            </w:r>
          </w:p>
        </w:tc>
        <w:tc>
          <w:tcPr>
            <w:tcW w:w="3685" w:type="dxa"/>
            <w:vMerge w:val="restart"/>
          </w:tcPr>
          <w:p w14:paraId="4C6FE227" w14:textId="77777777" w:rsidR="00574A3A"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MBS</w:t>
            </w:r>
          </w:p>
          <w:p w14:paraId="7B43CA35" w14:textId="77777777" w:rsidR="00574A3A"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C7844">
              <w:rPr>
                <w:rFonts w:cs="Arial"/>
                <w:sz w:val="20"/>
                <w:szCs w:val="20"/>
              </w:rPr>
              <w:t>PBS</w:t>
            </w:r>
          </w:p>
          <w:p w14:paraId="72B13D80" w14:textId="77777777" w:rsidR="00574A3A" w:rsidRPr="00BC7844" w:rsidRDefault="00574A3A" w:rsidP="00574A3A">
            <w:pPr>
              <w:pStyle w:val="ListParagraph"/>
              <w:numPr>
                <w:ilvl w:val="0"/>
                <w:numId w:val="24"/>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RAAHS</w:t>
            </w:r>
          </w:p>
        </w:tc>
      </w:tr>
      <w:tr w:rsidR="00574A3A" w:rsidRPr="00BC7844" w14:paraId="436C8E78"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24660297" w14:textId="77777777" w:rsidR="00574A3A" w:rsidRPr="00BC7844" w:rsidRDefault="00574A3A" w:rsidP="008702BC">
            <w:pPr>
              <w:rPr>
                <w:sz w:val="20"/>
                <w:szCs w:val="20"/>
              </w:rPr>
            </w:pPr>
          </w:p>
        </w:tc>
        <w:tc>
          <w:tcPr>
            <w:tcW w:w="4394" w:type="dxa"/>
          </w:tcPr>
          <w:p w14:paraId="787E2D20"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rStyle w:val="normaltextrun"/>
                <w:sz w:val="20"/>
                <w:szCs w:val="20"/>
              </w:rPr>
              <w:t>Disseminate, evaluate and review clinical care standards and monitor and assess their implementation.</w:t>
            </w:r>
          </w:p>
        </w:tc>
        <w:tc>
          <w:tcPr>
            <w:tcW w:w="3685" w:type="dxa"/>
            <w:vMerge/>
          </w:tcPr>
          <w:p w14:paraId="1B960F66" w14:textId="77777777" w:rsidR="00574A3A" w:rsidRPr="00BC7844"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66D98FBF" w14:textId="77777777" w:rsidR="00574A3A" w:rsidRPr="00BC7844"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70302EF1"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36A263A4" w14:textId="77777777" w:rsidR="00574A3A" w:rsidRPr="00BC7844" w:rsidRDefault="00574A3A" w:rsidP="008702BC">
            <w:pPr>
              <w:rPr>
                <w:sz w:val="20"/>
                <w:szCs w:val="20"/>
              </w:rPr>
            </w:pPr>
          </w:p>
        </w:tc>
        <w:tc>
          <w:tcPr>
            <w:tcW w:w="4394" w:type="dxa"/>
          </w:tcPr>
          <w:p w14:paraId="0ED56073"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Revise existing clinical care standards and/or indicators according to the agreed review cycle process.</w:t>
            </w:r>
          </w:p>
        </w:tc>
        <w:tc>
          <w:tcPr>
            <w:tcW w:w="3685" w:type="dxa"/>
            <w:vMerge/>
          </w:tcPr>
          <w:p w14:paraId="2AE1D566"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34C477AE"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BC7844" w14:paraId="288940EA"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0385C080" w14:textId="77777777" w:rsidR="00574A3A" w:rsidRPr="00BC7844" w:rsidRDefault="00574A3A" w:rsidP="008702BC">
            <w:pPr>
              <w:rPr>
                <w:sz w:val="20"/>
                <w:szCs w:val="20"/>
              </w:rPr>
            </w:pPr>
          </w:p>
        </w:tc>
        <w:tc>
          <w:tcPr>
            <w:tcW w:w="4394" w:type="dxa"/>
          </w:tcPr>
          <w:p w14:paraId="3D36A62C" w14:textId="77777777" w:rsidR="00574A3A" w:rsidRPr="00BC7844" w:rsidRDefault="00574A3A" w:rsidP="008702BC">
            <w:pPr>
              <w:widowControl w:val="0"/>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 xml:space="preserve">Identify opportunities to improve the use of </w:t>
            </w:r>
            <w:r w:rsidRPr="00BC7844">
              <w:rPr>
                <w:sz w:val="20"/>
                <w:szCs w:val="20"/>
              </w:rPr>
              <w:lastRenderedPageBreak/>
              <w:t>robust clinical guidance at a national level, in collaboration with states and territories. This will include considering options for a national approach to coordinating clinical guidance across jurisdictions.</w:t>
            </w:r>
          </w:p>
        </w:tc>
        <w:tc>
          <w:tcPr>
            <w:tcW w:w="3685" w:type="dxa"/>
            <w:vMerge/>
          </w:tcPr>
          <w:p w14:paraId="7491BE3F"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163C760B"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7E748E19" w14:textId="77777777" w:rsidTr="008F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4" w:type="dxa"/>
            <w:gridSpan w:val="4"/>
            <w:shd w:val="clear" w:color="auto" w:fill="F0E8FE" w:themeFill="background2"/>
          </w:tcPr>
          <w:p w14:paraId="348C1E56" w14:textId="77777777" w:rsidR="00574A3A" w:rsidRPr="00574A3A" w:rsidRDefault="00574A3A" w:rsidP="008702BC">
            <w:pPr>
              <w:rPr>
                <w:b w:val="0"/>
                <w:bCs w:val="0"/>
                <w:color w:val="auto"/>
                <w:sz w:val="20"/>
                <w:szCs w:val="20"/>
              </w:rPr>
            </w:pPr>
            <w:r w:rsidRPr="00574A3A">
              <w:rPr>
                <w:color w:val="auto"/>
                <w:sz w:val="20"/>
                <w:szCs w:val="20"/>
              </w:rPr>
              <w:t>Safe clinical processes</w:t>
            </w:r>
          </w:p>
        </w:tc>
      </w:tr>
      <w:tr w:rsidR="00574A3A" w:rsidRPr="00BA352D" w14:paraId="16FC6C7A"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val="restart"/>
          </w:tcPr>
          <w:p w14:paraId="587C5283" w14:textId="77777777" w:rsidR="00574A3A" w:rsidRPr="00BC7844" w:rsidRDefault="00574A3A" w:rsidP="008702BC">
            <w:pPr>
              <w:rPr>
                <w:sz w:val="20"/>
                <w:szCs w:val="20"/>
              </w:rPr>
            </w:pPr>
            <w:r w:rsidRPr="00BC7844">
              <w:rPr>
                <w:sz w:val="20"/>
                <w:szCs w:val="20"/>
              </w:rPr>
              <w:t>National approach to safe and quality use of medicines</w:t>
            </w:r>
          </w:p>
          <w:p w14:paraId="34764821" w14:textId="77777777" w:rsidR="00574A3A" w:rsidRPr="00BC7844" w:rsidRDefault="00574A3A" w:rsidP="008702BC">
            <w:pPr>
              <w:rPr>
                <w:sz w:val="20"/>
                <w:szCs w:val="20"/>
              </w:rPr>
            </w:pPr>
          </w:p>
        </w:tc>
        <w:tc>
          <w:tcPr>
            <w:tcW w:w="4394" w:type="dxa"/>
          </w:tcPr>
          <w:p w14:paraId="38B9D9FA"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Undertake ongoing work in response to the third WHO Global Patient Safety Challenge: Medication without harm.</w:t>
            </w:r>
          </w:p>
        </w:tc>
        <w:tc>
          <w:tcPr>
            <w:tcW w:w="3685" w:type="dxa"/>
            <w:vMerge w:val="restart"/>
          </w:tcPr>
          <w:p w14:paraId="4CEC2A4E" w14:textId="77777777" w:rsidR="00574A3A" w:rsidRPr="00897C98" w:rsidRDefault="00574A3A" w:rsidP="00574A3A">
            <w:pPr>
              <w:pStyle w:val="ListParagraph"/>
              <w:numPr>
                <w:ilvl w:val="0"/>
                <w:numId w:val="3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897C98">
              <w:rPr>
                <w:rFonts w:cs="Arial"/>
                <w:sz w:val="20"/>
                <w:szCs w:val="20"/>
              </w:rPr>
              <w:t>APC NMDS</w:t>
            </w:r>
          </w:p>
          <w:p w14:paraId="1B1FCE0D" w14:textId="77777777" w:rsidR="00574A3A" w:rsidRPr="00BC7844" w:rsidRDefault="00574A3A" w:rsidP="00574A3A">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EC435E">
              <w:rPr>
                <w:rFonts w:cs="Arial"/>
                <w:sz w:val="20"/>
                <w:szCs w:val="20"/>
              </w:rPr>
              <w:t>NSMC Audit</w:t>
            </w:r>
          </w:p>
        </w:tc>
        <w:tc>
          <w:tcPr>
            <w:tcW w:w="3685" w:type="dxa"/>
            <w:vMerge w:val="restart"/>
          </w:tcPr>
          <w:p w14:paraId="2E3088CA" w14:textId="77777777" w:rsidR="00574A3A" w:rsidRPr="00BA352D" w:rsidRDefault="00574A3A" w:rsidP="00574A3A">
            <w:pPr>
              <w:pStyle w:val="ListParagraph"/>
              <w:numPr>
                <w:ilvl w:val="0"/>
                <w:numId w:val="32"/>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A352D">
              <w:rPr>
                <w:rFonts w:cs="Arial"/>
                <w:sz w:val="20"/>
                <w:szCs w:val="20"/>
              </w:rPr>
              <w:t>PBS</w:t>
            </w:r>
          </w:p>
        </w:tc>
      </w:tr>
      <w:tr w:rsidR="00574A3A" w:rsidRPr="00BC7844" w14:paraId="0395B32E"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6CDA358C" w14:textId="77777777" w:rsidR="00574A3A" w:rsidRPr="00BC7844" w:rsidRDefault="00574A3A" w:rsidP="008702BC">
            <w:pPr>
              <w:rPr>
                <w:sz w:val="20"/>
                <w:szCs w:val="20"/>
              </w:rPr>
            </w:pPr>
          </w:p>
        </w:tc>
        <w:tc>
          <w:tcPr>
            <w:tcW w:w="4394" w:type="dxa"/>
          </w:tcPr>
          <w:p w14:paraId="0A4522AA"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 xml:space="preserve">Develop and maintain medicines education resources including for high-risk medicines, and other quality use of medicines topics. </w:t>
            </w:r>
          </w:p>
        </w:tc>
        <w:tc>
          <w:tcPr>
            <w:tcW w:w="3685" w:type="dxa"/>
            <w:vMerge/>
          </w:tcPr>
          <w:p w14:paraId="194F8F54"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1C3A4C81"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BC7844" w14:paraId="5CCEBD05"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210795AC" w14:textId="77777777" w:rsidR="00574A3A" w:rsidRPr="00BC7844" w:rsidRDefault="00574A3A" w:rsidP="008702BC">
            <w:pPr>
              <w:rPr>
                <w:sz w:val="20"/>
                <w:szCs w:val="20"/>
              </w:rPr>
            </w:pPr>
          </w:p>
        </w:tc>
        <w:tc>
          <w:tcPr>
            <w:tcW w:w="4394" w:type="dxa"/>
          </w:tcPr>
          <w:p w14:paraId="3B05B689"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Provide stewardship of safe and quality use of medicines resources and materials including development of new policy and guidance.</w:t>
            </w:r>
          </w:p>
        </w:tc>
        <w:tc>
          <w:tcPr>
            <w:tcW w:w="3685" w:type="dxa"/>
            <w:vMerge/>
          </w:tcPr>
          <w:p w14:paraId="65387172"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41650DC9"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3FD86101"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2366354" w14:textId="77777777" w:rsidR="00574A3A" w:rsidRPr="00BC7844" w:rsidRDefault="00574A3A" w:rsidP="008702BC">
            <w:pPr>
              <w:rPr>
                <w:sz w:val="20"/>
                <w:szCs w:val="20"/>
              </w:rPr>
            </w:pPr>
            <w:r w:rsidRPr="00BC7844">
              <w:rPr>
                <w:sz w:val="20"/>
                <w:szCs w:val="20"/>
              </w:rPr>
              <w:t>Infection prevention control and antimicrobial use and resistance</w:t>
            </w:r>
          </w:p>
          <w:p w14:paraId="7B8D4050" w14:textId="77777777" w:rsidR="00574A3A" w:rsidRPr="00BC7844" w:rsidRDefault="00574A3A" w:rsidP="008702BC">
            <w:pPr>
              <w:rPr>
                <w:sz w:val="20"/>
                <w:szCs w:val="20"/>
              </w:rPr>
            </w:pPr>
          </w:p>
        </w:tc>
        <w:tc>
          <w:tcPr>
            <w:tcW w:w="4394" w:type="dxa"/>
          </w:tcPr>
          <w:p w14:paraId="74E9431C"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BC7844">
              <w:rPr>
                <w:sz w:val="20"/>
                <w:szCs w:val="20"/>
              </w:rPr>
              <w:t>Support the implementation of prevention and control of infection in health care settings and the community.</w:t>
            </w:r>
          </w:p>
        </w:tc>
        <w:tc>
          <w:tcPr>
            <w:tcW w:w="3685" w:type="dxa"/>
            <w:vMerge w:val="restart"/>
          </w:tcPr>
          <w:p w14:paraId="33C0784B" w14:textId="77777777" w:rsidR="00574A3A" w:rsidRPr="00287435" w:rsidRDefault="00574A3A" w:rsidP="00574A3A">
            <w:pPr>
              <w:pStyle w:val="ListParagraph"/>
              <w:numPr>
                <w:ilvl w:val="0"/>
                <w:numId w:val="19"/>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APC NMDS</w:t>
            </w:r>
          </w:p>
          <w:p w14:paraId="79D3971B" w14:textId="77777777" w:rsidR="00574A3A" w:rsidRDefault="00574A3A" w:rsidP="00574A3A">
            <w:pPr>
              <w:pStyle w:val="ListParagraph"/>
              <w:numPr>
                <w:ilvl w:val="0"/>
                <w:numId w:val="19"/>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C7844">
              <w:rPr>
                <w:rFonts w:cs="Arial"/>
                <w:sz w:val="20"/>
                <w:szCs w:val="20"/>
              </w:rPr>
              <w:t>NAPEDC NMDS</w:t>
            </w:r>
          </w:p>
          <w:p w14:paraId="4558DA0C" w14:textId="77777777" w:rsidR="00574A3A" w:rsidRDefault="00574A3A" w:rsidP="00574A3A">
            <w:pPr>
              <w:pStyle w:val="ListParagraph"/>
              <w:numPr>
                <w:ilvl w:val="0"/>
                <w:numId w:val="19"/>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SABSI</w:t>
            </w:r>
          </w:p>
          <w:p w14:paraId="7CB1E648" w14:textId="77777777" w:rsidR="00574A3A" w:rsidRPr="00BC7844" w:rsidRDefault="00574A3A" w:rsidP="00574A3A">
            <w:pPr>
              <w:pStyle w:val="ListParagraph"/>
              <w:numPr>
                <w:ilvl w:val="0"/>
                <w:numId w:val="19"/>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AURA surveillance program data (APAS, CARAlert)</w:t>
            </w:r>
          </w:p>
        </w:tc>
        <w:tc>
          <w:tcPr>
            <w:tcW w:w="3685" w:type="dxa"/>
            <w:vMerge w:val="restart"/>
          </w:tcPr>
          <w:p w14:paraId="4FDC55E3" w14:textId="77777777" w:rsidR="00574A3A" w:rsidRPr="00287435" w:rsidRDefault="00574A3A" w:rsidP="00574A3A">
            <w:pPr>
              <w:pStyle w:val="ListParagraph"/>
              <w:numPr>
                <w:ilvl w:val="0"/>
                <w:numId w:val="19"/>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MBS</w:t>
            </w:r>
          </w:p>
          <w:p w14:paraId="52D7B783" w14:textId="77777777" w:rsidR="00574A3A" w:rsidRPr="00287435" w:rsidRDefault="00574A3A" w:rsidP="00574A3A">
            <w:pPr>
              <w:pStyle w:val="ListParagraph"/>
              <w:numPr>
                <w:ilvl w:val="0"/>
                <w:numId w:val="19"/>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PBS</w:t>
            </w:r>
          </w:p>
          <w:p w14:paraId="38A7F275" w14:textId="77777777" w:rsidR="00574A3A" w:rsidRDefault="00574A3A" w:rsidP="00574A3A">
            <w:pPr>
              <w:pStyle w:val="ListParagraph"/>
              <w:numPr>
                <w:ilvl w:val="0"/>
                <w:numId w:val="19"/>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287435">
              <w:rPr>
                <w:rFonts w:cs="Arial"/>
                <w:sz w:val="20"/>
                <w:szCs w:val="20"/>
              </w:rPr>
              <w:t>PHDB</w:t>
            </w:r>
          </w:p>
          <w:p w14:paraId="1E0D527D" w14:textId="77777777" w:rsidR="00574A3A" w:rsidRDefault="00574A3A" w:rsidP="00574A3A">
            <w:pPr>
              <w:pStyle w:val="ListParagraph"/>
              <w:numPr>
                <w:ilvl w:val="0"/>
                <w:numId w:val="19"/>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A45110">
              <w:rPr>
                <w:rFonts w:cs="Arial"/>
                <w:sz w:val="20"/>
                <w:szCs w:val="20"/>
              </w:rPr>
              <w:t>National Neisseria Network</w:t>
            </w:r>
          </w:p>
          <w:p w14:paraId="0022530A" w14:textId="77777777" w:rsidR="00574A3A" w:rsidRPr="00BC7844" w:rsidRDefault="00574A3A" w:rsidP="00574A3A">
            <w:pPr>
              <w:pStyle w:val="ListParagraph"/>
              <w:numPr>
                <w:ilvl w:val="0"/>
                <w:numId w:val="19"/>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C7844">
              <w:rPr>
                <w:rFonts w:cs="Arial"/>
                <w:sz w:val="20"/>
                <w:szCs w:val="20"/>
              </w:rPr>
              <w:t xml:space="preserve">National Notifiable Diseases Surveillance System (NNDSS) – </w:t>
            </w:r>
            <w:r w:rsidRPr="002622A2">
              <w:rPr>
                <w:rFonts w:cs="Arial"/>
                <w:i/>
                <w:iCs/>
                <w:sz w:val="20"/>
                <w:szCs w:val="20"/>
              </w:rPr>
              <w:t xml:space="preserve">Mycobacterium tuberculosis </w:t>
            </w:r>
            <w:r w:rsidRPr="00BC7844">
              <w:rPr>
                <w:rFonts w:cs="Arial"/>
                <w:sz w:val="20"/>
                <w:szCs w:val="20"/>
              </w:rPr>
              <w:t>only</w:t>
            </w:r>
          </w:p>
        </w:tc>
      </w:tr>
      <w:tr w:rsidR="00574A3A" w:rsidRPr="00BC7844" w14:paraId="221E8D25"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6B0E29F2" w14:textId="77777777" w:rsidR="00574A3A" w:rsidRPr="00BC7844" w:rsidRDefault="00574A3A" w:rsidP="008702BC">
            <w:pPr>
              <w:rPr>
                <w:sz w:val="20"/>
                <w:szCs w:val="20"/>
              </w:rPr>
            </w:pPr>
          </w:p>
        </w:tc>
        <w:tc>
          <w:tcPr>
            <w:tcW w:w="4394" w:type="dxa"/>
          </w:tcPr>
          <w:p w14:paraId="196C1530" w14:textId="77777777" w:rsidR="00574A3A" w:rsidRPr="00BC7844" w:rsidRDefault="00574A3A" w:rsidP="008702BC">
            <w:pPr>
              <w:widowControl w:val="0"/>
              <w:cnfStyle w:val="000000000000" w:firstRow="0" w:lastRow="0" w:firstColumn="0" w:lastColumn="0" w:oddVBand="0" w:evenVBand="0" w:oddHBand="0" w:evenHBand="0" w:firstRowFirstColumn="0" w:firstRowLastColumn="0" w:lastRowFirstColumn="0" w:lastRowLastColumn="0"/>
              <w:rPr>
                <w:sz w:val="20"/>
                <w:szCs w:val="20"/>
              </w:rPr>
            </w:pPr>
            <w:r w:rsidRPr="00BC7844">
              <w:rPr>
                <w:rStyle w:val="normaltextrun"/>
                <w:sz w:val="20"/>
                <w:szCs w:val="20"/>
                <w:shd w:val="clear" w:color="auto" w:fill="FFFFFF"/>
              </w:rPr>
              <w:t xml:space="preserve">Review and enhance the range of guidance on Healthcare-Associated Infection surveillance. </w:t>
            </w:r>
          </w:p>
        </w:tc>
        <w:tc>
          <w:tcPr>
            <w:tcW w:w="3685" w:type="dxa"/>
            <w:vMerge/>
          </w:tcPr>
          <w:p w14:paraId="6275980B"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5456D462"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A352D" w14:paraId="246E794D"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09197A3E" w14:textId="77777777" w:rsidR="00574A3A" w:rsidRPr="00BA352D" w:rsidRDefault="00574A3A" w:rsidP="008702BC">
            <w:pPr>
              <w:rPr>
                <w:sz w:val="20"/>
                <w:szCs w:val="20"/>
              </w:rPr>
            </w:pPr>
            <w:r w:rsidRPr="00BA352D">
              <w:rPr>
                <w:sz w:val="20"/>
                <w:szCs w:val="20"/>
              </w:rPr>
              <w:t>Medical devices and new technologies</w:t>
            </w:r>
          </w:p>
          <w:p w14:paraId="31736009" w14:textId="77777777" w:rsidR="00574A3A" w:rsidRPr="00BA352D" w:rsidRDefault="00574A3A" w:rsidP="008702BC">
            <w:pPr>
              <w:rPr>
                <w:sz w:val="20"/>
                <w:szCs w:val="20"/>
              </w:rPr>
            </w:pPr>
          </w:p>
        </w:tc>
        <w:tc>
          <w:tcPr>
            <w:tcW w:w="4394" w:type="dxa"/>
          </w:tcPr>
          <w:p w14:paraId="323805FF" w14:textId="77777777" w:rsidR="00574A3A" w:rsidRPr="00BA352D"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A352D">
              <w:rPr>
                <w:sz w:val="20"/>
                <w:szCs w:val="20"/>
              </w:rPr>
              <w:t>Implement a framework for use of a national unique device identifier database, in collaboration with the Therapeutic Goods Administration.</w:t>
            </w:r>
          </w:p>
        </w:tc>
        <w:tc>
          <w:tcPr>
            <w:tcW w:w="3685" w:type="dxa"/>
            <w:vMerge w:val="restart"/>
          </w:tcPr>
          <w:p w14:paraId="2A4AE17A" w14:textId="77777777" w:rsidR="00574A3A" w:rsidRPr="00BA352D"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val="restart"/>
          </w:tcPr>
          <w:p w14:paraId="15B8D6FF" w14:textId="77777777" w:rsidR="00574A3A" w:rsidRDefault="00574A3A" w:rsidP="00574A3A">
            <w:pPr>
              <w:pStyle w:val="ListParagraph"/>
              <w:numPr>
                <w:ilvl w:val="0"/>
                <w:numId w:val="40"/>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PBS</w:t>
            </w:r>
          </w:p>
          <w:p w14:paraId="6F1CA7A9" w14:textId="77777777" w:rsidR="00574A3A" w:rsidRDefault="00574A3A" w:rsidP="00574A3A">
            <w:pPr>
              <w:pStyle w:val="ListParagraph"/>
              <w:numPr>
                <w:ilvl w:val="0"/>
                <w:numId w:val="40"/>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A352D">
              <w:rPr>
                <w:rFonts w:cs="Arial"/>
                <w:sz w:val="20"/>
                <w:szCs w:val="20"/>
              </w:rPr>
              <w:t xml:space="preserve">DAEN </w:t>
            </w:r>
            <w:r>
              <w:rPr>
                <w:rFonts w:cs="Arial"/>
                <w:sz w:val="20"/>
                <w:szCs w:val="20"/>
              </w:rPr>
              <w:t>–</w:t>
            </w:r>
            <w:r w:rsidRPr="00BA352D">
              <w:rPr>
                <w:rFonts w:cs="Arial"/>
                <w:sz w:val="20"/>
                <w:szCs w:val="20"/>
              </w:rPr>
              <w:t xml:space="preserve"> medicines</w:t>
            </w:r>
          </w:p>
          <w:p w14:paraId="3958F2FC" w14:textId="77777777" w:rsidR="00574A3A" w:rsidRPr="00BA352D" w:rsidRDefault="00574A3A" w:rsidP="00574A3A">
            <w:pPr>
              <w:pStyle w:val="ListParagraph"/>
              <w:numPr>
                <w:ilvl w:val="0"/>
                <w:numId w:val="40"/>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A352D">
              <w:rPr>
                <w:rFonts w:cs="Arial"/>
                <w:sz w:val="20"/>
                <w:szCs w:val="20"/>
              </w:rPr>
              <w:t xml:space="preserve">DAEN </w:t>
            </w:r>
            <w:r>
              <w:rPr>
                <w:rFonts w:cs="Arial"/>
                <w:sz w:val="20"/>
                <w:szCs w:val="20"/>
              </w:rPr>
              <w:t>–</w:t>
            </w:r>
            <w:r w:rsidRPr="00BA352D">
              <w:rPr>
                <w:rFonts w:cs="Arial"/>
                <w:sz w:val="20"/>
                <w:szCs w:val="20"/>
              </w:rPr>
              <w:t xml:space="preserve"> </w:t>
            </w:r>
            <w:r>
              <w:rPr>
                <w:rFonts w:cs="Arial"/>
                <w:sz w:val="20"/>
                <w:szCs w:val="20"/>
              </w:rPr>
              <w:t>medical devices</w:t>
            </w:r>
          </w:p>
        </w:tc>
      </w:tr>
      <w:tr w:rsidR="00574A3A" w:rsidRPr="00BA352D" w14:paraId="404CE8BF"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3D304AF3" w14:textId="77777777" w:rsidR="00574A3A" w:rsidRPr="00BA352D" w:rsidRDefault="00574A3A" w:rsidP="008702BC">
            <w:pPr>
              <w:rPr>
                <w:sz w:val="20"/>
                <w:szCs w:val="20"/>
              </w:rPr>
            </w:pPr>
          </w:p>
        </w:tc>
        <w:tc>
          <w:tcPr>
            <w:tcW w:w="4394" w:type="dxa"/>
          </w:tcPr>
          <w:p w14:paraId="00B82D2A" w14:textId="77777777" w:rsidR="00574A3A" w:rsidRPr="00BA352D"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A352D">
              <w:rPr>
                <w:sz w:val="20"/>
                <w:szCs w:val="20"/>
              </w:rPr>
              <w:t>Implement mandatory reporting of medical device adverse events, in collaboration with the Therapeutic Goods Administration.</w:t>
            </w:r>
          </w:p>
        </w:tc>
        <w:tc>
          <w:tcPr>
            <w:tcW w:w="3685" w:type="dxa"/>
            <w:vMerge/>
          </w:tcPr>
          <w:p w14:paraId="34A9526A" w14:textId="77777777" w:rsidR="00574A3A" w:rsidRPr="00BA352D"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5ECB8227" w14:textId="77777777" w:rsidR="00574A3A" w:rsidRPr="00BA352D"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7EFCE643" w14:textId="77777777" w:rsidTr="008F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4" w:type="dxa"/>
            <w:gridSpan w:val="4"/>
            <w:shd w:val="clear" w:color="auto" w:fill="F0E8FE" w:themeFill="background2"/>
          </w:tcPr>
          <w:p w14:paraId="6189CFFC" w14:textId="77777777" w:rsidR="00574A3A" w:rsidRPr="00574A3A" w:rsidRDefault="00574A3A" w:rsidP="008702BC">
            <w:pPr>
              <w:rPr>
                <w:b w:val="0"/>
                <w:bCs w:val="0"/>
                <w:color w:val="auto"/>
                <w:sz w:val="20"/>
                <w:szCs w:val="20"/>
              </w:rPr>
            </w:pPr>
            <w:r w:rsidRPr="00574A3A">
              <w:rPr>
                <w:color w:val="auto"/>
                <w:sz w:val="20"/>
                <w:szCs w:val="20"/>
              </w:rPr>
              <w:t>Integrated systems</w:t>
            </w:r>
          </w:p>
        </w:tc>
      </w:tr>
      <w:tr w:rsidR="00574A3A" w:rsidRPr="00BC7844" w14:paraId="14328DB4" w14:textId="77777777" w:rsidTr="003C6224">
        <w:tc>
          <w:tcPr>
            <w:cnfStyle w:val="001000000000" w:firstRow="0" w:lastRow="0" w:firstColumn="1" w:lastColumn="0" w:oddVBand="0" w:evenVBand="0" w:oddHBand="0" w:evenHBand="0" w:firstRowFirstColumn="0" w:firstRowLastColumn="0" w:lastRowFirstColumn="0" w:lastRowLastColumn="0"/>
            <w:tcW w:w="1980" w:type="dxa"/>
          </w:tcPr>
          <w:p w14:paraId="471A91E0" w14:textId="77777777" w:rsidR="00574A3A" w:rsidRPr="00BC7844" w:rsidRDefault="00574A3A" w:rsidP="008702BC">
            <w:pPr>
              <w:rPr>
                <w:sz w:val="20"/>
                <w:szCs w:val="20"/>
              </w:rPr>
            </w:pPr>
            <w:r w:rsidRPr="00BC7844">
              <w:rPr>
                <w:sz w:val="20"/>
                <w:szCs w:val="20"/>
              </w:rPr>
              <w:t>Comprehensive, integrated care</w:t>
            </w:r>
          </w:p>
          <w:p w14:paraId="615B09D3" w14:textId="77777777" w:rsidR="00574A3A" w:rsidRPr="00BC7844" w:rsidRDefault="00574A3A" w:rsidP="008702BC">
            <w:pPr>
              <w:rPr>
                <w:sz w:val="20"/>
                <w:szCs w:val="20"/>
              </w:rPr>
            </w:pPr>
          </w:p>
        </w:tc>
        <w:tc>
          <w:tcPr>
            <w:tcW w:w="4394" w:type="dxa"/>
          </w:tcPr>
          <w:p w14:paraId="7C94E07B"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lastRenderedPageBreak/>
              <w:t xml:space="preserve">Resources and guidance on safe and high-quality integrated, comprehensive care and </w:t>
            </w:r>
            <w:r w:rsidRPr="00BC7844">
              <w:rPr>
                <w:sz w:val="20"/>
                <w:szCs w:val="20"/>
              </w:rPr>
              <w:lastRenderedPageBreak/>
              <w:t>recognition and response to the deteriorating patient.</w:t>
            </w:r>
          </w:p>
        </w:tc>
        <w:tc>
          <w:tcPr>
            <w:tcW w:w="3685" w:type="dxa"/>
          </w:tcPr>
          <w:p w14:paraId="7674C00C" w14:textId="77777777" w:rsidR="00574A3A" w:rsidRPr="00BC7844" w:rsidRDefault="00574A3A" w:rsidP="00574A3A">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lastRenderedPageBreak/>
              <w:t>PALCARE</w:t>
            </w:r>
          </w:p>
        </w:tc>
        <w:tc>
          <w:tcPr>
            <w:tcW w:w="3685" w:type="dxa"/>
          </w:tcPr>
          <w:p w14:paraId="77F885D1"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58AD099E"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7272DFB8" w14:textId="77777777" w:rsidR="00574A3A" w:rsidRPr="00BC7844" w:rsidRDefault="00574A3A" w:rsidP="008702BC">
            <w:pPr>
              <w:rPr>
                <w:sz w:val="20"/>
                <w:szCs w:val="20"/>
              </w:rPr>
            </w:pPr>
            <w:r w:rsidRPr="00BC7844">
              <w:rPr>
                <w:sz w:val="20"/>
                <w:szCs w:val="20"/>
              </w:rPr>
              <w:t>Transitions of care / Communicating for safety</w:t>
            </w:r>
          </w:p>
          <w:p w14:paraId="3BFD91ED" w14:textId="77777777" w:rsidR="00574A3A" w:rsidRPr="00BC7844" w:rsidRDefault="00574A3A" w:rsidP="008702BC">
            <w:pPr>
              <w:rPr>
                <w:sz w:val="20"/>
                <w:szCs w:val="20"/>
              </w:rPr>
            </w:pPr>
          </w:p>
          <w:p w14:paraId="09D40326" w14:textId="77777777" w:rsidR="00574A3A" w:rsidRPr="00BC7844" w:rsidRDefault="00574A3A" w:rsidP="008702BC">
            <w:pPr>
              <w:rPr>
                <w:sz w:val="20"/>
                <w:szCs w:val="20"/>
              </w:rPr>
            </w:pPr>
          </w:p>
        </w:tc>
        <w:tc>
          <w:tcPr>
            <w:tcW w:w="4394" w:type="dxa"/>
          </w:tcPr>
          <w:p w14:paraId="25897850"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Resources to support a national approach to transitions of care, with a focus on discharge. This includes transition of aged care patients between hospitals and to community settings (including residential care).</w:t>
            </w:r>
          </w:p>
        </w:tc>
        <w:tc>
          <w:tcPr>
            <w:tcW w:w="3685" w:type="dxa"/>
            <w:vMerge w:val="restart"/>
          </w:tcPr>
          <w:p w14:paraId="25D94EAF"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val="restart"/>
          </w:tcPr>
          <w:p w14:paraId="1CAC5D34" w14:textId="77777777" w:rsidR="00574A3A" w:rsidRDefault="00574A3A" w:rsidP="00574A3A">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MBS</w:t>
            </w:r>
          </w:p>
          <w:p w14:paraId="1B804E43" w14:textId="77777777" w:rsidR="00574A3A" w:rsidRDefault="00574A3A" w:rsidP="00574A3A">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sidRPr="00BC7844">
              <w:rPr>
                <w:rFonts w:cs="Arial"/>
                <w:sz w:val="20"/>
                <w:szCs w:val="20"/>
              </w:rPr>
              <w:t>National Aged Care Mandatory Quality Indicator Program</w:t>
            </w:r>
          </w:p>
          <w:p w14:paraId="244726ED" w14:textId="77777777" w:rsidR="00574A3A" w:rsidRPr="00BC7844" w:rsidRDefault="00574A3A" w:rsidP="00574A3A">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PBS</w:t>
            </w:r>
          </w:p>
        </w:tc>
      </w:tr>
      <w:tr w:rsidR="00574A3A" w:rsidRPr="00BC7844" w14:paraId="00FC8E17"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0156E318" w14:textId="77777777" w:rsidR="00574A3A" w:rsidRPr="00BC7844" w:rsidRDefault="00574A3A" w:rsidP="008702BC">
            <w:pPr>
              <w:rPr>
                <w:sz w:val="20"/>
                <w:szCs w:val="20"/>
              </w:rPr>
            </w:pPr>
          </w:p>
        </w:tc>
        <w:tc>
          <w:tcPr>
            <w:tcW w:w="4394" w:type="dxa"/>
          </w:tcPr>
          <w:p w14:paraId="7D52CA62"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Guidance to support communication at transitions of care, aligned with work undertaken by states and territories.</w:t>
            </w:r>
          </w:p>
          <w:p w14:paraId="6C2B1A6B"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p>
          <w:p w14:paraId="4CA17A2C"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Style w:val="normaltextrun"/>
                <w:sz w:val="20"/>
                <w:szCs w:val="20"/>
                <w:shd w:val="clear" w:color="auto" w:fill="FFFFFF"/>
              </w:rPr>
            </w:pPr>
            <w:r w:rsidRPr="00BC7844">
              <w:rPr>
                <w:rStyle w:val="normaltextrun"/>
                <w:sz w:val="20"/>
                <w:szCs w:val="20"/>
                <w:shd w:val="clear" w:color="auto" w:fill="FFFFFF"/>
              </w:rPr>
              <w:t>Develop, revise and improve the uptake of structured written and verbal communication tools between</w:t>
            </w:r>
          </w:p>
          <w:p w14:paraId="69D8DB33" w14:textId="77777777" w:rsidR="00574A3A" w:rsidRPr="00BC7844" w:rsidRDefault="00574A3A" w:rsidP="00574A3A">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rStyle w:val="normaltextrun"/>
                <w:sz w:val="20"/>
                <w:szCs w:val="20"/>
                <w:shd w:val="clear" w:color="auto" w:fill="FFFFFF"/>
              </w:rPr>
            </w:pPr>
            <w:r w:rsidRPr="00BC7844">
              <w:rPr>
                <w:rStyle w:val="normaltextrun"/>
                <w:sz w:val="20"/>
                <w:szCs w:val="20"/>
                <w:shd w:val="clear" w:color="auto" w:fill="FFFFFF"/>
              </w:rPr>
              <w:t>Clinicians (for example, ISBAR)</w:t>
            </w:r>
          </w:p>
          <w:p w14:paraId="3F5E1EFA" w14:textId="77777777" w:rsidR="00574A3A" w:rsidRPr="00BC7844" w:rsidRDefault="00574A3A" w:rsidP="00574A3A">
            <w:pPr>
              <w:pStyle w:val="ListParagraph"/>
              <w:numPr>
                <w:ilvl w:val="0"/>
                <w:numId w:val="29"/>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r w:rsidRPr="00BC7844">
              <w:rPr>
                <w:rStyle w:val="normaltextrun"/>
                <w:sz w:val="20"/>
                <w:szCs w:val="20"/>
                <w:shd w:val="clear" w:color="auto" w:fill="FFFFFF"/>
              </w:rPr>
              <w:t>Clinicians and patients (for example, treatment plans)</w:t>
            </w:r>
          </w:p>
        </w:tc>
        <w:tc>
          <w:tcPr>
            <w:tcW w:w="3685" w:type="dxa"/>
            <w:vMerge/>
          </w:tcPr>
          <w:p w14:paraId="18D7226E"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1050A5FD"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4D0FA316"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73E3BE27" w14:textId="77777777" w:rsidR="00574A3A" w:rsidRPr="00BC7844" w:rsidRDefault="00574A3A" w:rsidP="008702BC">
            <w:pPr>
              <w:rPr>
                <w:sz w:val="20"/>
                <w:szCs w:val="20"/>
              </w:rPr>
            </w:pPr>
          </w:p>
        </w:tc>
        <w:tc>
          <w:tcPr>
            <w:tcW w:w="4394" w:type="dxa"/>
          </w:tcPr>
          <w:p w14:paraId="0302C80C" w14:textId="77777777" w:rsidR="00574A3A" w:rsidRPr="00BC7844" w:rsidRDefault="00574A3A" w:rsidP="008702BC">
            <w:pPr>
              <w:widowControl w:val="0"/>
              <w:cnfStyle w:val="000000100000" w:firstRow="0" w:lastRow="0" w:firstColumn="0" w:lastColumn="0" w:oddVBand="0" w:evenVBand="0" w:oddHBand="1" w:evenHBand="0" w:firstRowFirstColumn="0" w:firstRowLastColumn="0" w:lastRowFirstColumn="0" w:lastRowLastColumn="0"/>
              <w:rPr>
                <w:sz w:val="20"/>
                <w:szCs w:val="20"/>
              </w:rPr>
            </w:pPr>
            <w:r w:rsidRPr="00BC7844">
              <w:rPr>
                <w:rStyle w:val="normaltextrun"/>
                <w:sz w:val="20"/>
                <w:szCs w:val="20"/>
                <w:shd w:val="clear" w:color="auto" w:fill="FFFFFF"/>
              </w:rPr>
              <w:t>Develop guidance for the safe and high-quality use of virtual care</w:t>
            </w:r>
          </w:p>
        </w:tc>
        <w:tc>
          <w:tcPr>
            <w:tcW w:w="3685" w:type="dxa"/>
            <w:vMerge/>
          </w:tcPr>
          <w:p w14:paraId="1CC12657"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38E89101"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BC7844" w14:paraId="39999F32"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val="restart"/>
          </w:tcPr>
          <w:p w14:paraId="6BF06705" w14:textId="77777777" w:rsidR="00574A3A" w:rsidRPr="00BC7844" w:rsidRDefault="00574A3A" w:rsidP="008702BC">
            <w:pPr>
              <w:rPr>
                <w:sz w:val="20"/>
                <w:szCs w:val="20"/>
              </w:rPr>
            </w:pPr>
            <w:r w:rsidRPr="00BC7844">
              <w:rPr>
                <w:sz w:val="20"/>
                <w:szCs w:val="20"/>
              </w:rPr>
              <w:t>Integration of health care across the health (primary and acute), aged care and disability sectors</w:t>
            </w:r>
          </w:p>
        </w:tc>
        <w:tc>
          <w:tcPr>
            <w:tcW w:w="4394" w:type="dxa"/>
          </w:tcPr>
          <w:p w14:paraId="00AD1777"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 xml:space="preserve">Analysis and advice about the implementation of learnings from the OECD Patient-Reported Indicators Surveys (PaRIS) Initiative. </w:t>
            </w:r>
          </w:p>
        </w:tc>
        <w:tc>
          <w:tcPr>
            <w:tcW w:w="3685" w:type="dxa"/>
            <w:vMerge w:val="restart"/>
          </w:tcPr>
          <w:p w14:paraId="0B69F265" w14:textId="77777777" w:rsidR="00574A3A" w:rsidRPr="00BC7844" w:rsidRDefault="00574A3A" w:rsidP="00574A3A">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104E2">
              <w:rPr>
                <w:rFonts w:cs="Arial"/>
                <w:sz w:val="20"/>
                <w:szCs w:val="20"/>
              </w:rPr>
              <w:t>NHDH</w:t>
            </w:r>
          </w:p>
        </w:tc>
        <w:tc>
          <w:tcPr>
            <w:tcW w:w="3685" w:type="dxa"/>
            <w:vMerge w:val="restart"/>
          </w:tcPr>
          <w:p w14:paraId="7A84CF13" w14:textId="77777777" w:rsidR="00574A3A" w:rsidRPr="00DC3D3F" w:rsidRDefault="00574A3A" w:rsidP="00574A3A">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t>National Aged Care Mandatory Quality Indicator Program</w:t>
            </w:r>
          </w:p>
          <w:p w14:paraId="5409150F" w14:textId="77777777" w:rsidR="00574A3A" w:rsidRPr="00DC3D3F" w:rsidRDefault="00574A3A" w:rsidP="00574A3A">
            <w:pPr>
              <w:pStyle w:val="ListParagraph"/>
              <w:numPr>
                <w:ilvl w:val="0"/>
                <w:numId w:val="34"/>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t>National Aged Care Mandatory Quality Indicator Program</w:t>
            </w:r>
          </w:p>
          <w:p w14:paraId="7B79BA23" w14:textId="77777777" w:rsidR="00574A3A" w:rsidRPr="009104E2" w:rsidRDefault="00574A3A" w:rsidP="00574A3A">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104E2">
              <w:rPr>
                <w:rFonts w:cs="Arial"/>
                <w:sz w:val="20"/>
                <w:szCs w:val="20"/>
              </w:rPr>
              <w:t>MBS</w:t>
            </w:r>
          </w:p>
          <w:p w14:paraId="07E6BAD1" w14:textId="77777777" w:rsidR="00574A3A" w:rsidRPr="00BC7844" w:rsidRDefault="00574A3A" w:rsidP="00574A3A">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104E2">
              <w:rPr>
                <w:rFonts w:cs="Arial"/>
                <w:sz w:val="20"/>
                <w:szCs w:val="20"/>
              </w:rPr>
              <w:t>PBS</w:t>
            </w:r>
          </w:p>
        </w:tc>
      </w:tr>
      <w:tr w:rsidR="00574A3A" w:rsidRPr="00BC7844" w14:paraId="7449F1A1"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557D0EA4" w14:textId="77777777" w:rsidR="00574A3A" w:rsidRPr="00BC7844" w:rsidRDefault="00574A3A" w:rsidP="008702BC">
            <w:pPr>
              <w:rPr>
                <w:sz w:val="20"/>
                <w:szCs w:val="20"/>
              </w:rPr>
            </w:pPr>
          </w:p>
        </w:tc>
        <w:tc>
          <w:tcPr>
            <w:tcW w:w="4394" w:type="dxa"/>
          </w:tcPr>
          <w:p w14:paraId="39A77C60"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Support and advice on older persons receiving high quality clinical care across the health and aged care sectors</w:t>
            </w:r>
          </w:p>
        </w:tc>
        <w:tc>
          <w:tcPr>
            <w:tcW w:w="3685" w:type="dxa"/>
            <w:vMerge/>
          </w:tcPr>
          <w:p w14:paraId="695B3DB3" w14:textId="77777777" w:rsidR="00574A3A" w:rsidRPr="00BC7844" w:rsidRDefault="00574A3A" w:rsidP="00574A3A">
            <w:pPr>
              <w:pStyle w:val="ListParagraph"/>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6C5AD929" w14:textId="77777777" w:rsidR="00574A3A" w:rsidRPr="00BC7844" w:rsidRDefault="00574A3A" w:rsidP="00574A3A">
            <w:pPr>
              <w:pStyle w:val="ListParagraph"/>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BC7844" w14:paraId="4AEB50A9"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53C79184" w14:textId="77777777" w:rsidR="00574A3A" w:rsidRPr="00BC7844" w:rsidRDefault="00574A3A" w:rsidP="008702BC">
            <w:pPr>
              <w:rPr>
                <w:sz w:val="20"/>
                <w:szCs w:val="20"/>
              </w:rPr>
            </w:pPr>
          </w:p>
        </w:tc>
        <w:tc>
          <w:tcPr>
            <w:tcW w:w="4394" w:type="dxa"/>
          </w:tcPr>
          <w:p w14:paraId="2A2661AD"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 xml:space="preserve">Engagement with the primary health care sector on priorities for the improved integration of health care nationally, including peak bodies and Primary Health Networks. </w:t>
            </w:r>
          </w:p>
        </w:tc>
        <w:tc>
          <w:tcPr>
            <w:tcW w:w="3685" w:type="dxa"/>
            <w:vMerge/>
          </w:tcPr>
          <w:p w14:paraId="1D7DF2D5" w14:textId="77777777" w:rsidR="00574A3A" w:rsidRPr="00BC7844" w:rsidRDefault="00574A3A" w:rsidP="00574A3A">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03D985B6" w14:textId="77777777" w:rsidR="00574A3A" w:rsidRPr="00BC7844" w:rsidRDefault="00574A3A" w:rsidP="00574A3A">
            <w:pPr>
              <w:pStyle w:val="ListParagraph"/>
              <w:numPr>
                <w:ilvl w:val="0"/>
                <w:numId w:val="35"/>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6253D75C" w14:textId="77777777" w:rsidTr="008F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4" w:type="dxa"/>
            <w:gridSpan w:val="4"/>
            <w:shd w:val="clear" w:color="auto" w:fill="F0E8FE" w:themeFill="background2"/>
          </w:tcPr>
          <w:p w14:paraId="4082506A" w14:textId="77777777" w:rsidR="00574A3A" w:rsidRPr="00574A3A" w:rsidRDefault="00574A3A" w:rsidP="008702BC">
            <w:pPr>
              <w:rPr>
                <w:b w:val="0"/>
                <w:bCs w:val="0"/>
                <w:color w:val="auto"/>
                <w:sz w:val="20"/>
                <w:szCs w:val="20"/>
              </w:rPr>
            </w:pPr>
            <w:r w:rsidRPr="00574A3A">
              <w:rPr>
                <w:color w:val="auto"/>
                <w:sz w:val="20"/>
                <w:szCs w:val="20"/>
              </w:rPr>
              <w:t>Measurement for improvement</w:t>
            </w:r>
          </w:p>
        </w:tc>
      </w:tr>
      <w:tr w:rsidR="00574A3A" w:rsidRPr="00BC7844" w14:paraId="7295E2F4"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val="restart"/>
          </w:tcPr>
          <w:p w14:paraId="4579D0FE" w14:textId="77777777" w:rsidR="00574A3A" w:rsidRPr="00BC7844" w:rsidRDefault="00574A3A" w:rsidP="008702BC">
            <w:pPr>
              <w:rPr>
                <w:sz w:val="20"/>
                <w:szCs w:val="20"/>
              </w:rPr>
            </w:pPr>
            <w:r w:rsidRPr="00BC7844">
              <w:rPr>
                <w:sz w:val="20"/>
                <w:szCs w:val="20"/>
              </w:rPr>
              <w:t xml:space="preserve">Healthcare variation </w:t>
            </w:r>
            <w:r w:rsidRPr="00BC7844">
              <w:rPr>
                <w:sz w:val="20"/>
                <w:szCs w:val="20"/>
              </w:rPr>
              <w:lastRenderedPageBreak/>
              <w:t>monitoring and reporting</w:t>
            </w:r>
          </w:p>
        </w:tc>
        <w:tc>
          <w:tcPr>
            <w:tcW w:w="4394" w:type="dxa"/>
          </w:tcPr>
          <w:p w14:paraId="6D5381AE"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lastRenderedPageBreak/>
              <w:t xml:space="preserve">Focus reports as part of the Australian Atlas of Healthcare Variation series to examine </w:t>
            </w:r>
            <w:r w:rsidRPr="00BC7844">
              <w:rPr>
                <w:sz w:val="20"/>
                <w:szCs w:val="20"/>
              </w:rPr>
              <w:lastRenderedPageBreak/>
              <w:t>healthcare variation and identify and monitor key safety and quality issues.</w:t>
            </w:r>
          </w:p>
        </w:tc>
        <w:tc>
          <w:tcPr>
            <w:tcW w:w="3685" w:type="dxa"/>
            <w:vMerge w:val="restart"/>
          </w:tcPr>
          <w:p w14:paraId="37A2CF25" w14:textId="77777777" w:rsidR="00574A3A" w:rsidRPr="00287435"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lastRenderedPageBreak/>
              <w:t>APC NMDS</w:t>
            </w:r>
          </w:p>
          <w:p w14:paraId="7BF19DAC" w14:textId="77777777" w:rsidR="00574A3A" w:rsidRPr="00287435"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NAPEDC NMDS</w:t>
            </w:r>
          </w:p>
          <w:p w14:paraId="7F3ACA83" w14:textId="77777777" w:rsidR="00574A3A" w:rsidRPr="001F63CE"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1F63CE">
              <w:rPr>
                <w:rFonts w:cs="Arial"/>
                <w:sz w:val="20"/>
                <w:szCs w:val="20"/>
              </w:rPr>
              <w:lastRenderedPageBreak/>
              <w:t>NHDH</w:t>
            </w:r>
          </w:p>
          <w:p w14:paraId="0D780DB0" w14:textId="77777777" w:rsidR="00574A3A" w:rsidRPr="00287435"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NPDC</w:t>
            </w:r>
          </w:p>
          <w:p w14:paraId="51B1C36C"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val="restart"/>
          </w:tcPr>
          <w:p w14:paraId="2BA2DFB3" w14:textId="77777777" w:rsidR="00574A3A" w:rsidRPr="00287435"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lastRenderedPageBreak/>
              <w:t>MBS</w:t>
            </w:r>
          </w:p>
          <w:p w14:paraId="226CAB39" w14:textId="77777777" w:rsidR="00574A3A"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PBS</w:t>
            </w:r>
          </w:p>
          <w:p w14:paraId="3DF17157" w14:textId="77777777" w:rsidR="00574A3A" w:rsidRPr="00BC7844" w:rsidRDefault="00574A3A" w:rsidP="00574A3A">
            <w:pPr>
              <w:pStyle w:val="ListParagraph"/>
              <w:numPr>
                <w:ilvl w:val="0"/>
                <w:numId w:val="24"/>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lastRenderedPageBreak/>
              <w:t>Admitted Patient Care Submissions B</w:t>
            </w:r>
          </w:p>
        </w:tc>
      </w:tr>
      <w:tr w:rsidR="00574A3A" w:rsidRPr="00BC7844" w14:paraId="7B3345D4"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7B30AE5C" w14:textId="77777777" w:rsidR="00574A3A" w:rsidRPr="00BC7844" w:rsidRDefault="00574A3A" w:rsidP="008702BC">
            <w:pPr>
              <w:rPr>
                <w:sz w:val="20"/>
                <w:szCs w:val="20"/>
              </w:rPr>
            </w:pPr>
          </w:p>
        </w:tc>
        <w:tc>
          <w:tcPr>
            <w:tcW w:w="4394" w:type="dxa"/>
          </w:tcPr>
          <w:p w14:paraId="159E0C37"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Analysis of available data to identify priority areas to improve the safety and quality of health care.</w:t>
            </w:r>
          </w:p>
        </w:tc>
        <w:tc>
          <w:tcPr>
            <w:tcW w:w="3685" w:type="dxa"/>
            <w:vMerge/>
          </w:tcPr>
          <w:p w14:paraId="6B475925"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2B33BF01" w14:textId="77777777" w:rsidR="00574A3A" w:rsidRPr="00BC7844" w:rsidRDefault="00574A3A" w:rsidP="008702BC">
            <w:pPr>
              <w:spacing w:before="60" w:after="6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BC7844" w14:paraId="4347F4E9"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val="restart"/>
          </w:tcPr>
          <w:p w14:paraId="790AC641" w14:textId="77777777" w:rsidR="00574A3A" w:rsidRPr="00BC7844" w:rsidRDefault="00574A3A" w:rsidP="008702BC">
            <w:pPr>
              <w:rPr>
                <w:sz w:val="20"/>
                <w:szCs w:val="20"/>
              </w:rPr>
            </w:pPr>
            <w:r w:rsidRPr="00BC7844">
              <w:rPr>
                <w:sz w:val="20"/>
                <w:szCs w:val="20"/>
              </w:rPr>
              <w:t xml:space="preserve">Assessing the safety and quality of the Australian healthcare system </w:t>
            </w:r>
          </w:p>
          <w:p w14:paraId="2D64AFB7" w14:textId="77777777" w:rsidR="00574A3A" w:rsidRPr="00BC7844" w:rsidRDefault="00574A3A" w:rsidP="008702BC">
            <w:pPr>
              <w:rPr>
                <w:sz w:val="20"/>
                <w:szCs w:val="20"/>
              </w:rPr>
            </w:pPr>
          </w:p>
        </w:tc>
        <w:tc>
          <w:tcPr>
            <w:tcW w:w="4394" w:type="dxa"/>
          </w:tcPr>
          <w:p w14:paraId="0AB5BBF4"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Develop and refine a measurement framework for assessing the safety and quality of the healthcare system in Australia.</w:t>
            </w:r>
          </w:p>
        </w:tc>
        <w:tc>
          <w:tcPr>
            <w:tcW w:w="3685" w:type="dxa"/>
            <w:vMerge w:val="restart"/>
          </w:tcPr>
          <w:p w14:paraId="78F82327" w14:textId="77777777" w:rsidR="00574A3A" w:rsidRPr="00287435" w:rsidRDefault="00574A3A" w:rsidP="00574A3A">
            <w:pPr>
              <w:pStyle w:val="ListParagraph"/>
              <w:numPr>
                <w:ilvl w:val="0"/>
                <w:numId w:val="38"/>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APC NMDS</w:t>
            </w:r>
          </w:p>
          <w:p w14:paraId="6269931D" w14:textId="77777777" w:rsidR="00574A3A" w:rsidRPr="00BC7844" w:rsidRDefault="00574A3A" w:rsidP="00574A3A">
            <w:pPr>
              <w:pStyle w:val="ListParagraph"/>
              <w:numPr>
                <w:ilvl w:val="0"/>
                <w:numId w:val="38"/>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t>NHDH</w:t>
            </w:r>
          </w:p>
        </w:tc>
        <w:tc>
          <w:tcPr>
            <w:tcW w:w="3685" w:type="dxa"/>
            <w:vMerge w:val="restart"/>
          </w:tcPr>
          <w:p w14:paraId="073DBACC" w14:textId="77777777" w:rsidR="00574A3A" w:rsidRDefault="00574A3A" w:rsidP="00574A3A">
            <w:pPr>
              <w:pStyle w:val="ListParagraph"/>
              <w:numPr>
                <w:ilvl w:val="0"/>
                <w:numId w:val="23"/>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MBS</w:t>
            </w:r>
          </w:p>
          <w:p w14:paraId="6633CFDE" w14:textId="77777777" w:rsidR="00574A3A" w:rsidRPr="00034B13" w:rsidRDefault="00574A3A" w:rsidP="00574A3A">
            <w:pPr>
              <w:pStyle w:val="ListParagraph"/>
              <w:numPr>
                <w:ilvl w:val="0"/>
                <w:numId w:val="23"/>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034B13">
              <w:rPr>
                <w:rFonts w:cs="Arial"/>
                <w:sz w:val="20"/>
                <w:szCs w:val="20"/>
              </w:rPr>
              <w:t>National Aged Care Mandatory Quality Indicator Program</w:t>
            </w:r>
          </w:p>
          <w:p w14:paraId="6CBA547B" w14:textId="77777777" w:rsidR="00574A3A" w:rsidRPr="00BC7844" w:rsidRDefault="00574A3A" w:rsidP="00574A3A">
            <w:pPr>
              <w:pStyle w:val="ListParagraph"/>
              <w:numPr>
                <w:ilvl w:val="0"/>
                <w:numId w:val="23"/>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t>PBS</w:t>
            </w:r>
          </w:p>
        </w:tc>
      </w:tr>
      <w:tr w:rsidR="00574A3A" w:rsidRPr="00BC7844" w14:paraId="66AB425E"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3A8B5CCC" w14:textId="77777777" w:rsidR="00574A3A" w:rsidRPr="00BC7844" w:rsidRDefault="00574A3A" w:rsidP="008702BC">
            <w:pPr>
              <w:rPr>
                <w:sz w:val="20"/>
                <w:szCs w:val="20"/>
              </w:rPr>
            </w:pPr>
          </w:p>
        </w:tc>
        <w:tc>
          <w:tcPr>
            <w:tcW w:w="4394" w:type="dxa"/>
          </w:tcPr>
          <w:p w14:paraId="0F73C2E6" w14:textId="78A5FCFF"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Work to increase the capacity of the system to provide additional information on the safety and quality of the healthcare system, including through supporting and advising on the Australian Government Department of Health</w:t>
            </w:r>
            <w:r w:rsidR="0040514F">
              <w:rPr>
                <w:sz w:val="20"/>
                <w:szCs w:val="20"/>
              </w:rPr>
              <w:t>, Disability</w:t>
            </w:r>
            <w:r w:rsidRPr="00BC7844">
              <w:rPr>
                <w:sz w:val="20"/>
                <w:szCs w:val="20"/>
              </w:rPr>
              <w:t xml:space="preserve"> and Age</w:t>
            </w:r>
            <w:r w:rsidR="0040514F">
              <w:rPr>
                <w:sz w:val="20"/>
                <w:szCs w:val="20"/>
              </w:rPr>
              <w:t>ing</w:t>
            </w:r>
            <w:r w:rsidRPr="00BC7844">
              <w:rPr>
                <w:sz w:val="20"/>
                <w:szCs w:val="20"/>
              </w:rPr>
              <w:t xml:space="preserve">’s national Clinical Quality Registry strategy. </w:t>
            </w:r>
          </w:p>
        </w:tc>
        <w:tc>
          <w:tcPr>
            <w:tcW w:w="3685" w:type="dxa"/>
            <w:vMerge/>
          </w:tcPr>
          <w:p w14:paraId="67089B4A"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503A4664"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2749FD" w14:paraId="2A15CF42"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val="restart"/>
          </w:tcPr>
          <w:p w14:paraId="531DFA65" w14:textId="77777777" w:rsidR="00574A3A" w:rsidRPr="00BC7844" w:rsidRDefault="00574A3A" w:rsidP="008702BC">
            <w:pPr>
              <w:rPr>
                <w:sz w:val="20"/>
                <w:szCs w:val="20"/>
              </w:rPr>
            </w:pPr>
            <w:r w:rsidRPr="00BC7844">
              <w:rPr>
                <w:sz w:val="20"/>
                <w:szCs w:val="20"/>
              </w:rPr>
              <w:t>Measuring, monitoring and reporting the safety and quality</w:t>
            </w:r>
            <w:r w:rsidRPr="00BC7844" w:rsidDel="00240507">
              <w:rPr>
                <w:sz w:val="20"/>
                <w:szCs w:val="20"/>
              </w:rPr>
              <w:t xml:space="preserve"> </w:t>
            </w:r>
            <w:r w:rsidRPr="00BC7844">
              <w:rPr>
                <w:sz w:val="20"/>
                <w:szCs w:val="20"/>
              </w:rPr>
              <w:t>of acute, primary and community care</w:t>
            </w:r>
          </w:p>
        </w:tc>
        <w:tc>
          <w:tcPr>
            <w:tcW w:w="4394" w:type="dxa"/>
          </w:tcPr>
          <w:p w14:paraId="401BE443"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Develop, review and promote the use of:</w:t>
            </w:r>
          </w:p>
          <w:p w14:paraId="0910A394" w14:textId="77777777" w:rsidR="00574A3A" w:rsidRPr="00BC7844" w:rsidRDefault="00574A3A" w:rsidP="00574A3A">
            <w:pPr>
              <w:pStyle w:val="ListParagraph"/>
              <w:numPr>
                <w:ilvl w:val="0"/>
                <w:numId w:val="30"/>
              </w:numPr>
              <w:spacing w:after="120" w:line="280" w:lineRule="atLeast"/>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BC7844">
              <w:rPr>
                <w:rFonts w:eastAsiaTheme="majorEastAsia"/>
                <w:sz w:val="20"/>
                <w:szCs w:val="20"/>
              </w:rPr>
              <w:t>Indicators and indicator sets (including those to measure clinical care standards)</w:t>
            </w:r>
          </w:p>
          <w:p w14:paraId="5E6011F2" w14:textId="77777777" w:rsidR="00574A3A" w:rsidRPr="00BC7844" w:rsidRDefault="00574A3A" w:rsidP="00574A3A">
            <w:pPr>
              <w:pStyle w:val="ListParagraph"/>
              <w:numPr>
                <w:ilvl w:val="0"/>
                <w:numId w:val="30"/>
              </w:numPr>
              <w:spacing w:after="120" w:line="280" w:lineRule="atLeast"/>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BC7844">
              <w:rPr>
                <w:rFonts w:eastAsiaTheme="majorEastAsia"/>
                <w:sz w:val="20"/>
                <w:szCs w:val="20"/>
              </w:rPr>
              <w:t>National benchmarks for safety and quality using existing indicators to help with existing state-wide benchmarking, in collaboration with the Australian Institute of Health and Welfare</w:t>
            </w:r>
          </w:p>
          <w:p w14:paraId="269D5F0F" w14:textId="77777777" w:rsidR="00574A3A" w:rsidRPr="00BC7844" w:rsidRDefault="00574A3A" w:rsidP="00574A3A">
            <w:pPr>
              <w:pStyle w:val="ListParagraph"/>
              <w:numPr>
                <w:ilvl w:val="0"/>
                <w:numId w:val="30"/>
              </w:numPr>
              <w:spacing w:after="120" w:line="280" w:lineRule="atLeast"/>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BC7844">
              <w:rPr>
                <w:rFonts w:eastAsiaTheme="majorEastAsia"/>
                <w:sz w:val="20"/>
                <w:szCs w:val="20"/>
              </w:rPr>
              <w:t>Tools to support measurement for improving the safety and quality of health care, including guides and training.</w:t>
            </w:r>
          </w:p>
        </w:tc>
        <w:tc>
          <w:tcPr>
            <w:tcW w:w="3685" w:type="dxa"/>
            <w:vMerge w:val="restart"/>
          </w:tcPr>
          <w:p w14:paraId="7E549CBC" w14:textId="77777777" w:rsidR="00574A3A"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APC NMDS</w:t>
            </w:r>
          </w:p>
          <w:p w14:paraId="0F0DD3C8" w14:textId="77777777" w:rsidR="00574A3A" w:rsidRPr="00922908"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22908">
              <w:rPr>
                <w:rFonts w:cs="Arial"/>
                <w:sz w:val="20"/>
                <w:szCs w:val="20"/>
              </w:rPr>
              <w:t>ASNAHC</w:t>
            </w:r>
          </w:p>
          <w:p w14:paraId="20826052"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ESWT</w:t>
            </w:r>
          </w:p>
          <w:p w14:paraId="44B5FA43" w14:textId="77777777" w:rsidR="00574A3A"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NAPAG</w:t>
            </w:r>
          </w:p>
          <w:p w14:paraId="144EB954" w14:textId="77777777" w:rsidR="00574A3A" w:rsidRPr="008A7637"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8A7637">
              <w:rPr>
                <w:rFonts w:cs="Arial"/>
                <w:sz w:val="20"/>
                <w:szCs w:val="20"/>
              </w:rPr>
              <w:t>NAPEDC NMDS</w:t>
            </w:r>
          </w:p>
          <w:p w14:paraId="2B288EF4" w14:textId="77777777" w:rsidR="00574A3A"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NAPUR</w:t>
            </w:r>
          </w:p>
          <w:p w14:paraId="4E00EC66"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PALCARE</w:t>
            </w:r>
          </w:p>
          <w:p w14:paraId="1479E305"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PHE</w:t>
            </w:r>
          </w:p>
          <w:p w14:paraId="2306E1C1"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PHE-JLHN</w:t>
            </w:r>
          </w:p>
          <w:p w14:paraId="5A0F5FA9" w14:textId="77777777" w:rsidR="00574A3A"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SABSI</w:t>
            </w:r>
          </w:p>
          <w:p w14:paraId="1AD5B93A" w14:textId="77777777" w:rsidR="00574A3A" w:rsidRPr="00922908"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922908">
              <w:rPr>
                <w:rFonts w:cs="Arial"/>
                <w:sz w:val="20"/>
                <w:szCs w:val="20"/>
              </w:rPr>
              <w:t>NMD</w:t>
            </w:r>
          </w:p>
          <w:p w14:paraId="142FAFF4"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NPDC</w:t>
            </w:r>
          </w:p>
          <w:p w14:paraId="047DDADE"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NHDH</w:t>
            </w:r>
          </w:p>
          <w:p w14:paraId="6B42251A"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Sentinel Events data collections</w:t>
            </w:r>
          </w:p>
          <w:p w14:paraId="639647F6" w14:textId="77777777" w:rsidR="00574A3A" w:rsidRPr="00287435"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 xml:space="preserve">Admitted Patient Care data as held by IHACPA </w:t>
            </w:r>
          </w:p>
          <w:p w14:paraId="17538967" w14:textId="77777777" w:rsidR="00574A3A"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Non-Admitted Patient Emergency Department as held by IHACPA</w:t>
            </w:r>
          </w:p>
          <w:p w14:paraId="7ACAF082" w14:textId="77777777" w:rsidR="00574A3A" w:rsidRPr="00BC7844"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lastRenderedPageBreak/>
              <w:t>Non-Admitted Patient services as held by IHACPA</w:t>
            </w:r>
          </w:p>
        </w:tc>
        <w:tc>
          <w:tcPr>
            <w:tcW w:w="3685" w:type="dxa"/>
            <w:vMerge w:val="restart"/>
          </w:tcPr>
          <w:p w14:paraId="56799EFD" w14:textId="77777777" w:rsidR="00574A3A" w:rsidRPr="00287435"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lastRenderedPageBreak/>
              <w:t>Admitted Patient Care Submission B</w:t>
            </w:r>
          </w:p>
          <w:p w14:paraId="12D5422E" w14:textId="77777777" w:rsidR="00574A3A" w:rsidRPr="00287435"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GTD</w:t>
            </w:r>
          </w:p>
          <w:p w14:paraId="1A589244" w14:textId="77777777" w:rsidR="00574A3A" w:rsidRPr="007A7D78"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7A7D78">
              <w:rPr>
                <w:rFonts w:cs="Arial"/>
                <w:sz w:val="20"/>
                <w:szCs w:val="20"/>
              </w:rPr>
              <w:t xml:space="preserve">Hospital Casemix Protocol </w:t>
            </w:r>
            <w:r>
              <w:rPr>
                <w:rFonts w:cs="Arial"/>
                <w:sz w:val="20"/>
                <w:szCs w:val="20"/>
              </w:rPr>
              <w:t>(HCP)</w:t>
            </w:r>
          </w:p>
          <w:p w14:paraId="52EFECFB" w14:textId="77777777" w:rsidR="00574A3A" w:rsidRPr="00287435"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MBS</w:t>
            </w:r>
          </w:p>
          <w:p w14:paraId="59632E73" w14:textId="77777777" w:rsidR="00574A3A"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287435">
              <w:rPr>
                <w:rFonts w:cs="Arial"/>
                <w:sz w:val="20"/>
                <w:szCs w:val="20"/>
              </w:rPr>
              <w:t>PBS</w:t>
            </w:r>
          </w:p>
          <w:p w14:paraId="4CF9E6BD" w14:textId="77777777" w:rsidR="00574A3A" w:rsidRPr="002749FD"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pPr>
            <w:r w:rsidRPr="00BC7844">
              <w:rPr>
                <w:rFonts w:cs="Arial"/>
                <w:sz w:val="20"/>
                <w:szCs w:val="20"/>
              </w:rPr>
              <w:t>PHDB</w:t>
            </w:r>
          </w:p>
        </w:tc>
      </w:tr>
      <w:tr w:rsidR="00574A3A" w:rsidRPr="00BC7844" w14:paraId="551700AE"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21BCCE5A" w14:textId="77777777" w:rsidR="00574A3A" w:rsidRPr="00BC7844" w:rsidRDefault="00574A3A" w:rsidP="008702BC">
            <w:pPr>
              <w:rPr>
                <w:sz w:val="20"/>
                <w:szCs w:val="20"/>
              </w:rPr>
            </w:pPr>
          </w:p>
        </w:tc>
        <w:tc>
          <w:tcPr>
            <w:tcW w:w="4394" w:type="dxa"/>
          </w:tcPr>
          <w:p w14:paraId="63450F16" w14:textId="77777777" w:rsidR="00574A3A" w:rsidRPr="00BC7844" w:rsidRDefault="00574A3A" w:rsidP="008702BC">
            <w:pPr>
              <w:keepNext/>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Maintain, manage and promote the use of:</w:t>
            </w:r>
          </w:p>
          <w:p w14:paraId="6B60A844" w14:textId="77777777" w:rsidR="00574A3A" w:rsidRPr="00BC7844" w:rsidRDefault="00574A3A" w:rsidP="00574A3A">
            <w:pPr>
              <w:pStyle w:val="ListParagraph"/>
              <w:numPr>
                <w:ilvl w:val="0"/>
                <w:numId w:val="31"/>
              </w:numPr>
              <w:spacing w:after="120" w:line="280" w:lineRule="atLeast"/>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BC7844">
              <w:rPr>
                <w:rFonts w:eastAsiaTheme="majorEastAsia"/>
                <w:sz w:val="20"/>
                <w:szCs w:val="20"/>
              </w:rPr>
              <w:t xml:space="preserve">Hospital-Acquired Complications (HACs) list </w:t>
            </w:r>
          </w:p>
          <w:p w14:paraId="76241A68" w14:textId="77777777" w:rsidR="00574A3A" w:rsidRPr="00BC7844" w:rsidRDefault="00574A3A" w:rsidP="00574A3A">
            <w:pPr>
              <w:pStyle w:val="ListParagraph"/>
              <w:numPr>
                <w:ilvl w:val="0"/>
                <w:numId w:val="31"/>
              </w:numPr>
              <w:spacing w:after="120" w:line="280" w:lineRule="atLeast"/>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BC7844">
              <w:rPr>
                <w:rFonts w:eastAsiaTheme="majorEastAsia"/>
                <w:sz w:val="20"/>
                <w:szCs w:val="20"/>
              </w:rPr>
              <w:t>Australian Sentinel Event list</w:t>
            </w:r>
          </w:p>
          <w:p w14:paraId="62160296" w14:textId="77777777" w:rsidR="00574A3A" w:rsidRPr="00BC7844" w:rsidRDefault="00574A3A" w:rsidP="00574A3A">
            <w:pPr>
              <w:pStyle w:val="ListParagraph"/>
              <w:numPr>
                <w:ilvl w:val="0"/>
                <w:numId w:val="31"/>
              </w:numPr>
              <w:spacing w:after="120" w:line="280" w:lineRule="atLeast"/>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BC7844">
              <w:rPr>
                <w:rFonts w:eastAsiaTheme="majorEastAsia"/>
                <w:sz w:val="20"/>
                <w:szCs w:val="20"/>
              </w:rPr>
              <w:t>Avoidable hospital readmissions list</w:t>
            </w:r>
          </w:p>
          <w:p w14:paraId="016E299C" w14:textId="77777777" w:rsidR="00574A3A" w:rsidRPr="00BC7844" w:rsidRDefault="00574A3A" w:rsidP="00574A3A">
            <w:pPr>
              <w:pStyle w:val="ListParagraph"/>
              <w:numPr>
                <w:ilvl w:val="0"/>
                <w:numId w:val="31"/>
              </w:numPr>
              <w:spacing w:after="120" w:line="280" w:lineRule="atLeast"/>
              <w:cnfStyle w:val="000000100000" w:firstRow="0" w:lastRow="0" w:firstColumn="0" w:lastColumn="0" w:oddVBand="0" w:evenVBand="0" w:oddHBand="1" w:evenHBand="0" w:firstRowFirstColumn="0" w:firstRowLastColumn="0" w:lastRowFirstColumn="0" w:lastRowLastColumn="0"/>
              <w:rPr>
                <w:rFonts w:eastAsiaTheme="majorEastAsia"/>
                <w:sz w:val="20"/>
                <w:szCs w:val="20"/>
              </w:rPr>
            </w:pPr>
            <w:r w:rsidRPr="00BC7844">
              <w:rPr>
                <w:rFonts w:eastAsiaTheme="majorEastAsia"/>
                <w:sz w:val="20"/>
                <w:szCs w:val="20"/>
              </w:rPr>
              <w:t>Patient reported measures.</w:t>
            </w:r>
          </w:p>
        </w:tc>
        <w:tc>
          <w:tcPr>
            <w:tcW w:w="3685" w:type="dxa"/>
            <w:vMerge/>
          </w:tcPr>
          <w:p w14:paraId="7A3EF579" w14:textId="77777777" w:rsidR="00574A3A" w:rsidRPr="00BC7844" w:rsidRDefault="00574A3A" w:rsidP="00574A3A">
            <w:pPr>
              <w:pStyle w:val="ListParagraph"/>
              <w:numPr>
                <w:ilvl w:val="0"/>
                <w:numId w:val="21"/>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5C5C1ED0" w14:textId="77777777" w:rsidR="00574A3A" w:rsidRPr="00BC7844" w:rsidRDefault="00574A3A" w:rsidP="00574A3A">
            <w:pPr>
              <w:pStyle w:val="ListParagraph"/>
              <w:numPr>
                <w:ilvl w:val="0"/>
                <w:numId w:val="22"/>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BC7844" w14:paraId="09283174"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6E81FB5C" w14:textId="77777777" w:rsidR="00574A3A" w:rsidRPr="00BC7844" w:rsidRDefault="00574A3A" w:rsidP="008702BC">
            <w:pPr>
              <w:rPr>
                <w:sz w:val="20"/>
                <w:szCs w:val="20"/>
              </w:rPr>
            </w:pPr>
          </w:p>
        </w:tc>
        <w:tc>
          <w:tcPr>
            <w:tcW w:w="4394" w:type="dxa"/>
          </w:tcPr>
          <w:p w14:paraId="0B94E4B2"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Review international and local models and evidence for contemporary best practice incident management systems across health care settings, in partnership with academic institutions and other key stakeholders.</w:t>
            </w:r>
          </w:p>
          <w:p w14:paraId="6A164645" w14:textId="77777777" w:rsidR="00574A3A" w:rsidRPr="00BC7844" w:rsidRDefault="00574A3A" w:rsidP="008702BC">
            <w:pPr>
              <w:widowControl w:val="0"/>
              <w:cnfStyle w:val="000000000000" w:firstRow="0" w:lastRow="0" w:firstColumn="0" w:lastColumn="0" w:oddVBand="0" w:evenVBand="0" w:oddHBand="0" w:evenHBand="0" w:firstRowFirstColumn="0" w:firstRowLastColumn="0" w:lastRowFirstColumn="0" w:lastRowLastColumn="0"/>
              <w:rPr>
                <w:sz w:val="20"/>
                <w:szCs w:val="20"/>
              </w:rPr>
            </w:pPr>
          </w:p>
        </w:tc>
        <w:tc>
          <w:tcPr>
            <w:tcW w:w="3685" w:type="dxa"/>
            <w:vMerge/>
          </w:tcPr>
          <w:p w14:paraId="7392BB73" w14:textId="77777777" w:rsidR="00574A3A" w:rsidRPr="00BC7844" w:rsidRDefault="00574A3A" w:rsidP="00574A3A">
            <w:pPr>
              <w:pStyle w:val="ListParagraph"/>
              <w:numPr>
                <w:ilvl w:val="0"/>
                <w:numId w:val="21"/>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5F2E2AAE" w14:textId="77777777" w:rsidR="00574A3A" w:rsidRPr="00BC7844" w:rsidRDefault="00574A3A" w:rsidP="00574A3A">
            <w:pPr>
              <w:pStyle w:val="ListParagraph"/>
              <w:numPr>
                <w:ilvl w:val="0"/>
                <w:numId w:val="22"/>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67533575"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65FDD341" w14:textId="77777777" w:rsidR="00574A3A" w:rsidRPr="00BC7844" w:rsidRDefault="00574A3A" w:rsidP="008702BC">
            <w:pPr>
              <w:rPr>
                <w:sz w:val="20"/>
                <w:szCs w:val="20"/>
              </w:rPr>
            </w:pPr>
          </w:p>
        </w:tc>
        <w:tc>
          <w:tcPr>
            <w:tcW w:w="4394" w:type="dxa"/>
          </w:tcPr>
          <w:p w14:paraId="559E5395"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Review the use of patient safety culture measures to improve the quality of health care and refine the patient safety culture measurement toolkit.</w:t>
            </w:r>
          </w:p>
          <w:p w14:paraId="35F95558" w14:textId="77777777" w:rsidR="00574A3A" w:rsidRPr="00BC7844" w:rsidRDefault="00574A3A" w:rsidP="008702BC">
            <w:pPr>
              <w:widowControl w:val="0"/>
              <w:cnfStyle w:val="000000100000" w:firstRow="0" w:lastRow="0" w:firstColumn="0" w:lastColumn="0" w:oddVBand="0" w:evenVBand="0" w:oddHBand="1" w:evenHBand="0" w:firstRowFirstColumn="0" w:firstRowLastColumn="0" w:lastRowFirstColumn="0" w:lastRowLastColumn="0"/>
              <w:rPr>
                <w:sz w:val="20"/>
                <w:szCs w:val="20"/>
              </w:rPr>
            </w:pPr>
          </w:p>
        </w:tc>
        <w:tc>
          <w:tcPr>
            <w:tcW w:w="3685" w:type="dxa"/>
            <w:vMerge/>
          </w:tcPr>
          <w:p w14:paraId="394BDF1F" w14:textId="77777777" w:rsidR="00574A3A" w:rsidRPr="00BC7844" w:rsidRDefault="00574A3A" w:rsidP="00574A3A">
            <w:pPr>
              <w:pStyle w:val="ListParagraph"/>
              <w:numPr>
                <w:ilvl w:val="0"/>
                <w:numId w:val="21"/>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2EBB6D0C" w14:textId="77777777" w:rsidR="00574A3A" w:rsidRPr="00BC7844" w:rsidRDefault="00574A3A" w:rsidP="00574A3A">
            <w:pPr>
              <w:pStyle w:val="ListParagraph"/>
              <w:numPr>
                <w:ilvl w:val="0"/>
                <w:numId w:val="22"/>
              </w:numPr>
              <w:spacing w:before="60" w:after="60" w:line="240" w:lineRule="auto"/>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BC7844" w14:paraId="715DC8C7"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val="restart"/>
          </w:tcPr>
          <w:p w14:paraId="7E36AA02" w14:textId="77777777" w:rsidR="00574A3A" w:rsidRPr="00BC7844" w:rsidRDefault="00574A3A" w:rsidP="008702BC">
            <w:pPr>
              <w:rPr>
                <w:sz w:val="20"/>
                <w:szCs w:val="20"/>
              </w:rPr>
            </w:pPr>
            <w:r w:rsidRPr="00BC7844">
              <w:rPr>
                <w:sz w:val="20"/>
                <w:szCs w:val="20"/>
              </w:rPr>
              <w:t>Public reporting for transparency</w:t>
            </w:r>
          </w:p>
        </w:tc>
        <w:tc>
          <w:tcPr>
            <w:tcW w:w="4394" w:type="dxa"/>
          </w:tcPr>
          <w:p w14:paraId="12250D22"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Publish national reports, information and papers relating to health care safety and quality.</w:t>
            </w:r>
          </w:p>
        </w:tc>
        <w:tc>
          <w:tcPr>
            <w:tcW w:w="3685" w:type="dxa"/>
            <w:vMerge w:val="restart"/>
          </w:tcPr>
          <w:p w14:paraId="32759550" w14:textId="77777777" w:rsidR="00574A3A" w:rsidRDefault="00574A3A" w:rsidP="00574A3A">
            <w:pPr>
              <w:pStyle w:val="ListParagraph"/>
              <w:numPr>
                <w:ilvl w:val="0"/>
                <w:numId w:val="39"/>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BC7844">
              <w:rPr>
                <w:rFonts w:cs="Arial"/>
                <w:sz w:val="20"/>
                <w:szCs w:val="20"/>
              </w:rPr>
              <w:t>APC NMDS</w:t>
            </w:r>
          </w:p>
          <w:p w14:paraId="63EDEE3C" w14:textId="77777777" w:rsidR="00574A3A" w:rsidRDefault="00574A3A" w:rsidP="00574A3A">
            <w:pPr>
              <w:pStyle w:val="ListParagraph"/>
              <w:numPr>
                <w:ilvl w:val="0"/>
                <w:numId w:val="39"/>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SABSI</w:t>
            </w:r>
          </w:p>
          <w:p w14:paraId="39D95B46" w14:textId="77777777" w:rsidR="00574A3A" w:rsidRDefault="00574A3A" w:rsidP="00574A3A">
            <w:pPr>
              <w:pStyle w:val="ListParagraph"/>
              <w:numPr>
                <w:ilvl w:val="0"/>
                <w:numId w:val="39"/>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HH</w:t>
            </w:r>
          </w:p>
          <w:p w14:paraId="628F6059" w14:textId="77777777" w:rsidR="00574A3A" w:rsidRDefault="00574A3A" w:rsidP="00574A3A">
            <w:pPr>
              <w:pStyle w:val="ListParagraph"/>
              <w:numPr>
                <w:ilvl w:val="0"/>
                <w:numId w:val="39"/>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CAR ALERT </w:t>
            </w:r>
          </w:p>
          <w:p w14:paraId="317020F5" w14:textId="77777777" w:rsidR="00574A3A" w:rsidRPr="00673DF1" w:rsidRDefault="00574A3A" w:rsidP="00574A3A">
            <w:pPr>
              <w:pStyle w:val="ListParagraph"/>
              <w:numPr>
                <w:ilvl w:val="0"/>
                <w:numId w:val="39"/>
              </w:numPr>
              <w:spacing w:before="60" w:after="6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APAS</w:t>
            </w:r>
          </w:p>
          <w:p w14:paraId="35AD1CB0"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val="restart"/>
          </w:tcPr>
          <w:p w14:paraId="4D3262EE" w14:textId="77777777" w:rsidR="00574A3A" w:rsidRDefault="00574A3A" w:rsidP="00574A3A">
            <w:pPr>
              <w:pStyle w:val="ListParagraph"/>
              <w:numPr>
                <w:ilvl w:val="0"/>
                <w:numId w:val="39"/>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sidRPr="004D7A1C">
              <w:rPr>
                <w:rFonts w:cs="Arial"/>
                <w:sz w:val="20"/>
                <w:szCs w:val="20"/>
              </w:rPr>
              <w:t>PBS</w:t>
            </w:r>
          </w:p>
          <w:p w14:paraId="210A19E2" w14:textId="77777777" w:rsidR="00574A3A" w:rsidRPr="004D7A1C" w:rsidRDefault="00574A3A" w:rsidP="00574A3A">
            <w:pPr>
              <w:pStyle w:val="ListParagraph"/>
              <w:numPr>
                <w:ilvl w:val="0"/>
                <w:numId w:val="39"/>
              </w:numPr>
              <w:spacing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MBS</w:t>
            </w:r>
          </w:p>
          <w:p w14:paraId="1B8FA947"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574A3A" w:rsidRPr="00BC7844" w14:paraId="614DE276" w14:textId="77777777" w:rsidTr="003C6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Pr>
          <w:p w14:paraId="35EC7F24" w14:textId="77777777" w:rsidR="00574A3A" w:rsidRPr="00BC7844" w:rsidRDefault="00574A3A" w:rsidP="008702BC">
            <w:pPr>
              <w:rPr>
                <w:sz w:val="20"/>
                <w:szCs w:val="20"/>
              </w:rPr>
            </w:pPr>
          </w:p>
        </w:tc>
        <w:tc>
          <w:tcPr>
            <w:tcW w:w="4394" w:type="dxa"/>
          </w:tcPr>
          <w:p w14:paraId="4CD663DD" w14:textId="77777777" w:rsidR="00574A3A" w:rsidRPr="00BC7844" w:rsidRDefault="00574A3A" w:rsidP="008702BC">
            <w:pPr>
              <w:widowControl w:val="0"/>
              <w:cnfStyle w:val="000000100000" w:firstRow="0" w:lastRow="0" w:firstColumn="0" w:lastColumn="0" w:oddVBand="0" w:evenVBand="0" w:oddHBand="1" w:evenHBand="0" w:firstRowFirstColumn="0" w:firstRowLastColumn="0" w:lastRowFirstColumn="0" w:lastRowLastColumn="0"/>
              <w:rPr>
                <w:sz w:val="20"/>
                <w:szCs w:val="20"/>
              </w:rPr>
            </w:pPr>
            <w:r w:rsidRPr="00BC7844">
              <w:rPr>
                <w:sz w:val="20"/>
                <w:szCs w:val="20"/>
              </w:rPr>
              <w:t xml:space="preserve">Refine and finalise additional indicators for public reporting through the </w:t>
            </w:r>
            <w:r w:rsidRPr="00BC7844">
              <w:rPr>
                <w:i/>
                <w:iCs/>
                <w:sz w:val="20"/>
                <w:szCs w:val="20"/>
              </w:rPr>
              <w:t>Safety in Health Care</w:t>
            </w:r>
            <w:r w:rsidRPr="00BC7844">
              <w:rPr>
                <w:sz w:val="20"/>
                <w:szCs w:val="20"/>
              </w:rPr>
              <w:t xml:space="preserve"> web tool. </w:t>
            </w:r>
          </w:p>
        </w:tc>
        <w:tc>
          <w:tcPr>
            <w:tcW w:w="3685" w:type="dxa"/>
            <w:vMerge/>
          </w:tcPr>
          <w:p w14:paraId="57C202AE"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685" w:type="dxa"/>
            <w:vMerge/>
          </w:tcPr>
          <w:p w14:paraId="48EDAE8B" w14:textId="77777777" w:rsidR="00574A3A" w:rsidRPr="00BC7844" w:rsidRDefault="00574A3A" w:rsidP="008702BC">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574A3A" w:rsidRPr="00BC7844" w14:paraId="1C9F0F0B" w14:textId="77777777" w:rsidTr="003C6224">
        <w:tc>
          <w:tcPr>
            <w:cnfStyle w:val="001000000000" w:firstRow="0" w:lastRow="0" w:firstColumn="1" w:lastColumn="0" w:oddVBand="0" w:evenVBand="0" w:oddHBand="0" w:evenHBand="0" w:firstRowFirstColumn="0" w:firstRowLastColumn="0" w:lastRowFirstColumn="0" w:lastRowLastColumn="0"/>
            <w:tcW w:w="1980" w:type="dxa"/>
            <w:vMerge/>
          </w:tcPr>
          <w:p w14:paraId="03F5AC27" w14:textId="77777777" w:rsidR="00574A3A" w:rsidRPr="00BC7844" w:rsidRDefault="00574A3A" w:rsidP="008702BC">
            <w:pPr>
              <w:rPr>
                <w:sz w:val="20"/>
                <w:szCs w:val="20"/>
              </w:rPr>
            </w:pPr>
          </w:p>
        </w:tc>
        <w:tc>
          <w:tcPr>
            <w:tcW w:w="4394" w:type="dxa"/>
          </w:tcPr>
          <w:p w14:paraId="02D9FB22"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sz w:val="20"/>
                <w:szCs w:val="20"/>
              </w:rPr>
            </w:pPr>
            <w:r w:rsidRPr="00BC7844">
              <w:rPr>
                <w:sz w:val="20"/>
                <w:szCs w:val="20"/>
              </w:rPr>
              <w:t xml:space="preserve">Periodically review the </w:t>
            </w:r>
            <w:r w:rsidRPr="00BC7844">
              <w:rPr>
                <w:i/>
                <w:iCs/>
                <w:sz w:val="20"/>
                <w:szCs w:val="20"/>
              </w:rPr>
              <w:t>Safety in Health Care</w:t>
            </w:r>
            <w:r w:rsidRPr="00BC7844">
              <w:rPr>
                <w:sz w:val="20"/>
                <w:szCs w:val="20"/>
              </w:rPr>
              <w:t xml:space="preserve"> webtool.</w:t>
            </w:r>
          </w:p>
        </w:tc>
        <w:tc>
          <w:tcPr>
            <w:tcW w:w="3685" w:type="dxa"/>
            <w:vMerge/>
          </w:tcPr>
          <w:p w14:paraId="7F840C35"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685" w:type="dxa"/>
            <w:vMerge/>
          </w:tcPr>
          <w:p w14:paraId="07D54AB1" w14:textId="77777777" w:rsidR="00574A3A" w:rsidRPr="00BC7844" w:rsidRDefault="00574A3A" w:rsidP="008702BC">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4E965B94" w14:textId="77777777" w:rsidR="00574A3A" w:rsidRPr="00574A3A" w:rsidRDefault="00574A3A" w:rsidP="00574A3A"/>
    <w:p w14:paraId="379C86CB" w14:textId="77777777" w:rsidR="00574A3A" w:rsidRDefault="00574A3A" w:rsidP="00574A3A"/>
    <w:p w14:paraId="758AC2AE" w14:textId="77777777" w:rsidR="00574A3A" w:rsidRDefault="00574A3A" w:rsidP="00574A3A">
      <w:pPr>
        <w:sectPr w:rsidR="00574A3A" w:rsidSect="00574A3A">
          <w:headerReference w:type="even" r:id="rId37"/>
          <w:headerReference w:type="default" r:id="rId38"/>
          <w:footerReference w:type="default" r:id="rId39"/>
          <w:headerReference w:type="first" r:id="rId40"/>
          <w:pgSz w:w="16838" w:h="11906" w:orient="landscape"/>
          <w:pgMar w:top="1440" w:right="1134" w:bottom="993" w:left="1530" w:header="709" w:footer="176" w:gutter="0"/>
          <w:cols w:space="708"/>
          <w:docGrid w:linePitch="360"/>
        </w:sectPr>
      </w:pPr>
    </w:p>
    <w:p w14:paraId="675B8C4A" w14:textId="77777777" w:rsidR="00574A3A" w:rsidRDefault="00574A3A" w:rsidP="00574A3A">
      <w:pPr>
        <w:pStyle w:val="Heading1"/>
      </w:pPr>
      <w:bookmarkStart w:id="60" w:name="_Appendix_3a:_Data"/>
      <w:bookmarkStart w:id="61" w:name="_Appendix_2b:_Off"/>
      <w:bookmarkStart w:id="62" w:name="_Toc188972536"/>
      <w:bookmarkStart w:id="63" w:name="_Toc204691123"/>
      <w:bookmarkEnd w:id="60"/>
      <w:bookmarkEnd w:id="61"/>
      <w:r>
        <w:lastRenderedPageBreak/>
        <w:t xml:space="preserve">Appendix 2b: Currently funded </w:t>
      </w:r>
      <w:r w:rsidRPr="008A0372">
        <w:t>projects</w:t>
      </w:r>
      <w:bookmarkEnd w:id="62"/>
      <w:bookmarkEnd w:id="63"/>
      <w:r w:rsidRPr="008A0372">
        <w:t xml:space="preserve"> </w:t>
      </w:r>
    </w:p>
    <w:p w14:paraId="3E21CF1F" w14:textId="77777777" w:rsidR="00574A3A" w:rsidRPr="0080211D" w:rsidRDefault="00574A3A" w:rsidP="00574A3A">
      <w:r>
        <w:t>In addition to the work plan, t</w:t>
      </w:r>
      <w:r w:rsidRPr="00F23A45">
        <w:t xml:space="preserve">he Commission is separately funded to deliver </w:t>
      </w:r>
      <w:r w:rsidRPr="00E2569B">
        <w:t>projects that align with the Commission’s core cost-shared work</w:t>
      </w:r>
      <w:r w:rsidRPr="00F23A45">
        <w:t xml:space="preserve"> plan.</w:t>
      </w:r>
    </w:p>
    <w:p w14:paraId="4843644F" w14:textId="77777777" w:rsidR="00574A3A" w:rsidRDefault="00574A3A"/>
    <w:tbl>
      <w:tblPr>
        <w:tblStyle w:val="SQHTable"/>
        <w:tblW w:w="9634" w:type="dxa"/>
        <w:tblLook w:val="04A0" w:firstRow="1" w:lastRow="0" w:firstColumn="1" w:lastColumn="0" w:noHBand="0" w:noVBand="1"/>
      </w:tblPr>
      <w:tblGrid>
        <w:gridCol w:w="2994"/>
        <w:gridCol w:w="3054"/>
        <w:gridCol w:w="3586"/>
      </w:tblGrid>
      <w:tr w:rsidR="00574A3A" w:rsidRPr="004D236E" w14:paraId="6C4C29E6" w14:textId="77777777" w:rsidTr="00FC4E17">
        <w:trPr>
          <w:cnfStyle w:val="100000000000" w:firstRow="1" w:lastRow="0" w:firstColumn="0" w:lastColumn="0" w:oddVBand="0" w:evenVBand="0" w:oddHBand="0" w:evenHBand="0" w:firstRowFirstColumn="0" w:firstRowLastColumn="0" w:lastRowFirstColumn="0" w:lastRowLastColumn="0"/>
          <w:tblHeader/>
        </w:trPr>
        <w:tc>
          <w:tcPr>
            <w:tcW w:w="2994" w:type="dxa"/>
          </w:tcPr>
          <w:p w14:paraId="3D26517A" w14:textId="77777777" w:rsidR="00574A3A" w:rsidRPr="004D236E" w:rsidRDefault="00574A3A" w:rsidP="008702BC">
            <w:pPr>
              <w:rPr>
                <w:b w:val="0"/>
                <w:bCs/>
              </w:rPr>
            </w:pPr>
            <w:r w:rsidRPr="008A0372">
              <w:rPr>
                <w:bCs/>
              </w:rPr>
              <w:t>Related work plan strategic objective</w:t>
            </w:r>
          </w:p>
        </w:tc>
        <w:tc>
          <w:tcPr>
            <w:tcW w:w="3054" w:type="dxa"/>
          </w:tcPr>
          <w:p w14:paraId="02109AED" w14:textId="77777777" w:rsidR="00574A3A" w:rsidRPr="004D236E" w:rsidRDefault="00574A3A" w:rsidP="008702BC">
            <w:pPr>
              <w:rPr>
                <w:b w:val="0"/>
                <w:bCs/>
              </w:rPr>
            </w:pPr>
            <w:r w:rsidRPr="004D236E">
              <w:rPr>
                <w:bCs/>
              </w:rPr>
              <w:t>Project</w:t>
            </w:r>
          </w:p>
        </w:tc>
        <w:tc>
          <w:tcPr>
            <w:tcW w:w="3586" w:type="dxa"/>
          </w:tcPr>
          <w:p w14:paraId="52143543" w14:textId="77777777" w:rsidR="00574A3A" w:rsidRPr="004D236E" w:rsidRDefault="00574A3A" w:rsidP="008702BC">
            <w:pPr>
              <w:rPr>
                <w:b w:val="0"/>
                <w:bCs/>
              </w:rPr>
            </w:pPr>
            <w:r w:rsidRPr="004D236E">
              <w:rPr>
                <w:bCs/>
              </w:rPr>
              <w:t>Data Set</w:t>
            </w:r>
            <w:r>
              <w:rPr>
                <w:bCs/>
              </w:rPr>
              <w:t xml:space="preserve"> Name</w:t>
            </w:r>
          </w:p>
        </w:tc>
      </w:tr>
      <w:tr w:rsidR="00574A3A" w14:paraId="504D59BF" w14:textId="77777777" w:rsidTr="00574A3A">
        <w:tc>
          <w:tcPr>
            <w:tcW w:w="2994" w:type="dxa"/>
          </w:tcPr>
          <w:p w14:paraId="40F0563D" w14:textId="77777777" w:rsidR="00574A3A" w:rsidRDefault="00574A3A" w:rsidP="008702BC">
            <w:r>
              <w:t>Integrated systems / Clinical governance</w:t>
            </w:r>
          </w:p>
        </w:tc>
        <w:tc>
          <w:tcPr>
            <w:tcW w:w="3054" w:type="dxa"/>
          </w:tcPr>
          <w:p w14:paraId="5F293B66" w14:textId="77777777" w:rsidR="00574A3A" w:rsidRDefault="00574A3A" w:rsidP="008702BC">
            <w:r>
              <w:t>National General Practice Accreditation (NGPA) Scheme*</w:t>
            </w:r>
          </w:p>
        </w:tc>
        <w:tc>
          <w:tcPr>
            <w:tcW w:w="3586" w:type="dxa"/>
          </w:tcPr>
          <w:p w14:paraId="4BD89EB5" w14:textId="77777777" w:rsidR="00574A3A" w:rsidRDefault="00574A3A" w:rsidP="00574A3A">
            <w:pPr>
              <w:pStyle w:val="ListBullet"/>
            </w:pPr>
            <w:r w:rsidRPr="00187957">
              <w:t xml:space="preserve">Accreditation outcomes against the </w:t>
            </w:r>
            <w:r w:rsidRPr="00187957">
              <w:rPr>
                <w:i/>
                <w:iCs/>
              </w:rPr>
              <w:t>RACGP Standards for General Practitioners</w:t>
            </w:r>
            <w:r w:rsidRPr="00187957">
              <w:t xml:space="preserve"> as part of the NGPA Scheme</w:t>
            </w:r>
          </w:p>
        </w:tc>
      </w:tr>
      <w:tr w:rsidR="00574A3A" w14:paraId="0958B206" w14:textId="77777777" w:rsidTr="00574A3A">
        <w:trPr>
          <w:cnfStyle w:val="000000010000" w:firstRow="0" w:lastRow="0" w:firstColumn="0" w:lastColumn="0" w:oddVBand="0" w:evenVBand="0" w:oddHBand="0" w:evenHBand="1" w:firstRowFirstColumn="0" w:firstRowLastColumn="0" w:lastRowFirstColumn="0" w:lastRowLastColumn="0"/>
        </w:trPr>
        <w:tc>
          <w:tcPr>
            <w:tcW w:w="2994" w:type="dxa"/>
          </w:tcPr>
          <w:p w14:paraId="4278E5FA" w14:textId="77777777" w:rsidR="00574A3A" w:rsidRDefault="00574A3A" w:rsidP="008702BC">
            <w:r>
              <w:t>Safe clinical processes</w:t>
            </w:r>
          </w:p>
        </w:tc>
        <w:tc>
          <w:tcPr>
            <w:tcW w:w="3054" w:type="dxa"/>
          </w:tcPr>
          <w:p w14:paraId="331B8FBF" w14:textId="77777777" w:rsidR="00574A3A" w:rsidRDefault="00574A3A" w:rsidP="008702BC">
            <w:r w:rsidRPr="00D06DE9">
              <w:t>Antimicrobial Use and Resistance in Australia (AURA)</w:t>
            </w:r>
            <w:r>
              <w:t>*</w:t>
            </w:r>
          </w:p>
        </w:tc>
        <w:tc>
          <w:tcPr>
            <w:tcW w:w="3586" w:type="dxa"/>
          </w:tcPr>
          <w:p w14:paraId="436669C1" w14:textId="77777777" w:rsidR="00574A3A" w:rsidRDefault="00574A3A" w:rsidP="00574A3A">
            <w:pPr>
              <w:pStyle w:val="ListBullet"/>
            </w:pPr>
            <w:r w:rsidRPr="008C344F">
              <w:t xml:space="preserve">AURA surveillance </w:t>
            </w:r>
            <w:r>
              <w:t xml:space="preserve">program </w:t>
            </w:r>
            <w:r w:rsidRPr="008C344F">
              <w:t>data</w:t>
            </w:r>
          </w:p>
          <w:p w14:paraId="4AF3E302" w14:textId="77777777" w:rsidR="00574A3A" w:rsidRDefault="00574A3A" w:rsidP="00574A3A">
            <w:pPr>
              <w:pStyle w:val="ListBullet"/>
            </w:pPr>
            <w:r>
              <w:t>MedicineInsight</w:t>
            </w:r>
          </w:p>
        </w:tc>
      </w:tr>
      <w:tr w:rsidR="00574A3A" w14:paraId="0D37F4D1" w14:textId="77777777" w:rsidTr="00574A3A">
        <w:tc>
          <w:tcPr>
            <w:tcW w:w="2994" w:type="dxa"/>
          </w:tcPr>
          <w:p w14:paraId="2AB2520B" w14:textId="77777777" w:rsidR="00574A3A" w:rsidRDefault="00574A3A" w:rsidP="008702BC">
            <w:r>
              <w:t>Safe clinical processes</w:t>
            </w:r>
          </w:p>
        </w:tc>
        <w:tc>
          <w:tcPr>
            <w:tcW w:w="3054" w:type="dxa"/>
          </w:tcPr>
          <w:p w14:paraId="16023CE0" w14:textId="77777777" w:rsidR="00574A3A" w:rsidRDefault="00574A3A" w:rsidP="008702BC">
            <w:r>
              <w:t>National Patient Contact Principles for patients with implanted medical devices subject to Hazard Alerts</w:t>
            </w:r>
          </w:p>
        </w:tc>
        <w:tc>
          <w:tcPr>
            <w:tcW w:w="3586" w:type="dxa"/>
          </w:tcPr>
          <w:p w14:paraId="6EE61EC9" w14:textId="77777777" w:rsidR="00574A3A" w:rsidRDefault="00574A3A" w:rsidP="00574A3A">
            <w:pPr>
              <w:pStyle w:val="ListBullet"/>
            </w:pPr>
            <w:r w:rsidRPr="00D6591D">
              <w:t>APC NMDS</w:t>
            </w:r>
          </w:p>
        </w:tc>
      </w:tr>
      <w:tr w:rsidR="00574A3A" w14:paraId="6532436C" w14:textId="77777777" w:rsidTr="00574A3A">
        <w:trPr>
          <w:cnfStyle w:val="000000010000" w:firstRow="0" w:lastRow="0" w:firstColumn="0" w:lastColumn="0" w:oddVBand="0" w:evenVBand="0" w:oddHBand="0" w:evenHBand="1" w:firstRowFirstColumn="0" w:firstRowLastColumn="0" w:lastRowFirstColumn="0" w:lastRowLastColumn="0"/>
        </w:trPr>
        <w:tc>
          <w:tcPr>
            <w:tcW w:w="2994" w:type="dxa"/>
          </w:tcPr>
          <w:p w14:paraId="36B7A9B4" w14:textId="77777777" w:rsidR="00574A3A" w:rsidRDefault="00574A3A" w:rsidP="008702BC">
            <w:r>
              <w:t>Measurement for improvement / Partnering with patients, their carers and families and communities</w:t>
            </w:r>
          </w:p>
        </w:tc>
        <w:tc>
          <w:tcPr>
            <w:tcW w:w="3054" w:type="dxa"/>
          </w:tcPr>
          <w:p w14:paraId="3EF62593" w14:textId="77777777" w:rsidR="00574A3A" w:rsidRDefault="00574A3A" w:rsidP="008702BC">
            <w:r>
              <w:t>National Sepsis Extension Program</w:t>
            </w:r>
          </w:p>
        </w:tc>
        <w:tc>
          <w:tcPr>
            <w:tcW w:w="3586" w:type="dxa"/>
          </w:tcPr>
          <w:p w14:paraId="040C4150" w14:textId="77777777" w:rsidR="00574A3A" w:rsidRDefault="00574A3A" w:rsidP="00574A3A">
            <w:pPr>
              <w:pStyle w:val="ListBullet"/>
            </w:pPr>
            <w:r w:rsidRPr="00D6591D">
              <w:t>APC NMDS</w:t>
            </w:r>
          </w:p>
        </w:tc>
      </w:tr>
      <w:tr w:rsidR="00574A3A" w14:paraId="63068F8C" w14:textId="77777777" w:rsidTr="00574A3A">
        <w:tc>
          <w:tcPr>
            <w:tcW w:w="2994" w:type="dxa"/>
          </w:tcPr>
          <w:p w14:paraId="54516A43" w14:textId="77777777" w:rsidR="00574A3A" w:rsidRDefault="00574A3A" w:rsidP="008702BC">
            <w:r>
              <w:t>Clinical governance</w:t>
            </w:r>
          </w:p>
        </w:tc>
        <w:tc>
          <w:tcPr>
            <w:tcW w:w="3054" w:type="dxa"/>
          </w:tcPr>
          <w:p w14:paraId="526678FC" w14:textId="77777777" w:rsidR="00574A3A" w:rsidRDefault="00574A3A" w:rsidP="008702BC">
            <w:r>
              <w:t>OECD Patient-Reported Indicator Surveys*</w:t>
            </w:r>
          </w:p>
        </w:tc>
        <w:tc>
          <w:tcPr>
            <w:tcW w:w="3586" w:type="dxa"/>
          </w:tcPr>
          <w:p w14:paraId="403C43EC" w14:textId="77777777" w:rsidR="00574A3A" w:rsidRDefault="00574A3A" w:rsidP="00574A3A">
            <w:pPr>
              <w:pStyle w:val="ListBullet"/>
            </w:pPr>
            <w:r w:rsidRPr="00BE0636">
              <w:t>Patient experience survey results</w:t>
            </w:r>
          </w:p>
        </w:tc>
      </w:tr>
      <w:tr w:rsidR="00574A3A" w14:paraId="5616C981" w14:textId="77777777" w:rsidTr="00574A3A">
        <w:trPr>
          <w:cnfStyle w:val="000000010000" w:firstRow="0" w:lastRow="0" w:firstColumn="0" w:lastColumn="0" w:oddVBand="0" w:evenVBand="0" w:oddHBand="0" w:evenHBand="1" w:firstRowFirstColumn="0" w:firstRowLastColumn="0" w:lastRowFirstColumn="0" w:lastRowLastColumn="0"/>
        </w:trPr>
        <w:tc>
          <w:tcPr>
            <w:tcW w:w="2994" w:type="dxa"/>
          </w:tcPr>
          <w:p w14:paraId="0DBDCD65" w14:textId="77777777" w:rsidR="00574A3A" w:rsidRDefault="00574A3A" w:rsidP="008702BC">
            <w:r>
              <w:t>Clinical governance</w:t>
            </w:r>
          </w:p>
        </w:tc>
        <w:tc>
          <w:tcPr>
            <w:tcW w:w="3054" w:type="dxa"/>
          </w:tcPr>
          <w:p w14:paraId="457D65DF" w14:textId="77777777" w:rsidR="00574A3A" w:rsidRDefault="00574A3A" w:rsidP="008702BC">
            <w:r w:rsidRPr="003D625D">
              <w:t>National Standards Pathology &amp; Diagnostic Imaging</w:t>
            </w:r>
          </w:p>
        </w:tc>
        <w:tc>
          <w:tcPr>
            <w:tcW w:w="3586" w:type="dxa"/>
          </w:tcPr>
          <w:p w14:paraId="76B9EF1B" w14:textId="77777777" w:rsidR="00574A3A" w:rsidRDefault="00574A3A" w:rsidP="00574A3A">
            <w:pPr>
              <w:pStyle w:val="ListBullet"/>
            </w:pPr>
            <w:r w:rsidRPr="00187957">
              <w:t>Assessment outcomes against National Pathology Accreditation Advisory Council (NPAAC) Standards</w:t>
            </w:r>
          </w:p>
        </w:tc>
      </w:tr>
      <w:tr w:rsidR="00574A3A" w14:paraId="5849223E" w14:textId="77777777" w:rsidTr="00574A3A">
        <w:tc>
          <w:tcPr>
            <w:tcW w:w="2994" w:type="dxa"/>
          </w:tcPr>
          <w:p w14:paraId="433D4CE1" w14:textId="77777777" w:rsidR="00574A3A" w:rsidRDefault="00574A3A" w:rsidP="008702BC">
            <w:r>
              <w:t>Safe clinical processes</w:t>
            </w:r>
          </w:p>
        </w:tc>
        <w:tc>
          <w:tcPr>
            <w:tcW w:w="3054" w:type="dxa"/>
          </w:tcPr>
          <w:p w14:paraId="21BB269C" w14:textId="77777777" w:rsidR="00574A3A" w:rsidRDefault="00574A3A" w:rsidP="008702BC">
            <w:r w:rsidRPr="003D625D">
              <w:t>Cosmetic Surgery Standards</w:t>
            </w:r>
            <w:r>
              <w:t xml:space="preserve"> and licencing framework*</w:t>
            </w:r>
          </w:p>
        </w:tc>
        <w:tc>
          <w:tcPr>
            <w:tcW w:w="3586" w:type="dxa"/>
          </w:tcPr>
          <w:p w14:paraId="23C50478" w14:textId="77777777" w:rsidR="00574A3A" w:rsidRDefault="00574A3A" w:rsidP="00574A3A">
            <w:pPr>
              <w:pStyle w:val="ListBullet"/>
            </w:pPr>
            <w:r>
              <w:t>APC NMDS</w:t>
            </w:r>
          </w:p>
        </w:tc>
      </w:tr>
      <w:tr w:rsidR="00574A3A" w14:paraId="737CED68" w14:textId="77777777" w:rsidTr="00574A3A">
        <w:trPr>
          <w:cnfStyle w:val="000000010000" w:firstRow="0" w:lastRow="0" w:firstColumn="0" w:lastColumn="0" w:oddVBand="0" w:evenVBand="0" w:oddHBand="0" w:evenHBand="1" w:firstRowFirstColumn="0" w:firstRowLastColumn="0" w:lastRowFirstColumn="0" w:lastRowLastColumn="0"/>
        </w:trPr>
        <w:tc>
          <w:tcPr>
            <w:tcW w:w="2994" w:type="dxa"/>
          </w:tcPr>
          <w:p w14:paraId="08B39CA3" w14:textId="77777777" w:rsidR="00574A3A" w:rsidRDefault="00574A3A" w:rsidP="008702BC">
            <w:r>
              <w:t>Measurement for improvement / Clinical governance</w:t>
            </w:r>
          </w:p>
        </w:tc>
        <w:tc>
          <w:tcPr>
            <w:tcW w:w="3054" w:type="dxa"/>
          </w:tcPr>
          <w:p w14:paraId="6D8CD335" w14:textId="77777777" w:rsidR="00574A3A" w:rsidRDefault="00574A3A" w:rsidP="008702BC">
            <w:r w:rsidRPr="007C3839">
              <w:t>National Electronic Medication Chart</w:t>
            </w:r>
            <w:r>
              <w:t xml:space="preserve"> Framework and implementation resources</w:t>
            </w:r>
          </w:p>
        </w:tc>
        <w:tc>
          <w:tcPr>
            <w:tcW w:w="3586" w:type="dxa"/>
          </w:tcPr>
          <w:p w14:paraId="4E8F88B9" w14:textId="77777777" w:rsidR="00574A3A" w:rsidRDefault="00574A3A" w:rsidP="00574A3A">
            <w:pPr>
              <w:pStyle w:val="ListBullet"/>
            </w:pPr>
            <w:r>
              <w:t>APC NMDS</w:t>
            </w:r>
          </w:p>
        </w:tc>
      </w:tr>
      <w:tr w:rsidR="00574A3A" w14:paraId="0385FA7E" w14:textId="77777777" w:rsidTr="00574A3A">
        <w:tc>
          <w:tcPr>
            <w:tcW w:w="2994" w:type="dxa"/>
          </w:tcPr>
          <w:p w14:paraId="1AACA492" w14:textId="77777777" w:rsidR="00574A3A" w:rsidRDefault="00574A3A" w:rsidP="008702BC">
            <w:r>
              <w:t>Safe clinical processes</w:t>
            </w:r>
          </w:p>
        </w:tc>
        <w:tc>
          <w:tcPr>
            <w:tcW w:w="3054" w:type="dxa"/>
          </w:tcPr>
          <w:p w14:paraId="6C323D31" w14:textId="77777777" w:rsidR="00574A3A" w:rsidRDefault="00574A3A" w:rsidP="008702BC">
            <w:r w:rsidRPr="007C3839">
              <w:t>Clinical Quality Registries Strategy</w:t>
            </w:r>
            <w:r>
              <w:t>, including u</w:t>
            </w:r>
            <w:r w:rsidRPr="00695D5F">
              <w:t>pdat</w:t>
            </w:r>
            <w:r>
              <w:t>e to</w:t>
            </w:r>
            <w:r w:rsidRPr="00695D5F">
              <w:t xml:space="preserve"> the list of priority clinical domains for clinical quality registry</w:t>
            </w:r>
            <w:r>
              <w:t>*</w:t>
            </w:r>
          </w:p>
        </w:tc>
        <w:tc>
          <w:tcPr>
            <w:tcW w:w="3586" w:type="dxa"/>
          </w:tcPr>
          <w:p w14:paraId="5E627DEE" w14:textId="77777777" w:rsidR="00574A3A" w:rsidRDefault="00574A3A" w:rsidP="00574A3A">
            <w:pPr>
              <w:pStyle w:val="ListBullet"/>
            </w:pPr>
            <w:r>
              <w:t>APC NMDS</w:t>
            </w:r>
          </w:p>
        </w:tc>
      </w:tr>
      <w:tr w:rsidR="00574A3A" w14:paraId="11A37227" w14:textId="77777777" w:rsidTr="00574A3A">
        <w:trPr>
          <w:cnfStyle w:val="000000010000" w:firstRow="0" w:lastRow="0" w:firstColumn="0" w:lastColumn="0" w:oddVBand="0" w:evenVBand="0" w:oddHBand="0" w:evenHBand="1" w:firstRowFirstColumn="0" w:firstRowLastColumn="0" w:lastRowFirstColumn="0" w:lastRowLastColumn="0"/>
        </w:trPr>
        <w:tc>
          <w:tcPr>
            <w:tcW w:w="2994" w:type="dxa"/>
          </w:tcPr>
          <w:p w14:paraId="45E75DE2" w14:textId="77777777" w:rsidR="00574A3A" w:rsidRDefault="00574A3A" w:rsidP="008702BC">
            <w:r>
              <w:t>Safe clinical processes</w:t>
            </w:r>
          </w:p>
        </w:tc>
        <w:tc>
          <w:tcPr>
            <w:tcW w:w="3054" w:type="dxa"/>
          </w:tcPr>
          <w:p w14:paraId="58098416" w14:textId="77777777" w:rsidR="00574A3A" w:rsidRDefault="00574A3A" w:rsidP="008702BC">
            <w:r>
              <w:t xml:space="preserve">Partial implementation of the Quality use of Diagnostics, </w:t>
            </w:r>
            <w:r>
              <w:lastRenderedPageBreak/>
              <w:t>Therapeutics and Pathology (QUDTP) Program, including:</w:t>
            </w:r>
          </w:p>
          <w:p w14:paraId="001D29CC" w14:textId="77777777" w:rsidR="00574A3A" w:rsidRDefault="00574A3A" w:rsidP="00574A3A">
            <w:pPr>
              <w:pStyle w:val="ListBullet"/>
            </w:pPr>
            <w:r>
              <w:t>s</w:t>
            </w:r>
            <w:r w:rsidRPr="00C911B0">
              <w:t>tewardship and awareness of Quality Use of Medicines</w:t>
            </w:r>
            <w:r>
              <w:t xml:space="preserve"> (QUM); </w:t>
            </w:r>
          </w:p>
          <w:p w14:paraId="79D91680" w14:textId="77777777" w:rsidR="00574A3A" w:rsidRDefault="00574A3A" w:rsidP="00574A3A">
            <w:pPr>
              <w:pStyle w:val="ListBullet"/>
            </w:pPr>
            <w:r>
              <w:t>National Medicines Symposium;</w:t>
            </w:r>
          </w:p>
          <w:p w14:paraId="184130D4" w14:textId="77777777" w:rsidR="00574A3A" w:rsidRDefault="00574A3A" w:rsidP="00574A3A">
            <w:pPr>
              <w:pStyle w:val="ListBullet"/>
            </w:pPr>
            <w:r>
              <w:t>f</w:t>
            </w:r>
            <w:r w:rsidRPr="00710BFD">
              <w:t>acilitating access to existing and new QUDTP resource</w:t>
            </w:r>
            <w:r>
              <w:t>s;</w:t>
            </w:r>
          </w:p>
          <w:p w14:paraId="17FAEE57" w14:textId="77777777" w:rsidR="00574A3A" w:rsidRDefault="00574A3A" w:rsidP="00574A3A">
            <w:pPr>
              <w:pStyle w:val="ListBullet"/>
            </w:pPr>
            <w:r>
              <w:t xml:space="preserve">QUM learning modules; </w:t>
            </w:r>
          </w:p>
          <w:p w14:paraId="1096315C" w14:textId="77777777" w:rsidR="00574A3A" w:rsidRDefault="00574A3A" w:rsidP="00574A3A">
            <w:pPr>
              <w:pStyle w:val="ListBullet"/>
            </w:pPr>
            <w:r>
              <w:t>indicator development;</w:t>
            </w:r>
          </w:p>
          <w:p w14:paraId="6CF06146" w14:textId="77777777" w:rsidR="00574A3A" w:rsidRDefault="00574A3A" w:rsidP="00574A3A">
            <w:pPr>
              <w:pStyle w:val="ListBullet"/>
            </w:pPr>
            <w:r>
              <w:t>practice reviews;</w:t>
            </w:r>
          </w:p>
          <w:p w14:paraId="5CD0A5E0" w14:textId="77777777" w:rsidR="00574A3A" w:rsidRDefault="00574A3A" w:rsidP="00574A3A">
            <w:pPr>
              <w:pStyle w:val="ListBullet"/>
            </w:pPr>
            <w:r>
              <w:t xml:space="preserve">MedicineInsight; and </w:t>
            </w:r>
          </w:p>
          <w:p w14:paraId="4B786E7F" w14:textId="77777777" w:rsidR="00574A3A" w:rsidRDefault="00574A3A" w:rsidP="008702BC">
            <w:r>
              <w:t>QUM in schools and childcare settings*</w:t>
            </w:r>
          </w:p>
        </w:tc>
        <w:tc>
          <w:tcPr>
            <w:tcW w:w="3586" w:type="dxa"/>
          </w:tcPr>
          <w:p w14:paraId="6633DC18" w14:textId="77777777" w:rsidR="00574A3A" w:rsidRDefault="00574A3A" w:rsidP="00574A3A">
            <w:pPr>
              <w:pStyle w:val="ListBullet"/>
            </w:pPr>
            <w:r>
              <w:lastRenderedPageBreak/>
              <w:t>MedicineInsight</w:t>
            </w:r>
          </w:p>
          <w:p w14:paraId="6E8F7C60" w14:textId="77777777" w:rsidR="00574A3A" w:rsidRDefault="00574A3A" w:rsidP="00574A3A">
            <w:pPr>
              <w:pStyle w:val="ListBullet"/>
            </w:pPr>
            <w:r>
              <w:lastRenderedPageBreak/>
              <w:t>PBS</w:t>
            </w:r>
          </w:p>
        </w:tc>
      </w:tr>
      <w:tr w:rsidR="00574A3A" w14:paraId="24B58828" w14:textId="77777777" w:rsidTr="00574A3A">
        <w:tc>
          <w:tcPr>
            <w:tcW w:w="2994" w:type="dxa"/>
          </w:tcPr>
          <w:p w14:paraId="465EFEA3" w14:textId="77777777" w:rsidR="00574A3A" w:rsidRDefault="00574A3A" w:rsidP="008702BC">
            <w:r>
              <w:lastRenderedPageBreak/>
              <w:t>Safe clinical processes</w:t>
            </w:r>
          </w:p>
        </w:tc>
        <w:tc>
          <w:tcPr>
            <w:tcW w:w="3054" w:type="dxa"/>
          </w:tcPr>
          <w:p w14:paraId="455B7D18" w14:textId="77777777" w:rsidR="00574A3A" w:rsidRDefault="00574A3A" w:rsidP="008702BC">
            <w:r>
              <w:t>Harmonised guidance for critical results management</w:t>
            </w:r>
          </w:p>
        </w:tc>
        <w:tc>
          <w:tcPr>
            <w:tcW w:w="3586" w:type="dxa"/>
          </w:tcPr>
          <w:p w14:paraId="61DADF4D" w14:textId="77777777" w:rsidR="00574A3A" w:rsidRDefault="00574A3A" w:rsidP="00574A3A">
            <w:pPr>
              <w:pStyle w:val="ListBullet"/>
            </w:pPr>
          </w:p>
        </w:tc>
      </w:tr>
      <w:tr w:rsidR="00574A3A" w14:paraId="5C614DB6" w14:textId="77777777" w:rsidTr="00574A3A">
        <w:trPr>
          <w:cnfStyle w:val="000000010000" w:firstRow="0" w:lastRow="0" w:firstColumn="0" w:lastColumn="0" w:oddVBand="0" w:evenVBand="0" w:oddHBand="0" w:evenHBand="1" w:firstRowFirstColumn="0" w:firstRowLastColumn="0" w:lastRowFirstColumn="0" w:lastRowLastColumn="0"/>
        </w:trPr>
        <w:tc>
          <w:tcPr>
            <w:tcW w:w="2994" w:type="dxa"/>
          </w:tcPr>
          <w:p w14:paraId="633531AF" w14:textId="77777777" w:rsidR="00574A3A" w:rsidRDefault="00574A3A" w:rsidP="008702BC">
            <w:r>
              <w:t>Clinical governance</w:t>
            </w:r>
          </w:p>
        </w:tc>
        <w:tc>
          <w:tcPr>
            <w:tcW w:w="3054" w:type="dxa"/>
          </w:tcPr>
          <w:p w14:paraId="0ABFE789" w14:textId="77777777" w:rsidR="00574A3A" w:rsidRDefault="00574A3A" w:rsidP="008702BC">
            <w:r w:rsidRPr="00C911B0">
              <w:t>Reviewing the Aged Care Quality Standards</w:t>
            </w:r>
            <w:r>
              <w:t xml:space="preserve"> on </w:t>
            </w:r>
            <w:r w:rsidRPr="00C911B0">
              <w:t xml:space="preserve">clinical care (Standard 5) and supporting guidance materials </w:t>
            </w:r>
          </w:p>
        </w:tc>
        <w:tc>
          <w:tcPr>
            <w:tcW w:w="3586" w:type="dxa"/>
          </w:tcPr>
          <w:p w14:paraId="7F2227E4" w14:textId="77777777" w:rsidR="00574A3A" w:rsidRDefault="00574A3A" w:rsidP="00574A3A">
            <w:pPr>
              <w:pStyle w:val="ListBullet"/>
            </w:pPr>
            <w:r w:rsidRPr="003E1928">
              <w:t>National Aged Care Mandatory Quality Indicator Program</w:t>
            </w:r>
          </w:p>
        </w:tc>
      </w:tr>
      <w:tr w:rsidR="00574A3A" w14:paraId="7BBF77CB" w14:textId="77777777" w:rsidTr="00574A3A">
        <w:tc>
          <w:tcPr>
            <w:tcW w:w="2994" w:type="dxa"/>
          </w:tcPr>
          <w:p w14:paraId="1BEF30F0" w14:textId="77777777" w:rsidR="00574A3A" w:rsidRDefault="00574A3A" w:rsidP="008702BC">
            <w:r>
              <w:t>Integrated systems</w:t>
            </w:r>
          </w:p>
        </w:tc>
        <w:tc>
          <w:tcPr>
            <w:tcW w:w="3054" w:type="dxa"/>
          </w:tcPr>
          <w:p w14:paraId="4235174B" w14:textId="77777777" w:rsidR="00574A3A" w:rsidRDefault="00574A3A" w:rsidP="008702BC">
            <w:r>
              <w:t>My health record in Emergency Departments – transitions of care</w:t>
            </w:r>
          </w:p>
        </w:tc>
        <w:tc>
          <w:tcPr>
            <w:tcW w:w="3586" w:type="dxa"/>
          </w:tcPr>
          <w:p w14:paraId="09CB6341" w14:textId="77777777" w:rsidR="00574A3A" w:rsidRDefault="00574A3A" w:rsidP="00574A3A">
            <w:pPr>
              <w:pStyle w:val="ListBullet"/>
            </w:pPr>
            <w:r w:rsidRPr="00510A7B">
              <w:t>National Aged Care Mandatory Quality Indicator Program</w:t>
            </w:r>
          </w:p>
          <w:p w14:paraId="5AAB6145" w14:textId="77777777" w:rsidR="00574A3A" w:rsidRDefault="00574A3A" w:rsidP="00574A3A">
            <w:pPr>
              <w:pStyle w:val="ListBullet"/>
            </w:pPr>
            <w:r w:rsidRPr="00510A7B">
              <w:t>NAPEDC NMDS</w:t>
            </w:r>
          </w:p>
        </w:tc>
      </w:tr>
      <w:tr w:rsidR="00574A3A" w14:paraId="4BA016F9" w14:textId="77777777" w:rsidTr="00574A3A">
        <w:trPr>
          <w:cnfStyle w:val="000000010000" w:firstRow="0" w:lastRow="0" w:firstColumn="0" w:lastColumn="0" w:oddVBand="0" w:evenVBand="0" w:oddHBand="0" w:evenHBand="1" w:firstRowFirstColumn="0" w:firstRowLastColumn="0" w:lastRowFirstColumn="0" w:lastRowLastColumn="0"/>
        </w:trPr>
        <w:tc>
          <w:tcPr>
            <w:tcW w:w="2994" w:type="dxa"/>
          </w:tcPr>
          <w:p w14:paraId="7B639DE1" w14:textId="77777777" w:rsidR="00574A3A" w:rsidRDefault="00574A3A" w:rsidP="008702BC">
            <w:r>
              <w:t>Clinical governance / Safe clinical processes</w:t>
            </w:r>
          </w:p>
        </w:tc>
        <w:tc>
          <w:tcPr>
            <w:tcW w:w="3054" w:type="dxa"/>
          </w:tcPr>
          <w:p w14:paraId="37ACB9C0" w14:textId="77777777" w:rsidR="00574A3A" w:rsidRDefault="00574A3A" w:rsidP="008702BC">
            <w:r>
              <w:t xml:space="preserve">Certification Framework for Digital Mental Health, </w:t>
            </w:r>
          </w:p>
          <w:p w14:paraId="785EBBB6" w14:textId="77777777" w:rsidR="00574A3A" w:rsidRDefault="00574A3A" w:rsidP="008702BC">
            <w:r>
              <w:t>including Virtual Care Validation Study</w:t>
            </w:r>
          </w:p>
        </w:tc>
        <w:tc>
          <w:tcPr>
            <w:tcW w:w="3586" w:type="dxa"/>
          </w:tcPr>
          <w:p w14:paraId="65542176" w14:textId="77777777" w:rsidR="00574A3A" w:rsidRDefault="00574A3A" w:rsidP="00574A3A">
            <w:pPr>
              <w:pStyle w:val="ListBullet"/>
            </w:pPr>
            <w:r w:rsidRPr="005E6239">
              <w:t>Master list of accredited digital mental health providers</w:t>
            </w:r>
          </w:p>
          <w:p w14:paraId="67949EE1" w14:textId="77777777" w:rsidR="00574A3A" w:rsidRDefault="00574A3A" w:rsidP="00574A3A">
            <w:pPr>
              <w:pStyle w:val="ListBullet"/>
            </w:pPr>
            <w:r w:rsidRPr="00187957">
              <w:t>Accreditation outcomes against the NSQDMH Standards as part of the AHSSQA Scheme</w:t>
            </w:r>
          </w:p>
        </w:tc>
      </w:tr>
    </w:tbl>
    <w:p w14:paraId="37EDDC96" w14:textId="77777777" w:rsidR="00574A3A" w:rsidRDefault="00574A3A"/>
    <w:p w14:paraId="41F3CC41" w14:textId="77777777" w:rsidR="00574A3A" w:rsidRDefault="00574A3A" w:rsidP="00574A3A">
      <w:pPr>
        <w:rPr>
          <w:sz w:val="18"/>
          <w:szCs w:val="18"/>
        </w:rPr>
      </w:pPr>
      <w:r w:rsidRPr="00BC7844">
        <w:rPr>
          <w:sz w:val="18"/>
          <w:szCs w:val="18"/>
        </w:rPr>
        <w:t xml:space="preserve">* </w:t>
      </w:r>
      <w:r>
        <w:rPr>
          <w:sz w:val="18"/>
          <w:szCs w:val="18"/>
        </w:rPr>
        <w:t>T</w:t>
      </w:r>
      <w:r w:rsidRPr="00BC7844">
        <w:rPr>
          <w:sz w:val="18"/>
          <w:szCs w:val="18"/>
        </w:rPr>
        <w:t>he Commission provides in-kind support where there are opportunities to create synergies with elements of the cost-shared work plan, and where it supports the strategic intent of the work plan.</w:t>
      </w:r>
    </w:p>
    <w:p w14:paraId="40EFBBFF" w14:textId="77777777" w:rsidR="00574A3A" w:rsidRDefault="00574A3A" w:rsidP="00574A3A">
      <w:pPr>
        <w:rPr>
          <w:sz w:val="18"/>
          <w:szCs w:val="18"/>
        </w:rPr>
      </w:pPr>
      <w:r>
        <w:rPr>
          <w:sz w:val="18"/>
          <w:szCs w:val="18"/>
        </w:rPr>
        <w:br w:type="page"/>
      </w:r>
    </w:p>
    <w:p w14:paraId="3515FEC2" w14:textId="77777777" w:rsidR="00574A3A" w:rsidRDefault="00574A3A" w:rsidP="00574A3A">
      <w:pPr>
        <w:pStyle w:val="Heading1"/>
      </w:pPr>
      <w:bookmarkStart w:id="64" w:name="_Toc188972537"/>
      <w:bookmarkStart w:id="65" w:name="_Toc204691124"/>
      <w:r w:rsidRPr="005348A2">
        <w:lastRenderedPageBreak/>
        <w:t>Appendix 3</w:t>
      </w:r>
      <w:r>
        <w:t>a</w:t>
      </w:r>
      <w:r w:rsidRPr="005348A2">
        <w:t>: Data set</w:t>
      </w:r>
      <w:r>
        <w:t>s which require jurisdictional approval</w:t>
      </w:r>
      <w:r w:rsidRPr="005348A2">
        <w:t xml:space="preserve"> (</w:t>
      </w:r>
      <w:r w:rsidRPr="000F212D">
        <w:t>202</w:t>
      </w:r>
      <w:r>
        <w:t>5</w:t>
      </w:r>
      <w:r w:rsidRPr="000F212D">
        <w:t>-2</w:t>
      </w:r>
      <w:r>
        <w:t>6</w:t>
      </w:r>
      <w:r w:rsidRPr="000F212D">
        <w:t xml:space="preserve"> to 202</w:t>
      </w:r>
      <w:r>
        <w:t>7</w:t>
      </w:r>
      <w:r w:rsidRPr="000F212D">
        <w:t>-2</w:t>
      </w:r>
      <w:r>
        <w:t>8</w:t>
      </w:r>
      <w:r w:rsidRPr="005348A2">
        <w:t>)</w:t>
      </w:r>
      <w:bookmarkEnd w:id="64"/>
      <w:bookmarkEnd w:id="65"/>
    </w:p>
    <w:tbl>
      <w:tblPr>
        <w:tblStyle w:val="SQHTable"/>
        <w:tblW w:w="5000" w:type="pct"/>
        <w:tblLook w:val="04A0" w:firstRow="1" w:lastRow="0" w:firstColumn="1" w:lastColumn="0" w:noHBand="0" w:noVBand="1"/>
      </w:tblPr>
      <w:tblGrid>
        <w:gridCol w:w="4592"/>
        <w:gridCol w:w="4592"/>
      </w:tblGrid>
      <w:tr w:rsidR="00574A3A" w:rsidRPr="005C46BE" w14:paraId="7EBBB1A9" w14:textId="77777777" w:rsidTr="00FC4E17">
        <w:trPr>
          <w:cnfStyle w:val="100000000000" w:firstRow="1" w:lastRow="0" w:firstColumn="0" w:lastColumn="0" w:oddVBand="0" w:evenVBand="0" w:oddHBand="0" w:evenHBand="0" w:firstRowFirstColumn="0" w:firstRowLastColumn="0" w:lastRowFirstColumn="0" w:lastRowLastColumn="0"/>
          <w:trHeight w:val="432"/>
          <w:tblHeader/>
        </w:trPr>
        <w:tc>
          <w:tcPr>
            <w:tcW w:w="2500" w:type="pct"/>
          </w:tcPr>
          <w:p w14:paraId="03A0280B" w14:textId="77777777" w:rsidR="00574A3A" w:rsidRPr="005C46BE" w:rsidRDefault="00574A3A" w:rsidP="008702BC">
            <w:pPr>
              <w:pStyle w:val="EYBodytextwithparaspace"/>
              <w:spacing w:after="120"/>
              <w:rPr>
                <w:rFonts w:ascii="Arial" w:hAnsi="Arial" w:cs="Arial"/>
                <w:b w:val="0"/>
                <w:color w:val="FFFFFF" w:themeColor="background1"/>
                <w:szCs w:val="20"/>
                <w:lang w:val="en-AU"/>
              </w:rPr>
            </w:pPr>
            <w:r w:rsidRPr="005C46BE">
              <w:rPr>
                <w:rFonts w:ascii="Arial" w:hAnsi="Arial" w:cs="Arial"/>
                <w:color w:val="FFFFFF" w:themeColor="background1"/>
                <w:szCs w:val="20"/>
                <w:lang w:val="en-AU"/>
              </w:rPr>
              <w:t xml:space="preserve">Data set </w:t>
            </w:r>
            <w:r>
              <w:rPr>
                <w:rFonts w:ascii="Arial" w:hAnsi="Arial" w:cs="Arial"/>
                <w:color w:val="FFFFFF" w:themeColor="background1"/>
                <w:szCs w:val="20"/>
                <w:lang w:val="en-AU"/>
              </w:rPr>
              <w:t>and latest specifications</w:t>
            </w:r>
          </w:p>
        </w:tc>
        <w:tc>
          <w:tcPr>
            <w:tcW w:w="2500" w:type="pct"/>
          </w:tcPr>
          <w:p w14:paraId="322CE0E0" w14:textId="77777777" w:rsidR="00574A3A" w:rsidRPr="005C46BE" w:rsidRDefault="00574A3A" w:rsidP="008702BC">
            <w:pPr>
              <w:pStyle w:val="EYBodytextwithparaspace"/>
              <w:spacing w:after="120"/>
              <w:rPr>
                <w:rFonts w:ascii="Arial" w:hAnsi="Arial" w:cs="Arial"/>
                <w:b w:val="0"/>
                <w:color w:val="FFFFFF" w:themeColor="background1"/>
                <w:szCs w:val="20"/>
                <w:lang w:val="en-AU"/>
              </w:rPr>
            </w:pPr>
            <w:r w:rsidRPr="005C46BE">
              <w:rPr>
                <w:rFonts w:ascii="Arial" w:hAnsi="Arial" w:cs="Arial"/>
                <w:color w:val="FFFFFF" w:themeColor="background1"/>
                <w:szCs w:val="20"/>
                <w:lang w:val="en-AU"/>
              </w:rPr>
              <w:t xml:space="preserve">Source </w:t>
            </w:r>
          </w:p>
        </w:tc>
      </w:tr>
      <w:tr w:rsidR="00574A3A" w:rsidRPr="005C46BE" w14:paraId="344C3667" w14:textId="77777777" w:rsidTr="00574A3A">
        <w:tc>
          <w:tcPr>
            <w:tcW w:w="2500" w:type="pct"/>
          </w:tcPr>
          <w:p w14:paraId="019B9AC2" w14:textId="77777777" w:rsidR="00574A3A" w:rsidRPr="005C46BE" w:rsidRDefault="00574A3A" w:rsidP="008702BC">
            <w:pPr>
              <w:pStyle w:val="EYBodytextwithparaspace"/>
              <w:spacing w:before="120" w:after="120"/>
              <w:rPr>
                <w:rFonts w:ascii="Arial" w:hAnsi="Arial" w:cs="Arial"/>
                <w:szCs w:val="20"/>
                <w:lang w:val="en-AU"/>
              </w:rPr>
            </w:pPr>
            <w:hyperlink r:id="rId41" w:history="1">
              <w:r w:rsidRPr="00A37FFA">
                <w:rPr>
                  <w:rStyle w:val="Hyperlink"/>
                  <w:rFonts w:ascii="Arial" w:hAnsi="Arial" w:cs="Arial"/>
                  <w:szCs w:val="20"/>
                  <w:lang w:val="en-AU"/>
                </w:rPr>
                <w:t>Admitted Patient Care National Minimum Data Set (APC NMDS)</w:t>
              </w:r>
            </w:hyperlink>
          </w:p>
        </w:tc>
        <w:tc>
          <w:tcPr>
            <w:tcW w:w="2500" w:type="pct"/>
          </w:tcPr>
          <w:p w14:paraId="498CA96A" w14:textId="77777777" w:rsidR="00574A3A" w:rsidRPr="005C46BE" w:rsidRDefault="00574A3A" w:rsidP="008702BC">
            <w:pPr>
              <w:pStyle w:val="EYBodytextwithparaspace"/>
              <w:spacing w:before="120" w:after="120"/>
              <w:rPr>
                <w:rFonts w:ascii="Arial" w:hAnsi="Arial" w:cs="Arial"/>
                <w:szCs w:val="20"/>
                <w:lang w:val="en-AU"/>
              </w:rPr>
            </w:pPr>
            <w:r>
              <w:rPr>
                <w:rFonts w:ascii="Arial" w:hAnsi="Arial" w:cs="Arial"/>
                <w:szCs w:val="20"/>
                <w:lang w:val="en-AU"/>
              </w:rPr>
              <w:t>Australian Institute of Health and Welfare (AIHW)</w:t>
            </w:r>
          </w:p>
        </w:tc>
      </w:tr>
      <w:tr w:rsidR="00574A3A" w:rsidRPr="005C46BE" w14:paraId="04EBBCAB"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6ACFEC20" w14:textId="77777777" w:rsidR="00574A3A" w:rsidRPr="005C46BE" w:rsidRDefault="00574A3A" w:rsidP="008702BC">
            <w:pPr>
              <w:pStyle w:val="EYBodytextwithparaspace"/>
              <w:spacing w:before="120" w:after="120"/>
              <w:rPr>
                <w:rFonts w:ascii="Arial" w:hAnsi="Arial" w:cs="Arial"/>
                <w:szCs w:val="20"/>
                <w:lang w:val="en-AU"/>
              </w:rPr>
            </w:pPr>
            <w:hyperlink r:id="rId42" w:history="1">
              <w:r w:rsidRPr="00A37FFA">
                <w:rPr>
                  <w:rStyle w:val="Hyperlink"/>
                  <w:rFonts w:ascii="Arial" w:hAnsi="Arial" w:cs="Arial"/>
                  <w:szCs w:val="20"/>
                  <w:lang w:val="en-AU"/>
                </w:rPr>
                <w:t>Non-Admitted Patient Emergency Department Care (NAPEDC</w:t>
              </w:r>
            </w:hyperlink>
            <w:r>
              <w:rPr>
                <w:rStyle w:val="Hyperlink"/>
                <w:rFonts w:ascii="Arial" w:hAnsi="Arial" w:cs="Arial"/>
                <w:szCs w:val="20"/>
                <w:lang w:val="en-AU"/>
              </w:rPr>
              <w:t>)</w:t>
            </w:r>
            <w:r>
              <w:rPr>
                <w:rStyle w:val="Hyperlink"/>
                <w:rFonts w:ascii="Arial" w:hAnsi="Arial"/>
              </w:rPr>
              <w:t xml:space="preserve"> NMDS</w:t>
            </w:r>
            <w:r>
              <w:rPr>
                <w:rStyle w:val="Hyperlink"/>
                <w:rFonts w:ascii="Arial" w:hAnsi="Arial" w:cs="Arial"/>
                <w:szCs w:val="20"/>
                <w:lang w:val="en-AU"/>
              </w:rPr>
              <w:t xml:space="preserve"> </w:t>
            </w:r>
          </w:p>
        </w:tc>
        <w:tc>
          <w:tcPr>
            <w:tcW w:w="2500" w:type="pct"/>
          </w:tcPr>
          <w:p w14:paraId="45A2783E" w14:textId="77777777" w:rsidR="00574A3A" w:rsidRPr="005C46BE" w:rsidRDefault="00574A3A" w:rsidP="008702BC">
            <w:pPr>
              <w:pStyle w:val="EYBodytextwithparaspace"/>
              <w:spacing w:before="120" w:after="120"/>
              <w:rPr>
                <w:rFonts w:ascii="Arial" w:hAnsi="Arial" w:cs="Arial"/>
                <w:szCs w:val="20"/>
                <w:lang w:val="en-AU"/>
              </w:rPr>
            </w:pPr>
            <w:r>
              <w:rPr>
                <w:rFonts w:ascii="Arial" w:hAnsi="Arial" w:cs="Arial"/>
                <w:szCs w:val="20"/>
                <w:lang w:val="en-AU"/>
              </w:rPr>
              <w:t>AIHW</w:t>
            </w:r>
          </w:p>
        </w:tc>
      </w:tr>
      <w:tr w:rsidR="00574A3A" w:rsidRPr="005C46BE" w14:paraId="43C8D23A" w14:textId="77777777" w:rsidTr="00574A3A">
        <w:tc>
          <w:tcPr>
            <w:tcW w:w="2500" w:type="pct"/>
          </w:tcPr>
          <w:p w14:paraId="62B18CF0" w14:textId="77777777" w:rsidR="00574A3A" w:rsidRPr="005C46BE" w:rsidRDefault="00574A3A" w:rsidP="008702BC">
            <w:pPr>
              <w:pStyle w:val="EYBodytextwithparaspace"/>
              <w:spacing w:before="120" w:after="120"/>
              <w:rPr>
                <w:rFonts w:ascii="Arial" w:hAnsi="Arial" w:cs="Arial"/>
                <w:szCs w:val="20"/>
                <w:lang w:val="en-AU"/>
              </w:rPr>
            </w:pPr>
            <w:hyperlink r:id="rId43" w:history="1">
              <w:r w:rsidRPr="00BB69C1">
                <w:rPr>
                  <w:rStyle w:val="Hyperlink"/>
                  <w:rFonts w:ascii="Arial" w:hAnsi="Arial" w:cs="Arial"/>
                  <w:szCs w:val="20"/>
                  <w:lang w:val="en-AU"/>
                </w:rPr>
                <w:t>Non-Admitted Patient Care Aggregate Data (NAPAG)</w:t>
              </w:r>
            </w:hyperlink>
          </w:p>
        </w:tc>
        <w:tc>
          <w:tcPr>
            <w:tcW w:w="2500" w:type="pct"/>
          </w:tcPr>
          <w:p w14:paraId="5078C275" w14:textId="77777777" w:rsidR="00574A3A" w:rsidRPr="005C46BE" w:rsidRDefault="00574A3A" w:rsidP="008702BC">
            <w:pPr>
              <w:pStyle w:val="EYBodytextwithparaspace"/>
              <w:spacing w:before="120" w:after="120"/>
              <w:rPr>
                <w:rFonts w:ascii="Arial" w:hAnsi="Arial" w:cs="Arial"/>
                <w:szCs w:val="20"/>
                <w:lang w:val="en-AU"/>
              </w:rPr>
            </w:pPr>
            <w:r>
              <w:rPr>
                <w:rFonts w:ascii="Arial" w:hAnsi="Arial" w:cs="Arial"/>
                <w:szCs w:val="20"/>
                <w:lang w:val="en-AU"/>
              </w:rPr>
              <w:t>AIHW</w:t>
            </w:r>
          </w:p>
        </w:tc>
      </w:tr>
      <w:tr w:rsidR="00574A3A" w:rsidRPr="005C46BE" w14:paraId="1487FDF3"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0A35DF1A" w14:textId="77777777" w:rsidR="00574A3A" w:rsidRPr="005C46BE" w:rsidRDefault="00574A3A" w:rsidP="008702BC">
            <w:pPr>
              <w:pStyle w:val="EYBodytextwithparaspace"/>
              <w:spacing w:before="120" w:after="120"/>
              <w:rPr>
                <w:rFonts w:ascii="Arial" w:hAnsi="Arial" w:cs="Arial"/>
                <w:szCs w:val="20"/>
                <w:lang w:val="en-AU"/>
              </w:rPr>
            </w:pPr>
            <w:hyperlink r:id="rId44" w:history="1">
              <w:r w:rsidRPr="00BB69C1">
                <w:rPr>
                  <w:rStyle w:val="Hyperlink"/>
                  <w:rFonts w:ascii="Arial" w:hAnsi="Arial" w:cs="Arial"/>
                  <w:szCs w:val="20"/>
                  <w:lang w:val="en-AU"/>
                </w:rPr>
                <w:t>Non-Admitted Patient Care Unit Record Level Data (NAPUR)</w:t>
              </w:r>
            </w:hyperlink>
          </w:p>
        </w:tc>
        <w:tc>
          <w:tcPr>
            <w:tcW w:w="2500" w:type="pct"/>
          </w:tcPr>
          <w:p w14:paraId="4FBCAEBA" w14:textId="77777777" w:rsidR="00574A3A" w:rsidRPr="005C46BE" w:rsidRDefault="00574A3A" w:rsidP="008702BC">
            <w:pPr>
              <w:pStyle w:val="EYBodytextwithparaspace"/>
              <w:spacing w:before="120" w:after="120"/>
              <w:rPr>
                <w:rFonts w:ascii="Arial" w:hAnsi="Arial" w:cs="Arial"/>
                <w:szCs w:val="20"/>
                <w:lang w:val="en-AU"/>
              </w:rPr>
            </w:pPr>
            <w:r>
              <w:rPr>
                <w:rFonts w:ascii="Arial" w:hAnsi="Arial" w:cs="Arial"/>
                <w:szCs w:val="20"/>
                <w:lang w:val="en-AU"/>
              </w:rPr>
              <w:t>AIHW</w:t>
            </w:r>
          </w:p>
        </w:tc>
      </w:tr>
      <w:tr w:rsidR="00574A3A" w:rsidRPr="005C46BE" w14:paraId="2F3EB7FD" w14:textId="77777777" w:rsidTr="00574A3A">
        <w:tc>
          <w:tcPr>
            <w:tcW w:w="2500" w:type="pct"/>
          </w:tcPr>
          <w:p w14:paraId="402607BA" w14:textId="77777777" w:rsidR="00574A3A" w:rsidRPr="005C46BE" w:rsidRDefault="00574A3A" w:rsidP="008702BC">
            <w:pPr>
              <w:pStyle w:val="EYBodytextwithparaspace"/>
              <w:spacing w:before="120" w:after="120"/>
              <w:rPr>
                <w:rFonts w:ascii="Arial" w:hAnsi="Arial" w:cs="Arial"/>
                <w:szCs w:val="20"/>
                <w:lang w:val="en-AU"/>
              </w:rPr>
            </w:pPr>
            <w:hyperlink r:id="rId45" w:history="1">
              <w:r w:rsidRPr="006C7DC2">
                <w:rPr>
                  <w:rStyle w:val="Hyperlink"/>
                  <w:rFonts w:ascii="Arial" w:hAnsi="Arial" w:cs="Arial"/>
                  <w:szCs w:val="20"/>
                  <w:lang w:val="en-AU"/>
                </w:rPr>
                <w:t>Public Hospital Establishments - Establishment level (PHE)</w:t>
              </w:r>
            </w:hyperlink>
          </w:p>
        </w:tc>
        <w:tc>
          <w:tcPr>
            <w:tcW w:w="2500" w:type="pct"/>
          </w:tcPr>
          <w:p w14:paraId="0E034A1B" w14:textId="77777777" w:rsidR="00574A3A" w:rsidRPr="005C46BE" w:rsidRDefault="00574A3A" w:rsidP="008702BC">
            <w:pPr>
              <w:pStyle w:val="EYBodytextwithparaspace"/>
              <w:spacing w:before="120" w:after="120"/>
              <w:rPr>
                <w:rFonts w:ascii="Arial" w:hAnsi="Arial" w:cs="Arial"/>
                <w:szCs w:val="20"/>
                <w:lang w:val="en-AU"/>
              </w:rPr>
            </w:pPr>
            <w:r>
              <w:rPr>
                <w:rFonts w:ascii="Arial" w:hAnsi="Arial" w:cs="Arial"/>
                <w:szCs w:val="20"/>
                <w:lang w:val="en-AU"/>
              </w:rPr>
              <w:t>AIHW</w:t>
            </w:r>
          </w:p>
        </w:tc>
      </w:tr>
      <w:tr w:rsidR="00574A3A" w:rsidRPr="005C46BE" w14:paraId="72E55776"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14253802" w14:textId="77777777" w:rsidR="00574A3A" w:rsidRPr="005C46BE" w:rsidRDefault="00574A3A" w:rsidP="008702BC">
            <w:pPr>
              <w:pStyle w:val="CommentText"/>
              <w:spacing w:before="120" w:after="120"/>
              <w:rPr>
                <w:rFonts w:cs="Arial"/>
              </w:rPr>
            </w:pPr>
            <w:hyperlink r:id="rId46" w:history="1">
              <w:r w:rsidRPr="006C7DC2">
                <w:rPr>
                  <w:rStyle w:val="Hyperlink"/>
                  <w:rFonts w:cs="Arial"/>
                </w:rPr>
                <w:t>Public Hospital Establishments - Jurisdiction and Local Hospital Network level (PHE-JLHN)</w:t>
              </w:r>
            </w:hyperlink>
          </w:p>
        </w:tc>
        <w:tc>
          <w:tcPr>
            <w:tcW w:w="2500" w:type="pct"/>
          </w:tcPr>
          <w:p w14:paraId="72E2690F" w14:textId="77777777" w:rsidR="00574A3A" w:rsidRPr="005C46BE" w:rsidRDefault="00574A3A" w:rsidP="008702BC">
            <w:pPr>
              <w:pStyle w:val="EYBodytextwithparaspace"/>
              <w:spacing w:before="120" w:after="120"/>
              <w:rPr>
                <w:rFonts w:ascii="Arial" w:hAnsi="Arial" w:cs="Arial"/>
                <w:szCs w:val="20"/>
                <w:lang w:val="en-AU"/>
              </w:rPr>
            </w:pPr>
            <w:r>
              <w:rPr>
                <w:rFonts w:ascii="Arial" w:hAnsi="Arial" w:cs="Arial"/>
                <w:szCs w:val="20"/>
                <w:lang w:val="en-AU"/>
              </w:rPr>
              <w:t>AIHW</w:t>
            </w:r>
          </w:p>
        </w:tc>
      </w:tr>
      <w:tr w:rsidR="00574A3A" w:rsidRPr="005C46BE" w14:paraId="3EC1D0F0" w14:textId="77777777" w:rsidTr="00574A3A">
        <w:tc>
          <w:tcPr>
            <w:tcW w:w="2500" w:type="pct"/>
          </w:tcPr>
          <w:p w14:paraId="6359432D" w14:textId="77777777" w:rsidR="00574A3A" w:rsidRPr="005C46BE" w:rsidRDefault="00574A3A" w:rsidP="008702BC">
            <w:pPr>
              <w:pStyle w:val="CommentText"/>
              <w:spacing w:before="120" w:after="120"/>
              <w:rPr>
                <w:rFonts w:cs="Arial"/>
              </w:rPr>
            </w:pPr>
            <w:r w:rsidRPr="0070588C">
              <w:rPr>
                <w:rFonts w:cs="Arial"/>
              </w:rPr>
              <w:t>Palliative phase of care (PALCARE)</w:t>
            </w:r>
          </w:p>
        </w:tc>
        <w:tc>
          <w:tcPr>
            <w:tcW w:w="2500" w:type="pct"/>
          </w:tcPr>
          <w:p w14:paraId="7272F22E" w14:textId="77777777" w:rsidR="00574A3A" w:rsidRPr="005C46BE" w:rsidRDefault="00574A3A" w:rsidP="008702BC">
            <w:pPr>
              <w:pStyle w:val="EYBodytextwithparaspace"/>
              <w:spacing w:before="120" w:after="120"/>
              <w:rPr>
                <w:rFonts w:ascii="Arial" w:hAnsi="Arial" w:cs="Arial"/>
                <w:szCs w:val="20"/>
                <w:lang w:val="en-AU"/>
              </w:rPr>
            </w:pPr>
            <w:r>
              <w:rPr>
                <w:rFonts w:ascii="Arial" w:hAnsi="Arial" w:cs="Arial"/>
                <w:szCs w:val="20"/>
                <w:lang w:val="en-AU"/>
              </w:rPr>
              <w:t>AIHW</w:t>
            </w:r>
          </w:p>
        </w:tc>
      </w:tr>
      <w:tr w:rsidR="00574A3A" w:rsidRPr="0003433D" w14:paraId="32145F6D"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2C795557" w14:textId="77777777" w:rsidR="00574A3A" w:rsidRPr="005C46BE" w:rsidRDefault="00574A3A" w:rsidP="008702BC">
            <w:pPr>
              <w:pStyle w:val="CommentText"/>
              <w:spacing w:before="120" w:after="120"/>
              <w:rPr>
                <w:rFonts w:cs="Arial"/>
              </w:rPr>
            </w:pPr>
            <w:hyperlink r:id="rId47" w:history="1">
              <w:r w:rsidRPr="00C463FF">
                <w:rPr>
                  <w:rStyle w:val="Hyperlink"/>
                  <w:rFonts w:cs="Arial"/>
                </w:rPr>
                <w:t>Admitted Subacute and Non-Acute Hospital Care (ASNAHC)</w:t>
              </w:r>
            </w:hyperlink>
          </w:p>
        </w:tc>
        <w:tc>
          <w:tcPr>
            <w:tcW w:w="2500" w:type="pct"/>
          </w:tcPr>
          <w:p w14:paraId="45CBAF64" w14:textId="77777777" w:rsidR="00574A3A" w:rsidRPr="0003433D" w:rsidRDefault="00574A3A" w:rsidP="008702BC">
            <w:pPr>
              <w:pStyle w:val="EYBodytextwithparaspace"/>
              <w:spacing w:before="120" w:after="120"/>
              <w:rPr>
                <w:rFonts w:ascii="Arial" w:eastAsiaTheme="minorHAnsi" w:hAnsi="Arial" w:cs="Arial"/>
                <w:szCs w:val="20"/>
                <w:lang w:val="en-AU"/>
              </w:rPr>
            </w:pPr>
            <w:r>
              <w:rPr>
                <w:rFonts w:ascii="Arial" w:hAnsi="Arial" w:cs="Arial"/>
                <w:szCs w:val="20"/>
                <w:lang w:val="en-AU"/>
              </w:rPr>
              <w:t>AIHW</w:t>
            </w:r>
          </w:p>
        </w:tc>
      </w:tr>
      <w:tr w:rsidR="00574A3A" w:rsidRPr="005C46BE" w14:paraId="486D2715" w14:textId="77777777" w:rsidTr="00574A3A">
        <w:trPr>
          <w:trHeight w:val="623"/>
        </w:trPr>
        <w:tc>
          <w:tcPr>
            <w:tcW w:w="2500" w:type="pct"/>
          </w:tcPr>
          <w:p w14:paraId="529DB91B" w14:textId="77777777" w:rsidR="00574A3A" w:rsidRPr="005C46BE" w:rsidRDefault="00574A3A" w:rsidP="008702BC">
            <w:pPr>
              <w:pStyle w:val="EYBodytextwithparaspace"/>
              <w:spacing w:before="120" w:after="120"/>
              <w:rPr>
                <w:rFonts w:ascii="Arial" w:hAnsi="Arial" w:cs="Arial"/>
                <w:szCs w:val="20"/>
                <w:lang w:val="en-AU"/>
              </w:rPr>
            </w:pPr>
            <w:hyperlink r:id="rId48" w:history="1">
              <w:r w:rsidRPr="004D7753">
                <w:rPr>
                  <w:rStyle w:val="Hyperlink"/>
                  <w:rFonts w:ascii="Arial" w:hAnsi="Arial" w:cs="Arial"/>
                  <w:szCs w:val="20"/>
                  <w:lang w:val="en-AU"/>
                </w:rPr>
                <w:t xml:space="preserve">Mental Health Seclusion and Restraint National Best Endeavours Data Set </w:t>
              </w:r>
            </w:hyperlink>
          </w:p>
        </w:tc>
        <w:tc>
          <w:tcPr>
            <w:tcW w:w="2500" w:type="pct"/>
          </w:tcPr>
          <w:p w14:paraId="07D318DA" w14:textId="77777777" w:rsidR="00574A3A" w:rsidRPr="005C46BE" w:rsidRDefault="00574A3A" w:rsidP="008702BC">
            <w:pPr>
              <w:pStyle w:val="EYBodytextwithparaspace"/>
              <w:spacing w:before="120" w:after="120"/>
              <w:rPr>
                <w:rFonts w:ascii="Arial" w:hAnsi="Arial" w:cs="Arial"/>
                <w:szCs w:val="20"/>
                <w:lang w:val="en-AU"/>
              </w:rPr>
            </w:pPr>
            <w:r>
              <w:rPr>
                <w:rFonts w:ascii="Arial" w:hAnsi="Arial" w:cs="Arial"/>
                <w:szCs w:val="20"/>
                <w:lang w:val="en-AU"/>
              </w:rPr>
              <w:t>AIHW</w:t>
            </w:r>
          </w:p>
        </w:tc>
      </w:tr>
      <w:tr w:rsidR="00574A3A" w:rsidRPr="006B423F" w14:paraId="0C11A95E" w14:textId="77777777" w:rsidTr="00574A3A">
        <w:trPr>
          <w:cnfStyle w:val="000000010000" w:firstRow="0" w:lastRow="0" w:firstColumn="0" w:lastColumn="0" w:oddVBand="0" w:evenVBand="0" w:oddHBand="0" w:evenHBand="1" w:firstRowFirstColumn="0" w:firstRowLastColumn="0" w:lastRowFirstColumn="0" w:lastRowLastColumn="0"/>
          <w:trHeight w:val="623"/>
        </w:trPr>
        <w:tc>
          <w:tcPr>
            <w:tcW w:w="2500" w:type="pct"/>
          </w:tcPr>
          <w:p w14:paraId="1E8119D6" w14:textId="77777777" w:rsidR="00574A3A" w:rsidRPr="006B423F" w:rsidRDefault="00574A3A" w:rsidP="008702BC">
            <w:pPr>
              <w:pStyle w:val="EYBodytextwithparaspace"/>
              <w:spacing w:before="120" w:after="120"/>
              <w:rPr>
                <w:rFonts w:ascii="Arial" w:hAnsi="Arial" w:cs="Arial"/>
                <w:b/>
                <w:bCs/>
                <w:szCs w:val="20"/>
                <w:lang w:val="en-AU"/>
              </w:rPr>
            </w:pPr>
            <w:hyperlink r:id="rId49" w:history="1">
              <w:r w:rsidRPr="001F63CE">
                <w:rPr>
                  <w:rStyle w:val="Hyperlink"/>
                  <w:rFonts w:ascii="Arial" w:hAnsi="Arial" w:cs="Arial"/>
                  <w:szCs w:val="20"/>
                  <w:lang w:val="en-AU"/>
                </w:rPr>
                <w:t>National Health Data Hub (NHDH)</w:t>
              </w:r>
            </w:hyperlink>
          </w:p>
        </w:tc>
        <w:tc>
          <w:tcPr>
            <w:tcW w:w="2500" w:type="pct"/>
          </w:tcPr>
          <w:p w14:paraId="59C8EBFA" w14:textId="77777777" w:rsidR="00574A3A" w:rsidRPr="006B423F" w:rsidRDefault="00574A3A" w:rsidP="008702BC">
            <w:pPr>
              <w:pStyle w:val="EYBodytextwithparaspace"/>
              <w:spacing w:before="120" w:after="120"/>
              <w:rPr>
                <w:rFonts w:ascii="Arial" w:hAnsi="Arial" w:cs="Arial"/>
                <w:b/>
                <w:bCs/>
                <w:szCs w:val="20"/>
                <w:lang w:val="en-AU"/>
              </w:rPr>
            </w:pPr>
            <w:r>
              <w:rPr>
                <w:rFonts w:ascii="Arial" w:hAnsi="Arial" w:cs="Arial"/>
                <w:szCs w:val="20"/>
                <w:lang w:val="en-AU"/>
              </w:rPr>
              <w:t>AIHW</w:t>
            </w:r>
          </w:p>
        </w:tc>
      </w:tr>
      <w:tr w:rsidR="00574A3A" w:rsidRPr="005C46BE" w14:paraId="030260DF" w14:textId="77777777" w:rsidTr="00574A3A">
        <w:trPr>
          <w:trHeight w:val="623"/>
        </w:trPr>
        <w:tc>
          <w:tcPr>
            <w:tcW w:w="2500" w:type="pct"/>
          </w:tcPr>
          <w:p w14:paraId="1C9B42EF" w14:textId="77777777" w:rsidR="00574A3A" w:rsidRPr="005C46BE" w:rsidRDefault="00574A3A" w:rsidP="008702BC">
            <w:pPr>
              <w:pStyle w:val="EYBodytextwithparaspace"/>
              <w:spacing w:before="120" w:after="120"/>
              <w:rPr>
                <w:rFonts w:ascii="Arial" w:hAnsi="Arial" w:cs="Arial"/>
                <w:szCs w:val="20"/>
                <w:lang w:val="en-AU"/>
              </w:rPr>
            </w:pPr>
            <w:hyperlink r:id="rId50" w:history="1">
              <w:r w:rsidRPr="006C7DC2">
                <w:rPr>
                  <w:rStyle w:val="Hyperlink"/>
                  <w:rFonts w:ascii="Arial" w:hAnsi="Arial" w:cs="Arial"/>
                  <w:szCs w:val="20"/>
                  <w:lang w:val="en-AU"/>
                </w:rPr>
                <w:t>National Mortality Database (NMD)</w:t>
              </w:r>
            </w:hyperlink>
          </w:p>
        </w:tc>
        <w:tc>
          <w:tcPr>
            <w:tcW w:w="2500" w:type="pct"/>
          </w:tcPr>
          <w:p w14:paraId="0B637EC1" w14:textId="77777777" w:rsidR="00574A3A" w:rsidRPr="005C46BE" w:rsidRDefault="00574A3A" w:rsidP="008702BC">
            <w:pPr>
              <w:pStyle w:val="EYBodytextwithparaspace"/>
              <w:spacing w:before="120" w:after="120"/>
              <w:rPr>
                <w:rFonts w:ascii="Arial" w:hAnsi="Arial" w:cs="Arial"/>
                <w:szCs w:val="20"/>
                <w:lang w:val="en-AU"/>
              </w:rPr>
            </w:pPr>
            <w:r w:rsidRPr="005C46BE">
              <w:rPr>
                <w:rFonts w:ascii="Arial" w:hAnsi="Arial" w:cs="Arial"/>
                <w:szCs w:val="20"/>
                <w:lang w:val="en-AU"/>
              </w:rPr>
              <w:t>AIHW</w:t>
            </w:r>
          </w:p>
        </w:tc>
      </w:tr>
      <w:tr w:rsidR="00574A3A" w:rsidRPr="005C46BE" w14:paraId="444489C5"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0D4B0BAE" w14:textId="77777777" w:rsidR="00574A3A" w:rsidRPr="005C46BE" w:rsidRDefault="00574A3A" w:rsidP="008702BC">
            <w:pPr>
              <w:pStyle w:val="EYBodytextwithparaspace"/>
              <w:spacing w:before="120" w:after="120"/>
              <w:rPr>
                <w:rFonts w:ascii="Arial" w:hAnsi="Arial" w:cs="Arial"/>
                <w:szCs w:val="20"/>
                <w:lang w:val="en-AU"/>
              </w:rPr>
            </w:pPr>
            <w:hyperlink r:id="rId51" w:history="1">
              <w:r w:rsidRPr="00C463FF">
                <w:rPr>
                  <w:rStyle w:val="Hyperlink"/>
                  <w:rFonts w:ascii="Arial" w:hAnsi="Arial" w:cs="Arial"/>
                  <w:szCs w:val="20"/>
                  <w:lang w:val="en-AU"/>
                </w:rPr>
                <w:t>National Perinatal Data Collection (NPDC)</w:t>
              </w:r>
            </w:hyperlink>
          </w:p>
        </w:tc>
        <w:tc>
          <w:tcPr>
            <w:tcW w:w="2500" w:type="pct"/>
          </w:tcPr>
          <w:p w14:paraId="130BBC53" w14:textId="77777777" w:rsidR="00574A3A" w:rsidRPr="005C46BE" w:rsidRDefault="00574A3A" w:rsidP="008702BC">
            <w:pPr>
              <w:pStyle w:val="EYBodytextwithparaspace"/>
              <w:spacing w:before="120" w:after="120"/>
              <w:rPr>
                <w:rFonts w:ascii="Arial" w:hAnsi="Arial" w:cs="Arial"/>
                <w:szCs w:val="20"/>
                <w:lang w:val="en-AU"/>
              </w:rPr>
            </w:pPr>
            <w:r w:rsidRPr="005C46BE">
              <w:rPr>
                <w:rFonts w:ascii="Arial" w:hAnsi="Arial" w:cs="Arial"/>
                <w:szCs w:val="20"/>
                <w:lang w:val="en-AU"/>
              </w:rPr>
              <w:t>AIHW</w:t>
            </w:r>
          </w:p>
        </w:tc>
      </w:tr>
      <w:tr w:rsidR="00574A3A" w:rsidRPr="005C46BE" w14:paraId="6CD35BC9" w14:textId="77777777" w:rsidTr="00574A3A">
        <w:tc>
          <w:tcPr>
            <w:tcW w:w="2500" w:type="pct"/>
          </w:tcPr>
          <w:p w14:paraId="14661C0E" w14:textId="77777777" w:rsidR="00574A3A" w:rsidRPr="0060480D" w:rsidRDefault="00574A3A" w:rsidP="008702BC">
            <w:pPr>
              <w:pStyle w:val="EYBodytextwithparaspace"/>
              <w:spacing w:before="120" w:after="120"/>
              <w:rPr>
                <w:rFonts w:ascii="Arial" w:hAnsi="Arial" w:cs="Arial"/>
                <w:szCs w:val="20"/>
              </w:rPr>
            </w:pPr>
            <w:hyperlink r:id="rId52" w:history="1">
              <w:r w:rsidRPr="00C463FF">
                <w:rPr>
                  <w:rStyle w:val="Hyperlink"/>
                  <w:rFonts w:ascii="Arial" w:hAnsi="Arial" w:cs="Arial"/>
                  <w:szCs w:val="20"/>
                  <w:lang w:val="en-AU"/>
                </w:rPr>
                <w:t xml:space="preserve">National </w:t>
              </w:r>
              <w:r w:rsidRPr="00C463FF">
                <w:rPr>
                  <w:rStyle w:val="Hyperlink"/>
                  <w:rFonts w:ascii="Arial" w:hAnsi="Arial" w:cs="Arial"/>
                  <w:i/>
                  <w:iCs/>
                  <w:szCs w:val="20"/>
                  <w:lang w:val="en-AU"/>
                </w:rPr>
                <w:t>Staphylococcus aureus</w:t>
              </w:r>
              <w:r w:rsidRPr="00C463FF">
                <w:rPr>
                  <w:rStyle w:val="Hyperlink"/>
                  <w:rFonts w:ascii="Arial" w:hAnsi="Arial" w:cs="Arial"/>
                  <w:szCs w:val="20"/>
                  <w:lang w:val="en-AU"/>
                </w:rPr>
                <w:t xml:space="preserve"> bacteraemia data collection</w:t>
              </w:r>
            </w:hyperlink>
            <w:r>
              <w:rPr>
                <w:rStyle w:val="Hyperlink"/>
                <w:rFonts w:ascii="Arial" w:hAnsi="Arial" w:cs="Arial"/>
                <w:szCs w:val="20"/>
                <w:lang w:val="en-AU"/>
              </w:rPr>
              <w:t xml:space="preserve"> </w:t>
            </w:r>
            <w:r>
              <w:rPr>
                <w:rStyle w:val="Hyperlink"/>
                <w:rFonts w:ascii="Arial" w:hAnsi="Arial" w:cs="Arial"/>
                <w:szCs w:val="20"/>
              </w:rPr>
              <w:t>(SABSI)</w:t>
            </w:r>
          </w:p>
        </w:tc>
        <w:tc>
          <w:tcPr>
            <w:tcW w:w="2500" w:type="pct"/>
          </w:tcPr>
          <w:p w14:paraId="2C4EF9D6" w14:textId="77777777" w:rsidR="00574A3A" w:rsidRPr="005C46BE" w:rsidRDefault="00574A3A" w:rsidP="008702BC">
            <w:pPr>
              <w:pStyle w:val="EYBodytextwithparaspace"/>
              <w:spacing w:before="120" w:after="120"/>
              <w:rPr>
                <w:rFonts w:ascii="Arial" w:hAnsi="Arial" w:cs="Arial"/>
                <w:szCs w:val="20"/>
                <w:lang w:val="en-AU"/>
              </w:rPr>
            </w:pPr>
            <w:r w:rsidRPr="005C46BE">
              <w:rPr>
                <w:rFonts w:ascii="Arial" w:hAnsi="Arial" w:cs="Arial"/>
                <w:szCs w:val="20"/>
                <w:lang w:val="en-AU"/>
              </w:rPr>
              <w:t>AIHW</w:t>
            </w:r>
          </w:p>
        </w:tc>
      </w:tr>
      <w:tr w:rsidR="00574A3A" w:rsidRPr="006B423F" w14:paraId="5D833946"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03750E15" w14:textId="77777777" w:rsidR="00574A3A" w:rsidRPr="006B423F" w:rsidRDefault="00574A3A" w:rsidP="008702BC">
            <w:pPr>
              <w:pStyle w:val="EYBodytextwithparaspace"/>
              <w:spacing w:before="120" w:after="120"/>
              <w:rPr>
                <w:rStyle w:val="Hyperlink"/>
              </w:rPr>
            </w:pPr>
            <w:hyperlink r:id="rId53" w:history="1">
              <w:r w:rsidRPr="006B423F">
                <w:rPr>
                  <w:rStyle w:val="Hyperlink"/>
                  <w:rFonts w:ascii="Arial" w:hAnsi="Arial"/>
                  <w:szCs w:val="20"/>
                  <w:lang w:val="en-AU"/>
                </w:rPr>
                <w:t>Admitted Patient Care data as held by</w:t>
              </w:r>
              <w:r w:rsidRPr="000D00C5">
                <w:rPr>
                  <w:rStyle w:val="Hyperlink"/>
                  <w:rFonts w:ascii="Arial" w:hAnsi="Arial" w:cs="Arial"/>
                  <w:szCs w:val="20"/>
                  <w:lang w:val="en-AU"/>
                </w:rPr>
                <w:t xml:space="preserve"> </w:t>
              </w:r>
              <w:r w:rsidRPr="006B423F">
                <w:rPr>
                  <w:rStyle w:val="Hyperlink"/>
                  <w:rFonts w:ascii="Arial" w:hAnsi="Arial" w:cs="Arial"/>
                </w:rPr>
                <w:t>IHACPA</w:t>
              </w:r>
              <w:r w:rsidRPr="006B423F">
                <w:rPr>
                  <w:rStyle w:val="Hyperlink"/>
                  <w:rFonts w:ascii="Arial" w:hAnsi="Arial"/>
                  <w:szCs w:val="20"/>
                  <w:lang w:val="en-AU"/>
                </w:rPr>
                <w:t xml:space="preserve"> </w:t>
              </w:r>
            </w:hyperlink>
          </w:p>
        </w:tc>
        <w:tc>
          <w:tcPr>
            <w:tcW w:w="2500" w:type="pct"/>
          </w:tcPr>
          <w:p w14:paraId="3CA9EA03" w14:textId="77777777" w:rsidR="00574A3A" w:rsidRPr="006B423F" w:rsidRDefault="00574A3A" w:rsidP="008702BC">
            <w:pPr>
              <w:pStyle w:val="EYBodytextwithparaspace"/>
              <w:spacing w:before="120" w:after="120"/>
              <w:rPr>
                <w:rStyle w:val="Hyperlink"/>
              </w:rPr>
            </w:pPr>
            <w:r w:rsidRPr="00DA17B2">
              <w:rPr>
                <w:rFonts w:ascii="Arial" w:hAnsi="Arial" w:cs="Arial"/>
                <w:szCs w:val="20"/>
                <w:lang w:val="en-AU"/>
              </w:rPr>
              <w:t xml:space="preserve">Independent </w:t>
            </w:r>
            <w:r>
              <w:rPr>
                <w:rFonts w:ascii="Arial" w:hAnsi="Arial" w:cs="Arial"/>
                <w:szCs w:val="20"/>
                <w:lang w:val="en-AU"/>
              </w:rPr>
              <w:t>Health and Aged Care</w:t>
            </w:r>
            <w:r w:rsidRPr="00DA17B2">
              <w:rPr>
                <w:rFonts w:ascii="Arial" w:hAnsi="Arial" w:cs="Arial"/>
                <w:szCs w:val="20"/>
                <w:lang w:val="en-AU"/>
              </w:rPr>
              <w:t xml:space="preserve"> Pricing Authority</w:t>
            </w:r>
            <w:r>
              <w:rPr>
                <w:rFonts w:ascii="Arial" w:hAnsi="Arial" w:cs="Arial"/>
                <w:szCs w:val="20"/>
                <w:lang w:val="en-AU"/>
              </w:rPr>
              <w:t xml:space="preserve"> (IHACPA)</w:t>
            </w:r>
          </w:p>
        </w:tc>
      </w:tr>
      <w:tr w:rsidR="00574A3A" w:rsidRPr="00DA17B2" w14:paraId="3C6B2BA6" w14:textId="77777777" w:rsidTr="00574A3A">
        <w:tc>
          <w:tcPr>
            <w:tcW w:w="2500" w:type="pct"/>
          </w:tcPr>
          <w:p w14:paraId="0E391783" w14:textId="77777777" w:rsidR="00574A3A" w:rsidRDefault="00574A3A" w:rsidP="008702BC">
            <w:pPr>
              <w:pStyle w:val="EYBodytextwithparaspace"/>
              <w:spacing w:before="120" w:after="120"/>
              <w:rPr>
                <w:rFonts w:ascii="Arial" w:hAnsi="Arial" w:cs="Arial"/>
                <w:szCs w:val="20"/>
                <w:lang w:val="en-AU"/>
              </w:rPr>
            </w:pPr>
            <w:hyperlink r:id="rId54" w:history="1">
              <w:r w:rsidRPr="000D00C5">
                <w:rPr>
                  <w:rStyle w:val="Hyperlink"/>
                  <w:rFonts w:ascii="Arial" w:hAnsi="Arial" w:cs="Arial"/>
                  <w:szCs w:val="20"/>
                  <w:lang w:val="en-AU"/>
                </w:rPr>
                <w:t>Non-Admitted Patient Emergency Department as held by IHACPA</w:t>
              </w:r>
            </w:hyperlink>
          </w:p>
        </w:tc>
        <w:tc>
          <w:tcPr>
            <w:tcW w:w="2500" w:type="pct"/>
          </w:tcPr>
          <w:p w14:paraId="3F47B157" w14:textId="77777777" w:rsidR="00574A3A" w:rsidRPr="00DA17B2" w:rsidRDefault="00574A3A" w:rsidP="008702BC">
            <w:pPr>
              <w:pStyle w:val="EYBodytextwithparaspace"/>
              <w:spacing w:before="120" w:after="120"/>
              <w:rPr>
                <w:rFonts w:ascii="Arial" w:hAnsi="Arial" w:cs="Arial"/>
                <w:szCs w:val="20"/>
                <w:lang w:val="en-AU"/>
              </w:rPr>
            </w:pPr>
            <w:r>
              <w:rPr>
                <w:rFonts w:ascii="Arial" w:hAnsi="Arial" w:cs="Arial"/>
                <w:szCs w:val="20"/>
                <w:lang w:val="en-AU"/>
              </w:rPr>
              <w:t>IHACPA</w:t>
            </w:r>
          </w:p>
        </w:tc>
      </w:tr>
      <w:tr w:rsidR="00574A3A" w14:paraId="350030ED"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76765F5C" w14:textId="77777777" w:rsidR="00574A3A" w:rsidRDefault="00574A3A" w:rsidP="008702BC">
            <w:pPr>
              <w:pStyle w:val="EYBodytextwithparaspace"/>
              <w:spacing w:before="120" w:after="120"/>
              <w:rPr>
                <w:rFonts w:ascii="Arial" w:hAnsi="Arial" w:cs="Arial"/>
                <w:szCs w:val="20"/>
                <w:lang w:val="en-AU"/>
              </w:rPr>
            </w:pPr>
            <w:hyperlink r:id="rId55" w:history="1">
              <w:r w:rsidRPr="002F316F">
                <w:rPr>
                  <w:rStyle w:val="Hyperlink"/>
                  <w:rFonts w:ascii="Arial" w:hAnsi="Arial" w:cs="Arial"/>
                  <w:szCs w:val="20"/>
                  <w:lang w:val="en-AU"/>
                </w:rPr>
                <w:t xml:space="preserve">Non-Admitted Patient </w:t>
              </w:r>
              <w:r>
                <w:rPr>
                  <w:rStyle w:val="Hyperlink"/>
                  <w:rFonts w:ascii="Arial" w:hAnsi="Arial" w:cs="Arial"/>
                  <w:szCs w:val="20"/>
                  <w:lang w:val="en-AU"/>
                </w:rPr>
                <w:t>s</w:t>
              </w:r>
              <w:r w:rsidRPr="002F316F">
                <w:rPr>
                  <w:rStyle w:val="Hyperlink"/>
                  <w:rFonts w:ascii="Arial" w:hAnsi="Arial" w:cs="Arial"/>
                  <w:szCs w:val="20"/>
                  <w:lang w:val="en-AU"/>
                </w:rPr>
                <w:t>ervices as held by IHACPA</w:t>
              </w:r>
            </w:hyperlink>
          </w:p>
        </w:tc>
        <w:tc>
          <w:tcPr>
            <w:tcW w:w="2500" w:type="pct"/>
          </w:tcPr>
          <w:p w14:paraId="36354761" w14:textId="77777777" w:rsidR="00574A3A" w:rsidRDefault="00574A3A" w:rsidP="008702BC">
            <w:pPr>
              <w:pStyle w:val="EYBodytextwithparaspace"/>
              <w:spacing w:before="120" w:after="120"/>
              <w:rPr>
                <w:rFonts w:ascii="Arial" w:hAnsi="Arial" w:cs="Arial"/>
                <w:szCs w:val="20"/>
                <w:lang w:val="en-AU"/>
              </w:rPr>
            </w:pPr>
            <w:r>
              <w:rPr>
                <w:rFonts w:ascii="Arial" w:hAnsi="Arial" w:cs="Arial"/>
                <w:szCs w:val="20"/>
                <w:lang w:val="en-AU"/>
              </w:rPr>
              <w:t>IHACPA</w:t>
            </w:r>
          </w:p>
        </w:tc>
      </w:tr>
      <w:tr w:rsidR="00574A3A" w:rsidRPr="00DA17B2" w14:paraId="2063F10D" w14:textId="77777777" w:rsidTr="00574A3A">
        <w:tc>
          <w:tcPr>
            <w:tcW w:w="2500" w:type="pct"/>
          </w:tcPr>
          <w:p w14:paraId="6361C205" w14:textId="77777777" w:rsidR="00574A3A" w:rsidRDefault="00574A3A" w:rsidP="008702BC">
            <w:pPr>
              <w:pStyle w:val="EYBodytextwithparaspace"/>
              <w:spacing w:before="120" w:after="120"/>
              <w:rPr>
                <w:rFonts w:ascii="Arial" w:hAnsi="Arial" w:cs="Arial"/>
                <w:szCs w:val="20"/>
                <w:lang w:val="en-AU"/>
              </w:rPr>
            </w:pPr>
            <w:hyperlink r:id="rId56" w:history="1">
              <w:r w:rsidRPr="00E50CAA">
                <w:rPr>
                  <w:rStyle w:val="Hyperlink"/>
                  <w:rFonts w:ascii="Arial" w:hAnsi="Arial" w:cs="Arial"/>
                  <w:szCs w:val="20"/>
                  <w:lang w:val="en-AU"/>
                </w:rPr>
                <w:t>Sentinel Events data collection</w:t>
              </w:r>
              <w:r>
                <w:rPr>
                  <w:rStyle w:val="Hyperlink"/>
                  <w:rFonts w:ascii="Arial" w:hAnsi="Arial" w:cs="Arial"/>
                  <w:szCs w:val="20"/>
                  <w:lang w:val="en-AU"/>
                </w:rPr>
                <w:t>s</w:t>
              </w:r>
            </w:hyperlink>
          </w:p>
        </w:tc>
        <w:tc>
          <w:tcPr>
            <w:tcW w:w="2500" w:type="pct"/>
          </w:tcPr>
          <w:p w14:paraId="385D366C" w14:textId="77777777" w:rsidR="00574A3A" w:rsidRDefault="00574A3A" w:rsidP="008702BC">
            <w:pPr>
              <w:pStyle w:val="EYBodytextwithparaspace"/>
              <w:spacing w:before="120" w:after="120"/>
              <w:rPr>
                <w:rFonts w:ascii="Arial" w:hAnsi="Arial" w:cs="Arial"/>
                <w:szCs w:val="20"/>
                <w:lang w:val="en-AU"/>
              </w:rPr>
            </w:pPr>
            <w:r>
              <w:rPr>
                <w:rFonts w:ascii="Arial" w:hAnsi="Arial" w:cs="Arial"/>
                <w:szCs w:val="20"/>
                <w:lang w:val="en-AU"/>
              </w:rPr>
              <w:t>IHACPA</w:t>
            </w:r>
          </w:p>
          <w:p w14:paraId="6AFDA9B2" w14:textId="77777777" w:rsidR="00574A3A" w:rsidRPr="00DA17B2" w:rsidRDefault="00574A3A" w:rsidP="008702BC">
            <w:pPr>
              <w:pStyle w:val="EYBodytextwithparaspace"/>
              <w:rPr>
                <w:rFonts w:ascii="Arial" w:hAnsi="Arial" w:cs="Arial"/>
                <w:szCs w:val="20"/>
                <w:lang w:val="en-AU"/>
              </w:rPr>
            </w:pPr>
            <w:r w:rsidRPr="005C46BE">
              <w:rPr>
                <w:rFonts w:ascii="Arial" w:hAnsi="Arial" w:cs="Arial"/>
                <w:szCs w:val="20"/>
                <w:lang w:val="en-AU"/>
              </w:rPr>
              <w:t xml:space="preserve">Incident management system collections </w:t>
            </w:r>
          </w:p>
        </w:tc>
      </w:tr>
    </w:tbl>
    <w:p w14:paraId="47A22862" w14:textId="0C83DD93" w:rsidR="00574A3A" w:rsidRDefault="00574A3A"/>
    <w:p w14:paraId="39D806E0" w14:textId="77777777" w:rsidR="00574A3A" w:rsidRDefault="00574A3A">
      <w:r>
        <w:br w:type="page"/>
      </w:r>
    </w:p>
    <w:p w14:paraId="608A8AB1" w14:textId="77777777" w:rsidR="00574A3A" w:rsidRDefault="00574A3A" w:rsidP="00574A3A">
      <w:pPr>
        <w:pStyle w:val="Heading1"/>
      </w:pPr>
      <w:bookmarkStart w:id="66" w:name="_Toc188972538"/>
      <w:bookmarkStart w:id="67" w:name="_Toc204691125"/>
      <w:r w:rsidRPr="005348A2">
        <w:lastRenderedPageBreak/>
        <w:t>Appendix 3</w:t>
      </w:r>
      <w:r>
        <w:t>b</w:t>
      </w:r>
      <w:r w:rsidRPr="005348A2">
        <w:t xml:space="preserve">: </w:t>
      </w:r>
      <w:r>
        <w:t>D</w:t>
      </w:r>
      <w:r w:rsidRPr="005348A2">
        <w:t>ata set</w:t>
      </w:r>
      <w:r>
        <w:t>s which require approval from Commonwealth bodies (</w:t>
      </w:r>
      <w:r w:rsidRPr="000F212D">
        <w:t>202</w:t>
      </w:r>
      <w:r>
        <w:t>5</w:t>
      </w:r>
      <w:r w:rsidRPr="000F212D">
        <w:t>-2</w:t>
      </w:r>
      <w:r>
        <w:t>8)</w:t>
      </w:r>
      <w:bookmarkEnd w:id="66"/>
      <w:bookmarkEnd w:id="67"/>
    </w:p>
    <w:tbl>
      <w:tblPr>
        <w:tblStyle w:val="SQHTable"/>
        <w:tblW w:w="5000" w:type="pct"/>
        <w:tblLook w:val="04A0" w:firstRow="1" w:lastRow="0" w:firstColumn="1" w:lastColumn="0" w:noHBand="0" w:noVBand="1"/>
      </w:tblPr>
      <w:tblGrid>
        <w:gridCol w:w="4592"/>
        <w:gridCol w:w="4592"/>
      </w:tblGrid>
      <w:tr w:rsidR="00574A3A" w:rsidRPr="005C46BE" w14:paraId="09B2DD93" w14:textId="77777777" w:rsidTr="00FC4E17">
        <w:trPr>
          <w:cnfStyle w:val="100000000000" w:firstRow="1" w:lastRow="0" w:firstColumn="0" w:lastColumn="0" w:oddVBand="0" w:evenVBand="0" w:oddHBand="0" w:evenHBand="0" w:firstRowFirstColumn="0" w:firstRowLastColumn="0" w:lastRowFirstColumn="0" w:lastRowLastColumn="0"/>
          <w:trHeight w:val="432"/>
          <w:tblHeader/>
        </w:trPr>
        <w:tc>
          <w:tcPr>
            <w:tcW w:w="2500" w:type="pct"/>
          </w:tcPr>
          <w:p w14:paraId="5545511C" w14:textId="77777777" w:rsidR="00574A3A" w:rsidRPr="005C46BE" w:rsidRDefault="00574A3A" w:rsidP="008702BC">
            <w:pPr>
              <w:pStyle w:val="EYBodytextwithparaspace"/>
              <w:spacing w:after="120"/>
              <w:rPr>
                <w:rFonts w:ascii="Arial" w:hAnsi="Arial" w:cs="Arial"/>
                <w:b w:val="0"/>
                <w:color w:val="FFFFFF" w:themeColor="background1"/>
                <w:szCs w:val="20"/>
                <w:lang w:val="en-AU"/>
              </w:rPr>
            </w:pPr>
            <w:r w:rsidRPr="005C46BE">
              <w:rPr>
                <w:rFonts w:ascii="Arial" w:hAnsi="Arial" w:cs="Arial"/>
                <w:color w:val="FFFFFF" w:themeColor="background1"/>
                <w:szCs w:val="20"/>
                <w:lang w:val="en-AU"/>
              </w:rPr>
              <w:t>Data set name</w:t>
            </w:r>
          </w:p>
        </w:tc>
        <w:tc>
          <w:tcPr>
            <w:tcW w:w="2500" w:type="pct"/>
          </w:tcPr>
          <w:p w14:paraId="5F458958" w14:textId="77777777" w:rsidR="00574A3A" w:rsidRPr="005C46BE" w:rsidRDefault="00574A3A" w:rsidP="008702BC">
            <w:pPr>
              <w:pStyle w:val="EYBodytextwithparaspace"/>
              <w:spacing w:after="120"/>
              <w:rPr>
                <w:rFonts w:ascii="Arial" w:hAnsi="Arial" w:cs="Arial"/>
                <w:b w:val="0"/>
                <w:color w:val="FFFFFF" w:themeColor="background1"/>
                <w:szCs w:val="20"/>
                <w:lang w:val="en-AU"/>
              </w:rPr>
            </w:pPr>
            <w:r w:rsidRPr="005C46BE">
              <w:rPr>
                <w:rFonts w:ascii="Arial" w:hAnsi="Arial" w:cs="Arial"/>
                <w:color w:val="FFFFFF" w:themeColor="background1"/>
                <w:szCs w:val="20"/>
                <w:lang w:val="en-AU"/>
              </w:rPr>
              <w:t>Source / authorising entity</w:t>
            </w:r>
          </w:p>
        </w:tc>
      </w:tr>
      <w:tr w:rsidR="00574A3A" w:rsidRPr="006B423F" w14:paraId="6A93B596" w14:textId="77777777" w:rsidTr="00574A3A">
        <w:tc>
          <w:tcPr>
            <w:tcW w:w="2500" w:type="pct"/>
          </w:tcPr>
          <w:p w14:paraId="2DEAF365" w14:textId="77777777" w:rsidR="00574A3A" w:rsidRDefault="00574A3A" w:rsidP="008702BC">
            <w:pPr>
              <w:pStyle w:val="EYBodytextwithparaspace"/>
              <w:spacing w:before="120" w:after="120"/>
            </w:pPr>
            <w:hyperlink r:id="rId57" w:history="1">
              <w:r w:rsidRPr="008F55CE">
                <w:rPr>
                  <w:rStyle w:val="Hyperlink"/>
                  <w:rFonts w:ascii="Arial" w:hAnsi="Arial" w:cs="Arial"/>
                  <w:szCs w:val="20"/>
                  <w:lang w:val="en-AU"/>
                </w:rPr>
                <w:t>National Aged Care Mandatory Quality Indicator Program</w:t>
              </w:r>
            </w:hyperlink>
          </w:p>
        </w:tc>
        <w:tc>
          <w:tcPr>
            <w:tcW w:w="2500" w:type="pct"/>
          </w:tcPr>
          <w:p w14:paraId="29883CDD" w14:textId="606F368D" w:rsidR="00574A3A" w:rsidRPr="006B423F" w:rsidRDefault="00574A3A" w:rsidP="008702BC">
            <w:pPr>
              <w:pStyle w:val="EYBodytextwithparaspace"/>
              <w:spacing w:before="120" w:after="120"/>
              <w:rPr>
                <w:rFonts w:ascii="Arial" w:hAnsi="Arial" w:cs="Arial"/>
                <w:szCs w:val="20"/>
                <w:lang w:val="en-AU"/>
              </w:rPr>
            </w:pPr>
            <w:r w:rsidRPr="006B423F">
              <w:rPr>
                <w:rFonts w:ascii="Arial" w:hAnsi="Arial" w:cs="Arial"/>
                <w:szCs w:val="20"/>
                <w:lang w:val="en-AU"/>
              </w:rPr>
              <w:t>Australian Government Department of Health</w:t>
            </w:r>
            <w:r>
              <w:rPr>
                <w:rFonts w:ascii="Arial" w:hAnsi="Arial" w:cs="Arial"/>
                <w:szCs w:val="20"/>
                <w:lang w:val="en-AU"/>
              </w:rPr>
              <w:t>, Disability</w:t>
            </w:r>
            <w:r w:rsidRPr="006B423F">
              <w:rPr>
                <w:rFonts w:ascii="Arial" w:hAnsi="Arial" w:cs="Arial"/>
                <w:szCs w:val="20"/>
                <w:lang w:val="en-AU"/>
              </w:rPr>
              <w:t xml:space="preserve"> </w:t>
            </w:r>
            <w:r>
              <w:rPr>
                <w:rFonts w:ascii="Arial" w:hAnsi="Arial" w:cs="Arial"/>
                <w:szCs w:val="20"/>
                <w:lang w:val="en-AU"/>
              </w:rPr>
              <w:t>and Ageing</w:t>
            </w:r>
          </w:p>
        </w:tc>
      </w:tr>
      <w:tr w:rsidR="00574A3A" w:rsidRPr="008C52E6" w14:paraId="02D448E4"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3FAA2A63" w14:textId="77777777" w:rsidR="00574A3A" w:rsidRPr="00032E7A" w:rsidRDefault="00574A3A" w:rsidP="008702BC">
            <w:pPr>
              <w:pStyle w:val="EYBodytextwithparaspace"/>
              <w:spacing w:before="120" w:after="120"/>
              <w:rPr>
                <w:rFonts w:ascii="Arial" w:hAnsi="Arial" w:cs="Arial"/>
                <w:szCs w:val="20"/>
                <w:lang w:val="en-AU"/>
              </w:rPr>
            </w:pPr>
            <w:hyperlink r:id="rId58" w:history="1">
              <w:r w:rsidRPr="00032E7A">
                <w:rPr>
                  <w:rStyle w:val="Hyperlink"/>
                  <w:rFonts w:ascii="Arial" w:hAnsi="Arial" w:cs="Arial"/>
                </w:rPr>
                <w:t>General Treatment Dental (GTD)</w:t>
              </w:r>
            </w:hyperlink>
          </w:p>
        </w:tc>
        <w:tc>
          <w:tcPr>
            <w:tcW w:w="2500" w:type="pct"/>
          </w:tcPr>
          <w:p w14:paraId="7E28EB35" w14:textId="6BBE8DE4" w:rsidR="00574A3A" w:rsidRPr="008C52E6" w:rsidRDefault="00574A3A" w:rsidP="008702BC">
            <w:pPr>
              <w:pStyle w:val="EYBodytextwithparaspace"/>
              <w:spacing w:before="120" w:after="120"/>
              <w:rPr>
                <w:rFonts w:ascii="Arial" w:hAnsi="Arial" w:cs="Arial"/>
                <w:szCs w:val="20"/>
                <w:lang w:val="en-AU"/>
              </w:rPr>
            </w:pPr>
            <w:r w:rsidRPr="006B423F">
              <w:rPr>
                <w:rFonts w:ascii="Arial" w:hAnsi="Arial" w:cs="Arial"/>
                <w:szCs w:val="20"/>
                <w:lang w:val="en-AU"/>
              </w:rPr>
              <w:t>Australian Government Department of Health</w:t>
            </w:r>
            <w:r>
              <w:rPr>
                <w:rFonts w:ascii="Arial" w:hAnsi="Arial" w:cs="Arial"/>
                <w:szCs w:val="20"/>
                <w:lang w:val="en-AU"/>
              </w:rPr>
              <w:t>, Disability</w:t>
            </w:r>
            <w:r w:rsidRPr="006B423F">
              <w:rPr>
                <w:rFonts w:ascii="Arial" w:hAnsi="Arial" w:cs="Arial"/>
                <w:szCs w:val="20"/>
                <w:lang w:val="en-AU"/>
              </w:rPr>
              <w:t xml:space="preserve"> </w:t>
            </w:r>
            <w:r>
              <w:rPr>
                <w:rFonts w:ascii="Arial" w:hAnsi="Arial" w:cs="Arial"/>
                <w:szCs w:val="20"/>
                <w:lang w:val="en-AU"/>
              </w:rPr>
              <w:t>and Ageing</w:t>
            </w:r>
          </w:p>
        </w:tc>
      </w:tr>
      <w:tr w:rsidR="00574A3A" w:rsidRPr="008C52E6" w14:paraId="1F0E7C31" w14:textId="77777777" w:rsidTr="00574A3A">
        <w:tc>
          <w:tcPr>
            <w:tcW w:w="2500" w:type="pct"/>
          </w:tcPr>
          <w:p w14:paraId="24FD1764" w14:textId="77777777" w:rsidR="00574A3A" w:rsidRPr="00032E7A" w:rsidRDefault="00574A3A" w:rsidP="008702BC">
            <w:pPr>
              <w:pStyle w:val="EYBodytextwithparaspace"/>
              <w:spacing w:before="120" w:after="120"/>
              <w:rPr>
                <w:rFonts w:ascii="Arial" w:hAnsi="Arial" w:cs="Arial"/>
                <w:szCs w:val="20"/>
                <w:lang w:val="en-AU"/>
              </w:rPr>
            </w:pPr>
            <w:hyperlink r:id="rId59" w:anchor="data-specifications" w:history="1">
              <w:r w:rsidRPr="00032E7A">
                <w:rPr>
                  <w:rStyle w:val="Hyperlink"/>
                  <w:rFonts w:ascii="Arial" w:hAnsi="Arial" w:cs="Arial"/>
                </w:rPr>
                <w:t>Hospital Casemix Protocol 1 (HCP1)</w:t>
              </w:r>
            </w:hyperlink>
          </w:p>
        </w:tc>
        <w:tc>
          <w:tcPr>
            <w:tcW w:w="2500" w:type="pct"/>
          </w:tcPr>
          <w:p w14:paraId="1C771287" w14:textId="07567278" w:rsidR="00574A3A" w:rsidRPr="008C52E6" w:rsidRDefault="00574A3A" w:rsidP="008702BC">
            <w:pPr>
              <w:pStyle w:val="EYBodytextwithparaspace"/>
              <w:spacing w:before="120" w:after="120"/>
              <w:rPr>
                <w:rFonts w:ascii="Arial" w:hAnsi="Arial" w:cs="Arial"/>
                <w:szCs w:val="20"/>
                <w:lang w:val="en-AU"/>
              </w:rPr>
            </w:pPr>
            <w:r>
              <w:rPr>
                <w:rFonts w:ascii="Arial" w:hAnsi="Arial" w:cs="Arial"/>
                <w:szCs w:val="20"/>
                <w:lang w:val="en-AU"/>
              </w:rPr>
              <w:t>Australian Government Department of Health, Disability and Ageing</w:t>
            </w:r>
          </w:p>
        </w:tc>
      </w:tr>
      <w:tr w:rsidR="00574A3A" w:rsidRPr="008C52E6" w14:paraId="72D7D821"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09BF31A8" w14:textId="77777777" w:rsidR="00574A3A" w:rsidRPr="00032E7A" w:rsidRDefault="00574A3A" w:rsidP="008702BC">
            <w:pPr>
              <w:pStyle w:val="EYBodytextwithparaspace"/>
              <w:spacing w:before="120" w:after="120"/>
              <w:rPr>
                <w:rFonts w:ascii="Arial" w:hAnsi="Arial" w:cs="Arial"/>
                <w:szCs w:val="20"/>
                <w:lang w:val="en-AU"/>
              </w:rPr>
            </w:pPr>
            <w:hyperlink r:id="rId60" w:anchor="data-specifications" w:history="1">
              <w:r w:rsidRPr="00032E7A">
                <w:rPr>
                  <w:rStyle w:val="Hyperlink"/>
                  <w:rFonts w:ascii="Arial" w:hAnsi="Arial" w:cs="Arial"/>
                </w:rPr>
                <w:t xml:space="preserve">Hospital Casemix Protocol </w:t>
              </w:r>
              <w:r>
                <w:rPr>
                  <w:rStyle w:val="Hyperlink"/>
                  <w:rFonts w:ascii="Arial" w:hAnsi="Arial" w:cs="Arial"/>
                </w:rPr>
                <w:t>2</w:t>
              </w:r>
              <w:r w:rsidRPr="00032E7A">
                <w:rPr>
                  <w:rStyle w:val="Hyperlink"/>
                  <w:rFonts w:ascii="Arial" w:hAnsi="Arial" w:cs="Arial"/>
                </w:rPr>
                <w:t xml:space="preserve"> (HCP2)</w:t>
              </w:r>
            </w:hyperlink>
          </w:p>
        </w:tc>
        <w:tc>
          <w:tcPr>
            <w:tcW w:w="2500" w:type="pct"/>
          </w:tcPr>
          <w:p w14:paraId="06E0A2F2" w14:textId="24DCC8DC" w:rsidR="00574A3A" w:rsidRPr="008C52E6" w:rsidRDefault="00574A3A" w:rsidP="008702BC">
            <w:pPr>
              <w:pStyle w:val="EYBodytextwithparaspace"/>
              <w:spacing w:before="120" w:after="120"/>
              <w:rPr>
                <w:rFonts w:ascii="Arial" w:hAnsi="Arial" w:cs="Arial"/>
                <w:szCs w:val="20"/>
                <w:lang w:val="en-AU"/>
              </w:rPr>
            </w:pPr>
            <w:r>
              <w:rPr>
                <w:rFonts w:ascii="Arial" w:hAnsi="Arial" w:cs="Arial"/>
                <w:szCs w:val="20"/>
                <w:lang w:val="en-AU"/>
              </w:rPr>
              <w:t>Australian Government Department of Health, Disability and Ageing</w:t>
            </w:r>
          </w:p>
        </w:tc>
      </w:tr>
      <w:tr w:rsidR="00574A3A" w:rsidRPr="008C52E6" w14:paraId="1E3AA4CE" w14:textId="77777777" w:rsidTr="00574A3A">
        <w:tc>
          <w:tcPr>
            <w:tcW w:w="2500" w:type="pct"/>
          </w:tcPr>
          <w:p w14:paraId="5D8B6F5C" w14:textId="77777777" w:rsidR="00574A3A" w:rsidRPr="008C52E6" w:rsidRDefault="00574A3A" w:rsidP="008702BC">
            <w:pPr>
              <w:pStyle w:val="EYBodytextwithparaspace"/>
              <w:spacing w:before="120" w:after="120"/>
              <w:rPr>
                <w:rFonts w:ascii="Arial" w:hAnsi="Arial" w:cs="Arial"/>
                <w:szCs w:val="20"/>
                <w:lang w:val="en-AU"/>
              </w:rPr>
            </w:pPr>
            <w:r w:rsidRPr="008C52E6">
              <w:rPr>
                <w:rFonts w:ascii="Arial" w:hAnsi="Arial" w:cs="Arial"/>
                <w:szCs w:val="20"/>
                <w:lang w:val="en-AU"/>
              </w:rPr>
              <w:t>Master List of Hospitals</w:t>
            </w:r>
          </w:p>
        </w:tc>
        <w:tc>
          <w:tcPr>
            <w:tcW w:w="2500" w:type="pct"/>
          </w:tcPr>
          <w:p w14:paraId="493C028D" w14:textId="70C1E06A" w:rsidR="00574A3A" w:rsidRPr="008C52E6" w:rsidRDefault="00574A3A" w:rsidP="008702BC">
            <w:pPr>
              <w:pStyle w:val="EYBodytextwithparaspace"/>
              <w:spacing w:before="120" w:after="120"/>
              <w:rPr>
                <w:rFonts w:ascii="Arial" w:hAnsi="Arial" w:cs="Arial"/>
                <w:szCs w:val="20"/>
                <w:lang w:val="en-AU"/>
              </w:rPr>
            </w:pPr>
            <w:r>
              <w:rPr>
                <w:rFonts w:ascii="Arial" w:hAnsi="Arial" w:cs="Arial"/>
                <w:szCs w:val="20"/>
                <w:lang w:val="en-AU"/>
              </w:rPr>
              <w:t>Australian Government Department of Health, Disability and Ageing</w:t>
            </w:r>
          </w:p>
        </w:tc>
      </w:tr>
      <w:tr w:rsidR="00574A3A" w:rsidRPr="008C52E6" w14:paraId="7B4748E9"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4AD1348C" w14:textId="77777777" w:rsidR="00574A3A" w:rsidRPr="008C52E6" w:rsidRDefault="00574A3A" w:rsidP="008702BC">
            <w:pPr>
              <w:pStyle w:val="EYBodytextwithparaspace"/>
              <w:spacing w:before="120" w:after="120"/>
              <w:rPr>
                <w:rFonts w:ascii="Arial" w:hAnsi="Arial" w:cs="Arial"/>
                <w:szCs w:val="20"/>
                <w:lang w:val="en-AU"/>
              </w:rPr>
            </w:pPr>
            <w:r w:rsidRPr="008C52E6">
              <w:rPr>
                <w:rFonts w:ascii="Arial" w:hAnsi="Arial" w:cs="Arial"/>
                <w:szCs w:val="20"/>
                <w:lang w:val="en-AU"/>
              </w:rPr>
              <w:t>MBS data – customised view</w:t>
            </w:r>
          </w:p>
        </w:tc>
        <w:tc>
          <w:tcPr>
            <w:tcW w:w="2500" w:type="pct"/>
          </w:tcPr>
          <w:p w14:paraId="56D9C429" w14:textId="6E538920" w:rsidR="00574A3A" w:rsidRPr="008C52E6" w:rsidRDefault="00574A3A" w:rsidP="008702BC">
            <w:pPr>
              <w:pStyle w:val="EYBodytextwithparaspace"/>
              <w:spacing w:before="120" w:after="120"/>
              <w:rPr>
                <w:rFonts w:ascii="Arial" w:hAnsi="Arial" w:cs="Arial"/>
                <w:szCs w:val="20"/>
                <w:lang w:val="en-AU"/>
              </w:rPr>
            </w:pPr>
            <w:r w:rsidRPr="006B423F">
              <w:rPr>
                <w:rFonts w:ascii="Arial" w:hAnsi="Arial" w:cs="Arial"/>
                <w:szCs w:val="20"/>
                <w:lang w:val="en-AU"/>
              </w:rPr>
              <w:t>Australian Government Department of Health</w:t>
            </w:r>
            <w:r>
              <w:rPr>
                <w:rFonts w:ascii="Arial" w:hAnsi="Arial" w:cs="Arial"/>
                <w:szCs w:val="20"/>
                <w:lang w:val="en-AU"/>
              </w:rPr>
              <w:t>, Disability</w:t>
            </w:r>
            <w:r w:rsidRPr="006B423F">
              <w:rPr>
                <w:rFonts w:ascii="Arial" w:hAnsi="Arial" w:cs="Arial"/>
                <w:szCs w:val="20"/>
                <w:lang w:val="en-AU"/>
              </w:rPr>
              <w:t xml:space="preserve"> </w:t>
            </w:r>
            <w:r>
              <w:rPr>
                <w:rFonts w:ascii="Arial" w:hAnsi="Arial" w:cs="Arial"/>
                <w:szCs w:val="20"/>
                <w:lang w:val="en-AU"/>
              </w:rPr>
              <w:t>and Ageing</w:t>
            </w:r>
          </w:p>
        </w:tc>
      </w:tr>
      <w:tr w:rsidR="00574A3A" w:rsidRPr="008C52E6" w14:paraId="4F6A951B" w14:textId="77777777" w:rsidTr="00574A3A">
        <w:tc>
          <w:tcPr>
            <w:tcW w:w="2500" w:type="pct"/>
          </w:tcPr>
          <w:p w14:paraId="78C501AF" w14:textId="77777777" w:rsidR="00574A3A" w:rsidRPr="008C52E6" w:rsidRDefault="00574A3A" w:rsidP="008702BC">
            <w:pPr>
              <w:pStyle w:val="EYBodytextwithparaspace"/>
              <w:spacing w:before="120" w:after="120"/>
              <w:rPr>
                <w:rFonts w:ascii="Arial" w:hAnsi="Arial" w:cs="Arial"/>
                <w:szCs w:val="20"/>
                <w:lang w:val="en-AU"/>
              </w:rPr>
            </w:pPr>
            <w:r w:rsidRPr="008C52E6">
              <w:rPr>
                <w:rFonts w:ascii="Arial" w:hAnsi="Arial" w:cs="Arial"/>
                <w:szCs w:val="20"/>
                <w:lang w:val="en-AU"/>
              </w:rPr>
              <w:t>MBS data – restricted set</w:t>
            </w:r>
          </w:p>
        </w:tc>
        <w:tc>
          <w:tcPr>
            <w:tcW w:w="2500" w:type="pct"/>
          </w:tcPr>
          <w:p w14:paraId="38DE9E45" w14:textId="14CC2602" w:rsidR="00574A3A" w:rsidRPr="008C52E6" w:rsidRDefault="00574A3A" w:rsidP="008702BC">
            <w:pPr>
              <w:pStyle w:val="EYBodytextwithparaspace"/>
              <w:spacing w:before="120" w:after="120"/>
              <w:rPr>
                <w:rFonts w:ascii="Arial" w:hAnsi="Arial" w:cs="Arial"/>
                <w:szCs w:val="20"/>
                <w:lang w:val="en-AU"/>
              </w:rPr>
            </w:pPr>
            <w:r w:rsidRPr="006B423F">
              <w:rPr>
                <w:rFonts w:ascii="Arial" w:hAnsi="Arial" w:cs="Arial"/>
                <w:szCs w:val="20"/>
                <w:lang w:val="en-AU"/>
              </w:rPr>
              <w:t>Australian Government Department of Health</w:t>
            </w:r>
            <w:r>
              <w:rPr>
                <w:rFonts w:ascii="Arial" w:hAnsi="Arial" w:cs="Arial"/>
                <w:szCs w:val="20"/>
                <w:lang w:val="en-AU"/>
              </w:rPr>
              <w:t>, Disability</w:t>
            </w:r>
            <w:r w:rsidRPr="006B423F">
              <w:rPr>
                <w:rFonts w:ascii="Arial" w:hAnsi="Arial" w:cs="Arial"/>
                <w:szCs w:val="20"/>
                <w:lang w:val="en-AU"/>
              </w:rPr>
              <w:t xml:space="preserve"> </w:t>
            </w:r>
            <w:r>
              <w:rPr>
                <w:rFonts w:ascii="Arial" w:hAnsi="Arial" w:cs="Arial"/>
                <w:szCs w:val="20"/>
                <w:lang w:val="en-AU"/>
              </w:rPr>
              <w:t>and Ageing</w:t>
            </w:r>
          </w:p>
        </w:tc>
      </w:tr>
      <w:tr w:rsidR="00574A3A" w:rsidRPr="00AB540D" w14:paraId="1B37E944"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46E7170F" w14:textId="77777777" w:rsidR="00574A3A" w:rsidRPr="008C52E6" w:rsidRDefault="00574A3A" w:rsidP="008702BC">
            <w:pPr>
              <w:pStyle w:val="EYBodytextwithparaspace"/>
              <w:spacing w:before="120" w:after="120"/>
              <w:rPr>
                <w:rFonts w:ascii="Arial" w:hAnsi="Arial" w:cs="Arial"/>
                <w:szCs w:val="20"/>
                <w:lang w:val="en-AU"/>
              </w:rPr>
            </w:pPr>
            <w:hyperlink r:id="rId61" w:history="1">
              <w:r w:rsidRPr="00D375DB">
                <w:rPr>
                  <w:rStyle w:val="Hyperlink"/>
                  <w:rFonts w:ascii="Arial" w:hAnsi="Arial" w:cs="Arial"/>
                  <w:szCs w:val="20"/>
                  <w:lang w:val="en-AU"/>
                </w:rPr>
                <w:t>National Notifiable Diseases Surveillance System (NNDSS) – Mycobacterium tuberculosis only</w:t>
              </w:r>
            </w:hyperlink>
          </w:p>
        </w:tc>
        <w:tc>
          <w:tcPr>
            <w:tcW w:w="2500" w:type="pct"/>
          </w:tcPr>
          <w:p w14:paraId="2A6C63A8" w14:textId="448702A8" w:rsidR="00574A3A" w:rsidRPr="00AB540D" w:rsidRDefault="00574A3A" w:rsidP="008702BC">
            <w:pPr>
              <w:pStyle w:val="EYBodytextwithparaspace"/>
              <w:spacing w:before="120" w:after="120"/>
              <w:rPr>
                <w:rFonts w:ascii="Arial" w:hAnsi="Arial" w:cs="Arial"/>
                <w:szCs w:val="20"/>
                <w:lang w:val="en-AU"/>
              </w:rPr>
            </w:pPr>
            <w:r w:rsidRPr="006B423F">
              <w:rPr>
                <w:rFonts w:ascii="Arial" w:hAnsi="Arial" w:cs="Arial"/>
                <w:szCs w:val="20"/>
                <w:lang w:val="en-AU"/>
              </w:rPr>
              <w:t>Australian Government Department of Health</w:t>
            </w:r>
            <w:r>
              <w:rPr>
                <w:rFonts w:ascii="Arial" w:hAnsi="Arial" w:cs="Arial"/>
                <w:szCs w:val="20"/>
                <w:lang w:val="en-AU"/>
              </w:rPr>
              <w:t>, Disability</w:t>
            </w:r>
            <w:r w:rsidRPr="006B423F">
              <w:rPr>
                <w:rFonts w:ascii="Arial" w:hAnsi="Arial" w:cs="Arial"/>
                <w:szCs w:val="20"/>
                <w:lang w:val="en-AU"/>
              </w:rPr>
              <w:t xml:space="preserve"> </w:t>
            </w:r>
            <w:r>
              <w:rPr>
                <w:rFonts w:ascii="Arial" w:hAnsi="Arial" w:cs="Arial"/>
                <w:szCs w:val="20"/>
                <w:lang w:val="en-AU"/>
              </w:rPr>
              <w:t>and Ageing</w:t>
            </w:r>
          </w:p>
        </w:tc>
      </w:tr>
      <w:tr w:rsidR="00574A3A" w:rsidRPr="00AB540D" w14:paraId="446E4132" w14:textId="77777777" w:rsidTr="00574A3A">
        <w:tc>
          <w:tcPr>
            <w:tcW w:w="2500" w:type="pct"/>
          </w:tcPr>
          <w:p w14:paraId="4AFCA93F" w14:textId="77777777" w:rsidR="00574A3A" w:rsidRDefault="00574A3A" w:rsidP="008702BC">
            <w:pPr>
              <w:pStyle w:val="EYBodytextwithparaspace"/>
              <w:spacing w:before="120" w:after="120"/>
            </w:pPr>
            <w:r w:rsidRPr="00A45110">
              <w:rPr>
                <w:rFonts w:ascii="Arial" w:hAnsi="Arial" w:cs="Arial"/>
                <w:szCs w:val="20"/>
                <w:lang w:val="en-AU"/>
              </w:rPr>
              <w:t>National Neisseria Network</w:t>
            </w:r>
            <w:r>
              <w:rPr>
                <w:rFonts w:ascii="Arial" w:hAnsi="Arial" w:cs="Arial"/>
                <w:szCs w:val="20"/>
                <w:lang w:val="en-AU"/>
              </w:rPr>
              <w:t xml:space="preserve"> </w:t>
            </w:r>
          </w:p>
        </w:tc>
        <w:tc>
          <w:tcPr>
            <w:tcW w:w="2500" w:type="pct"/>
          </w:tcPr>
          <w:p w14:paraId="59F5C408" w14:textId="77777777" w:rsidR="00574A3A" w:rsidRPr="00AB540D" w:rsidRDefault="00574A3A" w:rsidP="008702BC">
            <w:pPr>
              <w:pStyle w:val="EYBodytextwithparaspace"/>
              <w:spacing w:before="120" w:after="120"/>
              <w:rPr>
                <w:rFonts w:ascii="Arial" w:hAnsi="Arial" w:cs="Arial"/>
                <w:szCs w:val="20"/>
                <w:lang w:val="en-AU"/>
              </w:rPr>
            </w:pPr>
            <w:r w:rsidRPr="00A45110">
              <w:rPr>
                <w:rFonts w:ascii="Arial" w:hAnsi="Arial" w:cs="Arial"/>
                <w:szCs w:val="20"/>
                <w:lang w:val="en-AU"/>
              </w:rPr>
              <w:t>National Neisseria Network</w:t>
            </w:r>
          </w:p>
        </w:tc>
      </w:tr>
      <w:tr w:rsidR="00574A3A" w:rsidRPr="008C52E6" w14:paraId="3420988C"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54C7F048" w14:textId="77777777" w:rsidR="00574A3A" w:rsidRPr="008C52E6" w:rsidRDefault="00574A3A" w:rsidP="008702BC">
            <w:pPr>
              <w:pStyle w:val="EYBodytextwithparaspace"/>
              <w:spacing w:before="120" w:after="120"/>
              <w:rPr>
                <w:rFonts w:ascii="Arial" w:hAnsi="Arial" w:cs="Arial"/>
                <w:szCs w:val="20"/>
                <w:lang w:val="en-AU"/>
              </w:rPr>
            </w:pPr>
            <w:r w:rsidRPr="008C52E6">
              <w:rPr>
                <w:rFonts w:ascii="Arial" w:hAnsi="Arial" w:cs="Arial"/>
                <w:szCs w:val="20"/>
                <w:lang w:val="en-AU"/>
              </w:rPr>
              <w:t>PBS and RPBS data – customised view</w:t>
            </w:r>
          </w:p>
        </w:tc>
        <w:tc>
          <w:tcPr>
            <w:tcW w:w="2500" w:type="pct"/>
          </w:tcPr>
          <w:p w14:paraId="1559E130" w14:textId="2480C94A" w:rsidR="00574A3A" w:rsidRPr="008C52E6" w:rsidRDefault="00574A3A" w:rsidP="008702BC">
            <w:pPr>
              <w:pStyle w:val="EYBodytextwithparaspace"/>
              <w:spacing w:before="120" w:after="120"/>
              <w:rPr>
                <w:rFonts w:ascii="Arial" w:hAnsi="Arial" w:cs="Arial"/>
                <w:szCs w:val="20"/>
                <w:lang w:val="en-AU"/>
              </w:rPr>
            </w:pPr>
            <w:r>
              <w:rPr>
                <w:rFonts w:ascii="Arial" w:hAnsi="Arial" w:cs="Arial"/>
                <w:szCs w:val="20"/>
                <w:lang w:val="en-AU"/>
              </w:rPr>
              <w:t>Australian Government Department of Health, Disability and Ageing</w:t>
            </w:r>
          </w:p>
        </w:tc>
      </w:tr>
      <w:tr w:rsidR="00574A3A" w:rsidRPr="008C52E6" w14:paraId="28EA0BD4" w14:textId="77777777" w:rsidTr="00574A3A">
        <w:tc>
          <w:tcPr>
            <w:tcW w:w="2500" w:type="pct"/>
          </w:tcPr>
          <w:p w14:paraId="61890FD8" w14:textId="77777777" w:rsidR="00574A3A" w:rsidRPr="008C52E6" w:rsidRDefault="00574A3A" w:rsidP="008702BC">
            <w:pPr>
              <w:pStyle w:val="CommentText"/>
              <w:spacing w:before="120" w:after="120"/>
              <w:rPr>
                <w:rFonts w:cs="Arial"/>
              </w:rPr>
            </w:pPr>
            <w:r w:rsidRPr="008C52E6">
              <w:rPr>
                <w:rFonts w:cs="Arial"/>
              </w:rPr>
              <w:t>PBS and RPBS data – 10% restricted set</w:t>
            </w:r>
          </w:p>
        </w:tc>
        <w:tc>
          <w:tcPr>
            <w:tcW w:w="2500" w:type="pct"/>
          </w:tcPr>
          <w:p w14:paraId="6231BB44" w14:textId="32A7A6C8" w:rsidR="00574A3A" w:rsidRPr="008C52E6" w:rsidRDefault="00574A3A" w:rsidP="008702BC">
            <w:pPr>
              <w:pStyle w:val="EYBodytextwithparaspace"/>
              <w:spacing w:before="120" w:after="120"/>
              <w:rPr>
                <w:rFonts w:ascii="Arial" w:hAnsi="Arial" w:cs="Arial"/>
                <w:szCs w:val="20"/>
                <w:lang w:val="en-AU"/>
              </w:rPr>
            </w:pPr>
            <w:r>
              <w:rPr>
                <w:rFonts w:ascii="Arial" w:hAnsi="Arial" w:cs="Arial"/>
                <w:szCs w:val="20"/>
                <w:lang w:val="en-AU"/>
              </w:rPr>
              <w:t>Australian Government Department of Health, Disability and Ageing</w:t>
            </w:r>
          </w:p>
        </w:tc>
      </w:tr>
      <w:tr w:rsidR="00574A3A" w:rsidRPr="008C52E6" w14:paraId="440124CA"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35D47B9D" w14:textId="77777777" w:rsidR="00574A3A" w:rsidRPr="008C52E6" w:rsidRDefault="00574A3A" w:rsidP="008702BC">
            <w:pPr>
              <w:pStyle w:val="CommentText"/>
              <w:spacing w:before="120" w:after="120"/>
              <w:rPr>
                <w:rFonts w:cs="Arial"/>
              </w:rPr>
            </w:pPr>
            <w:hyperlink r:id="rId62" w:anchor="data-specifications" w:history="1">
              <w:r w:rsidRPr="002B6DE3">
                <w:rPr>
                  <w:rStyle w:val="Hyperlink"/>
                  <w:rFonts w:cs="Arial"/>
                </w:rPr>
                <w:t>Private Hospital Data Bureau (PHDB)</w:t>
              </w:r>
            </w:hyperlink>
          </w:p>
        </w:tc>
        <w:tc>
          <w:tcPr>
            <w:tcW w:w="2500" w:type="pct"/>
          </w:tcPr>
          <w:p w14:paraId="33970755" w14:textId="363825C8" w:rsidR="00574A3A" w:rsidRPr="008C52E6" w:rsidRDefault="00574A3A" w:rsidP="008702BC">
            <w:pPr>
              <w:pStyle w:val="EYBodytextwithparaspace"/>
              <w:spacing w:before="120" w:after="120"/>
              <w:rPr>
                <w:rFonts w:ascii="Arial" w:eastAsiaTheme="minorHAnsi" w:hAnsi="Arial" w:cs="Arial"/>
                <w:szCs w:val="20"/>
                <w:lang w:val="en-AU"/>
              </w:rPr>
            </w:pPr>
            <w:r>
              <w:rPr>
                <w:rFonts w:ascii="Arial" w:hAnsi="Arial" w:cs="Arial"/>
                <w:szCs w:val="20"/>
                <w:lang w:val="en-AU"/>
              </w:rPr>
              <w:t>Australian Government Department of Health, Disability and Ageing</w:t>
            </w:r>
          </w:p>
        </w:tc>
      </w:tr>
      <w:tr w:rsidR="00574A3A" w:rsidRPr="008C52E6" w14:paraId="7E6B7CA7" w14:textId="77777777" w:rsidTr="00574A3A">
        <w:tc>
          <w:tcPr>
            <w:tcW w:w="2500" w:type="pct"/>
          </w:tcPr>
          <w:p w14:paraId="7AED3C36" w14:textId="77777777" w:rsidR="00574A3A" w:rsidRPr="008C52E6" w:rsidRDefault="00574A3A" w:rsidP="008702BC">
            <w:pPr>
              <w:pStyle w:val="CommentText"/>
              <w:spacing w:before="120" w:after="120"/>
              <w:rPr>
                <w:rFonts w:cs="Arial"/>
              </w:rPr>
            </w:pPr>
            <w:r w:rsidRPr="00A21892">
              <w:rPr>
                <w:rFonts w:cs="Arial"/>
              </w:rPr>
              <w:t>National Study of Mental Health and Wellbeing</w:t>
            </w:r>
          </w:p>
        </w:tc>
        <w:tc>
          <w:tcPr>
            <w:tcW w:w="2500" w:type="pct"/>
          </w:tcPr>
          <w:p w14:paraId="7A2BD3DB" w14:textId="77777777" w:rsidR="00574A3A" w:rsidRPr="008C52E6" w:rsidRDefault="00574A3A" w:rsidP="008702BC">
            <w:pPr>
              <w:pStyle w:val="EYBodytextwithparaspace"/>
              <w:spacing w:before="120" w:after="120"/>
              <w:rPr>
                <w:rFonts w:ascii="Arial" w:hAnsi="Arial" w:cs="Arial"/>
                <w:szCs w:val="20"/>
                <w:lang w:val="en-AU"/>
              </w:rPr>
            </w:pPr>
            <w:r w:rsidRPr="00592830">
              <w:rPr>
                <w:rFonts w:ascii="Arial" w:hAnsi="Arial" w:cs="Arial"/>
                <w:szCs w:val="20"/>
                <w:lang w:val="en-AU"/>
              </w:rPr>
              <w:t>Australian Bureau of Statistics</w:t>
            </w:r>
            <w:r>
              <w:rPr>
                <w:rFonts w:ascii="Arial" w:hAnsi="Arial" w:cs="Arial"/>
                <w:szCs w:val="20"/>
                <w:lang w:val="en-AU"/>
              </w:rPr>
              <w:t xml:space="preserve"> (ABS)</w:t>
            </w:r>
          </w:p>
        </w:tc>
      </w:tr>
      <w:tr w:rsidR="00574A3A" w:rsidRPr="008C52E6" w14:paraId="0B2183CB"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7C9A1BDC" w14:textId="77777777" w:rsidR="00574A3A" w:rsidRPr="008C52E6" w:rsidRDefault="00574A3A" w:rsidP="008702BC">
            <w:pPr>
              <w:pStyle w:val="CommentText"/>
              <w:spacing w:before="120" w:after="120"/>
              <w:rPr>
                <w:rFonts w:cs="Arial"/>
              </w:rPr>
            </w:pPr>
            <w:r w:rsidRPr="005C46BE">
              <w:rPr>
                <w:rFonts w:cs="Arial"/>
              </w:rPr>
              <w:t>NHSD – unique identifiers</w:t>
            </w:r>
          </w:p>
        </w:tc>
        <w:tc>
          <w:tcPr>
            <w:tcW w:w="2500" w:type="pct"/>
          </w:tcPr>
          <w:p w14:paraId="3F2BB73D" w14:textId="10B79700" w:rsidR="00574A3A" w:rsidRPr="008C52E6" w:rsidRDefault="00574A3A" w:rsidP="008702BC">
            <w:pPr>
              <w:pStyle w:val="EYBodytextwithparaspace"/>
              <w:spacing w:before="120" w:after="120"/>
              <w:rPr>
                <w:rFonts w:ascii="Arial" w:hAnsi="Arial" w:cs="Arial"/>
                <w:szCs w:val="20"/>
                <w:lang w:val="en-AU"/>
              </w:rPr>
            </w:pPr>
            <w:r w:rsidRPr="005C46BE">
              <w:rPr>
                <w:rFonts w:ascii="Arial" w:hAnsi="Arial" w:cs="Arial"/>
                <w:szCs w:val="20"/>
                <w:lang w:val="en-AU"/>
              </w:rPr>
              <w:t>HealthDirect Australia and Australian Government Department of Health</w:t>
            </w:r>
            <w:r w:rsidR="0040514F">
              <w:rPr>
                <w:rFonts w:ascii="Arial" w:hAnsi="Arial" w:cs="Arial"/>
                <w:szCs w:val="20"/>
                <w:lang w:val="en-AU"/>
              </w:rPr>
              <w:t>, Disability and Ageing</w:t>
            </w:r>
          </w:p>
        </w:tc>
      </w:tr>
      <w:tr w:rsidR="00574A3A" w:rsidRPr="008C52E6" w14:paraId="4A49B5CC" w14:textId="77777777" w:rsidTr="00574A3A">
        <w:tc>
          <w:tcPr>
            <w:tcW w:w="2500" w:type="pct"/>
          </w:tcPr>
          <w:p w14:paraId="1FC9B40D" w14:textId="77777777" w:rsidR="00574A3A" w:rsidRPr="008C52E6" w:rsidRDefault="00574A3A" w:rsidP="008702BC">
            <w:pPr>
              <w:pStyle w:val="CommentText"/>
              <w:spacing w:before="120" w:after="120"/>
              <w:rPr>
                <w:rFonts w:cs="Arial"/>
              </w:rPr>
            </w:pPr>
            <w:r>
              <w:rPr>
                <w:rFonts w:cs="Arial"/>
              </w:rPr>
              <w:lastRenderedPageBreak/>
              <w:t xml:space="preserve">Data on </w:t>
            </w:r>
            <w:r w:rsidRPr="00DE0FFA">
              <w:rPr>
                <w:rFonts w:cs="Arial"/>
              </w:rPr>
              <w:t>chemical restraint</w:t>
            </w:r>
            <w:r>
              <w:rPr>
                <w:rFonts w:cs="Arial"/>
              </w:rPr>
              <w:t xml:space="preserve"> and strategies to reduce inappropriate psychotropics</w:t>
            </w:r>
          </w:p>
        </w:tc>
        <w:tc>
          <w:tcPr>
            <w:tcW w:w="2500" w:type="pct"/>
          </w:tcPr>
          <w:p w14:paraId="180D1E22" w14:textId="77777777" w:rsidR="00574A3A" w:rsidRPr="008C52E6" w:rsidRDefault="00574A3A" w:rsidP="008702BC">
            <w:pPr>
              <w:pStyle w:val="EYBodytextwithparaspace"/>
              <w:spacing w:before="120" w:after="120"/>
              <w:rPr>
                <w:rFonts w:ascii="Arial" w:hAnsi="Arial" w:cs="Arial"/>
                <w:szCs w:val="20"/>
                <w:lang w:val="en-AU"/>
              </w:rPr>
            </w:pPr>
            <w:r w:rsidRPr="00DE0FFA">
              <w:rPr>
                <w:rFonts w:ascii="Arial" w:hAnsi="Arial" w:cs="Arial"/>
                <w:szCs w:val="20"/>
                <w:lang w:val="en-AU"/>
              </w:rPr>
              <w:t>NDIS</w:t>
            </w:r>
            <w:r>
              <w:rPr>
                <w:rFonts w:ascii="Arial" w:hAnsi="Arial" w:cs="Arial"/>
                <w:szCs w:val="20"/>
                <w:lang w:val="en-AU"/>
              </w:rPr>
              <w:t xml:space="preserve"> Quality and Safeguards Commission (</w:t>
            </w:r>
            <w:r w:rsidRPr="00DE0FFA">
              <w:rPr>
                <w:rFonts w:ascii="Arial" w:hAnsi="Arial" w:cs="Arial"/>
                <w:szCs w:val="20"/>
                <w:lang w:val="en-AU"/>
              </w:rPr>
              <w:t>NDISQSC</w:t>
            </w:r>
            <w:r>
              <w:rPr>
                <w:rFonts w:ascii="Arial" w:hAnsi="Arial" w:cs="Arial"/>
                <w:szCs w:val="20"/>
                <w:lang w:val="en-AU"/>
              </w:rPr>
              <w:t>)</w:t>
            </w:r>
          </w:p>
        </w:tc>
      </w:tr>
      <w:tr w:rsidR="00574A3A" w:rsidRPr="008C52E6" w14:paraId="0D13EF7E" w14:textId="77777777" w:rsidTr="00574A3A">
        <w:trPr>
          <w:cnfStyle w:val="000000010000" w:firstRow="0" w:lastRow="0" w:firstColumn="0" w:lastColumn="0" w:oddVBand="0" w:evenVBand="0" w:oddHBand="0" w:evenHBand="1" w:firstRowFirstColumn="0" w:firstRowLastColumn="0" w:lastRowFirstColumn="0" w:lastRowLastColumn="0"/>
        </w:trPr>
        <w:tc>
          <w:tcPr>
            <w:tcW w:w="2500" w:type="pct"/>
          </w:tcPr>
          <w:p w14:paraId="08D03CD6" w14:textId="77777777" w:rsidR="00574A3A" w:rsidRPr="008C52E6" w:rsidRDefault="00574A3A" w:rsidP="008702BC">
            <w:pPr>
              <w:pStyle w:val="CommentText"/>
              <w:spacing w:before="120" w:after="120"/>
              <w:rPr>
                <w:rFonts w:cs="Arial"/>
              </w:rPr>
            </w:pPr>
            <w:r w:rsidRPr="005C46BE">
              <w:rPr>
                <w:rFonts w:cs="Arial"/>
              </w:rPr>
              <w:t>Admitted Patient Care Submission B</w:t>
            </w:r>
          </w:p>
        </w:tc>
        <w:tc>
          <w:tcPr>
            <w:tcW w:w="2500" w:type="pct"/>
          </w:tcPr>
          <w:p w14:paraId="37BA9C88" w14:textId="77777777" w:rsidR="00574A3A" w:rsidRPr="008C52E6" w:rsidRDefault="00574A3A" w:rsidP="008702BC">
            <w:pPr>
              <w:pStyle w:val="EYBodytextwithparaspace"/>
              <w:spacing w:before="120" w:after="120"/>
              <w:rPr>
                <w:rFonts w:ascii="Arial" w:hAnsi="Arial" w:cs="Arial"/>
                <w:szCs w:val="20"/>
                <w:lang w:val="en-AU"/>
              </w:rPr>
            </w:pPr>
            <w:r w:rsidRPr="005C46BE">
              <w:rPr>
                <w:rFonts w:ascii="Arial" w:hAnsi="Arial" w:cs="Arial"/>
                <w:szCs w:val="20"/>
                <w:lang w:val="en-AU"/>
              </w:rPr>
              <w:t>Services Australia</w:t>
            </w:r>
            <w:r>
              <w:rPr>
                <w:rFonts w:ascii="Arial" w:hAnsi="Arial" w:cs="Arial"/>
                <w:szCs w:val="20"/>
                <w:lang w:val="en-AU"/>
              </w:rPr>
              <w:t xml:space="preserve"> </w:t>
            </w:r>
          </w:p>
        </w:tc>
      </w:tr>
      <w:tr w:rsidR="00574A3A" w:rsidRPr="005C46BE" w14:paraId="1BF16E23" w14:textId="77777777" w:rsidTr="00574A3A">
        <w:trPr>
          <w:trHeight w:val="623"/>
        </w:trPr>
        <w:tc>
          <w:tcPr>
            <w:tcW w:w="2500" w:type="pct"/>
          </w:tcPr>
          <w:p w14:paraId="50D75F55" w14:textId="77777777" w:rsidR="00574A3A" w:rsidRPr="005C46BE" w:rsidRDefault="00574A3A" w:rsidP="008702BC">
            <w:pPr>
              <w:pStyle w:val="EYBodytextwithparaspace"/>
              <w:spacing w:before="120" w:after="120"/>
              <w:rPr>
                <w:rFonts w:ascii="Arial" w:hAnsi="Arial" w:cs="Arial"/>
                <w:szCs w:val="20"/>
                <w:lang w:val="en-AU"/>
              </w:rPr>
            </w:pPr>
          </w:p>
        </w:tc>
        <w:tc>
          <w:tcPr>
            <w:tcW w:w="2500" w:type="pct"/>
          </w:tcPr>
          <w:p w14:paraId="7171204F" w14:textId="77777777" w:rsidR="00574A3A" w:rsidRPr="005C46BE" w:rsidRDefault="00574A3A" w:rsidP="008702BC">
            <w:pPr>
              <w:pStyle w:val="EYBodytextwithparaspace"/>
              <w:spacing w:before="120" w:after="120"/>
              <w:rPr>
                <w:rFonts w:ascii="Arial" w:hAnsi="Arial" w:cs="Arial"/>
                <w:szCs w:val="20"/>
                <w:lang w:val="en-AU"/>
              </w:rPr>
            </w:pPr>
          </w:p>
        </w:tc>
      </w:tr>
    </w:tbl>
    <w:p w14:paraId="6E8F5A30" w14:textId="42AD2D4B" w:rsidR="002622A2" w:rsidRDefault="002622A2"/>
    <w:p w14:paraId="08AF7B41" w14:textId="77777777" w:rsidR="002622A2" w:rsidRDefault="002622A2">
      <w:r>
        <w:br w:type="page"/>
      </w:r>
    </w:p>
    <w:p w14:paraId="4F181A65" w14:textId="77777777" w:rsidR="002622A2" w:rsidRDefault="002622A2" w:rsidP="002622A2">
      <w:pPr>
        <w:pStyle w:val="Heading1"/>
      </w:pPr>
      <w:bookmarkStart w:id="68" w:name="_Toc188972539"/>
      <w:bookmarkStart w:id="69" w:name="_Toc204691126"/>
      <w:r w:rsidRPr="005348A2">
        <w:lastRenderedPageBreak/>
        <w:t>Appendix 3</w:t>
      </w:r>
      <w:r>
        <w:t>c</w:t>
      </w:r>
      <w:r w:rsidRPr="005348A2">
        <w:t xml:space="preserve">: </w:t>
      </w:r>
      <w:r>
        <w:t>Other data sets used by the Commission</w:t>
      </w:r>
      <w:bookmarkEnd w:id="68"/>
      <w:bookmarkEnd w:id="69"/>
    </w:p>
    <w:tbl>
      <w:tblPr>
        <w:tblStyle w:val="SQHTable"/>
        <w:tblW w:w="5000" w:type="pct"/>
        <w:tblLook w:val="04A0" w:firstRow="1" w:lastRow="0" w:firstColumn="1" w:lastColumn="0" w:noHBand="0" w:noVBand="1"/>
      </w:tblPr>
      <w:tblGrid>
        <w:gridCol w:w="4261"/>
        <w:gridCol w:w="4923"/>
      </w:tblGrid>
      <w:tr w:rsidR="002622A2" w:rsidRPr="005C46BE" w14:paraId="65896187" w14:textId="77777777" w:rsidTr="00FC4E17">
        <w:trPr>
          <w:cnfStyle w:val="100000000000" w:firstRow="1" w:lastRow="0" w:firstColumn="0" w:lastColumn="0" w:oddVBand="0" w:evenVBand="0" w:oddHBand="0" w:evenHBand="0" w:firstRowFirstColumn="0" w:firstRowLastColumn="0" w:lastRowFirstColumn="0" w:lastRowLastColumn="0"/>
          <w:trHeight w:val="432"/>
          <w:tblHeader/>
        </w:trPr>
        <w:tc>
          <w:tcPr>
            <w:tcW w:w="2320" w:type="pct"/>
          </w:tcPr>
          <w:p w14:paraId="091325D2" w14:textId="77777777" w:rsidR="002622A2" w:rsidRPr="005C46BE" w:rsidRDefault="002622A2" w:rsidP="008702BC">
            <w:pPr>
              <w:pStyle w:val="EYBodytextwithparaspace"/>
              <w:spacing w:after="120"/>
              <w:rPr>
                <w:rFonts w:ascii="Arial" w:hAnsi="Arial" w:cs="Arial"/>
                <w:b w:val="0"/>
                <w:color w:val="FFFFFF" w:themeColor="background1"/>
                <w:szCs w:val="20"/>
                <w:lang w:val="en-AU"/>
              </w:rPr>
            </w:pPr>
            <w:r w:rsidRPr="005C46BE">
              <w:rPr>
                <w:rFonts w:ascii="Arial" w:hAnsi="Arial" w:cs="Arial"/>
                <w:color w:val="FFFFFF" w:themeColor="background1"/>
                <w:szCs w:val="20"/>
                <w:lang w:val="en-AU"/>
              </w:rPr>
              <w:t>Data set name</w:t>
            </w:r>
          </w:p>
        </w:tc>
        <w:tc>
          <w:tcPr>
            <w:tcW w:w="2680" w:type="pct"/>
          </w:tcPr>
          <w:p w14:paraId="3E9E9A11" w14:textId="77777777" w:rsidR="002622A2" w:rsidRPr="005C46BE" w:rsidRDefault="002622A2" w:rsidP="008702BC">
            <w:pPr>
              <w:pStyle w:val="EYBodytextwithparaspace"/>
              <w:spacing w:after="120"/>
              <w:rPr>
                <w:rFonts w:ascii="Arial" w:hAnsi="Arial" w:cs="Arial"/>
                <w:b w:val="0"/>
                <w:color w:val="FFFFFF" w:themeColor="background1"/>
                <w:szCs w:val="20"/>
                <w:lang w:val="en-AU"/>
              </w:rPr>
            </w:pPr>
            <w:r w:rsidRPr="005C46BE">
              <w:rPr>
                <w:rFonts w:ascii="Arial" w:hAnsi="Arial" w:cs="Arial"/>
                <w:color w:val="FFFFFF" w:themeColor="background1"/>
                <w:szCs w:val="20"/>
                <w:lang w:val="en-AU"/>
              </w:rPr>
              <w:t>Source / authorising entity</w:t>
            </w:r>
          </w:p>
        </w:tc>
      </w:tr>
      <w:tr w:rsidR="002622A2" w:rsidRPr="005C46BE" w14:paraId="7CC6DD6D" w14:textId="77777777" w:rsidTr="002622A2">
        <w:tc>
          <w:tcPr>
            <w:tcW w:w="2320" w:type="pct"/>
          </w:tcPr>
          <w:p w14:paraId="626F72B3" w14:textId="77777777" w:rsidR="002622A2" w:rsidRPr="005C46BE" w:rsidRDefault="002622A2" w:rsidP="008702BC">
            <w:pPr>
              <w:pStyle w:val="EYBodytextwithparaspace"/>
              <w:spacing w:before="120" w:after="120"/>
              <w:rPr>
                <w:rFonts w:ascii="Arial" w:hAnsi="Arial" w:cs="Arial"/>
                <w:szCs w:val="20"/>
                <w:lang w:val="en-AU"/>
              </w:rPr>
            </w:pPr>
            <w:r w:rsidRPr="005C46BE">
              <w:rPr>
                <w:rFonts w:ascii="Arial" w:hAnsi="Arial" w:cs="Arial"/>
                <w:szCs w:val="20"/>
                <w:lang w:val="en-AU"/>
              </w:rPr>
              <w:t>Accreditation outcomes against the MPS Module as part of the AHSSQA Scheme</w:t>
            </w:r>
          </w:p>
        </w:tc>
        <w:tc>
          <w:tcPr>
            <w:tcW w:w="2680" w:type="pct"/>
          </w:tcPr>
          <w:p w14:paraId="68902420" w14:textId="77777777" w:rsidR="002622A2" w:rsidRPr="005C46BE" w:rsidRDefault="002622A2" w:rsidP="008702BC">
            <w:pPr>
              <w:pStyle w:val="EYBodytextwithparaspace"/>
              <w:spacing w:before="120" w:after="120"/>
              <w:rPr>
                <w:rFonts w:ascii="Arial" w:hAnsi="Arial" w:cs="Arial"/>
                <w:szCs w:val="20"/>
                <w:lang w:val="en-AU"/>
              </w:rPr>
            </w:pPr>
            <w:r w:rsidRPr="005C46BE">
              <w:rPr>
                <w:rFonts w:ascii="Arial" w:hAnsi="Arial" w:cs="Arial"/>
                <w:szCs w:val="20"/>
                <w:lang w:val="en-AU"/>
              </w:rPr>
              <w:t>Approved accrediting agencies</w:t>
            </w:r>
          </w:p>
        </w:tc>
      </w:tr>
      <w:tr w:rsidR="002622A2" w:rsidRPr="005C46BE" w14:paraId="2724F412" w14:textId="77777777" w:rsidTr="002622A2">
        <w:trPr>
          <w:cnfStyle w:val="000000010000" w:firstRow="0" w:lastRow="0" w:firstColumn="0" w:lastColumn="0" w:oddVBand="0" w:evenVBand="0" w:oddHBand="0" w:evenHBand="1" w:firstRowFirstColumn="0" w:firstRowLastColumn="0" w:lastRowFirstColumn="0" w:lastRowLastColumn="0"/>
        </w:trPr>
        <w:tc>
          <w:tcPr>
            <w:tcW w:w="2320" w:type="pct"/>
          </w:tcPr>
          <w:p w14:paraId="74299DD3" w14:textId="77777777" w:rsidR="002622A2" w:rsidRPr="005C46BE" w:rsidRDefault="002622A2" w:rsidP="008702BC">
            <w:pPr>
              <w:pStyle w:val="EYBodytextwithparaspace"/>
              <w:spacing w:before="120" w:after="120"/>
              <w:rPr>
                <w:rFonts w:ascii="Arial" w:hAnsi="Arial" w:cs="Arial"/>
                <w:szCs w:val="20"/>
                <w:lang w:val="en-AU"/>
              </w:rPr>
            </w:pPr>
            <w:r w:rsidRPr="005C46BE">
              <w:rPr>
                <w:rFonts w:ascii="Arial" w:hAnsi="Arial" w:cs="Arial"/>
                <w:szCs w:val="20"/>
                <w:lang w:val="en-AU"/>
              </w:rPr>
              <w:t>Accreditation outcomes against the NSQDMH Standards as part of the AHSSQA Scheme</w:t>
            </w:r>
          </w:p>
        </w:tc>
        <w:tc>
          <w:tcPr>
            <w:tcW w:w="2680" w:type="pct"/>
          </w:tcPr>
          <w:p w14:paraId="7B9891F9" w14:textId="77777777" w:rsidR="002622A2" w:rsidRPr="005C46BE" w:rsidRDefault="002622A2" w:rsidP="008702BC">
            <w:pPr>
              <w:pStyle w:val="EYBodytextwithparaspace"/>
              <w:spacing w:before="120" w:after="120"/>
              <w:rPr>
                <w:rFonts w:ascii="Arial" w:hAnsi="Arial" w:cs="Arial"/>
                <w:szCs w:val="20"/>
                <w:lang w:val="en-AU"/>
              </w:rPr>
            </w:pPr>
            <w:r w:rsidRPr="005C46BE">
              <w:rPr>
                <w:rFonts w:ascii="Arial" w:hAnsi="Arial" w:cs="Arial"/>
                <w:szCs w:val="20"/>
                <w:lang w:val="en-AU"/>
              </w:rPr>
              <w:t>Approved accrediting agencies</w:t>
            </w:r>
          </w:p>
        </w:tc>
      </w:tr>
      <w:tr w:rsidR="002622A2" w:rsidRPr="005C46BE" w14:paraId="467B87D6" w14:textId="77777777" w:rsidTr="002622A2">
        <w:tc>
          <w:tcPr>
            <w:tcW w:w="2320" w:type="pct"/>
          </w:tcPr>
          <w:p w14:paraId="4FB41EB2" w14:textId="77777777" w:rsidR="002622A2" w:rsidRPr="005C46BE" w:rsidRDefault="002622A2" w:rsidP="008702BC">
            <w:pPr>
              <w:pStyle w:val="EYBodytextwithparaspace"/>
              <w:spacing w:before="120" w:after="120"/>
              <w:rPr>
                <w:rFonts w:ascii="Arial" w:hAnsi="Arial" w:cs="Arial"/>
                <w:szCs w:val="20"/>
                <w:lang w:val="en-AU"/>
              </w:rPr>
            </w:pPr>
            <w:r w:rsidRPr="005C46BE">
              <w:rPr>
                <w:rFonts w:ascii="Arial" w:hAnsi="Arial" w:cs="Arial"/>
                <w:szCs w:val="20"/>
                <w:lang w:val="en-AU"/>
              </w:rPr>
              <w:t>Accreditation outcomes against the NSQHS Standards as part of the AHSSQA Scheme</w:t>
            </w:r>
          </w:p>
        </w:tc>
        <w:tc>
          <w:tcPr>
            <w:tcW w:w="2680" w:type="pct"/>
          </w:tcPr>
          <w:p w14:paraId="4C0A696E" w14:textId="77777777" w:rsidR="002622A2" w:rsidRPr="005C46BE" w:rsidRDefault="002622A2" w:rsidP="008702BC">
            <w:pPr>
              <w:pStyle w:val="EYBodytextwithparaspace"/>
              <w:spacing w:before="120" w:after="120"/>
              <w:rPr>
                <w:rFonts w:ascii="Arial" w:hAnsi="Arial" w:cs="Arial"/>
                <w:szCs w:val="20"/>
                <w:lang w:val="en-AU"/>
              </w:rPr>
            </w:pPr>
            <w:r w:rsidRPr="005C46BE">
              <w:rPr>
                <w:rFonts w:ascii="Arial" w:hAnsi="Arial" w:cs="Arial"/>
                <w:szCs w:val="20"/>
                <w:lang w:val="en-AU"/>
              </w:rPr>
              <w:t>Approved accrediting agencies</w:t>
            </w:r>
          </w:p>
        </w:tc>
      </w:tr>
      <w:tr w:rsidR="002622A2" w:rsidRPr="005C46BE" w14:paraId="3F5C4CE3" w14:textId="77777777" w:rsidTr="002622A2">
        <w:trPr>
          <w:cnfStyle w:val="000000010000" w:firstRow="0" w:lastRow="0" w:firstColumn="0" w:lastColumn="0" w:oddVBand="0" w:evenVBand="0" w:oddHBand="0" w:evenHBand="1" w:firstRowFirstColumn="0" w:firstRowLastColumn="0" w:lastRowFirstColumn="0" w:lastRowLastColumn="0"/>
        </w:trPr>
        <w:tc>
          <w:tcPr>
            <w:tcW w:w="2320" w:type="pct"/>
          </w:tcPr>
          <w:p w14:paraId="0C1705A5" w14:textId="77777777" w:rsidR="002622A2" w:rsidRPr="005C46BE" w:rsidRDefault="002622A2" w:rsidP="008702BC">
            <w:pPr>
              <w:pStyle w:val="EYBodytextwithparaspace"/>
              <w:spacing w:before="120" w:after="120"/>
              <w:rPr>
                <w:rFonts w:ascii="Arial" w:hAnsi="Arial" w:cs="Arial"/>
                <w:szCs w:val="20"/>
                <w:lang w:val="en-AU"/>
              </w:rPr>
            </w:pPr>
            <w:r w:rsidRPr="005C46BE">
              <w:rPr>
                <w:rFonts w:ascii="Arial" w:hAnsi="Arial" w:cs="Arial"/>
                <w:szCs w:val="20"/>
                <w:lang w:val="en-AU"/>
              </w:rPr>
              <w:t>Accreditation outcomes against the NSQPCH Standards as part of the AHSSQA Scheme</w:t>
            </w:r>
          </w:p>
        </w:tc>
        <w:tc>
          <w:tcPr>
            <w:tcW w:w="2680" w:type="pct"/>
          </w:tcPr>
          <w:p w14:paraId="6A4049CE" w14:textId="77777777" w:rsidR="002622A2" w:rsidRPr="005C46BE" w:rsidRDefault="002622A2" w:rsidP="008702BC">
            <w:pPr>
              <w:pStyle w:val="EYBodytextwithparaspace"/>
              <w:spacing w:before="120" w:after="120"/>
              <w:rPr>
                <w:rFonts w:ascii="Arial" w:hAnsi="Arial" w:cs="Arial"/>
                <w:szCs w:val="20"/>
                <w:lang w:val="en-AU"/>
              </w:rPr>
            </w:pPr>
            <w:r w:rsidRPr="005C46BE">
              <w:rPr>
                <w:rFonts w:ascii="Arial" w:hAnsi="Arial" w:cs="Arial"/>
                <w:szCs w:val="20"/>
                <w:lang w:val="en-AU"/>
              </w:rPr>
              <w:t xml:space="preserve">Approved accrediting agencies </w:t>
            </w:r>
          </w:p>
        </w:tc>
      </w:tr>
      <w:tr w:rsidR="002622A2" w:rsidRPr="00F320B0" w14:paraId="32443124" w14:textId="77777777" w:rsidTr="002622A2">
        <w:tc>
          <w:tcPr>
            <w:tcW w:w="2320" w:type="pct"/>
          </w:tcPr>
          <w:p w14:paraId="52FE6D44" w14:textId="77777777" w:rsidR="002622A2" w:rsidRPr="00F320B0" w:rsidRDefault="002622A2" w:rsidP="008702BC">
            <w:pPr>
              <w:pStyle w:val="EYBodytextwithparaspace"/>
              <w:spacing w:before="120" w:after="120"/>
              <w:rPr>
                <w:rFonts w:ascii="Arial" w:hAnsi="Arial" w:cs="Arial"/>
                <w:szCs w:val="20"/>
                <w:lang w:val="en-AU"/>
              </w:rPr>
            </w:pPr>
            <w:r w:rsidRPr="00F320B0">
              <w:rPr>
                <w:rFonts w:ascii="Arial" w:hAnsi="Arial" w:cs="Arial"/>
                <w:szCs w:val="20"/>
                <w:lang w:val="en-AU"/>
              </w:rPr>
              <w:t xml:space="preserve">Accreditation outcomes against the </w:t>
            </w:r>
            <w:r w:rsidRPr="00F320B0">
              <w:rPr>
                <w:rFonts w:ascii="Arial" w:hAnsi="Arial" w:cs="Arial"/>
                <w:i/>
                <w:iCs/>
                <w:szCs w:val="20"/>
                <w:lang w:val="en-AU"/>
              </w:rPr>
              <w:t>RACGP Standards for General Practitioners</w:t>
            </w:r>
            <w:r w:rsidRPr="00F320B0">
              <w:rPr>
                <w:rFonts w:ascii="Arial" w:hAnsi="Arial" w:cs="Arial"/>
                <w:szCs w:val="20"/>
                <w:lang w:val="en-AU"/>
              </w:rPr>
              <w:t xml:space="preserve"> as part of the NGPA Scheme</w:t>
            </w:r>
          </w:p>
        </w:tc>
        <w:tc>
          <w:tcPr>
            <w:tcW w:w="2680" w:type="pct"/>
          </w:tcPr>
          <w:p w14:paraId="05B2AA84" w14:textId="77777777" w:rsidR="002622A2" w:rsidRPr="00F320B0" w:rsidRDefault="002622A2" w:rsidP="008702BC">
            <w:pPr>
              <w:pStyle w:val="EYBodytextwithparaspace"/>
              <w:spacing w:before="120" w:after="120"/>
              <w:rPr>
                <w:rFonts w:ascii="Arial" w:hAnsi="Arial" w:cs="Arial"/>
                <w:szCs w:val="20"/>
                <w:lang w:val="en-AU"/>
              </w:rPr>
            </w:pPr>
            <w:r w:rsidRPr="00F320B0">
              <w:rPr>
                <w:rFonts w:ascii="Arial" w:hAnsi="Arial" w:cs="Arial"/>
                <w:szCs w:val="20"/>
                <w:lang w:val="en-AU"/>
              </w:rPr>
              <w:t>Approved accrediting agencies</w:t>
            </w:r>
          </w:p>
        </w:tc>
      </w:tr>
      <w:tr w:rsidR="002622A2" w:rsidRPr="00F320B0" w14:paraId="4E46FD92" w14:textId="77777777" w:rsidTr="002622A2">
        <w:trPr>
          <w:cnfStyle w:val="000000010000" w:firstRow="0" w:lastRow="0" w:firstColumn="0" w:lastColumn="0" w:oddVBand="0" w:evenVBand="0" w:oddHBand="0" w:evenHBand="1" w:firstRowFirstColumn="0" w:firstRowLastColumn="0" w:lastRowFirstColumn="0" w:lastRowLastColumn="0"/>
        </w:trPr>
        <w:tc>
          <w:tcPr>
            <w:tcW w:w="2320" w:type="pct"/>
          </w:tcPr>
          <w:p w14:paraId="7D1E0BD7" w14:textId="77777777" w:rsidR="002622A2" w:rsidRPr="00F320B0" w:rsidRDefault="002622A2" w:rsidP="008702BC">
            <w:pPr>
              <w:pStyle w:val="EYBodytextwithparaspace"/>
              <w:spacing w:before="120" w:after="120"/>
              <w:rPr>
                <w:rFonts w:ascii="Arial" w:hAnsi="Arial" w:cs="Arial"/>
                <w:szCs w:val="20"/>
                <w:lang w:val="en-AU"/>
              </w:rPr>
            </w:pPr>
            <w:r w:rsidRPr="00F320B0">
              <w:rPr>
                <w:rFonts w:ascii="Arial" w:hAnsi="Arial" w:cs="Arial"/>
                <w:szCs w:val="20"/>
                <w:lang w:val="en-AU"/>
              </w:rPr>
              <w:t>Acute hospital EMM self-assessment data.</w:t>
            </w:r>
          </w:p>
        </w:tc>
        <w:tc>
          <w:tcPr>
            <w:tcW w:w="2680" w:type="pct"/>
          </w:tcPr>
          <w:p w14:paraId="04B9282D" w14:textId="77777777" w:rsidR="002622A2" w:rsidRPr="00F320B0" w:rsidRDefault="002622A2" w:rsidP="008702BC">
            <w:pPr>
              <w:pStyle w:val="EYBodytextwithparaspace"/>
              <w:spacing w:before="120" w:after="120"/>
              <w:rPr>
                <w:rFonts w:ascii="Arial" w:hAnsi="Arial" w:cs="Arial"/>
                <w:szCs w:val="20"/>
                <w:lang w:val="en-AU"/>
              </w:rPr>
            </w:pPr>
            <w:r w:rsidRPr="00F320B0">
              <w:rPr>
                <w:rFonts w:ascii="Arial" w:hAnsi="Arial" w:cs="Arial"/>
                <w:szCs w:val="20"/>
                <w:lang w:val="en-AU"/>
              </w:rPr>
              <w:t>Respective Health Service Organisations</w:t>
            </w:r>
          </w:p>
        </w:tc>
      </w:tr>
      <w:tr w:rsidR="002622A2" w:rsidRPr="00237F55" w14:paraId="78EB42AA" w14:textId="77777777" w:rsidTr="002622A2">
        <w:tc>
          <w:tcPr>
            <w:tcW w:w="2320" w:type="pct"/>
          </w:tcPr>
          <w:p w14:paraId="147A9EDC" w14:textId="77777777" w:rsidR="002622A2" w:rsidRPr="006B423F" w:rsidRDefault="002622A2" w:rsidP="008702BC">
            <w:pPr>
              <w:spacing w:after="240"/>
              <w:contextualSpacing/>
              <w:rPr>
                <w:rFonts w:cs="Arial"/>
                <w:b/>
                <w:bCs/>
                <w:szCs w:val="20"/>
              </w:rPr>
            </w:pPr>
            <w:r w:rsidRPr="006B423F">
              <w:rPr>
                <w:rFonts w:cs="Arial"/>
                <w:szCs w:val="20"/>
              </w:rPr>
              <w:t>ANZICS CORE CLABSI Registry</w:t>
            </w:r>
          </w:p>
          <w:p w14:paraId="3F2D2913" w14:textId="77777777" w:rsidR="002622A2" w:rsidRPr="00237F55" w:rsidRDefault="002622A2" w:rsidP="008702BC">
            <w:pPr>
              <w:spacing w:after="240"/>
              <w:contextualSpacing/>
              <w:rPr>
                <w:rFonts w:cs="Arial"/>
                <w:szCs w:val="20"/>
              </w:rPr>
            </w:pPr>
          </w:p>
        </w:tc>
        <w:tc>
          <w:tcPr>
            <w:tcW w:w="2680" w:type="pct"/>
          </w:tcPr>
          <w:p w14:paraId="428D9EDC" w14:textId="77777777" w:rsidR="002622A2" w:rsidRPr="006B423F" w:rsidRDefault="002622A2" w:rsidP="008702BC">
            <w:pPr>
              <w:spacing w:after="240"/>
              <w:contextualSpacing/>
              <w:rPr>
                <w:rFonts w:cs="Arial"/>
                <w:szCs w:val="20"/>
              </w:rPr>
            </w:pPr>
            <w:r w:rsidRPr="006B423F">
              <w:rPr>
                <w:rFonts w:cs="Arial"/>
                <w:szCs w:val="20"/>
              </w:rPr>
              <w:t>Source: Australian Intensive Care Units</w:t>
            </w:r>
          </w:p>
          <w:p w14:paraId="4E143969" w14:textId="77777777" w:rsidR="002622A2" w:rsidRPr="00237F55" w:rsidRDefault="002622A2" w:rsidP="008702BC">
            <w:pPr>
              <w:spacing w:after="240"/>
              <w:contextualSpacing/>
              <w:rPr>
                <w:rFonts w:cs="Arial"/>
                <w:szCs w:val="20"/>
              </w:rPr>
            </w:pPr>
            <w:r w:rsidRPr="006B423F">
              <w:rPr>
                <w:rFonts w:cs="Arial"/>
                <w:szCs w:val="20"/>
              </w:rPr>
              <w:t>Authorising entity: ANZICS</w:t>
            </w:r>
          </w:p>
        </w:tc>
      </w:tr>
      <w:tr w:rsidR="002622A2" w:rsidRPr="00F320B0" w14:paraId="34FAABF6" w14:textId="77777777" w:rsidTr="002622A2">
        <w:trPr>
          <w:cnfStyle w:val="000000010000" w:firstRow="0" w:lastRow="0" w:firstColumn="0" w:lastColumn="0" w:oddVBand="0" w:evenVBand="0" w:oddHBand="0" w:evenHBand="1" w:firstRowFirstColumn="0" w:firstRowLastColumn="0" w:lastRowFirstColumn="0" w:lastRowLastColumn="0"/>
        </w:trPr>
        <w:tc>
          <w:tcPr>
            <w:tcW w:w="2320" w:type="pct"/>
          </w:tcPr>
          <w:p w14:paraId="74696592" w14:textId="77777777" w:rsidR="002622A2" w:rsidRPr="00F320B0" w:rsidRDefault="002622A2" w:rsidP="008702BC">
            <w:pPr>
              <w:pStyle w:val="CommentText"/>
              <w:spacing w:before="120" w:after="120"/>
              <w:rPr>
                <w:rFonts w:cs="Arial"/>
              </w:rPr>
            </w:pPr>
            <w:r w:rsidRPr="00F320B0">
              <w:rPr>
                <w:rFonts w:cs="Arial"/>
              </w:rPr>
              <w:t>Assessment outcomes against National Pathology Accreditation Advisory Council (NPAAC) Standards</w:t>
            </w:r>
          </w:p>
        </w:tc>
        <w:tc>
          <w:tcPr>
            <w:tcW w:w="2680" w:type="pct"/>
          </w:tcPr>
          <w:p w14:paraId="0A6A8EF3" w14:textId="77777777" w:rsidR="002622A2" w:rsidRPr="00F320B0" w:rsidRDefault="002622A2" w:rsidP="008702BC">
            <w:pPr>
              <w:pStyle w:val="EYBodytextwithparaspace"/>
              <w:spacing w:before="120" w:after="120"/>
              <w:rPr>
                <w:rFonts w:ascii="Arial" w:hAnsi="Arial" w:cs="Arial"/>
                <w:szCs w:val="20"/>
                <w:lang w:val="en-AU"/>
              </w:rPr>
            </w:pPr>
            <w:r w:rsidRPr="00F320B0">
              <w:rPr>
                <w:rFonts w:ascii="Arial" w:hAnsi="Arial" w:cs="Arial"/>
                <w:szCs w:val="20"/>
                <w:lang w:val="en-AU"/>
              </w:rPr>
              <w:t>Approved accrediting agencies</w:t>
            </w:r>
          </w:p>
        </w:tc>
      </w:tr>
      <w:tr w:rsidR="002622A2" w:rsidRPr="00F320B0" w14:paraId="78CFD280" w14:textId="77777777" w:rsidTr="002622A2">
        <w:tc>
          <w:tcPr>
            <w:tcW w:w="2320" w:type="pct"/>
          </w:tcPr>
          <w:p w14:paraId="0FA3D23D" w14:textId="77777777" w:rsidR="002622A2" w:rsidRPr="00F320B0" w:rsidRDefault="002622A2" w:rsidP="008702BC">
            <w:pPr>
              <w:spacing w:after="240"/>
              <w:contextualSpacing/>
              <w:rPr>
                <w:rFonts w:cs="Arial"/>
                <w:szCs w:val="20"/>
              </w:rPr>
            </w:pPr>
            <w:r w:rsidRPr="00F320B0">
              <w:rPr>
                <w:rFonts w:cs="Arial"/>
                <w:szCs w:val="20"/>
              </w:rPr>
              <w:t xml:space="preserve">AURA surveillance </w:t>
            </w:r>
            <w:r>
              <w:rPr>
                <w:rFonts w:cs="Arial"/>
                <w:szCs w:val="20"/>
              </w:rPr>
              <w:t xml:space="preserve">program </w:t>
            </w:r>
            <w:r w:rsidRPr="00F320B0">
              <w:rPr>
                <w:rFonts w:cs="Arial"/>
                <w:szCs w:val="20"/>
              </w:rPr>
              <w:t>data</w:t>
            </w:r>
            <w:r>
              <w:rPr>
                <w:rFonts w:cs="Arial"/>
                <w:szCs w:val="20"/>
              </w:rPr>
              <w:t xml:space="preserve"> -</w:t>
            </w:r>
          </w:p>
          <w:p w14:paraId="1AC527C8" w14:textId="77777777" w:rsidR="002622A2" w:rsidRPr="00F320B0" w:rsidRDefault="002622A2" w:rsidP="008702BC">
            <w:pPr>
              <w:pStyle w:val="EYBodytextwithparaspace"/>
              <w:rPr>
                <w:rFonts w:ascii="Arial" w:hAnsi="Arial" w:cs="Arial"/>
                <w:szCs w:val="20"/>
                <w:lang w:val="en-AU"/>
              </w:rPr>
            </w:pPr>
            <w:r w:rsidRPr="00F320B0">
              <w:rPr>
                <w:rFonts w:ascii="Arial" w:hAnsi="Arial" w:cs="Arial"/>
                <w:szCs w:val="20"/>
                <w:lang w:val="en-AU"/>
              </w:rPr>
              <w:t>AGAR</w:t>
            </w:r>
          </w:p>
          <w:p w14:paraId="1893F149" w14:textId="77777777" w:rsidR="002622A2" w:rsidRPr="00F320B0" w:rsidRDefault="002622A2" w:rsidP="008702BC">
            <w:pPr>
              <w:pStyle w:val="EYBodytextwithparaspace"/>
              <w:rPr>
                <w:rFonts w:ascii="Arial" w:hAnsi="Arial" w:cs="Arial"/>
                <w:szCs w:val="20"/>
                <w:lang w:val="en-AU"/>
              </w:rPr>
            </w:pPr>
            <w:r w:rsidRPr="00F320B0">
              <w:rPr>
                <w:rFonts w:ascii="Arial" w:hAnsi="Arial" w:cs="Arial"/>
                <w:szCs w:val="20"/>
                <w:lang w:val="en-AU"/>
              </w:rPr>
              <w:t>APAS</w:t>
            </w:r>
          </w:p>
          <w:p w14:paraId="3932562E" w14:textId="77777777" w:rsidR="002622A2" w:rsidRPr="00F320B0" w:rsidRDefault="002622A2" w:rsidP="002622A2">
            <w:pPr>
              <w:pStyle w:val="EYBodytextwithparaspace"/>
              <w:rPr>
                <w:rFonts w:cs="Arial"/>
              </w:rPr>
            </w:pPr>
          </w:p>
        </w:tc>
        <w:tc>
          <w:tcPr>
            <w:tcW w:w="2680" w:type="pct"/>
          </w:tcPr>
          <w:p w14:paraId="5B20FAFA" w14:textId="77777777" w:rsidR="002622A2" w:rsidRPr="00F320B0" w:rsidRDefault="002622A2" w:rsidP="008702BC">
            <w:pPr>
              <w:pStyle w:val="EYBodytextwithparaspace"/>
              <w:rPr>
                <w:rFonts w:ascii="Arial" w:hAnsi="Arial" w:cs="Arial"/>
                <w:szCs w:val="20"/>
                <w:lang w:val="en-AU"/>
              </w:rPr>
            </w:pPr>
            <w:r w:rsidRPr="00F320B0">
              <w:rPr>
                <w:rFonts w:ascii="Arial" w:hAnsi="Arial" w:cs="Arial"/>
                <w:szCs w:val="20"/>
                <w:lang w:val="en-AU"/>
              </w:rPr>
              <w:t>In general resistance data is supplied by a voluntary cohort of public and private laboratory systems from all states and territories and mandatory state and territory notifiable diseases data collections to:</w:t>
            </w:r>
          </w:p>
          <w:p w14:paraId="1B49219D" w14:textId="77777777" w:rsidR="002622A2" w:rsidRPr="00F320B0" w:rsidRDefault="002622A2" w:rsidP="008702BC">
            <w:pPr>
              <w:pStyle w:val="EYBodytextwithparaspace"/>
              <w:rPr>
                <w:rFonts w:ascii="Arial" w:hAnsi="Arial" w:cs="Arial"/>
                <w:szCs w:val="20"/>
                <w:lang w:val="en-AU"/>
              </w:rPr>
            </w:pPr>
            <w:r w:rsidRPr="00F320B0">
              <w:rPr>
                <w:rFonts w:ascii="Arial" w:hAnsi="Arial" w:cs="Arial"/>
                <w:szCs w:val="20"/>
                <w:lang w:val="en-AU"/>
              </w:rPr>
              <w:t>AGAR – auspiced by Australian Society for Antimicrobials</w:t>
            </w:r>
          </w:p>
          <w:p w14:paraId="50CD8E10" w14:textId="1C668475" w:rsidR="002622A2" w:rsidRPr="002622A2" w:rsidRDefault="002622A2" w:rsidP="002622A2">
            <w:pPr>
              <w:pStyle w:val="EYBodytextwithparaspace"/>
              <w:rPr>
                <w:rFonts w:ascii="Arial" w:hAnsi="Arial" w:cs="Arial"/>
                <w:szCs w:val="20"/>
                <w:lang w:val="en-AU"/>
              </w:rPr>
            </w:pPr>
            <w:r w:rsidRPr="00F320B0">
              <w:rPr>
                <w:rFonts w:ascii="Arial" w:hAnsi="Arial" w:cs="Arial"/>
                <w:szCs w:val="20"/>
                <w:lang w:val="en-AU"/>
              </w:rPr>
              <w:t>APAS – A passive resistance data set from public and private laboratories in all states and territories (except the Northern Territory) which submit data from the laboratory information systems to the Queensland Health OrgTrx System via a secure staging system</w:t>
            </w:r>
            <w:r>
              <w:rPr>
                <w:rFonts w:ascii="Arial" w:hAnsi="Arial" w:cs="Arial"/>
                <w:szCs w:val="20"/>
                <w:lang w:val="en-AU"/>
              </w:rPr>
              <w:t xml:space="preserve">. </w:t>
            </w:r>
            <w:r w:rsidRPr="007A7D78">
              <w:rPr>
                <w:rFonts w:ascii="Arial" w:hAnsi="Arial" w:cs="Arial"/>
                <w:szCs w:val="20"/>
                <w:lang w:val="en-AU"/>
              </w:rPr>
              <w:t>The Commission is the data custodian.</w:t>
            </w:r>
          </w:p>
        </w:tc>
      </w:tr>
      <w:tr w:rsidR="002622A2" w:rsidRPr="00237F55" w14:paraId="7AF49789" w14:textId="77777777" w:rsidTr="002622A2">
        <w:trPr>
          <w:cnfStyle w:val="000000010000" w:firstRow="0" w:lastRow="0" w:firstColumn="0" w:lastColumn="0" w:oddVBand="0" w:evenVBand="0" w:oddHBand="0" w:evenHBand="1" w:firstRowFirstColumn="0" w:firstRowLastColumn="0" w:lastRowFirstColumn="0" w:lastRowLastColumn="0"/>
          <w:trHeight w:val="623"/>
        </w:trPr>
        <w:tc>
          <w:tcPr>
            <w:tcW w:w="2320" w:type="pct"/>
          </w:tcPr>
          <w:p w14:paraId="57CB7EC5" w14:textId="77777777" w:rsidR="002622A2" w:rsidRPr="00237F55" w:rsidRDefault="002622A2" w:rsidP="008702BC">
            <w:pPr>
              <w:spacing w:after="240"/>
              <w:contextualSpacing/>
              <w:rPr>
                <w:rFonts w:cs="Arial"/>
                <w:szCs w:val="20"/>
              </w:rPr>
            </w:pPr>
            <w:r w:rsidRPr="006B423F">
              <w:rPr>
                <w:rFonts w:cs="Arial"/>
                <w:szCs w:val="20"/>
              </w:rPr>
              <w:t xml:space="preserve">CARAlert </w:t>
            </w:r>
          </w:p>
        </w:tc>
        <w:tc>
          <w:tcPr>
            <w:tcW w:w="2680" w:type="pct"/>
          </w:tcPr>
          <w:p w14:paraId="34CB3897" w14:textId="77777777" w:rsidR="002622A2" w:rsidRDefault="002622A2" w:rsidP="008702BC">
            <w:pPr>
              <w:spacing w:after="240"/>
              <w:contextualSpacing/>
              <w:rPr>
                <w:rFonts w:cs="Arial"/>
                <w:szCs w:val="20"/>
              </w:rPr>
            </w:pPr>
            <w:r w:rsidRPr="006B423F">
              <w:rPr>
                <w:rFonts w:cs="Arial"/>
                <w:szCs w:val="20"/>
              </w:rPr>
              <w:t>Supplied by public and private specialised laboratories which confirm critical antimicrobial resistances to the Commission’s secure web portal</w:t>
            </w:r>
            <w:r>
              <w:rPr>
                <w:rFonts w:cs="Arial"/>
                <w:szCs w:val="20"/>
              </w:rPr>
              <w:t>.</w:t>
            </w:r>
            <w:r w:rsidRPr="006B423F">
              <w:rPr>
                <w:rFonts w:cs="Arial"/>
                <w:szCs w:val="20"/>
              </w:rPr>
              <w:t xml:space="preserve"> </w:t>
            </w:r>
          </w:p>
          <w:p w14:paraId="7346B758" w14:textId="77777777" w:rsidR="002622A2" w:rsidRPr="00237F55" w:rsidRDefault="002622A2" w:rsidP="008702BC">
            <w:pPr>
              <w:spacing w:after="240"/>
              <w:contextualSpacing/>
              <w:rPr>
                <w:rFonts w:cs="Arial"/>
                <w:szCs w:val="20"/>
              </w:rPr>
            </w:pPr>
            <w:r w:rsidRPr="007A7D78">
              <w:rPr>
                <w:rFonts w:cs="Arial"/>
                <w:szCs w:val="20"/>
              </w:rPr>
              <w:t>The Commission is the data custodian</w:t>
            </w:r>
          </w:p>
        </w:tc>
      </w:tr>
      <w:tr w:rsidR="002622A2" w:rsidRPr="00237F55" w14:paraId="16222819" w14:textId="77777777" w:rsidTr="002622A2">
        <w:trPr>
          <w:trHeight w:val="623"/>
        </w:trPr>
        <w:tc>
          <w:tcPr>
            <w:tcW w:w="2320" w:type="pct"/>
          </w:tcPr>
          <w:p w14:paraId="14666A9E" w14:textId="77777777" w:rsidR="002622A2" w:rsidRPr="00237F55" w:rsidRDefault="002622A2" w:rsidP="008702BC">
            <w:pPr>
              <w:spacing w:after="240"/>
              <w:contextualSpacing/>
              <w:rPr>
                <w:rFonts w:cs="Arial"/>
                <w:szCs w:val="20"/>
              </w:rPr>
            </w:pPr>
            <w:r w:rsidRPr="006B423F">
              <w:rPr>
                <w:rFonts w:cs="Arial"/>
                <w:szCs w:val="20"/>
              </w:rPr>
              <w:lastRenderedPageBreak/>
              <w:t>Clinical quality registries</w:t>
            </w:r>
          </w:p>
        </w:tc>
        <w:tc>
          <w:tcPr>
            <w:tcW w:w="2680" w:type="pct"/>
          </w:tcPr>
          <w:p w14:paraId="3814EF03" w14:textId="77777777" w:rsidR="002622A2" w:rsidRPr="00237F55" w:rsidRDefault="002622A2" w:rsidP="008702BC">
            <w:pPr>
              <w:spacing w:after="240"/>
              <w:contextualSpacing/>
              <w:rPr>
                <w:rFonts w:cs="Arial"/>
                <w:szCs w:val="20"/>
              </w:rPr>
            </w:pPr>
            <w:r w:rsidRPr="006B423F">
              <w:rPr>
                <w:rFonts w:cs="Arial"/>
                <w:szCs w:val="20"/>
              </w:rPr>
              <w:t xml:space="preserve">Operated by or for clinical societies and colleges, and registry operators. </w:t>
            </w:r>
          </w:p>
        </w:tc>
      </w:tr>
      <w:tr w:rsidR="002622A2" w:rsidRPr="006B423F" w14:paraId="0444D53A" w14:textId="77777777" w:rsidTr="002622A2">
        <w:trPr>
          <w:cnfStyle w:val="000000010000" w:firstRow="0" w:lastRow="0" w:firstColumn="0" w:lastColumn="0" w:oddVBand="0" w:evenVBand="0" w:oddHBand="0" w:evenHBand="1" w:firstRowFirstColumn="0" w:firstRowLastColumn="0" w:lastRowFirstColumn="0" w:lastRowLastColumn="0"/>
        </w:trPr>
        <w:tc>
          <w:tcPr>
            <w:tcW w:w="2320" w:type="pct"/>
          </w:tcPr>
          <w:p w14:paraId="37691109" w14:textId="77777777" w:rsidR="002622A2" w:rsidRPr="006B423F" w:rsidRDefault="002622A2" w:rsidP="008702BC">
            <w:pPr>
              <w:spacing w:after="240"/>
              <w:contextualSpacing/>
              <w:rPr>
                <w:rFonts w:cs="Arial"/>
                <w:b/>
                <w:bCs/>
                <w:szCs w:val="20"/>
              </w:rPr>
            </w:pPr>
            <w:r w:rsidRPr="006B423F">
              <w:rPr>
                <w:rFonts w:cs="Arial"/>
                <w:szCs w:val="20"/>
              </w:rPr>
              <w:t>Infection Prevention and Control and NHHI eLearning utilisation data</w:t>
            </w:r>
          </w:p>
        </w:tc>
        <w:tc>
          <w:tcPr>
            <w:tcW w:w="2680" w:type="pct"/>
          </w:tcPr>
          <w:p w14:paraId="54BF6AD3" w14:textId="77777777" w:rsidR="002622A2" w:rsidRPr="00237F55" w:rsidRDefault="002622A2" w:rsidP="008702BC">
            <w:pPr>
              <w:spacing w:after="240"/>
              <w:contextualSpacing/>
              <w:rPr>
                <w:rFonts w:cs="Arial"/>
                <w:szCs w:val="20"/>
              </w:rPr>
            </w:pPr>
            <w:r w:rsidRPr="006B423F">
              <w:rPr>
                <w:rFonts w:cs="Arial"/>
                <w:szCs w:val="20"/>
              </w:rPr>
              <w:t>Source: NHHI LMS</w:t>
            </w:r>
          </w:p>
          <w:p w14:paraId="4E71F159" w14:textId="77777777" w:rsidR="002622A2" w:rsidRPr="006B423F" w:rsidRDefault="002622A2" w:rsidP="008702BC">
            <w:pPr>
              <w:spacing w:after="240"/>
              <w:contextualSpacing/>
              <w:rPr>
                <w:rFonts w:cs="Arial"/>
                <w:szCs w:val="20"/>
              </w:rPr>
            </w:pPr>
            <w:r w:rsidRPr="006B423F">
              <w:rPr>
                <w:rFonts w:cs="Arial"/>
                <w:szCs w:val="20"/>
              </w:rPr>
              <w:t>Authorising entity: ACSQHC for access; individual organisations for organisational level data</w:t>
            </w:r>
          </w:p>
        </w:tc>
      </w:tr>
      <w:tr w:rsidR="002622A2" w:rsidRPr="006B423F" w14:paraId="3D43DE8C" w14:textId="77777777" w:rsidTr="002622A2">
        <w:tc>
          <w:tcPr>
            <w:tcW w:w="2320" w:type="pct"/>
          </w:tcPr>
          <w:p w14:paraId="5FB4C924" w14:textId="77777777" w:rsidR="002622A2" w:rsidRPr="006B423F" w:rsidRDefault="002622A2" w:rsidP="008702BC">
            <w:pPr>
              <w:spacing w:after="240"/>
              <w:contextualSpacing/>
              <w:rPr>
                <w:rFonts w:cs="Arial"/>
                <w:szCs w:val="20"/>
              </w:rPr>
            </w:pPr>
            <w:r w:rsidRPr="006B423F">
              <w:rPr>
                <w:rFonts w:cs="Arial"/>
                <w:szCs w:val="20"/>
              </w:rPr>
              <w:t>Master list of accredited clinical trials sites</w:t>
            </w:r>
          </w:p>
        </w:tc>
        <w:tc>
          <w:tcPr>
            <w:tcW w:w="2680" w:type="pct"/>
          </w:tcPr>
          <w:p w14:paraId="35955753" w14:textId="77777777" w:rsidR="002622A2" w:rsidRPr="006B423F" w:rsidRDefault="002622A2" w:rsidP="008702BC">
            <w:pPr>
              <w:spacing w:after="240"/>
              <w:contextualSpacing/>
              <w:rPr>
                <w:rFonts w:cs="Arial"/>
                <w:szCs w:val="20"/>
              </w:rPr>
            </w:pPr>
            <w:r w:rsidRPr="006B423F">
              <w:rPr>
                <w:rFonts w:cs="Arial"/>
                <w:szCs w:val="20"/>
              </w:rPr>
              <w:t>Collected by the Commission from regulators and approved accrediting agencies</w:t>
            </w:r>
          </w:p>
        </w:tc>
      </w:tr>
      <w:tr w:rsidR="002622A2" w:rsidRPr="006B423F" w14:paraId="1D1E3333" w14:textId="77777777" w:rsidTr="002622A2">
        <w:trPr>
          <w:cnfStyle w:val="000000010000" w:firstRow="0" w:lastRow="0" w:firstColumn="0" w:lastColumn="0" w:oddVBand="0" w:evenVBand="0" w:oddHBand="0" w:evenHBand="1" w:firstRowFirstColumn="0" w:firstRowLastColumn="0" w:lastRowFirstColumn="0" w:lastRowLastColumn="0"/>
        </w:trPr>
        <w:tc>
          <w:tcPr>
            <w:tcW w:w="2320" w:type="pct"/>
          </w:tcPr>
          <w:p w14:paraId="6FBD8111" w14:textId="77777777" w:rsidR="002622A2" w:rsidRPr="006B423F" w:rsidRDefault="002622A2" w:rsidP="008702BC">
            <w:pPr>
              <w:spacing w:after="240"/>
              <w:contextualSpacing/>
              <w:rPr>
                <w:rFonts w:cs="Arial"/>
                <w:szCs w:val="20"/>
              </w:rPr>
            </w:pPr>
            <w:r w:rsidRPr="006B423F">
              <w:rPr>
                <w:rFonts w:cs="Arial"/>
                <w:szCs w:val="20"/>
              </w:rPr>
              <w:t>Master list of accredited digital mental health providers</w:t>
            </w:r>
          </w:p>
        </w:tc>
        <w:tc>
          <w:tcPr>
            <w:tcW w:w="2680" w:type="pct"/>
          </w:tcPr>
          <w:p w14:paraId="540D4BB5" w14:textId="77777777" w:rsidR="002622A2" w:rsidRPr="006B423F" w:rsidRDefault="002622A2" w:rsidP="008702BC">
            <w:pPr>
              <w:spacing w:after="240"/>
              <w:contextualSpacing/>
              <w:rPr>
                <w:rFonts w:cs="Arial"/>
                <w:szCs w:val="20"/>
              </w:rPr>
            </w:pPr>
            <w:r w:rsidRPr="006B423F">
              <w:rPr>
                <w:rFonts w:cs="Arial"/>
                <w:szCs w:val="20"/>
              </w:rPr>
              <w:t>Collected by the Commission from regulators and approved accrediting agencies</w:t>
            </w:r>
          </w:p>
        </w:tc>
      </w:tr>
      <w:tr w:rsidR="002622A2" w:rsidRPr="006B423F" w14:paraId="5BCC87F8" w14:textId="77777777" w:rsidTr="002622A2">
        <w:tc>
          <w:tcPr>
            <w:tcW w:w="2320" w:type="pct"/>
          </w:tcPr>
          <w:p w14:paraId="2A9EFA34" w14:textId="77777777" w:rsidR="002622A2" w:rsidRPr="006B423F" w:rsidRDefault="002622A2" w:rsidP="008702BC">
            <w:pPr>
              <w:spacing w:after="240"/>
              <w:contextualSpacing/>
              <w:rPr>
                <w:rFonts w:cs="Arial"/>
                <w:szCs w:val="20"/>
              </w:rPr>
            </w:pPr>
            <w:r w:rsidRPr="006B423F">
              <w:rPr>
                <w:rFonts w:cs="Arial"/>
                <w:szCs w:val="20"/>
              </w:rPr>
              <w:t>Master list of accredited general practices</w:t>
            </w:r>
          </w:p>
        </w:tc>
        <w:tc>
          <w:tcPr>
            <w:tcW w:w="2680" w:type="pct"/>
          </w:tcPr>
          <w:p w14:paraId="2FF16C17" w14:textId="77777777" w:rsidR="002622A2" w:rsidRPr="006B423F" w:rsidRDefault="002622A2" w:rsidP="008702BC">
            <w:pPr>
              <w:spacing w:after="240"/>
              <w:contextualSpacing/>
              <w:rPr>
                <w:rFonts w:cs="Arial"/>
                <w:szCs w:val="20"/>
              </w:rPr>
            </w:pPr>
            <w:r w:rsidRPr="006B423F">
              <w:rPr>
                <w:rFonts w:cs="Arial"/>
                <w:szCs w:val="20"/>
              </w:rPr>
              <w:t>Collected by the Commission from regulators and approved accrediting agencies</w:t>
            </w:r>
          </w:p>
        </w:tc>
      </w:tr>
      <w:tr w:rsidR="002622A2" w:rsidRPr="006B423F" w14:paraId="7AE403F7" w14:textId="77777777" w:rsidTr="002622A2">
        <w:trPr>
          <w:cnfStyle w:val="000000010000" w:firstRow="0" w:lastRow="0" w:firstColumn="0" w:lastColumn="0" w:oddVBand="0" w:evenVBand="0" w:oddHBand="0" w:evenHBand="1" w:firstRowFirstColumn="0" w:firstRowLastColumn="0" w:lastRowFirstColumn="0" w:lastRowLastColumn="0"/>
        </w:trPr>
        <w:tc>
          <w:tcPr>
            <w:tcW w:w="2320" w:type="pct"/>
          </w:tcPr>
          <w:p w14:paraId="50891839" w14:textId="77777777" w:rsidR="002622A2" w:rsidRPr="006B423F" w:rsidRDefault="002622A2" w:rsidP="008702BC">
            <w:pPr>
              <w:spacing w:after="240"/>
              <w:contextualSpacing/>
              <w:rPr>
                <w:rFonts w:cs="Arial"/>
                <w:szCs w:val="20"/>
              </w:rPr>
            </w:pPr>
            <w:r w:rsidRPr="006B423F">
              <w:rPr>
                <w:rFonts w:cs="Arial"/>
                <w:szCs w:val="20"/>
              </w:rPr>
              <w:t>Master list of accredited primary and community health services</w:t>
            </w:r>
          </w:p>
        </w:tc>
        <w:tc>
          <w:tcPr>
            <w:tcW w:w="2680" w:type="pct"/>
          </w:tcPr>
          <w:p w14:paraId="36732876" w14:textId="77777777" w:rsidR="002622A2" w:rsidRPr="006B423F" w:rsidRDefault="002622A2" w:rsidP="008702BC">
            <w:pPr>
              <w:spacing w:after="240"/>
              <w:contextualSpacing/>
              <w:rPr>
                <w:rFonts w:cs="Arial"/>
                <w:szCs w:val="20"/>
              </w:rPr>
            </w:pPr>
            <w:r w:rsidRPr="006B423F">
              <w:rPr>
                <w:rFonts w:cs="Arial"/>
                <w:szCs w:val="20"/>
              </w:rPr>
              <w:t>Collected by the Commission from regulators and approved accrediting agencies</w:t>
            </w:r>
          </w:p>
        </w:tc>
      </w:tr>
      <w:tr w:rsidR="002622A2" w:rsidRPr="006B423F" w14:paraId="398FC0E3" w14:textId="77777777" w:rsidTr="002622A2">
        <w:tc>
          <w:tcPr>
            <w:tcW w:w="2320" w:type="pct"/>
          </w:tcPr>
          <w:p w14:paraId="1879176A" w14:textId="77777777" w:rsidR="002622A2" w:rsidRPr="006B423F" w:rsidRDefault="002622A2" w:rsidP="008702BC">
            <w:pPr>
              <w:spacing w:after="240"/>
              <w:contextualSpacing/>
              <w:rPr>
                <w:rFonts w:cs="Arial"/>
                <w:szCs w:val="20"/>
              </w:rPr>
            </w:pPr>
            <w:r w:rsidRPr="006B423F">
              <w:rPr>
                <w:rFonts w:cs="Arial"/>
                <w:szCs w:val="20"/>
              </w:rPr>
              <w:t>MedicineInsight</w:t>
            </w:r>
          </w:p>
        </w:tc>
        <w:tc>
          <w:tcPr>
            <w:tcW w:w="2680" w:type="pct"/>
          </w:tcPr>
          <w:p w14:paraId="7883FA92" w14:textId="77777777" w:rsidR="002622A2" w:rsidRPr="00237F55" w:rsidRDefault="002622A2" w:rsidP="008702BC">
            <w:pPr>
              <w:spacing w:after="240"/>
              <w:contextualSpacing/>
              <w:rPr>
                <w:rFonts w:cs="Arial"/>
                <w:szCs w:val="20"/>
              </w:rPr>
            </w:pPr>
            <w:r w:rsidRPr="006B423F">
              <w:rPr>
                <w:rFonts w:cs="Arial"/>
                <w:szCs w:val="20"/>
              </w:rPr>
              <w:t>Data custodian: the Commission</w:t>
            </w:r>
          </w:p>
          <w:p w14:paraId="7A30B4A9" w14:textId="77777777" w:rsidR="002622A2" w:rsidRPr="006B423F" w:rsidRDefault="002622A2" w:rsidP="008702BC">
            <w:pPr>
              <w:spacing w:after="240"/>
              <w:contextualSpacing/>
              <w:rPr>
                <w:rFonts w:cs="Arial"/>
                <w:szCs w:val="20"/>
              </w:rPr>
            </w:pPr>
            <w:r w:rsidRPr="006B423F">
              <w:rPr>
                <w:rFonts w:cs="Arial"/>
                <w:szCs w:val="20"/>
              </w:rPr>
              <w:t>Source: participating General Practices of the MedicineInsight program</w:t>
            </w:r>
          </w:p>
        </w:tc>
      </w:tr>
      <w:tr w:rsidR="002622A2" w:rsidRPr="006B423F" w14:paraId="43C39C9F" w14:textId="77777777" w:rsidTr="002622A2">
        <w:trPr>
          <w:cnfStyle w:val="000000010000" w:firstRow="0" w:lastRow="0" w:firstColumn="0" w:lastColumn="0" w:oddVBand="0" w:evenVBand="0" w:oddHBand="0" w:evenHBand="1" w:firstRowFirstColumn="0" w:firstRowLastColumn="0" w:lastRowFirstColumn="0" w:lastRowLastColumn="0"/>
        </w:trPr>
        <w:tc>
          <w:tcPr>
            <w:tcW w:w="2320" w:type="pct"/>
          </w:tcPr>
          <w:p w14:paraId="5AE7AA4B" w14:textId="77777777" w:rsidR="002622A2" w:rsidRPr="006B423F" w:rsidRDefault="002622A2" w:rsidP="008702BC">
            <w:pPr>
              <w:spacing w:after="240"/>
              <w:contextualSpacing/>
              <w:rPr>
                <w:rFonts w:cs="Arial"/>
                <w:szCs w:val="20"/>
              </w:rPr>
            </w:pPr>
            <w:r w:rsidRPr="006B423F">
              <w:rPr>
                <w:rFonts w:cs="Arial"/>
                <w:szCs w:val="20"/>
              </w:rPr>
              <w:t>National Standard Medication Chart (NSMC) Audit</w:t>
            </w:r>
          </w:p>
        </w:tc>
        <w:tc>
          <w:tcPr>
            <w:tcW w:w="2680" w:type="pct"/>
          </w:tcPr>
          <w:p w14:paraId="047CD352" w14:textId="77777777" w:rsidR="002622A2" w:rsidRPr="006B423F" w:rsidRDefault="002622A2" w:rsidP="008702BC">
            <w:pPr>
              <w:spacing w:after="240"/>
              <w:contextualSpacing/>
              <w:rPr>
                <w:rFonts w:cs="Arial"/>
                <w:szCs w:val="20"/>
              </w:rPr>
            </w:pPr>
            <w:r w:rsidRPr="006B423F">
              <w:rPr>
                <w:rFonts w:cs="Arial"/>
                <w:szCs w:val="20"/>
              </w:rPr>
              <w:t>Collected by the Commission</w:t>
            </w:r>
          </w:p>
        </w:tc>
      </w:tr>
      <w:tr w:rsidR="002622A2" w:rsidRPr="00237F55" w14:paraId="108EF6BB" w14:textId="77777777" w:rsidTr="002622A2">
        <w:tc>
          <w:tcPr>
            <w:tcW w:w="2320" w:type="pct"/>
          </w:tcPr>
          <w:p w14:paraId="425C6391" w14:textId="77777777" w:rsidR="002622A2" w:rsidRPr="00237F55" w:rsidRDefault="002622A2" w:rsidP="008702BC">
            <w:pPr>
              <w:spacing w:after="240"/>
              <w:contextualSpacing/>
              <w:rPr>
                <w:rFonts w:cs="Arial"/>
                <w:szCs w:val="20"/>
              </w:rPr>
            </w:pPr>
            <w:r w:rsidRPr="006B423F">
              <w:rPr>
                <w:rFonts w:cs="Arial"/>
                <w:szCs w:val="20"/>
              </w:rPr>
              <w:t xml:space="preserve">NHHI Hand Hygiene Audit </w:t>
            </w:r>
            <w:r>
              <w:rPr>
                <w:rFonts w:cs="Arial"/>
                <w:szCs w:val="20"/>
              </w:rPr>
              <w:t>(</w:t>
            </w:r>
            <w:r w:rsidRPr="006B423F">
              <w:rPr>
                <w:rFonts w:cs="Arial"/>
                <w:szCs w:val="20"/>
              </w:rPr>
              <w:t>HHCApp</w:t>
            </w:r>
            <w:r>
              <w:rPr>
                <w:rFonts w:cs="Arial"/>
                <w:szCs w:val="20"/>
              </w:rPr>
              <w:t>) data</w:t>
            </w:r>
            <w:r w:rsidRPr="006B423F">
              <w:rPr>
                <w:rFonts w:cs="Arial"/>
                <w:szCs w:val="20"/>
              </w:rPr>
              <w:t xml:space="preserve"> </w:t>
            </w:r>
          </w:p>
        </w:tc>
        <w:tc>
          <w:tcPr>
            <w:tcW w:w="2680" w:type="pct"/>
          </w:tcPr>
          <w:p w14:paraId="6D64896A" w14:textId="77777777" w:rsidR="002622A2" w:rsidRPr="00237F55" w:rsidRDefault="002622A2" w:rsidP="008702BC">
            <w:pPr>
              <w:spacing w:after="240"/>
              <w:contextualSpacing/>
              <w:rPr>
                <w:rFonts w:cs="Arial"/>
                <w:szCs w:val="20"/>
              </w:rPr>
            </w:pPr>
            <w:r w:rsidRPr="006B423F">
              <w:rPr>
                <w:rFonts w:cs="Arial"/>
                <w:szCs w:val="20"/>
              </w:rPr>
              <w:t xml:space="preserve">Source: Health service organisations (public and private) </w:t>
            </w:r>
          </w:p>
          <w:p w14:paraId="44F89C3F" w14:textId="77777777" w:rsidR="002622A2" w:rsidRPr="00237F55" w:rsidRDefault="002622A2" w:rsidP="008702BC">
            <w:pPr>
              <w:spacing w:after="240"/>
              <w:contextualSpacing/>
              <w:rPr>
                <w:rFonts w:cs="Arial"/>
                <w:szCs w:val="20"/>
              </w:rPr>
            </w:pPr>
            <w:r w:rsidRPr="006B423F">
              <w:rPr>
                <w:rFonts w:cs="Arial"/>
                <w:szCs w:val="20"/>
              </w:rPr>
              <w:t xml:space="preserve">Authorising entity: </w:t>
            </w:r>
            <w:r>
              <w:rPr>
                <w:rFonts w:cs="Arial"/>
                <w:szCs w:val="20"/>
              </w:rPr>
              <w:t>Commission</w:t>
            </w:r>
            <w:r w:rsidRPr="006B423F">
              <w:rPr>
                <w:rFonts w:cs="Arial"/>
                <w:szCs w:val="20"/>
              </w:rPr>
              <w:t xml:space="preserve"> for access and aggregated national data; individual organisations for organisation level data </w:t>
            </w:r>
          </w:p>
        </w:tc>
      </w:tr>
      <w:tr w:rsidR="002622A2" w:rsidRPr="006B423F" w14:paraId="6D075D3B" w14:textId="77777777" w:rsidTr="002622A2">
        <w:trPr>
          <w:cnfStyle w:val="000000010000" w:firstRow="0" w:lastRow="0" w:firstColumn="0" w:lastColumn="0" w:oddVBand="0" w:evenVBand="0" w:oddHBand="0" w:evenHBand="1" w:firstRowFirstColumn="0" w:firstRowLastColumn="0" w:lastRowFirstColumn="0" w:lastRowLastColumn="0"/>
        </w:trPr>
        <w:tc>
          <w:tcPr>
            <w:tcW w:w="2320" w:type="pct"/>
          </w:tcPr>
          <w:p w14:paraId="579C0F3E" w14:textId="77777777" w:rsidR="002622A2" w:rsidRPr="006B423F" w:rsidRDefault="002622A2" w:rsidP="008702BC">
            <w:pPr>
              <w:spacing w:after="240"/>
              <w:contextualSpacing/>
              <w:rPr>
                <w:rFonts w:cs="Arial"/>
                <w:szCs w:val="20"/>
              </w:rPr>
            </w:pPr>
            <w:r w:rsidRPr="006B423F">
              <w:rPr>
                <w:rFonts w:cs="Arial"/>
                <w:szCs w:val="20"/>
              </w:rPr>
              <w:t>Patient experience survey results</w:t>
            </w:r>
          </w:p>
        </w:tc>
        <w:tc>
          <w:tcPr>
            <w:tcW w:w="2680" w:type="pct"/>
          </w:tcPr>
          <w:p w14:paraId="190196EA" w14:textId="77777777" w:rsidR="002622A2" w:rsidRPr="006B423F" w:rsidRDefault="002622A2" w:rsidP="008702BC">
            <w:pPr>
              <w:rPr>
                <w:rFonts w:cs="Arial"/>
                <w:szCs w:val="20"/>
              </w:rPr>
            </w:pPr>
            <w:r w:rsidRPr="006B423F">
              <w:rPr>
                <w:rFonts w:cs="Arial"/>
                <w:szCs w:val="20"/>
              </w:rPr>
              <w:t>Results provided by jurisdictions on a voluntary basis</w:t>
            </w:r>
          </w:p>
        </w:tc>
      </w:tr>
    </w:tbl>
    <w:p w14:paraId="35A2D409" w14:textId="68312C6B" w:rsidR="00FC4E17" w:rsidRDefault="00FC4E17"/>
    <w:p w14:paraId="4181F9FC" w14:textId="77777777" w:rsidR="00FC4E17" w:rsidRDefault="00FC4E17">
      <w:r>
        <w:br w:type="page"/>
      </w:r>
    </w:p>
    <w:p w14:paraId="2A2157FA" w14:textId="77777777" w:rsidR="00FC4E17" w:rsidRPr="00FC4E17" w:rsidRDefault="00FC4E17" w:rsidP="00FC4E17">
      <w:pPr>
        <w:pStyle w:val="Heading1"/>
      </w:pPr>
      <w:bookmarkStart w:id="70" w:name="_Toc457232240"/>
      <w:bookmarkStart w:id="71" w:name="_Toc457237619"/>
      <w:bookmarkStart w:id="72" w:name="_Toc148620568"/>
      <w:bookmarkStart w:id="73" w:name="_Toc204691127"/>
      <w:r w:rsidRPr="00FC4E17">
        <w:lastRenderedPageBreak/>
        <w:t>Acronyms</w:t>
      </w:r>
      <w:bookmarkEnd w:id="70"/>
      <w:bookmarkEnd w:id="71"/>
      <w:r w:rsidRPr="00FC4E17">
        <w:t xml:space="preserve"> and abbreviations</w:t>
      </w:r>
      <w:bookmarkEnd w:id="72"/>
      <w:bookmarkEnd w:id="73"/>
    </w:p>
    <w:tbl>
      <w:tblPr>
        <w:tblStyle w:val="SQHTable"/>
        <w:tblW w:w="10047" w:type="dxa"/>
        <w:tblLook w:val="04A0" w:firstRow="1" w:lastRow="0" w:firstColumn="1" w:lastColumn="0" w:noHBand="0" w:noVBand="1"/>
      </w:tblPr>
      <w:tblGrid>
        <w:gridCol w:w="2410"/>
        <w:gridCol w:w="7637"/>
      </w:tblGrid>
      <w:tr w:rsidR="00FC4E17" w:rsidRPr="00A4052F" w14:paraId="43B494EE" w14:textId="77777777" w:rsidTr="00294F48">
        <w:trPr>
          <w:cnfStyle w:val="100000000000" w:firstRow="1" w:lastRow="0" w:firstColumn="0" w:lastColumn="0" w:oddVBand="0" w:evenVBand="0" w:oddHBand="0" w:evenHBand="0" w:firstRowFirstColumn="0" w:firstRowLastColumn="0" w:lastRowFirstColumn="0" w:lastRowLastColumn="0"/>
          <w:trHeight w:hRule="exact" w:val="518"/>
          <w:tblHeader/>
        </w:trPr>
        <w:tc>
          <w:tcPr>
            <w:tcW w:w="2410" w:type="dxa"/>
          </w:tcPr>
          <w:p w14:paraId="62E68404" w14:textId="77777777" w:rsidR="00FC4E17" w:rsidRPr="00A4052F" w:rsidRDefault="00FC4E17" w:rsidP="008702BC">
            <w:pPr>
              <w:spacing w:after="0"/>
              <w:rPr>
                <w:rFonts w:cs="Arial"/>
                <w:b w:val="0"/>
                <w:bCs/>
                <w:szCs w:val="20"/>
              </w:rPr>
            </w:pPr>
            <w:r w:rsidRPr="00A4052F">
              <w:rPr>
                <w:rFonts w:cs="Arial"/>
                <w:bCs/>
                <w:szCs w:val="20"/>
              </w:rPr>
              <w:t>Acronym/abbreviation</w:t>
            </w:r>
          </w:p>
        </w:tc>
        <w:tc>
          <w:tcPr>
            <w:tcW w:w="7637" w:type="dxa"/>
          </w:tcPr>
          <w:p w14:paraId="40637CB9" w14:textId="77777777" w:rsidR="00FC4E17" w:rsidRPr="00A4052F" w:rsidRDefault="00FC4E17" w:rsidP="008702BC">
            <w:pPr>
              <w:spacing w:after="0"/>
              <w:rPr>
                <w:rFonts w:cs="Arial"/>
                <w:b w:val="0"/>
                <w:bCs/>
                <w:szCs w:val="20"/>
              </w:rPr>
            </w:pPr>
            <w:r w:rsidRPr="00A4052F">
              <w:rPr>
                <w:rFonts w:cs="Arial"/>
                <w:bCs/>
                <w:szCs w:val="20"/>
              </w:rPr>
              <w:t>Meaning</w:t>
            </w:r>
          </w:p>
        </w:tc>
      </w:tr>
      <w:tr w:rsidR="00FC4E17" w:rsidRPr="00846EFA" w14:paraId="2E9B6B77" w14:textId="77777777" w:rsidTr="00FC4E17">
        <w:trPr>
          <w:trHeight w:hRule="exact" w:val="397"/>
        </w:trPr>
        <w:tc>
          <w:tcPr>
            <w:tcW w:w="2410" w:type="dxa"/>
            <w:hideMark/>
          </w:tcPr>
          <w:p w14:paraId="01C2527F" w14:textId="77777777" w:rsidR="00FC4E17" w:rsidRPr="00A51893" w:rsidRDefault="00FC4E17" w:rsidP="008702BC">
            <w:pPr>
              <w:spacing w:after="0"/>
              <w:rPr>
                <w:rFonts w:cs="Arial"/>
                <w:b/>
                <w:bCs/>
                <w:szCs w:val="20"/>
              </w:rPr>
            </w:pPr>
            <w:r w:rsidRPr="00A51893">
              <w:rPr>
                <w:rFonts w:cs="Arial"/>
                <w:b/>
                <w:bCs/>
                <w:szCs w:val="20"/>
              </w:rPr>
              <w:t>ABS</w:t>
            </w:r>
          </w:p>
        </w:tc>
        <w:tc>
          <w:tcPr>
            <w:tcW w:w="7637" w:type="dxa"/>
            <w:hideMark/>
          </w:tcPr>
          <w:p w14:paraId="16E3720F" w14:textId="77777777" w:rsidR="00FC4E17" w:rsidRPr="00846EFA" w:rsidRDefault="00FC4E17" w:rsidP="008702BC">
            <w:pPr>
              <w:spacing w:after="0"/>
              <w:rPr>
                <w:rFonts w:cs="Arial"/>
                <w:szCs w:val="20"/>
              </w:rPr>
            </w:pPr>
            <w:r w:rsidRPr="00846EFA">
              <w:rPr>
                <w:rFonts w:cs="Arial"/>
                <w:szCs w:val="20"/>
              </w:rPr>
              <w:t>Australian Bureau of Statistics</w:t>
            </w:r>
          </w:p>
        </w:tc>
      </w:tr>
      <w:tr w:rsidR="00FC4E17" w:rsidRPr="00846EFA" w14:paraId="116BF801"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1B767FB0" w14:textId="77777777" w:rsidR="00FC4E17" w:rsidRPr="00A51893" w:rsidRDefault="00FC4E17" w:rsidP="008702BC">
            <w:pPr>
              <w:spacing w:after="0"/>
              <w:rPr>
                <w:rFonts w:cs="Arial"/>
                <w:b/>
                <w:bCs/>
                <w:szCs w:val="20"/>
              </w:rPr>
            </w:pPr>
            <w:r w:rsidRPr="00A51893">
              <w:rPr>
                <w:rFonts w:cs="Arial"/>
                <w:b/>
                <w:bCs/>
                <w:szCs w:val="20"/>
              </w:rPr>
              <w:t>AGAR</w:t>
            </w:r>
          </w:p>
        </w:tc>
        <w:tc>
          <w:tcPr>
            <w:tcW w:w="7637" w:type="dxa"/>
          </w:tcPr>
          <w:p w14:paraId="2C0D330B" w14:textId="77777777" w:rsidR="00FC4E17" w:rsidRPr="00846EFA" w:rsidRDefault="00FC4E17" w:rsidP="008702BC">
            <w:pPr>
              <w:spacing w:after="0"/>
              <w:rPr>
                <w:rFonts w:cs="Arial"/>
                <w:szCs w:val="20"/>
              </w:rPr>
            </w:pPr>
            <w:r w:rsidRPr="00846EFA">
              <w:rPr>
                <w:rFonts w:cs="Arial"/>
                <w:szCs w:val="20"/>
              </w:rPr>
              <w:t>Australian Group on Antimicrobial Resistance</w:t>
            </w:r>
          </w:p>
        </w:tc>
      </w:tr>
      <w:tr w:rsidR="00FC4E17" w:rsidRPr="00846EFA" w14:paraId="2FFC85B5" w14:textId="77777777" w:rsidTr="00FC4E17">
        <w:trPr>
          <w:trHeight w:hRule="exact" w:val="397"/>
        </w:trPr>
        <w:tc>
          <w:tcPr>
            <w:tcW w:w="2410" w:type="dxa"/>
          </w:tcPr>
          <w:p w14:paraId="7615EB04" w14:textId="77777777" w:rsidR="00FC4E17" w:rsidRPr="00A51893" w:rsidRDefault="00FC4E17" w:rsidP="008702BC">
            <w:pPr>
              <w:spacing w:after="0"/>
              <w:rPr>
                <w:rFonts w:cs="Arial"/>
                <w:b/>
                <w:bCs/>
                <w:szCs w:val="20"/>
              </w:rPr>
            </w:pPr>
            <w:r w:rsidRPr="00A51893">
              <w:rPr>
                <w:rFonts w:cs="Arial"/>
                <w:b/>
                <w:bCs/>
                <w:szCs w:val="20"/>
              </w:rPr>
              <w:t>AHMAC</w:t>
            </w:r>
          </w:p>
        </w:tc>
        <w:tc>
          <w:tcPr>
            <w:tcW w:w="7637" w:type="dxa"/>
          </w:tcPr>
          <w:p w14:paraId="41E6028C" w14:textId="77777777" w:rsidR="00FC4E17" w:rsidRPr="00846EFA" w:rsidRDefault="00FC4E17" w:rsidP="008702BC">
            <w:pPr>
              <w:spacing w:after="0"/>
              <w:rPr>
                <w:rFonts w:cs="Arial"/>
                <w:szCs w:val="20"/>
              </w:rPr>
            </w:pPr>
            <w:r w:rsidRPr="00846EFA">
              <w:rPr>
                <w:rFonts w:cs="Arial"/>
                <w:szCs w:val="20"/>
              </w:rPr>
              <w:t>Australian Health Ministers' Advisory Council</w:t>
            </w:r>
          </w:p>
        </w:tc>
      </w:tr>
      <w:tr w:rsidR="00FC4E17" w:rsidRPr="00846EFA" w14:paraId="0B5B44C5"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05A24A39" w14:textId="77777777" w:rsidR="00FC4E17" w:rsidRPr="00A51893" w:rsidRDefault="00FC4E17" w:rsidP="008702BC">
            <w:pPr>
              <w:spacing w:after="0"/>
              <w:rPr>
                <w:rFonts w:cs="Arial"/>
                <w:b/>
                <w:bCs/>
                <w:szCs w:val="20"/>
              </w:rPr>
            </w:pPr>
            <w:r w:rsidRPr="00A51893">
              <w:rPr>
                <w:rFonts w:cs="Arial"/>
                <w:b/>
                <w:bCs/>
                <w:szCs w:val="20"/>
              </w:rPr>
              <w:t>AHPEQS</w:t>
            </w:r>
          </w:p>
        </w:tc>
        <w:tc>
          <w:tcPr>
            <w:tcW w:w="7637" w:type="dxa"/>
          </w:tcPr>
          <w:p w14:paraId="3E061B8A" w14:textId="77777777" w:rsidR="00FC4E17" w:rsidRPr="00846EFA" w:rsidRDefault="00FC4E17" w:rsidP="008702BC">
            <w:pPr>
              <w:spacing w:after="0"/>
              <w:rPr>
                <w:rFonts w:cs="Arial"/>
                <w:szCs w:val="20"/>
              </w:rPr>
            </w:pPr>
            <w:r w:rsidRPr="00846EFA">
              <w:rPr>
                <w:rFonts w:cs="Arial"/>
                <w:szCs w:val="20"/>
              </w:rPr>
              <w:t>Australian Hospital Patient Experience Question Set</w:t>
            </w:r>
          </w:p>
        </w:tc>
      </w:tr>
      <w:tr w:rsidR="00FC4E17" w:rsidRPr="00846EFA" w14:paraId="24B35531" w14:textId="77777777" w:rsidTr="00FC4E17">
        <w:trPr>
          <w:trHeight w:hRule="exact" w:val="397"/>
        </w:trPr>
        <w:tc>
          <w:tcPr>
            <w:tcW w:w="2410" w:type="dxa"/>
          </w:tcPr>
          <w:p w14:paraId="4769DF8E" w14:textId="77777777" w:rsidR="00FC4E17" w:rsidRPr="00A51893" w:rsidRDefault="00FC4E17" w:rsidP="008702BC">
            <w:pPr>
              <w:spacing w:after="0"/>
              <w:rPr>
                <w:rFonts w:cs="Arial"/>
                <w:b/>
                <w:bCs/>
                <w:szCs w:val="20"/>
              </w:rPr>
            </w:pPr>
            <w:r w:rsidRPr="00A51893">
              <w:rPr>
                <w:rFonts w:cs="Arial"/>
                <w:b/>
                <w:bCs/>
                <w:szCs w:val="20"/>
              </w:rPr>
              <w:t>AHPF</w:t>
            </w:r>
          </w:p>
        </w:tc>
        <w:tc>
          <w:tcPr>
            <w:tcW w:w="7637" w:type="dxa"/>
          </w:tcPr>
          <w:p w14:paraId="43B227F2" w14:textId="77777777" w:rsidR="00FC4E17" w:rsidRPr="00846EFA" w:rsidRDefault="00FC4E17" w:rsidP="008702BC">
            <w:pPr>
              <w:spacing w:after="0"/>
              <w:rPr>
                <w:rFonts w:cs="Arial"/>
                <w:szCs w:val="20"/>
              </w:rPr>
            </w:pPr>
            <w:r w:rsidRPr="00846EFA">
              <w:rPr>
                <w:rFonts w:cs="Arial"/>
                <w:szCs w:val="20"/>
              </w:rPr>
              <w:t>Australian Health Performance Framework</w:t>
            </w:r>
          </w:p>
        </w:tc>
      </w:tr>
      <w:tr w:rsidR="00FC4E17" w:rsidRPr="00846EFA" w14:paraId="45137107"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0ED81052" w14:textId="77777777" w:rsidR="00FC4E17" w:rsidRPr="00A51893" w:rsidRDefault="00FC4E17" w:rsidP="008702BC">
            <w:pPr>
              <w:spacing w:after="0"/>
              <w:rPr>
                <w:rFonts w:cs="Arial"/>
                <w:b/>
                <w:bCs/>
                <w:szCs w:val="20"/>
              </w:rPr>
            </w:pPr>
            <w:r w:rsidRPr="00A51893">
              <w:rPr>
                <w:rFonts w:cs="Arial"/>
                <w:b/>
                <w:bCs/>
                <w:szCs w:val="20"/>
              </w:rPr>
              <w:t>AHSSQA Scheme</w:t>
            </w:r>
          </w:p>
        </w:tc>
        <w:tc>
          <w:tcPr>
            <w:tcW w:w="7637" w:type="dxa"/>
          </w:tcPr>
          <w:p w14:paraId="11F6D343" w14:textId="77777777" w:rsidR="00FC4E17" w:rsidRPr="00846EFA" w:rsidRDefault="00FC4E17" w:rsidP="008702BC">
            <w:pPr>
              <w:spacing w:after="0"/>
              <w:rPr>
                <w:rFonts w:cs="Arial"/>
                <w:szCs w:val="20"/>
              </w:rPr>
            </w:pPr>
            <w:r w:rsidRPr="00846EFA">
              <w:rPr>
                <w:rFonts w:cs="Arial"/>
                <w:szCs w:val="20"/>
              </w:rPr>
              <w:t xml:space="preserve">Australian Health Service Safety and Quality Accreditation Scheme </w:t>
            </w:r>
          </w:p>
        </w:tc>
      </w:tr>
      <w:tr w:rsidR="00FC4E17" w:rsidRPr="00846EFA" w14:paraId="542B8CBB" w14:textId="77777777" w:rsidTr="00FC4E17">
        <w:trPr>
          <w:trHeight w:hRule="exact" w:val="397"/>
        </w:trPr>
        <w:tc>
          <w:tcPr>
            <w:tcW w:w="2410" w:type="dxa"/>
            <w:hideMark/>
          </w:tcPr>
          <w:p w14:paraId="15E40285" w14:textId="77777777" w:rsidR="00FC4E17" w:rsidRPr="00A51893" w:rsidRDefault="00FC4E17" w:rsidP="008702BC">
            <w:pPr>
              <w:spacing w:after="0"/>
              <w:rPr>
                <w:rFonts w:cs="Arial"/>
                <w:b/>
                <w:bCs/>
                <w:szCs w:val="20"/>
              </w:rPr>
            </w:pPr>
            <w:r w:rsidRPr="00A51893">
              <w:rPr>
                <w:rFonts w:cs="Arial"/>
                <w:b/>
                <w:bCs/>
                <w:szCs w:val="20"/>
              </w:rPr>
              <w:t>AIHW</w:t>
            </w:r>
          </w:p>
        </w:tc>
        <w:tc>
          <w:tcPr>
            <w:tcW w:w="7637" w:type="dxa"/>
            <w:hideMark/>
          </w:tcPr>
          <w:p w14:paraId="67416E26" w14:textId="77777777" w:rsidR="00FC4E17" w:rsidRPr="00846EFA" w:rsidRDefault="00FC4E17" w:rsidP="008702BC">
            <w:pPr>
              <w:spacing w:after="0"/>
              <w:rPr>
                <w:rFonts w:cs="Arial"/>
                <w:szCs w:val="20"/>
              </w:rPr>
            </w:pPr>
            <w:r w:rsidRPr="00846EFA">
              <w:rPr>
                <w:rFonts w:cs="Arial"/>
                <w:szCs w:val="20"/>
              </w:rPr>
              <w:t>Australian Institute of Health and Welfare</w:t>
            </w:r>
          </w:p>
        </w:tc>
      </w:tr>
      <w:tr w:rsidR="00FC4E17" w:rsidRPr="00846EFA" w14:paraId="776D09D4"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hideMark/>
          </w:tcPr>
          <w:p w14:paraId="25C2D57A" w14:textId="77777777" w:rsidR="00FC4E17" w:rsidRPr="00A51893" w:rsidRDefault="00FC4E17" w:rsidP="008702BC">
            <w:pPr>
              <w:spacing w:after="0"/>
              <w:rPr>
                <w:rFonts w:cs="Arial"/>
                <w:b/>
                <w:bCs/>
                <w:szCs w:val="20"/>
                <w:highlight w:val="yellow"/>
              </w:rPr>
            </w:pPr>
            <w:r w:rsidRPr="00A51893">
              <w:rPr>
                <w:rFonts w:cs="Arial"/>
                <w:b/>
                <w:bCs/>
                <w:szCs w:val="20"/>
              </w:rPr>
              <w:t>AMR</w:t>
            </w:r>
          </w:p>
        </w:tc>
        <w:tc>
          <w:tcPr>
            <w:tcW w:w="7637" w:type="dxa"/>
            <w:hideMark/>
          </w:tcPr>
          <w:p w14:paraId="3E84603E" w14:textId="77777777" w:rsidR="00FC4E17" w:rsidRPr="00846EFA" w:rsidRDefault="00FC4E17" w:rsidP="008702BC">
            <w:pPr>
              <w:spacing w:after="0"/>
              <w:rPr>
                <w:rFonts w:cs="Arial"/>
                <w:szCs w:val="20"/>
                <w:highlight w:val="yellow"/>
              </w:rPr>
            </w:pPr>
            <w:r w:rsidRPr="00846EFA">
              <w:rPr>
                <w:rFonts w:cs="Arial"/>
                <w:szCs w:val="20"/>
              </w:rPr>
              <w:t>Antimicrobial resistance</w:t>
            </w:r>
          </w:p>
        </w:tc>
      </w:tr>
      <w:tr w:rsidR="00FC4E17" w:rsidRPr="00846EFA" w14:paraId="3C23B817" w14:textId="77777777" w:rsidTr="00FC4E17">
        <w:trPr>
          <w:trHeight w:hRule="exact" w:val="397"/>
        </w:trPr>
        <w:tc>
          <w:tcPr>
            <w:tcW w:w="2410" w:type="dxa"/>
            <w:hideMark/>
          </w:tcPr>
          <w:p w14:paraId="2D1F0C05" w14:textId="77777777" w:rsidR="00FC4E17" w:rsidRPr="00A51893" w:rsidRDefault="00FC4E17" w:rsidP="008702BC">
            <w:pPr>
              <w:spacing w:after="0"/>
              <w:rPr>
                <w:rFonts w:cs="Arial"/>
                <w:b/>
                <w:bCs/>
                <w:szCs w:val="20"/>
              </w:rPr>
            </w:pPr>
            <w:r w:rsidRPr="00A51893">
              <w:rPr>
                <w:rFonts w:cs="Arial"/>
                <w:b/>
                <w:bCs/>
                <w:szCs w:val="20"/>
              </w:rPr>
              <w:t>APC NMDS</w:t>
            </w:r>
          </w:p>
        </w:tc>
        <w:tc>
          <w:tcPr>
            <w:tcW w:w="7637" w:type="dxa"/>
            <w:hideMark/>
          </w:tcPr>
          <w:p w14:paraId="1B1CD4FD" w14:textId="77777777" w:rsidR="00FC4E17" w:rsidRPr="00846EFA" w:rsidRDefault="00FC4E17" w:rsidP="008702BC">
            <w:pPr>
              <w:spacing w:after="0"/>
              <w:rPr>
                <w:rFonts w:cs="Arial"/>
                <w:szCs w:val="20"/>
              </w:rPr>
            </w:pPr>
            <w:r w:rsidRPr="00846EFA">
              <w:rPr>
                <w:rFonts w:cs="Arial"/>
                <w:szCs w:val="20"/>
              </w:rPr>
              <w:t>Admitted Patient Care National Minimum Data Set</w:t>
            </w:r>
          </w:p>
        </w:tc>
      </w:tr>
      <w:tr w:rsidR="00FC4E17" w:rsidRPr="00846EFA" w14:paraId="68E0A7F8"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415A1D74" w14:textId="77777777" w:rsidR="00FC4E17" w:rsidRPr="00A51893" w:rsidRDefault="00FC4E17" w:rsidP="008702BC">
            <w:pPr>
              <w:spacing w:after="0"/>
              <w:rPr>
                <w:rFonts w:cs="Arial"/>
                <w:b/>
                <w:bCs/>
                <w:szCs w:val="20"/>
              </w:rPr>
            </w:pPr>
            <w:r>
              <w:rPr>
                <w:rFonts w:cs="Arial"/>
                <w:b/>
                <w:bCs/>
                <w:szCs w:val="20"/>
              </w:rPr>
              <w:t>ASNAHC</w:t>
            </w:r>
          </w:p>
        </w:tc>
        <w:tc>
          <w:tcPr>
            <w:tcW w:w="7637" w:type="dxa"/>
          </w:tcPr>
          <w:p w14:paraId="3928AF7A" w14:textId="77777777" w:rsidR="00FC4E17" w:rsidRPr="00846EFA" w:rsidRDefault="00FC4E17" w:rsidP="008702BC">
            <w:pPr>
              <w:spacing w:after="0"/>
              <w:rPr>
                <w:rFonts w:cs="Arial"/>
                <w:szCs w:val="20"/>
              </w:rPr>
            </w:pPr>
            <w:r w:rsidRPr="00287435">
              <w:rPr>
                <w:rFonts w:cs="Arial"/>
                <w:szCs w:val="20"/>
              </w:rPr>
              <w:t>Admitted Subacute and Non-Acute Hospital Care</w:t>
            </w:r>
          </w:p>
        </w:tc>
      </w:tr>
      <w:tr w:rsidR="00FC4E17" w:rsidRPr="00846EFA" w14:paraId="686CA9B6" w14:textId="77777777" w:rsidTr="00FC4E17">
        <w:trPr>
          <w:trHeight w:hRule="exact" w:val="397"/>
        </w:trPr>
        <w:tc>
          <w:tcPr>
            <w:tcW w:w="2410" w:type="dxa"/>
            <w:hideMark/>
          </w:tcPr>
          <w:p w14:paraId="0D98CE55" w14:textId="77777777" w:rsidR="00FC4E17" w:rsidRPr="00A51893" w:rsidRDefault="00FC4E17" w:rsidP="008702BC">
            <w:pPr>
              <w:spacing w:after="0"/>
              <w:rPr>
                <w:rFonts w:cs="Arial"/>
                <w:b/>
                <w:bCs/>
                <w:szCs w:val="20"/>
              </w:rPr>
            </w:pPr>
            <w:r w:rsidRPr="00A51893">
              <w:rPr>
                <w:rFonts w:cs="Arial"/>
                <w:b/>
                <w:bCs/>
                <w:szCs w:val="20"/>
              </w:rPr>
              <w:t>AURA</w:t>
            </w:r>
          </w:p>
        </w:tc>
        <w:tc>
          <w:tcPr>
            <w:tcW w:w="7637" w:type="dxa"/>
            <w:hideMark/>
          </w:tcPr>
          <w:p w14:paraId="3A30424F" w14:textId="77777777" w:rsidR="00FC4E17" w:rsidRPr="00846EFA" w:rsidRDefault="00FC4E17" w:rsidP="008702BC">
            <w:pPr>
              <w:spacing w:after="0"/>
              <w:rPr>
                <w:rFonts w:cs="Arial"/>
                <w:szCs w:val="20"/>
              </w:rPr>
            </w:pPr>
            <w:r w:rsidRPr="00846EFA">
              <w:rPr>
                <w:rFonts w:cs="Arial"/>
                <w:szCs w:val="20"/>
              </w:rPr>
              <w:t>Antimicrobial Use and Resistance in Australia</w:t>
            </w:r>
          </w:p>
        </w:tc>
      </w:tr>
      <w:tr w:rsidR="00FC4E17" w:rsidRPr="00846EFA" w14:paraId="28FEEE11"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2BB7A33B" w14:textId="77777777" w:rsidR="00FC4E17" w:rsidRPr="00A51893" w:rsidRDefault="00FC4E17" w:rsidP="008702BC">
            <w:pPr>
              <w:spacing w:after="0"/>
              <w:rPr>
                <w:rFonts w:cs="Arial"/>
                <w:b/>
                <w:bCs/>
                <w:szCs w:val="20"/>
              </w:rPr>
            </w:pPr>
            <w:r w:rsidRPr="00A51893">
              <w:rPr>
                <w:rFonts w:cs="Arial"/>
                <w:b/>
                <w:bCs/>
                <w:szCs w:val="20"/>
              </w:rPr>
              <w:t>APAS</w:t>
            </w:r>
          </w:p>
        </w:tc>
        <w:tc>
          <w:tcPr>
            <w:tcW w:w="7637" w:type="dxa"/>
          </w:tcPr>
          <w:p w14:paraId="3EFDC86E" w14:textId="77777777" w:rsidR="00FC4E17" w:rsidRPr="00846EFA" w:rsidRDefault="00FC4E17" w:rsidP="008702BC">
            <w:pPr>
              <w:spacing w:after="0"/>
              <w:rPr>
                <w:rFonts w:cs="Arial"/>
                <w:szCs w:val="20"/>
              </w:rPr>
            </w:pPr>
            <w:r w:rsidRPr="00846EFA">
              <w:rPr>
                <w:rFonts w:cs="Arial"/>
                <w:szCs w:val="20"/>
              </w:rPr>
              <w:t>Australian Passive AMR Surveillance</w:t>
            </w:r>
          </w:p>
        </w:tc>
      </w:tr>
      <w:tr w:rsidR="00FC4E17" w:rsidRPr="00846EFA" w14:paraId="70CD8E05" w14:textId="77777777" w:rsidTr="00FC4E17">
        <w:trPr>
          <w:trHeight w:hRule="exact" w:val="397"/>
        </w:trPr>
        <w:tc>
          <w:tcPr>
            <w:tcW w:w="2410" w:type="dxa"/>
          </w:tcPr>
          <w:p w14:paraId="56FFCE4D" w14:textId="77777777" w:rsidR="00FC4E17" w:rsidRPr="00A51893" w:rsidRDefault="00FC4E17" w:rsidP="008702BC">
            <w:pPr>
              <w:spacing w:after="0"/>
              <w:rPr>
                <w:rFonts w:cs="Arial"/>
                <w:b/>
                <w:bCs/>
                <w:szCs w:val="20"/>
              </w:rPr>
            </w:pPr>
            <w:r w:rsidRPr="00A51893">
              <w:rPr>
                <w:rFonts w:cs="Arial"/>
                <w:b/>
                <w:bCs/>
                <w:szCs w:val="20"/>
              </w:rPr>
              <w:t>CARAlert</w:t>
            </w:r>
          </w:p>
        </w:tc>
        <w:tc>
          <w:tcPr>
            <w:tcW w:w="7637" w:type="dxa"/>
          </w:tcPr>
          <w:p w14:paraId="2E9A4ECB" w14:textId="77777777" w:rsidR="00FC4E17" w:rsidRPr="00846EFA" w:rsidRDefault="00FC4E17" w:rsidP="008702BC">
            <w:pPr>
              <w:spacing w:after="0"/>
              <w:rPr>
                <w:rFonts w:cs="Arial"/>
                <w:szCs w:val="20"/>
              </w:rPr>
            </w:pPr>
            <w:r w:rsidRPr="00846EFA">
              <w:rPr>
                <w:rFonts w:cs="Arial"/>
                <w:szCs w:val="20"/>
              </w:rPr>
              <w:t>National Alert System for Critical Antimicrobial Resistances</w:t>
            </w:r>
          </w:p>
        </w:tc>
      </w:tr>
      <w:tr w:rsidR="00FC4E17" w:rsidRPr="00846EFA" w14:paraId="1B6EA0B4"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18CE5293" w14:textId="77777777" w:rsidR="00FC4E17" w:rsidRPr="00A51893" w:rsidRDefault="00FC4E17" w:rsidP="008702BC">
            <w:pPr>
              <w:spacing w:after="0"/>
              <w:rPr>
                <w:rFonts w:cs="Arial"/>
                <w:b/>
                <w:bCs/>
                <w:szCs w:val="20"/>
              </w:rPr>
            </w:pPr>
            <w:r>
              <w:rPr>
                <w:rFonts w:cs="Arial"/>
                <w:b/>
                <w:bCs/>
                <w:szCs w:val="20"/>
              </w:rPr>
              <w:t>DAEN</w:t>
            </w:r>
          </w:p>
        </w:tc>
        <w:tc>
          <w:tcPr>
            <w:tcW w:w="7637" w:type="dxa"/>
          </w:tcPr>
          <w:p w14:paraId="3E429583" w14:textId="77777777" w:rsidR="00FC4E17" w:rsidRPr="00846EFA" w:rsidRDefault="00FC4E17" w:rsidP="008702BC">
            <w:pPr>
              <w:spacing w:after="0"/>
              <w:rPr>
                <w:rFonts w:cs="Arial"/>
                <w:szCs w:val="20"/>
              </w:rPr>
            </w:pPr>
            <w:r w:rsidRPr="00BA352D">
              <w:rPr>
                <w:rFonts w:cs="Arial"/>
                <w:szCs w:val="20"/>
              </w:rPr>
              <w:t>Database of Adverse Event Notifications</w:t>
            </w:r>
          </w:p>
        </w:tc>
      </w:tr>
      <w:tr w:rsidR="00FC4E17" w:rsidRPr="00846EFA" w14:paraId="1C341575" w14:textId="77777777" w:rsidTr="00FC4E17">
        <w:trPr>
          <w:trHeight w:hRule="exact" w:val="397"/>
        </w:trPr>
        <w:tc>
          <w:tcPr>
            <w:tcW w:w="2410" w:type="dxa"/>
            <w:hideMark/>
          </w:tcPr>
          <w:p w14:paraId="7E17D242" w14:textId="77777777" w:rsidR="00FC4E17" w:rsidRPr="00A51893" w:rsidRDefault="00FC4E17" w:rsidP="008702BC">
            <w:pPr>
              <w:spacing w:after="0"/>
              <w:rPr>
                <w:rFonts w:cs="Arial"/>
                <w:b/>
                <w:bCs/>
                <w:szCs w:val="20"/>
              </w:rPr>
            </w:pPr>
            <w:r w:rsidRPr="00A51893">
              <w:rPr>
                <w:rFonts w:cs="Arial"/>
                <w:b/>
                <w:bCs/>
                <w:szCs w:val="20"/>
              </w:rPr>
              <w:t>EDW</w:t>
            </w:r>
          </w:p>
        </w:tc>
        <w:tc>
          <w:tcPr>
            <w:tcW w:w="7637" w:type="dxa"/>
            <w:hideMark/>
          </w:tcPr>
          <w:p w14:paraId="72EA2902" w14:textId="77777777" w:rsidR="00FC4E17" w:rsidRPr="00846EFA" w:rsidRDefault="00FC4E17" w:rsidP="008702BC">
            <w:pPr>
              <w:spacing w:after="0"/>
              <w:rPr>
                <w:rFonts w:cs="Arial"/>
                <w:szCs w:val="20"/>
              </w:rPr>
            </w:pPr>
            <w:r w:rsidRPr="00846EFA">
              <w:rPr>
                <w:rFonts w:cs="Arial"/>
                <w:szCs w:val="20"/>
              </w:rPr>
              <w:t>Enterprise Data Warehouse</w:t>
            </w:r>
          </w:p>
        </w:tc>
      </w:tr>
      <w:tr w:rsidR="00FC4E17" w:rsidRPr="00846EFA" w14:paraId="025D8218"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1527FA5B" w14:textId="77777777" w:rsidR="00FC4E17" w:rsidRPr="00A51893" w:rsidRDefault="00FC4E17" w:rsidP="008702BC">
            <w:pPr>
              <w:spacing w:after="0"/>
              <w:rPr>
                <w:rFonts w:cs="Arial"/>
                <w:b/>
                <w:bCs/>
                <w:szCs w:val="20"/>
              </w:rPr>
            </w:pPr>
            <w:r>
              <w:rPr>
                <w:rFonts w:cs="Arial"/>
                <w:b/>
                <w:bCs/>
                <w:szCs w:val="20"/>
              </w:rPr>
              <w:t>EWST</w:t>
            </w:r>
          </w:p>
        </w:tc>
        <w:tc>
          <w:tcPr>
            <w:tcW w:w="7637" w:type="dxa"/>
          </w:tcPr>
          <w:p w14:paraId="39BC2829" w14:textId="77777777" w:rsidR="00FC4E17" w:rsidRPr="00846EFA" w:rsidRDefault="00FC4E17" w:rsidP="008702BC">
            <w:pPr>
              <w:spacing w:after="0"/>
              <w:rPr>
                <w:rFonts w:cs="Arial"/>
                <w:szCs w:val="20"/>
              </w:rPr>
            </w:pPr>
            <w:r w:rsidRPr="00287435">
              <w:rPr>
                <w:rFonts w:cs="Arial"/>
                <w:szCs w:val="20"/>
              </w:rPr>
              <w:t>Elective Surgery Waiting Times - Census &amp; Removals</w:t>
            </w:r>
          </w:p>
        </w:tc>
      </w:tr>
      <w:tr w:rsidR="00FC4E17" w:rsidRPr="00287435" w14:paraId="03BC67B5" w14:textId="77777777" w:rsidTr="00FC4E17">
        <w:trPr>
          <w:trHeight w:hRule="exact" w:val="397"/>
        </w:trPr>
        <w:tc>
          <w:tcPr>
            <w:tcW w:w="2410" w:type="dxa"/>
          </w:tcPr>
          <w:p w14:paraId="585473FC" w14:textId="77777777" w:rsidR="00FC4E17" w:rsidRDefault="00FC4E17" w:rsidP="008702BC">
            <w:pPr>
              <w:spacing w:after="0"/>
              <w:rPr>
                <w:rFonts w:cs="Arial"/>
                <w:b/>
                <w:bCs/>
                <w:szCs w:val="20"/>
              </w:rPr>
            </w:pPr>
            <w:r>
              <w:rPr>
                <w:rFonts w:cs="Arial"/>
                <w:b/>
                <w:bCs/>
                <w:szCs w:val="20"/>
              </w:rPr>
              <w:t>GTD</w:t>
            </w:r>
          </w:p>
        </w:tc>
        <w:tc>
          <w:tcPr>
            <w:tcW w:w="7637" w:type="dxa"/>
          </w:tcPr>
          <w:p w14:paraId="3AF27D44" w14:textId="77777777" w:rsidR="00FC4E17" w:rsidRPr="00287435" w:rsidRDefault="00FC4E17" w:rsidP="008702BC">
            <w:pPr>
              <w:spacing w:after="0"/>
              <w:rPr>
                <w:rFonts w:cs="Arial"/>
                <w:szCs w:val="20"/>
              </w:rPr>
            </w:pPr>
            <w:r w:rsidRPr="00287435">
              <w:rPr>
                <w:rFonts w:cs="Arial"/>
                <w:szCs w:val="20"/>
              </w:rPr>
              <w:t>General Treatment Dental</w:t>
            </w:r>
          </w:p>
        </w:tc>
      </w:tr>
      <w:tr w:rsidR="00FC4E17" w:rsidRPr="00846EFA" w14:paraId="5997955A"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hideMark/>
          </w:tcPr>
          <w:p w14:paraId="6DE34199" w14:textId="77777777" w:rsidR="00FC4E17" w:rsidRPr="00A51893" w:rsidRDefault="00FC4E17" w:rsidP="008702BC">
            <w:pPr>
              <w:spacing w:after="0"/>
              <w:rPr>
                <w:rFonts w:cs="Arial"/>
                <w:b/>
                <w:bCs/>
                <w:szCs w:val="20"/>
              </w:rPr>
            </w:pPr>
            <w:r w:rsidRPr="00A51893">
              <w:rPr>
                <w:rFonts w:cs="Arial"/>
                <w:b/>
                <w:bCs/>
                <w:szCs w:val="20"/>
              </w:rPr>
              <w:t>HAI</w:t>
            </w:r>
          </w:p>
        </w:tc>
        <w:tc>
          <w:tcPr>
            <w:tcW w:w="7637" w:type="dxa"/>
            <w:hideMark/>
          </w:tcPr>
          <w:p w14:paraId="42588949" w14:textId="77777777" w:rsidR="00FC4E17" w:rsidRPr="00846EFA" w:rsidRDefault="00FC4E17" w:rsidP="008702BC">
            <w:pPr>
              <w:spacing w:after="0"/>
              <w:jc w:val="both"/>
              <w:rPr>
                <w:rFonts w:cs="Arial"/>
                <w:szCs w:val="20"/>
              </w:rPr>
            </w:pPr>
            <w:r w:rsidRPr="00846EFA">
              <w:rPr>
                <w:rFonts w:cs="Arial"/>
                <w:szCs w:val="20"/>
              </w:rPr>
              <w:t>Healthcare-associated infection</w:t>
            </w:r>
          </w:p>
        </w:tc>
      </w:tr>
      <w:tr w:rsidR="00FC4E17" w:rsidRPr="00846EFA" w14:paraId="7ECFF89D" w14:textId="77777777" w:rsidTr="00FC4E17">
        <w:trPr>
          <w:trHeight w:hRule="exact" w:val="397"/>
        </w:trPr>
        <w:tc>
          <w:tcPr>
            <w:tcW w:w="2410" w:type="dxa"/>
          </w:tcPr>
          <w:p w14:paraId="274983C0" w14:textId="77777777" w:rsidR="00FC4E17" w:rsidRPr="00A51893" w:rsidRDefault="00FC4E17" w:rsidP="008702BC">
            <w:pPr>
              <w:spacing w:after="0"/>
              <w:rPr>
                <w:rFonts w:cs="Arial"/>
                <w:b/>
                <w:bCs/>
                <w:szCs w:val="20"/>
              </w:rPr>
            </w:pPr>
            <w:r>
              <w:rPr>
                <w:rFonts w:cs="Arial"/>
                <w:b/>
                <w:bCs/>
                <w:szCs w:val="20"/>
              </w:rPr>
              <w:t>HCP</w:t>
            </w:r>
          </w:p>
        </w:tc>
        <w:tc>
          <w:tcPr>
            <w:tcW w:w="7637" w:type="dxa"/>
          </w:tcPr>
          <w:p w14:paraId="4A501F5C" w14:textId="77777777" w:rsidR="00FC4E17" w:rsidRPr="00846EFA" w:rsidRDefault="00FC4E17" w:rsidP="008702BC">
            <w:pPr>
              <w:spacing w:after="0"/>
              <w:jc w:val="both"/>
              <w:rPr>
                <w:rFonts w:cs="Arial"/>
                <w:szCs w:val="20"/>
              </w:rPr>
            </w:pPr>
            <w:r w:rsidRPr="007A7D78">
              <w:rPr>
                <w:rFonts w:cs="Arial"/>
                <w:szCs w:val="20"/>
              </w:rPr>
              <w:t>Hospital Casemix Protocol</w:t>
            </w:r>
          </w:p>
        </w:tc>
      </w:tr>
      <w:tr w:rsidR="00FC4E17" w:rsidRPr="00846EFA" w14:paraId="5165B475"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hideMark/>
          </w:tcPr>
          <w:p w14:paraId="0B81AA55" w14:textId="77777777" w:rsidR="00FC4E17" w:rsidRPr="00A51893" w:rsidRDefault="00FC4E17" w:rsidP="008702BC">
            <w:pPr>
              <w:spacing w:after="0"/>
              <w:rPr>
                <w:rFonts w:cs="Arial"/>
                <w:b/>
                <w:bCs/>
                <w:szCs w:val="20"/>
              </w:rPr>
            </w:pPr>
            <w:r w:rsidRPr="00A51893">
              <w:rPr>
                <w:rFonts w:cs="Arial"/>
                <w:b/>
                <w:bCs/>
                <w:szCs w:val="20"/>
              </w:rPr>
              <w:t>MBS</w:t>
            </w:r>
          </w:p>
        </w:tc>
        <w:tc>
          <w:tcPr>
            <w:tcW w:w="7637" w:type="dxa"/>
            <w:hideMark/>
          </w:tcPr>
          <w:p w14:paraId="087025C5" w14:textId="77777777" w:rsidR="00FC4E17" w:rsidRPr="00846EFA" w:rsidRDefault="00FC4E17" w:rsidP="008702BC">
            <w:pPr>
              <w:spacing w:after="0"/>
              <w:rPr>
                <w:rFonts w:cs="Arial"/>
                <w:szCs w:val="20"/>
              </w:rPr>
            </w:pPr>
            <w:r w:rsidRPr="00846EFA">
              <w:rPr>
                <w:rFonts w:cs="Arial"/>
                <w:szCs w:val="20"/>
              </w:rPr>
              <w:t>Medical Benefits Schedule</w:t>
            </w:r>
          </w:p>
        </w:tc>
      </w:tr>
      <w:tr w:rsidR="00FC4E17" w:rsidRPr="00846EFA" w14:paraId="4F82B200" w14:textId="77777777" w:rsidTr="00FC4E17">
        <w:trPr>
          <w:trHeight w:hRule="exact" w:val="397"/>
        </w:trPr>
        <w:tc>
          <w:tcPr>
            <w:tcW w:w="2410" w:type="dxa"/>
          </w:tcPr>
          <w:p w14:paraId="45C8C7B1" w14:textId="77777777" w:rsidR="00FC4E17" w:rsidRPr="00A51893" w:rsidRDefault="00FC4E17" w:rsidP="008702BC">
            <w:pPr>
              <w:spacing w:after="0"/>
              <w:rPr>
                <w:rFonts w:cs="Arial"/>
                <w:b/>
                <w:bCs/>
                <w:szCs w:val="20"/>
              </w:rPr>
            </w:pPr>
            <w:r w:rsidRPr="00A51893">
              <w:rPr>
                <w:rFonts w:cs="Arial"/>
                <w:b/>
                <w:bCs/>
                <w:szCs w:val="20"/>
              </w:rPr>
              <w:t>NAPEDC NMDS</w:t>
            </w:r>
          </w:p>
        </w:tc>
        <w:tc>
          <w:tcPr>
            <w:tcW w:w="7637" w:type="dxa"/>
          </w:tcPr>
          <w:p w14:paraId="42A1AD50" w14:textId="77777777" w:rsidR="00FC4E17" w:rsidRPr="00846EFA" w:rsidRDefault="00FC4E17" w:rsidP="008702BC">
            <w:pPr>
              <w:spacing w:after="0"/>
              <w:rPr>
                <w:rFonts w:cs="Arial"/>
                <w:szCs w:val="20"/>
              </w:rPr>
            </w:pPr>
            <w:r w:rsidRPr="00846EFA">
              <w:rPr>
                <w:rFonts w:cs="Arial"/>
                <w:szCs w:val="20"/>
              </w:rPr>
              <w:t>Non-admitted patient emergency department care National Minimum Data Set</w:t>
            </w:r>
          </w:p>
        </w:tc>
      </w:tr>
      <w:tr w:rsidR="00FC4E17" w:rsidRPr="00846EFA" w14:paraId="28E4E8CB"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63F37EF8" w14:textId="77777777" w:rsidR="00FC4E17" w:rsidRPr="00A51893" w:rsidRDefault="00FC4E17" w:rsidP="008702BC">
            <w:pPr>
              <w:spacing w:after="0"/>
              <w:rPr>
                <w:rFonts w:cs="Arial"/>
                <w:b/>
                <w:bCs/>
                <w:szCs w:val="20"/>
              </w:rPr>
            </w:pPr>
            <w:r>
              <w:rPr>
                <w:rFonts w:cs="Arial"/>
                <w:b/>
                <w:bCs/>
                <w:szCs w:val="20"/>
              </w:rPr>
              <w:t>NAPAG</w:t>
            </w:r>
          </w:p>
        </w:tc>
        <w:tc>
          <w:tcPr>
            <w:tcW w:w="7637" w:type="dxa"/>
          </w:tcPr>
          <w:p w14:paraId="0F5AC930" w14:textId="77777777" w:rsidR="00FC4E17" w:rsidRPr="00846EFA" w:rsidRDefault="00FC4E17" w:rsidP="008702BC">
            <w:pPr>
              <w:spacing w:after="0"/>
              <w:rPr>
                <w:rFonts w:cs="Arial"/>
                <w:szCs w:val="20"/>
              </w:rPr>
            </w:pPr>
            <w:r w:rsidRPr="00287435">
              <w:rPr>
                <w:rFonts w:cs="Arial"/>
                <w:szCs w:val="20"/>
              </w:rPr>
              <w:t>Non-Admitted Patient Care Aggregate Data</w:t>
            </w:r>
          </w:p>
        </w:tc>
      </w:tr>
      <w:tr w:rsidR="00FC4E17" w:rsidRPr="00287435" w14:paraId="0BC9EA48" w14:textId="77777777" w:rsidTr="00FC4E17">
        <w:trPr>
          <w:trHeight w:hRule="exact" w:val="397"/>
        </w:trPr>
        <w:tc>
          <w:tcPr>
            <w:tcW w:w="2410" w:type="dxa"/>
          </w:tcPr>
          <w:p w14:paraId="70C3699E" w14:textId="77777777" w:rsidR="00FC4E17" w:rsidRDefault="00FC4E17" w:rsidP="008702BC">
            <w:pPr>
              <w:spacing w:after="0"/>
              <w:rPr>
                <w:rFonts w:cs="Arial"/>
                <w:b/>
                <w:bCs/>
                <w:szCs w:val="20"/>
              </w:rPr>
            </w:pPr>
            <w:r>
              <w:rPr>
                <w:rFonts w:cs="Arial"/>
                <w:b/>
                <w:bCs/>
                <w:szCs w:val="20"/>
              </w:rPr>
              <w:t>NAPUR</w:t>
            </w:r>
          </w:p>
        </w:tc>
        <w:tc>
          <w:tcPr>
            <w:tcW w:w="7637" w:type="dxa"/>
          </w:tcPr>
          <w:p w14:paraId="13B7C33E" w14:textId="77777777" w:rsidR="00FC4E17" w:rsidRPr="00287435" w:rsidRDefault="00FC4E17" w:rsidP="008702BC">
            <w:pPr>
              <w:spacing w:after="0"/>
              <w:rPr>
                <w:rFonts w:cs="Arial"/>
                <w:szCs w:val="20"/>
              </w:rPr>
            </w:pPr>
            <w:r w:rsidRPr="00287435">
              <w:rPr>
                <w:rFonts w:cs="Arial"/>
                <w:szCs w:val="20"/>
              </w:rPr>
              <w:t>Non-Admitted Patient Care Unit Record Level Data</w:t>
            </w:r>
          </w:p>
        </w:tc>
      </w:tr>
      <w:tr w:rsidR="00FC4E17" w:rsidRPr="00846EFA" w14:paraId="772F5E2F"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5C2D8DF1" w14:textId="77777777" w:rsidR="00FC4E17" w:rsidRPr="00A51893" w:rsidRDefault="00FC4E17" w:rsidP="008702BC">
            <w:pPr>
              <w:spacing w:after="0"/>
              <w:rPr>
                <w:rFonts w:cs="Arial"/>
                <w:b/>
                <w:bCs/>
                <w:szCs w:val="20"/>
              </w:rPr>
            </w:pPr>
            <w:r w:rsidRPr="00A51893">
              <w:rPr>
                <w:rFonts w:cs="Arial"/>
                <w:b/>
                <w:bCs/>
                <w:szCs w:val="20"/>
              </w:rPr>
              <w:t>NDISQSC</w:t>
            </w:r>
          </w:p>
        </w:tc>
        <w:tc>
          <w:tcPr>
            <w:tcW w:w="7637" w:type="dxa"/>
          </w:tcPr>
          <w:p w14:paraId="5AAB42D2" w14:textId="77777777" w:rsidR="00FC4E17" w:rsidRPr="00846EFA" w:rsidRDefault="00FC4E17" w:rsidP="008702BC">
            <w:pPr>
              <w:spacing w:after="0"/>
              <w:rPr>
                <w:rFonts w:cs="Arial"/>
                <w:szCs w:val="20"/>
              </w:rPr>
            </w:pPr>
            <w:r w:rsidRPr="00846EFA">
              <w:rPr>
                <w:rFonts w:cs="Arial"/>
                <w:szCs w:val="20"/>
              </w:rPr>
              <w:t>NDIS Quality and Safeguards Commission</w:t>
            </w:r>
          </w:p>
        </w:tc>
      </w:tr>
      <w:tr w:rsidR="00FC4E17" w:rsidRPr="00846EFA" w14:paraId="03A0E110" w14:textId="77777777" w:rsidTr="00FC4E17">
        <w:trPr>
          <w:trHeight w:hRule="exact" w:val="397"/>
        </w:trPr>
        <w:tc>
          <w:tcPr>
            <w:tcW w:w="2410" w:type="dxa"/>
          </w:tcPr>
          <w:p w14:paraId="6F3D207D" w14:textId="77777777" w:rsidR="00FC4E17" w:rsidRPr="00A51893" w:rsidRDefault="00FC4E17" w:rsidP="008702BC">
            <w:pPr>
              <w:spacing w:after="0"/>
              <w:rPr>
                <w:rFonts w:cs="Arial"/>
                <w:b/>
                <w:bCs/>
                <w:szCs w:val="20"/>
              </w:rPr>
            </w:pPr>
            <w:r>
              <w:rPr>
                <w:rFonts w:cs="Arial"/>
                <w:b/>
                <w:bCs/>
                <w:szCs w:val="20"/>
              </w:rPr>
              <w:t>N</w:t>
            </w:r>
            <w:r>
              <w:rPr>
                <w:b/>
                <w:bCs/>
                <w:szCs w:val="20"/>
              </w:rPr>
              <w:t>HDH</w:t>
            </w:r>
          </w:p>
        </w:tc>
        <w:tc>
          <w:tcPr>
            <w:tcW w:w="7637" w:type="dxa"/>
          </w:tcPr>
          <w:p w14:paraId="17145F83" w14:textId="77777777" w:rsidR="00FC4E17" w:rsidRPr="00846EFA" w:rsidRDefault="00FC4E17" w:rsidP="008702BC">
            <w:pPr>
              <w:spacing w:after="0"/>
              <w:rPr>
                <w:rFonts w:cs="Arial"/>
                <w:szCs w:val="20"/>
              </w:rPr>
            </w:pPr>
            <w:r>
              <w:rPr>
                <w:rFonts w:cs="Arial"/>
                <w:szCs w:val="20"/>
              </w:rPr>
              <w:t>National Health Data Hub</w:t>
            </w:r>
          </w:p>
        </w:tc>
      </w:tr>
      <w:tr w:rsidR="00FC4E17" w:rsidRPr="00846EFA" w14:paraId="7EE75443"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4DE6C654" w14:textId="77777777" w:rsidR="00FC4E17" w:rsidRPr="00A51893" w:rsidRDefault="00FC4E17" w:rsidP="008702BC">
            <w:pPr>
              <w:spacing w:after="0"/>
              <w:rPr>
                <w:rFonts w:cs="Arial"/>
                <w:b/>
                <w:bCs/>
                <w:szCs w:val="20"/>
              </w:rPr>
            </w:pPr>
            <w:r w:rsidRPr="00A51893">
              <w:rPr>
                <w:rFonts w:cs="Arial"/>
                <w:b/>
                <w:bCs/>
                <w:szCs w:val="20"/>
              </w:rPr>
              <w:t>NHHI</w:t>
            </w:r>
          </w:p>
        </w:tc>
        <w:tc>
          <w:tcPr>
            <w:tcW w:w="7637" w:type="dxa"/>
          </w:tcPr>
          <w:p w14:paraId="2953621A" w14:textId="77777777" w:rsidR="00FC4E17" w:rsidRPr="00846EFA" w:rsidRDefault="00FC4E17" w:rsidP="008702BC">
            <w:pPr>
              <w:spacing w:after="0"/>
              <w:rPr>
                <w:rFonts w:cs="Arial"/>
                <w:szCs w:val="20"/>
              </w:rPr>
            </w:pPr>
            <w:r w:rsidRPr="00846EFA">
              <w:rPr>
                <w:rFonts w:cs="Arial"/>
                <w:szCs w:val="20"/>
              </w:rPr>
              <w:t>National Hand Hygiene Initiative</w:t>
            </w:r>
          </w:p>
        </w:tc>
      </w:tr>
      <w:tr w:rsidR="00FC4E17" w:rsidRPr="00846EFA" w14:paraId="34A7E450" w14:textId="77777777" w:rsidTr="00FC4E17">
        <w:trPr>
          <w:trHeight w:hRule="exact" w:val="397"/>
        </w:trPr>
        <w:tc>
          <w:tcPr>
            <w:tcW w:w="2410" w:type="dxa"/>
            <w:hideMark/>
          </w:tcPr>
          <w:p w14:paraId="0B987FDC" w14:textId="77777777" w:rsidR="00FC4E17" w:rsidRPr="00A51893" w:rsidRDefault="00FC4E17" w:rsidP="008702BC">
            <w:pPr>
              <w:spacing w:after="0"/>
              <w:rPr>
                <w:rFonts w:cs="Arial"/>
                <w:b/>
                <w:bCs/>
                <w:szCs w:val="20"/>
              </w:rPr>
            </w:pPr>
            <w:r w:rsidRPr="00A51893">
              <w:rPr>
                <w:rFonts w:cs="Arial"/>
                <w:b/>
                <w:bCs/>
                <w:szCs w:val="20"/>
              </w:rPr>
              <w:t>NHIA</w:t>
            </w:r>
          </w:p>
        </w:tc>
        <w:tc>
          <w:tcPr>
            <w:tcW w:w="7637" w:type="dxa"/>
            <w:hideMark/>
          </w:tcPr>
          <w:p w14:paraId="746DD596" w14:textId="77777777" w:rsidR="00FC4E17" w:rsidRPr="00846EFA" w:rsidRDefault="00FC4E17" w:rsidP="008702BC">
            <w:pPr>
              <w:spacing w:after="0"/>
              <w:rPr>
                <w:rFonts w:cs="Arial"/>
                <w:szCs w:val="20"/>
              </w:rPr>
            </w:pPr>
            <w:r w:rsidRPr="00846EFA">
              <w:rPr>
                <w:rFonts w:cs="Arial"/>
                <w:szCs w:val="20"/>
              </w:rPr>
              <w:t>National Health Information Agreement</w:t>
            </w:r>
          </w:p>
        </w:tc>
      </w:tr>
      <w:tr w:rsidR="00FC4E17" w:rsidRPr="00846EFA" w14:paraId="44A2712D"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hideMark/>
          </w:tcPr>
          <w:p w14:paraId="27EE9E9D" w14:textId="77777777" w:rsidR="00FC4E17" w:rsidRPr="00A51893" w:rsidRDefault="00FC4E17" w:rsidP="008702BC">
            <w:pPr>
              <w:spacing w:after="0"/>
              <w:rPr>
                <w:rFonts w:cs="Arial"/>
                <w:b/>
                <w:bCs/>
                <w:szCs w:val="20"/>
              </w:rPr>
            </w:pPr>
            <w:r w:rsidRPr="00A51893">
              <w:rPr>
                <w:rFonts w:cs="Arial"/>
                <w:b/>
                <w:bCs/>
                <w:szCs w:val="20"/>
              </w:rPr>
              <w:t>NHR Act</w:t>
            </w:r>
          </w:p>
        </w:tc>
        <w:tc>
          <w:tcPr>
            <w:tcW w:w="7637" w:type="dxa"/>
            <w:hideMark/>
          </w:tcPr>
          <w:p w14:paraId="0847C6CE" w14:textId="77777777" w:rsidR="00FC4E17" w:rsidRPr="00846EFA" w:rsidRDefault="00FC4E17" w:rsidP="008702BC">
            <w:pPr>
              <w:spacing w:after="0"/>
              <w:rPr>
                <w:rFonts w:cs="Arial"/>
                <w:szCs w:val="20"/>
              </w:rPr>
            </w:pPr>
            <w:r w:rsidRPr="00846EFA">
              <w:rPr>
                <w:rFonts w:cs="Arial"/>
                <w:szCs w:val="20"/>
              </w:rPr>
              <w:t>National Health Reform Act 2011</w:t>
            </w:r>
          </w:p>
        </w:tc>
      </w:tr>
      <w:tr w:rsidR="00FC4E17" w:rsidRPr="00846EFA" w14:paraId="0950F435" w14:textId="77777777" w:rsidTr="00FC4E17">
        <w:trPr>
          <w:trHeight w:hRule="exact" w:val="397"/>
        </w:trPr>
        <w:tc>
          <w:tcPr>
            <w:tcW w:w="2410" w:type="dxa"/>
            <w:hideMark/>
          </w:tcPr>
          <w:p w14:paraId="26DCA8DC" w14:textId="77777777" w:rsidR="00FC4E17" w:rsidRPr="00A51893" w:rsidRDefault="00FC4E17" w:rsidP="008702BC">
            <w:pPr>
              <w:spacing w:after="0"/>
              <w:rPr>
                <w:rFonts w:cs="Arial"/>
                <w:b/>
                <w:bCs/>
                <w:szCs w:val="20"/>
              </w:rPr>
            </w:pPr>
            <w:r w:rsidRPr="00A51893">
              <w:rPr>
                <w:rFonts w:cs="Arial"/>
                <w:b/>
                <w:bCs/>
                <w:szCs w:val="20"/>
              </w:rPr>
              <w:lastRenderedPageBreak/>
              <w:t>NHRA</w:t>
            </w:r>
          </w:p>
        </w:tc>
        <w:tc>
          <w:tcPr>
            <w:tcW w:w="7637" w:type="dxa"/>
            <w:hideMark/>
          </w:tcPr>
          <w:p w14:paraId="7A46CDC5" w14:textId="77777777" w:rsidR="00FC4E17" w:rsidRPr="00846EFA" w:rsidRDefault="00FC4E17" w:rsidP="008702BC">
            <w:pPr>
              <w:spacing w:after="0"/>
              <w:rPr>
                <w:rFonts w:cs="Arial"/>
                <w:szCs w:val="20"/>
              </w:rPr>
            </w:pPr>
            <w:r w:rsidRPr="00846EFA">
              <w:rPr>
                <w:rFonts w:cs="Arial"/>
                <w:szCs w:val="20"/>
              </w:rPr>
              <w:t>National Health Reform Agreement</w:t>
            </w:r>
          </w:p>
        </w:tc>
      </w:tr>
      <w:tr w:rsidR="00FC4E17" w:rsidRPr="00846EFA" w14:paraId="0FAFC4A5"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01B54FA1" w14:textId="77777777" w:rsidR="00FC4E17" w:rsidRPr="00A51893" w:rsidRDefault="00FC4E17" w:rsidP="008702BC">
            <w:pPr>
              <w:spacing w:after="0"/>
              <w:rPr>
                <w:rFonts w:cs="Arial"/>
                <w:b/>
                <w:bCs/>
                <w:szCs w:val="20"/>
              </w:rPr>
            </w:pPr>
            <w:r w:rsidRPr="00A51893">
              <w:rPr>
                <w:rFonts w:cs="Arial"/>
                <w:b/>
                <w:bCs/>
                <w:szCs w:val="20"/>
              </w:rPr>
              <w:t>NHSD</w:t>
            </w:r>
          </w:p>
        </w:tc>
        <w:tc>
          <w:tcPr>
            <w:tcW w:w="7637" w:type="dxa"/>
          </w:tcPr>
          <w:p w14:paraId="23BC73B6" w14:textId="77777777" w:rsidR="00FC4E17" w:rsidRPr="00846EFA" w:rsidRDefault="00FC4E17" w:rsidP="008702BC">
            <w:pPr>
              <w:spacing w:after="0"/>
              <w:rPr>
                <w:rFonts w:cs="Arial"/>
                <w:szCs w:val="20"/>
              </w:rPr>
            </w:pPr>
            <w:r w:rsidRPr="00846EFA">
              <w:rPr>
                <w:rFonts w:cs="Arial"/>
                <w:szCs w:val="20"/>
              </w:rPr>
              <w:t>National Health Service Directory</w:t>
            </w:r>
          </w:p>
        </w:tc>
      </w:tr>
      <w:tr w:rsidR="00FC4E17" w:rsidRPr="00846EFA" w14:paraId="40E4A5F4" w14:textId="77777777" w:rsidTr="00FC4E17">
        <w:trPr>
          <w:trHeight w:hRule="exact" w:val="397"/>
        </w:trPr>
        <w:tc>
          <w:tcPr>
            <w:tcW w:w="2410" w:type="dxa"/>
          </w:tcPr>
          <w:p w14:paraId="6517A8E8" w14:textId="77777777" w:rsidR="00FC4E17" w:rsidRPr="00A51893" w:rsidRDefault="00FC4E17" w:rsidP="008702BC">
            <w:pPr>
              <w:spacing w:after="0"/>
              <w:rPr>
                <w:rFonts w:cs="Arial"/>
                <w:b/>
                <w:bCs/>
                <w:szCs w:val="20"/>
              </w:rPr>
            </w:pPr>
            <w:r w:rsidRPr="00A51893">
              <w:rPr>
                <w:rFonts w:cs="Arial"/>
                <w:b/>
                <w:bCs/>
                <w:szCs w:val="20"/>
              </w:rPr>
              <w:t>NMD</w:t>
            </w:r>
          </w:p>
        </w:tc>
        <w:tc>
          <w:tcPr>
            <w:tcW w:w="7637" w:type="dxa"/>
          </w:tcPr>
          <w:p w14:paraId="57B7CA9C" w14:textId="77777777" w:rsidR="00FC4E17" w:rsidRPr="00846EFA" w:rsidRDefault="00FC4E17" w:rsidP="008702BC">
            <w:pPr>
              <w:spacing w:after="0"/>
              <w:rPr>
                <w:rFonts w:cs="Arial"/>
                <w:szCs w:val="20"/>
              </w:rPr>
            </w:pPr>
            <w:r w:rsidRPr="00846EFA">
              <w:rPr>
                <w:rFonts w:cs="Arial"/>
                <w:szCs w:val="20"/>
              </w:rPr>
              <w:t>National Mortality Database</w:t>
            </w:r>
          </w:p>
        </w:tc>
      </w:tr>
      <w:tr w:rsidR="00FC4E17" w:rsidRPr="00846EFA" w14:paraId="78731BB4"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1EBF4EF8" w14:textId="77777777" w:rsidR="00FC4E17" w:rsidRPr="00A51893" w:rsidRDefault="00FC4E17" w:rsidP="008702BC">
            <w:pPr>
              <w:spacing w:after="0"/>
              <w:rPr>
                <w:rFonts w:cs="Arial"/>
                <w:b/>
                <w:bCs/>
                <w:szCs w:val="20"/>
              </w:rPr>
            </w:pPr>
            <w:r w:rsidRPr="00A51893">
              <w:rPr>
                <w:rFonts w:cs="Arial"/>
                <w:b/>
                <w:bCs/>
                <w:szCs w:val="20"/>
              </w:rPr>
              <w:t>NNDSS</w:t>
            </w:r>
          </w:p>
        </w:tc>
        <w:tc>
          <w:tcPr>
            <w:tcW w:w="7637" w:type="dxa"/>
          </w:tcPr>
          <w:p w14:paraId="2C4544F4" w14:textId="77777777" w:rsidR="00FC4E17" w:rsidRPr="00846EFA" w:rsidRDefault="00FC4E17" w:rsidP="008702BC">
            <w:pPr>
              <w:spacing w:after="0"/>
              <w:rPr>
                <w:rFonts w:cs="Arial"/>
                <w:szCs w:val="20"/>
              </w:rPr>
            </w:pPr>
            <w:r w:rsidRPr="00846EFA">
              <w:rPr>
                <w:rFonts w:cs="Arial"/>
                <w:szCs w:val="20"/>
              </w:rPr>
              <w:t>National Notifiable Diseases Surveillance System</w:t>
            </w:r>
          </w:p>
        </w:tc>
      </w:tr>
      <w:tr w:rsidR="00FC4E17" w:rsidRPr="00846EFA" w14:paraId="09993473" w14:textId="77777777" w:rsidTr="00FC4E17">
        <w:trPr>
          <w:trHeight w:hRule="exact" w:val="397"/>
        </w:trPr>
        <w:tc>
          <w:tcPr>
            <w:tcW w:w="2410" w:type="dxa"/>
          </w:tcPr>
          <w:p w14:paraId="72FACB23" w14:textId="77777777" w:rsidR="00FC4E17" w:rsidRPr="00A51893" w:rsidRDefault="00FC4E17" w:rsidP="008702BC">
            <w:pPr>
              <w:spacing w:after="0"/>
              <w:rPr>
                <w:rFonts w:cs="Arial"/>
                <w:b/>
                <w:bCs/>
                <w:szCs w:val="20"/>
              </w:rPr>
            </w:pPr>
            <w:r w:rsidRPr="00A51893">
              <w:rPr>
                <w:rFonts w:cs="Arial"/>
                <w:b/>
                <w:bCs/>
                <w:szCs w:val="20"/>
              </w:rPr>
              <w:t>NPAAC Standards</w:t>
            </w:r>
          </w:p>
        </w:tc>
        <w:tc>
          <w:tcPr>
            <w:tcW w:w="7637" w:type="dxa"/>
          </w:tcPr>
          <w:p w14:paraId="1A4FFC92" w14:textId="77777777" w:rsidR="00FC4E17" w:rsidRPr="00846EFA" w:rsidRDefault="00FC4E17" w:rsidP="008702BC">
            <w:pPr>
              <w:spacing w:after="0"/>
              <w:rPr>
                <w:rFonts w:cs="Arial"/>
                <w:szCs w:val="20"/>
              </w:rPr>
            </w:pPr>
            <w:r w:rsidRPr="00846EFA">
              <w:rPr>
                <w:rFonts w:cs="Arial"/>
                <w:szCs w:val="20"/>
              </w:rPr>
              <w:t>Accreditation Advisory Council Standards</w:t>
            </w:r>
          </w:p>
        </w:tc>
      </w:tr>
      <w:tr w:rsidR="00FC4E17" w:rsidRPr="00846EFA" w14:paraId="11A9541E"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557DD739" w14:textId="77777777" w:rsidR="00FC4E17" w:rsidRPr="00A51893" w:rsidRDefault="00FC4E17" w:rsidP="008702BC">
            <w:pPr>
              <w:spacing w:after="0"/>
              <w:rPr>
                <w:rFonts w:cs="Arial"/>
                <w:b/>
                <w:bCs/>
                <w:szCs w:val="20"/>
              </w:rPr>
            </w:pPr>
            <w:r>
              <w:rPr>
                <w:rFonts w:cs="Arial"/>
                <w:b/>
                <w:bCs/>
                <w:szCs w:val="20"/>
              </w:rPr>
              <w:t>NPDC</w:t>
            </w:r>
          </w:p>
        </w:tc>
        <w:tc>
          <w:tcPr>
            <w:tcW w:w="7637" w:type="dxa"/>
          </w:tcPr>
          <w:p w14:paraId="57B68F6E" w14:textId="77777777" w:rsidR="00FC4E17" w:rsidRPr="00846EFA" w:rsidRDefault="00FC4E17" w:rsidP="008702BC">
            <w:pPr>
              <w:spacing w:after="0"/>
              <w:rPr>
                <w:rFonts w:cs="Arial"/>
                <w:szCs w:val="20"/>
              </w:rPr>
            </w:pPr>
            <w:r w:rsidRPr="00287435">
              <w:rPr>
                <w:rFonts w:cs="Arial"/>
                <w:szCs w:val="20"/>
              </w:rPr>
              <w:t>National Perinatal Data Collection</w:t>
            </w:r>
          </w:p>
        </w:tc>
      </w:tr>
      <w:tr w:rsidR="00FC4E17" w:rsidRPr="00846EFA" w14:paraId="7E561E38" w14:textId="77777777" w:rsidTr="00FC4E17">
        <w:trPr>
          <w:trHeight w:hRule="exact" w:val="397"/>
        </w:trPr>
        <w:tc>
          <w:tcPr>
            <w:tcW w:w="2410" w:type="dxa"/>
            <w:hideMark/>
          </w:tcPr>
          <w:p w14:paraId="280CBE9E" w14:textId="77777777" w:rsidR="00FC4E17" w:rsidRPr="00A51893" w:rsidRDefault="00FC4E17" w:rsidP="008702BC">
            <w:pPr>
              <w:spacing w:after="0"/>
              <w:rPr>
                <w:rFonts w:cs="Arial"/>
                <w:b/>
                <w:bCs/>
                <w:szCs w:val="20"/>
              </w:rPr>
            </w:pPr>
            <w:r w:rsidRPr="00A51893">
              <w:rPr>
                <w:rFonts w:cs="Arial"/>
                <w:b/>
                <w:bCs/>
                <w:szCs w:val="20"/>
              </w:rPr>
              <w:t>NSMC</w:t>
            </w:r>
          </w:p>
        </w:tc>
        <w:tc>
          <w:tcPr>
            <w:tcW w:w="7637" w:type="dxa"/>
            <w:hideMark/>
          </w:tcPr>
          <w:p w14:paraId="0BF98453" w14:textId="77777777" w:rsidR="00FC4E17" w:rsidRPr="00846EFA" w:rsidRDefault="00FC4E17" w:rsidP="008702BC">
            <w:pPr>
              <w:spacing w:after="0"/>
              <w:rPr>
                <w:rFonts w:cs="Arial"/>
                <w:szCs w:val="20"/>
              </w:rPr>
            </w:pPr>
            <w:r w:rsidRPr="00846EFA">
              <w:rPr>
                <w:rFonts w:cs="Arial"/>
                <w:szCs w:val="20"/>
              </w:rPr>
              <w:t>National Standard Medication Chart</w:t>
            </w:r>
          </w:p>
        </w:tc>
      </w:tr>
      <w:tr w:rsidR="00FC4E17" w:rsidRPr="00846EFA" w14:paraId="3845CB55"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48D241C7" w14:textId="77777777" w:rsidR="00FC4E17" w:rsidRPr="00A51893" w:rsidRDefault="00FC4E17" w:rsidP="008702BC">
            <w:pPr>
              <w:spacing w:after="0"/>
              <w:rPr>
                <w:rFonts w:cs="Arial"/>
                <w:b/>
                <w:bCs/>
                <w:szCs w:val="20"/>
              </w:rPr>
            </w:pPr>
            <w:r w:rsidRPr="00A51893">
              <w:rPr>
                <w:rFonts w:cs="Arial"/>
                <w:b/>
                <w:bCs/>
                <w:szCs w:val="20"/>
              </w:rPr>
              <w:t>NSQDMH Standards</w:t>
            </w:r>
          </w:p>
        </w:tc>
        <w:tc>
          <w:tcPr>
            <w:tcW w:w="7637" w:type="dxa"/>
          </w:tcPr>
          <w:p w14:paraId="45325DD0" w14:textId="77777777" w:rsidR="00FC4E17" w:rsidRPr="00846EFA" w:rsidRDefault="00FC4E17" w:rsidP="008702BC">
            <w:pPr>
              <w:spacing w:after="0"/>
              <w:rPr>
                <w:rFonts w:cs="Arial"/>
                <w:szCs w:val="20"/>
              </w:rPr>
            </w:pPr>
            <w:r w:rsidRPr="00846EFA">
              <w:rPr>
                <w:rFonts w:cs="Arial"/>
                <w:szCs w:val="20"/>
              </w:rPr>
              <w:t>National Safety and Quality Digital Mental Health Standards</w:t>
            </w:r>
          </w:p>
        </w:tc>
      </w:tr>
      <w:tr w:rsidR="00FC4E17" w:rsidRPr="00846EFA" w14:paraId="6476E34C" w14:textId="77777777" w:rsidTr="00FC4E17">
        <w:trPr>
          <w:trHeight w:hRule="exact" w:val="397"/>
        </w:trPr>
        <w:tc>
          <w:tcPr>
            <w:tcW w:w="2410" w:type="dxa"/>
            <w:hideMark/>
          </w:tcPr>
          <w:p w14:paraId="68963C64" w14:textId="77777777" w:rsidR="00FC4E17" w:rsidRPr="00A51893" w:rsidRDefault="00FC4E17" w:rsidP="008702BC">
            <w:pPr>
              <w:spacing w:after="0"/>
              <w:rPr>
                <w:rFonts w:cs="Arial"/>
                <w:b/>
                <w:bCs/>
                <w:szCs w:val="20"/>
              </w:rPr>
            </w:pPr>
            <w:r w:rsidRPr="00A51893">
              <w:rPr>
                <w:rFonts w:cs="Arial"/>
                <w:b/>
                <w:bCs/>
                <w:szCs w:val="20"/>
              </w:rPr>
              <w:t>NSQHS Standards</w:t>
            </w:r>
          </w:p>
        </w:tc>
        <w:tc>
          <w:tcPr>
            <w:tcW w:w="7637" w:type="dxa"/>
            <w:hideMark/>
          </w:tcPr>
          <w:p w14:paraId="6697B13A" w14:textId="77777777" w:rsidR="00FC4E17" w:rsidRPr="00846EFA" w:rsidRDefault="00FC4E17" w:rsidP="008702BC">
            <w:pPr>
              <w:spacing w:after="0"/>
              <w:rPr>
                <w:rFonts w:cs="Arial"/>
                <w:szCs w:val="20"/>
              </w:rPr>
            </w:pPr>
            <w:r w:rsidRPr="00846EFA">
              <w:rPr>
                <w:rFonts w:cs="Arial"/>
                <w:szCs w:val="20"/>
              </w:rPr>
              <w:t>National Safety and Quality Health Service Standards</w:t>
            </w:r>
          </w:p>
        </w:tc>
      </w:tr>
      <w:tr w:rsidR="00FC4E17" w:rsidRPr="00846EFA" w14:paraId="7B8819F8"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3FFAC3A9" w14:textId="77777777" w:rsidR="00FC4E17" w:rsidRPr="00A51893" w:rsidRDefault="00FC4E17" w:rsidP="008702BC">
            <w:pPr>
              <w:spacing w:after="0"/>
              <w:rPr>
                <w:rFonts w:cs="Arial"/>
                <w:b/>
                <w:bCs/>
                <w:szCs w:val="20"/>
              </w:rPr>
            </w:pPr>
            <w:r w:rsidRPr="00A51893">
              <w:rPr>
                <w:rFonts w:cs="Arial"/>
                <w:b/>
                <w:bCs/>
                <w:szCs w:val="20"/>
              </w:rPr>
              <w:t>NSQPCH Standards</w:t>
            </w:r>
          </w:p>
        </w:tc>
        <w:tc>
          <w:tcPr>
            <w:tcW w:w="7637" w:type="dxa"/>
          </w:tcPr>
          <w:p w14:paraId="1230F733" w14:textId="77777777" w:rsidR="00FC4E17" w:rsidRPr="00846EFA" w:rsidRDefault="00FC4E17" w:rsidP="008702BC">
            <w:pPr>
              <w:spacing w:after="0"/>
              <w:rPr>
                <w:rFonts w:cs="Arial"/>
                <w:szCs w:val="20"/>
              </w:rPr>
            </w:pPr>
            <w:r w:rsidRPr="00846EFA">
              <w:rPr>
                <w:rFonts w:cs="Arial"/>
                <w:szCs w:val="20"/>
              </w:rPr>
              <w:t>National Safety and Quality Primary and Community Health Standards</w:t>
            </w:r>
          </w:p>
        </w:tc>
      </w:tr>
      <w:tr w:rsidR="00FC4E17" w:rsidRPr="00846EFA" w14:paraId="773D6558" w14:textId="77777777" w:rsidTr="00FC4E17">
        <w:trPr>
          <w:trHeight w:hRule="exact" w:val="397"/>
        </w:trPr>
        <w:tc>
          <w:tcPr>
            <w:tcW w:w="2410" w:type="dxa"/>
          </w:tcPr>
          <w:p w14:paraId="2F593302" w14:textId="77777777" w:rsidR="00FC4E17" w:rsidRPr="00A51893" w:rsidRDefault="00FC4E17" w:rsidP="008702BC">
            <w:pPr>
              <w:spacing w:after="0"/>
              <w:rPr>
                <w:rFonts w:cs="Arial"/>
                <w:b/>
                <w:bCs/>
                <w:szCs w:val="20"/>
              </w:rPr>
            </w:pPr>
            <w:r w:rsidRPr="00A51893">
              <w:rPr>
                <w:rFonts w:cs="Arial"/>
                <w:b/>
                <w:bCs/>
                <w:szCs w:val="20"/>
              </w:rPr>
              <w:t>OECD</w:t>
            </w:r>
          </w:p>
        </w:tc>
        <w:tc>
          <w:tcPr>
            <w:tcW w:w="7637" w:type="dxa"/>
          </w:tcPr>
          <w:p w14:paraId="0C06AD92" w14:textId="77777777" w:rsidR="00FC4E17" w:rsidRPr="00846EFA" w:rsidRDefault="00FC4E17" w:rsidP="008702BC">
            <w:pPr>
              <w:spacing w:after="0"/>
              <w:rPr>
                <w:rFonts w:cs="Arial"/>
                <w:szCs w:val="20"/>
              </w:rPr>
            </w:pPr>
            <w:r w:rsidRPr="00846EFA">
              <w:rPr>
                <w:rFonts w:cs="Arial"/>
                <w:szCs w:val="20"/>
              </w:rPr>
              <w:t>Organisation for Economic Co-operation and Development</w:t>
            </w:r>
          </w:p>
        </w:tc>
      </w:tr>
      <w:tr w:rsidR="00FC4E17" w:rsidRPr="00846EFA" w14:paraId="344038F3"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0965E0BA" w14:textId="77777777" w:rsidR="00FC4E17" w:rsidRPr="00A51893" w:rsidRDefault="00FC4E17" w:rsidP="008702BC">
            <w:pPr>
              <w:spacing w:after="0"/>
              <w:rPr>
                <w:rFonts w:cs="Arial"/>
                <w:b/>
                <w:bCs/>
                <w:szCs w:val="20"/>
              </w:rPr>
            </w:pPr>
            <w:r>
              <w:rPr>
                <w:rFonts w:cs="Arial"/>
                <w:b/>
                <w:bCs/>
                <w:szCs w:val="20"/>
              </w:rPr>
              <w:t>PALCARE</w:t>
            </w:r>
          </w:p>
        </w:tc>
        <w:tc>
          <w:tcPr>
            <w:tcW w:w="7637" w:type="dxa"/>
          </w:tcPr>
          <w:p w14:paraId="246AE782" w14:textId="77777777" w:rsidR="00FC4E17" w:rsidRPr="00846EFA" w:rsidRDefault="00FC4E17" w:rsidP="008702BC">
            <w:pPr>
              <w:spacing w:after="0"/>
              <w:rPr>
                <w:rFonts w:cs="Arial"/>
                <w:szCs w:val="20"/>
              </w:rPr>
            </w:pPr>
            <w:r w:rsidRPr="00287435">
              <w:rPr>
                <w:rFonts w:cs="Arial"/>
                <w:szCs w:val="20"/>
              </w:rPr>
              <w:t>Palliative phase of care</w:t>
            </w:r>
          </w:p>
        </w:tc>
      </w:tr>
      <w:tr w:rsidR="00FC4E17" w:rsidRPr="00846EFA" w14:paraId="6E2D00AB" w14:textId="77777777" w:rsidTr="00FC4E17">
        <w:trPr>
          <w:trHeight w:hRule="exact" w:val="397"/>
        </w:trPr>
        <w:tc>
          <w:tcPr>
            <w:tcW w:w="2410" w:type="dxa"/>
            <w:hideMark/>
          </w:tcPr>
          <w:p w14:paraId="1ED58A23" w14:textId="77777777" w:rsidR="00FC4E17" w:rsidRPr="00A51893" w:rsidRDefault="00FC4E17" w:rsidP="008702BC">
            <w:pPr>
              <w:spacing w:after="0"/>
              <w:rPr>
                <w:rFonts w:cs="Arial"/>
                <w:b/>
                <w:bCs/>
                <w:szCs w:val="20"/>
              </w:rPr>
            </w:pPr>
            <w:r w:rsidRPr="00A51893">
              <w:rPr>
                <w:rFonts w:cs="Arial"/>
                <w:b/>
                <w:bCs/>
                <w:szCs w:val="20"/>
              </w:rPr>
              <w:t>PBS</w:t>
            </w:r>
          </w:p>
        </w:tc>
        <w:tc>
          <w:tcPr>
            <w:tcW w:w="7637" w:type="dxa"/>
            <w:hideMark/>
          </w:tcPr>
          <w:p w14:paraId="01211B9D" w14:textId="77777777" w:rsidR="00FC4E17" w:rsidRPr="00846EFA" w:rsidRDefault="00FC4E17" w:rsidP="008702BC">
            <w:pPr>
              <w:spacing w:after="0"/>
              <w:rPr>
                <w:rFonts w:cs="Arial"/>
                <w:szCs w:val="20"/>
              </w:rPr>
            </w:pPr>
            <w:r w:rsidRPr="00846EFA">
              <w:rPr>
                <w:rFonts w:cs="Arial"/>
                <w:szCs w:val="20"/>
              </w:rPr>
              <w:t>Pharmaceutical Benefits Schedule</w:t>
            </w:r>
          </w:p>
        </w:tc>
      </w:tr>
      <w:tr w:rsidR="00FC4E17" w:rsidRPr="00846EFA" w14:paraId="24037751"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4F7F8786" w14:textId="77777777" w:rsidR="00FC4E17" w:rsidRPr="00A51893" w:rsidRDefault="00FC4E17" w:rsidP="008702BC">
            <w:pPr>
              <w:spacing w:after="0"/>
              <w:rPr>
                <w:rFonts w:cs="Arial"/>
                <w:b/>
                <w:bCs/>
                <w:szCs w:val="20"/>
              </w:rPr>
            </w:pPr>
            <w:r>
              <w:rPr>
                <w:rFonts w:cs="Arial"/>
                <w:b/>
                <w:bCs/>
                <w:szCs w:val="20"/>
              </w:rPr>
              <w:t>P</w:t>
            </w:r>
            <w:r>
              <w:rPr>
                <w:b/>
                <w:bCs/>
                <w:szCs w:val="20"/>
              </w:rPr>
              <w:t>HDB</w:t>
            </w:r>
          </w:p>
        </w:tc>
        <w:tc>
          <w:tcPr>
            <w:tcW w:w="7637" w:type="dxa"/>
          </w:tcPr>
          <w:p w14:paraId="6A7EF82B" w14:textId="77777777" w:rsidR="00FC4E17" w:rsidRPr="00846EFA" w:rsidRDefault="00FC4E17" w:rsidP="008702BC">
            <w:pPr>
              <w:spacing w:after="0"/>
              <w:rPr>
                <w:rFonts w:cs="Arial"/>
                <w:szCs w:val="20"/>
              </w:rPr>
            </w:pPr>
            <w:r w:rsidRPr="00730AF0">
              <w:rPr>
                <w:rFonts w:cs="Arial"/>
                <w:szCs w:val="20"/>
              </w:rPr>
              <w:t>Private Hospital Data Bureau</w:t>
            </w:r>
          </w:p>
        </w:tc>
      </w:tr>
      <w:tr w:rsidR="00FC4E17" w:rsidRPr="00846EFA" w14:paraId="1C3362A4" w14:textId="77777777" w:rsidTr="00FC4E17">
        <w:trPr>
          <w:trHeight w:hRule="exact" w:val="397"/>
        </w:trPr>
        <w:tc>
          <w:tcPr>
            <w:tcW w:w="2410" w:type="dxa"/>
          </w:tcPr>
          <w:p w14:paraId="34053545" w14:textId="77777777" w:rsidR="00FC4E17" w:rsidRPr="00A51893" w:rsidRDefault="00FC4E17" w:rsidP="008702BC">
            <w:pPr>
              <w:spacing w:after="0"/>
              <w:rPr>
                <w:rFonts w:cs="Arial"/>
                <w:b/>
                <w:bCs/>
                <w:szCs w:val="20"/>
              </w:rPr>
            </w:pPr>
            <w:r>
              <w:rPr>
                <w:rFonts w:cs="Arial"/>
                <w:b/>
                <w:bCs/>
                <w:szCs w:val="20"/>
              </w:rPr>
              <w:t>PHE</w:t>
            </w:r>
          </w:p>
        </w:tc>
        <w:tc>
          <w:tcPr>
            <w:tcW w:w="7637" w:type="dxa"/>
          </w:tcPr>
          <w:p w14:paraId="46D95F8C" w14:textId="77777777" w:rsidR="00FC4E17" w:rsidRPr="00846EFA" w:rsidRDefault="00FC4E17" w:rsidP="008702BC">
            <w:pPr>
              <w:spacing w:after="0"/>
              <w:rPr>
                <w:rFonts w:cs="Arial"/>
                <w:szCs w:val="20"/>
              </w:rPr>
            </w:pPr>
            <w:r w:rsidRPr="00287435">
              <w:rPr>
                <w:rFonts w:cs="Arial"/>
                <w:szCs w:val="20"/>
              </w:rPr>
              <w:t>Public Hospital Establishments - Establishment level</w:t>
            </w:r>
          </w:p>
        </w:tc>
      </w:tr>
      <w:tr w:rsidR="00FC4E17" w:rsidRPr="00287435" w14:paraId="0DC087C7"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7A5BECD0" w14:textId="77777777" w:rsidR="00FC4E17" w:rsidRDefault="00FC4E17" w:rsidP="008702BC">
            <w:pPr>
              <w:spacing w:after="0"/>
              <w:rPr>
                <w:rFonts w:cs="Arial"/>
                <w:b/>
                <w:bCs/>
                <w:szCs w:val="20"/>
              </w:rPr>
            </w:pPr>
            <w:r>
              <w:rPr>
                <w:rFonts w:cs="Arial"/>
                <w:b/>
                <w:bCs/>
                <w:szCs w:val="20"/>
              </w:rPr>
              <w:t>PHE-JLHN</w:t>
            </w:r>
          </w:p>
        </w:tc>
        <w:tc>
          <w:tcPr>
            <w:tcW w:w="7637" w:type="dxa"/>
          </w:tcPr>
          <w:p w14:paraId="3398F374" w14:textId="77777777" w:rsidR="00FC4E17" w:rsidRPr="00287435" w:rsidRDefault="00FC4E17" w:rsidP="008702BC">
            <w:pPr>
              <w:spacing w:after="0"/>
              <w:rPr>
                <w:rFonts w:cs="Arial"/>
                <w:szCs w:val="20"/>
              </w:rPr>
            </w:pPr>
            <w:r w:rsidRPr="00287435">
              <w:rPr>
                <w:rFonts w:cs="Arial"/>
                <w:szCs w:val="20"/>
              </w:rPr>
              <w:t>Public Hospital Establishments - Jurisdiction and Local Hospital Network level</w:t>
            </w:r>
          </w:p>
        </w:tc>
      </w:tr>
      <w:tr w:rsidR="00FC4E17" w:rsidRPr="00846EFA" w14:paraId="0D38EF7C" w14:textId="77777777" w:rsidTr="00FC4E17">
        <w:trPr>
          <w:trHeight w:hRule="exact" w:val="397"/>
        </w:trPr>
        <w:tc>
          <w:tcPr>
            <w:tcW w:w="2410" w:type="dxa"/>
          </w:tcPr>
          <w:p w14:paraId="2E25A094" w14:textId="77777777" w:rsidR="00FC4E17" w:rsidRPr="00A51893" w:rsidRDefault="00FC4E17" w:rsidP="008702BC">
            <w:pPr>
              <w:spacing w:after="0"/>
              <w:rPr>
                <w:rFonts w:cs="Arial"/>
                <w:b/>
                <w:bCs/>
                <w:szCs w:val="20"/>
              </w:rPr>
            </w:pPr>
            <w:r w:rsidRPr="00A51893">
              <w:rPr>
                <w:rFonts w:cs="Arial"/>
                <w:b/>
                <w:bCs/>
                <w:szCs w:val="20"/>
              </w:rPr>
              <w:t>PROMs</w:t>
            </w:r>
          </w:p>
        </w:tc>
        <w:tc>
          <w:tcPr>
            <w:tcW w:w="7637" w:type="dxa"/>
          </w:tcPr>
          <w:p w14:paraId="748E2BF3" w14:textId="77777777" w:rsidR="00FC4E17" w:rsidRPr="00846EFA" w:rsidRDefault="00FC4E17" w:rsidP="008702BC">
            <w:pPr>
              <w:spacing w:after="0"/>
              <w:rPr>
                <w:rFonts w:cs="Arial"/>
                <w:szCs w:val="20"/>
              </w:rPr>
            </w:pPr>
            <w:r w:rsidRPr="00846EFA">
              <w:rPr>
                <w:rFonts w:cs="Arial"/>
                <w:szCs w:val="20"/>
              </w:rPr>
              <w:t>Patient Reported Outcome Measures</w:t>
            </w:r>
          </w:p>
        </w:tc>
      </w:tr>
      <w:tr w:rsidR="00FC4E17" w:rsidRPr="00846EFA" w14:paraId="43A2CCA5"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5C48123B" w14:textId="77777777" w:rsidR="00FC4E17" w:rsidRPr="00A51893" w:rsidRDefault="00FC4E17" w:rsidP="008702BC">
            <w:pPr>
              <w:spacing w:after="0"/>
              <w:rPr>
                <w:rFonts w:cs="Arial"/>
                <w:b/>
                <w:bCs/>
                <w:szCs w:val="20"/>
              </w:rPr>
            </w:pPr>
            <w:r w:rsidRPr="00A51893">
              <w:rPr>
                <w:rFonts w:cs="Arial"/>
                <w:b/>
                <w:bCs/>
                <w:szCs w:val="20"/>
              </w:rPr>
              <w:t>RPBS</w:t>
            </w:r>
          </w:p>
        </w:tc>
        <w:tc>
          <w:tcPr>
            <w:tcW w:w="7637" w:type="dxa"/>
          </w:tcPr>
          <w:p w14:paraId="53F04563" w14:textId="77777777" w:rsidR="00FC4E17" w:rsidRPr="00846EFA" w:rsidRDefault="00FC4E17" w:rsidP="008702BC">
            <w:pPr>
              <w:spacing w:after="0"/>
              <w:rPr>
                <w:rFonts w:cs="Arial"/>
                <w:szCs w:val="20"/>
              </w:rPr>
            </w:pPr>
            <w:r w:rsidRPr="00846EFA">
              <w:rPr>
                <w:rFonts w:cs="Arial"/>
                <w:szCs w:val="20"/>
              </w:rPr>
              <w:t>Repatriation Pharmaceutical Benefits Scheme</w:t>
            </w:r>
          </w:p>
        </w:tc>
      </w:tr>
      <w:tr w:rsidR="00FC4E17" w:rsidRPr="00846EFA" w14:paraId="69DF6FA9" w14:textId="77777777" w:rsidTr="00FC4E17">
        <w:trPr>
          <w:trHeight w:hRule="exact" w:val="397"/>
        </w:trPr>
        <w:tc>
          <w:tcPr>
            <w:tcW w:w="2410" w:type="dxa"/>
          </w:tcPr>
          <w:p w14:paraId="57919C13" w14:textId="77777777" w:rsidR="00FC4E17" w:rsidRPr="00A51893" w:rsidRDefault="00FC4E17" w:rsidP="008702BC">
            <w:pPr>
              <w:spacing w:after="0"/>
              <w:rPr>
                <w:rFonts w:cs="Arial"/>
                <w:b/>
                <w:bCs/>
                <w:szCs w:val="20"/>
              </w:rPr>
            </w:pPr>
            <w:r w:rsidRPr="00A51893">
              <w:rPr>
                <w:rFonts w:cs="Arial"/>
                <w:b/>
                <w:bCs/>
                <w:szCs w:val="20"/>
              </w:rPr>
              <w:t>PGPA</w:t>
            </w:r>
          </w:p>
        </w:tc>
        <w:tc>
          <w:tcPr>
            <w:tcW w:w="7637" w:type="dxa"/>
          </w:tcPr>
          <w:p w14:paraId="081D5F58" w14:textId="77777777" w:rsidR="00FC4E17" w:rsidRPr="00846EFA" w:rsidRDefault="00FC4E17" w:rsidP="008702BC">
            <w:pPr>
              <w:spacing w:after="0"/>
              <w:rPr>
                <w:rFonts w:cs="Arial"/>
                <w:szCs w:val="20"/>
              </w:rPr>
            </w:pPr>
            <w:r w:rsidRPr="00846EFA">
              <w:rPr>
                <w:rFonts w:cs="Arial"/>
                <w:szCs w:val="20"/>
              </w:rPr>
              <w:t>Public Governance, Performance and Accountability Act 2013</w:t>
            </w:r>
          </w:p>
        </w:tc>
      </w:tr>
      <w:tr w:rsidR="00FC4E17" w:rsidRPr="00846EFA" w14:paraId="4D33D4C4"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3BCB852E" w14:textId="77777777" w:rsidR="00FC4E17" w:rsidRPr="00A51893" w:rsidRDefault="00FC4E17" w:rsidP="008702BC">
            <w:pPr>
              <w:spacing w:after="0"/>
              <w:rPr>
                <w:rFonts w:cs="Arial"/>
                <w:b/>
                <w:bCs/>
                <w:szCs w:val="20"/>
              </w:rPr>
            </w:pPr>
            <w:r>
              <w:rPr>
                <w:rFonts w:cs="Arial"/>
                <w:b/>
                <w:bCs/>
                <w:szCs w:val="20"/>
              </w:rPr>
              <w:t>RAAHS</w:t>
            </w:r>
          </w:p>
        </w:tc>
        <w:tc>
          <w:tcPr>
            <w:tcW w:w="7637" w:type="dxa"/>
          </w:tcPr>
          <w:p w14:paraId="09C106F0" w14:textId="77777777" w:rsidR="00FC4E17" w:rsidRPr="00846EFA" w:rsidRDefault="00FC4E17" w:rsidP="008702BC">
            <w:pPr>
              <w:spacing w:after="0"/>
              <w:rPr>
                <w:rFonts w:cs="Arial"/>
                <w:szCs w:val="20"/>
              </w:rPr>
            </w:pPr>
            <w:r w:rsidRPr="00CD3ECC">
              <w:rPr>
                <w:rFonts w:cs="Arial"/>
                <w:szCs w:val="20"/>
              </w:rPr>
              <w:t>Remote Area Aboriginal Health Services Program</w:t>
            </w:r>
          </w:p>
        </w:tc>
      </w:tr>
      <w:tr w:rsidR="00FC4E17" w:rsidRPr="00CD3ECC" w14:paraId="3A12FC61" w14:textId="77777777" w:rsidTr="00FC4E17">
        <w:trPr>
          <w:trHeight w:hRule="exact" w:val="397"/>
        </w:trPr>
        <w:tc>
          <w:tcPr>
            <w:tcW w:w="2410" w:type="dxa"/>
          </w:tcPr>
          <w:p w14:paraId="58764A27" w14:textId="77777777" w:rsidR="00FC4E17" w:rsidRDefault="00FC4E17" w:rsidP="008702BC">
            <w:pPr>
              <w:spacing w:after="0"/>
              <w:rPr>
                <w:rFonts w:cs="Arial"/>
                <w:b/>
                <w:bCs/>
                <w:szCs w:val="20"/>
              </w:rPr>
            </w:pPr>
            <w:r>
              <w:rPr>
                <w:rFonts w:cs="Arial"/>
                <w:b/>
                <w:bCs/>
                <w:szCs w:val="20"/>
              </w:rPr>
              <w:t>SABSI</w:t>
            </w:r>
          </w:p>
        </w:tc>
        <w:tc>
          <w:tcPr>
            <w:tcW w:w="7637" w:type="dxa"/>
          </w:tcPr>
          <w:p w14:paraId="4D07AA09" w14:textId="77777777" w:rsidR="00FC4E17" w:rsidRPr="00CD3ECC" w:rsidRDefault="00FC4E17" w:rsidP="008702BC">
            <w:pPr>
              <w:spacing w:after="0"/>
              <w:rPr>
                <w:rFonts w:cs="Arial"/>
                <w:szCs w:val="20"/>
              </w:rPr>
            </w:pPr>
            <w:r w:rsidRPr="00897C98">
              <w:rPr>
                <w:rFonts w:cs="Arial"/>
                <w:szCs w:val="20"/>
              </w:rPr>
              <w:t>National Staphylococcus aureus bacteraemia data collection</w:t>
            </w:r>
          </w:p>
        </w:tc>
      </w:tr>
      <w:tr w:rsidR="00FC4E17" w:rsidRPr="00846EFA" w14:paraId="5E0848D0"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0568D84E" w14:textId="77777777" w:rsidR="00FC4E17" w:rsidRPr="00A51893" w:rsidRDefault="00FC4E17" w:rsidP="008702BC">
            <w:pPr>
              <w:spacing w:after="0"/>
              <w:rPr>
                <w:rFonts w:cs="Arial"/>
                <w:b/>
                <w:bCs/>
                <w:szCs w:val="20"/>
              </w:rPr>
            </w:pPr>
            <w:r w:rsidRPr="00A51893">
              <w:rPr>
                <w:rFonts w:cs="Arial"/>
                <w:b/>
                <w:bCs/>
                <w:szCs w:val="20"/>
              </w:rPr>
              <w:t>the Commission</w:t>
            </w:r>
          </w:p>
        </w:tc>
        <w:tc>
          <w:tcPr>
            <w:tcW w:w="7637" w:type="dxa"/>
          </w:tcPr>
          <w:p w14:paraId="223ECB41" w14:textId="77777777" w:rsidR="00FC4E17" w:rsidRPr="00846EFA" w:rsidRDefault="00FC4E17" w:rsidP="008702BC">
            <w:pPr>
              <w:spacing w:after="0"/>
              <w:rPr>
                <w:rFonts w:cs="Arial"/>
                <w:szCs w:val="20"/>
              </w:rPr>
            </w:pPr>
            <w:r w:rsidRPr="00846EFA">
              <w:rPr>
                <w:rFonts w:cs="Arial"/>
                <w:szCs w:val="20"/>
              </w:rPr>
              <w:t>Australian Commission on Safety and Quality in Health Care</w:t>
            </w:r>
          </w:p>
        </w:tc>
      </w:tr>
      <w:tr w:rsidR="00FC4E17" w:rsidRPr="00846EFA" w14:paraId="093C870A" w14:textId="77777777" w:rsidTr="00FC4E17">
        <w:trPr>
          <w:trHeight w:hRule="exact" w:val="397"/>
        </w:trPr>
        <w:tc>
          <w:tcPr>
            <w:tcW w:w="2410" w:type="dxa"/>
          </w:tcPr>
          <w:p w14:paraId="7EDE4959" w14:textId="77777777" w:rsidR="00FC4E17" w:rsidRPr="00A51893" w:rsidRDefault="00FC4E17" w:rsidP="008702BC">
            <w:pPr>
              <w:spacing w:after="0"/>
              <w:rPr>
                <w:rFonts w:cs="Arial"/>
                <w:b/>
                <w:bCs/>
                <w:szCs w:val="20"/>
              </w:rPr>
            </w:pPr>
            <w:r w:rsidRPr="00A51893">
              <w:rPr>
                <w:rFonts w:cs="Arial"/>
                <w:b/>
                <w:bCs/>
                <w:szCs w:val="20"/>
              </w:rPr>
              <w:t>the Framework</w:t>
            </w:r>
          </w:p>
        </w:tc>
        <w:tc>
          <w:tcPr>
            <w:tcW w:w="7637" w:type="dxa"/>
          </w:tcPr>
          <w:p w14:paraId="30B0C9DA" w14:textId="77777777" w:rsidR="00FC4E17" w:rsidRPr="00846EFA" w:rsidRDefault="00FC4E17" w:rsidP="008702BC">
            <w:pPr>
              <w:spacing w:after="0"/>
              <w:rPr>
                <w:rFonts w:cs="Arial"/>
                <w:szCs w:val="20"/>
              </w:rPr>
            </w:pPr>
            <w:r w:rsidRPr="00846EFA">
              <w:rPr>
                <w:rFonts w:cs="Arial"/>
                <w:szCs w:val="20"/>
              </w:rPr>
              <w:t>Data Governance Framework</w:t>
            </w:r>
          </w:p>
        </w:tc>
      </w:tr>
      <w:tr w:rsidR="00FC4E17" w:rsidRPr="00846EFA" w14:paraId="7DB16DBD" w14:textId="77777777" w:rsidTr="00FC4E17">
        <w:trPr>
          <w:cnfStyle w:val="000000010000" w:firstRow="0" w:lastRow="0" w:firstColumn="0" w:lastColumn="0" w:oddVBand="0" w:evenVBand="0" w:oddHBand="0" w:evenHBand="1" w:firstRowFirstColumn="0" w:firstRowLastColumn="0" w:lastRowFirstColumn="0" w:lastRowLastColumn="0"/>
          <w:trHeight w:hRule="exact" w:val="397"/>
        </w:trPr>
        <w:tc>
          <w:tcPr>
            <w:tcW w:w="2410" w:type="dxa"/>
          </w:tcPr>
          <w:p w14:paraId="7215521D" w14:textId="77777777" w:rsidR="00FC4E17" w:rsidRPr="00A51893" w:rsidRDefault="00FC4E17" w:rsidP="008702BC">
            <w:pPr>
              <w:spacing w:after="0"/>
              <w:rPr>
                <w:rFonts w:cs="Arial"/>
                <w:b/>
                <w:bCs/>
                <w:szCs w:val="20"/>
              </w:rPr>
            </w:pPr>
            <w:r w:rsidRPr="00A51893">
              <w:rPr>
                <w:rFonts w:cs="Arial"/>
                <w:b/>
                <w:bCs/>
                <w:szCs w:val="20"/>
              </w:rPr>
              <w:t>WHO</w:t>
            </w:r>
          </w:p>
        </w:tc>
        <w:tc>
          <w:tcPr>
            <w:tcW w:w="7637" w:type="dxa"/>
          </w:tcPr>
          <w:p w14:paraId="36FC0751" w14:textId="77777777" w:rsidR="00FC4E17" w:rsidRPr="00846EFA" w:rsidRDefault="00FC4E17" w:rsidP="008702BC">
            <w:pPr>
              <w:spacing w:after="0"/>
              <w:rPr>
                <w:rFonts w:cs="Arial"/>
                <w:szCs w:val="20"/>
              </w:rPr>
            </w:pPr>
            <w:r w:rsidRPr="00846EFA">
              <w:rPr>
                <w:rFonts w:cs="Arial"/>
                <w:szCs w:val="20"/>
              </w:rPr>
              <w:t>World Health Organization</w:t>
            </w:r>
          </w:p>
        </w:tc>
      </w:tr>
    </w:tbl>
    <w:p w14:paraId="714B1352" w14:textId="77777777" w:rsidR="00574A3A" w:rsidRDefault="00574A3A"/>
    <w:p w14:paraId="73232F43" w14:textId="2EF41570" w:rsidR="001D4D0D" w:rsidRDefault="00EC32B0">
      <w:pPr>
        <w:rPr>
          <w:rFonts w:eastAsia="Times New Roman"/>
          <w:lang w:eastAsia="en-AU"/>
        </w:rPr>
      </w:pPr>
      <w:r>
        <w:br w:type="page"/>
      </w:r>
    </w:p>
    <w:p w14:paraId="27D904F8" w14:textId="77777777" w:rsidR="005915AE" w:rsidRPr="004E2765" w:rsidRDefault="00C05576" w:rsidP="00C05576">
      <w:pPr>
        <w:pageBreakBefore/>
      </w:pPr>
      <w:r>
        <w:rPr>
          <w:noProof/>
        </w:rPr>
        <w:lastRenderedPageBreak/>
        <w:drawing>
          <wp:anchor distT="0" distB="0" distL="114300" distR="114300" simplePos="0" relativeHeight="251677696" behindDoc="1" locked="1" layoutInCell="1" allowOverlap="1" wp14:anchorId="73E03FCB" wp14:editId="7838729B">
            <wp:simplePos x="866274" y="866274"/>
            <wp:positionH relativeFrom="page">
              <wp:align>left</wp:align>
            </wp:positionH>
            <wp:positionV relativeFrom="page">
              <wp:align>top</wp:align>
            </wp:positionV>
            <wp:extent cx="7560000" cy="10695600"/>
            <wp:effectExtent l="0" t="0" r="3175" b="0"/>
            <wp:wrapNone/>
            <wp:docPr id="140298789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987899" name="Picture 1402987899"/>
                    <pic:cNvPicPr/>
                  </pic:nvPicPr>
                  <pic:blipFill>
                    <a:blip r:embed="rId63"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553792" behindDoc="0" locked="0" layoutInCell="1" allowOverlap="1" wp14:anchorId="74AD2632" wp14:editId="42D330EE">
                <wp:simplePos x="0" y="0"/>
                <wp:positionH relativeFrom="column">
                  <wp:posOffset>-227831</wp:posOffset>
                </wp:positionH>
                <wp:positionV relativeFrom="paragraph">
                  <wp:posOffset>7140953</wp:posOffset>
                </wp:positionV>
                <wp:extent cx="3345886" cy="2072738"/>
                <wp:effectExtent l="0" t="0" r="6985" b="3810"/>
                <wp:wrapNone/>
                <wp:docPr id="66082305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45886" cy="2072738"/>
                        </a:xfrm>
                        <a:prstGeom prst="rect">
                          <a:avLst/>
                        </a:prstGeom>
                        <a:noFill/>
                        <a:ln w="6350">
                          <a:noFill/>
                        </a:ln>
                      </wps:spPr>
                      <wps:txbx>
                        <w:txbxContent>
                          <w:p w14:paraId="43BAE286" w14:textId="77777777" w:rsidR="003845DF" w:rsidRPr="009527AE" w:rsidRDefault="00144E74" w:rsidP="00144E74">
                            <w:pPr>
                              <w:spacing w:before="0" w:after="0" w:line="264" w:lineRule="auto"/>
                              <w:rPr>
                                <w:color w:val="FFFFFF" w:themeColor="background1"/>
                                <w:sz w:val="16"/>
                                <w:szCs w:val="16"/>
                              </w:rPr>
                            </w:pPr>
                            <w:r w:rsidRPr="009527AE">
                              <w:rPr>
                                <w:noProof/>
                                <w:color w:val="FFFFFF" w:themeColor="background1"/>
                                <w:sz w:val="16"/>
                                <w:szCs w:val="16"/>
                              </w:rPr>
                              <w:drawing>
                                <wp:inline distT="0" distB="0" distL="0" distR="0" wp14:anchorId="4DFA8157" wp14:editId="1E40C04C">
                                  <wp:extent cx="1697040" cy="586800"/>
                                  <wp:effectExtent l="0" t="0" r="0" b="3810"/>
                                  <wp:docPr id="2145299985"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64">
                                            <a:extLst>
                                              <a:ext uri="{96DAC541-7B7A-43D3-8B79-37D633B846F1}">
                                                <asvg:svgBlip xmlns:asvg="http://schemas.microsoft.com/office/drawing/2016/SVG/main" r:embed="rId65"/>
                                              </a:ext>
                                            </a:extLst>
                                          </a:blip>
                                          <a:stretch>
                                            <a:fillRect/>
                                          </a:stretch>
                                        </pic:blipFill>
                                        <pic:spPr>
                                          <a:xfrm>
                                            <a:off x="0" y="0"/>
                                            <a:ext cx="1697040" cy="586800"/>
                                          </a:xfrm>
                                          <a:prstGeom prst="rect">
                                            <a:avLst/>
                                          </a:prstGeom>
                                        </pic:spPr>
                                      </pic:pic>
                                    </a:graphicData>
                                  </a:graphic>
                                </wp:inline>
                              </w:drawing>
                            </w:r>
                          </w:p>
                          <w:p w14:paraId="73910EE3" w14:textId="77777777" w:rsidR="00144E74" w:rsidRPr="009527AE" w:rsidRDefault="00144E74" w:rsidP="00144E74">
                            <w:pPr>
                              <w:spacing w:before="0" w:after="0" w:line="264" w:lineRule="auto"/>
                              <w:rPr>
                                <w:color w:val="FFFFFF" w:themeColor="background1"/>
                              </w:rPr>
                            </w:pPr>
                          </w:p>
                          <w:p w14:paraId="1EF4FCFF" w14:textId="77777777" w:rsidR="00144E74" w:rsidRPr="009527AE" w:rsidRDefault="00144E74" w:rsidP="00144E74">
                            <w:pPr>
                              <w:pStyle w:val="NoSpacing"/>
                              <w:spacing w:line="264" w:lineRule="auto"/>
                              <w:rPr>
                                <w:color w:val="FFFFFF" w:themeColor="background1"/>
                              </w:rPr>
                            </w:pPr>
                            <w:r w:rsidRPr="009527AE">
                              <w:rPr>
                                <w:color w:val="FFFFFF" w:themeColor="background1"/>
                              </w:rPr>
                              <w:t xml:space="preserve">T. +61 2 </w:t>
                            </w:r>
                            <w:r w:rsidR="00BD2982" w:rsidRPr="00BD2982">
                              <w:rPr>
                                <w:color w:val="FFFFFF" w:themeColor="background1"/>
                              </w:rPr>
                              <w:t>9126 3600</w:t>
                            </w:r>
                          </w:p>
                          <w:p w14:paraId="379A9715" w14:textId="77777777" w:rsidR="00144E74" w:rsidRPr="009527AE" w:rsidRDefault="00144E74" w:rsidP="00144E74">
                            <w:pPr>
                              <w:pStyle w:val="NoSpacing"/>
                              <w:spacing w:line="264" w:lineRule="auto"/>
                              <w:rPr>
                                <w:color w:val="FFFFFF" w:themeColor="background1"/>
                              </w:rPr>
                            </w:pPr>
                            <w:r w:rsidRPr="009527AE">
                              <w:rPr>
                                <w:color w:val="FFFFFF" w:themeColor="background1"/>
                              </w:rPr>
                              <w:t>Level 5, 255 Elizabeth St</w:t>
                            </w:r>
                          </w:p>
                          <w:p w14:paraId="40A2CF4E" w14:textId="77777777" w:rsidR="00144E74" w:rsidRPr="009527AE" w:rsidRDefault="00144E74" w:rsidP="00144E74">
                            <w:pPr>
                              <w:pStyle w:val="NoSpacing"/>
                              <w:spacing w:line="264" w:lineRule="auto"/>
                              <w:rPr>
                                <w:color w:val="FFFFFF" w:themeColor="background1"/>
                              </w:rPr>
                            </w:pPr>
                            <w:r w:rsidRPr="009527AE">
                              <w:rPr>
                                <w:color w:val="FFFFFF" w:themeColor="background1"/>
                              </w:rPr>
                              <w:t>Sydney NSW 2000 Australia</w:t>
                            </w:r>
                          </w:p>
                          <w:p w14:paraId="40F7B289" w14:textId="77777777" w:rsidR="00144E74" w:rsidRPr="009527AE" w:rsidRDefault="00144E74" w:rsidP="00144E74">
                            <w:pPr>
                              <w:pStyle w:val="NoSpacing"/>
                              <w:spacing w:line="264" w:lineRule="auto"/>
                              <w:rPr>
                                <w:color w:val="FFFFFF" w:themeColor="background1"/>
                                <w:sz w:val="16"/>
                                <w:szCs w:val="16"/>
                              </w:rPr>
                            </w:pPr>
                          </w:p>
                          <w:p w14:paraId="79890B61" w14:textId="77777777" w:rsidR="00144E74" w:rsidRPr="009527AE" w:rsidRDefault="00144E74" w:rsidP="00144E74">
                            <w:pPr>
                              <w:pStyle w:val="NoSpacing"/>
                              <w:spacing w:line="264" w:lineRule="auto"/>
                              <w:rPr>
                                <w:b/>
                                <w:bCs/>
                                <w:color w:val="FFFFFF" w:themeColor="background1"/>
                                <w:sz w:val="24"/>
                                <w:szCs w:val="24"/>
                              </w:rPr>
                            </w:pPr>
                            <w:r w:rsidRPr="009527AE">
                              <w:rPr>
                                <w:b/>
                                <w:bCs/>
                                <w:color w:val="FFFFFF" w:themeColor="background1"/>
                                <w:sz w:val="24"/>
                                <w:szCs w:val="24"/>
                              </w:rPr>
                              <w:t>safetyandquality.gov.au</w:t>
                            </w:r>
                          </w:p>
                          <w:p w14:paraId="198691BC" w14:textId="77777777" w:rsidR="00144E74" w:rsidRPr="009527AE" w:rsidRDefault="00144E74" w:rsidP="00144E74">
                            <w:pPr>
                              <w:pStyle w:val="NoSpacing"/>
                              <w:spacing w:line="264" w:lineRule="auto"/>
                              <w:rPr>
                                <w:color w:val="FFFFFF" w:themeColor="background1"/>
                                <w:sz w:val="16"/>
                                <w:szCs w:val="16"/>
                              </w:rPr>
                            </w:pPr>
                          </w:p>
                          <w:p w14:paraId="5A9198C3" w14:textId="25AD83DF" w:rsidR="003845DF" w:rsidRPr="009527AE" w:rsidRDefault="00144E74" w:rsidP="00144E74">
                            <w:pPr>
                              <w:pStyle w:val="NoSpacing"/>
                              <w:spacing w:line="264" w:lineRule="auto"/>
                              <w:rPr>
                                <w:b/>
                                <w:bCs/>
                                <w:color w:val="FFFFFF" w:themeColor="background1"/>
                                <w:sz w:val="16"/>
                                <w:szCs w:val="16"/>
                              </w:rPr>
                            </w:pPr>
                            <w:r w:rsidRPr="00342A22">
                              <w:rPr>
                                <w:color w:val="FFFFFF" w:themeColor="background1"/>
                                <w:sz w:val="16"/>
                                <w:szCs w:val="16"/>
                              </w:rPr>
                              <w:t xml:space="preserve">© Australian Commission on Safety and Quality in Health Care </w:t>
                            </w:r>
                            <w:r w:rsidR="00BD2982" w:rsidRPr="00342A22">
                              <w:rPr>
                                <w:color w:val="FFFFFF" w:themeColor="background1"/>
                                <w:sz w:val="16"/>
                                <w:szCs w:val="16"/>
                              </w:rPr>
                              <w:t>2</w:t>
                            </w:r>
                            <w:r w:rsidR="00342A22" w:rsidRPr="00342A22">
                              <w:rPr>
                                <w:color w:val="FFFFFF" w:themeColor="background1"/>
                                <w:sz w:val="16"/>
                                <w:szCs w:val="16"/>
                              </w:rPr>
                              <w:t>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74AD2632" id="Text Box 2" o:spid="_x0000_s1027" type="#_x0000_t202" alt="&quot;&quot;" style="position:absolute;margin-left:-17.95pt;margin-top:562.3pt;width:263.45pt;height:163.2pt;z-index:2515537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" filled="f" stroked="f" strokeweight=".5pt">
                <v:textbox inset="0,0,0,0">
                  <w:txbxContent>
                    <w:p w14:paraId="43BAE286" w14:textId="77777777" w:rsidR="003845DF" w:rsidRPr="009527AE" w:rsidRDefault="00144E74" w:rsidP="00144E74">
                      <w:pPr>
                        <w:spacing w:before="0" w:after="0" w:line="264" w:lineRule="auto"/>
                        <w:rPr>
                          <w:color w:val="FFFFFF" w:themeColor="background1"/>
                          <w:sz w:val="16"/>
                          <w:szCs w:val="16"/>
                        </w:rPr>
                      </w:pPr>
                      <w:r w:rsidRPr="009527AE">
                        <w:rPr>
                          <w:noProof/>
                          <w:color w:val="FFFFFF" w:themeColor="background1"/>
                          <w:sz w:val="16"/>
                          <w:szCs w:val="16"/>
                        </w:rPr>
                        <w:drawing>
                          <wp:inline distT="0" distB="0" distL="0" distR="0" wp14:anchorId="4DFA8157" wp14:editId="1E40C04C">
                            <wp:extent cx="1697040" cy="586800"/>
                            <wp:effectExtent l="0" t="0" r="0" b="3810"/>
                            <wp:docPr id="2145299985"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66">
                                      <a:extLst>
                                        <a:ext uri="{96DAC541-7B7A-43D3-8B79-37D633B846F1}">
                                          <asvg:svgBlip xmlns:asvg="http://schemas.microsoft.com/office/drawing/2016/SVG/main" r:embed="rId67"/>
                                        </a:ext>
                                      </a:extLst>
                                    </a:blip>
                                    <a:stretch>
                                      <a:fillRect/>
                                    </a:stretch>
                                  </pic:blipFill>
                                  <pic:spPr>
                                    <a:xfrm>
                                      <a:off x="0" y="0"/>
                                      <a:ext cx="1697040" cy="586800"/>
                                    </a:xfrm>
                                    <a:prstGeom prst="rect">
                                      <a:avLst/>
                                    </a:prstGeom>
                                  </pic:spPr>
                                </pic:pic>
                              </a:graphicData>
                            </a:graphic>
                          </wp:inline>
                        </w:drawing>
                      </w:r>
                    </w:p>
                    <w:p w14:paraId="73910EE3" w14:textId="77777777" w:rsidR="00144E74" w:rsidRPr="009527AE" w:rsidRDefault="00144E74" w:rsidP="00144E74">
                      <w:pPr>
                        <w:spacing w:before="0" w:after="0" w:line="264" w:lineRule="auto"/>
                        <w:rPr>
                          <w:color w:val="FFFFFF" w:themeColor="background1"/>
                        </w:rPr>
                      </w:pPr>
                    </w:p>
                    <w:p w14:paraId="1EF4FCFF" w14:textId="77777777" w:rsidR="00144E74" w:rsidRPr="009527AE" w:rsidRDefault="00144E74" w:rsidP="00144E74">
                      <w:pPr>
                        <w:pStyle w:val="NoSpacing"/>
                        <w:spacing w:line="264" w:lineRule="auto"/>
                        <w:rPr>
                          <w:color w:val="FFFFFF" w:themeColor="background1"/>
                        </w:rPr>
                      </w:pPr>
                      <w:r w:rsidRPr="009527AE">
                        <w:rPr>
                          <w:color w:val="FFFFFF" w:themeColor="background1"/>
                        </w:rPr>
                        <w:t xml:space="preserve">T. +61 2 </w:t>
                      </w:r>
                      <w:r w:rsidR="00BD2982" w:rsidRPr="00BD2982">
                        <w:rPr>
                          <w:color w:val="FFFFFF" w:themeColor="background1"/>
                        </w:rPr>
                        <w:t>9126 3600</w:t>
                      </w:r>
                    </w:p>
                    <w:p w14:paraId="379A9715" w14:textId="77777777" w:rsidR="00144E74" w:rsidRPr="009527AE" w:rsidRDefault="00144E74" w:rsidP="00144E74">
                      <w:pPr>
                        <w:pStyle w:val="NoSpacing"/>
                        <w:spacing w:line="264" w:lineRule="auto"/>
                        <w:rPr>
                          <w:color w:val="FFFFFF" w:themeColor="background1"/>
                        </w:rPr>
                      </w:pPr>
                      <w:r w:rsidRPr="009527AE">
                        <w:rPr>
                          <w:color w:val="FFFFFF" w:themeColor="background1"/>
                        </w:rPr>
                        <w:t>Level 5, 255 Elizabeth St</w:t>
                      </w:r>
                    </w:p>
                    <w:p w14:paraId="40A2CF4E" w14:textId="77777777" w:rsidR="00144E74" w:rsidRPr="009527AE" w:rsidRDefault="00144E74" w:rsidP="00144E74">
                      <w:pPr>
                        <w:pStyle w:val="NoSpacing"/>
                        <w:spacing w:line="264" w:lineRule="auto"/>
                        <w:rPr>
                          <w:color w:val="FFFFFF" w:themeColor="background1"/>
                        </w:rPr>
                      </w:pPr>
                      <w:r w:rsidRPr="009527AE">
                        <w:rPr>
                          <w:color w:val="FFFFFF" w:themeColor="background1"/>
                        </w:rPr>
                        <w:t>Sydney NSW 2000 Australia</w:t>
                      </w:r>
                    </w:p>
                    <w:p w14:paraId="40F7B289" w14:textId="77777777" w:rsidR="00144E74" w:rsidRPr="009527AE" w:rsidRDefault="00144E74" w:rsidP="00144E74">
                      <w:pPr>
                        <w:pStyle w:val="NoSpacing"/>
                        <w:spacing w:line="264" w:lineRule="auto"/>
                        <w:rPr>
                          <w:color w:val="FFFFFF" w:themeColor="background1"/>
                          <w:sz w:val="16"/>
                          <w:szCs w:val="16"/>
                        </w:rPr>
                      </w:pPr>
                    </w:p>
                    <w:p w14:paraId="79890B61" w14:textId="77777777" w:rsidR="00144E74" w:rsidRPr="009527AE" w:rsidRDefault="00144E74" w:rsidP="00144E74">
                      <w:pPr>
                        <w:pStyle w:val="NoSpacing"/>
                        <w:spacing w:line="264" w:lineRule="auto"/>
                        <w:rPr>
                          <w:b/>
                          <w:bCs/>
                          <w:color w:val="FFFFFF" w:themeColor="background1"/>
                          <w:sz w:val="24"/>
                          <w:szCs w:val="24"/>
                        </w:rPr>
                      </w:pPr>
                      <w:r w:rsidRPr="009527AE">
                        <w:rPr>
                          <w:b/>
                          <w:bCs/>
                          <w:color w:val="FFFFFF" w:themeColor="background1"/>
                          <w:sz w:val="24"/>
                          <w:szCs w:val="24"/>
                        </w:rPr>
                        <w:t>safetyandquality.gov.au</w:t>
                      </w:r>
                    </w:p>
                    <w:p w14:paraId="198691BC" w14:textId="77777777" w:rsidR="00144E74" w:rsidRPr="009527AE" w:rsidRDefault="00144E74" w:rsidP="00144E74">
                      <w:pPr>
                        <w:pStyle w:val="NoSpacing"/>
                        <w:spacing w:line="264" w:lineRule="auto"/>
                        <w:rPr>
                          <w:color w:val="FFFFFF" w:themeColor="background1"/>
                          <w:sz w:val="16"/>
                          <w:szCs w:val="16"/>
                        </w:rPr>
                      </w:pPr>
                    </w:p>
                    <w:p w14:paraId="5A9198C3" w14:textId="25AD83DF" w:rsidR="003845DF" w:rsidRPr="009527AE" w:rsidRDefault="00144E74" w:rsidP="00144E74">
                      <w:pPr>
                        <w:pStyle w:val="NoSpacing"/>
                        <w:spacing w:line="264" w:lineRule="auto"/>
                        <w:rPr>
                          <w:b/>
                          <w:bCs/>
                          <w:color w:val="FFFFFF" w:themeColor="background1"/>
                          <w:sz w:val="16"/>
                          <w:szCs w:val="16"/>
                        </w:rPr>
                      </w:pPr>
                      <w:r w:rsidRPr="00342A22">
                        <w:rPr>
                          <w:color w:val="FFFFFF" w:themeColor="background1"/>
                          <w:sz w:val="16"/>
                          <w:szCs w:val="16"/>
                        </w:rPr>
                        <w:t xml:space="preserve">© Australian Commission on Safety and Quality in Health Care </w:t>
                      </w:r>
                      <w:r w:rsidR="00BD2982" w:rsidRPr="00342A22">
                        <w:rPr>
                          <w:color w:val="FFFFFF" w:themeColor="background1"/>
                          <w:sz w:val="16"/>
                          <w:szCs w:val="16"/>
                        </w:rPr>
                        <w:t>2</w:t>
                      </w:r>
                      <w:r w:rsidR="00342A22" w:rsidRPr="00342A22">
                        <w:rPr>
                          <w:color w:val="FFFFFF" w:themeColor="background1"/>
                          <w:sz w:val="16"/>
                          <w:szCs w:val="16"/>
                        </w:rPr>
                        <w:t>025</w:t>
                      </w:r>
                    </w:p>
                  </w:txbxContent>
                </v:textbox>
              </v:shape>
            </w:pict>
          </mc:Fallback>
        </mc:AlternateContent>
      </w:r>
    </w:p>
    <w:sectPr w:rsidR="005915AE" w:rsidRPr="004E2765" w:rsidSect="00A43122">
      <w:headerReference w:type="default" r:id="rId68"/>
      <w:pgSz w:w="11906" w:h="16838" w:code="9"/>
      <w:pgMar w:top="1361" w:right="1361" w:bottom="1361" w:left="136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1447" w14:textId="77777777" w:rsidR="00195CE8" w:rsidRDefault="00195CE8" w:rsidP="001D0AFC">
      <w:r>
        <w:separator/>
      </w:r>
    </w:p>
    <w:p w14:paraId="5276E3E0" w14:textId="77777777" w:rsidR="00195CE8" w:rsidRDefault="00195CE8"/>
    <w:p w14:paraId="3610DA6C" w14:textId="77777777" w:rsidR="00195CE8" w:rsidRDefault="00195CE8"/>
    <w:p w14:paraId="3F98371A" w14:textId="77777777" w:rsidR="00195CE8" w:rsidRDefault="00195CE8"/>
  </w:endnote>
  <w:endnote w:type="continuationSeparator" w:id="0">
    <w:p w14:paraId="45910996" w14:textId="77777777" w:rsidR="00195CE8" w:rsidRDefault="00195CE8" w:rsidP="001D0AFC">
      <w:r>
        <w:continuationSeparator/>
      </w:r>
    </w:p>
    <w:p w14:paraId="6829A039" w14:textId="77777777" w:rsidR="00195CE8" w:rsidRDefault="00195CE8"/>
    <w:p w14:paraId="1FF497A8" w14:textId="77777777" w:rsidR="00195CE8" w:rsidRDefault="00195CE8"/>
    <w:p w14:paraId="056ABF8F" w14:textId="77777777" w:rsidR="00195CE8" w:rsidRDefault="00195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YInterstate Light">
    <w:altName w:val="Franklin Gothic Medium Cond"/>
    <w:charset w:val="00"/>
    <w:family w:val="auto"/>
    <w:pitch w:val="variable"/>
    <w:sig w:usb0="00000001" w:usb1="5000206A"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629E" w14:textId="5BCD73DD" w:rsidR="00E145F3" w:rsidRDefault="00B90D3D">
    <w:pPr>
      <w:pStyle w:val="Footer"/>
    </w:pPr>
    <w:r>
      <w:rPr>
        <w:noProof/>
      </w:rPr>
      <mc:AlternateContent>
        <mc:Choice Requires="wps">
          <w:drawing>
            <wp:anchor distT="0" distB="0" distL="0" distR="0" simplePos="0" relativeHeight="251693056" behindDoc="0" locked="0" layoutInCell="1" allowOverlap="1" wp14:anchorId="73E2BE13" wp14:editId="2E77FE89">
              <wp:simplePos x="635" y="635"/>
              <wp:positionH relativeFrom="page">
                <wp:align>center</wp:align>
              </wp:positionH>
              <wp:positionV relativeFrom="page">
                <wp:align>bottom</wp:align>
              </wp:positionV>
              <wp:extent cx="622300" cy="452755"/>
              <wp:effectExtent l="0" t="0" r="6350" b="0"/>
              <wp:wrapNone/>
              <wp:docPr id="1947628139"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AFD7287" w14:textId="181F9464"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2BE13" id="_x0000_t202" coordsize="21600,21600" o:spt="202" path="m,l,21600r21600,l21600,xe">
              <v:stroke joinstyle="miter"/>
              <v:path gradientshapeok="t" o:connecttype="rect"/>
            </v:shapetype>
            <v:shape id="Text Box 29" o:spid="_x0000_s1030" type="#_x0000_t202" alt="OFFICIAL" style="position:absolute;margin-left:0;margin-top:0;width:49pt;height:35.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ryDgIAAB0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RV1fzW2v4XqSFMhDAv3Tq5bqv0gfHgWSBumdkm1&#10;4YmOWkNXcjhZnDWAP/7mj/lEPEU560gxJbckac70N0sLieIaDRyNbTKmn/N55MfuzR2QDqf0JJxM&#10;Jnkx6NGsEcwr6XkVC1FIWEnlSr4dzbswSJfeg1SrVUoiHTkRHuzGyQgd+YpkvvSvAt2J8UCreoRR&#10;TqJ4Q/yQG296t9oHoj9tJXI7EHminDSY9np6L1Hkv/6nrMurXv4E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V4QryDgIAAB0E&#10;AAAOAAAAAAAAAAAAAAAAAC4CAABkcnMvZTJvRG9jLnhtbFBLAQItABQABgAIAAAAIQCmX8R22gAA&#10;AAMBAAAPAAAAAAAAAAAAAAAAAGgEAABkcnMvZG93bnJldi54bWxQSwUGAAAAAAQABADzAAAAbwUA&#10;AAAA&#10;" filled="f" stroked="f">
              <v:fill o:detectmouseclick="t"/>
              <v:textbox style="mso-fit-shape-to-text:t" inset="0,0,0,15pt">
                <w:txbxContent>
                  <w:p w14:paraId="6AFD7287" w14:textId="181F9464"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CAD5" w14:textId="7C05A444" w:rsidR="003C469B" w:rsidRPr="009720E5" w:rsidRDefault="00B90D3D" w:rsidP="004E18F2">
    <w:pPr>
      <w:pStyle w:val="Footer"/>
      <w:ind w:left="284"/>
      <w:rPr>
        <w:b/>
        <w:bCs/>
      </w:rPr>
    </w:pPr>
    <w:r>
      <w:rPr>
        <w:noProof/>
        <w:color w:val="auto"/>
      </w:rPr>
      <mc:AlternateContent>
        <mc:Choice Requires="wps">
          <w:drawing>
            <wp:anchor distT="0" distB="0" distL="0" distR="0" simplePos="0" relativeHeight="251694080" behindDoc="0" locked="0" layoutInCell="1" allowOverlap="1" wp14:anchorId="7F7BD144" wp14:editId="1E29B153">
              <wp:simplePos x="635" y="635"/>
              <wp:positionH relativeFrom="page">
                <wp:align>center</wp:align>
              </wp:positionH>
              <wp:positionV relativeFrom="page">
                <wp:align>bottom</wp:align>
              </wp:positionV>
              <wp:extent cx="622300" cy="452755"/>
              <wp:effectExtent l="0" t="0" r="6350" b="0"/>
              <wp:wrapNone/>
              <wp:docPr id="1621803565"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2DBAF10" w14:textId="50D7E575"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BD144" id="_x0000_t202" coordsize="21600,21600" o:spt="202" path="m,l,21600r21600,l21600,xe">
              <v:stroke joinstyle="miter"/>
              <v:path gradientshapeok="t" o:connecttype="rect"/>
            </v:shapetype>
            <v:shape id="Text Box 30" o:spid="_x0000_s1031" type="#_x0000_t202" alt="OFFICIAL" style="position:absolute;left:0;text-align:left;margin-left:0;margin-top:0;width:49pt;height:35.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JDQIAAB0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vq/tL+DqoTTYUwLNw7uW6p9kb48CSQNkztkmrD&#10;Ix21hq7kcLY4awB//M0f84l4inLWkWJKbknSnOlvlhYSxTUaOBq7ZEw/5/PIjz2YOyAdTulJOJlM&#10;8mLQo1kjmBfS8yoWopCwksqVfDead2GQLr0HqVarlEQ6ciJs7NbJCB35imQ+9y8C3ZnxQKt6gFFO&#10;onhF/JAbb3q3OgSiP20lcjsQeaacNJj2en4vUeS//qes66te/gQ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M+fb4kNAgAAHQQA&#10;AA4AAAAAAAAAAAAAAAAALgIAAGRycy9lMm9Eb2MueG1sUEsBAi0AFAAGAAgAAAAhAKZfxHbaAAAA&#10;AwEAAA8AAAAAAAAAAAAAAAAAZwQAAGRycy9kb3ducmV2LnhtbFBLBQYAAAAABAAEAPMAAABuBQAA&#10;AAA=&#10;" filled="f" stroked="f">
              <v:fill o:detectmouseclick="t"/>
              <v:textbox style="mso-fit-shape-to-text:t" inset="0,0,0,15pt">
                <w:txbxContent>
                  <w:p w14:paraId="52DBAF10" w14:textId="50D7E575"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r w:rsidR="004E18F2" w:rsidRPr="0011787C">
      <w:rPr>
        <w:noProof/>
        <w:color w:val="auto"/>
      </w:rPr>
      <w:drawing>
        <wp:anchor distT="0" distB="0" distL="114300" distR="114300" simplePos="0" relativeHeight="251663360" behindDoc="0" locked="0" layoutInCell="1" allowOverlap="1" wp14:anchorId="553CBE23" wp14:editId="165719D6">
          <wp:simplePos x="0" y="0"/>
          <wp:positionH relativeFrom="column">
            <wp:posOffset>0</wp:posOffset>
          </wp:positionH>
          <wp:positionV relativeFrom="paragraph">
            <wp:posOffset>-27432</wp:posOffset>
          </wp:positionV>
          <wp:extent cx="138948" cy="180000"/>
          <wp:effectExtent l="0" t="0" r="0" b="0"/>
          <wp:wrapNone/>
          <wp:docPr id="19795260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87C" w:rsidRPr="0011787C">
      <w:rPr>
        <w:color w:val="auto"/>
      </w:rPr>
      <w:t xml:space="preserve"> </w:t>
    </w:r>
    <w:r w:rsidR="0011787C" w:rsidRPr="0011787C">
      <w:rPr>
        <w:noProof/>
        <w:color w:val="auto"/>
      </w:rPr>
      <w:t>D24-71039 ACSQHC Data Plan 2025-28</w:t>
    </w:r>
    <w:r w:rsidR="009720E5" w:rsidRPr="0011787C">
      <w:rPr>
        <w:color w:val="auto"/>
      </w:rPr>
      <w:t xml:space="preserve"> </w:t>
    </w:r>
    <w:r w:rsidR="009720E5" w:rsidRPr="0003343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A52E" w14:textId="15C23640" w:rsidR="00E145F3" w:rsidRDefault="00B90D3D">
    <w:pPr>
      <w:pStyle w:val="Footer"/>
    </w:pPr>
    <w:r>
      <w:rPr>
        <w:noProof/>
      </w:rPr>
      <mc:AlternateContent>
        <mc:Choice Requires="wps">
          <w:drawing>
            <wp:anchor distT="0" distB="0" distL="0" distR="0" simplePos="0" relativeHeight="251692032" behindDoc="0" locked="0" layoutInCell="1" allowOverlap="1" wp14:anchorId="56A7EFC5" wp14:editId="571D53B4">
              <wp:simplePos x="866775" y="10201275"/>
              <wp:positionH relativeFrom="page">
                <wp:align>center</wp:align>
              </wp:positionH>
              <wp:positionV relativeFrom="page">
                <wp:align>bottom</wp:align>
              </wp:positionV>
              <wp:extent cx="622300" cy="452755"/>
              <wp:effectExtent l="0" t="0" r="6350" b="0"/>
              <wp:wrapNone/>
              <wp:docPr id="454779160"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91C7AA3" w14:textId="74998A4A"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A7EFC5" id="_x0000_t202" coordsize="21600,21600" o:spt="202" path="m,l,21600r21600,l21600,xe">
              <v:stroke joinstyle="miter"/>
              <v:path gradientshapeok="t" o:connecttype="rect"/>
            </v:shapetype>
            <v:shape id="Text Box 28" o:spid="_x0000_s1033" type="#_x0000_t202" alt="OFFICIAL" style="position:absolute;margin-left:0;margin-top:0;width:49pt;height:35.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jPDgIAAB0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A12X0zt19CccCoH48K95ZsOa2+ZD0/M4YaxXVRt&#10;eMRDKugrCmeLkhbcj7/5Yz4Sj1FKelRMRQ1KmhL1zeBCorgmw01GnYz553wR+TEHfQeowzk+CcuT&#10;iV4X1GRKB/oF9byOhTDEDMdyFa0n8y6M0sX3wMV6nZJQR5aFrdlZHqEjX5HM5+GFOXtmPOCqHmCS&#10;EytfET/mxpverg8B6U9bidyORJ4pRw2mvZ7fSxT5r/8p6/qqVz8B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4XrjPDgIAAB0E&#10;AAAOAAAAAAAAAAAAAAAAAC4CAABkcnMvZTJvRG9jLnhtbFBLAQItABQABgAIAAAAIQCmX8R22gAA&#10;AAMBAAAPAAAAAAAAAAAAAAAAAGgEAABkcnMvZG93bnJldi54bWxQSwUGAAAAAAQABADzAAAAbwUA&#10;AAAA&#10;" filled="f" stroked="f">
              <v:fill o:detectmouseclick="t"/>
              <v:textbox style="mso-fit-shape-to-text:t" inset="0,0,0,15pt">
                <w:txbxContent>
                  <w:p w14:paraId="191C7AA3" w14:textId="74998A4A"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ABB0" w14:textId="37A776B5" w:rsidR="00A43122" w:rsidRPr="0022011F" w:rsidRDefault="00B90D3D">
    <w:pPr>
      <w:pStyle w:val="Footer"/>
      <w:jc w:val="right"/>
      <w:rPr>
        <w:sz w:val="20"/>
        <w:szCs w:val="20"/>
      </w:rPr>
    </w:pPr>
    <w:r>
      <w:rPr>
        <w:noProof/>
        <w:sz w:val="20"/>
        <w:szCs w:val="20"/>
      </w:rPr>
      <mc:AlternateContent>
        <mc:Choice Requires="wps">
          <w:drawing>
            <wp:anchor distT="0" distB="0" distL="0" distR="0" simplePos="0" relativeHeight="251695104" behindDoc="0" locked="0" layoutInCell="1" allowOverlap="1" wp14:anchorId="2E81D38C" wp14:editId="6F4F8612">
              <wp:simplePos x="0" y="0"/>
              <wp:positionH relativeFrom="page">
                <wp:align>center</wp:align>
              </wp:positionH>
              <wp:positionV relativeFrom="page">
                <wp:posOffset>10315575</wp:posOffset>
              </wp:positionV>
              <wp:extent cx="622300" cy="452755"/>
              <wp:effectExtent l="0" t="0" r="6350" b="0"/>
              <wp:wrapNone/>
              <wp:docPr id="624850"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57FB51F" w14:textId="4F54469E"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1D38C" id="_x0000_t202" coordsize="21600,21600" o:spt="202" path="m,l,21600r21600,l21600,xe">
              <v:stroke joinstyle="miter"/>
              <v:path gradientshapeok="t" o:connecttype="rect"/>
            </v:shapetype>
            <v:shape id="Text Box 31" o:spid="_x0000_s1037" type="#_x0000_t202" alt="OFFICIAL" style="position:absolute;left:0;text-align:left;margin-left:0;margin-top:812.25pt;width:49pt;height:35.65pt;z-index:251695104;visibility:visible;mso-wrap-style:none;mso-wrap-distance-left:0;mso-wrap-distance-top:0;mso-wrap-distance-right:0;mso-wrap-distance-bottom:0;mso-position-horizontal:center;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dCDgIAAB0EAAAOAAAAZHJzL2Uyb0RvYy54bWysU8Fu2zAMvQ/YPwi6L3aypu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" filled="f" stroked="f">
              <v:fill o:detectmouseclick="t"/>
              <v:textbox style="mso-fit-shape-to-text:t" inset="0,0,0,15pt">
                <w:txbxContent>
                  <w:p w14:paraId="457FB51F" w14:textId="4F54469E"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r w:rsidR="00A43122">
      <w:rPr>
        <w:sz w:val="20"/>
        <w:szCs w:val="20"/>
      </w:rPr>
      <w:t>Australian Commission on Safety and Quality in Health Care</w:t>
    </w:r>
    <w:r w:rsidR="00A43122">
      <w:rPr>
        <w:sz w:val="20"/>
        <w:szCs w:val="20"/>
      </w:rPr>
      <w:tab/>
    </w:r>
    <w:r w:rsidR="00A43122" w:rsidRPr="0022011F">
      <w:rPr>
        <w:sz w:val="20"/>
        <w:szCs w:val="20"/>
      </w:rPr>
      <w:t xml:space="preserve">Page </w:t>
    </w:r>
    <w:sdt>
      <w:sdtPr>
        <w:rPr>
          <w:sz w:val="20"/>
          <w:szCs w:val="20"/>
        </w:rPr>
        <w:id w:val="1129356967"/>
        <w:docPartObj>
          <w:docPartGallery w:val="Page Numbers (Bottom of Page)"/>
          <w:docPartUnique/>
        </w:docPartObj>
      </w:sdtPr>
      <w:sdtEndPr>
        <w:rPr>
          <w:noProof/>
        </w:rPr>
      </w:sdtEndPr>
      <w:sdtContent>
        <w:r w:rsidR="00A43122" w:rsidRPr="0022011F">
          <w:rPr>
            <w:sz w:val="20"/>
            <w:szCs w:val="20"/>
          </w:rPr>
          <w:fldChar w:fldCharType="begin"/>
        </w:r>
        <w:r w:rsidR="00A43122" w:rsidRPr="0022011F">
          <w:rPr>
            <w:sz w:val="20"/>
            <w:szCs w:val="20"/>
          </w:rPr>
          <w:instrText xml:space="preserve"> PAGE   \* MERGEFORMAT </w:instrText>
        </w:r>
        <w:r w:rsidR="00A43122" w:rsidRPr="0022011F">
          <w:rPr>
            <w:sz w:val="20"/>
            <w:szCs w:val="20"/>
          </w:rPr>
          <w:fldChar w:fldCharType="separate"/>
        </w:r>
        <w:r w:rsidR="00A43122">
          <w:rPr>
            <w:noProof/>
            <w:sz w:val="20"/>
            <w:szCs w:val="20"/>
          </w:rPr>
          <w:t>17</w:t>
        </w:r>
        <w:r w:rsidR="00A43122" w:rsidRPr="0022011F">
          <w:rPr>
            <w:noProof/>
            <w:sz w:val="20"/>
            <w:szCs w:val="20"/>
          </w:rPr>
          <w:fldChar w:fldCharType="end"/>
        </w:r>
      </w:sdtContent>
    </w:sdt>
  </w:p>
  <w:p w14:paraId="06A582E4" w14:textId="208AFCC6" w:rsidR="00A43122" w:rsidRDefault="00A431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B547" w14:textId="1EB91D30" w:rsidR="00574A3A" w:rsidRPr="0022011F" w:rsidRDefault="00B90D3D" w:rsidP="00B02C41">
    <w:pPr>
      <w:pStyle w:val="Footer"/>
      <w:rPr>
        <w:sz w:val="20"/>
        <w:szCs w:val="20"/>
      </w:rPr>
    </w:pPr>
    <w:r>
      <w:rPr>
        <w:noProof/>
        <w:sz w:val="20"/>
        <w:szCs w:val="20"/>
      </w:rPr>
      <mc:AlternateContent>
        <mc:Choice Requires="wps">
          <w:drawing>
            <wp:anchor distT="0" distB="0" distL="0" distR="0" simplePos="0" relativeHeight="251696128" behindDoc="0" locked="0" layoutInCell="1" allowOverlap="1" wp14:anchorId="3EA18EBB" wp14:editId="499E4DFA">
              <wp:simplePos x="635" y="635"/>
              <wp:positionH relativeFrom="page">
                <wp:align>center</wp:align>
              </wp:positionH>
              <wp:positionV relativeFrom="page">
                <wp:align>bottom</wp:align>
              </wp:positionV>
              <wp:extent cx="622300" cy="452755"/>
              <wp:effectExtent l="0" t="0" r="6350" b="0"/>
              <wp:wrapNone/>
              <wp:docPr id="1001445369"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0C8C7B5" w14:textId="61A269FB"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18EBB" id="_x0000_t202" coordsize="21600,21600" o:spt="202" path="m,l,21600r21600,l21600,xe">
              <v:stroke joinstyle="miter"/>
              <v:path gradientshapeok="t" o:connecttype="rect"/>
            </v:shapetype>
            <v:shape id="Text Box 32" o:spid="_x0000_s1041" type="#_x0000_t202" alt="OFFICIAL" style="position:absolute;margin-left:0;margin-top:0;width:49pt;height:35.6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V/DQIAAB0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2rqPhWOrgrqI02FcFq4d3LdUe2N8OFJIG2Y2iXV&#10;hkc6Gg19yeFscdYC/vibP+YT8RTlrCfFlNySpDnT3ywtJIprNHA0qmRMP+fzyI/dmzsgHU7pSTiZ&#10;TPJi0KPZIJgX0vMqFqKQsJLKlbwazbtwki69B6lWq5REOnIibOzWyQgd+YpkPg8vAt2Z8UCreoBR&#10;TqJ4RfwpN970brUPRH/aypXIM+WkwbTX83uJIv/1P2VdX/XyJwA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HtipX8NAgAAHQQA&#10;AA4AAAAAAAAAAAAAAAAALgIAAGRycy9lMm9Eb2MueG1sUEsBAi0AFAAGAAgAAAAhAKZfxHbaAAAA&#10;AwEAAA8AAAAAAAAAAAAAAAAAZwQAAGRycy9kb3ducmV2LnhtbFBLBQYAAAAABAAEAPMAAABuBQAA&#10;AAA=&#10;" filled="f" stroked="f">
              <v:fill o:detectmouseclick="t"/>
              <v:textbox style="mso-fit-shape-to-text:t" inset="0,0,0,15pt">
                <w:txbxContent>
                  <w:p w14:paraId="70C8C7B5" w14:textId="61A269FB"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r w:rsidR="00574A3A">
      <w:rPr>
        <w:sz w:val="20"/>
        <w:szCs w:val="20"/>
      </w:rPr>
      <w:t>Australian Commission on Safety and Quality in Health Care</w:t>
    </w:r>
    <w:r w:rsidR="00574A3A">
      <w:rPr>
        <w:sz w:val="20"/>
        <w:szCs w:val="20"/>
      </w:rPr>
      <w:tab/>
    </w:r>
    <w:r w:rsidR="00574A3A">
      <w:rPr>
        <w:sz w:val="20"/>
        <w:szCs w:val="20"/>
      </w:rPr>
      <w:tab/>
    </w:r>
    <w:r w:rsidR="00574A3A">
      <w:rPr>
        <w:sz w:val="20"/>
        <w:szCs w:val="20"/>
      </w:rPr>
      <w:tab/>
    </w:r>
    <w:r w:rsidR="00574A3A">
      <w:rPr>
        <w:sz w:val="20"/>
        <w:szCs w:val="20"/>
      </w:rPr>
      <w:tab/>
    </w:r>
    <w:r w:rsidR="00574A3A">
      <w:rPr>
        <w:sz w:val="20"/>
        <w:szCs w:val="20"/>
      </w:rPr>
      <w:tab/>
    </w:r>
    <w:r w:rsidR="00574A3A">
      <w:rPr>
        <w:sz w:val="20"/>
        <w:szCs w:val="20"/>
      </w:rPr>
      <w:tab/>
    </w:r>
    <w:r w:rsidR="00574A3A">
      <w:rPr>
        <w:sz w:val="20"/>
        <w:szCs w:val="20"/>
      </w:rPr>
      <w:tab/>
    </w:r>
    <w:r w:rsidR="00574A3A" w:rsidRPr="0022011F">
      <w:rPr>
        <w:sz w:val="20"/>
        <w:szCs w:val="20"/>
      </w:rPr>
      <w:t xml:space="preserve">Page </w:t>
    </w:r>
    <w:sdt>
      <w:sdtPr>
        <w:rPr>
          <w:sz w:val="20"/>
          <w:szCs w:val="20"/>
        </w:rPr>
        <w:id w:val="182791030"/>
        <w:docPartObj>
          <w:docPartGallery w:val="Page Numbers (Bottom of Page)"/>
          <w:docPartUnique/>
        </w:docPartObj>
      </w:sdtPr>
      <w:sdtEndPr>
        <w:rPr>
          <w:noProof/>
        </w:rPr>
      </w:sdtEndPr>
      <w:sdtContent>
        <w:r w:rsidR="00574A3A" w:rsidRPr="0022011F">
          <w:rPr>
            <w:sz w:val="20"/>
            <w:szCs w:val="20"/>
          </w:rPr>
          <w:fldChar w:fldCharType="begin"/>
        </w:r>
        <w:r w:rsidR="00574A3A" w:rsidRPr="0022011F">
          <w:rPr>
            <w:sz w:val="20"/>
            <w:szCs w:val="20"/>
          </w:rPr>
          <w:instrText xml:space="preserve"> PAGE   \* MERGEFORMAT </w:instrText>
        </w:r>
        <w:r w:rsidR="00574A3A" w:rsidRPr="0022011F">
          <w:rPr>
            <w:sz w:val="20"/>
            <w:szCs w:val="20"/>
          </w:rPr>
          <w:fldChar w:fldCharType="separate"/>
        </w:r>
        <w:r w:rsidR="00574A3A">
          <w:rPr>
            <w:noProof/>
            <w:sz w:val="20"/>
            <w:szCs w:val="20"/>
          </w:rPr>
          <w:t>28</w:t>
        </w:r>
        <w:r w:rsidR="00574A3A" w:rsidRPr="0022011F">
          <w:rPr>
            <w:noProof/>
            <w:sz w:val="20"/>
            <w:szCs w:val="20"/>
          </w:rPr>
          <w:fldChar w:fldCharType="end"/>
        </w:r>
      </w:sdtContent>
    </w:sdt>
  </w:p>
  <w:p w14:paraId="5E2B5B41" w14:textId="77777777" w:rsidR="00574A3A" w:rsidRDefault="0057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2495" w14:textId="77777777" w:rsidR="00195CE8" w:rsidRDefault="00195CE8" w:rsidP="001D0AFC">
      <w:r>
        <w:separator/>
      </w:r>
    </w:p>
    <w:p w14:paraId="15AE5A8C" w14:textId="77777777" w:rsidR="00195CE8" w:rsidRDefault="00195CE8"/>
  </w:footnote>
  <w:footnote w:type="continuationSeparator" w:id="0">
    <w:p w14:paraId="5C9CFC99" w14:textId="77777777" w:rsidR="00195CE8" w:rsidRDefault="00195CE8" w:rsidP="001D0AFC">
      <w:r>
        <w:continuationSeparator/>
      </w:r>
    </w:p>
    <w:p w14:paraId="0D9371D8" w14:textId="77777777" w:rsidR="00195CE8" w:rsidRDefault="00195CE8"/>
  </w:footnote>
  <w:footnote w:type="continuationNotice" w:id="1">
    <w:p w14:paraId="0057B849" w14:textId="77777777" w:rsidR="00195CE8" w:rsidRDefault="00195CE8">
      <w:pPr>
        <w:spacing w:before="0" w:after="0"/>
      </w:pPr>
    </w:p>
    <w:p w14:paraId="40456F1C" w14:textId="77777777" w:rsidR="00195CE8" w:rsidRDefault="00195CE8"/>
  </w:footnote>
  <w:footnote w:id="2">
    <w:p w14:paraId="7C6310D9" w14:textId="77777777" w:rsidR="00A43122" w:rsidRDefault="00A43122" w:rsidP="00A43122">
      <w:pPr>
        <w:pStyle w:val="FootnoteText"/>
      </w:pPr>
      <w:r>
        <w:rPr>
          <w:rStyle w:val="FootnoteReference"/>
        </w:rPr>
        <w:footnoteRef/>
      </w:r>
      <w:r>
        <w:t xml:space="preserve"> </w:t>
      </w:r>
      <w:hyperlink r:id="rId1" w:history="1">
        <w:r>
          <w:rPr>
            <w:rStyle w:val="Hyperlink"/>
          </w:rPr>
          <w:t>https://meteor.aihw.gov.au/content/index.phtml/itemId/721590</w:t>
        </w:r>
      </w:hyperlink>
    </w:p>
  </w:footnote>
  <w:footnote w:id="3">
    <w:p w14:paraId="411F267C" w14:textId="718C5836" w:rsidR="003942F5" w:rsidRDefault="003942F5" w:rsidP="003942F5">
      <w:pPr>
        <w:pStyle w:val="FootnoteText"/>
      </w:pPr>
      <w:r w:rsidRPr="00A1098A">
        <w:rPr>
          <w:rStyle w:val="FootnoteReference"/>
        </w:rPr>
        <w:footnoteRef/>
      </w:r>
      <w:r>
        <w:t xml:space="preserve"> </w:t>
      </w:r>
      <w:r w:rsidRPr="00A1098A">
        <w:t>From</w:t>
      </w:r>
      <w:r w:rsidRPr="00786D81">
        <w:t xml:space="preserve"> 1 </w:t>
      </w:r>
      <w:r>
        <w:t>January</w:t>
      </w:r>
      <w:r w:rsidRPr="00786D81">
        <w:t xml:space="preserve"> 2021,</w:t>
      </w:r>
      <w:r>
        <w:t xml:space="preserve"> the Australian Government Department of Health</w:t>
      </w:r>
      <w:r w:rsidR="0040514F">
        <w:t>, Disability and Ageing</w:t>
      </w:r>
      <w:r>
        <w:t xml:space="preserve"> assumed </w:t>
      </w:r>
      <w:r w:rsidRPr="00786D81">
        <w:t xml:space="preserve">overarching </w:t>
      </w:r>
      <w:r>
        <w:t xml:space="preserve">responsibility for </w:t>
      </w:r>
      <w:r w:rsidRPr="00786D81">
        <w:t xml:space="preserve">coordination of </w:t>
      </w:r>
      <w:r>
        <w:t xml:space="preserve">the </w:t>
      </w:r>
      <w:r w:rsidRPr="00786D81">
        <w:t xml:space="preserve">AURA </w:t>
      </w:r>
      <w:r>
        <w:t xml:space="preserve">Surveillance </w:t>
      </w:r>
      <w:r w:rsidR="002622A2">
        <w:t>program</w:t>
      </w:r>
      <w:r w:rsidRPr="00786D81">
        <w:t xml:space="preserve">. The Commission will continue to </w:t>
      </w:r>
      <w:r>
        <w:t xml:space="preserve">use </w:t>
      </w:r>
      <w:r w:rsidRPr="00786D81">
        <w:t>APAS and CARAlert</w:t>
      </w:r>
      <w:r>
        <w:t>, and analyse and report on results of all AURA surveillance programs to inform strategies to respond to clinical and patient safety implications. T</w:t>
      </w:r>
      <w:r w:rsidRPr="006B0227">
        <w:t>his will continue into the future</w:t>
      </w:r>
      <w:r>
        <w:t>,</w:t>
      </w:r>
      <w:r w:rsidRPr="006B0227">
        <w:t xml:space="preserve"> independent o</w:t>
      </w:r>
      <w:r>
        <w:t xml:space="preserve">f which organisation hosts the </w:t>
      </w:r>
      <w:r w:rsidR="002622A2">
        <w:t>surveillance systems</w:t>
      </w:r>
      <w:r>
        <w:t>.</w:t>
      </w:r>
    </w:p>
  </w:footnote>
  <w:footnote w:id="4">
    <w:p w14:paraId="1ECF28E5" w14:textId="77777777" w:rsidR="00F54AFE" w:rsidRDefault="00F54AFE" w:rsidP="00983D28">
      <w:r>
        <w:rPr>
          <w:rStyle w:val="FootnoteReference"/>
        </w:rPr>
        <w:footnoteRef/>
      </w:r>
      <w:r>
        <w:t xml:space="preserve"> The Council of Australian Governments (COAG) Health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A11C" w14:textId="4B3DB4E6" w:rsidR="00E145F3" w:rsidRDefault="00B90D3D">
    <w:pPr>
      <w:pStyle w:val="Header"/>
    </w:pPr>
    <w:r>
      <w:rPr>
        <w:noProof/>
      </w:rPr>
      <mc:AlternateContent>
        <mc:Choice Requires="wps">
          <w:drawing>
            <wp:anchor distT="0" distB="0" distL="0" distR="0" simplePos="0" relativeHeight="251681792" behindDoc="0" locked="0" layoutInCell="1" allowOverlap="1" wp14:anchorId="1951A9B5" wp14:editId="073F5530">
              <wp:simplePos x="635" y="635"/>
              <wp:positionH relativeFrom="page">
                <wp:align>center</wp:align>
              </wp:positionH>
              <wp:positionV relativeFrom="page">
                <wp:align>top</wp:align>
              </wp:positionV>
              <wp:extent cx="622300" cy="452755"/>
              <wp:effectExtent l="0" t="0" r="6350" b="4445"/>
              <wp:wrapNone/>
              <wp:docPr id="330067706"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65A033C" w14:textId="663ACF04"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1A9B5" id="_x0000_t202" coordsize="21600,21600" o:spt="202" path="m,l,21600r21600,l21600,xe">
              <v:stroke joinstyle="miter"/>
              <v:path gradientshapeok="t" o:connecttype="rect"/>
            </v:shapetype>
            <v:shape id="Text Box 18" o:spid="_x0000_s1028" type="#_x0000_t202" alt="OFFICIAL" style="position:absolute;margin-left:0;margin-top:0;width:49pt;height:35.6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265A033C" w14:textId="663ACF04"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564E" w14:textId="288718D1" w:rsidR="00574A3A" w:rsidRDefault="00B90D3D">
    <w:pPr>
      <w:pStyle w:val="Header"/>
    </w:pPr>
    <w:r>
      <w:rPr>
        <w:noProof/>
      </w:rPr>
      <mc:AlternateContent>
        <mc:Choice Requires="wps">
          <w:drawing>
            <wp:anchor distT="0" distB="0" distL="0" distR="0" simplePos="0" relativeHeight="251687936" behindDoc="0" locked="0" layoutInCell="1" allowOverlap="1" wp14:anchorId="61CFD839" wp14:editId="0924AA53">
              <wp:simplePos x="635" y="635"/>
              <wp:positionH relativeFrom="page">
                <wp:align>center</wp:align>
              </wp:positionH>
              <wp:positionV relativeFrom="page">
                <wp:align>top</wp:align>
              </wp:positionV>
              <wp:extent cx="622300" cy="452755"/>
              <wp:effectExtent l="0" t="0" r="6350" b="4445"/>
              <wp:wrapNone/>
              <wp:docPr id="391588346"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A16629B" w14:textId="17D18F48"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FD839" id="_x0000_t202" coordsize="21600,21600" o:spt="202" path="m,l,21600r21600,l21600,xe">
              <v:stroke joinstyle="miter"/>
              <v:path gradientshapeok="t" o:connecttype="rect"/>
            </v:shapetype>
            <v:shape id="Text Box 24" o:spid="_x0000_s1042" type="#_x0000_t202" alt="OFFICIAL" style="position:absolute;margin-left:0;margin-top:0;width:49pt;height:35.6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lGDQ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Qlvx6730J1pKE8DPsOTq4bKn0vAj4JTwumbkm0&#10;+EiHNtCVHE4WZzX4n3/zx3zinaKcdSSYkltSNGfmu6V9RG0lY/oln0cy/Ojejobdt7dAMpzSi3Ay&#10;mTEPzWhqD+0LyXkVC1FIWEnlSo6jeYuDcuk5SLVapSSSkRN4bzdORuhIV+TyuX8R3p0IR9rUA4xq&#10;EsUb3ofceDO41R6J/bSUSO1A5IlxkmBa6+m5RI2//k9Zl0e9/AU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YIYZRg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0A16629B" w14:textId="17D18F48"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ECCA" w14:textId="23F97EDA" w:rsidR="00796DE6" w:rsidRPr="002934C0" w:rsidRDefault="00B90D3D" w:rsidP="002934C0">
    <w:pPr>
      <w:pStyle w:val="Header"/>
    </w:pPr>
    <w:r>
      <w:rPr>
        <w:noProof/>
      </w:rPr>
      <mc:AlternateContent>
        <mc:Choice Requires="wps">
          <w:drawing>
            <wp:anchor distT="0" distB="0" distL="0" distR="0" simplePos="0" relativeHeight="251691008" behindDoc="0" locked="0" layoutInCell="1" allowOverlap="1" wp14:anchorId="35843D2C" wp14:editId="428F6F6E">
              <wp:simplePos x="635" y="635"/>
              <wp:positionH relativeFrom="page">
                <wp:align>center</wp:align>
              </wp:positionH>
              <wp:positionV relativeFrom="page">
                <wp:align>top</wp:align>
              </wp:positionV>
              <wp:extent cx="622300" cy="452755"/>
              <wp:effectExtent l="0" t="0" r="6350" b="4445"/>
              <wp:wrapNone/>
              <wp:docPr id="814712233"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DED962A" w14:textId="1EA6C544"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43D2C" id="_x0000_t202" coordsize="21600,21600" o:spt="202" path="m,l,21600r21600,l21600,xe">
              <v:stroke joinstyle="miter"/>
              <v:path gradientshapeok="t" o:connecttype="rect"/>
            </v:shapetype>
            <v:shape id="Text Box 27" o:spid="_x0000_s1043" type="#_x0000_t202" alt="OFFICIAL" style="position:absolute;margin-left:0;margin-top:0;width:49pt;height:35.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A854wADAIAAB0EAAAO&#10;AAAAAAAAAAAAAAAAAC4CAABkcnMvZTJvRG9jLnhtbFBLAQItABQABgAIAAAAIQBFrBjJ2QAAAAMB&#10;AAAPAAAAAAAAAAAAAAAAAGYEAABkcnMvZG93bnJldi54bWxQSwUGAAAAAAQABADzAAAAbAUAAAAA&#10;" filled="f" stroked="f">
              <v:fill o:detectmouseclick="t"/>
              <v:textbox style="mso-fit-shape-to-text:t" inset="0,15pt,0,0">
                <w:txbxContent>
                  <w:p w14:paraId="7DED962A" w14:textId="1EA6C544"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7156" w14:textId="4562D529" w:rsidR="00E145F3" w:rsidRDefault="00B90D3D">
    <w:pPr>
      <w:pStyle w:val="Header"/>
    </w:pPr>
    <w:r>
      <w:rPr>
        <w:noProof/>
      </w:rPr>
      <mc:AlternateContent>
        <mc:Choice Requires="wps">
          <w:drawing>
            <wp:anchor distT="0" distB="0" distL="0" distR="0" simplePos="0" relativeHeight="251682816" behindDoc="0" locked="0" layoutInCell="1" allowOverlap="1" wp14:anchorId="7B9851CB" wp14:editId="38BE231F">
              <wp:simplePos x="635" y="635"/>
              <wp:positionH relativeFrom="page">
                <wp:align>center</wp:align>
              </wp:positionH>
              <wp:positionV relativeFrom="page">
                <wp:align>top</wp:align>
              </wp:positionV>
              <wp:extent cx="622300" cy="452755"/>
              <wp:effectExtent l="0" t="0" r="6350" b="4445"/>
              <wp:wrapNone/>
              <wp:docPr id="326556478"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94093D2" w14:textId="1D73B48F"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851CB" id="_x0000_t202" coordsize="21600,21600" o:spt="202" path="m,l,21600r21600,l21600,xe">
              <v:stroke joinstyle="miter"/>
              <v:path gradientshapeok="t" o:connecttype="rect"/>
            </v:shapetype>
            <v:shape id="Text Box 19" o:spid="_x0000_s1029" type="#_x0000_t202" alt="OFFICIAL" style="position:absolute;margin-left:0;margin-top:0;width:49pt;height:35.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fill o:detectmouseclick="t"/>
              <v:textbox style="mso-fit-shape-to-text:t" inset="0,15pt,0,0">
                <w:txbxContent>
                  <w:p w14:paraId="594093D2" w14:textId="1D73B48F"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0769" w14:textId="1CB9CCEF" w:rsidR="00E145F3" w:rsidRDefault="00B90D3D">
    <w:pPr>
      <w:pStyle w:val="Header"/>
    </w:pPr>
    <w:r>
      <w:rPr>
        <w:noProof/>
      </w:rPr>
      <mc:AlternateContent>
        <mc:Choice Requires="wps">
          <w:drawing>
            <wp:anchor distT="0" distB="0" distL="0" distR="0" simplePos="0" relativeHeight="251680768" behindDoc="0" locked="0" layoutInCell="1" allowOverlap="1" wp14:anchorId="1EF7C039" wp14:editId="610ACA73">
              <wp:simplePos x="866775" y="361950"/>
              <wp:positionH relativeFrom="page">
                <wp:align>center</wp:align>
              </wp:positionH>
              <wp:positionV relativeFrom="page">
                <wp:align>top</wp:align>
              </wp:positionV>
              <wp:extent cx="622300" cy="452755"/>
              <wp:effectExtent l="0" t="0" r="6350" b="4445"/>
              <wp:wrapNone/>
              <wp:docPr id="45074108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4F2B3E8" w14:textId="3DEC79B3"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7C039" id="_x0000_t202" coordsize="21600,21600" o:spt="202" path="m,l,21600r21600,l21600,xe">
              <v:stroke joinstyle="miter"/>
              <v:path gradientshapeok="t" o:connecttype="rect"/>
            </v:shapetype>
            <v:shape id="Text Box 17" o:spid="_x0000_s1032" type="#_x0000_t202" alt="OFFICIAL" style="position:absolute;margin-left:0;margin-top:0;width:49pt;height:35.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fill o:detectmouseclick="t"/>
              <v:textbox style="mso-fit-shape-to-text:t" inset="0,15pt,0,0">
                <w:txbxContent>
                  <w:p w14:paraId="14F2B3E8" w14:textId="3DEC79B3"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58FB" w14:textId="13A2B268" w:rsidR="00444B74" w:rsidRDefault="00B90D3D">
    <w:pPr>
      <w:pStyle w:val="Header"/>
    </w:pPr>
    <w:r>
      <w:rPr>
        <w:noProof/>
      </w:rPr>
      <mc:AlternateContent>
        <mc:Choice Requires="wps">
          <w:drawing>
            <wp:anchor distT="0" distB="0" distL="0" distR="0" simplePos="0" relativeHeight="251683840" behindDoc="0" locked="0" layoutInCell="1" allowOverlap="1" wp14:anchorId="63A2E911" wp14:editId="1AC46B67">
              <wp:simplePos x="635" y="635"/>
              <wp:positionH relativeFrom="page">
                <wp:align>center</wp:align>
              </wp:positionH>
              <wp:positionV relativeFrom="page">
                <wp:align>top</wp:align>
              </wp:positionV>
              <wp:extent cx="622300" cy="452755"/>
              <wp:effectExtent l="0" t="0" r="6350" b="4445"/>
              <wp:wrapNone/>
              <wp:docPr id="21242995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1330491" w14:textId="6D42F063"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A2E911" id="_x0000_t202" coordsize="21600,21600" o:spt="202" path="m,l,21600r21600,l21600,xe">
              <v:stroke joinstyle="miter"/>
              <v:path gradientshapeok="t" o:connecttype="rect"/>
            </v:shapetype>
            <v:shape id="Text Box 20" o:spid="_x0000_s1034" type="#_x0000_t202" alt="OFFICIAL" style="position:absolute;margin-left:0;margin-top:0;width:49pt;height:35.6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2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mef5vOIkl0uOx/wq4KWRaPknraSyBKH&#10;h4BD6pgSa1lYN8akzRj7m4Mwoye7dBgt7Lc9a6qSX43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roqNg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11330491" w14:textId="6D42F063"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r w:rsidR="00444B74">
      <w:rPr>
        <w:noProof/>
      </w:rPr>
      <w:drawing>
        <wp:anchor distT="0" distB="0" distL="114300" distR="114300" simplePos="0" relativeHeight="251661312" behindDoc="1" locked="0" layoutInCell="1" allowOverlap="1" wp14:anchorId="2686E768" wp14:editId="20685142">
          <wp:simplePos x="0" y="0"/>
          <wp:positionH relativeFrom="page">
            <wp:align>left</wp:align>
          </wp:positionH>
          <wp:positionV relativeFrom="page">
            <wp:align>top</wp:align>
          </wp:positionV>
          <wp:extent cx="7558768" cy="10691999"/>
          <wp:effectExtent l="0" t="0" r="4445" b="0"/>
          <wp:wrapNone/>
          <wp:docPr id="193502813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3596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A2EC" w14:textId="136BE47B" w:rsidR="00A43122" w:rsidRDefault="00B90D3D">
    <w:pPr>
      <w:pStyle w:val="Header"/>
    </w:pPr>
    <w:r>
      <w:rPr>
        <w:noProof/>
      </w:rPr>
      <mc:AlternateContent>
        <mc:Choice Requires="wps">
          <w:drawing>
            <wp:anchor distT="0" distB="0" distL="0" distR="0" simplePos="0" relativeHeight="251685888" behindDoc="0" locked="0" layoutInCell="1" allowOverlap="1" wp14:anchorId="2D290B71" wp14:editId="28A0B5B7">
              <wp:simplePos x="635" y="635"/>
              <wp:positionH relativeFrom="page">
                <wp:align>center</wp:align>
              </wp:positionH>
              <wp:positionV relativeFrom="page">
                <wp:align>top</wp:align>
              </wp:positionV>
              <wp:extent cx="622300" cy="452755"/>
              <wp:effectExtent l="0" t="0" r="6350" b="4445"/>
              <wp:wrapNone/>
              <wp:docPr id="41826470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46E9103" w14:textId="30BE0BFD"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90B71" id="_x0000_t202" coordsize="21600,21600" o:spt="202" path="m,l,21600r21600,l21600,xe">
              <v:stroke joinstyle="miter"/>
              <v:path gradientshapeok="t" o:connecttype="rect"/>
            </v:shapetype>
            <v:shape id="Text Box 22" o:spid="_x0000_s1035" type="#_x0000_t202" alt="OFFICIAL" style="position:absolute;margin-left:0;margin-top:0;width:49pt;height:35.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546E9103" w14:textId="30BE0BFD"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8477" w14:textId="059DD820" w:rsidR="00A43122" w:rsidRPr="00FF15A3" w:rsidRDefault="00B90D3D">
    <w:pPr>
      <w:pStyle w:val="Header"/>
      <w:rPr>
        <w:color w:val="7F7F7F" w:themeColor="text1" w:themeTint="80"/>
        <w:szCs w:val="20"/>
      </w:rPr>
    </w:pPr>
    <w:r>
      <w:rPr>
        <w:noProof/>
        <w:color w:val="7F7F7F" w:themeColor="text1" w:themeTint="80"/>
        <w:szCs w:val="20"/>
      </w:rPr>
      <mc:AlternateContent>
        <mc:Choice Requires="wps">
          <w:drawing>
            <wp:anchor distT="0" distB="0" distL="0" distR="0" simplePos="0" relativeHeight="251686912" behindDoc="0" locked="0" layoutInCell="1" allowOverlap="1" wp14:anchorId="1379003F" wp14:editId="5543DE5F">
              <wp:simplePos x="635" y="635"/>
              <wp:positionH relativeFrom="page">
                <wp:align>center</wp:align>
              </wp:positionH>
              <wp:positionV relativeFrom="page">
                <wp:align>top</wp:align>
              </wp:positionV>
              <wp:extent cx="622300" cy="452755"/>
              <wp:effectExtent l="0" t="0" r="6350" b="4445"/>
              <wp:wrapNone/>
              <wp:docPr id="1416936759"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A3138F3" w14:textId="2D6297D9"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9003F" id="_x0000_t202" coordsize="21600,21600" o:spt="202" path="m,l,21600r21600,l21600,xe">
              <v:stroke joinstyle="miter"/>
              <v:path gradientshapeok="t" o:connecttype="rect"/>
            </v:shapetype>
            <v:shape id="Text Box 23" o:spid="_x0000_s1036" type="#_x0000_t202" alt="OFFICIAL" style="position:absolute;margin-left:0;margin-top:0;width:49pt;height:35.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fill o:detectmouseclick="t"/>
              <v:textbox style="mso-fit-shape-to-text:t" inset="0,15pt,0,0">
                <w:txbxContent>
                  <w:p w14:paraId="5A3138F3" w14:textId="2D6297D9"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r w:rsidR="00A43122">
      <w:rPr>
        <w:color w:val="7F7F7F" w:themeColor="text1" w:themeTint="80"/>
        <w:szCs w:val="20"/>
      </w:rPr>
      <w:t>Data Plan 2025-28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828B" w14:textId="0170546A" w:rsidR="00A43122" w:rsidRDefault="00B90D3D">
    <w:pPr>
      <w:pStyle w:val="Header"/>
    </w:pPr>
    <w:r>
      <w:rPr>
        <w:noProof/>
      </w:rPr>
      <mc:AlternateContent>
        <mc:Choice Requires="wps">
          <w:drawing>
            <wp:anchor distT="0" distB="0" distL="0" distR="0" simplePos="0" relativeHeight="251684864" behindDoc="0" locked="0" layoutInCell="1" allowOverlap="1" wp14:anchorId="4D631616" wp14:editId="0FA5F58C">
              <wp:simplePos x="635" y="635"/>
              <wp:positionH relativeFrom="page">
                <wp:align>center</wp:align>
              </wp:positionH>
              <wp:positionV relativeFrom="page">
                <wp:align>top</wp:align>
              </wp:positionV>
              <wp:extent cx="622300" cy="452755"/>
              <wp:effectExtent l="0" t="0" r="6350" b="4445"/>
              <wp:wrapNone/>
              <wp:docPr id="143410164"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B8988E2" w14:textId="56551F57"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31616" id="_x0000_t202" coordsize="21600,21600" o:spt="202" path="m,l,21600r21600,l21600,xe">
              <v:stroke joinstyle="miter"/>
              <v:path gradientshapeok="t" o:connecttype="rect"/>
            </v:shapetype>
            <v:shape id="Text Box 21" o:spid="_x0000_s1038" type="#_x0000_t202" alt="OFFICIAL" style="position:absolute;margin-left:0;margin-top:0;width:49pt;height:35.6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CQOYW7DAIAABwEAAAO&#10;AAAAAAAAAAAAAAAAAC4CAABkcnMvZTJvRG9jLnhtbFBLAQItABQABgAIAAAAIQBFrBjJ2QAAAAMB&#10;AAAPAAAAAAAAAAAAAAAAAGYEAABkcnMvZG93bnJldi54bWxQSwUGAAAAAAQABADzAAAAbAUAAAAA&#10;" filled="f" stroked="f">
              <v:fill o:detectmouseclick="t"/>
              <v:textbox style="mso-fit-shape-to-text:t" inset="0,15pt,0,0">
                <w:txbxContent>
                  <w:p w14:paraId="2B8988E2" w14:textId="56551F57"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A2BE" w14:textId="438D859E" w:rsidR="00574A3A" w:rsidRDefault="00B90D3D">
    <w:pPr>
      <w:pStyle w:val="Header"/>
    </w:pPr>
    <w:r>
      <w:rPr>
        <w:noProof/>
      </w:rPr>
      <mc:AlternateContent>
        <mc:Choice Requires="wps">
          <w:drawing>
            <wp:anchor distT="0" distB="0" distL="0" distR="0" simplePos="0" relativeHeight="251688960" behindDoc="0" locked="0" layoutInCell="1" allowOverlap="1" wp14:anchorId="274BD95D" wp14:editId="11176DCC">
              <wp:simplePos x="635" y="635"/>
              <wp:positionH relativeFrom="page">
                <wp:align>center</wp:align>
              </wp:positionH>
              <wp:positionV relativeFrom="page">
                <wp:align>top</wp:align>
              </wp:positionV>
              <wp:extent cx="622300" cy="452755"/>
              <wp:effectExtent l="0" t="0" r="6350" b="4445"/>
              <wp:wrapNone/>
              <wp:docPr id="619253927"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BA99221" w14:textId="2357CFD6"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4BD95D" id="_x0000_t202" coordsize="21600,21600" o:spt="202" path="m,l,21600r21600,l21600,xe">
              <v:stroke joinstyle="miter"/>
              <v:path gradientshapeok="t" o:connecttype="rect"/>
            </v:shapetype>
            <v:shape id="Text Box 25" o:spid="_x0000_s1039" type="#_x0000_t202" alt="OFFICIAL" style="position:absolute;margin-left:0;margin-top:0;width:49pt;height:35.6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t7DQIAABw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UlyXs1mH3OKSAp9ms8+z+cRJbtcdj7gVwUti0bJPW0lkSUO&#10;DwGH1DEl1rKwboxJmzH2NwdhRk926TBa2G971lQlvxm730J1pKE8DPsOTq4bKv0gAj4LTwumbkm0&#10;+ESHNtCVHE4WZzX4H3/zx3zinaKcdSSYkltSNGfmm6V9RG0lY3qT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DTmrew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2BA99221" w14:textId="2357CFD6"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C9B4" w14:textId="72C591D4" w:rsidR="00574A3A" w:rsidRPr="00294F48" w:rsidRDefault="00B90D3D" w:rsidP="00294F48">
    <w:pPr>
      <w:pStyle w:val="Header"/>
    </w:pPr>
    <w:r>
      <w:rPr>
        <w:noProof/>
      </w:rPr>
      <mc:AlternateContent>
        <mc:Choice Requires="wps">
          <w:drawing>
            <wp:anchor distT="0" distB="0" distL="0" distR="0" simplePos="0" relativeHeight="251689984" behindDoc="0" locked="0" layoutInCell="1" allowOverlap="1" wp14:anchorId="20787751" wp14:editId="0C424350">
              <wp:simplePos x="635" y="635"/>
              <wp:positionH relativeFrom="page">
                <wp:align>center</wp:align>
              </wp:positionH>
              <wp:positionV relativeFrom="page">
                <wp:align>top</wp:align>
              </wp:positionV>
              <wp:extent cx="622300" cy="452755"/>
              <wp:effectExtent l="0" t="0" r="6350" b="4445"/>
              <wp:wrapNone/>
              <wp:docPr id="126024533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B389347" w14:textId="2476EE60"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87751" id="_x0000_t202" coordsize="21600,21600" o:spt="202" path="m,l,21600r21600,l21600,xe">
              <v:stroke joinstyle="miter"/>
              <v:path gradientshapeok="t" o:connecttype="rect"/>
            </v:shapetype>
            <v:shape id="Text Box 26" o:spid="_x0000_s1040" type="#_x0000_t202" alt="OFFICIAL" style="position:absolute;margin-left:0;margin-top:0;width:49pt;height:35.6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SkfgwA0CAAAcBAAA&#10;DgAAAAAAAAAAAAAAAAAuAgAAZHJzL2Uyb0RvYy54bWxQSwECLQAUAAYACAAAACEARawYydkAAAAD&#10;AQAADwAAAAAAAAAAAAAAAABnBAAAZHJzL2Rvd25yZXYueG1sUEsFBgAAAAAEAAQA8wAAAG0FAAAA&#10;AA==&#10;" filled="f" stroked="f">
              <v:fill o:detectmouseclick="t"/>
              <v:textbox style="mso-fit-shape-to-text:t" inset="0,15pt,0,0">
                <w:txbxContent>
                  <w:p w14:paraId="5B389347" w14:textId="2476EE60" w:rsidR="00B90D3D" w:rsidRPr="00B90D3D" w:rsidRDefault="00B90D3D" w:rsidP="00B90D3D">
                    <w:pPr>
                      <w:spacing w:after="0"/>
                      <w:rPr>
                        <w:rFonts w:ascii="Aptos" w:eastAsia="Aptos" w:hAnsi="Aptos" w:cs="Aptos"/>
                        <w:noProof/>
                        <w:color w:val="FF0000"/>
                        <w:sz w:val="24"/>
                        <w:szCs w:val="24"/>
                      </w:rPr>
                    </w:pPr>
                    <w:r w:rsidRPr="00B90D3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AB8"/>
    <w:multiLevelType w:val="hybridMultilevel"/>
    <w:tmpl w:val="A1804FCE"/>
    <w:lvl w:ilvl="0" w:tplc="13A6070A">
      <w:start w:val="1"/>
      <w:numFmt w:val="lowerLetter"/>
      <w:lvlText w:val="(%1)"/>
      <w:lvlJc w:val="left"/>
      <w:pPr>
        <w:ind w:left="785" w:hanging="360"/>
      </w:pPr>
      <w:rPr>
        <w:rFonts w:hint="default"/>
      </w:rPr>
    </w:lvl>
    <w:lvl w:ilvl="1" w:tplc="0C09001B">
      <w:start w:val="1"/>
      <w:numFmt w:val="lowerRoman"/>
      <w:lvlText w:val="%2."/>
      <w:lvlJc w:val="righ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 w15:restartNumberingAfterBreak="0">
    <w:nsid w:val="06A0571C"/>
    <w:multiLevelType w:val="hybridMultilevel"/>
    <w:tmpl w:val="2F983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BE1643"/>
    <w:multiLevelType w:val="hybridMultilevel"/>
    <w:tmpl w:val="9E4C6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953443"/>
    <w:multiLevelType w:val="hybridMultilevel"/>
    <w:tmpl w:val="6BCCC7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B35B3A"/>
    <w:multiLevelType w:val="hybridMultilevel"/>
    <w:tmpl w:val="B9207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C6496D"/>
    <w:multiLevelType w:val="hybridMultilevel"/>
    <w:tmpl w:val="56F20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360235"/>
    <w:multiLevelType w:val="hybridMultilevel"/>
    <w:tmpl w:val="B0B22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67729"/>
    <w:multiLevelType w:val="hybridMultilevel"/>
    <w:tmpl w:val="D9D69F6E"/>
    <w:lvl w:ilvl="0" w:tplc="13A607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9" w15:restartNumberingAfterBreak="0">
    <w:nsid w:val="2CCD01D4"/>
    <w:multiLevelType w:val="hybridMultilevel"/>
    <w:tmpl w:val="B97AE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515595"/>
    <w:multiLevelType w:val="hybridMultilevel"/>
    <w:tmpl w:val="A2A66444"/>
    <w:lvl w:ilvl="0" w:tplc="5674077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2A1731"/>
    <w:multiLevelType w:val="hybridMultilevel"/>
    <w:tmpl w:val="38905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C73DB"/>
    <w:multiLevelType w:val="hybridMultilevel"/>
    <w:tmpl w:val="D29EAB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D4B17A0"/>
    <w:multiLevelType w:val="hybridMultilevel"/>
    <w:tmpl w:val="B526F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755283"/>
    <w:multiLevelType w:val="hybridMultilevel"/>
    <w:tmpl w:val="93824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1A32F0"/>
    <w:multiLevelType w:val="hybridMultilevel"/>
    <w:tmpl w:val="A1804FCE"/>
    <w:lvl w:ilvl="0" w:tplc="13A6070A">
      <w:start w:val="1"/>
      <w:numFmt w:val="lowerLetter"/>
      <w:lvlText w:val="(%1)"/>
      <w:lvlJc w:val="left"/>
      <w:pPr>
        <w:ind w:left="785" w:hanging="360"/>
      </w:pPr>
      <w:rPr>
        <w:rFonts w:hint="default"/>
      </w:rPr>
    </w:lvl>
    <w:lvl w:ilvl="1" w:tplc="0C09001B">
      <w:start w:val="1"/>
      <w:numFmt w:val="lowerRoman"/>
      <w:lvlText w:val="%2."/>
      <w:lvlJc w:val="righ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6" w15:restartNumberingAfterBreak="0">
    <w:nsid w:val="424E6DB8"/>
    <w:multiLevelType w:val="hybridMultilevel"/>
    <w:tmpl w:val="EE92E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D01175"/>
    <w:multiLevelType w:val="hybridMultilevel"/>
    <w:tmpl w:val="D138FD32"/>
    <w:lvl w:ilvl="0" w:tplc="09DC8530">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6660706"/>
    <w:multiLevelType w:val="hybridMultilevel"/>
    <w:tmpl w:val="2CDE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37ACE"/>
    <w:multiLevelType w:val="hybridMultilevel"/>
    <w:tmpl w:val="BB9028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452173"/>
    <w:multiLevelType w:val="hybridMultilevel"/>
    <w:tmpl w:val="247034D2"/>
    <w:lvl w:ilvl="0" w:tplc="13A6070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0A587F"/>
    <w:multiLevelType w:val="hybridMultilevel"/>
    <w:tmpl w:val="27A8C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BD7B59"/>
    <w:multiLevelType w:val="hybridMultilevel"/>
    <w:tmpl w:val="B482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3164CE"/>
    <w:multiLevelType w:val="hybridMultilevel"/>
    <w:tmpl w:val="DF708E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A63082"/>
    <w:multiLevelType w:val="hybridMultilevel"/>
    <w:tmpl w:val="F3E66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9457B0"/>
    <w:multiLevelType w:val="hybridMultilevel"/>
    <w:tmpl w:val="918E7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7269CF"/>
    <w:multiLevelType w:val="hybridMultilevel"/>
    <w:tmpl w:val="F05214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37F4AA9"/>
    <w:multiLevelType w:val="hybridMultilevel"/>
    <w:tmpl w:val="BD420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6B2A6E"/>
    <w:multiLevelType w:val="hybridMultilevel"/>
    <w:tmpl w:val="E304C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2E5A77"/>
    <w:multiLevelType w:val="hybridMultilevel"/>
    <w:tmpl w:val="BB9028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1F7723"/>
    <w:multiLevelType w:val="multilevel"/>
    <w:tmpl w:val="9F7CD284"/>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714EE7"/>
    <w:multiLevelType w:val="hybridMultilevel"/>
    <w:tmpl w:val="651C5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33" w15:restartNumberingAfterBreak="0">
    <w:nsid w:val="6C222CC2"/>
    <w:multiLevelType w:val="hybridMultilevel"/>
    <w:tmpl w:val="CC848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315B78"/>
    <w:multiLevelType w:val="hybridMultilevel"/>
    <w:tmpl w:val="879C06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D5361C7"/>
    <w:multiLevelType w:val="hybridMultilevel"/>
    <w:tmpl w:val="A1804FCE"/>
    <w:lvl w:ilvl="0" w:tplc="13A6070A">
      <w:start w:val="1"/>
      <w:numFmt w:val="lowerLetter"/>
      <w:lvlText w:val="(%1)"/>
      <w:lvlJc w:val="left"/>
      <w:pPr>
        <w:ind w:left="1455" w:hanging="360"/>
      </w:pPr>
      <w:rPr>
        <w:rFonts w:hint="default"/>
      </w:rPr>
    </w:lvl>
    <w:lvl w:ilvl="1" w:tplc="0C09001B">
      <w:start w:val="1"/>
      <w:numFmt w:val="lowerRoman"/>
      <w:lvlText w:val="%2."/>
      <w:lvlJc w:val="righ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36" w15:restartNumberingAfterBreak="0">
    <w:nsid w:val="6D5770FE"/>
    <w:multiLevelType w:val="hybridMultilevel"/>
    <w:tmpl w:val="29F02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5B7FCC"/>
    <w:multiLevelType w:val="hybridMultilevel"/>
    <w:tmpl w:val="02D2A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7A25C4"/>
    <w:multiLevelType w:val="hybridMultilevel"/>
    <w:tmpl w:val="E68AB9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770B2E"/>
    <w:multiLevelType w:val="hybridMultilevel"/>
    <w:tmpl w:val="2422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41" w15:restartNumberingAfterBreak="0">
    <w:nsid w:val="79615C44"/>
    <w:multiLevelType w:val="hybridMultilevel"/>
    <w:tmpl w:val="C66E1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171DC0"/>
    <w:multiLevelType w:val="hybridMultilevel"/>
    <w:tmpl w:val="BF824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523040">
    <w:abstractNumId w:val="8"/>
  </w:num>
  <w:num w:numId="2" w16cid:durableId="1741051169">
    <w:abstractNumId w:val="40"/>
  </w:num>
  <w:num w:numId="3" w16cid:durableId="1155560808">
    <w:abstractNumId w:val="30"/>
  </w:num>
  <w:num w:numId="4" w16cid:durableId="1231190212">
    <w:abstractNumId w:val="32"/>
  </w:num>
  <w:num w:numId="5" w16cid:durableId="2088572470">
    <w:abstractNumId w:val="17"/>
  </w:num>
  <w:num w:numId="6" w16cid:durableId="479883940">
    <w:abstractNumId w:val="22"/>
  </w:num>
  <w:num w:numId="7" w16cid:durableId="105925692">
    <w:abstractNumId w:val="37"/>
  </w:num>
  <w:num w:numId="8" w16cid:durableId="1577548930">
    <w:abstractNumId w:val="2"/>
  </w:num>
  <w:num w:numId="9" w16cid:durableId="1685664424">
    <w:abstractNumId w:val="23"/>
  </w:num>
  <w:num w:numId="10" w16cid:durableId="1556891468">
    <w:abstractNumId w:val="35"/>
  </w:num>
  <w:num w:numId="11" w16cid:durableId="670564748">
    <w:abstractNumId w:val="0"/>
  </w:num>
  <w:num w:numId="12" w16cid:durableId="1370298139">
    <w:abstractNumId w:val="15"/>
  </w:num>
  <w:num w:numId="13" w16cid:durableId="1291321515">
    <w:abstractNumId w:val="38"/>
  </w:num>
  <w:num w:numId="14" w16cid:durableId="252974138">
    <w:abstractNumId w:val="29"/>
  </w:num>
  <w:num w:numId="15" w16cid:durableId="1240991056">
    <w:abstractNumId w:val="19"/>
  </w:num>
  <w:num w:numId="16" w16cid:durableId="432168140">
    <w:abstractNumId w:val="3"/>
  </w:num>
  <w:num w:numId="17" w16cid:durableId="1991015252">
    <w:abstractNumId w:val="20"/>
  </w:num>
  <w:num w:numId="18" w16cid:durableId="921915096">
    <w:abstractNumId w:val="7"/>
  </w:num>
  <w:num w:numId="19" w16cid:durableId="153641996">
    <w:abstractNumId w:val="42"/>
  </w:num>
  <w:num w:numId="20" w16cid:durableId="854735990">
    <w:abstractNumId w:val="21"/>
  </w:num>
  <w:num w:numId="21" w16cid:durableId="1357266746">
    <w:abstractNumId w:val="27"/>
  </w:num>
  <w:num w:numId="22" w16cid:durableId="401177110">
    <w:abstractNumId w:val="28"/>
  </w:num>
  <w:num w:numId="23" w16cid:durableId="1494569912">
    <w:abstractNumId w:val="39"/>
  </w:num>
  <w:num w:numId="24" w16cid:durableId="1977837120">
    <w:abstractNumId w:val="31"/>
  </w:num>
  <w:num w:numId="25" w16cid:durableId="1729063847">
    <w:abstractNumId w:val="6"/>
  </w:num>
  <w:num w:numId="26" w16cid:durableId="629284852">
    <w:abstractNumId w:val="5"/>
  </w:num>
  <w:num w:numId="27" w16cid:durableId="1843933697">
    <w:abstractNumId w:val="16"/>
  </w:num>
  <w:num w:numId="28" w16cid:durableId="1963412566">
    <w:abstractNumId w:val="33"/>
  </w:num>
  <w:num w:numId="29" w16cid:durableId="243078034">
    <w:abstractNumId w:val="34"/>
  </w:num>
  <w:num w:numId="30" w16cid:durableId="333269811">
    <w:abstractNumId w:val="26"/>
  </w:num>
  <w:num w:numId="31" w16cid:durableId="342391956">
    <w:abstractNumId w:val="12"/>
  </w:num>
  <w:num w:numId="32" w16cid:durableId="1775009374">
    <w:abstractNumId w:val="14"/>
  </w:num>
  <w:num w:numId="33" w16cid:durableId="243417160">
    <w:abstractNumId w:val="13"/>
  </w:num>
  <w:num w:numId="34" w16cid:durableId="463619085">
    <w:abstractNumId w:val="24"/>
  </w:num>
  <w:num w:numId="35" w16cid:durableId="2129620740">
    <w:abstractNumId w:val="11"/>
  </w:num>
  <w:num w:numId="36" w16cid:durableId="1661232847">
    <w:abstractNumId w:val="36"/>
  </w:num>
  <w:num w:numId="37" w16cid:durableId="1183590891">
    <w:abstractNumId w:val="18"/>
  </w:num>
  <w:num w:numId="38" w16cid:durableId="582182972">
    <w:abstractNumId w:val="1"/>
  </w:num>
  <w:num w:numId="39" w16cid:durableId="95173381">
    <w:abstractNumId w:val="25"/>
  </w:num>
  <w:num w:numId="40" w16cid:durableId="340932510">
    <w:abstractNumId w:val="41"/>
  </w:num>
  <w:num w:numId="41" w16cid:durableId="669138004">
    <w:abstractNumId w:val="10"/>
  </w:num>
  <w:num w:numId="42" w16cid:durableId="505899429">
    <w:abstractNumId w:val="4"/>
  </w:num>
  <w:num w:numId="43" w16cid:durableId="46327824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C30F9C"/>
    <w:rsid w:val="00011EBE"/>
    <w:rsid w:val="000121BA"/>
    <w:rsid w:val="000136A5"/>
    <w:rsid w:val="00013E33"/>
    <w:rsid w:val="00013FDC"/>
    <w:rsid w:val="00015555"/>
    <w:rsid w:val="0001627D"/>
    <w:rsid w:val="000164A5"/>
    <w:rsid w:val="00020CF3"/>
    <w:rsid w:val="0002234B"/>
    <w:rsid w:val="000233AB"/>
    <w:rsid w:val="000237BA"/>
    <w:rsid w:val="00024813"/>
    <w:rsid w:val="0002528E"/>
    <w:rsid w:val="0003148E"/>
    <w:rsid w:val="00032388"/>
    <w:rsid w:val="00033439"/>
    <w:rsid w:val="00034043"/>
    <w:rsid w:val="0003501D"/>
    <w:rsid w:val="000369EA"/>
    <w:rsid w:val="00036C75"/>
    <w:rsid w:val="00036FE5"/>
    <w:rsid w:val="00037DE5"/>
    <w:rsid w:val="00041055"/>
    <w:rsid w:val="00041141"/>
    <w:rsid w:val="00046136"/>
    <w:rsid w:val="00047C40"/>
    <w:rsid w:val="00047E90"/>
    <w:rsid w:val="00056BC0"/>
    <w:rsid w:val="00061B61"/>
    <w:rsid w:val="00062BA3"/>
    <w:rsid w:val="000635BC"/>
    <w:rsid w:val="0006369F"/>
    <w:rsid w:val="00064283"/>
    <w:rsid w:val="000658B5"/>
    <w:rsid w:val="00065F7E"/>
    <w:rsid w:val="000760F4"/>
    <w:rsid w:val="00080037"/>
    <w:rsid w:val="00081BFA"/>
    <w:rsid w:val="00083A58"/>
    <w:rsid w:val="00083FD2"/>
    <w:rsid w:val="0008584C"/>
    <w:rsid w:val="000866A0"/>
    <w:rsid w:val="000872A3"/>
    <w:rsid w:val="00091A80"/>
    <w:rsid w:val="00093BC8"/>
    <w:rsid w:val="00095BC1"/>
    <w:rsid w:val="00096866"/>
    <w:rsid w:val="000A054F"/>
    <w:rsid w:val="000A0C2D"/>
    <w:rsid w:val="000A1273"/>
    <w:rsid w:val="000A1738"/>
    <w:rsid w:val="000A1916"/>
    <w:rsid w:val="000A1EF9"/>
    <w:rsid w:val="000A2E7B"/>
    <w:rsid w:val="000A336E"/>
    <w:rsid w:val="000A3F90"/>
    <w:rsid w:val="000A4DA7"/>
    <w:rsid w:val="000A5B5A"/>
    <w:rsid w:val="000A66C9"/>
    <w:rsid w:val="000A6E98"/>
    <w:rsid w:val="000A7A20"/>
    <w:rsid w:val="000B19D3"/>
    <w:rsid w:val="000B3106"/>
    <w:rsid w:val="000B3336"/>
    <w:rsid w:val="000B40C2"/>
    <w:rsid w:val="000B5598"/>
    <w:rsid w:val="000B5729"/>
    <w:rsid w:val="000C0CA6"/>
    <w:rsid w:val="000C1B92"/>
    <w:rsid w:val="000C4291"/>
    <w:rsid w:val="000C5879"/>
    <w:rsid w:val="000D19FF"/>
    <w:rsid w:val="000D22A8"/>
    <w:rsid w:val="000D54B5"/>
    <w:rsid w:val="000D739F"/>
    <w:rsid w:val="000D793D"/>
    <w:rsid w:val="000D7D92"/>
    <w:rsid w:val="000D7F92"/>
    <w:rsid w:val="000E195F"/>
    <w:rsid w:val="000E53AB"/>
    <w:rsid w:val="000E552A"/>
    <w:rsid w:val="000E76FA"/>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F60"/>
    <w:rsid w:val="00112DF1"/>
    <w:rsid w:val="00113399"/>
    <w:rsid w:val="00113EA9"/>
    <w:rsid w:val="001141D0"/>
    <w:rsid w:val="001175CB"/>
    <w:rsid w:val="0011787C"/>
    <w:rsid w:val="00117894"/>
    <w:rsid w:val="001178D7"/>
    <w:rsid w:val="0012062F"/>
    <w:rsid w:val="00120E3D"/>
    <w:rsid w:val="001239E7"/>
    <w:rsid w:val="0012449A"/>
    <w:rsid w:val="00125160"/>
    <w:rsid w:val="001279BB"/>
    <w:rsid w:val="00133783"/>
    <w:rsid w:val="001338BA"/>
    <w:rsid w:val="001368BE"/>
    <w:rsid w:val="00136B50"/>
    <w:rsid w:val="001425A7"/>
    <w:rsid w:val="001432FE"/>
    <w:rsid w:val="00143D93"/>
    <w:rsid w:val="00144282"/>
    <w:rsid w:val="00144E74"/>
    <w:rsid w:val="001457C0"/>
    <w:rsid w:val="001523A3"/>
    <w:rsid w:val="00152581"/>
    <w:rsid w:val="00152AC1"/>
    <w:rsid w:val="00153AEF"/>
    <w:rsid w:val="001547CB"/>
    <w:rsid w:val="00154C1A"/>
    <w:rsid w:val="00156042"/>
    <w:rsid w:val="001567DD"/>
    <w:rsid w:val="00157AB6"/>
    <w:rsid w:val="00157CE7"/>
    <w:rsid w:val="00162965"/>
    <w:rsid w:val="00165E78"/>
    <w:rsid w:val="00165F83"/>
    <w:rsid w:val="001712E1"/>
    <w:rsid w:val="001714D3"/>
    <w:rsid w:val="00172BC4"/>
    <w:rsid w:val="0017356E"/>
    <w:rsid w:val="00174708"/>
    <w:rsid w:val="00182D27"/>
    <w:rsid w:val="00184B29"/>
    <w:rsid w:val="001851E5"/>
    <w:rsid w:val="00185E78"/>
    <w:rsid w:val="0018654C"/>
    <w:rsid w:val="00187C93"/>
    <w:rsid w:val="00191178"/>
    <w:rsid w:val="00191513"/>
    <w:rsid w:val="00191CC2"/>
    <w:rsid w:val="00192329"/>
    <w:rsid w:val="00193699"/>
    <w:rsid w:val="00193942"/>
    <w:rsid w:val="00195CE8"/>
    <w:rsid w:val="00197290"/>
    <w:rsid w:val="0019759D"/>
    <w:rsid w:val="00197ADC"/>
    <w:rsid w:val="00197E66"/>
    <w:rsid w:val="001A03FE"/>
    <w:rsid w:val="001A06E4"/>
    <w:rsid w:val="001A0E88"/>
    <w:rsid w:val="001A2B7F"/>
    <w:rsid w:val="001A3554"/>
    <w:rsid w:val="001A3D99"/>
    <w:rsid w:val="001A41EB"/>
    <w:rsid w:val="001A4611"/>
    <w:rsid w:val="001A50A3"/>
    <w:rsid w:val="001A5727"/>
    <w:rsid w:val="001A599E"/>
    <w:rsid w:val="001A7D74"/>
    <w:rsid w:val="001B23B8"/>
    <w:rsid w:val="001B3928"/>
    <w:rsid w:val="001B3E4F"/>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4D0D"/>
    <w:rsid w:val="001D6E4A"/>
    <w:rsid w:val="001D7528"/>
    <w:rsid w:val="001D76E4"/>
    <w:rsid w:val="001E3A54"/>
    <w:rsid w:val="001E41E5"/>
    <w:rsid w:val="001E49C9"/>
    <w:rsid w:val="001E5108"/>
    <w:rsid w:val="001E5F8E"/>
    <w:rsid w:val="001F1430"/>
    <w:rsid w:val="001F25C8"/>
    <w:rsid w:val="001F3C12"/>
    <w:rsid w:val="001F40EE"/>
    <w:rsid w:val="00200A33"/>
    <w:rsid w:val="00202C71"/>
    <w:rsid w:val="00202F7F"/>
    <w:rsid w:val="00207CBE"/>
    <w:rsid w:val="00210409"/>
    <w:rsid w:val="00210E8D"/>
    <w:rsid w:val="0021123A"/>
    <w:rsid w:val="0021134B"/>
    <w:rsid w:val="0021183E"/>
    <w:rsid w:val="00216854"/>
    <w:rsid w:val="00217D19"/>
    <w:rsid w:val="0022009C"/>
    <w:rsid w:val="00223F37"/>
    <w:rsid w:val="00226249"/>
    <w:rsid w:val="00227152"/>
    <w:rsid w:val="002307E1"/>
    <w:rsid w:val="002320CE"/>
    <w:rsid w:val="00233385"/>
    <w:rsid w:val="002333C5"/>
    <w:rsid w:val="002349BF"/>
    <w:rsid w:val="00236950"/>
    <w:rsid w:val="00242034"/>
    <w:rsid w:val="002422FD"/>
    <w:rsid w:val="00244887"/>
    <w:rsid w:val="00244E46"/>
    <w:rsid w:val="002468CF"/>
    <w:rsid w:val="00253E2B"/>
    <w:rsid w:val="002574B2"/>
    <w:rsid w:val="00257A55"/>
    <w:rsid w:val="00260209"/>
    <w:rsid w:val="002622A2"/>
    <w:rsid w:val="00262769"/>
    <w:rsid w:val="002632B7"/>
    <w:rsid w:val="00264464"/>
    <w:rsid w:val="0026489B"/>
    <w:rsid w:val="00264F4D"/>
    <w:rsid w:val="00272AAC"/>
    <w:rsid w:val="00274521"/>
    <w:rsid w:val="00275504"/>
    <w:rsid w:val="0027686A"/>
    <w:rsid w:val="002776FA"/>
    <w:rsid w:val="00277E47"/>
    <w:rsid w:val="0028070D"/>
    <w:rsid w:val="00282761"/>
    <w:rsid w:val="00285BC0"/>
    <w:rsid w:val="002871D8"/>
    <w:rsid w:val="00291082"/>
    <w:rsid w:val="002934C0"/>
    <w:rsid w:val="00294F48"/>
    <w:rsid w:val="00295234"/>
    <w:rsid w:val="00296ADC"/>
    <w:rsid w:val="00297CB5"/>
    <w:rsid w:val="002A02B1"/>
    <w:rsid w:val="002A1211"/>
    <w:rsid w:val="002A12DA"/>
    <w:rsid w:val="002A1929"/>
    <w:rsid w:val="002A1BC8"/>
    <w:rsid w:val="002A50AE"/>
    <w:rsid w:val="002A521B"/>
    <w:rsid w:val="002A5D1A"/>
    <w:rsid w:val="002A66E5"/>
    <w:rsid w:val="002B1417"/>
    <w:rsid w:val="002B161A"/>
    <w:rsid w:val="002B16A7"/>
    <w:rsid w:val="002B3C79"/>
    <w:rsid w:val="002B5C37"/>
    <w:rsid w:val="002C0BE4"/>
    <w:rsid w:val="002C147F"/>
    <w:rsid w:val="002C1A6F"/>
    <w:rsid w:val="002C1E4B"/>
    <w:rsid w:val="002C2769"/>
    <w:rsid w:val="002C2E1B"/>
    <w:rsid w:val="002C3AFC"/>
    <w:rsid w:val="002C4209"/>
    <w:rsid w:val="002D291F"/>
    <w:rsid w:val="002D374F"/>
    <w:rsid w:val="002D521E"/>
    <w:rsid w:val="002D62CE"/>
    <w:rsid w:val="002D67D3"/>
    <w:rsid w:val="002D7462"/>
    <w:rsid w:val="002E001E"/>
    <w:rsid w:val="002E038B"/>
    <w:rsid w:val="002E1998"/>
    <w:rsid w:val="002E2CB1"/>
    <w:rsid w:val="002E2F01"/>
    <w:rsid w:val="002E41A9"/>
    <w:rsid w:val="002E6D7C"/>
    <w:rsid w:val="002E7E37"/>
    <w:rsid w:val="002F0E89"/>
    <w:rsid w:val="002F208B"/>
    <w:rsid w:val="002F2993"/>
    <w:rsid w:val="002F52F7"/>
    <w:rsid w:val="002F5514"/>
    <w:rsid w:val="002F6F32"/>
    <w:rsid w:val="003004FA"/>
    <w:rsid w:val="00303CD4"/>
    <w:rsid w:val="0030578E"/>
    <w:rsid w:val="0030669E"/>
    <w:rsid w:val="0030795C"/>
    <w:rsid w:val="00313F81"/>
    <w:rsid w:val="00314BB5"/>
    <w:rsid w:val="0031785B"/>
    <w:rsid w:val="00320667"/>
    <w:rsid w:val="003233EA"/>
    <w:rsid w:val="00325A41"/>
    <w:rsid w:val="00327466"/>
    <w:rsid w:val="003300BD"/>
    <w:rsid w:val="00333BFF"/>
    <w:rsid w:val="003357D3"/>
    <w:rsid w:val="00336E8A"/>
    <w:rsid w:val="00337255"/>
    <w:rsid w:val="00337769"/>
    <w:rsid w:val="0033785B"/>
    <w:rsid w:val="0034210B"/>
    <w:rsid w:val="00342671"/>
    <w:rsid w:val="00342A22"/>
    <w:rsid w:val="00342B0C"/>
    <w:rsid w:val="00342E5C"/>
    <w:rsid w:val="00343C87"/>
    <w:rsid w:val="003450AC"/>
    <w:rsid w:val="00351CED"/>
    <w:rsid w:val="0035330E"/>
    <w:rsid w:val="00353DC5"/>
    <w:rsid w:val="003606B1"/>
    <w:rsid w:val="0036434E"/>
    <w:rsid w:val="00367754"/>
    <w:rsid w:val="003713D2"/>
    <w:rsid w:val="00375370"/>
    <w:rsid w:val="00380AA5"/>
    <w:rsid w:val="0038259F"/>
    <w:rsid w:val="00384233"/>
    <w:rsid w:val="003845DF"/>
    <w:rsid w:val="00386BA6"/>
    <w:rsid w:val="00387AAC"/>
    <w:rsid w:val="00391E39"/>
    <w:rsid w:val="003942F5"/>
    <w:rsid w:val="0039434E"/>
    <w:rsid w:val="00397A3B"/>
    <w:rsid w:val="003A0533"/>
    <w:rsid w:val="003A0A4F"/>
    <w:rsid w:val="003A5810"/>
    <w:rsid w:val="003A5F1D"/>
    <w:rsid w:val="003A67D8"/>
    <w:rsid w:val="003A68CB"/>
    <w:rsid w:val="003B3D1A"/>
    <w:rsid w:val="003B4928"/>
    <w:rsid w:val="003B551F"/>
    <w:rsid w:val="003B5C68"/>
    <w:rsid w:val="003C1731"/>
    <w:rsid w:val="003C17BB"/>
    <w:rsid w:val="003C27E2"/>
    <w:rsid w:val="003C3CC4"/>
    <w:rsid w:val="003C469B"/>
    <w:rsid w:val="003C6224"/>
    <w:rsid w:val="003D0D9C"/>
    <w:rsid w:val="003D1716"/>
    <w:rsid w:val="003D17FB"/>
    <w:rsid w:val="003D2652"/>
    <w:rsid w:val="003D2B5A"/>
    <w:rsid w:val="003D5D9E"/>
    <w:rsid w:val="003D70C7"/>
    <w:rsid w:val="003E0987"/>
    <w:rsid w:val="003E0E97"/>
    <w:rsid w:val="003E0F3F"/>
    <w:rsid w:val="003E14DC"/>
    <w:rsid w:val="003E19F9"/>
    <w:rsid w:val="003E1AC6"/>
    <w:rsid w:val="003E37B6"/>
    <w:rsid w:val="003E3CF0"/>
    <w:rsid w:val="003E4D00"/>
    <w:rsid w:val="003E7795"/>
    <w:rsid w:val="003F0176"/>
    <w:rsid w:val="003F0791"/>
    <w:rsid w:val="003F0DE2"/>
    <w:rsid w:val="003F1B03"/>
    <w:rsid w:val="003F422C"/>
    <w:rsid w:val="003F4615"/>
    <w:rsid w:val="003F4678"/>
    <w:rsid w:val="003F5B8F"/>
    <w:rsid w:val="003F6013"/>
    <w:rsid w:val="004003DB"/>
    <w:rsid w:val="00401788"/>
    <w:rsid w:val="00402F1C"/>
    <w:rsid w:val="0040514F"/>
    <w:rsid w:val="00407E7F"/>
    <w:rsid w:val="00410032"/>
    <w:rsid w:val="00411086"/>
    <w:rsid w:val="00411636"/>
    <w:rsid w:val="00411B7D"/>
    <w:rsid w:val="004133BD"/>
    <w:rsid w:val="00413623"/>
    <w:rsid w:val="00414086"/>
    <w:rsid w:val="00416267"/>
    <w:rsid w:val="00416788"/>
    <w:rsid w:val="0042039D"/>
    <w:rsid w:val="00421E99"/>
    <w:rsid w:val="004223ED"/>
    <w:rsid w:val="00424406"/>
    <w:rsid w:val="004252F4"/>
    <w:rsid w:val="00425C5C"/>
    <w:rsid w:val="004265BE"/>
    <w:rsid w:val="00431975"/>
    <w:rsid w:val="00433093"/>
    <w:rsid w:val="004339D6"/>
    <w:rsid w:val="00435303"/>
    <w:rsid w:val="0044217F"/>
    <w:rsid w:val="0044369F"/>
    <w:rsid w:val="00444B74"/>
    <w:rsid w:val="00447F86"/>
    <w:rsid w:val="00450AEF"/>
    <w:rsid w:val="0045454F"/>
    <w:rsid w:val="0045567D"/>
    <w:rsid w:val="004622D6"/>
    <w:rsid w:val="004624F7"/>
    <w:rsid w:val="00462C1E"/>
    <w:rsid w:val="004642D9"/>
    <w:rsid w:val="00466AF8"/>
    <w:rsid w:val="00467B74"/>
    <w:rsid w:val="00467CE7"/>
    <w:rsid w:val="0047130C"/>
    <w:rsid w:val="004753EA"/>
    <w:rsid w:val="0048437F"/>
    <w:rsid w:val="004847CD"/>
    <w:rsid w:val="00491F89"/>
    <w:rsid w:val="00495969"/>
    <w:rsid w:val="004968B7"/>
    <w:rsid w:val="00497959"/>
    <w:rsid w:val="004A0ED4"/>
    <w:rsid w:val="004A1736"/>
    <w:rsid w:val="004A1BC5"/>
    <w:rsid w:val="004A3278"/>
    <w:rsid w:val="004A4B45"/>
    <w:rsid w:val="004A58E5"/>
    <w:rsid w:val="004A6A7C"/>
    <w:rsid w:val="004A6D7F"/>
    <w:rsid w:val="004A7DA8"/>
    <w:rsid w:val="004B17FB"/>
    <w:rsid w:val="004B3359"/>
    <w:rsid w:val="004B38F6"/>
    <w:rsid w:val="004B64D8"/>
    <w:rsid w:val="004C26DA"/>
    <w:rsid w:val="004C2CBD"/>
    <w:rsid w:val="004C2D38"/>
    <w:rsid w:val="004C359D"/>
    <w:rsid w:val="004C47F5"/>
    <w:rsid w:val="004C6084"/>
    <w:rsid w:val="004C6C62"/>
    <w:rsid w:val="004D0DC8"/>
    <w:rsid w:val="004D1D34"/>
    <w:rsid w:val="004D1FE3"/>
    <w:rsid w:val="004D2834"/>
    <w:rsid w:val="004D3380"/>
    <w:rsid w:val="004D7430"/>
    <w:rsid w:val="004E06CD"/>
    <w:rsid w:val="004E0750"/>
    <w:rsid w:val="004E142F"/>
    <w:rsid w:val="004E169F"/>
    <w:rsid w:val="004E18F2"/>
    <w:rsid w:val="004E2765"/>
    <w:rsid w:val="004E38D4"/>
    <w:rsid w:val="004E5861"/>
    <w:rsid w:val="004E5EEB"/>
    <w:rsid w:val="004F16FA"/>
    <w:rsid w:val="004F36FE"/>
    <w:rsid w:val="004F6546"/>
    <w:rsid w:val="00504AE4"/>
    <w:rsid w:val="00505381"/>
    <w:rsid w:val="005062D4"/>
    <w:rsid w:val="0050706D"/>
    <w:rsid w:val="005071B9"/>
    <w:rsid w:val="00507D3A"/>
    <w:rsid w:val="00507DED"/>
    <w:rsid w:val="00510A99"/>
    <w:rsid w:val="00512BE7"/>
    <w:rsid w:val="005138A5"/>
    <w:rsid w:val="00517A40"/>
    <w:rsid w:val="00520281"/>
    <w:rsid w:val="00521C5A"/>
    <w:rsid w:val="00521CCB"/>
    <w:rsid w:val="005234AB"/>
    <w:rsid w:val="00524354"/>
    <w:rsid w:val="005265F9"/>
    <w:rsid w:val="005266C3"/>
    <w:rsid w:val="00527D0A"/>
    <w:rsid w:val="005316C5"/>
    <w:rsid w:val="00533DFB"/>
    <w:rsid w:val="00536075"/>
    <w:rsid w:val="00537ECB"/>
    <w:rsid w:val="005410C1"/>
    <w:rsid w:val="00544B18"/>
    <w:rsid w:val="005520BC"/>
    <w:rsid w:val="00552F86"/>
    <w:rsid w:val="005532C6"/>
    <w:rsid w:val="005559C1"/>
    <w:rsid w:val="0055601C"/>
    <w:rsid w:val="00562DF0"/>
    <w:rsid w:val="005634B4"/>
    <w:rsid w:val="0056463F"/>
    <w:rsid w:val="005646CD"/>
    <w:rsid w:val="0056489B"/>
    <w:rsid w:val="00566964"/>
    <w:rsid w:val="00570151"/>
    <w:rsid w:val="0057415D"/>
    <w:rsid w:val="005743DF"/>
    <w:rsid w:val="00574A3A"/>
    <w:rsid w:val="00582037"/>
    <w:rsid w:val="00582268"/>
    <w:rsid w:val="00583BF3"/>
    <w:rsid w:val="00584EA0"/>
    <w:rsid w:val="00585314"/>
    <w:rsid w:val="00585D96"/>
    <w:rsid w:val="00585FC6"/>
    <w:rsid w:val="00586756"/>
    <w:rsid w:val="00586A68"/>
    <w:rsid w:val="005915AE"/>
    <w:rsid w:val="0059331F"/>
    <w:rsid w:val="00593C4E"/>
    <w:rsid w:val="005943E4"/>
    <w:rsid w:val="00594996"/>
    <w:rsid w:val="00595909"/>
    <w:rsid w:val="005A094A"/>
    <w:rsid w:val="005A142A"/>
    <w:rsid w:val="005A22A5"/>
    <w:rsid w:val="005A647D"/>
    <w:rsid w:val="005B158F"/>
    <w:rsid w:val="005B1BD1"/>
    <w:rsid w:val="005B2791"/>
    <w:rsid w:val="005B3A1A"/>
    <w:rsid w:val="005B4808"/>
    <w:rsid w:val="005B5231"/>
    <w:rsid w:val="005B6306"/>
    <w:rsid w:val="005C317B"/>
    <w:rsid w:val="005C3BCC"/>
    <w:rsid w:val="005C3C53"/>
    <w:rsid w:val="005C3D26"/>
    <w:rsid w:val="005C76E3"/>
    <w:rsid w:val="005D1997"/>
    <w:rsid w:val="005D2781"/>
    <w:rsid w:val="005D32BE"/>
    <w:rsid w:val="005D65FE"/>
    <w:rsid w:val="005D7DCC"/>
    <w:rsid w:val="005E3C4D"/>
    <w:rsid w:val="005E3E4E"/>
    <w:rsid w:val="005F08D9"/>
    <w:rsid w:val="005F36C3"/>
    <w:rsid w:val="005F4740"/>
    <w:rsid w:val="005F56D4"/>
    <w:rsid w:val="005F59AA"/>
    <w:rsid w:val="0060327D"/>
    <w:rsid w:val="00603D3A"/>
    <w:rsid w:val="006047D8"/>
    <w:rsid w:val="00606ED1"/>
    <w:rsid w:val="0060777F"/>
    <w:rsid w:val="00607D8E"/>
    <w:rsid w:val="00610149"/>
    <w:rsid w:val="0061259C"/>
    <w:rsid w:val="00616063"/>
    <w:rsid w:val="00616A8F"/>
    <w:rsid w:val="0062006A"/>
    <w:rsid w:val="00620692"/>
    <w:rsid w:val="00621DAE"/>
    <w:rsid w:val="00622A8D"/>
    <w:rsid w:val="0062348C"/>
    <w:rsid w:val="006330DA"/>
    <w:rsid w:val="0063532A"/>
    <w:rsid w:val="006367D6"/>
    <w:rsid w:val="00640006"/>
    <w:rsid w:val="0064041E"/>
    <w:rsid w:val="00640B02"/>
    <w:rsid w:val="00644F41"/>
    <w:rsid w:val="006454C7"/>
    <w:rsid w:val="006458A1"/>
    <w:rsid w:val="0064638E"/>
    <w:rsid w:val="00647F38"/>
    <w:rsid w:val="00656CA9"/>
    <w:rsid w:val="00656D2E"/>
    <w:rsid w:val="0065754D"/>
    <w:rsid w:val="00662B82"/>
    <w:rsid w:val="00663A07"/>
    <w:rsid w:val="00663EB2"/>
    <w:rsid w:val="00664625"/>
    <w:rsid w:val="00664F81"/>
    <w:rsid w:val="00665B4F"/>
    <w:rsid w:val="00665F53"/>
    <w:rsid w:val="006666F0"/>
    <w:rsid w:val="006761D1"/>
    <w:rsid w:val="006818CB"/>
    <w:rsid w:val="00681DC4"/>
    <w:rsid w:val="00682690"/>
    <w:rsid w:val="00686747"/>
    <w:rsid w:val="00687FC3"/>
    <w:rsid w:val="006909B3"/>
    <w:rsid w:val="006910B9"/>
    <w:rsid w:val="00691B1E"/>
    <w:rsid w:val="00693751"/>
    <w:rsid w:val="00693793"/>
    <w:rsid w:val="00693A71"/>
    <w:rsid w:val="006A0D5B"/>
    <w:rsid w:val="006A261D"/>
    <w:rsid w:val="006A35DD"/>
    <w:rsid w:val="006A3CDA"/>
    <w:rsid w:val="006A3D01"/>
    <w:rsid w:val="006A7FC2"/>
    <w:rsid w:val="006B0B35"/>
    <w:rsid w:val="006B0C33"/>
    <w:rsid w:val="006B1240"/>
    <w:rsid w:val="006B1D9C"/>
    <w:rsid w:val="006B3A4B"/>
    <w:rsid w:val="006B4175"/>
    <w:rsid w:val="006B4500"/>
    <w:rsid w:val="006B6CB3"/>
    <w:rsid w:val="006B7C51"/>
    <w:rsid w:val="006C1340"/>
    <w:rsid w:val="006C1E76"/>
    <w:rsid w:val="006C1FDC"/>
    <w:rsid w:val="006C2813"/>
    <w:rsid w:val="006C2EEC"/>
    <w:rsid w:val="006C3EE5"/>
    <w:rsid w:val="006C3FCD"/>
    <w:rsid w:val="006C4497"/>
    <w:rsid w:val="006C5560"/>
    <w:rsid w:val="006C5BC4"/>
    <w:rsid w:val="006C643E"/>
    <w:rsid w:val="006D0E06"/>
    <w:rsid w:val="006D118B"/>
    <w:rsid w:val="006D2526"/>
    <w:rsid w:val="006D41CA"/>
    <w:rsid w:val="006D6392"/>
    <w:rsid w:val="006D7A2A"/>
    <w:rsid w:val="006E0022"/>
    <w:rsid w:val="006E281A"/>
    <w:rsid w:val="006E546F"/>
    <w:rsid w:val="006E5981"/>
    <w:rsid w:val="006E6195"/>
    <w:rsid w:val="006E777C"/>
    <w:rsid w:val="006E7EA8"/>
    <w:rsid w:val="006F0D69"/>
    <w:rsid w:val="006F169C"/>
    <w:rsid w:val="006F297E"/>
    <w:rsid w:val="006F50F5"/>
    <w:rsid w:val="006F5C6F"/>
    <w:rsid w:val="006F7CB3"/>
    <w:rsid w:val="007023B2"/>
    <w:rsid w:val="0070784B"/>
    <w:rsid w:val="00707B0F"/>
    <w:rsid w:val="00710AEE"/>
    <w:rsid w:val="00711370"/>
    <w:rsid w:val="00713ADF"/>
    <w:rsid w:val="00716958"/>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4B9"/>
    <w:rsid w:val="007467E3"/>
    <w:rsid w:val="007505C3"/>
    <w:rsid w:val="00751B97"/>
    <w:rsid w:val="00752D37"/>
    <w:rsid w:val="007531C4"/>
    <w:rsid w:val="00754945"/>
    <w:rsid w:val="00756E38"/>
    <w:rsid w:val="007577DB"/>
    <w:rsid w:val="00760E66"/>
    <w:rsid w:val="0076128D"/>
    <w:rsid w:val="00762818"/>
    <w:rsid w:val="00763211"/>
    <w:rsid w:val="007641A7"/>
    <w:rsid w:val="0076540B"/>
    <w:rsid w:val="00772BCA"/>
    <w:rsid w:val="0077668B"/>
    <w:rsid w:val="007776CE"/>
    <w:rsid w:val="00780046"/>
    <w:rsid w:val="00780A83"/>
    <w:rsid w:val="007819DD"/>
    <w:rsid w:val="00781D4D"/>
    <w:rsid w:val="00794B20"/>
    <w:rsid w:val="00796DE6"/>
    <w:rsid w:val="007A049D"/>
    <w:rsid w:val="007A63DD"/>
    <w:rsid w:val="007B03B8"/>
    <w:rsid w:val="007B20FE"/>
    <w:rsid w:val="007B3904"/>
    <w:rsid w:val="007B4C52"/>
    <w:rsid w:val="007B5FB6"/>
    <w:rsid w:val="007B730B"/>
    <w:rsid w:val="007C0D01"/>
    <w:rsid w:val="007C13F1"/>
    <w:rsid w:val="007C5286"/>
    <w:rsid w:val="007C5B4F"/>
    <w:rsid w:val="007C5FAE"/>
    <w:rsid w:val="007C68A4"/>
    <w:rsid w:val="007D0359"/>
    <w:rsid w:val="007D1CC1"/>
    <w:rsid w:val="007E6C0C"/>
    <w:rsid w:val="007F1006"/>
    <w:rsid w:val="007F6088"/>
    <w:rsid w:val="007F7683"/>
    <w:rsid w:val="007F7F9B"/>
    <w:rsid w:val="0080000F"/>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499B"/>
    <w:rsid w:val="008254F9"/>
    <w:rsid w:val="00825F78"/>
    <w:rsid w:val="00826D89"/>
    <w:rsid w:val="0082700C"/>
    <w:rsid w:val="00831855"/>
    <w:rsid w:val="008326EB"/>
    <w:rsid w:val="008327AB"/>
    <w:rsid w:val="00834459"/>
    <w:rsid w:val="00835736"/>
    <w:rsid w:val="00835D56"/>
    <w:rsid w:val="00837C66"/>
    <w:rsid w:val="008520E2"/>
    <w:rsid w:val="00853537"/>
    <w:rsid w:val="008603FF"/>
    <w:rsid w:val="008629B7"/>
    <w:rsid w:val="00862D9B"/>
    <w:rsid w:val="0086323A"/>
    <w:rsid w:val="00864F9E"/>
    <w:rsid w:val="00867C7F"/>
    <w:rsid w:val="00867FD1"/>
    <w:rsid w:val="0087248E"/>
    <w:rsid w:val="00872DBB"/>
    <w:rsid w:val="00873EEA"/>
    <w:rsid w:val="00875B30"/>
    <w:rsid w:val="00876962"/>
    <w:rsid w:val="00880FAF"/>
    <w:rsid w:val="008877E5"/>
    <w:rsid w:val="0088797B"/>
    <w:rsid w:val="00896871"/>
    <w:rsid w:val="008969F7"/>
    <w:rsid w:val="00896BFF"/>
    <w:rsid w:val="008A1F47"/>
    <w:rsid w:val="008A3581"/>
    <w:rsid w:val="008A3F11"/>
    <w:rsid w:val="008A6F64"/>
    <w:rsid w:val="008A7CA5"/>
    <w:rsid w:val="008B0557"/>
    <w:rsid w:val="008B4110"/>
    <w:rsid w:val="008B41E5"/>
    <w:rsid w:val="008B4594"/>
    <w:rsid w:val="008B513E"/>
    <w:rsid w:val="008B591A"/>
    <w:rsid w:val="008B6BA7"/>
    <w:rsid w:val="008C20AC"/>
    <w:rsid w:val="008C3C5D"/>
    <w:rsid w:val="008D1C45"/>
    <w:rsid w:val="008D1DE2"/>
    <w:rsid w:val="008D5EA6"/>
    <w:rsid w:val="008D6976"/>
    <w:rsid w:val="008D7966"/>
    <w:rsid w:val="008E0BDC"/>
    <w:rsid w:val="008E2748"/>
    <w:rsid w:val="008E37C3"/>
    <w:rsid w:val="008E6310"/>
    <w:rsid w:val="008E73A5"/>
    <w:rsid w:val="008E76B2"/>
    <w:rsid w:val="008F22DF"/>
    <w:rsid w:val="008F2DE4"/>
    <w:rsid w:val="008F348D"/>
    <w:rsid w:val="008F5915"/>
    <w:rsid w:val="008F68E6"/>
    <w:rsid w:val="008F7ED4"/>
    <w:rsid w:val="009042B2"/>
    <w:rsid w:val="00905EE7"/>
    <w:rsid w:val="00907414"/>
    <w:rsid w:val="00907D31"/>
    <w:rsid w:val="009148B4"/>
    <w:rsid w:val="009173AC"/>
    <w:rsid w:val="00917DA2"/>
    <w:rsid w:val="009205AF"/>
    <w:rsid w:val="00925993"/>
    <w:rsid w:val="00930132"/>
    <w:rsid w:val="00930D4E"/>
    <w:rsid w:val="00932857"/>
    <w:rsid w:val="009363FF"/>
    <w:rsid w:val="0093688A"/>
    <w:rsid w:val="00943667"/>
    <w:rsid w:val="00944B83"/>
    <w:rsid w:val="00944E01"/>
    <w:rsid w:val="00950CB7"/>
    <w:rsid w:val="00951C2A"/>
    <w:rsid w:val="00951EA7"/>
    <w:rsid w:val="009527AE"/>
    <w:rsid w:val="0095289A"/>
    <w:rsid w:val="0095480D"/>
    <w:rsid w:val="00957C0B"/>
    <w:rsid w:val="00962401"/>
    <w:rsid w:val="009643B7"/>
    <w:rsid w:val="0096683E"/>
    <w:rsid w:val="009673AA"/>
    <w:rsid w:val="009720E5"/>
    <w:rsid w:val="0097559E"/>
    <w:rsid w:val="00977BFB"/>
    <w:rsid w:val="009805D1"/>
    <w:rsid w:val="00983A0C"/>
    <w:rsid w:val="00983D28"/>
    <w:rsid w:val="0098562A"/>
    <w:rsid w:val="00985941"/>
    <w:rsid w:val="009875F1"/>
    <w:rsid w:val="009939C2"/>
    <w:rsid w:val="009949CF"/>
    <w:rsid w:val="009951D1"/>
    <w:rsid w:val="009967DA"/>
    <w:rsid w:val="00996A28"/>
    <w:rsid w:val="009A1343"/>
    <w:rsid w:val="009A244B"/>
    <w:rsid w:val="009A293F"/>
    <w:rsid w:val="009A29FA"/>
    <w:rsid w:val="009A3301"/>
    <w:rsid w:val="009A4CF8"/>
    <w:rsid w:val="009A7E7C"/>
    <w:rsid w:val="009B08C9"/>
    <w:rsid w:val="009B2BD5"/>
    <w:rsid w:val="009B415F"/>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A002B2"/>
    <w:rsid w:val="00A0390D"/>
    <w:rsid w:val="00A040B2"/>
    <w:rsid w:val="00A05877"/>
    <w:rsid w:val="00A05B14"/>
    <w:rsid w:val="00A05CB3"/>
    <w:rsid w:val="00A10C8D"/>
    <w:rsid w:val="00A11010"/>
    <w:rsid w:val="00A121BE"/>
    <w:rsid w:val="00A124BD"/>
    <w:rsid w:val="00A1740D"/>
    <w:rsid w:val="00A2102A"/>
    <w:rsid w:val="00A21250"/>
    <w:rsid w:val="00A237CC"/>
    <w:rsid w:val="00A239E9"/>
    <w:rsid w:val="00A243F5"/>
    <w:rsid w:val="00A24E7E"/>
    <w:rsid w:val="00A263AC"/>
    <w:rsid w:val="00A26FDC"/>
    <w:rsid w:val="00A27DED"/>
    <w:rsid w:val="00A305C0"/>
    <w:rsid w:val="00A30B2F"/>
    <w:rsid w:val="00A30CA2"/>
    <w:rsid w:val="00A311EC"/>
    <w:rsid w:val="00A31F47"/>
    <w:rsid w:val="00A3271C"/>
    <w:rsid w:val="00A3563F"/>
    <w:rsid w:val="00A35EB9"/>
    <w:rsid w:val="00A37834"/>
    <w:rsid w:val="00A379D0"/>
    <w:rsid w:val="00A406C2"/>
    <w:rsid w:val="00A40702"/>
    <w:rsid w:val="00A40E79"/>
    <w:rsid w:val="00A41D2C"/>
    <w:rsid w:val="00A43122"/>
    <w:rsid w:val="00A438DA"/>
    <w:rsid w:val="00A45CA9"/>
    <w:rsid w:val="00A50F2A"/>
    <w:rsid w:val="00A549C7"/>
    <w:rsid w:val="00A54B77"/>
    <w:rsid w:val="00A554CC"/>
    <w:rsid w:val="00A554D4"/>
    <w:rsid w:val="00A57BEE"/>
    <w:rsid w:val="00A60798"/>
    <w:rsid w:val="00A608A2"/>
    <w:rsid w:val="00A61580"/>
    <w:rsid w:val="00A62057"/>
    <w:rsid w:val="00A62BBD"/>
    <w:rsid w:val="00A6586C"/>
    <w:rsid w:val="00A6719F"/>
    <w:rsid w:val="00A67464"/>
    <w:rsid w:val="00A72917"/>
    <w:rsid w:val="00A732C5"/>
    <w:rsid w:val="00A738DB"/>
    <w:rsid w:val="00A752C3"/>
    <w:rsid w:val="00A76331"/>
    <w:rsid w:val="00A7654D"/>
    <w:rsid w:val="00A76AD3"/>
    <w:rsid w:val="00A778EF"/>
    <w:rsid w:val="00A77C9F"/>
    <w:rsid w:val="00A80C22"/>
    <w:rsid w:val="00A8239E"/>
    <w:rsid w:val="00A82C5F"/>
    <w:rsid w:val="00A857C9"/>
    <w:rsid w:val="00A866B8"/>
    <w:rsid w:val="00A91389"/>
    <w:rsid w:val="00A9727D"/>
    <w:rsid w:val="00A97298"/>
    <w:rsid w:val="00A97797"/>
    <w:rsid w:val="00A97EE7"/>
    <w:rsid w:val="00AA1E5A"/>
    <w:rsid w:val="00AA5D4F"/>
    <w:rsid w:val="00AA7A50"/>
    <w:rsid w:val="00AB0BBD"/>
    <w:rsid w:val="00AB0D0F"/>
    <w:rsid w:val="00AB3114"/>
    <w:rsid w:val="00AB3259"/>
    <w:rsid w:val="00AB396A"/>
    <w:rsid w:val="00AB3C56"/>
    <w:rsid w:val="00AB3E03"/>
    <w:rsid w:val="00AB6449"/>
    <w:rsid w:val="00AB64A7"/>
    <w:rsid w:val="00AC04BB"/>
    <w:rsid w:val="00AC2041"/>
    <w:rsid w:val="00AC2C84"/>
    <w:rsid w:val="00AC4303"/>
    <w:rsid w:val="00AC4B47"/>
    <w:rsid w:val="00AC4CF0"/>
    <w:rsid w:val="00AC6350"/>
    <w:rsid w:val="00AC75DC"/>
    <w:rsid w:val="00AD10B5"/>
    <w:rsid w:val="00AD2F37"/>
    <w:rsid w:val="00AD374F"/>
    <w:rsid w:val="00AD3B5E"/>
    <w:rsid w:val="00AD54DB"/>
    <w:rsid w:val="00AD5C27"/>
    <w:rsid w:val="00AD64EA"/>
    <w:rsid w:val="00AE2702"/>
    <w:rsid w:val="00AE4737"/>
    <w:rsid w:val="00AE5580"/>
    <w:rsid w:val="00AE5EDF"/>
    <w:rsid w:val="00AE6670"/>
    <w:rsid w:val="00AE7410"/>
    <w:rsid w:val="00AE7D1E"/>
    <w:rsid w:val="00AF1121"/>
    <w:rsid w:val="00AF72A3"/>
    <w:rsid w:val="00AF74B0"/>
    <w:rsid w:val="00B00592"/>
    <w:rsid w:val="00B014AA"/>
    <w:rsid w:val="00B0201E"/>
    <w:rsid w:val="00B02197"/>
    <w:rsid w:val="00B03FC2"/>
    <w:rsid w:val="00B044AE"/>
    <w:rsid w:val="00B0751F"/>
    <w:rsid w:val="00B12ADD"/>
    <w:rsid w:val="00B146CB"/>
    <w:rsid w:val="00B16C4D"/>
    <w:rsid w:val="00B22EE5"/>
    <w:rsid w:val="00B232F6"/>
    <w:rsid w:val="00B23442"/>
    <w:rsid w:val="00B26D2F"/>
    <w:rsid w:val="00B3112C"/>
    <w:rsid w:val="00B33686"/>
    <w:rsid w:val="00B36484"/>
    <w:rsid w:val="00B37CD6"/>
    <w:rsid w:val="00B41C57"/>
    <w:rsid w:val="00B42F1B"/>
    <w:rsid w:val="00B46E65"/>
    <w:rsid w:val="00B4759D"/>
    <w:rsid w:val="00B50CF8"/>
    <w:rsid w:val="00B51AE2"/>
    <w:rsid w:val="00B52143"/>
    <w:rsid w:val="00B543B5"/>
    <w:rsid w:val="00B57046"/>
    <w:rsid w:val="00B5778A"/>
    <w:rsid w:val="00B60932"/>
    <w:rsid w:val="00B6203C"/>
    <w:rsid w:val="00B62237"/>
    <w:rsid w:val="00B62340"/>
    <w:rsid w:val="00B64364"/>
    <w:rsid w:val="00B67DE1"/>
    <w:rsid w:val="00B70F22"/>
    <w:rsid w:val="00B71030"/>
    <w:rsid w:val="00B715FF"/>
    <w:rsid w:val="00B72F90"/>
    <w:rsid w:val="00B761FF"/>
    <w:rsid w:val="00B81FB3"/>
    <w:rsid w:val="00B83EFB"/>
    <w:rsid w:val="00B846A2"/>
    <w:rsid w:val="00B848DC"/>
    <w:rsid w:val="00B90471"/>
    <w:rsid w:val="00B90D3D"/>
    <w:rsid w:val="00B920FA"/>
    <w:rsid w:val="00B93D2E"/>
    <w:rsid w:val="00B94743"/>
    <w:rsid w:val="00B949E0"/>
    <w:rsid w:val="00B94A36"/>
    <w:rsid w:val="00BA0A53"/>
    <w:rsid w:val="00BA28F9"/>
    <w:rsid w:val="00BA2B7C"/>
    <w:rsid w:val="00BA2D5F"/>
    <w:rsid w:val="00BA2F61"/>
    <w:rsid w:val="00BA32F1"/>
    <w:rsid w:val="00BA6AD7"/>
    <w:rsid w:val="00BA7EF2"/>
    <w:rsid w:val="00BB03F1"/>
    <w:rsid w:val="00BB1DCF"/>
    <w:rsid w:val="00BB3E60"/>
    <w:rsid w:val="00BB4210"/>
    <w:rsid w:val="00BB425C"/>
    <w:rsid w:val="00BB7373"/>
    <w:rsid w:val="00BC05DE"/>
    <w:rsid w:val="00BC2500"/>
    <w:rsid w:val="00BC2757"/>
    <w:rsid w:val="00BC2986"/>
    <w:rsid w:val="00BC4040"/>
    <w:rsid w:val="00BC4754"/>
    <w:rsid w:val="00BC488E"/>
    <w:rsid w:val="00BC4E55"/>
    <w:rsid w:val="00BD2982"/>
    <w:rsid w:val="00BD7AD8"/>
    <w:rsid w:val="00BE29D9"/>
    <w:rsid w:val="00BE2A20"/>
    <w:rsid w:val="00BE2DF2"/>
    <w:rsid w:val="00BE55DC"/>
    <w:rsid w:val="00BE5DF1"/>
    <w:rsid w:val="00BE6AD3"/>
    <w:rsid w:val="00BF4602"/>
    <w:rsid w:val="00BF5F0E"/>
    <w:rsid w:val="00BF6B6C"/>
    <w:rsid w:val="00BF6D6A"/>
    <w:rsid w:val="00C00A73"/>
    <w:rsid w:val="00C0177A"/>
    <w:rsid w:val="00C02412"/>
    <w:rsid w:val="00C02EA8"/>
    <w:rsid w:val="00C05576"/>
    <w:rsid w:val="00C05C65"/>
    <w:rsid w:val="00C064C8"/>
    <w:rsid w:val="00C10D9D"/>
    <w:rsid w:val="00C115C2"/>
    <w:rsid w:val="00C11AB0"/>
    <w:rsid w:val="00C1216D"/>
    <w:rsid w:val="00C1257C"/>
    <w:rsid w:val="00C127FA"/>
    <w:rsid w:val="00C15DB5"/>
    <w:rsid w:val="00C16318"/>
    <w:rsid w:val="00C1659D"/>
    <w:rsid w:val="00C2062C"/>
    <w:rsid w:val="00C207DA"/>
    <w:rsid w:val="00C213C2"/>
    <w:rsid w:val="00C217DF"/>
    <w:rsid w:val="00C227EC"/>
    <w:rsid w:val="00C238D8"/>
    <w:rsid w:val="00C24FE9"/>
    <w:rsid w:val="00C263F4"/>
    <w:rsid w:val="00C30F9C"/>
    <w:rsid w:val="00C31329"/>
    <w:rsid w:val="00C31441"/>
    <w:rsid w:val="00C328CC"/>
    <w:rsid w:val="00C33215"/>
    <w:rsid w:val="00C34E35"/>
    <w:rsid w:val="00C409A5"/>
    <w:rsid w:val="00C40B14"/>
    <w:rsid w:val="00C45B5E"/>
    <w:rsid w:val="00C46294"/>
    <w:rsid w:val="00C46F97"/>
    <w:rsid w:val="00C471C4"/>
    <w:rsid w:val="00C50FF3"/>
    <w:rsid w:val="00C51F57"/>
    <w:rsid w:val="00C5647F"/>
    <w:rsid w:val="00C56A46"/>
    <w:rsid w:val="00C577B6"/>
    <w:rsid w:val="00C57E87"/>
    <w:rsid w:val="00C646A8"/>
    <w:rsid w:val="00C6547C"/>
    <w:rsid w:val="00C6566B"/>
    <w:rsid w:val="00C66147"/>
    <w:rsid w:val="00C663C0"/>
    <w:rsid w:val="00C671BA"/>
    <w:rsid w:val="00C72800"/>
    <w:rsid w:val="00C74735"/>
    <w:rsid w:val="00C7645F"/>
    <w:rsid w:val="00C76B8E"/>
    <w:rsid w:val="00C80B2D"/>
    <w:rsid w:val="00C80DDE"/>
    <w:rsid w:val="00C8199C"/>
    <w:rsid w:val="00C840D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7572"/>
    <w:rsid w:val="00CA7F74"/>
    <w:rsid w:val="00CB0C32"/>
    <w:rsid w:val="00CB1248"/>
    <w:rsid w:val="00CB16D2"/>
    <w:rsid w:val="00CB1DFC"/>
    <w:rsid w:val="00CB2D65"/>
    <w:rsid w:val="00CB6246"/>
    <w:rsid w:val="00CC0759"/>
    <w:rsid w:val="00CC3160"/>
    <w:rsid w:val="00CC6953"/>
    <w:rsid w:val="00CD2A69"/>
    <w:rsid w:val="00CD2DBF"/>
    <w:rsid w:val="00CD4E24"/>
    <w:rsid w:val="00CD6207"/>
    <w:rsid w:val="00CD72A6"/>
    <w:rsid w:val="00CE1AA9"/>
    <w:rsid w:val="00CE39B8"/>
    <w:rsid w:val="00CE4A83"/>
    <w:rsid w:val="00CE4BBF"/>
    <w:rsid w:val="00CE525E"/>
    <w:rsid w:val="00CF1591"/>
    <w:rsid w:val="00CF1689"/>
    <w:rsid w:val="00CF4344"/>
    <w:rsid w:val="00CF5164"/>
    <w:rsid w:val="00CF55E6"/>
    <w:rsid w:val="00CF5B88"/>
    <w:rsid w:val="00CF607F"/>
    <w:rsid w:val="00CF72D7"/>
    <w:rsid w:val="00D00689"/>
    <w:rsid w:val="00D014A6"/>
    <w:rsid w:val="00D015A4"/>
    <w:rsid w:val="00D02F69"/>
    <w:rsid w:val="00D033FB"/>
    <w:rsid w:val="00D044FB"/>
    <w:rsid w:val="00D108BF"/>
    <w:rsid w:val="00D1092B"/>
    <w:rsid w:val="00D11DB8"/>
    <w:rsid w:val="00D1423F"/>
    <w:rsid w:val="00D167D0"/>
    <w:rsid w:val="00D177A0"/>
    <w:rsid w:val="00D20092"/>
    <w:rsid w:val="00D2293A"/>
    <w:rsid w:val="00D22E65"/>
    <w:rsid w:val="00D22EAF"/>
    <w:rsid w:val="00D2430E"/>
    <w:rsid w:val="00D251B7"/>
    <w:rsid w:val="00D2717B"/>
    <w:rsid w:val="00D3078B"/>
    <w:rsid w:val="00D3118E"/>
    <w:rsid w:val="00D32E8F"/>
    <w:rsid w:val="00D34BC5"/>
    <w:rsid w:val="00D36BA1"/>
    <w:rsid w:val="00D36C76"/>
    <w:rsid w:val="00D37F07"/>
    <w:rsid w:val="00D41BB8"/>
    <w:rsid w:val="00D444E3"/>
    <w:rsid w:val="00D507A3"/>
    <w:rsid w:val="00D50850"/>
    <w:rsid w:val="00D52AFA"/>
    <w:rsid w:val="00D54285"/>
    <w:rsid w:val="00D5566B"/>
    <w:rsid w:val="00D6102D"/>
    <w:rsid w:val="00D63381"/>
    <w:rsid w:val="00D643F8"/>
    <w:rsid w:val="00D67892"/>
    <w:rsid w:val="00D7119E"/>
    <w:rsid w:val="00D71BF6"/>
    <w:rsid w:val="00D744A5"/>
    <w:rsid w:val="00D7590F"/>
    <w:rsid w:val="00D75ED8"/>
    <w:rsid w:val="00D85656"/>
    <w:rsid w:val="00D8730A"/>
    <w:rsid w:val="00DA0143"/>
    <w:rsid w:val="00DA0378"/>
    <w:rsid w:val="00DA0EA5"/>
    <w:rsid w:val="00DA1664"/>
    <w:rsid w:val="00DA258B"/>
    <w:rsid w:val="00DA33AC"/>
    <w:rsid w:val="00DA4D73"/>
    <w:rsid w:val="00DA6DC0"/>
    <w:rsid w:val="00DB13D3"/>
    <w:rsid w:val="00DB62E8"/>
    <w:rsid w:val="00DB65A3"/>
    <w:rsid w:val="00DB78FC"/>
    <w:rsid w:val="00DB7E4B"/>
    <w:rsid w:val="00DC0F37"/>
    <w:rsid w:val="00DC18AE"/>
    <w:rsid w:val="00DC57CD"/>
    <w:rsid w:val="00DC58F4"/>
    <w:rsid w:val="00DC5BFB"/>
    <w:rsid w:val="00DC6912"/>
    <w:rsid w:val="00DD242E"/>
    <w:rsid w:val="00DD3EA6"/>
    <w:rsid w:val="00DD4258"/>
    <w:rsid w:val="00DD542A"/>
    <w:rsid w:val="00DD588C"/>
    <w:rsid w:val="00DD5CF9"/>
    <w:rsid w:val="00DD641C"/>
    <w:rsid w:val="00DE0022"/>
    <w:rsid w:val="00DE08B3"/>
    <w:rsid w:val="00DE0A9C"/>
    <w:rsid w:val="00DE1D8B"/>
    <w:rsid w:val="00DE251A"/>
    <w:rsid w:val="00DE268B"/>
    <w:rsid w:val="00DE29A8"/>
    <w:rsid w:val="00DE2C1D"/>
    <w:rsid w:val="00DE4533"/>
    <w:rsid w:val="00DE49E1"/>
    <w:rsid w:val="00DE596C"/>
    <w:rsid w:val="00DE7206"/>
    <w:rsid w:val="00DF0CB9"/>
    <w:rsid w:val="00DF172C"/>
    <w:rsid w:val="00DF5286"/>
    <w:rsid w:val="00DF571E"/>
    <w:rsid w:val="00DF698D"/>
    <w:rsid w:val="00DF7FFC"/>
    <w:rsid w:val="00E01D1F"/>
    <w:rsid w:val="00E055E6"/>
    <w:rsid w:val="00E05B3F"/>
    <w:rsid w:val="00E06A0A"/>
    <w:rsid w:val="00E06A9D"/>
    <w:rsid w:val="00E07146"/>
    <w:rsid w:val="00E0783E"/>
    <w:rsid w:val="00E145F3"/>
    <w:rsid w:val="00E15F80"/>
    <w:rsid w:val="00E236F8"/>
    <w:rsid w:val="00E23775"/>
    <w:rsid w:val="00E238C6"/>
    <w:rsid w:val="00E26DB0"/>
    <w:rsid w:val="00E277FE"/>
    <w:rsid w:val="00E315FC"/>
    <w:rsid w:val="00E352A5"/>
    <w:rsid w:val="00E35E2E"/>
    <w:rsid w:val="00E364A7"/>
    <w:rsid w:val="00E36B78"/>
    <w:rsid w:val="00E36F5D"/>
    <w:rsid w:val="00E40C21"/>
    <w:rsid w:val="00E40DD3"/>
    <w:rsid w:val="00E410F8"/>
    <w:rsid w:val="00E41313"/>
    <w:rsid w:val="00E42FFF"/>
    <w:rsid w:val="00E433F1"/>
    <w:rsid w:val="00E43BF5"/>
    <w:rsid w:val="00E442CC"/>
    <w:rsid w:val="00E46236"/>
    <w:rsid w:val="00E47469"/>
    <w:rsid w:val="00E570B7"/>
    <w:rsid w:val="00E57122"/>
    <w:rsid w:val="00E573AC"/>
    <w:rsid w:val="00E579E2"/>
    <w:rsid w:val="00E6120F"/>
    <w:rsid w:val="00E63092"/>
    <w:rsid w:val="00E6368F"/>
    <w:rsid w:val="00E63D5C"/>
    <w:rsid w:val="00E65AC2"/>
    <w:rsid w:val="00E66116"/>
    <w:rsid w:val="00E74653"/>
    <w:rsid w:val="00E7489D"/>
    <w:rsid w:val="00E753E2"/>
    <w:rsid w:val="00E7548B"/>
    <w:rsid w:val="00E75C04"/>
    <w:rsid w:val="00E768ED"/>
    <w:rsid w:val="00E76C1B"/>
    <w:rsid w:val="00E7711C"/>
    <w:rsid w:val="00E773FF"/>
    <w:rsid w:val="00E77A3D"/>
    <w:rsid w:val="00E80627"/>
    <w:rsid w:val="00E817BE"/>
    <w:rsid w:val="00E82472"/>
    <w:rsid w:val="00E956CF"/>
    <w:rsid w:val="00E957A3"/>
    <w:rsid w:val="00EA114E"/>
    <w:rsid w:val="00EA1341"/>
    <w:rsid w:val="00EA187E"/>
    <w:rsid w:val="00EA1B2E"/>
    <w:rsid w:val="00EA1C66"/>
    <w:rsid w:val="00EA73F8"/>
    <w:rsid w:val="00EB4D1D"/>
    <w:rsid w:val="00EC21BE"/>
    <w:rsid w:val="00EC32B0"/>
    <w:rsid w:val="00EC3938"/>
    <w:rsid w:val="00EC4D13"/>
    <w:rsid w:val="00EC4F17"/>
    <w:rsid w:val="00EC643A"/>
    <w:rsid w:val="00EC6B5C"/>
    <w:rsid w:val="00EC71D8"/>
    <w:rsid w:val="00ED244D"/>
    <w:rsid w:val="00ED7ED8"/>
    <w:rsid w:val="00EE0E86"/>
    <w:rsid w:val="00EE36E8"/>
    <w:rsid w:val="00EE49E7"/>
    <w:rsid w:val="00EE4A4F"/>
    <w:rsid w:val="00EE54B9"/>
    <w:rsid w:val="00EE5707"/>
    <w:rsid w:val="00EE5A67"/>
    <w:rsid w:val="00EE6A34"/>
    <w:rsid w:val="00EF11B5"/>
    <w:rsid w:val="00EF4E2A"/>
    <w:rsid w:val="00EF53BF"/>
    <w:rsid w:val="00EF5E63"/>
    <w:rsid w:val="00EF7E9B"/>
    <w:rsid w:val="00F0134F"/>
    <w:rsid w:val="00F0366B"/>
    <w:rsid w:val="00F04440"/>
    <w:rsid w:val="00F0495B"/>
    <w:rsid w:val="00F05DDD"/>
    <w:rsid w:val="00F07DC3"/>
    <w:rsid w:val="00F07E01"/>
    <w:rsid w:val="00F1198E"/>
    <w:rsid w:val="00F124B7"/>
    <w:rsid w:val="00F12B0C"/>
    <w:rsid w:val="00F12D52"/>
    <w:rsid w:val="00F13AC6"/>
    <w:rsid w:val="00F14231"/>
    <w:rsid w:val="00F14EA5"/>
    <w:rsid w:val="00F15CD5"/>
    <w:rsid w:val="00F16059"/>
    <w:rsid w:val="00F16393"/>
    <w:rsid w:val="00F17C14"/>
    <w:rsid w:val="00F20C42"/>
    <w:rsid w:val="00F210BE"/>
    <w:rsid w:val="00F2533F"/>
    <w:rsid w:val="00F30EEE"/>
    <w:rsid w:val="00F3419C"/>
    <w:rsid w:val="00F3483C"/>
    <w:rsid w:val="00F348CF"/>
    <w:rsid w:val="00F35E47"/>
    <w:rsid w:val="00F364CB"/>
    <w:rsid w:val="00F36D7A"/>
    <w:rsid w:val="00F37592"/>
    <w:rsid w:val="00F400A4"/>
    <w:rsid w:val="00F400EF"/>
    <w:rsid w:val="00F41EF2"/>
    <w:rsid w:val="00F42218"/>
    <w:rsid w:val="00F42D34"/>
    <w:rsid w:val="00F43D14"/>
    <w:rsid w:val="00F45ABD"/>
    <w:rsid w:val="00F46705"/>
    <w:rsid w:val="00F46CFF"/>
    <w:rsid w:val="00F47F82"/>
    <w:rsid w:val="00F50457"/>
    <w:rsid w:val="00F515E6"/>
    <w:rsid w:val="00F52BFF"/>
    <w:rsid w:val="00F538A1"/>
    <w:rsid w:val="00F53E64"/>
    <w:rsid w:val="00F540B3"/>
    <w:rsid w:val="00F545EB"/>
    <w:rsid w:val="00F54AFE"/>
    <w:rsid w:val="00F56218"/>
    <w:rsid w:val="00F56615"/>
    <w:rsid w:val="00F601E2"/>
    <w:rsid w:val="00F61373"/>
    <w:rsid w:val="00F63AE3"/>
    <w:rsid w:val="00F673DE"/>
    <w:rsid w:val="00F676E2"/>
    <w:rsid w:val="00F71556"/>
    <w:rsid w:val="00F72E68"/>
    <w:rsid w:val="00F73845"/>
    <w:rsid w:val="00F76366"/>
    <w:rsid w:val="00F82439"/>
    <w:rsid w:val="00F834B3"/>
    <w:rsid w:val="00F85300"/>
    <w:rsid w:val="00F86761"/>
    <w:rsid w:val="00F87AFD"/>
    <w:rsid w:val="00F90B8D"/>
    <w:rsid w:val="00F92885"/>
    <w:rsid w:val="00F93B56"/>
    <w:rsid w:val="00F95BEA"/>
    <w:rsid w:val="00F96123"/>
    <w:rsid w:val="00F967D7"/>
    <w:rsid w:val="00FA03A5"/>
    <w:rsid w:val="00FA1B12"/>
    <w:rsid w:val="00FA1ED8"/>
    <w:rsid w:val="00FB0353"/>
    <w:rsid w:val="00FB49DA"/>
    <w:rsid w:val="00FB5748"/>
    <w:rsid w:val="00FB5DAB"/>
    <w:rsid w:val="00FB67B6"/>
    <w:rsid w:val="00FB6ACA"/>
    <w:rsid w:val="00FB77F3"/>
    <w:rsid w:val="00FC2C83"/>
    <w:rsid w:val="00FC3883"/>
    <w:rsid w:val="00FC3E07"/>
    <w:rsid w:val="00FC4E17"/>
    <w:rsid w:val="00FC6061"/>
    <w:rsid w:val="00FC7517"/>
    <w:rsid w:val="00FD0EEF"/>
    <w:rsid w:val="00FD1232"/>
    <w:rsid w:val="00FD2908"/>
    <w:rsid w:val="00FD3A12"/>
    <w:rsid w:val="00FD3AC0"/>
    <w:rsid w:val="00FD59F8"/>
    <w:rsid w:val="00FD662D"/>
    <w:rsid w:val="00FD766A"/>
    <w:rsid w:val="00FE0D43"/>
    <w:rsid w:val="00FE13CD"/>
    <w:rsid w:val="00FE19A6"/>
    <w:rsid w:val="00FE1E79"/>
    <w:rsid w:val="00FE5BFC"/>
    <w:rsid w:val="00FE77B6"/>
    <w:rsid w:val="00FF07F4"/>
    <w:rsid w:val="00FF2332"/>
    <w:rsid w:val="00FF302B"/>
    <w:rsid w:val="00FF385D"/>
    <w:rsid w:val="00FF4975"/>
    <w:rsid w:val="00FF4A25"/>
    <w:rsid w:val="00FF4D6B"/>
    <w:rsid w:val="00FF52CA"/>
    <w:rsid w:val="00FF5897"/>
    <w:rsid w:val="00FF5FE1"/>
    <w:rsid w:val="00FF65EC"/>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A3"/>
  </w:style>
  <w:style w:type="paragraph" w:styleId="Heading1">
    <w:name w:val="heading 1"/>
    <w:basedOn w:val="Normal"/>
    <w:next w:val="Normal"/>
    <w:link w:val="Heading1Char"/>
    <w:uiPriority w:val="9"/>
    <w:qFormat/>
    <w:rsid w:val="007467E3"/>
    <w:pPr>
      <w:keepNext/>
      <w:keepLines/>
      <w:spacing w:before="0" w:after="360"/>
      <w:contextualSpacing/>
      <w:outlineLvl w:val="0"/>
    </w:pPr>
    <w:rPr>
      <w:rFonts w:asciiTheme="majorHAnsi" w:hAnsiTheme="majorHAnsi"/>
      <w:sz w:val="52"/>
      <w:szCs w:val="44"/>
    </w:rPr>
  </w:style>
  <w:style w:type="paragraph" w:styleId="Heading2">
    <w:name w:val="heading 2"/>
    <w:basedOn w:val="Normal"/>
    <w:next w:val="Normal"/>
    <w:link w:val="Heading2Char"/>
    <w:autoRedefine/>
    <w:uiPriority w:val="9"/>
    <w:qFormat/>
    <w:rsid w:val="00F61373"/>
    <w:pPr>
      <w:keepNext/>
      <w:keepLines/>
      <w:spacing w:before="480" w:after="240"/>
      <w:contextualSpacing/>
      <w:outlineLvl w:val="1"/>
    </w:pPr>
    <w:rPr>
      <w:rFonts w:asciiTheme="majorHAnsi" w:hAnsiTheme="majorHAnsi" w:cs="Arial"/>
      <w:b/>
      <w:color w:val="auto"/>
      <w:sz w:val="30"/>
      <w:szCs w:val="28"/>
    </w:rPr>
  </w:style>
  <w:style w:type="paragraph" w:styleId="Heading3">
    <w:name w:val="heading 3"/>
    <w:basedOn w:val="Normal"/>
    <w:next w:val="Normal"/>
    <w:link w:val="Heading3Char"/>
    <w:uiPriority w:val="9"/>
    <w:qFormat/>
    <w:rsid w:val="006454C7"/>
    <w:pPr>
      <w:keepNext/>
      <w:keepLines/>
      <w:spacing w:before="240"/>
      <w:contextualSpacing/>
      <w:outlineLvl w:val="2"/>
    </w:pPr>
    <w:rPr>
      <w:rFonts w:asciiTheme="majorHAnsi" w:hAnsiTheme="majorHAnsi"/>
      <w:b/>
      <w:color w:val="auto"/>
      <w:sz w:val="26"/>
    </w:rPr>
  </w:style>
  <w:style w:type="paragraph" w:styleId="Heading4">
    <w:name w:val="heading 4"/>
    <w:basedOn w:val="Normal"/>
    <w:next w:val="Normal"/>
    <w:link w:val="Heading4Char"/>
    <w:autoRedefine/>
    <w:uiPriority w:val="9"/>
    <w:qFormat/>
    <w:rsid w:val="00DD4258"/>
    <w:pPr>
      <w:keepNext/>
      <w:keepLines/>
      <w:spacing w:before="240"/>
      <w:contextualSpacing/>
      <w:outlineLvl w:val="3"/>
    </w:pPr>
    <w:rPr>
      <w:rFonts w:asciiTheme="majorHAnsi" w:eastAsiaTheme="majorEastAsia" w:hAnsiTheme="majorHAnsi" w:cstheme="majorBidi"/>
      <w:b/>
      <w:iCs/>
    </w:rPr>
  </w:style>
  <w:style w:type="paragraph" w:styleId="Heading5">
    <w:name w:val="heading 5"/>
    <w:basedOn w:val="Normal"/>
    <w:next w:val="Normal"/>
    <w:link w:val="Heading5Char"/>
    <w:autoRedefine/>
    <w:uiPriority w:val="9"/>
    <w:qFormat/>
    <w:rsid w:val="00DD4258"/>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autoRedefine/>
    <w:uiPriority w:val="9"/>
    <w:qFormat/>
    <w:rsid w:val="00DD4258"/>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18"/>
    <w:qFormat/>
    <w:rsid w:val="00062BA3"/>
    <w:pPr>
      <w:framePr w:wrap="around"/>
      <w:spacing w:after="0"/>
    </w:pPr>
    <w:rPr>
      <w:sz w:val="32"/>
      <w:szCs w:val="24"/>
    </w:rPr>
  </w:style>
  <w:style w:type="character" w:customStyle="1" w:styleId="SubtitleChar">
    <w:name w:val="Subtitle Char"/>
    <w:basedOn w:val="DefaultParagraphFont"/>
    <w:link w:val="Subtitle"/>
    <w:uiPriority w:val="18"/>
    <w:rsid w:val="00062BA3"/>
    <w:rPr>
      <w:sz w:val="32"/>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17"/>
    <w:qFormat/>
    <w:rsid w:val="00062BA3"/>
    <w:pPr>
      <w:framePr w:w="6917" w:h="5670" w:hRule="exact" w:wrap="around" w:vAnchor="page" w:hAnchor="page" w:x="1022" w:y="4821"/>
      <w:spacing w:before="0" w:after="425" w:line="240" w:lineRule="auto"/>
    </w:pPr>
    <w:rPr>
      <w:sz w:val="72"/>
      <w:szCs w:val="82"/>
    </w:rPr>
  </w:style>
  <w:style w:type="character" w:customStyle="1" w:styleId="TitleChar">
    <w:name w:val="Title Char"/>
    <w:basedOn w:val="DefaultParagraphFont"/>
    <w:link w:val="Title"/>
    <w:uiPriority w:val="17"/>
    <w:rsid w:val="00062BA3"/>
    <w:rPr>
      <w:sz w:val="72"/>
      <w:szCs w:val="82"/>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7467E3"/>
    <w:rPr>
      <w:rFonts w:asciiTheme="majorHAnsi" w:hAnsiTheme="majorHAnsi"/>
      <w:sz w:val="52"/>
      <w:szCs w:val="44"/>
    </w:rPr>
  </w:style>
  <w:style w:type="character" w:customStyle="1" w:styleId="Heading2Char">
    <w:name w:val="Heading 2 Char"/>
    <w:basedOn w:val="DefaultParagraphFont"/>
    <w:link w:val="Heading2"/>
    <w:uiPriority w:val="9"/>
    <w:rsid w:val="00F61373"/>
    <w:rPr>
      <w:rFonts w:asciiTheme="majorHAnsi" w:hAnsiTheme="majorHAnsi" w:cs="Arial"/>
      <w:b/>
      <w:color w:val="auto"/>
      <w:sz w:val="30"/>
      <w:szCs w:val="28"/>
    </w:rPr>
  </w:style>
  <w:style w:type="character" w:customStyle="1" w:styleId="Heading3Char">
    <w:name w:val="Heading 3 Char"/>
    <w:basedOn w:val="DefaultParagraphFont"/>
    <w:link w:val="Heading3"/>
    <w:uiPriority w:val="9"/>
    <w:rsid w:val="006454C7"/>
    <w:rPr>
      <w:rFonts w:asciiTheme="majorHAnsi" w:hAnsiTheme="majorHAnsi"/>
      <w:b/>
      <w:color w:val="auto"/>
      <w:sz w:val="26"/>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C15DB5"/>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DD4258"/>
    <w:rPr>
      <w:rFonts w:asciiTheme="majorHAnsi" w:eastAsiaTheme="majorEastAsia" w:hAnsiTheme="majorHAnsi" w:cstheme="majorBidi"/>
      <w:b/>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tabs>
        <w:tab w:val="num" w:pos="360"/>
      </w:tabs>
      <w:ind w:left="0" w:firstLine="0"/>
    </w:pPr>
    <w:rPr>
      <w:rFonts w:eastAsia="Times New Roman"/>
      <w:lang w:eastAsia="en-AU"/>
    </w:rPr>
  </w:style>
  <w:style w:type="paragraph" w:styleId="ListBullet5">
    <w:name w:val="List Bullet 5"/>
    <w:basedOn w:val="Normal"/>
    <w:uiPriority w:val="2"/>
    <w:semiHidden/>
    <w:rsid w:val="00F71556"/>
    <w:pPr>
      <w:numPr>
        <w:ilvl w:val="4"/>
        <w:numId w:val="2"/>
      </w:numPr>
      <w:tabs>
        <w:tab w:val="num" w:pos="360"/>
      </w:tabs>
      <w:ind w:left="0" w:firstLine="0"/>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8F5915"/>
    <w:pPr>
      <w:keepNext/>
      <w:keepLines/>
      <w:numPr>
        <w:numId w:val="3"/>
      </w:numPr>
      <w:spacing w:before="360" w:line="240" w:lineRule="auto"/>
      <w:ind w:left="357" w:hanging="357"/>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896871"/>
    <w:pPr>
      <w:framePr w:w="9866" w:h="1191" w:hRule="exact" w:wrap="around" w:vAnchor="page" w:hAnchor="page" w:x="1022" w:yAlign="bottom"/>
      <w:tabs>
        <w:tab w:val="right" w:pos="9866"/>
      </w:tabs>
      <w:spacing w:before="0" w:after="0" w:line="240" w:lineRule="auto"/>
    </w:pPr>
    <w:rPr>
      <w:b/>
    </w:rPr>
  </w:style>
  <w:style w:type="character" w:customStyle="1" w:styleId="DateChar">
    <w:name w:val="Date Char"/>
    <w:basedOn w:val="DefaultParagraphFont"/>
    <w:link w:val="Date"/>
    <w:uiPriority w:val="99"/>
    <w:rsid w:val="00896871"/>
    <w:rPr>
      <w:b/>
    </w:rPr>
  </w:style>
  <w:style w:type="character" w:customStyle="1" w:styleId="Heading5Char">
    <w:name w:val="Heading 5 Char"/>
    <w:basedOn w:val="DefaultParagraphFont"/>
    <w:link w:val="Heading5"/>
    <w:uiPriority w:val="9"/>
    <w:rsid w:val="00DD4258"/>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DD4258"/>
    <w:rPr>
      <w:rFonts w:asciiTheme="majorHAnsi" w:eastAsiaTheme="majorEastAsia" w:hAnsiTheme="majorHAnsi" w:cstheme="majorBidi"/>
      <w:b/>
      <w:color w:val="auto"/>
      <w:sz w:val="20"/>
    </w:rPr>
  </w:style>
  <w:style w:type="paragraph" w:styleId="NoSpacing">
    <w:name w:val="No Spacing"/>
    <w:link w:val="NoSpacingChar"/>
    <w:uiPriority w:val="1"/>
    <w:qFormat/>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F86761"/>
    <w:pPr>
      <w:spacing w:before="360" w:after="360"/>
      <w:contextualSpacing/>
    </w:pPr>
    <w:rPr>
      <w:sz w:val="26"/>
      <w:szCs w:val="26"/>
    </w:rPr>
  </w:style>
  <w:style w:type="paragraph" w:customStyle="1" w:styleId="Title2">
    <w:name w:val="Title 2"/>
    <w:basedOn w:val="Title"/>
    <w:uiPriority w:val="17"/>
    <w:qFormat/>
    <w:rsid w:val="00491F89"/>
    <w:pPr>
      <w:framePr w:h="7655" w:hRule="exact" w:wrap="around" w:x="1033" w:y="6465"/>
    </w:pPr>
  </w:style>
  <w:style w:type="paragraph" w:customStyle="1" w:styleId="Subtitle2">
    <w:name w:val="Subtitle 2"/>
    <w:basedOn w:val="Subtitle"/>
    <w:uiPriority w:val="18"/>
    <w:qFormat/>
    <w:rsid w:val="00491F89"/>
    <w:pPr>
      <w:framePr w:h="7655" w:hRule="exact" w:wrap="around" w:x="1033" w:y="6465"/>
    </w:pPr>
  </w:style>
  <w:style w:type="paragraph" w:customStyle="1" w:styleId="TableCaption">
    <w:name w:val="Table Caption"/>
    <w:basedOn w:val="Caption"/>
    <w:link w:val="TableCaptionChar"/>
    <w:autoRedefine/>
    <w:qFormat/>
    <w:rsid w:val="008F5915"/>
    <w:pPr>
      <w:numPr>
        <w:numId w:val="5"/>
      </w:numPr>
      <w:ind w:left="0" w:firstLine="0"/>
    </w:pPr>
  </w:style>
  <w:style w:type="character" w:customStyle="1" w:styleId="CaptionChar">
    <w:name w:val="Caption Char"/>
    <w:basedOn w:val="DefaultParagraphFont"/>
    <w:link w:val="Caption"/>
    <w:uiPriority w:val="12"/>
    <w:rsid w:val="008F5915"/>
    <w:rPr>
      <w:iCs/>
      <w:sz w:val="20"/>
    </w:rPr>
  </w:style>
  <w:style w:type="character" w:customStyle="1" w:styleId="TableCaptionChar">
    <w:name w:val="Table Caption Char"/>
    <w:basedOn w:val="CaptionChar"/>
    <w:link w:val="TableCaption"/>
    <w:rsid w:val="008F5915"/>
    <w:rPr>
      <w:iCs/>
      <w:sz w:val="20"/>
    </w:rPr>
  </w:style>
  <w:style w:type="character" w:customStyle="1" w:styleId="NoSpacingChar">
    <w:name w:val="No Spacing Char"/>
    <w:basedOn w:val="DefaultParagraphFont"/>
    <w:link w:val="NoSpacing"/>
    <w:uiPriority w:val="1"/>
    <w:rsid w:val="00533DFB"/>
  </w:style>
  <w:style w:type="paragraph" w:styleId="ListParagraph">
    <w:name w:val="List Paragraph"/>
    <w:aliases w:val="Bullet table,List Paragraph1,List Paragraph11,Recommendation,First level bullet point,Bullet point,Body text,NFP GP Bulleted List,Body Lv3,Body Lv3CxSpLast,L,bullet point list,1 heading,Dot point 1.5 line spacing"/>
    <w:basedOn w:val="Normal"/>
    <w:link w:val="ListParagraphChar"/>
    <w:uiPriority w:val="34"/>
    <w:qFormat/>
    <w:rsid w:val="00EC32B0"/>
    <w:pPr>
      <w:spacing w:before="0" w:after="200" w:line="276" w:lineRule="auto"/>
      <w:ind w:left="1440" w:hanging="360"/>
      <w:contextualSpacing/>
    </w:pPr>
    <w:rPr>
      <w:rFonts w:ascii="Arial" w:hAnsi="Arial" w:cstheme="minorBidi"/>
      <w:color w:val="auto"/>
    </w:rPr>
  </w:style>
  <w:style w:type="character" w:styleId="CommentReference">
    <w:name w:val="annotation reference"/>
    <w:basedOn w:val="DefaultParagraphFont"/>
    <w:unhideWhenUsed/>
    <w:rsid w:val="00EC32B0"/>
    <w:rPr>
      <w:sz w:val="16"/>
      <w:szCs w:val="16"/>
    </w:rPr>
  </w:style>
  <w:style w:type="paragraph" w:styleId="CommentText">
    <w:name w:val="annotation text"/>
    <w:basedOn w:val="Normal"/>
    <w:link w:val="CommentTextChar"/>
    <w:unhideWhenUsed/>
    <w:rsid w:val="00EC32B0"/>
    <w:pPr>
      <w:spacing w:before="0" w:after="200" w:line="240" w:lineRule="auto"/>
    </w:pPr>
    <w:rPr>
      <w:rFonts w:ascii="Arial" w:hAnsi="Arial" w:cstheme="minorBidi"/>
      <w:color w:val="auto"/>
      <w:sz w:val="20"/>
      <w:szCs w:val="20"/>
    </w:rPr>
  </w:style>
  <w:style w:type="character" w:customStyle="1" w:styleId="CommentTextChar">
    <w:name w:val="Comment Text Char"/>
    <w:basedOn w:val="DefaultParagraphFont"/>
    <w:link w:val="CommentText"/>
    <w:rsid w:val="00EC32B0"/>
    <w:rPr>
      <w:rFonts w:ascii="Arial" w:hAnsi="Arial" w:cstheme="minorBidi"/>
      <w:color w:val="auto"/>
      <w:sz w:val="20"/>
      <w:szCs w:val="20"/>
    </w:rPr>
  </w:style>
  <w:style w:type="character" w:customStyle="1" w:styleId="ListParagraphChar">
    <w:name w:val="List Paragraph Char"/>
    <w:aliases w:val="Bullet table Char,List Paragraph1 Char,List Paragraph11 Char,Recommendation Char,First level bullet point Char,Bullet point Char,Body text Char,NFP GP Bulleted List Char,Body Lv3 Char,Body Lv3CxSpLast Char,L Char,1 heading Char"/>
    <w:basedOn w:val="DefaultParagraphFont"/>
    <w:link w:val="ListParagraph"/>
    <w:uiPriority w:val="34"/>
    <w:qFormat/>
    <w:rsid w:val="00EC32B0"/>
    <w:rPr>
      <w:rFonts w:ascii="Arial" w:hAnsi="Arial" w:cstheme="minorBidi"/>
      <w:color w:val="auto"/>
    </w:rPr>
  </w:style>
  <w:style w:type="paragraph" w:customStyle="1" w:styleId="EYBodytextwithparaspace">
    <w:name w:val="EY Body text (with para space)"/>
    <w:basedOn w:val="Normal"/>
    <w:qFormat/>
    <w:rsid w:val="00A43122"/>
    <w:pPr>
      <w:autoSpaceDE w:val="0"/>
      <w:autoSpaceDN w:val="0"/>
      <w:adjustRightInd w:val="0"/>
      <w:spacing w:before="0" w:after="240" w:line="240" w:lineRule="auto"/>
    </w:pPr>
    <w:rPr>
      <w:rFonts w:ascii="EYInterstate Light" w:eastAsia="Times New Roman" w:hAnsi="EYInterstate Light"/>
      <w:color w:val="auto"/>
      <w:sz w:val="20"/>
      <w:szCs w:val="24"/>
      <w:lang w:val="en-US"/>
    </w:rPr>
  </w:style>
  <w:style w:type="character" w:styleId="BookTitle">
    <w:name w:val="Book Title"/>
    <w:basedOn w:val="DefaultParagraphFont"/>
    <w:uiPriority w:val="33"/>
    <w:qFormat/>
    <w:rsid w:val="00F61373"/>
    <w:rPr>
      <w:b/>
      <w:bCs/>
      <w:i/>
      <w:iCs/>
      <w:spacing w:val="5"/>
    </w:rPr>
  </w:style>
  <w:style w:type="character" w:customStyle="1" w:styleId="normaltextrun">
    <w:name w:val="normaltextrun"/>
    <w:basedOn w:val="DefaultParagraphFont"/>
    <w:rsid w:val="00574A3A"/>
  </w:style>
  <w:style w:type="paragraph" w:customStyle="1" w:styleId="paragraph">
    <w:name w:val="paragraph"/>
    <w:basedOn w:val="Normal"/>
    <w:rsid w:val="00574A3A"/>
    <w:pPr>
      <w:spacing w:before="100" w:beforeAutospacing="1" w:after="100" w:afterAutospacing="1" w:line="240" w:lineRule="auto"/>
    </w:pPr>
    <w:rPr>
      <w:rFonts w:ascii="Times New Roman" w:eastAsia="Times New Roman" w:hAnsi="Times New Roman"/>
      <w:color w:val="auto"/>
      <w:sz w:val="24"/>
      <w:szCs w:val="24"/>
      <w:lang w:eastAsia="en-AU"/>
    </w:rPr>
  </w:style>
  <w:style w:type="table" w:styleId="GridTable1Light-Accent4">
    <w:name w:val="Grid Table 1 Light Accent 4"/>
    <w:basedOn w:val="TableNormal"/>
    <w:uiPriority w:val="46"/>
    <w:rsid w:val="00DE268B"/>
    <w:pPr>
      <w:spacing w:after="0" w:line="240" w:lineRule="auto"/>
    </w:pPr>
    <w:tblPr>
      <w:tblStyleRowBandSize w:val="1"/>
      <w:tblStyleColBandSize w:val="1"/>
      <w:tblBorders>
        <w:top w:val="single" w:sz="4" w:space="0" w:color="E1D1FD" w:themeColor="accent4" w:themeTint="66"/>
        <w:left w:val="single" w:sz="4" w:space="0" w:color="E1D1FD" w:themeColor="accent4" w:themeTint="66"/>
        <w:bottom w:val="single" w:sz="4" w:space="0" w:color="E1D1FD" w:themeColor="accent4" w:themeTint="66"/>
        <w:right w:val="single" w:sz="4" w:space="0" w:color="E1D1FD" w:themeColor="accent4" w:themeTint="66"/>
        <w:insideH w:val="single" w:sz="4" w:space="0" w:color="E1D1FD" w:themeColor="accent4" w:themeTint="66"/>
        <w:insideV w:val="single" w:sz="4" w:space="0" w:color="E1D1FD" w:themeColor="accent4" w:themeTint="66"/>
      </w:tblBorders>
    </w:tblPr>
    <w:tblStylePr w:type="firstRow">
      <w:rPr>
        <w:b/>
        <w:bCs/>
      </w:rPr>
      <w:tblPr/>
      <w:tcPr>
        <w:tcBorders>
          <w:bottom w:val="single" w:sz="12" w:space="0" w:color="D2BBFC" w:themeColor="accent4" w:themeTint="99"/>
        </w:tcBorders>
      </w:tcPr>
    </w:tblStylePr>
    <w:tblStylePr w:type="lastRow">
      <w:rPr>
        <w:b/>
        <w:bCs/>
      </w:rPr>
      <w:tblPr/>
      <w:tcPr>
        <w:tcBorders>
          <w:top w:val="double" w:sz="2" w:space="0" w:color="D2BBFC"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21183E"/>
    <w:pPr>
      <w:spacing w:after="0" w:line="240" w:lineRule="auto"/>
    </w:pPr>
    <w:tblPr>
      <w:tblStyleRowBandSize w:val="1"/>
      <w:tblStyleColBandSize w:val="1"/>
      <w:tblBorders>
        <w:top w:val="single" w:sz="2" w:space="0" w:color="D2BBFC" w:themeColor="accent4" w:themeTint="99"/>
        <w:bottom w:val="single" w:sz="2" w:space="0" w:color="D2BBFC" w:themeColor="accent4" w:themeTint="99"/>
        <w:insideH w:val="single" w:sz="2" w:space="0" w:color="D2BBFC" w:themeColor="accent4" w:themeTint="99"/>
        <w:insideV w:val="single" w:sz="2" w:space="0" w:color="D2BBFC" w:themeColor="accent4" w:themeTint="99"/>
      </w:tblBorders>
    </w:tblPr>
    <w:tblStylePr w:type="firstRow">
      <w:rPr>
        <w:b/>
        <w:bCs/>
      </w:rPr>
      <w:tblPr/>
      <w:tcPr>
        <w:tcBorders>
          <w:top w:val="nil"/>
          <w:bottom w:val="single" w:sz="12" w:space="0" w:color="D2BBFC" w:themeColor="accent4" w:themeTint="99"/>
          <w:insideH w:val="nil"/>
          <w:insideV w:val="nil"/>
        </w:tcBorders>
        <w:shd w:val="clear" w:color="auto" w:fill="FFFFFF" w:themeFill="background1"/>
      </w:tcPr>
    </w:tblStylePr>
    <w:tblStylePr w:type="lastRow">
      <w:rPr>
        <w:b/>
        <w:bCs/>
      </w:rPr>
      <w:tblPr/>
      <w:tcPr>
        <w:tcBorders>
          <w:top w:val="double" w:sz="2" w:space="0" w:color="D2BB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table" w:styleId="GridTable3-Accent1">
    <w:name w:val="Grid Table 3 Accent 1"/>
    <w:basedOn w:val="TableNormal"/>
    <w:uiPriority w:val="48"/>
    <w:rsid w:val="00AA7A50"/>
    <w:pPr>
      <w:spacing w:after="0" w:line="240" w:lineRule="auto"/>
    </w:pPr>
    <w:tblPr>
      <w:tblStyleRowBandSize w:val="1"/>
      <w:tblStyleColBandSize w:val="1"/>
      <w:tblBorders>
        <w:top w:val="single" w:sz="4" w:space="0" w:color="884AD7" w:themeColor="accent1" w:themeTint="99"/>
        <w:left w:val="single" w:sz="4" w:space="0" w:color="884AD7" w:themeColor="accent1" w:themeTint="99"/>
        <w:bottom w:val="single" w:sz="4" w:space="0" w:color="884AD7" w:themeColor="accent1" w:themeTint="99"/>
        <w:right w:val="single" w:sz="4" w:space="0" w:color="884AD7" w:themeColor="accent1" w:themeTint="99"/>
        <w:insideH w:val="single" w:sz="4" w:space="0" w:color="884AD7" w:themeColor="accent1" w:themeTint="99"/>
        <w:insideV w:val="single" w:sz="4" w:space="0" w:color="884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C2F1" w:themeFill="accent1" w:themeFillTint="33"/>
      </w:tcPr>
    </w:tblStylePr>
    <w:tblStylePr w:type="band1Horz">
      <w:tblPr/>
      <w:tcPr>
        <w:shd w:val="clear" w:color="auto" w:fill="D7C2F1" w:themeFill="accent1" w:themeFillTint="33"/>
      </w:tcPr>
    </w:tblStylePr>
    <w:tblStylePr w:type="neCell">
      <w:tblPr/>
      <w:tcPr>
        <w:tcBorders>
          <w:bottom w:val="single" w:sz="4" w:space="0" w:color="884AD7" w:themeColor="accent1" w:themeTint="99"/>
        </w:tcBorders>
      </w:tcPr>
    </w:tblStylePr>
    <w:tblStylePr w:type="nwCell">
      <w:tblPr/>
      <w:tcPr>
        <w:tcBorders>
          <w:bottom w:val="single" w:sz="4" w:space="0" w:color="884AD7" w:themeColor="accent1" w:themeTint="99"/>
        </w:tcBorders>
      </w:tcPr>
    </w:tblStylePr>
    <w:tblStylePr w:type="seCell">
      <w:tblPr/>
      <w:tcPr>
        <w:tcBorders>
          <w:top w:val="single" w:sz="4" w:space="0" w:color="884AD7" w:themeColor="accent1" w:themeTint="99"/>
        </w:tcBorders>
      </w:tcPr>
    </w:tblStylePr>
    <w:tblStylePr w:type="swCell">
      <w:tblPr/>
      <w:tcPr>
        <w:tcBorders>
          <w:top w:val="single" w:sz="4" w:space="0" w:color="884AD7" w:themeColor="accent1" w:themeTint="99"/>
        </w:tcBorders>
      </w:tcPr>
    </w:tblStylePr>
  </w:style>
  <w:style w:type="table" w:styleId="GridTable2-Accent1">
    <w:name w:val="Grid Table 2 Accent 1"/>
    <w:basedOn w:val="TableNormal"/>
    <w:uiPriority w:val="47"/>
    <w:rsid w:val="00AA7A50"/>
    <w:pPr>
      <w:spacing w:after="0" w:line="240" w:lineRule="auto"/>
    </w:pPr>
    <w:tblPr>
      <w:tblStyleRowBandSize w:val="1"/>
      <w:tblStyleColBandSize w:val="1"/>
      <w:tblBorders>
        <w:top w:val="single" w:sz="2" w:space="0" w:color="884AD7" w:themeColor="accent1" w:themeTint="99"/>
        <w:bottom w:val="single" w:sz="2" w:space="0" w:color="884AD7" w:themeColor="accent1" w:themeTint="99"/>
        <w:insideH w:val="single" w:sz="2" w:space="0" w:color="884AD7" w:themeColor="accent1" w:themeTint="99"/>
        <w:insideV w:val="single" w:sz="2" w:space="0" w:color="884AD7" w:themeColor="accent1" w:themeTint="99"/>
      </w:tblBorders>
    </w:tblPr>
    <w:tblStylePr w:type="firstRow">
      <w:rPr>
        <w:b/>
        <w:bCs/>
      </w:rPr>
      <w:tblPr/>
      <w:tcPr>
        <w:tcBorders>
          <w:top w:val="nil"/>
          <w:bottom w:val="single" w:sz="12" w:space="0" w:color="884AD7" w:themeColor="accent1" w:themeTint="99"/>
          <w:insideH w:val="nil"/>
          <w:insideV w:val="nil"/>
        </w:tcBorders>
        <w:shd w:val="clear" w:color="auto" w:fill="FFFFFF" w:themeFill="background1"/>
      </w:tcPr>
    </w:tblStylePr>
    <w:tblStylePr w:type="lastRow">
      <w:rPr>
        <w:b/>
        <w:bCs/>
      </w:rPr>
      <w:tblPr/>
      <w:tcPr>
        <w:tcBorders>
          <w:top w:val="double" w:sz="2" w:space="0" w:color="884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C2F1" w:themeFill="accent1" w:themeFillTint="33"/>
      </w:tcPr>
    </w:tblStylePr>
    <w:tblStylePr w:type="band1Horz">
      <w:tblPr/>
      <w:tcPr>
        <w:shd w:val="clear" w:color="auto" w:fill="D7C2F1" w:themeFill="accent1" w:themeFillTint="33"/>
      </w:tcPr>
    </w:tblStylePr>
  </w:style>
  <w:style w:type="table" w:styleId="GridTable1Light-Accent1">
    <w:name w:val="Grid Table 1 Light Accent 1"/>
    <w:basedOn w:val="TableNormal"/>
    <w:uiPriority w:val="46"/>
    <w:rsid w:val="00AA7A50"/>
    <w:pPr>
      <w:spacing w:after="0" w:line="240" w:lineRule="auto"/>
    </w:pPr>
    <w:tblPr>
      <w:tblStyleRowBandSize w:val="1"/>
      <w:tblStyleColBandSize w:val="1"/>
      <w:tblBorders>
        <w:top w:val="single" w:sz="4" w:space="0" w:color="AF86E4" w:themeColor="accent1" w:themeTint="66"/>
        <w:left w:val="single" w:sz="4" w:space="0" w:color="AF86E4" w:themeColor="accent1" w:themeTint="66"/>
        <w:bottom w:val="single" w:sz="4" w:space="0" w:color="AF86E4" w:themeColor="accent1" w:themeTint="66"/>
        <w:right w:val="single" w:sz="4" w:space="0" w:color="AF86E4" w:themeColor="accent1" w:themeTint="66"/>
        <w:insideH w:val="single" w:sz="4" w:space="0" w:color="AF86E4" w:themeColor="accent1" w:themeTint="66"/>
        <w:insideV w:val="single" w:sz="4" w:space="0" w:color="AF86E4" w:themeColor="accent1" w:themeTint="66"/>
      </w:tblBorders>
    </w:tblPr>
    <w:tblStylePr w:type="firstRow">
      <w:rPr>
        <w:b/>
        <w:bCs/>
      </w:rPr>
      <w:tblPr/>
      <w:tcPr>
        <w:tcBorders>
          <w:bottom w:val="single" w:sz="12" w:space="0" w:color="884AD7" w:themeColor="accent1" w:themeTint="99"/>
        </w:tcBorders>
      </w:tcPr>
    </w:tblStylePr>
    <w:tblStylePr w:type="lastRow">
      <w:rPr>
        <w:b/>
        <w:bCs/>
      </w:rPr>
      <w:tblPr/>
      <w:tcPr>
        <w:tcBorders>
          <w:top w:val="double" w:sz="2" w:space="0" w:color="884AD7"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236F8"/>
    <w:pPr>
      <w:spacing w:after="0" w:line="240" w:lineRule="auto"/>
    </w:pPr>
    <w:tblPr>
      <w:tblStyleRowBandSize w:val="1"/>
      <w:tblStyleColBandSize w:val="1"/>
      <w:tblBorders>
        <w:top w:val="single" w:sz="4" w:space="0" w:color="884AD7" w:themeColor="accent1" w:themeTint="99"/>
        <w:left w:val="single" w:sz="4" w:space="0" w:color="884AD7" w:themeColor="accent1" w:themeTint="99"/>
        <w:bottom w:val="single" w:sz="4" w:space="0" w:color="884AD7" w:themeColor="accent1" w:themeTint="99"/>
        <w:right w:val="single" w:sz="4" w:space="0" w:color="884AD7" w:themeColor="accent1" w:themeTint="99"/>
        <w:insideH w:val="single" w:sz="4" w:space="0" w:color="884AD7" w:themeColor="accent1" w:themeTint="99"/>
        <w:insideV w:val="single" w:sz="4" w:space="0" w:color="884AD7" w:themeColor="accent1" w:themeTint="99"/>
      </w:tblBorders>
    </w:tblPr>
    <w:tblStylePr w:type="firstRow">
      <w:rPr>
        <w:b/>
        <w:bCs/>
        <w:color w:val="FFFFFF" w:themeColor="background1"/>
      </w:rPr>
      <w:tblPr/>
      <w:tcPr>
        <w:tcBorders>
          <w:top w:val="single" w:sz="4" w:space="0" w:color="421A75" w:themeColor="accent1"/>
          <w:left w:val="single" w:sz="4" w:space="0" w:color="421A75" w:themeColor="accent1"/>
          <w:bottom w:val="single" w:sz="4" w:space="0" w:color="421A75" w:themeColor="accent1"/>
          <w:right w:val="single" w:sz="4" w:space="0" w:color="421A75" w:themeColor="accent1"/>
          <w:insideH w:val="nil"/>
          <w:insideV w:val="nil"/>
        </w:tcBorders>
        <w:shd w:val="clear" w:color="auto" w:fill="421A75" w:themeFill="accent1"/>
      </w:tcPr>
    </w:tblStylePr>
    <w:tblStylePr w:type="lastRow">
      <w:rPr>
        <w:b/>
        <w:bCs/>
      </w:rPr>
      <w:tblPr/>
      <w:tcPr>
        <w:tcBorders>
          <w:top w:val="double" w:sz="4" w:space="0" w:color="421A75" w:themeColor="accent1"/>
        </w:tcBorders>
      </w:tcPr>
    </w:tblStylePr>
    <w:tblStylePr w:type="firstCol">
      <w:rPr>
        <w:b/>
        <w:bCs/>
      </w:rPr>
    </w:tblStylePr>
    <w:tblStylePr w:type="lastCol">
      <w:rPr>
        <w:b/>
        <w:bCs/>
      </w:rPr>
    </w:tblStylePr>
    <w:tblStylePr w:type="band1Vert">
      <w:tblPr/>
      <w:tcPr>
        <w:shd w:val="clear" w:color="auto" w:fill="D7C2F1" w:themeFill="accent1" w:themeFillTint="33"/>
      </w:tcPr>
    </w:tblStylePr>
    <w:tblStylePr w:type="band1Horz">
      <w:tblPr/>
      <w:tcPr>
        <w:shd w:val="clear" w:color="auto" w:fill="D7C2F1" w:themeFill="accent1" w:themeFillTint="33"/>
      </w:tcPr>
    </w:tblStylePr>
  </w:style>
  <w:style w:type="table" w:styleId="ListTable3-Accent4">
    <w:name w:val="List Table 3 Accent 4"/>
    <w:basedOn w:val="TableNormal"/>
    <w:uiPriority w:val="48"/>
    <w:rsid w:val="003C6224"/>
    <w:pPr>
      <w:spacing w:after="0" w:line="240" w:lineRule="auto"/>
    </w:pPr>
    <w:tblPr>
      <w:tblStyleRowBandSize w:val="1"/>
      <w:tblStyleColBandSize w:val="1"/>
      <w:tblBorders>
        <w:top w:val="single" w:sz="4" w:space="0" w:color="B58EFB" w:themeColor="accent4"/>
        <w:left w:val="single" w:sz="4" w:space="0" w:color="B58EFB" w:themeColor="accent4"/>
        <w:bottom w:val="single" w:sz="4" w:space="0" w:color="B58EFB" w:themeColor="accent4"/>
        <w:right w:val="single" w:sz="4" w:space="0" w:color="B58EFB" w:themeColor="accent4"/>
      </w:tblBorders>
    </w:tblPr>
    <w:tblStylePr w:type="firstRow">
      <w:rPr>
        <w:b/>
        <w:bCs/>
        <w:color w:val="FFFFFF" w:themeColor="background1"/>
      </w:rPr>
      <w:tblPr/>
      <w:tcPr>
        <w:shd w:val="clear" w:color="auto" w:fill="B58EFB" w:themeFill="accent4"/>
      </w:tcPr>
    </w:tblStylePr>
    <w:tblStylePr w:type="lastRow">
      <w:rPr>
        <w:b/>
        <w:bCs/>
      </w:rPr>
      <w:tblPr/>
      <w:tcPr>
        <w:tcBorders>
          <w:top w:val="double" w:sz="4" w:space="0" w:color="B58EF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8EFB" w:themeColor="accent4"/>
          <w:right w:val="single" w:sz="4" w:space="0" w:color="B58EFB" w:themeColor="accent4"/>
        </w:tcBorders>
      </w:tcPr>
    </w:tblStylePr>
    <w:tblStylePr w:type="band1Horz">
      <w:tblPr/>
      <w:tcPr>
        <w:tcBorders>
          <w:top w:val="single" w:sz="4" w:space="0" w:color="B58EFB" w:themeColor="accent4"/>
          <w:bottom w:val="single" w:sz="4" w:space="0" w:color="B58EF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8EFB" w:themeColor="accent4"/>
          <w:left w:val="nil"/>
        </w:tcBorders>
      </w:tcPr>
    </w:tblStylePr>
    <w:tblStylePr w:type="swCell">
      <w:tblPr/>
      <w:tcPr>
        <w:tcBorders>
          <w:top w:val="double" w:sz="4" w:space="0" w:color="B58EFB"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9275">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1.xml"/><Relationship Id="rId21" Type="http://schemas.openxmlformats.org/officeDocument/2006/relationships/footer" Target="footer4.xml"/><Relationship Id="rId42" Type="http://schemas.openxmlformats.org/officeDocument/2006/relationships/hyperlink" Target="https://meteor.aihw.gov.au/content/775643" TargetMode="External"/><Relationship Id="rId47" Type="http://schemas.openxmlformats.org/officeDocument/2006/relationships/hyperlink" Target="https://meteor.aihw.gov.au/content/775780" TargetMode="External"/><Relationship Id="rId63" Type="http://schemas.openxmlformats.org/officeDocument/2006/relationships/image" Target="media/image6.jpeg"/><Relationship Id="rId68" Type="http://schemas.openxmlformats.org/officeDocument/2006/relationships/header" Target="header1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5.png"/><Relationship Id="rId11" Type="http://schemas.openxmlformats.org/officeDocument/2006/relationships/header" Target="header2.xml"/><Relationship Id="rId24" Type="http://schemas.openxmlformats.org/officeDocument/2006/relationships/diagramLayout" Target="diagrams/layout1.xml"/><Relationship Id="rId32" Type="http://schemas.openxmlformats.org/officeDocument/2006/relationships/hyperlink" Target="https://www.naccho.org.au/" TargetMode="External"/><Relationship Id="rId37" Type="http://schemas.openxmlformats.org/officeDocument/2006/relationships/header" Target="header8.xml"/><Relationship Id="rId40" Type="http://schemas.openxmlformats.org/officeDocument/2006/relationships/header" Target="header10.xml"/><Relationship Id="rId45" Type="http://schemas.openxmlformats.org/officeDocument/2006/relationships/hyperlink" Target="https://meteor.aihw.gov.au/content/775625" TargetMode="External"/><Relationship Id="rId53" Type="http://schemas.openxmlformats.org/officeDocument/2006/relationships/hyperlink" Target="https://www.ihacpa.gov.au/health-care/data/data-collection" TargetMode="External"/><Relationship Id="rId58" Type="http://schemas.openxmlformats.org/officeDocument/2006/relationships/hyperlink" Target="https://www.health.gov.au/resources/publications/gt-dental-data-specification-insurer-to-department-2022-23" TargetMode="External"/><Relationship Id="rId66" Type="http://schemas.openxmlformats.org/officeDocument/2006/relationships/image" Target="media/image70.png"/><Relationship Id="rId5" Type="http://schemas.openxmlformats.org/officeDocument/2006/relationships/webSettings" Target="webSettings.xml"/><Relationship Id="rId61" Type="http://schemas.openxmlformats.org/officeDocument/2006/relationships/hyperlink" Target="https://www.health.gov.au/diseases/tuberculosis-tb" TargetMode="Externa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eader" Target="header7.xml"/><Relationship Id="rId27" Type="http://schemas.microsoft.com/office/2007/relationships/diagramDrawing" Target="diagrams/drawing1.xml"/><Relationship Id="rId30" Type="http://schemas.openxmlformats.org/officeDocument/2006/relationships/hyperlink" Target="https://www.safetyandquality.gov.au/publications-and-resources/resource-library/acsqhc-data-governance-framework" TargetMode="External"/><Relationship Id="rId35" Type="http://schemas.openxmlformats.org/officeDocument/2006/relationships/hyperlink" Target="https://www.lowitja.org.au/" TargetMode="External"/><Relationship Id="rId43" Type="http://schemas.openxmlformats.org/officeDocument/2006/relationships/hyperlink" Target="https://meteor.aihw.gov.au/content/775698" TargetMode="External"/><Relationship Id="rId48" Type="http://schemas.openxmlformats.org/officeDocument/2006/relationships/hyperlink" Target="https://meteor.aihw.gov.au/content/558137" TargetMode="External"/><Relationship Id="rId56" Type="http://schemas.openxmlformats.org/officeDocument/2006/relationships/hyperlink" Target="https://www.ihacpa.gov.au/health-care/data/data-collection" TargetMode="External"/><Relationship Id="rId64" Type="http://schemas.openxmlformats.org/officeDocument/2006/relationships/image" Target="media/image7.png"/><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meteor.aihw.gov.au/content/756062"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legislation.gov.au/C2011A00009/latest/text" TargetMode="External"/><Relationship Id="rId25" Type="http://schemas.openxmlformats.org/officeDocument/2006/relationships/diagramQuickStyle" Target="diagrams/quickStyle1.xml"/><Relationship Id="rId33" Type="http://schemas.openxmlformats.org/officeDocument/2006/relationships/hyperlink" Target="https://aida.org.au/" TargetMode="External"/><Relationship Id="rId38" Type="http://schemas.openxmlformats.org/officeDocument/2006/relationships/header" Target="header9.xml"/><Relationship Id="rId46" Type="http://schemas.openxmlformats.org/officeDocument/2006/relationships/hyperlink" Target="https://meteor.aihw.gov.au/content/775625" TargetMode="External"/><Relationship Id="rId59" Type="http://schemas.openxmlformats.org/officeDocument/2006/relationships/hyperlink" Target="https://www.health.gov.au/resources/collections/hospital-data-resources?language=en" TargetMode="External"/><Relationship Id="rId67" Type="http://schemas.openxmlformats.org/officeDocument/2006/relationships/image" Target="media/image80.svg"/><Relationship Id="rId20" Type="http://schemas.openxmlformats.org/officeDocument/2006/relationships/header" Target="header6.xml"/><Relationship Id="rId41" Type="http://schemas.openxmlformats.org/officeDocument/2006/relationships/hyperlink" Target="https://meteor.aihw.gov.au/content/775630" TargetMode="External"/><Relationship Id="rId54" Type="http://schemas.openxmlformats.org/officeDocument/2006/relationships/hyperlink" Target="https://www.ihacpa.gov.au/health-care/data/data-collection" TargetMode="External"/><Relationship Id="rId62" Type="http://schemas.openxmlformats.org/officeDocument/2006/relationships/hyperlink" Target="https://www.health.gov.au/resources/collections/hospital-data-resources?language=en"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diagramData" Target="diagrams/data1.xml"/><Relationship Id="rId28" Type="http://schemas.openxmlformats.org/officeDocument/2006/relationships/hyperlink" Target="https://www.safetyandquality.gov.au/about-us/corporate-reports/strategic-plan" TargetMode="External"/><Relationship Id="rId36" Type="http://schemas.openxmlformats.org/officeDocument/2006/relationships/hyperlink" Target="https://catsinam.org.au/" TargetMode="External"/><Relationship Id="rId49" Type="http://schemas.openxmlformats.org/officeDocument/2006/relationships/hyperlink" Target="https://www.aihw.gov.au/reports-data/nhdh" TargetMode="External"/><Relationship Id="rId57" Type="http://schemas.openxmlformats.org/officeDocument/2006/relationships/hyperlink" Target="https://www.health.gov.au/our-work/qi-program" TargetMode="External"/><Relationship Id="rId10" Type="http://schemas.openxmlformats.org/officeDocument/2006/relationships/header" Target="header1.xml"/><Relationship Id="rId31" Type="http://schemas.openxmlformats.org/officeDocument/2006/relationships/hyperlink" Target="https://www.niaa.gov.au/2023-commonwealth-closing-gap-implementation-plan/changing-way-we-work/priority-reform-four-shared" TargetMode="External"/><Relationship Id="rId44" Type="http://schemas.openxmlformats.org/officeDocument/2006/relationships/hyperlink" Target="https://meteor.aihw.gov.au/content/775784" TargetMode="External"/><Relationship Id="rId52" Type="http://schemas.openxmlformats.org/officeDocument/2006/relationships/hyperlink" Target="https://meteor.aihw.gov.au/content/751510" TargetMode="External"/><Relationship Id="rId60" Type="http://schemas.openxmlformats.org/officeDocument/2006/relationships/hyperlink" Target="https://www.health.gov.au/resources/collections/hospital-data-resources?language=en" TargetMode="External"/><Relationship Id="rId65" Type="http://schemas.openxmlformats.org/officeDocument/2006/relationships/image" Target="media/image8.sv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www.safetyandquality.gov.au/about-us/corporate-reports/strategic-plan" TargetMode="External"/><Relationship Id="rId39" Type="http://schemas.openxmlformats.org/officeDocument/2006/relationships/footer" Target="footer5.xml"/><Relationship Id="rId34" Type="http://schemas.openxmlformats.org/officeDocument/2006/relationships/hyperlink" Target="https://sahmri.org.au/" TargetMode="External"/><Relationship Id="rId50" Type="http://schemas.openxmlformats.org/officeDocument/2006/relationships/hyperlink" Target="https://www.aihw.gov.au/about-our-data/our-data-collections/national-mortality-database/about-nmd" TargetMode="External"/><Relationship Id="rId55" Type="http://schemas.openxmlformats.org/officeDocument/2006/relationships/hyperlink" Target="https://www.ihacpa.gov.au/health-care/data/data-collec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notes.xml.rels><?xml version="1.0" encoding="UTF-8" standalone="yes"?>
<Relationships xmlns="http://schemas.openxmlformats.org/package/2006/relationships"><Relationship Id="rId1" Type="http://schemas.openxmlformats.org/officeDocument/2006/relationships/hyperlink" Target="https://meteor.aihw.gov.au/content/index.phtml/itemId/721590"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F1D4DB-AF65-4AAB-8C5D-4D16DA741AFE}"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AU"/>
        </a:p>
      </dgm:t>
    </dgm:pt>
    <dgm:pt modelId="{677CBDB4-1730-4C80-A5CC-035D835E7010}">
      <dgm:prSet phldrT="[Text]" custT="1"/>
      <dgm:spPr>
        <a:xfrm>
          <a:off x="0" y="0"/>
          <a:ext cx="1810312" cy="9048750"/>
        </a:xfrm>
        <a:prstGeom prst="roundRect">
          <a:avLst>
            <a:gd name="adj" fmla="val 10000"/>
          </a:avLst>
        </a:prstGeom>
        <a:solidFill>
          <a:srgbClr val="4472C4">
            <a:lumMod val="50000"/>
          </a:srgbClr>
        </a:solidFill>
        <a:ln>
          <a:noFill/>
        </a:ln>
        <a:effectLst/>
      </dgm:spPr>
      <dgm:t>
        <a:bodyPr/>
        <a:lstStyle/>
        <a:p>
          <a:pPr>
            <a:buNone/>
          </a:pPr>
          <a:r>
            <a:rPr lang="en-AU" sz="1100" b="1">
              <a:solidFill>
                <a:sysClr val="window" lastClr="FFFFFF"/>
              </a:solidFill>
              <a:latin typeface="Calibri" panose="020F0502020204030204"/>
              <a:ea typeface="+mn-ea"/>
              <a:cs typeface="+mn-cs"/>
            </a:rPr>
            <a:t>Clinical governance</a:t>
          </a:r>
        </a:p>
      </dgm:t>
    </dgm:pt>
    <dgm:pt modelId="{117B9806-5F97-48E6-B93C-A1A5C38F42CE}" type="parTrans" cxnId="{E9297401-D388-49DC-BB33-9C3ACE9B4449}">
      <dgm:prSet/>
      <dgm:spPr/>
      <dgm:t>
        <a:bodyPr/>
        <a:lstStyle/>
        <a:p>
          <a:endParaRPr lang="en-AU" sz="1400">
            <a:solidFill>
              <a:sysClr val="windowText" lastClr="000000"/>
            </a:solidFill>
          </a:endParaRPr>
        </a:p>
      </dgm:t>
    </dgm:pt>
    <dgm:pt modelId="{B5EFAC44-E35D-4C17-A1FF-27F2716E4CE1}" type="sibTrans" cxnId="{E9297401-D388-49DC-BB33-9C3ACE9B4449}">
      <dgm:prSet/>
      <dgm:spPr/>
      <dgm:t>
        <a:bodyPr/>
        <a:lstStyle/>
        <a:p>
          <a:endParaRPr lang="en-AU" sz="1400">
            <a:solidFill>
              <a:sysClr val="windowText" lastClr="000000"/>
            </a:solidFill>
          </a:endParaRPr>
        </a:p>
      </dgm:t>
    </dgm:pt>
    <dgm:pt modelId="{B404D31D-7143-47EA-B532-DB304FE6EA14}">
      <dgm:prSet phldrT="[Text]" custT="1"/>
      <dgm:spPr>
        <a:xfrm>
          <a:off x="1943911" y="0"/>
          <a:ext cx="1810312" cy="9048750"/>
        </a:xfrm>
        <a:prstGeom prst="roundRect">
          <a:avLst>
            <a:gd name="adj" fmla="val 10000"/>
          </a:avLst>
        </a:prstGeom>
        <a:solidFill>
          <a:srgbClr val="ED7D31">
            <a:lumMod val="75000"/>
          </a:srgbClr>
        </a:solidFill>
        <a:ln>
          <a:noFill/>
        </a:ln>
        <a:effectLst/>
      </dgm:spPr>
      <dgm:t>
        <a:bodyPr/>
        <a:lstStyle/>
        <a:p>
          <a:pPr>
            <a:buNone/>
          </a:pPr>
          <a:r>
            <a:rPr lang="en-AU" sz="1100" b="1">
              <a:solidFill>
                <a:sysClr val="window" lastClr="FFFFFF"/>
              </a:solidFill>
              <a:latin typeface="Calibri" panose="020F0502020204030204"/>
              <a:ea typeface="+mn-ea"/>
              <a:cs typeface="+mn-cs"/>
            </a:rPr>
            <a:t>Partnerships with patients, their carers and familes and, communities</a:t>
          </a:r>
        </a:p>
      </dgm:t>
    </dgm:pt>
    <dgm:pt modelId="{3B42A9DA-750B-4F26-B824-1E9F17170C61}" type="parTrans" cxnId="{108CBD31-8BB4-4B74-A614-C6947C7C79AB}">
      <dgm:prSet/>
      <dgm:spPr/>
      <dgm:t>
        <a:bodyPr/>
        <a:lstStyle/>
        <a:p>
          <a:endParaRPr lang="en-AU" sz="1400">
            <a:solidFill>
              <a:sysClr val="windowText" lastClr="000000"/>
            </a:solidFill>
          </a:endParaRPr>
        </a:p>
      </dgm:t>
    </dgm:pt>
    <dgm:pt modelId="{B1215C97-2A0B-4A21-A596-4EDF878E8077}" type="sibTrans" cxnId="{108CBD31-8BB4-4B74-A614-C6947C7C79AB}">
      <dgm:prSet/>
      <dgm:spPr/>
      <dgm:t>
        <a:bodyPr/>
        <a:lstStyle/>
        <a:p>
          <a:endParaRPr lang="en-AU" sz="1400">
            <a:solidFill>
              <a:sysClr val="windowText" lastClr="000000"/>
            </a:solidFill>
          </a:endParaRPr>
        </a:p>
      </dgm:t>
    </dgm:pt>
    <dgm:pt modelId="{B7BB6290-223F-4A7C-9468-D0F95B47DB49}">
      <dgm:prSet phldrT="[Text]" custT="1"/>
      <dgm:spPr>
        <a:xfrm>
          <a:off x="2141286" y="2287434"/>
          <a:ext cx="1448250" cy="1318210"/>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Enabling the patient voice in their health care</a:t>
          </a:r>
        </a:p>
      </dgm:t>
    </dgm:pt>
    <dgm:pt modelId="{836DF693-6659-44EB-88BD-27833D53ADE0}" type="parTrans" cxnId="{21C9740D-D3A0-4212-B258-5DE166EA30A8}">
      <dgm:prSet/>
      <dgm:spPr/>
      <dgm:t>
        <a:bodyPr/>
        <a:lstStyle/>
        <a:p>
          <a:endParaRPr lang="en-AU" sz="1400">
            <a:solidFill>
              <a:sysClr val="windowText" lastClr="000000"/>
            </a:solidFill>
          </a:endParaRPr>
        </a:p>
      </dgm:t>
    </dgm:pt>
    <dgm:pt modelId="{AFE91D53-8603-44A1-9B8A-A93855FF9E8D}" type="sibTrans" cxnId="{21C9740D-D3A0-4212-B258-5DE166EA30A8}">
      <dgm:prSet/>
      <dgm:spPr/>
      <dgm:t>
        <a:bodyPr/>
        <a:lstStyle/>
        <a:p>
          <a:endParaRPr lang="en-AU" sz="1400">
            <a:solidFill>
              <a:sysClr val="windowText" lastClr="000000"/>
            </a:solidFill>
          </a:endParaRPr>
        </a:p>
      </dgm:t>
    </dgm:pt>
    <dgm:pt modelId="{8F9B7437-CCA4-4209-AA40-985FB976D2E3}">
      <dgm:prSet phldrT="[Text]" custT="1"/>
      <dgm:spPr>
        <a:xfrm>
          <a:off x="5829150" y="0"/>
          <a:ext cx="1810312" cy="9048750"/>
        </a:xfrm>
        <a:prstGeom prst="roundRect">
          <a:avLst>
            <a:gd name="adj" fmla="val 10000"/>
          </a:avLst>
        </a:prstGeom>
        <a:solidFill>
          <a:srgbClr val="70AD47">
            <a:lumMod val="75000"/>
          </a:srgbClr>
        </a:solidFill>
        <a:ln>
          <a:noFill/>
        </a:ln>
        <a:effectLst/>
      </dgm:spPr>
      <dgm:t>
        <a:bodyPr/>
        <a:lstStyle/>
        <a:p>
          <a:pPr>
            <a:buNone/>
          </a:pPr>
          <a:r>
            <a:rPr lang="en-AU" sz="1100" b="1">
              <a:solidFill>
                <a:sysClr val="window" lastClr="FFFFFF"/>
              </a:solidFill>
              <a:latin typeface="Calibri" panose="020F0502020204030204"/>
              <a:ea typeface="+mn-ea"/>
              <a:cs typeface="+mn-cs"/>
            </a:rPr>
            <a:t>Appropriate and sustainable health care</a:t>
          </a:r>
        </a:p>
      </dgm:t>
    </dgm:pt>
    <dgm:pt modelId="{37DA6048-7EC4-4701-93CF-1C9AF6B47676}" type="parTrans" cxnId="{572A5185-748D-45AC-A786-4F6A8FC629DC}">
      <dgm:prSet/>
      <dgm:spPr/>
      <dgm:t>
        <a:bodyPr/>
        <a:lstStyle/>
        <a:p>
          <a:endParaRPr lang="en-AU" sz="1400">
            <a:solidFill>
              <a:sysClr val="windowText" lastClr="000000"/>
            </a:solidFill>
          </a:endParaRPr>
        </a:p>
      </dgm:t>
    </dgm:pt>
    <dgm:pt modelId="{4902C71A-AA7D-423C-B2F1-33562AFD473B}" type="sibTrans" cxnId="{572A5185-748D-45AC-A786-4F6A8FC629DC}">
      <dgm:prSet/>
      <dgm:spPr/>
      <dgm:t>
        <a:bodyPr/>
        <a:lstStyle/>
        <a:p>
          <a:endParaRPr lang="en-AU" sz="1400">
            <a:solidFill>
              <a:sysClr val="windowText" lastClr="000000"/>
            </a:solidFill>
          </a:endParaRPr>
        </a:p>
      </dgm:t>
    </dgm:pt>
    <dgm:pt modelId="{E1EDB9EF-6DCB-4560-AC33-28D7B42E180D}">
      <dgm:prSet phldrT="[Text]" custT="1"/>
      <dgm:spPr>
        <a:xfrm>
          <a:off x="7780179" y="0"/>
          <a:ext cx="1810312" cy="9048750"/>
        </a:xfrm>
        <a:prstGeom prst="roundRect">
          <a:avLst>
            <a:gd name="adj" fmla="val 10000"/>
          </a:avLst>
        </a:prstGeom>
        <a:solidFill>
          <a:srgbClr val="CC3399"/>
        </a:solidFill>
        <a:ln>
          <a:noFill/>
        </a:ln>
        <a:effectLst/>
      </dgm:spPr>
      <dgm:t>
        <a:bodyPr/>
        <a:lstStyle/>
        <a:p>
          <a:pPr>
            <a:buNone/>
          </a:pPr>
          <a:r>
            <a:rPr lang="en-AU" sz="1100" b="1">
              <a:solidFill>
                <a:sysClr val="window" lastClr="FFFFFF"/>
              </a:solidFill>
              <a:latin typeface="Calibri" panose="020F0502020204030204"/>
              <a:ea typeface="+mn-ea"/>
              <a:cs typeface="+mn-cs"/>
            </a:rPr>
            <a:t>Safe clinical processes</a:t>
          </a:r>
        </a:p>
      </dgm:t>
    </dgm:pt>
    <dgm:pt modelId="{8730A4A5-63A8-4E15-9231-C38C5C3AEFB4}" type="parTrans" cxnId="{0C142269-1257-4DBB-BD55-8B854923FD20}">
      <dgm:prSet/>
      <dgm:spPr/>
      <dgm:t>
        <a:bodyPr/>
        <a:lstStyle/>
        <a:p>
          <a:endParaRPr lang="en-AU" sz="1400">
            <a:solidFill>
              <a:sysClr val="windowText" lastClr="000000"/>
            </a:solidFill>
          </a:endParaRPr>
        </a:p>
      </dgm:t>
    </dgm:pt>
    <dgm:pt modelId="{B048F97D-AEF1-41D2-A48A-6B079E022202}" type="sibTrans" cxnId="{0C142269-1257-4DBB-BD55-8B854923FD20}">
      <dgm:prSet/>
      <dgm:spPr/>
      <dgm:t>
        <a:bodyPr/>
        <a:lstStyle/>
        <a:p>
          <a:endParaRPr lang="en-AU" sz="1400">
            <a:solidFill>
              <a:sysClr val="windowText" lastClr="000000"/>
            </a:solidFill>
          </a:endParaRPr>
        </a:p>
      </dgm:t>
    </dgm:pt>
    <dgm:pt modelId="{63786402-7EFF-4010-96A2-E368D9E54B8D}">
      <dgm:prSet phldrT="[Text]" custT="1"/>
      <dgm:spPr>
        <a:xfrm>
          <a:off x="11569037" y="0"/>
          <a:ext cx="1810312" cy="9048750"/>
        </a:xfrm>
        <a:prstGeom prst="roundRect">
          <a:avLst>
            <a:gd name="adj" fmla="val 10000"/>
          </a:avLst>
        </a:prstGeom>
        <a:solidFill>
          <a:srgbClr val="7030A0"/>
        </a:solidFill>
        <a:ln>
          <a:noFill/>
        </a:ln>
        <a:effectLst/>
      </dgm:spPr>
      <dgm:t>
        <a:bodyPr/>
        <a:lstStyle/>
        <a:p>
          <a:pPr>
            <a:buNone/>
          </a:pPr>
          <a:r>
            <a:rPr lang="en-AU" sz="1100" b="1">
              <a:solidFill>
                <a:sysClr val="window" lastClr="FFFFFF"/>
              </a:solidFill>
              <a:latin typeface="Calibri" panose="020F0502020204030204"/>
              <a:ea typeface="+mn-ea"/>
              <a:cs typeface="+mn-cs"/>
            </a:rPr>
            <a:t>Measurement for improvement</a:t>
          </a:r>
        </a:p>
      </dgm:t>
    </dgm:pt>
    <dgm:pt modelId="{B6C5DD4E-5DC3-4F99-B08B-2EFB69190DD6}" type="parTrans" cxnId="{6D17A52D-C0A5-4040-A52A-231D0842CCD5}">
      <dgm:prSet/>
      <dgm:spPr/>
      <dgm:t>
        <a:bodyPr/>
        <a:lstStyle/>
        <a:p>
          <a:endParaRPr lang="en-AU" sz="1400">
            <a:solidFill>
              <a:sysClr val="windowText" lastClr="000000"/>
            </a:solidFill>
          </a:endParaRPr>
        </a:p>
      </dgm:t>
    </dgm:pt>
    <dgm:pt modelId="{5D706243-6B0B-4D09-91FF-FBD330FBC9A4}" type="sibTrans" cxnId="{6D17A52D-C0A5-4040-A52A-231D0842CCD5}">
      <dgm:prSet/>
      <dgm:spPr/>
      <dgm:t>
        <a:bodyPr/>
        <a:lstStyle/>
        <a:p>
          <a:endParaRPr lang="en-AU" sz="1400">
            <a:solidFill>
              <a:sysClr val="windowText" lastClr="000000"/>
            </a:solidFill>
          </a:endParaRPr>
        </a:p>
      </dgm:t>
    </dgm:pt>
    <dgm:pt modelId="{22EBB358-4F96-40E3-A972-BDDDB5DF8975}">
      <dgm:prSet phldrT="[Text]" custT="1"/>
      <dgm:spPr>
        <a:xfrm>
          <a:off x="190044" y="5532532"/>
          <a:ext cx="1448250" cy="921885"/>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National leadership on clinical governance</a:t>
          </a:r>
        </a:p>
      </dgm:t>
    </dgm:pt>
    <dgm:pt modelId="{3B20AFDD-45E7-429D-BE1D-12E687E7D859}" type="sibTrans" cxnId="{1A5D1F45-B5C4-48B9-9C39-19723D4320D0}">
      <dgm:prSet/>
      <dgm:spPr/>
      <dgm:t>
        <a:bodyPr/>
        <a:lstStyle/>
        <a:p>
          <a:endParaRPr lang="en-AU" sz="1400"/>
        </a:p>
      </dgm:t>
    </dgm:pt>
    <dgm:pt modelId="{6FF8D1F8-97D6-4052-B9A6-60BF861F1BA4}" type="parTrans" cxnId="{1A5D1F45-B5C4-48B9-9C39-19723D4320D0}">
      <dgm:prSet/>
      <dgm:spPr/>
      <dgm:t>
        <a:bodyPr/>
        <a:lstStyle/>
        <a:p>
          <a:endParaRPr lang="en-AU" sz="1400"/>
        </a:p>
      </dgm:t>
    </dgm:pt>
    <dgm:pt modelId="{0C296FBF-7D30-4FFB-853C-8EC9763E6639}">
      <dgm:prSet phldrT="[Text]" custT="1"/>
      <dgm:spPr>
        <a:xfrm>
          <a:off x="11759594" y="6697393"/>
          <a:ext cx="1448250" cy="740954"/>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Healthcare variation monitoring and reporting</a:t>
          </a:r>
        </a:p>
      </dgm:t>
    </dgm:pt>
    <dgm:pt modelId="{BD73476A-2519-4387-A2F3-460C04275B2A}" type="parTrans" cxnId="{6476382D-1776-43F9-A3DC-904BEA5DA5B3}">
      <dgm:prSet/>
      <dgm:spPr/>
      <dgm:t>
        <a:bodyPr/>
        <a:lstStyle/>
        <a:p>
          <a:endParaRPr lang="en-AU" sz="1400"/>
        </a:p>
      </dgm:t>
    </dgm:pt>
    <dgm:pt modelId="{941B57A2-7176-448C-BB64-86BB7A04E0B9}" type="sibTrans" cxnId="{6476382D-1776-43F9-A3DC-904BEA5DA5B3}">
      <dgm:prSet/>
      <dgm:spPr/>
      <dgm:t>
        <a:bodyPr/>
        <a:lstStyle/>
        <a:p>
          <a:endParaRPr lang="en-AU" sz="1400"/>
        </a:p>
      </dgm:t>
    </dgm:pt>
    <dgm:pt modelId="{9BDDACBF-BEF1-43E3-AAD6-A8DD2CF1393F}">
      <dgm:prSet phldrT="[Text]" custT="1"/>
      <dgm:spPr>
        <a:xfrm>
          <a:off x="9683415" y="0"/>
          <a:ext cx="1810312" cy="9048750"/>
        </a:xfrm>
        <a:prstGeom prst="roundRect">
          <a:avLst>
            <a:gd name="adj" fmla="val 10000"/>
          </a:avLst>
        </a:prstGeom>
        <a:solidFill>
          <a:sysClr val="windowText" lastClr="000000">
            <a:lumMod val="50000"/>
            <a:lumOff val="50000"/>
          </a:sysClr>
        </a:solidFill>
        <a:ln>
          <a:noFill/>
        </a:ln>
        <a:effectLst/>
      </dgm:spPr>
      <dgm:t>
        <a:bodyPr/>
        <a:lstStyle/>
        <a:p>
          <a:pPr>
            <a:buNone/>
          </a:pPr>
          <a:r>
            <a:rPr lang="en-AU" sz="1100" b="1">
              <a:solidFill>
                <a:sysClr val="window" lastClr="FFFFFF"/>
              </a:solidFill>
              <a:latin typeface="Calibri" panose="020F0502020204030204"/>
              <a:ea typeface="+mn-ea"/>
              <a:cs typeface="+mn-cs"/>
            </a:rPr>
            <a:t>Integrated systems</a:t>
          </a:r>
        </a:p>
      </dgm:t>
    </dgm:pt>
    <dgm:pt modelId="{5DEC949B-2B97-4491-A4E4-8A6DDA8C4E6C}" type="sibTrans" cxnId="{D04FE78E-3A65-4095-9A77-C352A6A00716}">
      <dgm:prSet/>
      <dgm:spPr/>
      <dgm:t>
        <a:bodyPr/>
        <a:lstStyle/>
        <a:p>
          <a:endParaRPr lang="en-AU" sz="1400">
            <a:solidFill>
              <a:sysClr val="windowText" lastClr="000000"/>
            </a:solidFill>
          </a:endParaRPr>
        </a:p>
      </dgm:t>
    </dgm:pt>
    <dgm:pt modelId="{1DCC3777-F0C4-4934-9D53-BEF4C118FD9C}" type="parTrans" cxnId="{D04FE78E-3A65-4095-9A77-C352A6A00716}">
      <dgm:prSet/>
      <dgm:spPr/>
      <dgm:t>
        <a:bodyPr/>
        <a:lstStyle/>
        <a:p>
          <a:endParaRPr lang="en-AU" sz="1400">
            <a:solidFill>
              <a:sysClr val="windowText" lastClr="000000"/>
            </a:solidFill>
          </a:endParaRPr>
        </a:p>
      </dgm:t>
    </dgm:pt>
    <dgm:pt modelId="{EB969D91-4FB0-40AA-B561-9D6512844495}">
      <dgm:prSet phldrT="[Text]" custT="1"/>
      <dgm:spPr>
        <a:xfrm>
          <a:off x="9886948" y="3535953"/>
          <a:ext cx="1397532" cy="857050"/>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Comprehensive, integrated care</a:t>
          </a:r>
        </a:p>
      </dgm:t>
    </dgm:pt>
    <dgm:pt modelId="{B0E3CD40-CC59-4AE9-B99F-9331FC0CBAB4}" type="sibTrans" cxnId="{F1C9A186-3002-4BFB-A254-6B4743BD9B45}">
      <dgm:prSet/>
      <dgm:spPr/>
      <dgm:t>
        <a:bodyPr/>
        <a:lstStyle/>
        <a:p>
          <a:endParaRPr lang="en-AU" sz="1400">
            <a:solidFill>
              <a:sysClr val="windowText" lastClr="000000"/>
            </a:solidFill>
          </a:endParaRPr>
        </a:p>
      </dgm:t>
    </dgm:pt>
    <dgm:pt modelId="{E59877B4-E844-4E02-8183-769F97FF5AF3}" type="parTrans" cxnId="{F1C9A186-3002-4BFB-A254-6B4743BD9B45}">
      <dgm:prSet/>
      <dgm:spPr/>
      <dgm:t>
        <a:bodyPr/>
        <a:lstStyle/>
        <a:p>
          <a:endParaRPr lang="en-AU" sz="1400">
            <a:solidFill>
              <a:sysClr val="windowText" lastClr="000000"/>
            </a:solidFill>
          </a:endParaRPr>
        </a:p>
      </dgm:t>
    </dgm:pt>
    <dgm:pt modelId="{7ED32AA2-93D0-4154-9512-C210188CAAE1}">
      <dgm:prSet phldrT="[Text]" custT="1"/>
      <dgm:spPr>
        <a:xfrm>
          <a:off x="6006391" y="3206778"/>
          <a:ext cx="1448250" cy="868755"/>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Healthcare variation and low value care</a:t>
          </a:r>
        </a:p>
      </dgm:t>
    </dgm:pt>
    <dgm:pt modelId="{4E3044F6-8608-46C4-A73A-4CBA1EC26CD7}" type="parTrans" cxnId="{8CED48EF-DCAC-4500-9D90-B90AD4383512}">
      <dgm:prSet/>
      <dgm:spPr/>
      <dgm:t>
        <a:bodyPr/>
        <a:lstStyle/>
        <a:p>
          <a:endParaRPr lang="en-AU" sz="1400"/>
        </a:p>
      </dgm:t>
    </dgm:pt>
    <dgm:pt modelId="{BF0F922D-9BCC-4640-9C88-0100E5D2E6AD}" type="sibTrans" cxnId="{8CED48EF-DCAC-4500-9D90-B90AD4383512}">
      <dgm:prSet/>
      <dgm:spPr/>
      <dgm:t>
        <a:bodyPr/>
        <a:lstStyle/>
        <a:p>
          <a:endParaRPr lang="en-AU" sz="1400"/>
        </a:p>
      </dgm:t>
    </dgm:pt>
    <dgm:pt modelId="{87E5912C-E5C0-4D0F-9BA1-40B988F140FE}">
      <dgm:prSet phldrT="[Text]" custT="1"/>
      <dgm:spPr>
        <a:xfrm>
          <a:off x="7993057" y="5229042"/>
          <a:ext cx="1448250" cy="1331957"/>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National approach to safe and quality use of medicines</a:t>
          </a:r>
        </a:p>
      </dgm:t>
    </dgm:pt>
    <dgm:pt modelId="{EEED364E-AAD9-4A18-A606-3A4CABC90AF8}" type="sibTrans" cxnId="{BFFF8066-AD6E-42F0-A46B-F504339B956C}">
      <dgm:prSet/>
      <dgm:spPr/>
      <dgm:t>
        <a:bodyPr/>
        <a:lstStyle/>
        <a:p>
          <a:endParaRPr lang="en-AU" sz="1400"/>
        </a:p>
      </dgm:t>
    </dgm:pt>
    <dgm:pt modelId="{0A23CF30-939B-40D0-AB7F-9166F19EF573}" type="parTrans" cxnId="{BFFF8066-AD6E-42F0-A46B-F504339B956C}">
      <dgm:prSet/>
      <dgm:spPr/>
      <dgm:t>
        <a:bodyPr/>
        <a:lstStyle/>
        <a:p>
          <a:endParaRPr lang="en-AU" sz="1400"/>
        </a:p>
      </dgm:t>
    </dgm:pt>
    <dgm:pt modelId="{01FE6380-80F7-4175-94F0-E7EEC1830F57}">
      <dgm:prSet phldrT="[Text]" custT="1"/>
      <dgm:spPr>
        <a:xfrm>
          <a:off x="190044" y="5532532"/>
          <a:ext cx="1448250" cy="921885"/>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National standards for health care</a:t>
          </a:r>
        </a:p>
      </dgm:t>
    </dgm:pt>
    <dgm:pt modelId="{2FCCFFA2-25BC-45C7-8EE3-7957FCBD9889}" type="parTrans" cxnId="{BEB4EA21-9C63-437D-992A-F3B765C33B81}">
      <dgm:prSet/>
      <dgm:spPr/>
      <dgm:t>
        <a:bodyPr/>
        <a:lstStyle/>
        <a:p>
          <a:endParaRPr lang="en-AU" sz="1400"/>
        </a:p>
      </dgm:t>
    </dgm:pt>
    <dgm:pt modelId="{A64893FA-91E8-4994-B998-7E3301BA4437}" type="sibTrans" cxnId="{BEB4EA21-9C63-437D-992A-F3B765C33B81}">
      <dgm:prSet/>
      <dgm:spPr/>
      <dgm:t>
        <a:bodyPr/>
        <a:lstStyle/>
        <a:p>
          <a:endParaRPr lang="en-AU" sz="1400"/>
        </a:p>
      </dgm:t>
    </dgm:pt>
    <dgm:pt modelId="{94998533-C3CC-4B86-B745-942D0413DF82}">
      <dgm:prSet phldrT="[Text]" custT="1"/>
      <dgm:spPr>
        <a:xfrm>
          <a:off x="190044" y="5532532"/>
          <a:ext cx="1448250" cy="921885"/>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Accreditation against the NSQHS Standards</a:t>
          </a:r>
        </a:p>
      </dgm:t>
    </dgm:pt>
    <dgm:pt modelId="{76B002A6-7596-4CB9-A76C-D7DD3613C74A}" type="parTrans" cxnId="{6FB2B7A9-088D-4F8D-B153-033C2CCC81AE}">
      <dgm:prSet/>
      <dgm:spPr/>
      <dgm:t>
        <a:bodyPr/>
        <a:lstStyle/>
        <a:p>
          <a:endParaRPr lang="en-AU" sz="1400"/>
        </a:p>
      </dgm:t>
    </dgm:pt>
    <dgm:pt modelId="{E275CA9D-E401-4A36-99D2-7FA11C63C499}" type="sibTrans" cxnId="{6FB2B7A9-088D-4F8D-B153-033C2CCC81AE}">
      <dgm:prSet/>
      <dgm:spPr/>
      <dgm:t>
        <a:bodyPr/>
        <a:lstStyle/>
        <a:p>
          <a:endParaRPr lang="en-AU" sz="1400"/>
        </a:p>
      </dgm:t>
    </dgm:pt>
    <dgm:pt modelId="{BC6C38C9-7DAD-4AE5-85EE-8E906ED526AB}">
      <dgm:prSet phldrT="[Text]" custT="1"/>
      <dgm:spPr>
        <a:xfrm>
          <a:off x="190044" y="5532532"/>
          <a:ext cx="1448250" cy="921885"/>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Culturally safe care for people and communities, particularly First Nations people</a:t>
          </a:r>
        </a:p>
      </dgm:t>
    </dgm:pt>
    <dgm:pt modelId="{EF973C31-301C-4C32-9C28-8209787E9D60}" type="parTrans" cxnId="{089F609A-18EA-46D7-8459-1249A115FBE4}">
      <dgm:prSet/>
      <dgm:spPr/>
      <dgm:t>
        <a:bodyPr/>
        <a:lstStyle/>
        <a:p>
          <a:endParaRPr lang="en-AU" sz="1400"/>
        </a:p>
      </dgm:t>
    </dgm:pt>
    <dgm:pt modelId="{919515A7-D20D-4F23-AABA-C846A7F80356}" type="sibTrans" cxnId="{089F609A-18EA-46D7-8459-1249A115FBE4}">
      <dgm:prSet/>
      <dgm:spPr/>
      <dgm:t>
        <a:bodyPr/>
        <a:lstStyle/>
        <a:p>
          <a:endParaRPr lang="en-AU" sz="1400"/>
        </a:p>
      </dgm:t>
    </dgm:pt>
    <dgm:pt modelId="{32F15C34-A864-46B6-8FDF-8D9DFDE6AB6A}">
      <dgm:prSet phldrT="[Text]" custT="1"/>
      <dgm:spPr>
        <a:xfrm>
          <a:off x="2141286" y="2287434"/>
          <a:ext cx="1448250" cy="1318210"/>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Collaboration and communication between patients, carers, families, communities, health services and clinicians  to strengthen partnerships at all levels of health care</a:t>
          </a:r>
        </a:p>
      </dgm:t>
    </dgm:pt>
    <dgm:pt modelId="{54323A3A-EE4F-4327-BD0C-341092C0DFB4}" type="parTrans" cxnId="{EF8761D2-9894-4D48-91BA-C6CAD3346853}">
      <dgm:prSet/>
      <dgm:spPr/>
      <dgm:t>
        <a:bodyPr/>
        <a:lstStyle/>
        <a:p>
          <a:endParaRPr lang="en-AU" sz="1400"/>
        </a:p>
      </dgm:t>
    </dgm:pt>
    <dgm:pt modelId="{1C0A876A-037D-45CE-A2DA-7800DAB04746}" type="sibTrans" cxnId="{EF8761D2-9894-4D48-91BA-C6CAD3346853}">
      <dgm:prSet/>
      <dgm:spPr/>
      <dgm:t>
        <a:bodyPr/>
        <a:lstStyle/>
        <a:p>
          <a:endParaRPr lang="en-AU" sz="1400"/>
        </a:p>
      </dgm:t>
    </dgm:pt>
    <dgm:pt modelId="{7C334CFB-5506-4424-AE6A-40BED991DB40}">
      <dgm:prSet phldrT="[Text]" custT="1"/>
      <dgm:spPr>
        <a:xfrm>
          <a:off x="2141286" y="2287434"/>
          <a:ext cx="1448250" cy="1318210"/>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Australian Charter of Health Care Rights</a:t>
          </a:r>
        </a:p>
      </dgm:t>
    </dgm:pt>
    <dgm:pt modelId="{D5AA4D18-CD5A-45BA-850A-A0F00538392D}" type="parTrans" cxnId="{656CEA83-1C27-4A59-80C8-DE3E17393D0A}">
      <dgm:prSet/>
      <dgm:spPr/>
      <dgm:t>
        <a:bodyPr/>
        <a:lstStyle/>
        <a:p>
          <a:endParaRPr lang="en-AU" sz="1400"/>
        </a:p>
      </dgm:t>
    </dgm:pt>
    <dgm:pt modelId="{A4519811-CAD3-4DA5-99C3-ED65D8C0B899}" type="sibTrans" cxnId="{656CEA83-1C27-4A59-80C8-DE3E17393D0A}">
      <dgm:prSet/>
      <dgm:spPr/>
      <dgm:t>
        <a:bodyPr/>
        <a:lstStyle/>
        <a:p>
          <a:endParaRPr lang="en-AU" sz="1400"/>
        </a:p>
      </dgm:t>
    </dgm:pt>
    <dgm:pt modelId="{0857BC85-50F1-4106-8344-66829D65FE2D}">
      <dgm:prSet phldrT="[Text]" custT="1"/>
      <dgm:spPr>
        <a:xfrm>
          <a:off x="2141286" y="2287434"/>
          <a:ext cx="1448250" cy="1318210"/>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Equitable health care</a:t>
          </a:r>
        </a:p>
      </dgm:t>
    </dgm:pt>
    <dgm:pt modelId="{97F88BFD-83A6-41A3-9D8E-FBD933C6B898}" type="parTrans" cxnId="{AC919025-135A-49A8-8D7F-1A31C1AF5F96}">
      <dgm:prSet/>
      <dgm:spPr/>
      <dgm:t>
        <a:bodyPr/>
        <a:lstStyle/>
        <a:p>
          <a:endParaRPr lang="en-AU" sz="1400"/>
        </a:p>
      </dgm:t>
    </dgm:pt>
    <dgm:pt modelId="{603750D3-50A8-4E18-96D0-A6D8CA4F7132}" type="sibTrans" cxnId="{AC919025-135A-49A8-8D7F-1A31C1AF5F96}">
      <dgm:prSet/>
      <dgm:spPr/>
      <dgm:t>
        <a:bodyPr/>
        <a:lstStyle/>
        <a:p>
          <a:endParaRPr lang="en-AU" sz="1400"/>
        </a:p>
      </dgm:t>
    </dgm:pt>
    <dgm:pt modelId="{9643B1EF-4930-4BB5-BDEC-58A0800AAF4E}">
      <dgm:prSet phldrT="[Text]" custT="1"/>
      <dgm:spPr>
        <a:xfrm>
          <a:off x="2141286" y="2287434"/>
          <a:ext cx="1448250" cy="1318210"/>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r>
            <a:rPr lang="en-AU" sz="800">
              <a:solidFill>
                <a:sysClr val="windowText" lastClr="000000"/>
              </a:solidFill>
            </a:rPr>
            <a:t>Mental health and suicide prevention</a:t>
          </a:r>
          <a:endParaRPr lang="en-AU" sz="800">
            <a:solidFill>
              <a:sysClr val="windowText" lastClr="000000"/>
            </a:solidFill>
            <a:latin typeface="Calibri" panose="020F0502020204030204"/>
            <a:ea typeface="+mn-ea"/>
            <a:cs typeface="+mn-cs"/>
          </a:endParaRPr>
        </a:p>
      </dgm:t>
    </dgm:pt>
    <dgm:pt modelId="{4A38FB77-89F7-4A65-B4AF-FDC84DAFE4B9}" type="parTrans" cxnId="{05814FBE-6458-42F7-A97C-D99BAF8FA402}">
      <dgm:prSet/>
      <dgm:spPr/>
      <dgm:t>
        <a:bodyPr/>
        <a:lstStyle/>
        <a:p>
          <a:endParaRPr lang="en-AU" sz="1400"/>
        </a:p>
      </dgm:t>
    </dgm:pt>
    <dgm:pt modelId="{527C5100-D8C7-43A7-8ECE-84029A22A8D0}" type="sibTrans" cxnId="{05814FBE-6458-42F7-A97C-D99BAF8FA402}">
      <dgm:prSet/>
      <dgm:spPr/>
      <dgm:t>
        <a:bodyPr/>
        <a:lstStyle/>
        <a:p>
          <a:endParaRPr lang="en-AU" sz="1400"/>
        </a:p>
      </dgm:t>
    </dgm:pt>
    <dgm:pt modelId="{8A63CEFE-7A56-4192-89B6-F25B1CB18D10}">
      <dgm:prSet phldrT="[Text]" custT="1"/>
      <dgm:spPr>
        <a:xfrm>
          <a:off x="6006391" y="3206778"/>
          <a:ext cx="1448250" cy="868755"/>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High-value care pathways and best practice care</a:t>
          </a:r>
        </a:p>
      </dgm:t>
    </dgm:pt>
    <dgm:pt modelId="{4D71FA81-4C4D-43D9-A9DA-B04724F54645}" type="parTrans" cxnId="{95B6D204-177F-46EF-93E9-A076CBFAF81F}">
      <dgm:prSet/>
      <dgm:spPr/>
      <dgm:t>
        <a:bodyPr/>
        <a:lstStyle/>
        <a:p>
          <a:endParaRPr lang="en-AU" sz="1400"/>
        </a:p>
      </dgm:t>
    </dgm:pt>
    <dgm:pt modelId="{23CC07FB-3F43-472D-9176-C7D1D94590FE}" type="sibTrans" cxnId="{95B6D204-177F-46EF-93E9-A076CBFAF81F}">
      <dgm:prSet/>
      <dgm:spPr/>
      <dgm:t>
        <a:bodyPr/>
        <a:lstStyle/>
        <a:p>
          <a:endParaRPr lang="en-AU" sz="1400"/>
        </a:p>
      </dgm:t>
    </dgm:pt>
    <dgm:pt modelId="{8E1FEF40-C2A7-4957-9186-653A5B31ED7B}">
      <dgm:prSet phldrT="[Text]" custT="1"/>
      <dgm:spPr>
        <a:xfrm>
          <a:off x="6006391" y="3206778"/>
          <a:ext cx="1448250" cy="868755"/>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rPr>
            <a:t>Resilient and sustainable health care</a:t>
          </a:r>
          <a:r>
            <a:rPr lang="en-AU" sz="800">
              <a:solidFill>
                <a:sysClr val="windowText" lastClr="000000"/>
              </a:solidFill>
              <a:latin typeface="Calibri" panose="020F0502020204030204"/>
              <a:ea typeface="+mn-ea"/>
              <a:cs typeface="+mn-cs"/>
            </a:rPr>
            <a:t> </a:t>
          </a:r>
        </a:p>
      </dgm:t>
    </dgm:pt>
    <dgm:pt modelId="{8FC4A7A1-9A77-400A-A822-0E9C60B88BEF}" type="parTrans" cxnId="{724EF05D-435E-41D6-A3FF-461B7C7993EB}">
      <dgm:prSet/>
      <dgm:spPr/>
      <dgm:t>
        <a:bodyPr/>
        <a:lstStyle/>
        <a:p>
          <a:endParaRPr lang="en-AU" sz="1400"/>
        </a:p>
      </dgm:t>
    </dgm:pt>
    <dgm:pt modelId="{13103BB1-2FDE-48DB-9B2B-A933E916ACB5}" type="sibTrans" cxnId="{724EF05D-435E-41D6-A3FF-461B7C7993EB}">
      <dgm:prSet/>
      <dgm:spPr/>
      <dgm:t>
        <a:bodyPr/>
        <a:lstStyle/>
        <a:p>
          <a:endParaRPr lang="en-AU" sz="1400"/>
        </a:p>
      </dgm:t>
    </dgm:pt>
    <dgm:pt modelId="{8498A0D3-8A9E-4BC8-B895-A482AB2E99FF}">
      <dgm:prSet phldrT="[Text]" custT="1"/>
      <dgm:spPr>
        <a:xfrm>
          <a:off x="7993057" y="5229042"/>
          <a:ext cx="1448250" cy="1331957"/>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Infection prevention control and antimicrobial use and resistance</a:t>
          </a:r>
        </a:p>
      </dgm:t>
    </dgm:pt>
    <dgm:pt modelId="{B636348A-569A-4372-90CE-EBC62EB83286}" type="parTrans" cxnId="{797D0EE5-6E9D-41FB-A19A-5AA1D684F02C}">
      <dgm:prSet/>
      <dgm:spPr/>
      <dgm:t>
        <a:bodyPr/>
        <a:lstStyle/>
        <a:p>
          <a:endParaRPr lang="en-AU" sz="1400"/>
        </a:p>
      </dgm:t>
    </dgm:pt>
    <dgm:pt modelId="{F0A61B36-3FA6-4BD9-ACB6-EF19778E33FD}" type="sibTrans" cxnId="{797D0EE5-6E9D-41FB-A19A-5AA1D684F02C}">
      <dgm:prSet/>
      <dgm:spPr/>
      <dgm:t>
        <a:bodyPr/>
        <a:lstStyle/>
        <a:p>
          <a:endParaRPr lang="en-AU" sz="1400"/>
        </a:p>
      </dgm:t>
    </dgm:pt>
    <dgm:pt modelId="{CC3F46B8-A64E-45F1-B47B-AC6A5AECD06E}">
      <dgm:prSet phldrT="[Text]" custT="1"/>
      <dgm:spPr>
        <a:xfrm>
          <a:off x="7993057" y="5229042"/>
          <a:ext cx="1448250" cy="1331957"/>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Digital health</a:t>
          </a:r>
        </a:p>
      </dgm:t>
    </dgm:pt>
    <dgm:pt modelId="{0FA9BDDE-38F3-4F89-AFAA-C897AF1853C5}" type="parTrans" cxnId="{52AED84B-AA0A-4F66-821A-6DD3922930A2}">
      <dgm:prSet/>
      <dgm:spPr/>
      <dgm:t>
        <a:bodyPr/>
        <a:lstStyle/>
        <a:p>
          <a:endParaRPr lang="en-AU" sz="1400"/>
        </a:p>
      </dgm:t>
    </dgm:pt>
    <dgm:pt modelId="{5D281F32-9568-49E2-A8D9-E3B60868EC2C}" type="sibTrans" cxnId="{52AED84B-AA0A-4F66-821A-6DD3922930A2}">
      <dgm:prSet/>
      <dgm:spPr/>
      <dgm:t>
        <a:bodyPr/>
        <a:lstStyle/>
        <a:p>
          <a:endParaRPr lang="en-AU" sz="1400"/>
        </a:p>
      </dgm:t>
    </dgm:pt>
    <dgm:pt modelId="{6D7AF9D1-D80B-4FA9-98D8-5CF50943C920}">
      <dgm:prSet phldrT="[Text]" custT="1"/>
      <dgm:spPr>
        <a:xfrm>
          <a:off x="7993057" y="5229042"/>
          <a:ext cx="1448250" cy="1331957"/>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Artificial intelligence</a:t>
          </a:r>
        </a:p>
      </dgm:t>
    </dgm:pt>
    <dgm:pt modelId="{12C09AA5-C2BA-4931-ACDB-36BDB06CD44A}" type="parTrans" cxnId="{A496DA25-26E3-4060-AB50-6B672EC35007}">
      <dgm:prSet/>
      <dgm:spPr/>
      <dgm:t>
        <a:bodyPr/>
        <a:lstStyle/>
        <a:p>
          <a:endParaRPr lang="en-AU" sz="1400"/>
        </a:p>
      </dgm:t>
    </dgm:pt>
    <dgm:pt modelId="{B8223022-A929-42D0-9E58-6EA14BD6BD19}" type="sibTrans" cxnId="{A496DA25-26E3-4060-AB50-6B672EC35007}">
      <dgm:prSet/>
      <dgm:spPr/>
      <dgm:t>
        <a:bodyPr/>
        <a:lstStyle/>
        <a:p>
          <a:endParaRPr lang="en-AU" sz="1400"/>
        </a:p>
      </dgm:t>
    </dgm:pt>
    <dgm:pt modelId="{1ED9A1A7-FC0A-49A9-8EB4-91ADD29D8CE7}">
      <dgm:prSet phldrT="[Text]" custT="1"/>
      <dgm:spPr>
        <a:xfrm>
          <a:off x="7993057" y="5229042"/>
          <a:ext cx="1448250" cy="1331957"/>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Medical devices and new technologies</a:t>
          </a:r>
        </a:p>
      </dgm:t>
    </dgm:pt>
    <dgm:pt modelId="{27F9547E-22FB-4D7C-AC47-AAAFBB003198}" type="parTrans" cxnId="{97E04E62-E608-4D4E-A94D-3E14DF8AC392}">
      <dgm:prSet/>
      <dgm:spPr/>
      <dgm:t>
        <a:bodyPr/>
        <a:lstStyle/>
        <a:p>
          <a:endParaRPr lang="en-AU" sz="1400"/>
        </a:p>
      </dgm:t>
    </dgm:pt>
    <dgm:pt modelId="{5D6F92F9-0553-46A4-9AE0-1C455170A047}" type="sibTrans" cxnId="{97E04E62-E608-4D4E-A94D-3E14DF8AC392}">
      <dgm:prSet/>
      <dgm:spPr/>
      <dgm:t>
        <a:bodyPr/>
        <a:lstStyle/>
        <a:p>
          <a:endParaRPr lang="en-AU" sz="1400"/>
        </a:p>
      </dgm:t>
    </dgm:pt>
    <dgm:pt modelId="{4C73E0E3-73CB-4623-B4E6-EB5392254CCF}">
      <dgm:prSet phldrT="[Text]" custT="1"/>
      <dgm:spPr>
        <a:xfrm>
          <a:off x="7993057" y="5229042"/>
          <a:ext cx="1448250" cy="1331957"/>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r>
            <a:rPr lang="en-AU" sz="800">
              <a:solidFill>
                <a:sysClr val="windowText" lastClr="000000"/>
              </a:solidFill>
            </a:rPr>
            <a:t>Challenging behaviours</a:t>
          </a:r>
        </a:p>
      </dgm:t>
    </dgm:pt>
    <dgm:pt modelId="{26982B20-9B5E-4ADA-A588-B1290CFB37B5}" type="parTrans" cxnId="{94BD4233-F50C-4263-B281-FC49FC64F37D}">
      <dgm:prSet/>
      <dgm:spPr/>
      <dgm:t>
        <a:bodyPr/>
        <a:lstStyle/>
        <a:p>
          <a:endParaRPr lang="en-AU" sz="1400"/>
        </a:p>
      </dgm:t>
    </dgm:pt>
    <dgm:pt modelId="{574CE868-33A5-4E16-9E0E-53C817FF2FCA}" type="sibTrans" cxnId="{94BD4233-F50C-4263-B281-FC49FC64F37D}">
      <dgm:prSet/>
      <dgm:spPr/>
      <dgm:t>
        <a:bodyPr/>
        <a:lstStyle/>
        <a:p>
          <a:endParaRPr lang="en-AU" sz="1400"/>
        </a:p>
      </dgm:t>
    </dgm:pt>
    <dgm:pt modelId="{E59B5DD3-1CE3-481E-8281-1EA62BDD2738}">
      <dgm:prSet phldrT="[Text]" custT="1"/>
      <dgm:spPr>
        <a:xfrm>
          <a:off x="9886948" y="3535953"/>
          <a:ext cx="1397532" cy="857050"/>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r>
            <a:rPr lang="en-AU" sz="800">
              <a:solidFill>
                <a:sysClr val="windowText" lastClr="000000"/>
              </a:solidFill>
            </a:rPr>
            <a:t>Transitions of care / Communicating for safety</a:t>
          </a:r>
          <a:endParaRPr lang="en-AU" sz="800">
            <a:solidFill>
              <a:sysClr val="windowText" lastClr="000000"/>
            </a:solidFill>
            <a:latin typeface="Calibri" panose="020F0502020204030204"/>
            <a:ea typeface="+mn-ea"/>
            <a:cs typeface="+mn-cs"/>
          </a:endParaRPr>
        </a:p>
      </dgm:t>
    </dgm:pt>
    <dgm:pt modelId="{06C03224-CF04-449A-9AA9-DFF7F5682DB4}" type="parTrans" cxnId="{F771C5DE-6AA7-4854-A9C2-0B008367C09A}">
      <dgm:prSet/>
      <dgm:spPr/>
      <dgm:t>
        <a:bodyPr/>
        <a:lstStyle/>
        <a:p>
          <a:endParaRPr lang="en-AU" sz="1400"/>
        </a:p>
      </dgm:t>
    </dgm:pt>
    <dgm:pt modelId="{7665CD99-C4CB-4A8E-BE2B-0F6BAABF8BD7}" type="sibTrans" cxnId="{F771C5DE-6AA7-4854-A9C2-0B008367C09A}">
      <dgm:prSet/>
      <dgm:spPr/>
      <dgm:t>
        <a:bodyPr/>
        <a:lstStyle/>
        <a:p>
          <a:endParaRPr lang="en-AU" sz="1400"/>
        </a:p>
      </dgm:t>
    </dgm:pt>
    <dgm:pt modelId="{3AF3D94B-7341-43EB-8884-1A2BA9B55380}">
      <dgm:prSet phldrT="[Text]" custT="1"/>
      <dgm:spPr>
        <a:xfrm>
          <a:off x="9886948" y="3535953"/>
          <a:ext cx="1397532" cy="857050"/>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r>
            <a:rPr lang="en-AU" sz="800">
              <a:solidFill>
                <a:sysClr val="windowText" lastClr="000000"/>
              </a:solidFill>
              <a:latin typeface="Calibri" panose="020F0502020204030204"/>
              <a:ea typeface="+mn-ea"/>
              <a:cs typeface="+mn-cs"/>
            </a:rPr>
            <a:t>Integration of health care across the health (primary and acute), aged care and disability sectors</a:t>
          </a:r>
        </a:p>
      </dgm:t>
    </dgm:pt>
    <dgm:pt modelId="{587FD9DC-6FE8-42B9-BFF0-CA1C748E304D}" type="parTrans" cxnId="{FCA00765-0BB6-443E-8BBE-341E25FDE3A5}">
      <dgm:prSet/>
      <dgm:spPr/>
      <dgm:t>
        <a:bodyPr/>
        <a:lstStyle/>
        <a:p>
          <a:endParaRPr lang="en-AU" sz="1400"/>
        </a:p>
      </dgm:t>
    </dgm:pt>
    <dgm:pt modelId="{00678493-504F-416F-A409-201C19A0F88A}" type="sibTrans" cxnId="{FCA00765-0BB6-443E-8BBE-341E25FDE3A5}">
      <dgm:prSet/>
      <dgm:spPr/>
      <dgm:t>
        <a:bodyPr/>
        <a:lstStyle/>
        <a:p>
          <a:endParaRPr lang="en-AU" sz="1400"/>
        </a:p>
      </dgm:t>
    </dgm:pt>
    <dgm:pt modelId="{0B58BEC1-0A9E-48B6-896E-5FD8FB42F941}">
      <dgm:prSet phldrT="[Text]" custT="1"/>
      <dgm:spPr>
        <a:xfrm>
          <a:off x="11759594" y="6697393"/>
          <a:ext cx="1448250" cy="740954"/>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Assessing the safety and quality of the Australian healthcare system</a:t>
          </a:r>
        </a:p>
      </dgm:t>
    </dgm:pt>
    <dgm:pt modelId="{DB005EE2-4FBA-4345-9AB9-D4CA600957DF}" type="parTrans" cxnId="{4FA5DF55-1A6C-499D-BCAD-D09C7AE9F895}">
      <dgm:prSet/>
      <dgm:spPr/>
      <dgm:t>
        <a:bodyPr/>
        <a:lstStyle/>
        <a:p>
          <a:endParaRPr lang="en-AU" sz="1400"/>
        </a:p>
      </dgm:t>
    </dgm:pt>
    <dgm:pt modelId="{4FF4AF5C-AB8F-41EC-B364-A6436A3FFBF0}" type="sibTrans" cxnId="{4FA5DF55-1A6C-499D-BCAD-D09C7AE9F895}">
      <dgm:prSet/>
      <dgm:spPr/>
      <dgm:t>
        <a:bodyPr/>
        <a:lstStyle/>
        <a:p>
          <a:endParaRPr lang="en-AU" sz="1400"/>
        </a:p>
      </dgm:t>
    </dgm:pt>
    <dgm:pt modelId="{9F93FAF0-F733-4F40-AA63-A194A2F67BE5}">
      <dgm:prSet phldrT="[Text]" custT="1"/>
      <dgm:spPr>
        <a:xfrm>
          <a:off x="11759594" y="6697393"/>
          <a:ext cx="1448250" cy="740954"/>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 Measuring, monitoring and reporting the safety and quality of acute, primary and community care</a:t>
          </a:r>
        </a:p>
      </dgm:t>
    </dgm:pt>
    <dgm:pt modelId="{030528A0-8C4F-4583-8C5D-AC79F3BEDBE4}" type="parTrans" cxnId="{6B66A24C-5A73-4E7F-8340-9C4E81ECCED1}">
      <dgm:prSet/>
      <dgm:spPr/>
      <dgm:t>
        <a:bodyPr/>
        <a:lstStyle/>
        <a:p>
          <a:endParaRPr lang="en-AU" sz="1400"/>
        </a:p>
      </dgm:t>
    </dgm:pt>
    <dgm:pt modelId="{451F0446-F283-4AD6-8EFA-191417084B7E}" type="sibTrans" cxnId="{6B66A24C-5A73-4E7F-8340-9C4E81ECCED1}">
      <dgm:prSet/>
      <dgm:spPr/>
      <dgm:t>
        <a:bodyPr/>
        <a:lstStyle/>
        <a:p>
          <a:endParaRPr lang="en-AU" sz="1400"/>
        </a:p>
      </dgm:t>
    </dgm:pt>
    <dgm:pt modelId="{10364759-8337-47E3-9E21-623F7BDE93E3}">
      <dgm:prSet phldrT="[Text]" custT="1"/>
      <dgm:spPr>
        <a:xfrm>
          <a:off x="11759594" y="6697393"/>
          <a:ext cx="1448250" cy="740954"/>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Text" lastClr="000000"/>
              </a:solidFill>
              <a:latin typeface="Calibri" panose="020F0502020204030204"/>
              <a:ea typeface="+mn-ea"/>
              <a:cs typeface="+mn-cs"/>
            </a:rPr>
            <a:t>Public reporting for transparency</a:t>
          </a:r>
        </a:p>
      </dgm:t>
    </dgm:pt>
    <dgm:pt modelId="{0D9A8D4F-BCC3-40A4-A29B-7F0CDD5C622F}" type="parTrans" cxnId="{31787E6F-2E0E-4FB6-9179-640E8FF335F2}">
      <dgm:prSet/>
      <dgm:spPr/>
      <dgm:t>
        <a:bodyPr/>
        <a:lstStyle/>
        <a:p>
          <a:endParaRPr lang="en-AU" sz="1400"/>
        </a:p>
      </dgm:t>
    </dgm:pt>
    <dgm:pt modelId="{E61DC023-1249-4D59-8BDE-22D238FD9283}" type="sibTrans" cxnId="{31787E6F-2E0E-4FB6-9179-640E8FF335F2}">
      <dgm:prSet/>
      <dgm:spPr/>
      <dgm:t>
        <a:bodyPr/>
        <a:lstStyle/>
        <a:p>
          <a:endParaRPr lang="en-AU" sz="1400"/>
        </a:p>
      </dgm:t>
    </dgm:pt>
    <dgm:pt modelId="{C736C17B-C719-41C3-B88A-D54EAE9CF4DB}" type="pres">
      <dgm:prSet presAssocID="{71F1D4DB-AF65-4AAB-8C5D-4D16DA741AFE}" presName="theList" presStyleCnt="0">
        <dgm:presLayoutVars>
          <dgm:dir/>
          <dgm:animLvl val="lvl"/>
          <dgm:resizeHandles val="exact"/>
        </dgm:presLayoutVars>
      </dgm:prSet>
      <dgm:spPr/>
    </dgm:pt>
    <dgm:pt modelId="{DBD17BAF-26A2-43BD-B2D7-73E8355039A5}" type="pres">
      <dgm:prSet presAssocID="{677CBDB4-1730-4C80-A5CC-035D835E7010}" presName="compNode" presStyleCnt="0"/>
      <dgm:spPr/>
    </dgm:pt>
    <dgm:pt modelId="{066AD555-A299-4EF7-A3C1-0EA7603D8D22}" type="pres">
      <dgm:prSet presAssocID="{677CBDB4-1730-4C80-A5CC-035D835E7010}" presName="aNode" presStyleLbl="bgShp" presStyleIdx="0" presStyleCnt="6" custLinFactNeighborX="-542" custLinFactNeighborY="-3960"/>
      <dgm:spPr/>
    </dgm:pt>
    <dgm:pt modelId="{963A249A-A6B1-429A-8B8D-A4EBD98E8563}" type="pres">
      <dgm:prSet presAssocID="{677CBDB4-1730-4C80-A5CC-035D835E7010}" presName="textNode" presStyleLbl="bgShp" presStyleIdx="0" presStyleCnt="6"/>
      <dgm:spPr/>
    </dgm:pt>
    <dgm:pt modelId="{1F2D57D1-50F0-4E95-AECC-94F29557D0C7}" type="pres">
      <dgm:prSet presAssocID="{677CBDB4-1730-4C80-A5CC-035D835E7010}" presName="compChildNode" presStyleCnt="0"/>
      <dgm:spPr/>
    </dgm:pt>
    <dgm:pt modelId="{B635350F-A212-4768-8183-B17F5A04D7B8}" type="pres">
      <dgm:prSet presAssocID="{677CBDB4-1730-4C80-A5CC-035D835E7010}" presName="theInnerList" presStyleCnt="0"/>
      <dgm:spPr/>
    </dgm:pt>
    <dgm:pt modelId="{8829C420-73F8-4167-8446-A6F00049E233}" type="pres">
      <dgm:prSet presAssocID="{22EBB358-4F96-40E3-A972-BDDDB5DF8975}" presName="childNode" presStyleLbl="node1" presStyleIdx="0" presStyleCnt="25" custScaleX="97654" custScaleY="86269" custLinFactNeighborX="664" custLinFactNeighborY="-8444">
        <dgm:presLayoutVars>
          <dgm:bulletEnabled val="1"/>
        </dgm:presLayoutVars>
      </dgm:prSet>
      <dgm:spPr/>
    </dgm:pt>
    <dgm:pt modelId="{DA02F3C6-055D-4AFD-9B47-C7F6FAD68CF3}" type="pres">
      <dgm:prSet presAssocID="{22EBB358-4F96-40E3-A972-BDDDB5DF8975}" presName="aSpace2" presStyleCnt="0"/>
      <dgm:spPr/>
    </dgm:pt>
    <dgm:pt modelId="{FF513BC1-A12A-473A-8536-40B8EB0E4AA5}" type="pres">
      <dgm:prSet presAssocID="{01FE6380-80F7-4175-94F0-E7EEC1830F57}" presName="childNode" presStyleLbl="node1" presStyleIdx="1" presStyleCnt="25">
        <dgm:presLayoutVars>
          <dgm:bulletEnabled val="1"/>
        </dgm:presLayoutVars>
      </dgm:prSet>
      <dgm:spPr>
        <a:prstGeom prst="roundRect">
          <a:avLst>
            <a:gd name="adj" fmla="val 10000"/>
          </a:avLst>
        </a:prstGeom>
      </dgm:spPr>
    </dgm:pt>
    <dgm:pt modelId="{EEEE81B8-D8A2-46C8-A18C-62753098DC9F}" type="pres">
      <dgm:prSet presAssocID="{01FE6380-80F7-4175-94F0-E7EEC1830F57}" presName="aSpace2" presStyleCnt="0"/>
      <dgm:spPr/>
    </dgm:pt>
    <dgm:pt modelId="{2576921A-EF2C-456E-B15C-64720659FAE9}" type="pres">
      <dgm:prSet presAssocID="{94998533-C3CC-4B86-B745-942D0413DF82}" presName="childNode" presStyleLbl="node1" presStyleIdx="2" presStyleCnt="25">
        <dgm:presLayoutVars>
          <dgm:bulletEnabled val="1"/>
        </dgm:presLayoutVars>
      </dgm:prSet>
      <dgm:spPr/>
    </dgm:pt>
    <dgm:pt modelId="{175659A3-B1C6-448A-98EC-D6B73DA4811E}" type="pres">
      <dgm:prSet presAssocID="{94998533-C3CC-4B86-B745-942D0413DF82}" presName="aSpace2" presStyleCnt="0"/>
      <dgm:spPr/>
    </dgm:pt>
    <dgm:pt modelId="{12D2C08A-2A70-4ABB-B6BD-9FB384A35EB8}" type="pres">
      <dgm:prSet presAssocID="{BC6C38C9-7DAD-4AE5-85EE-8E906ED526AB}" presName="childNode" presStyleLbl="node1" presStyleIdx="3" presStyleCnt="25">
        <dgm:presLayoutVars>
          <dgm:bulletEnabled val="1"/>
        </dgm:presLayoutVars>
      </dgm:prSet>
      <dgm:spPr/>
    </dgm:pt>
    <dgm:pt modelId="{D5935554-D95E-49B4-AB55-8381236FA2EB}" type="pres">
      <dgm:prSet presAssocID="{677CBDB4-1730-4C80-A5CC-035D835E7010}" presName="aSpace" presStyleCnt="0"/>
      <dgm:spPr/>
    </dgm:pt>
    <dgm:pt modelId="{D1E82EFF-0E36-415A-AB3F-DA02F91D2CBA}" type="pres">
      <dgm:prSet presAssocID="{B404D31D-7143-47EA-B532-DB304FE6EA14}" presName="compNode" presStyleCnt="0"/>
      <dgm:spPr/>
    </dgm:pt>
    <dgm:pt modelId="{64DB5BB9-9A5C-4268-9EF1-FE4E6400CE2E}" type="pres">
      <dgm:prSet presAssocID="{B404D31D-7143-47EA-B532-DB304FE6EA14}" presName="aNode" presStyleLbl="bgShp" presStyleIdx="1" presStyleCnt="6" custLinFactNeighborX="-662" custLinFactNeighborY="1280"/>
      <dgm:spPr/>
    </dgm:pt>
    <dgm:pt modelId="{1A5C0555-F9AB-4A1B-8160-B7848E8E8538}" type="pres">
      <dgm:prSet presAssocID="{B404D31D-7143-47EA-B532-DB304FE6EA14}" presName="textNode" presStyleLbl="bgShp" presStyleIdx="1" presStyleCnt="6"/>
      <dgm:spPr/>
    </dgm:pt>
    <dgm:pt modelId="{CD5006B8-8A03-4116-855C-062C7B96C515}" type="pres">
      <dgm:prSet presAssocID="{B404D31D-7143-47EA-B532-DB304FE6EA14}" presName="compChildNode" presStyleCnt="0"/>
      <dgm:spPr/>
    </dgm:pt>
    <dgm:pt modelId="{5CD534B6-DFAC-4462-9CCE-AB5D4ED3F9C7}" type="pres">
      <dgm:prSet presAssocID="{B404D31D-7143-47EA-B532-DB304FE6EA14}" presName="theInnerList" presStyleCnt="0"/>
      <dgm:spPr/>
    </dgm:pt>
    <dgm:pt modelId="{9E72FB05-D9B7-49A5-848A-E87257B4D2AE}" type="pres">
      <dgm:prSet presAssocID="{B7BB6290-223F-4A7C-9468-D0F95B47DB49}" presName="childNode" presStyleLbl="node1" presStyleIdx="4" presStyleCnt="25" custScaleY="57561" custLinFactNeighborX="-537" custLinFactNeighborY="-7803">
        <dgm:presLayoutVars>
          <dgm:bulletEnabled val="1"/>
        </dgm:presLayoutVars>
      </dgm:prSet>
      <dgm:spPr/>
    </dgm:pt>
    <dgm:pt modelId="{07B107F9-D7DD-43DB-B593-116A31584246}" type="pres">
      <dgm:prSet presAssocID="{B7BB6290-223F-4A7C-9468-D0F95B47DB49}" presName="aSpace2" presStyleCnt="0"/>
      <dgm:spPr/>
    </dgm:pt>
    <dgm:pt modelId="{C8032647-5E6E-430B-8EDB-C6A61885259B}" type="pres">
      <dgm:prSet presAssocID="{32F15C34-A864-46B6-8FDF-8D9DFDE6AB6A}" presName="childNode" presStyleLbl="node1" presStyleIdx="5" presStyleCnt="25" custScaleY="143986">
        <dgm:presLayoutVars>
          <dgm:bulletEnabled val="1"/>
        </dgm:presLayoutVars>
      </dgm:prSet>
      <dgm:spPr>
        <a:prstGeom prst="roundRect">
          <a:avLst>
            <a:gd name="adj" fmla="val 10000"/>
          </a:avLst>
        </a:prstGeom>
      </dgm:spPr>
    </dgm:pt>
    <dgm:pt modelId="{E7796DEE-0128-4CC0-844B-8BE264813AD8}" type="pres">
      <dgm:prSet presAssocID="{32F15C34-A864-46B6-8FDF-8D9DFDE6AB6A}" presName="aSpace2" presStyleCnt="0"/>
      <dgm:spPr/>
    </dgm:pt>
    <dgm:pt modelId="{0B901D84-DEA6-44FB-9329-4E9A85245381}" type="pres">
      <dgm:prSet presAssocID="{7C334CFB-5506-4424-AE6A-40BED991DB40}" presName="childNode" presStyleLbl="node1" presStyleIdx="6" presStyleCnt="25" custScaleY="38206" custLinFactNeighborY="34462">
        <dgm:presLayoutVars>
          <dgm:bulletEnabled val="1"/>
        </dgm:presLayoutVars>
      </dgm:prSet>
      <dgm:spPr/>
    </dgm:pt>
    <dgm:pt modelId="{7C328F48-B983-4F3B-80D1-A33A8841F0EB}" type="pres">
      <dgm:prSet presAssocID="{7C334CFB-5506-4424-AE6A-40BED991DB40}" presName="aSpace2" presStyleCnt="0"/>
      <dgm:spPr/>
    </dgm:pt>
    <dgm:pt modelId="{E6B1F792-F1ED-4CA8-BA9B-8A78DAAEE7F2}" type="pres">
      <dgm:prSet presAssocID="{0857BC85-50F1-4106-8344-66829D65FE2D}" presName="childNode" presStyleLbl="node1" presStyleIdx="7" presStyleCnt="25" custScaleY="40805" custLinFactNeighborY="25846">
        <dgm:presLayoutVars>
          <dgm:bulletEnabled val="1"/>
        </dgm:presLayoutVars>
      </dgm:prSet>
      <dgm:spPr/>
    </dgm:pt>
    <dgm:pt modelId="{11C5934C-0EF3-41D7-9805-74926F04F0CC}" type="pres">
      <dgm:prSet presAssocID="{0857BC85-50F1-4106-8344-66829D65FE2D}" presName="aSpace2" presStyleCnt="0"/>
      <dgm:spPr/>
    </dgm:pt>
    <dgm:pt modelId="{58651BF1-317C-4603-B603-86F868FB42C2}" type="pres">
      <dgm:prSet presAssocID="{9643B1EF-4930-4BB5-BDEC-58A0800AAF4E}" presName="childNode" presStyleLbl="node1" presStyleIdx="8" presStyleCnt="25" custScaleY="47120" custLinFactNeighborY="25846">
        <dgm:presLayoutVars>
          <dgm:bulletEnabled val="1"/>
        </dgm:presLayoutVars>
      </dgm:prSet>
      <dgm:spPr/>
    </dgm:pt>
    <dgm:pt modelId="{6E1E67BD-393F-4545-88E1-8B8641511D44}" type="pres">
      <dgm:prSet presAssocID="{B404D31D-7143-47EA-B532-DB304FE6EA14}" presName="aSpace" presStyleCnt="0"/>
      <dgm:spPr/>
    </dgm:pt>
    <dgm:pt modelId="{22972B19-09E6-44CC-9566-B1658E690B7C}" type="pres">
      <dgm:prSet presAssocID="{8F9B7437-CCA4-4209-AA40-985FB976D2E3}" presName="compNode" presStyleCnt="0"/>
      <dgm:spPr/>
    </dgm:pt>
    <dgm:pt modelId="{0DF98843-7A99-484A-9D86-8EF71BAA512B}" type="pres">
      <dgm:prSet presAssocID="{8F9B7437-CCA4-4209-AA40-985FB976D2E3}" presName="aNode" presStyleLbl="bgShp" presStyleIdx="2" presStyleCnt="6" custLinFactNeighborX="837" custLinFactNeighborY="-749"/>
      <dgm:spPr/>
    </dgm:pt>
    <dgm:pt modelId="{468D3B7D-8C35-4C9D-A4AE-A1A1FD6542E2}" type="pres">
      <dgm:prSet presAssocID="{8F9B7437-CCA4-4209-AA40-985FB976D2E3}" presName="textNode" presStyleLbl="bgShp" presStyleIdx="2" presStyleCnt="6"/>
      <dgm:spPr/>
    </dgm:pt>
    <dgm:pt modelId="{EC783118-D9A9-45DE-BCD4-FF5F75F24D5A}" type="pres">
      <dgm:prSet presAssocID="{8F9B7437-CCA4-4209-AA40-985FB976D2E3}" presName="compChildNode" presStyleCnt="0"/>
      <dgm:spPr/>
    </dgm:pt>
    <dgm:pt modelId="{E6721E7F-E19F-45DC-8BB6-CF36F5D04225}" type="pres">
      <dgm:prSet presAssocID="{8F9B7437-CCA4-4209-AA40-985FB976D2E3}" presName="theInnerList" presStyleCnt="0"/>
      <dgm:spPr/>
    </dgm:pt>
    <dgm:pt modelId="{3AE9D941-DC1A-43CC-949B-47A71BA58DD5}" type="pres">
      <dgm:prSet presAssocID="{7ED32AA2-93D0-4154-9512-C210188CAAE1}" presName="childNode" presStyleLbl="node1" presStyleIdx="9" presStyleCnt="25" custLinFactNeighborX="643" custLinFactNeighborY="-5292">
        <dgm:presLayoutVars>
          <dgm:bulletEnabled val="1"/>
        </dgm:presLayoutVars>
      </dgm:prSet>
      <dgm:spPr/>
    </dgm:pt>
    <dgm:pt modelId="{53A8B474-CB18-440A-B8BC-62CF3E999D7D}" type="pres">
      <dgm:prSet presAssocID="{7ED32AA2-93D0-4154-9512-C210188CAAE1}" presName="aSpace2" presStyleCnt="0"/>
      <dgm:spPr/>
    </dgm:pt>
    <dgm:pt modelId="{7BAAD3ED-7EF5-49FB-9B44-13FC3DB2629C}" type="pres">
      <dgm:prSet presAssocID="{8A63CEFE-7A56-4192-89B6-F25B1CB18D10}" presName="childNode" presStyleLbl="node1" presStyleIdx="10" presStyleCnt="25">
        <dgm:presLayoutVars>
          <dgm:bulletEnabled val="1"/>
        </dgm:presLayoutVars>
      </dgm:prSet>
      <dgm:spPr/>
    </dgm:pt>
    <dgm:pt modelId="{30ACF5F8-062D-448C-B069-242FC09DCDFB}" type="pres">
      <dgm:prSet presAssocID="{8A63CEFE-7A56-4192-89B6-F25B1CB18D10}" presName="aSpace2" presStyleCnt="0"/>
      <dgm:spPr/>
    </dgm:pt>
    <dgm:pt modelId="{80D732E0-8C6C-4BCB-8608-CEA81B9335BB}" type="pres">
      <dgm:prSet presAssocID="{8E1FEF40-C2A7-4957-9186-653A5B31ED7B}" presName="childNode" presStyleLbl="node1" presStyleIdx="11" presStyleCnt="25">
        <dgm:presLayoutVars>
          <dgm:bulletEnabled val="1"/>
        </dgm:presLayoutVars>
      </dgm:prSet>
      <dgm:spPr/>
    </dgm:pt>
    <dgm:pt modelId="{CF2D68AE-2F31-47E9-8C07-B0218B0F5953}" type="pres">
      <dgm:prSet presAssocID="{8F9B7437-CCA4-4209-AA40-985FB976D2E3}" presName="aSpace" presStyleCnt="0"/>
      <dgm:spPr/>
    </dgm:pt>
    <dgm:pt modelId="{82D33498-F95A-4A4A-9D2F-F656C0058227}" type="pres">
      <dgm:prSet presAssocID="{E1EDB9EF-6DCB-4560-AC33-28D7B42E180D}" presName="compNode" presStyleCnt="0"/>
      <dgm:spPr/>
    </dgm:pt>
    <dgm:pt modelId="{794676AF-2E77-4336-B8C5-4E08EE5F32F5}" type="pres">
      <dgm:prSet presAssocID="{E1EDB9EF-6DCB-4560-AC33-28D7B42E180D}" presName="aNode" presStyleLbl="bgShp" presStyleIdx="3" presStyleCnt="6" custLinFactNeighborX="2939" custLinFactNeighborY="107"/>
      <dgm:spPr/>
    </dgm:pt>
    <dgm:pt modelId="{574010FE-1B31-498A-AC69-E6EAC25DBF74}" type="pres">
      <dgm:prSet presAssocID="{E1EDB9EF-6DCB-4560-AC33-28D7B42E180D}" presName="textNode" presStyleLbl="bgShp" presStyleIdx="3" presStyleCnt="6"/>
      <dgm:spPr/>
    </dgm:pt>
    <dgm:pt modelId="{B7BFEE73-0589-4A7F-B065-681E8C8DAD2F}" type="pres">
      <dgm:prSet presAssocID="{E1EDB9EF-6DCB-4560-AC33-28D7B42E180D}" presName="compChildNode" presStyleCnt="0"/>
      <dgm:spPr/>
    </dgm:pt>
    <dgm:pt modelId="{A2ABC8ED-6800-4AA4-8365-C476EFB8B4AA}" type="pres">
      <dgm:prSet presAssocID="{E1EDB9EF-6DCB-4560-AC33-28D7B42E180D}" presName="theInnerList" presStyleCnt="0"/>
      <dgm:spPr/>
    </dgm:pt>
    <dgm:pt modelId="{67D02929-8B45-404F-8B34-318727359E08}" type="pres">
      <dgm:prSet presAssocID="{87E5912C-E5C0-4D0F-9BA1-40B988F140FE}" presName="childNode" presStyleLbl="node1" presStyleIdx="12" presStyleCnt="25" custScaleY="99612" custLinFactNeighborX="4031" custLinFactNeighborY="-4457">
        <dgm:presLayoutVars>
          <dgm:bulletEnabled val="1"/>
        </dgm:presLayoutVars>
      </dgm:prSet>
      <dgm:spPr/>
    </dgm:pt>
    <dgm:pt modelId="{BD16E6B5-53A2-4600-AE4E-6F7EBCC862C2}" type="pres">
      <dgm:prSet presAssocID="{87E5912C-E5C0-4D0F-9BA1-40B988F140FE}" presName="aSpace2" presStyleCnt="0"/>
      <dgm:spPr/>
    </dgm:pt>
    <dgm:pt modelId="{2905B8BB-A9F6-45B6-8D14-8329C5DA4F38}" type="pres">
      <dgm:prSet presAssocID="{8498A0D3-8A9E-4BC8-B895-A482AB2E99FF}" presName="childNode" presStyleLbl="node1" presStyleIdx="13" presStyleCnt="25" custLinFactNeighborX="3352">
        <dgm:presLayoutVars>
          <dgm:bulletEnabled val="1"/>
        </dgm:presLayoutVars>
      </dgm:prSet>
      <dgm:spPr>
        <a:prstGeom prst="roundRect">
          <a:avLst>
            <a:gd name="adj" fmla="val 10000"/>
          </a:avLst>
        </a:prstGeom>
      </dgm:spPr>
    </dgm:pt>
    <dgm:pt modelId="{114534E2-0A92-4500-B2F7-922988A5BFEC}" type="pres">
      <dgm:prSet presAssocID="{8498A0D3-8A9E-4BC8-B895-A482AB2E99FF}" presName="aSpace2" presStyleCnt="0"/>
      <dgm:spPr/>
    </dgm:pt>
    <dgm:pt modelId="{EFDA491E-55E8-42D9-B560-2C817067336C}" type="pres">
      <dgm:prSet presAssocID="{CC3F46B8-A64E-45F1-B47B-AC6A5AECD06E}" presName="childNode" presStyleLbl="node1" presStyleIdx="14" presStyleCnt="25" custScaleY="64678" custLinFactNeighborX="3352" custLinFactNeighborY="12233">
        <dgm:presLayoutVars>
          <dgm:bulletEnabled val="1"/>
        </dgm:presLayoutVars>
      </dgm:prSet>
      <dgm:spPr/>
    </dgm:pt>
    <dgm:pt modelId="{129AA32F-8DD6-48F2-B286-F9D22DDB5A49}" type="pres">
      <dgm:prSet presAssocID="{CC3F46B8-A64E-45F1-B47B-AC6A5AECD06E}" presName="aSpace2" presStyleCnt="0"/>
      <dgm:spPr/>
    </dgm:pt>
    <dgm:pt modelId="{A2D30760-C5F9-486D-B1CC-2884A5392352}" type="pres">
      <dgm:prSet presAssocID="{6D7AF9D1-D80B-4FA9-98D8-5CF50943C920}" presName="childNode" presStyleLbl="node1" presStyleIdx="15" presStyleCnt="25" custScaleY="69288" custLinFactNeighborX="3352">
        <dgm:presLayoutVars>
          <dgm:bulletEnabled val="1"/>
        </dgm:presLayoutVars>
      </dgm:prSet>
      <dgm:spPr/>
    </dgm:pt>
    <dgm:pt modelId="{FAD98847-2D2E-4E56-BDF0-0BFC6E38CACA}" type="pres">
      <dgm:prSet presAssocID="{6D7AF9D1-D80B-4FA9-98D8-5CF50943C920}" presName="aSpace2" presStyleCnt="0"/>
      <dgm:spPr/>
    </dgm:pt>
    <dgm:pt modelId="{0D9A865E-718E-449C-AC91-ED7C3F558D73}" type="pres">
      <dgm:prSet presAssocID="{1ED9A1A7-FC0A-49A9-8EB4-91ADD29D8CE7}" presName="childNode" presStyleLbl="node1" presStyleIdx="16" presStyleCnt="25" custScaleY="86677" custLinFactNeighborX="3352">
        <dgm:presLayoutVars>
          <dgm:bulletEnabled val="1"/>
        </dgm:presLayoutVars>
      </dgm:prSet>
      <dgm:spPr/>
    </dgm:pt>
    <dgm:pt modelId="{C2F7D7B4-06EF-4E70-9329-4AB27D555F2F}" type="pres">
      <dgm:prSet presAssocID="{1ED9A1A7-FC0A-49A9-8EB4-91ADD29D8CE7}" presName="aSpace2" presStyleCnt="0"/>
      <dgm:spPr/>
    </dgm:pt>
    <dgm:pt modelId="{7ADB5277-9925-46AA-9306-48FBE69A5756}" type="pres">
      <dgm:prSet presAssocID="{4C73E0E3-73CB-4623-B4E6-EB5392254CCF}" presName="childNode" presStyleLbl="node1" presStyleIdx="17" presStyleCnt="25" custScaleY="83581" custLinFactNeighborX="3352">
        <dgm:presLayoutVars>
          <dgm:bulletEnabled val="1"/>
        </dgm:presLayoutVars>
      </dgm:prSet>
      <dgm:spPr/>
    </dgm:pt>
    <dgm:pt modelId="{44F03D67-7016-495E-8863-14F9D2751F99}" type="pres">
      <dgm:prSet presAssocID="{E1EDB9EF-6DCB-4560-AC33-28D7B42E180D}" presName="aSpace" presStyleCnt="0"/>
      <dgm:spPr/>
    </dgm:pt>
    <dgm:pt modelId="{FD04921E-0759-4C36-9872-422C5BCBEE0B}" type="pres">
      <dgm:prSet presAssocID="{9BDDACBF-BEF1-43E3-AAD6-A8DD2CF1393F}" presName="compNode" presStyleCnt="0"/>
      <dgm:spPr/>
    </dgm:pt>
    <dgm:pt modelId="{313431D5-75B1-4171-B6A0-960530C2E4B5}" type="pres">
      <dgm:prSet presAssocID="{9BDDACBF-BEF1-43E3-AAD6-A8DD2CF1393F}" presName="aNode" presStyleLbl="bgShp" presStyleIdx="4" presStyleCnt="6" custLinFactNeighborX="115" custLinFactNeighborY="-856"/>
      <dgm:spPr/>
    </dgm:pt>
    <dgm:pt modelId="{744D0539-3D8F-46E1-9B0E-51EB27076CAA}" type="pres">
      <dgm:prSet presAssocID="{9BDDACBF-BEF1-43E3-AAD6-A8DD2CF1393F}" presName="textNode" presStyleLbl="bgShp" presStyleIdx="4" presStyleCnt="6"/>
      <dgm:spPr/>
    </dgm:pt>
    <dgm:pt modelId="{73ECAAC9-0B62-4274-855A-0B5C0135CFAC}" type="pres">
      <dgm:prSet presAssocID="{9BDDACBF-BEF1-43E3-AAD6-A8DD2CF1393F}" presName="compChildNode" presStyleCnt="0"/>
      <dgm:spPr/>
    </dgm:pt>
    <dgm:pt modelId="{68DF8F7B-F7B9-4A64-9E2F-6867CB4E421E}" type="pres">
      <dgm:prSet presAssocID="{9BDDACBF-BEF1-43E3-AAD6-A8DD2CF1393F}" presName="theInnerList" presStyleCnt="0"/>
      <dgm:spPr/>
    </dgm:pt>
    <dgm:pt modelId="{62339B8A-1DDF-4147-BF7E-A8E917E96739}" type="pres">
      <dgm:prSet presAssocID="{EB969D91-4FB0-40AA-B561-9D6512844495}" presName="childNode" presStyleLbl="node1" presStyleIdx="18" presStyleCnt="25" custScaleX="102362" custScaleY="102101" custLinFactNeighborX="980" custLinFactNeighborY="-5248">
        <dgm:presLayoutVars>
          <dgm:bulletEnabled val="1"/>
        </dgm:presLayoutVars>
      </dgm:prSet>
      <dgm:spPr/>
    </dgm:pt>
    <dgm:pt modelId="{E20AE5DB-F70B-43FF-9D04-57D70DF7D177}" type="pres">
      <dgm:prSet presAssocID="{EB969D91-4FB0-40AA-B561-9D6512844495}" presName="aSpace2" presStyleCnt="0"/>
      <dgm:spPr/>
    </dgm:pt>
    <dgm:pt modelId="{1056A9A1-B5E8-40DA-B7F2-677D4EA3B83D}" type="pres">
      <dgm:prSet presAssocID="{E59B5DD3-1CE3-481E-8281-1EA62BDD2738}" presName="childNode" presStyleLbl="node1" presStyleIdx="19" presStyleCnt="25">
        <dgm:presLayoutVars>
          <dgm:bulletEnabled val="1"/>
        </dgm:presLayoutVars>
      </dgm:prSet>
      <dgm:spPr>
        <a:prstGeom prst="roundRect">
          <a:avLst>
            <a:gd name="adj" fmla="val 10000"/>
          </a:avLst>
        </a:prstGeom>
      </dgm:spPr>
    </dgm:pt>
    <dgm:pt modelId="{7E9B23F3-B09A-4759-BF96-F86E489F7FA5}" type="pres">
      <dgm:prSet presAssocID="{E59B5DD3-1CE3-481E-8281-1EA62BDD2738}" presName="aSpace2" presStyleCnt="0"/>
      <dgm:spPr/>
    </dgm:pt>
    <dgm:pt modelId="{5BCE5BEC-96CC-4F67-ACD8-93A02DDAF15F}" type="pres">
      <dgm:prSet presAssocID="{3AF3D94B-7341-43EB-8884-1A2BA9B55380}" presName="childNode" presStyleLbl="node1" presStyleIdx="20" presStyleCnt="25">
        <dgm:presLayoutVars>
          <dgm:bulletEnabled val="1"/>
        </dgm:presLayoutVars>
      </dgm:prSet>
      <dgm:spPr/>
    </dgm:pt>
    <dgm:pt modelId="{176AE208-D31A-4282-8711-4E36817BE3A5}" type="pres">
      <dgm:prSet presAssocID="{9BDDACBF-BEF1-43E3-AAD6-A8DD2CF1393F}" presName="aSpace" presStyleCnt="0"/>
      <dgm:spPr/>
    </dgm:pt>
    <dgm:pt modelId="{84313894-539B-49B6-A4CC-210D36B00F4A}" type="pres">
      <dgm:prSet presAssocID="{63786402-7EFF-4010-96A2-E368D9E54B8D}" presName="compNode" presStyleCnt="0"/>
      <dgm:spPr/>
    </dgm:pt>
    <dgm:pt modelId="{B6CA2E61-00BF-40A0-AE6C-866BB6DAAAEA}" type="pres">
      <dgm:prSet presAssocID="{63786402-7EFF-4010-96A2-E368D9E54B8D}" presName="aNode" presStyleLbl="bgShp" presStyleIdx="5" presStyleCnt="6" custLinFactNeighborX="-2037" custLinFactNeighborY="-2168"/>
      <dgm:spPr/>
    </dgm:pt>
    <dgm:pt modelId="{7E25A649-F17F-4322-AAA9-50EDB7678B8A}" type="pres">
      <dgm:prSet presAssocID="{63786402-7EFF-4010-96A2-E368D9E54B8D}" presName="textNode" presStyleLbl="bgShp" presStyleIdx="5" presStyleCnt="6"/>
      <dgm:spPr/>
    </dgm:pt>
    <dgm:pt modelId="{EE71140A-B221-4198-B812-E93614603962}" type="pres">
      <dgm:prSet presAssocID="{63786402-7EFF-4010-96A2-E368D9E54B8D}" presName="compChildNode" presStyleCnt="0"/>
      <dgm:spPr/>
    </dgm:pt>
    <dgm:pt modelId="{BDCF25B7-D8D5-4343-AF80-B2563534D64C}" type="pres">
      <dgm:prSet presAssocID="{63786402-7EFF-4010-96A2-E368D9E54B8D}" presName="theInnerList" presStyleCnt="0"/>
      <dgm:spPr/>
    </dgm:pt>
    <dgm:pt modelId="{EDA059C3-5C02-4B9B-8DCD-E692F6B7B8EB}" type="pres">
      <dgm:prSet presAssocID="{0C296FBF-7D30-4FFB-853C-8EC9763E6639}" presName="childNode" presStyleLbl="node1" presStyleIdx="21" presStyleCnt="25" custScaleY="84342" custLinFactNeighborX="-1878" custLinFactNeighborY="-4538">
        <dgm:presLayoutVars>
          <dgm:bulletEnabled val="1"/>
        </dgm:presLayoutVars>
      </dgm:prSet>
      <dgm:spPr>
        <a:prstGeom prst="roundRect">
          <a:avLst>
            <a:gd name="adj" fmla="val 10000"/>
          </a:avLst>
        </a:prstGeom>
      </dgm:spPr>
    </dgm:pt>
    <dgm:pt modelId="{F038A009-CFCF-4547-9749-B60B7BDBA6F5}" type="pres">
      <dgm:prSet presAssocID="{0C296FBF-7D30-4FFB-853C-8EC9763E6639}" presName="aSpace2" presStyleCnt="0"/>
      <dgm:spPr/>
    </dgm:pt>
    <dgm:pt modelId="{81DB3085-47E8-47F7-832F-6A87ED2C662D}" type="pres">
      <dgm:prSet presAssocID="{0B58BEC1-0A9E-48B6-896E-5FD8FB42F941}" presName="childNode" presStyleLbl="node1" presStyleIdx="22" presStyleCnt="25">
        <dgm:presLayoutVars>
          <dgm:bulletEnabled val="1"/>
        </dgm:presLayoutVars>
      </dgm:prSet>
      <dgm:spPr/>
    </dgm:pt>
    <dgm:pt modelId="{7845B2EB-45BA-4617-92DB-D7279E375AEE}" type="pres">
      <dgm:prSet presAssocID="{0B58BEC1-0A9E-48B6-896E-5FD8FB42F941}" presName="aSpace2" presStyleCnt="0"/>
      <dgm:spPr/>
    </dgm:pt>
    <dgm:pt modelId="{E41E8AA0-17E7-4E6F-8366-1374DE8E42AC}" type="pres">
      <dgm:prSet presAssocID="{9F93FAF0-F733-4F40-AA63-A194A2F67BE5}" presName="childNode" presStyleLbl="node1" presStyleIdx="23" presStyleCnt="25">
        <dgm:presLayoutVars>
          <dgm:bulletEnabled val="1"/>
        </dgm:presLayoutVars>
      </dgm:prSet>
      <dgm:spPr/>
    </dgm:pt>
    <dgm:pt modelId="{DE537977-5549-4735-B22A-3084F8595960}" type="pres">
      <dgm:prSet presAssocID="{9F93FAF0-F733-4F40-AA63-A194A2F67BE5}" presName="aSpace2" presStyleCnt="0"/>
      <dgm:spPr/>
    </dgm:pt>
    <dgm:pt modelId="{CC10EE2D-3082-4580-970F-04EDA3EC3715}" type="pres">
      <dgm:prSet presAssocID="{10364759-8337-47E3-9E21-623F7BDE93E3}" presName="childNode" presStyleLbl="node1" presStyleIdx="24" presStyleCnt="25" custScaleY="76445">
        <dgm:presLayoutVars>
          <dgm:bulletEnabled val="1"/>
        </dgm:presLayoutVars>
      </dgm:prSet>
      <dgm:spPr/>
    </dgm:pt>
  </dgm:ptLst>
  <dgm:cxnLst>
    <dgm:cxn modelId="{C0966D00-C78C-4629-9439-6D03ABF4CAD2}" type="presOf" srcId="{B7BB6290-223F-4A7C-9468-D0F95B47DB49}" destId="{9E72FB05-D9B7-49A5-848A-E87257B4D2AE}" srcOrd="0" destOrd="0" presId="urn:microsoft.com/office/officeart/2005/8/layout/lProcess2"/>
    <dgm:cxn modelId="{E9297401-D388-49DC-BB33-9C3ACE9B4449}" srcId="{71F1D4DB-AF65-4AAB-8C5D-4D16DA741AFE}" destId="{677CBDB4-1730-4C80-A5CC-035D835E7010}" srcOrd="0" destOrd="0" parTransId="{117B9806-5F97-48E6-B93C-A1A5C38F42CE}" sibTransId="{B5EFAC44-E35D-4C17-A1FF-27F2716E4CE1}"/>
    <dgm:cxn modelId="{95B6D204-177F-46EF-93E9-A076CBFAF81F}" srcId="{8F9B7437-CCA4-4209-AA40-985FB976D2E3}" destId="{8A63CEFE-7A56-4192-89B6-F25B1CB18D10}" srcOrd="1" destOrd="0" parTransId="{4D71FA81-4C4D-43D9-A9DA-B04724F54645}" sibTransId="{23CC07FB-3F43-472D-9176-C7D1D94590FE}"/>
    <dgm:cxn modelId="{21C9740D-D3A0-4212-B258-5DE166EA30A8}" srcId="{B404D31D-7143-47EA-B532-DB304FE6EA14}" destId="{B7BB6290-223F-4A7C-9468-D0F95B47DB49}" srcOrd="0" destOrd="0" parTransId="{836DF693-6659-44EB-88BD-27833D53ADE0}" sibTransId="{AFE91D53-8603-44A1-9B8A-A93855FF9E8D}"/>
    <dgm:cxn modelId="{26C09315-E4A5-4D25-9602-AB1CEADC0555}" type="presOf" srcId="{9F93FAF0-F733-4F40-AA63-A194A2F67BE5}" destId="{E41E8AA0-17E7-4E6F-8366-1374DE8E42AC}" srcOrd="0" destOrd="0" presId="urn:microsoft.com/office/officeart/2005/8/layout/lProcess2"/>
    <dgm:cxn modelId="{BEB4EA21-9C63-437D-992A-F3B765C33B81}" srcId="{677CBDB4-1730-4C80-A5CC-035D835E7010}" destId="{01FE6380-80F7-4175-94F0-E7EEC1830F57}" srcOrd="1" destOrd="0" parTransId="{2FCCFFA2-25BC-45C7-8EE3-7957FCBD9889}" sibTransId="{A64893FA-91E8-4994-B998-7E3301BA4437}"/>
    <dgm:cxn modelId="{AC919025-135A-49A8-8D7F-1A31C1AF5F96}" srcId="{B404D31D-7143-47EA-B532-DB304FE6EA14}" destId="{0857BC85-50F1-4106-8344-66829D65FE2D}" srcOrd="3" destOrd="0" parTransId="{97F88BFD-83A6-41A3-9D8E-FBD933C6B898}" sibTransId="{603750D3-50A8-4E18-96D0-A6D8CA4F7132}"/>
    <dgm:cxn modelId="{A496DA25-26E3-4060-AB50-6B672EC35007}" srcId="{E1EDB9EF-6DCB-4560-AC33-28D7B42E180D}" destId="{6D7AF9D1-D80B-4FA9-98D8-5CF50943C920}" srcOrd="3" destOrd="0" parTransId="{12C09AA5-C2BA-4931-ACDB-36BDB06CD44A}" sibTransId="{B8223022-A929-42D0-9E58-6EA14BD6BD19}"/>
    <dgm:cxn modelId="{6476382D-1776-43F9-A3DC-904BEA5DA5B3}" srcId="{63786402-7EFF-4010-96A2-E368D9E54B8D}" destId="{0C296FBF-7D30-4FFB-853C-8EC9763E6639}" srcOrd="0" destOrd="0" parTransId="{BD73476A-2519-4387-A2F3-460C04275B2A}" sibTransId="{941B57A2-7176-448C-BB64-86BB7A04E0B9}"/>
    <dgm:cxn modelId="{6D17A52D-C0A5-4040-A52A-231D0842CCD5}" srcId="{71F1D4DB-AF65-4AAB-8C5D-4D16DA741AFE}" destId="{63786402-7EFF-4010-96A2-E368D9E54B8D}" srcOrd="5" destOrd="0" parTransId="{B6C5DD4E-5DC3-4F99-B08B-2EFB69190DD6}" sibTransId="{5D706243-6B0B-4D09-91FF-FBD330FBC9A4}"/>
    <dgm:cxn modelId="{108CBD31-8BB4-4B74-A614-C6947C7C79AB}" srcId="{71F1D4DB-AF65-4AAB-8C5D-4D16DA741AFE}" destId="{B404D31D-7143-47EA-B532-DB304FE6EA14}" srcOrd="1" destOrd="0" parTransId="{3B42A9DA-750B-4F26-B824-1E9F17170C61}" sibTransId="{B1215C97-2A0B-4A21-A596-4EDF878E8077}"/>
    <dgm:cxn modelId="{94BD4233-F50C-4263-B281-FC49FC64F37D}" srcId="{E1EDB9EF-6DCB-4560-AC33-28D7B42E180D}" destId="{4C73E0E3-73CB-4623-B4E6-EB5392254CCF}" srcOrd="5" destOrd="0" parTransId="{26982B20-9B5E-4ADA-A588-B1290CFB37B5}" sibTransId="{574CE868-33A5-4E16-9E0E-53C817FF2FCA}"/>
    <dgm:cxn modelId="{F8DF8A36-B01D-447B-B098-142F0E73F614}" type="presOf" srcId="{1ED9A1A7-FC0A-49A9-8EB4-91ADD29D8CE7}" destId="{0D9A865E-718E-449C-AC91-ED7C3F558D73}" srcOrd="0" destOrd="0" presId="urn:microsoft.com/office/officeart/2005/8/layout/lProcess2"/>
    <dgm:cxn modelId="{46B9E438-F533-401A-A26D-4F7C20DBF3DC}" type="presOf" srcId="{7ED32AA2-93D0-4154-9512-C210188CAAE1}" destId="{3AE9D941-DC1A-43CC-949B-47A71BA58DD5}" srcOrd="0" destOrd="0" presId="urn:microsoft.com/office/officeart/2005/8/layout/lProcess2"/>
    <dgm:cxn modelId="{582DE03B-F05F-40D8-A03E-12FEFDD12F03}" type="presOf" srcId="{BC6C38C9-7DAD-4AE5-85EE-8E906ED526AB}" destId="{12D2C08A-2A70-4ABB-B6BD-9FB384A35EB8}" srcOrd="0" destOrd="0" presId="urn:microsoft.com/office/officeart/2005/8/layout/lProcess2"/>
    <dgm:cxn modelId="{58E5513E-0618-44B6-9319-63F614DBA5DC}" type="presOf" srcId="{EB969D91-4FB0-40AA-B561-9D6512844495}" destId="{62339B8A-1DDF-4147-BF7E-A8E917E96739}" srcOrd="0" destOrd="0" presId="urn:microsoft.com/office/officeart/2005/8/layout/lProcess2"/>
    <dgm:cxn modelId="{724EF05D-435E-41D6-A3FF-461B7C7993EB}" srcId="{8F9B7437-CCA4-4209-AA40-985FB976D2E3}" destId="{8E1FEF40-C2A7-4957-9186-653A5B31ED7B}" srcOrd="2" destOrd="0" parTransId="{8FC4A7A1-9A77-400A-A822-0E9C60B88BEF}" sibTransId="{13103BB1-2FDE-48DB-9B2B-A933E916ACB5}"/>
    <dgm:cxn modelId="{14E82E5F-F4A1-4F6E-94E2-CC2F6C1BA94A}" type="presOf" srcId="{8498A0D3-8A9E-4BC8-B895-A482AB2E99FF}" destId="{2905B8BB-A9F6-45B6-8D14-8329C5DA4F38}" srcOrd="0" destOrd="0" presId="urn:microsoft.com/office/officeart/2005/8/layout/lProcess2"/>
    <dgm:cxn modelId="{F5052A42-19E7-4713-A705-C03CA96DA77D}" type="presOf" srcId="{94998533-C3CC-4B86-B745-942D0413DF82}" destId="{2576921A-EF2C-456E-B15C-64720659FAE9}" srcOrd="0" destOrd="0" presId="urn:microsoft.com/office/officeart/2005/8/layout/lProcess2"/>
    <dgm:cxn modelId="{97E04E62-E608-4D4E-A94D-3E14DF8AC392}" srcId="{E1EDB9EF-6DCB-4560-AC33-28D7B42E180D}" destId="{1ED9A1A7-FC0A-49A9-8EB4-91ADD29D8CE7}" srcOrd="4" destOrd="0" parTransId="{27F9547E-22FB-4D7C-AC47-AAAFBB003198}" sibTransId="{5D6F92F9-0553-46A4-9AE0-1C455170A047}"/>
    <dgm:cxn modelId="{16075163-D091-4409-AD6F-70D9A2FAA7FB}" type="presOf" srcId="{71F1D4DB-AF65-4AAB-8C5D-4D16DA741AFE}" destId="{C736C17B-C719-41C3-B88A-D54EAE9CF4DB}" srcOrd="0" destOrd="0" presId="urn:microsoft.com/office/officeart/2005/8/layout/lProcess2"/>
    <dgm:cxn modelId="{D0906D64-1856-4B8F-A6AB-138CDB1DA6E2}" type="presOf" srcId="{32F15C34-A864-46B6-8FDF-8D9DFDE6AB6A}" destId="{C8032647-5E6E-430B-8EDB-C6A61885259B}" srcOrd="0" destOrd="0" presId="urn:microsoft.com/office/officeart/2005/8/layout/lProcess2"/>
    <dgm:cxn modelId="{75447464-0B0D-4DFE-B53F-A13F585BFF72}" type="presOf" srcId="{8A63CEFE-7A56-4192-89B6-F25B1CB18D10}" destId="{7BAAD3ED-7EF5-49FB-9B44-13FC3DB2629C}" srcOrd="0" destOrd="0" presId="urn:microsoft.com/office/officeart/2005/8/layout/lProcess2"/>
    <dgm:cxn modelId="{FCA00765-0BB6-443E-8BBE-341E25FDE3A5}" srcId="{9BDDACBF-BEF1-43E3-AAD6-A8DD2CF1393F}" destId="{3AF3D94B-7341-43EB-8884-1A2BA9B55380}" srcOrd="2" destOrd="0" parTransId="{587FD9DC-6FE8-42B9-BFF0-CA1C748E304D}" sibTransId="{00678493-504F-416F-A409-201C19A0F88A}"/>
    <dgm:cxn modelId="{1A5D1F45-B5C4-48B9-9C39-19723D4320D0}" srcId="{677CBDB4-1730-4C80-A5CC-035D835E7010}" destId="{22EBB358-4F96-40E3-A972-BDDDB5DF8975}" srcOrd="0" destOrd="0" parTransId="{6FF8D1F8-97D6-4052-B9A6-60BF861F1BA4}" sibTransId="{3B20AFDD-45E7-429D-BE1D-12E687E7D859}"/>
    <dgm:cxn modelId="{BFFF8066-AD6E-42F0-A46B-F504339B956C}" srcId="{E1EDB9EF-6DCB-4560-AC33-28D7B42E180D}" destId="{87E5912C-E5C0-4D0F-9BA1-40B988F140FE}" srcOrd="0" destOrd="0" parTransId="{0A23CF30-939B-40D0-AB7F-9166F19EF573}" sibTransId="{EEED364E-AAD9-4A18-A606-3A4CABC90AF8}"/>
    <dgm:cxn modelId="{DC421047-45F4-40D5-B548-09DD16AA42CB}" type="presOf" srcId="{B404D31D-7143-47EA-B532-DB304FE6EA14}" destId="{1A5C0555-F9AB-4A1B-8160-B7848E8E8538}" srcOrd="1" destOrd="0" presId="urn:microsoft.com/office/officeart/2005/8/layout/lProcess2"/>
    <dgm:cxn modelId="{E1261A67-485A-4C49-B3E6-676283F1712D}" type="presOf" srcId="{22EBB358-4F96-40E3-A972-BDDDB5DF8975}" destId="{8829C420-73F8-4167-8446-A6F00049E233}" srcOrd="0" destOrd="0" presId="urn:microsoft.com/office/officeart/2005/8/layout/lProcess2"/>
    <dgm:cxn modelId="{0C142269-1257-4DBB-BD55-8B854923FD20}" srcId="{71F1D4DB-AF65-4AAB-8C5D-4D16DA741AFE}" destId="{E1EDB9EF-6DCB-4560-AC33-28D7B42E180D}" srcOrd="3" destOrd="0" parTransId="{8730A4A5-63A8-4E15-9231-C38C5C3AEFB4}" sibTransId="{B048F97D-AEF1-41D2-A48A-6B079E022202}"/>
    <dgm:cxn modelId="{52AED84B-AA0A-4F66-821A-6DD3922930A2}" srcId="{E1EDB9EF-6DCB-4560-AC33-28D7B42E180D}" destId="{CC3F46B8-A64E-45F1-B47B-AC6A5AECD06E}" srcOrd="2" destOrd="0" parTransId="{0FA9BDDE-38F3-4F89-AFAA-C897AF1853C5}" sibTransId="{5D281F32-9568-49E2-A8D9-E3B60868EC2C}"/>
    <dgm:cxn modelId="{9FC8804C-5E04-4B45-9353-DBCC39BF89F9}" type="presOf" srcId="{3AF3D94B-7341-43EB-8884-1A2BA9B55380}" destId="{5BCE5BEC-96CC-4F67-ACD8-93A02DDAF15F}" srcOrd="0" destOrd="0" presId="urn:microsoft.com/office/officeart/2005/8/layout/lProcess2"/>
    <dgm:cxn modelId="{6B66A24C-5A73-4E7F-8340-9C4E81ECCED1}" srcId="{63786402-7EFF-4010-96A2-E368D9E54B8D}" destId="{9F93FAF0-F733-4F40-AA63-A194A2F67BE5}" srcOrd="2" destOrd="0" parTransId="{030528A0-8C4F-4583-8C5D-AC79F3BEDBE4}" sibTransId="{451F0446-F283-4AD6-8EFA-191417084B7E}"/>
    <dgm:cxn modelId="{5C20BD6E-6E9E-4DDC-987D-0857AA20B5A1}" type="presOf" srcId="{E1EDB9EF-6DCB-4560-AC33-28D7B42E180D}" destId="{794676AF-2E77-4336-B8C5-4E08EE5F32F5}" srcOrd="0" destOrd="0" presId="urn:microsoft.com/office/officeart/2005/8/layout/lProcess2"/>
    <dgm:cxn modelId="{31787E6F-2E0E-4FB6-9179-640E8FF335F2}" srcId="{63786402-7EFF-4010-96A2-E368D9E54B8D}" destId="{10364759-8337-47E3-9E21-623F7BDE93E3}" srcOrd="3" destOrd="0" parTransId="{0D9A8D4F-BCC3-40A4-A29B-7F0CDD5C622F}" sibTransId="{E61DC023-1249-4D59-8BDE-22D238FD9283}"/>
    <dgm:cxn modelId="{CF0C0070-5E7D-46D3-95C0-2E005378173C}" type="presOf" srcId="{6D7AF9D1-D80B-4FA9-98D8-5CF50943C920}" destId="{A2D30760-C5F9-486D-B1CC-2884A5392352}" srcOrd="0" destOrd="0" presId="urn:microsoft.com/office/officeart/2005/8/layout/lProcess2"/>
    <dgm:cxn modelId="{C36C7270-428D-4FFF-A96F-6CF0581C89B0}" type="presOf" srcId="{677CBDB4-1730-4C80-A5CC-035D835E7010}" destId="{963A249A-A6B1-429A-8B8D-A4EBD98E8563}" srcOrd="1" destOrd="0" presId="urn:microsoft.com/office/officeart/2005/8/layout/lProcess2"/>
    <dgm:cxn modelId="{30638250-1560-45B4-B2E3-C3187F17ADF4}" type="presOf" srcId="{8E1FEF40-C2A7-4957-9186-653A5B31ED7B}" destId="{80D732E0-8C6C-4BCB-8608-CEA81B9335BB}" srcOrd="0" destOrd="0" presId="urn:microsoft.com/office/officeart/2005/8/layout/lProcess2"/>
    <dgm:cxn modelId="{275FC271-F563-46CD-A83E-1AD35CB69CE0}" type="presOf" srcId="{9BDDACBF-BEF1-43E3-AAD6-A8DD2CF1393F}" destId="{744D0539-3D8F-46E1-9B0E-51EB27076CAA}" srcOrd="1" destOrd="0" presId="urn:microsoft.com/office/officeart/2005/8/layout/lProcess2"/>
    <dgm:cxn modelId="{87A92A53-FE21-4635-A35C-750D912E91C2}" type="presOf" srcId="{9BDDACBF-BEF1-43E3-AAD6-A8DD2CF1393F}" destId="{313431D5-75B1-4171-B6A0-960530C2E4B5}" srcOrd="0" destOrd="0" presId="urn:microsoft.com/office/officeart/2005/8/layout/lProcess2"/>
    <dgm:cxn modelId="{4FA5DF55-1A6C-499D-BCAD-D09C7AE9F895}" srcId="{63786402-7EFF-4010-96A2-E368D9E54B8D}" destId="{0B58BEC1-0A9E-48B6-896E-5FD8FB42F941}" srcOrd="1" destOrd="0" parTransId="{DB005EE2-4FBA-4345-9AB9-D4CA600957DF}" sibTransId="{4FF4AF5C-AB8F-41EC-B364-A6436A3FFBF0}"/>
    <dgm:cxn modelId="{656CEA83-1C27-4A59-80C8-DE3E17393D0A}" srcId="{B404D31D-7143-47EA-B532-DB304FE6EA14}" destId="{7C334CFB-5506-4424-AE6A-40BED991DB40}" srcOrd="2" destOrd="0" parTransId="{D5AA4D18-CD5A-45BA-850A-A0F00538392D}" sibTransId="{A4519811-CAD3-4DA5-99C3-ED65D8C0B899}"/>
    <dgm:cxn modelId="{572A5185-748D-45AC-A786-4F6A8FC629DC}" srcId="{71F1D4DB-AF65-4AAB-8C5D-4D16DA741AFE}" destId="{8F9B7437-CCA4-4209-AA40-985FB976D2E3}" srcOrd="2" destOrd="0" parTransId="{37DA6048-7EC4-4701-93CF-1C9AF6B47676}" sibTransId="{4902C71A-AA7D-423C-B2F1-33562AFD473B}"/>
    <dgm:cxn modelId="{F1C9A186-3002-4BFB-A254-6B4743BD9B45}" srcId="{9BDDACBF-BEF1-43E3-AAD6-A8DD2CF1393F}" destId="{EB969D91-4FB0-40AA-B561-9D6512844495}" srcOrd="0" destOrd="0" parTransId="{E59877B4-E844-4E02-8183-769F97FF5AF3}" sibTransId="{B0E3CD40-CC59-4AE9-B99F-9331FC0CBAB4}"/>
    <dgm:cxn modelId="{F568608E-AF8B-4855-883B-B8646878E5DA}" type="presOf" srcId="{E1EDB9EF-6DCB-4560-AC33-28D7B42E180D}" destId="{574010FE-1B31-498A-AC69-E6EAC25DBF74}" srcOrd="1" destOrd="0" presId="urn:microsoft.com/office/officeart/2005/8/layout/lProcess2"/>
    <dgm:cxn modelId="{D04FE78E-3A65-4095-9A77-C352A6A00716}" srcId="{71F1D4DB-AF65-4AAB-8C5D-4D16DA741AFE}" destId="{9BDDACBF-BEF1-43E3-AAD6-A8DD2CF1393F}" srcOrd="4" destOrd="0" parTransId="{1DCC3777-F0C4-4934-9D53-BEF4C118FD9C}" sibTransId="{5DEC949B-2B97-4491-A4E4-8A6DDA8C4E6C}"/>
    <dgm:cxn modelId="{966ED791-7026-4D5A-8B5B-9C967A0DF80F}" type="presOf" srcId="{8F9B7437-CCA4-4209-AA40-985FB976D2E3}" destId="{468D3B7D-8C35-4C9D-A4AE-A1A1FD6542E2}" srcOrd="1" destOrd="0" presId="urn:microsoft.com/office/officeart/2005/8/layout/lProcess2"/>
    <dgm:cxn modelId="{A47D7B99-F711-44AD-A2AD-6EDE4670B983}" type="presOf" srcId="{677CBDB4-1730-4C80-A5CC-035D835E7010}" destId="{066AD555-A299-4EF7-A3C1-0EA7603D8D22}" srcOrd="0" destOrd="0" presId="urn:microsoft.com/office/officeart/2005/8/layout/lProcess2"/>
    <dgm:cxn modelId="{089F609A-18EA-46D7-8459-1249A115FBE4}" srcId="{677CBDB4-1730-4C80-A5CC-035D835E7010}" destId="{BC6C38C9-7DAD-4AE5-85EE-8E906ED526AB}" srcOrd="3" destOrd="0" parTransId="{EF973C31-301C-4C32-9C28-8209787E9D60}" sibTransId="{919515A7-D20D-4F23-AABA-C846A7F80356}"/>
    <dgm:cxn modelId="{6FB2B7A9-088D-4F8D-B153-033C2CCC81AE}" srcId="{677CBDB4-1730-4C80-A5CC-035D835E7010}" destId="{94998533-C3CC-4B86-B745-942D0413DF82}" srcOrd="2" destOrd="0" parTransId="{76B002A6-7596-4CB9-A76C-D7DD3613C74A}" sibTransId="{E275CA9D-E401-4A36-99D2-7FA11C63C499}"/>
    <dgm:cxn modelId="{38D104AA-BCB3-4D41-8D6D-0AD8597C5AD0}" type="presOf" srcId="{10364759-8337-47E3-9E21-623F7BDE93E3}" destId="{CC10EE2D-3082-4580-970F-04EDA3EC3715}" srcOrd="0" destOrd="0" presId="urn:microsoft.com/office/officeart/2005/8/layout/lProcess2"/>
    <dgm:cxn modelId="{05F7D7B0-FD35-470B-94DE-C81A125FF660}" type="presOf" srcId="{B404D31D-7143-47EA-B532-DB304FE6EA14}" destId="{64DB5BB9-9A5C-4268-9EF1-FE4E6400CE2E}" srcOrd="0" destOrd="0" presId="urn:microsoft.com/office/officeart/2005/8/layout/lProcess2"/>
    <dgm:cxn modelId="{0C81C7B8-213A-4302-8719-B7B6F93A88B4}" type="presOf" srcId="{0C296FBF-7D30-4FFB-853C-8EC9763E6639}" destId="{EDA059C3-5C02-4B9B-8DCD-E692F6B7B8EB}" srcOrd="0" destOrd="0" presId="urn:microsoft.com/office/officeart/2005/8/layout/lProcess2"/>
    <dgm:cxn modelId="{31F659B9-2716-4A11-AAB8-3D3B6D09A8BD}" type="presOf" srcId="{8F9B7437-CCA4-4209-AA40-985FB976D2E3}" destId="{0DF98843-7A99-484A-9D86-8EF71BAA512B}" srcOrd="0" destOrd="0" presId="urn:microsoft.com/office/officeart/2005/8/layout/lProcess2"/>
    <dgm:cxn modelId="{9C801BBD-3397-4562-8AA3-D2A59BB04A19}" type="presOf" srcId="{63786402-7EFF-4010-96A2-E368D9E54B8D}" destId="{B6CA2E61-00BF-40A0-AE6C-866BB6DAAAEA}" srcOrd="0" destOrd="0" presId="urn:microsoft.com/office/officeart/2005/8/layout/lProcess2"/>
    <dgm:cxn modelId="{05814FBE-6458-42F7-A97C-D99BAF8FA402}" srcId="{B404D31D-7143-47EA-B532-DB304FE6EA14}" destId="{9643B1EF-4930-4BB5-BDEC-58A0800AAF4E}" srcOrd="4" destOrd="0" parTransId="{4A38FB77-89F7-4A65-B4AF-FDC84DAFE4B9}" sibTransId="{527C5100-D8C7-43A7-8ECE-84029A22A8D0}"/>
    <dgm:cxn modelId="{432CA0C4-058A-4958-8746-C6F0F6BB762C}" type="presOf" srcId="{87E5912C-E5C0-4D0F-9BA1-40B988F140FE}" destId="{67D02929-8B45-404F-8B34-318727359E08}" srcOrd="0" destOrd="0" presId="urn:microsoft.com/office/officeart/2005/8/layout/lProcess2"/>
    <dgm:cxn modelId="{EF8761D2-9894-4D48-91BA-C6CAD3346853}" srcId="{B404D31D-7143-47EA-B532-DB304FE6EA14}" destId="{32F15C34-A864-46B6-8FDF-8D9DFDE6AB6A}" srcOrd="1" destOrd="0" parTransId="{54323A3A-EE4F-4327-BD0C-341092C0DFB4}" sibTransId="{1C0A876A-037D-45CE-A2DA-7800DAB04746}"/>
    <dgm:cxn modelId="{512ED8D4-2E53-4927-A5EB-9D35FC13A8E9}" type="presOf" srcId="{0B58BEC1-0A9E-48B6-896E-5FD8FB42F941}" destId="{81DB3085-47E8-47F7-832F-6A87ED2C662D}" srcOrd="0" destOrd="0" presId="urn:microsoft.com/office/officeart/2005/8/layout/lProcess2"/>
    <dgm:cxn modelId="{4E01B3DB-CCB7-46E0-A719-30E1B6BA162F}" type="presOf" srcId="{4C73E0E3-73CB-4623-B4E6-EB5392254CCF}" destId="{7ADB5277-9925-46AA-9306-48FBE69A5756}" srcOrd="0" destOrd="0" presId="urn:microsoft.com/office/officeart/2005/8/layout/lProcess2"/>
    <dgm:cxn modelId="{F771C5DE-6AA7-4854-A9C2-0B008367C09A}" srcId="{9BDDACBF-BEF1-43E3-AAD6-A8DD2CF1393F}" destId="{E59B5DD3-1CE3-481E-8281-1EA62BDD2738}" srcOrd="1" destOrd="0" parTransId="{06C03224-CF04-449A-9AA9-DFF7F5682DB4}" sibTransId="{7665CD99-C4CB-4A8E-BE2B-0F6BAABF8BD7}"/>
    <dgm:cxn modelId="{D32FDCDE-2CD5-4F13-A25A-0C74DAC03B71}" type="presOf" srcId="{CC3F46B8-A64E-45F1-B47B-AC6A5AECD06E}" destId="{EFDA491E-55E8-42D9-B560-2C817067336C}" srcOrd="0" destOrd="0" presId="urn:microsoft.com/office/officeart/2005/8/layout/lProcess2"/>
    <dgm:cxn modelId="{255506E1-F5A4-45A8-9FC5-200672E08602}" type="presOf" srcId="{0857BC85-50F1-4106-8344-66829D65FE2D}" destId="{E6B1F792-F1ED-4CA8-BA9B-8A78DAAEE7F2}" srcOrd="0" destOrd="0" presId="urn:microsoft.com/office/officeart/2005/8/layout/lProcess2"/>
    <dgm:cxn modelId="{7C01CFE4-6B77-441C-9FED-74F6892D8AB6}" type="presOf" srcId="{01FE6380-80F7-4175-94F0-E7EEC1830F57}" destId="{FF513BC1-A12A-473A-8536-40B8EB0E4AA5}" srcOrd="0" destOrd="0" presId="urn:microsoft.com/office/officeart/2005/8/layout/lProcess2"/>
    <dgm:cxn modelId="{797D0EE5-6E9D-41FB-A19A-5AA1D684F02C}" srcId="{E1EDB9EF-6DCB-4560-AC33-28D7B42E180D}" destId="{8498A0D3-8A9E-4BC8-B895-A482AB2E99FF}" srcOrd="1" destOrd="0" parTransId="{B636348A-569A-4372-90CE-EBC62EB83286}" sibTransId="{F0A61B36-3FA6-4BD9-ACB6-EF19778E33FD}"/>
    <dgm:cxn modelId="{4E5AA2E5-EE2D-4D4F-9549-C91B984C677F}" type="presOf" srcId="{7C334CFB-5506-4424-AE6A-40BED991DB40}" destId="{0B901D84-DEA6-44FB-9329-4E9A85245381}" srcOrd="0" destOrd="0" presId="urn:microsoft.com/office/officeart/2005/8/layout/lProcess2"/>
    <dgm:cxn modelId="{2D7B6FED-6CEA-4691-A204-EE68407401F2}" type="presOf" srcId="{E59B5DD3-1CE3-481E-8281-1EA62BDD2738}" destId="{1056A9A1-B5E8-40DA-B7F2-677D4EA3B83D}" srcOrd="0" destOrd="0" presId="urn:microsoft.com/office/officeart/2005/8/layout/lProcess2"/>
    <dgm:cxn modelId="{8CED48EF-DCAC-4500-9D90-B90AD4383512}" srcId="{8F9B7437-CCA4-4209-AA40-985FB976D2E3}" destId="{7ED32AA2-93D0-4154-9512-C210188CAAE1}" srcOrd="0" destOrd="0" parTransId="{4E3044F6-8608-46C4-A73A-4CBA1EC26CD7}" sibTransId="{BF0F922D-9BCC-4640-9C88-0100E5D2E6AD}"/>
    <dgm:cxn modelId="{3F507CF2-B88D-4BE7-9CA1-B3DAA95A9510}" type="presOf" srcId="{63786402-7EFF-4010-96A2-E368D9E54B8D}" destId="{7E25A649-F17F-4322-AAA9-50EDB7678B8A}" srcOrd="1" destOrd="0" presId="urn:microsoft.com/office/officeart/2005/8/layout/lProcess2"/>
    <dgm:cxn modelId="{2B5832FC-9E4B-4468-B849-363E4998DC40}" type="presOf" srcId="{9643B1EF-4930-4BB5-BDEC-58A0800AAF4E}" destId="{58651BF1-317C-4603-B603-86F868FB42C2}" srcOrd="0" destOrd="0" presId="urn:microsoft.com/office/officeart/2005/8/layout/lProcess2"/>
    <dgm:cxn modelId="{00F0B1B5-DD06-496A-9373-6DC4A73682AF}" type="presParOf" srcId="{C736C17B-C719-41C3-B88A-D54EAE9CF4DB}" destId="{DBD17BAF-26A2-43BD-B2D7-73E8355039A5}" srcOrd="0" destOrd="0" presId="urn:microsoft.com/office/officeart/2005/8/layout/lProcess2"/>
    <dgm:cxn modelId="{E9A9DC3A-2C29-462B-913B-3007DCA6E330}" type="presParOf" srcId="{DBD17BAF-26A2-43BD-B2D7-73E8355039A5}" destId="{066AD555-A299-4EF7-A3C1-0EA7603D8D22}" srcOrd="0" destOrd="0" presId="urn:microsoft.com/office/officeart/2005/8/layout/lProcess2"/>
    <dgm:cxn modelId="{FDE8E189-0CC2-45F9-9D17-F1B91EB8CAB3}" type="presParOf" srcId="{DBD17BAF-26A2-43BD-B2D7-73E8355039A5}" destId="{963A249A-A6B1-429A-8B8D-A4EBD98E8563}" srcOrd="1" destOrd="0" presId="urn:microsoft.com/office/officeart/2005/8/layout/lProcess2"/>
    <dgm:cxn modelId="{F5BA7694-94BD-4648-AE46-52E2E5FE0CA3}" type="presParOf" srcId="{DBD17BAF-26A2-43BD-B2D7-73E8355039A5}" destId="{1F2D57D1-50F0-4E95-AECC-94F29557D0C7}" srcOrd="2" destOrd="0" presId="urn:microsoft.com/office/officeart/2005/8/layout/lProcess2"/>
    <dgm:cxn modelId="{E949547A-CD5C-4260-BD7C-81C7D46EC8DB}" type="presParOf" srcId="{1F2D57D1-50F0-4E95-AECC-94F29557D0C7}" destId="{B635350F-A212-4768-8183-B17F5A04D7B8}" srcOrd="0" destOrd="0" presId="urn:microsoft.com/office/officeart/2005/8/layout/lProcess2"/>
    <dgm:cxn modelId="{9D64D94F-7006-472F-BA17-ABD7A8CA2EDC}" type="presParOf" srcId="{B635350F-A212-4768-8183-B17F5A04D7B8}" destId="{8829C420-73F8-4167-8446-A6F00049E233}" srcOrd="0" destOrd="0" presId="urn:microsoft.com/office/officeart/2005/8/layout/lProcess2"/>
    <dgm:cxn modelId="{1B462D2B-5812-497A-B378-617C78CA792E}" type="presParOf" srcId="{B635350F-A212-4768-8183-B17F5A04D7B8}" destId="{DA02F3C6-055D-4AFD-9B47-C7F6FAD68CF3}" srcOrd="1" destOrd="0" presId="urn:microsoft.com/office/officeart/2005/8/layout/lProcess2"/>
    <dgm:cxn modelId="{25B1D366-DF87-4C60-BFE5-1B3D68DEFB79}" type="presParOf" srcId="{B635350F-A212-4768-8183-B17F5A04D7B8}" destId="{FF513BC1-A12A-473A-8536-40B8EB0E4AA5}" srcOrd="2" destOrd="0" presId="urn:microsoft.com/office/officeart/2005/8/layout/lProcess2"/>
    <dgm:cxn modelId="{ADBAD3E6-A33D-4E5F-835E-999DD68B1C55}" type="presParOf" srcId="{B635350F-A212-4768-8183-B17F5A04D7B8}" destId="{EEEE81B8-D8A2-46C8-A18C-62753098DC9F}" srcOrd="3" destOrd="0" presId="urn:microsoft.com/office/officeart/2005/8/layout/lProcess2"/>
    <dgm:cxn modelId="{9952BA58-2D03-45E0-BC7B-5F8A6C4F6C7C}" type="presParOf" srcId="{B635350F-A212-4768-8183-B17F5A04D7B8}" destId="{2576921A-EF2C-456E-B15C-64720659FAE9}" srcOrd="4" destOrd="0" presId="urn:microsoft.com/office/officeart/2005/8/layout/lProcess2"/>
    <dgm:cxn modelId="{74EBE1BB-6D6B-436D-90E3-8A127A79661B}" type="presParOf" srcId="{B635350F-A212-4768-8183-B17F5A04D7B8}" destId="{175659A3-B1C6-448A-98EC-D6B73DA4811E}" srcOrd="5" destOrd="0" presId="urn:microsoft.com/office/officeart/2005/8/layout/lProcess2"/>
    <dgm:cxn modelId="{A04A394E-322E-4910-A75C-5607D43B7AC5}" type="presParOf" srcId="{B635350F-A212-4768-8183-B17F5A04D7B8}" destId="{12D2C08A-2A70-4ABB-B6BD-9FB384A35EB8}" srcOrd="6" destOrd="0" presId="urn:microsoft.com/office/officeart/2005/8/layout/lProcess2"/>
    <dgm:cxn modelId="{F5219579-269C-4312-A5CE-B5986E33A151}" type="presParOf" srcId="{C736C17B-C719-41C3-B88A-D54EAE9CF4DB}" destId="{D5935554-D95E-49B4-AB55-8381236FA2EB}" srcOrd="1" destOrd="0" presId="urn:microsoft.com/office/officeart/2005/8/layout/lProcess2"/>
    <dgm:cxn modelId="{0EED1D8A-3B70-4D1B-91CC-6D2CA3CD4ED8}" type="presParOf" srcId="{C736C17B-C719-41C3-B88A-D54EAE9CF4DB}" destId="{D1E82EFF-0E36-415A-AB3F-DA02F91D2CBA}" srcOrd="2" destOrd="0" presId="urn:microsoft.com/office/officeart/2005/8/layout/lProcess2"/>
    <dgm:cxn modelId="{D672A213-4617-4647-865E-8C5EC948C97A}" type="presParOf" srcId="{D1E82EFF-0E36-415A-AB3F-DA02F91D2CBA}" destId="{64DB5BB9-9A5C-4268-9EF1-FE4E6400CE2E}" srcOrd="0" destOrd="0" presId="urn:microsoft.com/office/officeart/2005/8/layout/lProcess2"/>
    <dgm:cxn modelId="{E56F68E4-80ED-4D47-9CED-3DE101EA12B5}" type="presParOf" srcId="{D1E82EFF-0E36-415A-AB3F-DA02F91D2CBA}" destId="{1A5C0555-F9AB-4A1B-8160-B7848E8E8538}" srcOrd="1" destOrd="0" presId="urn:microsoft.com/office/officeart/2005/8/layout/lProcess2"/>
    <dgm:cxn modelId="{710263C3-E6BE-49C1-B30D-8DD419767B19}" type="presParOf" srcId="{D1E82EFF-0E36-415A-AB3F-DA02F91D2CBA}" destId="{CD5006B8-8A03-4116-855C-062C7B96C515}" srcOrd="2" destOrd="0" presId="urn:microsoft.com/office/officeart/2005/8/layout/lProcess2"/>
    <dgm:cxn modelId="{3B8E1461-E6DA-4B59-BEEA-0FF5E7955BCE}" type="presParOf" srcId="{CD5006B8-8A03-4116-855C-062C7B96C515}" destId="{5CD534B6-DFAC-4462-9CCE-AB5D4ED3F9C7}" srcOrd="0" destOrd="0" presId="urn:microsoft.com/office/officeart/2005/8/layout/lProcess2"/>
    <dgm:cxn modelId="{0FB5B2EE-6022-4E57-B380-A7624C150078}" type="presParOf" srcId="{5CD534B6-DFAC-4462-9CCE-AB5D4ED3F9C7}" destId="{9E72FB05-D9B7-49A5-848A-E87257B4D2AE}" srcOrd="0" destOrd="0" presId="urn:microsoft.com/office/officeart/2005/8/layout/lProcess2"/>
    <dgm:cxn modelId="{64E728C8-C905-4199-B006-A5BBDD61283F}" type="presParOf" srcId="{5CD534B6-DFAC-4462-9CCE-AB5D4ED3F9C7}" destId="{07B107F9-D7DD-43DB-B593-116A31584246}" srcOrd="1" destOrd="0" presId="urn:microsoft.com/office/officeart/2005/8/layout/lProcess2"/>
    <dgm:cxn modelId="{716FB28A-CB97-4D24-A6E0-56D6EE75EDE2}" type="presParOf" srcId="{5CD534B6-DFAC-4462-9CCE-AB5D4ED3F9C7}" destId="{C8032647-5E6E-430B-8EDB-C6A61885259B}" srcOrd="2" destOrd="0" presId="urn:microsoft.com/office/officeart/2005/8/layout/lProcess2"/>
    <dgm:cxn modelId="{E75ACFE7-723D-453B-A5A7-3B3821650259}" type="presParOf" srcId="{5CD534B6-DFAC-4462-9CCE-AB5D4ED3F9C7}" destId="{E7796DEE-0128-4CC0-844B-8BE264813AD8}" srcOrd="3" destOrd="0" presId="urn:microsoft.com/office/officeart/2005/8/layout/lProcess2"/>
    <dgm:cxn modelId="{3C174D5C-FA4C-4D84-8C34-FF5A7A818C86}" type="presParOf" srcId="{5CD534B6-DFAC-4462-9CCE-AB5D4ED3F9C7}" destId="{0B901D84-DEA6-44FB-9329-4E9A85245381}" srcOrd="4" destOrd="0" presId="urn:microsoft.com/office/officeart/2005/8/layout/lProcess2"/>
    <dgm:cxn modelId="{7EB79337-081F-4F29-8B91-77C303D8A394}" type="presParOf" srcId="{5CD534B6-DFAC-4462-9CCE-AB5D4ED3F9C7}" destId="{7C328F48-B983-4F3B-80D1-A33A8841F0EB}" srcOrd="5" destOrd="0" presId="urn:microsoft.com/office/officeart/2005/8/layout/lProcess2"/>
    <dgm:cxn modelId="{E585F60B-1F32-4C8A-A271-A028D711DD34}" type="presParOf" srcId="{5CD534B6-DFAC-4462-9CCE-AB5D4ED3F9C7}" destId="{E6B1F792-F1ED-4CA8-BA9B-8A78DAAEE7F2}" srcOrd="6" destOrd="0" presId="urn:microsoft.com/office/officeart/2005/8/layout/lProcess2"/>
    <dgm:cxn modelId="{B3307EEB-7989-4DD8-A063-61D92D61DF6B}" type="presParOf" srcId="{5CD534B6-DFAC-4462-9CCE-AB5D4ED3F9C7}" destId="{11C5934C-0EF3-41D7-9805-74926F04F0CC}" srcOrd="7" destOrd="0" presId="urn:microsoft.com/office/officeart/2005/8/layout/lProcess2"/>
    <dgm:cxn modelId="{0C6439AB-684A-4B0F-8078-763D3072F982}" type="presParOf" srcId="{5CD534B6-DFAC-4462-9CCE-AB5D4ED3F9C7}" destId="{58651BF1-317C-4603-B603-86F868FB42C2}" srcOrd="8" destOrd="0" presId="urn:microsoft.com/office/officeart/2005/8/layout/lProcess2"/>
    <dgm:cxn modelId="{EC0D4DA4-FD12-4705-88F8-8A37575CB335}" type="presParOf" srcId="{C736C17B-C719-41C3-B88A-D54EAE9CF4DB}" destId="{6E1E67BD-393F-4545-88E1-8B8641511D44}" srcOrd="3" destOrd="0" presId="urn:microsoft.com/office/officeart/2005/8/layout/lProcess2"/>
    <dgm:cxn modelId="{7D4ADA19-D362-4B12-94E8-52897F92B0A1}" type="presParOf" srcId="{C736C17B-C719-41C3-B88A-D54EAE9CF4DB}" destId="{22972B19-09E6-44CC-9566-B1658E690B7C}" srcOrd="4" destOrd="0" presId="urn:microsoft.com/office/officeart/2005/8/layout/lProcess2"/>
    <dgm:cxn modelId="{027DA412-8C61-4F88-BFC4-D27DF7AC54A0}" type="presParOf" srcId="{22972B19-09E6-44CC-9566-B1658E690B7C}" destId="{0DF98843-7A99-484A-9D86-8EF71BAA512B}" srcOrd="0" destOrd="0" presId="urn:microsoft.com/office/officeart/2005/8/layout/lProcess2"/>
    <dgm:cxn modelId="{8C1633A5-F217-4A8C-9F16-2FBBDDA2CF19}" type="presParOf" srcId="{22972B19-09E6-44CC-9566-B1658E690B7C}" destId="{468D3B7D-8C35-4C9D-A4AE-A1A1FD6542E2}" srcOrd="1" destOrd="0" presId="urn:microsoft.com/office/officeart/2005/8/layout/lProcess2"/>
    <dgm:cxn modelId="{281ECAF8-2A5B-4A85-9DFB-BCA5AD1A9155}" type="presParOf" srcId="{22972B19-09E6-44CC-9566-B1658E690B7C}" destId="{EC783118-D9A9-45DE-BCD4-FF5F75F24D5A}" srcOrd="2" destOrd="0" presId="urn:microsoft.com/office/officeart/2005/8/layout/lProcess2"/>
    <dgm:cxn modelId="{6C946A3C-5B16-4AEE-9CA7-FA5D82B206EB}" type="presParOf" srcId="{EC783118-D9A9-45DE-BCD4-FF5F75F24D5A}" destId="{E6721E7F-E19F-45DC-8BB6-CF36F5D04225}" srcOrd="0" destOrd="0" presId="urn:microsoft.com/office/officeart/2005/8/layout/lProcess2"/>
    <dgm:cxn modelId="{2E04DCBB-A8FC-4A19-8D7F-D62A406B44FF}" type="presParOf" srcId="{E6721E7F-E19F-45DC-8BB6-CF36F5D04225}" destId="{3AE9D941-DC1A-43CC-949B-47A71BA58DD5}" srcOrd="0" destOrd="0" presId="urn:microsoft.com/office/officeart/2005/8/layout/lProcess2"/>
    <dgm:cxn modelId="{BD7C1537-E3E4-4BE3-93EB-A83BA9663EE6}" type="presParOf" srcId="{E6721E7F-E19F-45DC-8BB6-CF36F5D04225}" destId="{53A8B474-CB18-440A-B8BC-62CF3E999D7D}" srcOrd="1" destOrd="0" presId="urn:microsoft.com/office/officeart/2005/8/layout/lProcess2"/>
    <dgm:cxn modelId="{CB8CE3F5-0BEE-4130-9403-AE9FED1A7525}" type="presParOf" srcId="{E6721E7F-E19F-45DC-8BB6-CF36F5D04225}" destId="{7BAAD3ED-7EF5-49FB-9B44-13FC3DB2629C}" srcOrd="2" destOrd="0" presId="urn:microsoft.com/office/officeart/2005/8/layout/lProcess2"/>
    <dgm:cxn modelId="{74C5A1BD-291C-47E1-9769-9CA735DE8E12}" type="presParOf" srcId="{E6721E7F-E19F-45DC-8BB6-CF36F5D04225}" destId="{30ACF5F8-062D-448C-B069-242FC09DCDFB}" srcOrd="3" destOrd="0" presId="urn:microsoft.com/office/officeart/2005/8/layout/lProcess2"/>
    <dgm:cxn modelId="{37427AE4-F820-4B27-BFCE-D7B098FA0512}" type="presParOf" srcId="{E6721E7F-E19F-45DC-8BB6-CF36F5D04225}" destId="{80D732E0-8C6C-4BCB-8608-CEA81B9335BB}" srcOrd="4" destOrd="0" presId="urn:microsoft.com/office/officeart/2005/8/layout/lProcess2"/>
    <dgm:cxn modelId="{AD680800-0B4A-4037-A08D-7F12BA0B1B9E}" type="presParOf" srcId="{C736C17B-C719-41C3-B88A-D54EAE9CF4DB}" destId="{CF2D68AE-2F31-47E9-8C07-B0218B0F5953}" srcOrd="5" destOrd="0" presId="urn:microsoft.com/office/officeart/2005/8/layout/lProcess2"/>
    <dgm:cxn modelId="{D1942987-CAE8-4EEA-880B-BE5403B310D5}" type="presParOf" srcId="{C736C17B-C719-41C3-B88A-D54EAE9CF4DB}" destId="{82D33498-F95A-4A4A-9D2F-F656C0058227}" srcOrd="6" destOrd="0" presId="urn:microsoft.com/office/officeart/2005/8/layout/lProcess2"/>
    <dgm:cxn modelId="{447C6964-6F34-438E-9C56-90820B9F9FCA}" type="presParOf" srcId="{82D33498-F95A-4A4A-9D2F-F656C0058227}" destId="{794676AF-2E77-4336-B8C5-4E08EE5F32F5}" srcOrd="0" destOrd="0" presId="urn:microsoft.com/office/officeart/2005/8/layout/lProcess2"/>
    <dgm:cxn modelId="{96E07A0A-5B69-490C-82AB-5D7D7EB16D56}" type="presParOf" srcId="{82D33498-F95A-4A4A-9D2F-F656C0058227}" destId="{574010FE-1B31-498A-AC69-E6EAC25DBF74}" srcOrd="1" destOrd="0" presId="urn:microsoft.com/office/officeart/2005/8/layout/lProcess2"/>
    <dgm:cxn modelId="{6030B0F1-F0CA-4091-8E51-31424C518A6A}" type="presParOf" srcId="{82D33498-F95A-4A4A-9D2F-F656C0058227}" destId="{B7BFEE73-0589-4A7F-B065-681E8C8DAD2F}" srcOrd="2" destOrd="0" presId="urn:microsoft.com/office/officeart/2005/8/layout/lProcess2"/>
    <dgm:cxn modelId="{D2583F3F-53EF-4AC7-BCD8-D379D7928784}" type="presParOf" srcId="{B7BFEE73-0589-4A7F-B065-681E8C8DAD2F}" destId="{A2ABC8ED-6800-4AA4-8365-C476EFB8B4AA}" srcOrd="0" destOrd="0" presId="urn:microsoft.com/office/officeart/2005/8/layout/lProcess2"/>
    <dgm:cxn modelId="{CAD9C171-B473-4A37-B8CB-9A62C3F5B607}" type="presParOf" srcId="{A2ABC8ED-6800-4AA4-8365-C476EFB8B4AA}" destId="{67D02929-8B45-404F-8B34-318727359E08}" srcOrd="0" destOrd="0" presId="urn:microsoft.com/office/officeart/2005/8/layout/lProcess2"/>
    <dgm:cxn modelId="{B7E3E322-3F8C-4F53-89DF-C119AE83496B}" type="presParOf" srcId="{A2ABC8ED-6800-4AA4-8365-C476EFB8B4AA}" destId="{BD16E6B5-53A2-4600-AE4E-6F7EBCC862C2}" srcOrd="1" destOrd="0" presId="urn:microsoft.com/office/officeart/2005/8/layout/lProcess2"/>
    <dgm:cxn modelId="{2D448761-B76A-4F98-860E-642ADE4F31EE}" type="presParOf" srcId="{A2ABC8ED-6800-4AA4-8365-C476EFB8B4AA}" destId="{2905B8BB-A9F6-45B6-8D14-8329C5DA4F38}" srcOrd="2" destOrd="0" presId="urn:microsoft.com/office/officeart/2005/8/layout/lProcess2"/>
    <dgm:cxn modelId="{D0C29413-88E5-419B-ACBC-20582C11E344}" type="presParOf" srcId="{A2ABC8ED-6800-4AA4-8365-C476EFB8B4AA}" destId="{114534E2-0A92-4500-B2F7-922988A5BFEC}" srcOrd="3" destOrd="0" presId="urn:microsoft.com/office/officeart/2005/8/layout/lProcess2"/>
    <dgm:cxn modelId="{B8DC7490-FA45-42CA-AAAF-4908B53A7CEE}" type="presParOf" srcId="{A2ABC8ED-6800-4AA4-8365-C476EFB8B4AA}" destId="{EFDA491E-55E8-42D9-B560-2C817067336C}" srcOrd="4" destOrd="0" presId="urn:microsoft.com/office/officeart/2005/8/layout/lProcess2"/>
    <dgm:cxn modelId="{81474286-5A3D-4330-BB87-A4D5FF149A9E}" type="presParOf" srcId="{A2ABC8ED-6800-4AA4-8365-C476EFB8B4AA}" destId="{129AA32F-8DD6-48F2-B286-F9D22DDB5A49}" srcOrd="5" destOrd="0" presId="urn:microsoft.com/office/officeart/2005/8/layout/lProcess2"/>
    <dgm:cxn modelId="{348FAB8F-BB13-4D8D-B7CF-CE4BC57CF62A}" type="presParOf" srcId="{A2ABC8ED-6800-4AA4-8365-C476EFB8B4AA}" destId="{A2D30760-C5F9-486D-B1CC-2884A5392352}" srcOrd="6" destOrd="0" presId="urn:microsoft.com/office/officeart/2005/8/layout/lProcess2"/>
    <dgm:cxn modelId="{62D33CC7-F6EE-44A6-B178-83B44C4038FC}" type="presParOf" srcId="{A2ABC8ED-6800-4AA4-8365-C476EFB8B4AA}" destId="{FAD98847-2D2E-4E56-BDF0-0BFC6E38CACA}" srcOrd="7" destOrd="0" presId="urn:microsoft.com/office/officeart/2005/8/layout/lProcess2"/>
    <dgm:cxn modelId="{4AE1C1A4-6B29-499C-88C7-75E005EBD7FB}" type="presParOf" srcId="{A2ABC8ED-6800-4AA4-8365-C476EFB8B4AA}" destId="{0D9A865E-718E-449C-AC91-ED7C3F558D73}" srcOrd="8" destOrd="0" presId="urn:microsoft.com/office/officeart/2005/8/layout/lProcess2"/>
    <dgm:cxn modelId="{5948C15F-92B6-4161-8AEC-526555442A66}" type="presParOf" srcId="{A2ABC8ED-6800-4AA4-8365-C476EFB8B4AA}" destId="{C2F7D7B4-06EF-4E70-9329-4AB27D555F2F}" srcOrd="9" destOrd="0" presId="urn:microsoft.com/office/officeart/2005/8/layout/lProcess2"/>
    <dgm:cxn modelId="{D032C045-6E13-4C74-BCFA-1E74DCF42567}" type="presParOf" srcId="{A2ABC8ED-6800-4AA4-8365-C476EFB8B4AA}" destId="{7ADB5277-9925-46AA-9306-48FBE69A5756}" srcOrd="10" destOrd="0" presId="urn:microsoft.com/office/officeart/2005/8/layout/lProcess2"/>
    <dgm:cxn modelId="{8524B079-97D8-4A72-9738-9E1D3C652FBD}" type="presParOf" srcId="{C736C17B-C719-41C3-B88A-D54EAE9CF4DB}" destId="{44F03D67-7016-495E-8863-14F9D2751F99}" srcOrd="7" destOrd="0" presId="urn:microsoft.com/office/officeart/2005/8/layout/lProcess2"/>
    <dgm:cxn modelId="{9A46F7B5-2D38-461A-B7E2-DF9CFDE2F6AA}" type="presParOf" srcId="{C736C17B-C719-41C3-B88A-D54EAE9CF4DB}" destId="{FD04921E-0759-4C36-9872-422C5BCBEE0B}" srcOrd="8" destOrd="0" presId="urn:microsoft.com/office/officeart/2005/8/layout/lProcess2"/>
    <dgm:cxn modelId="{DA352863-17FE-40A5-B540-A30289C0A32C}" type="presParOf" srcId="{FD04921E-0759-4C36-9872-422C5BCBEE0B}" destId="{313431D5-75B1-4171-B6A0-960530C2E4B5}" srcOrd="0" destOrd="0" presId="urn:microsoft.com/office/officeart/2005/8/layout/lProcess2"/>
    <dgm:cxn modelId="{D8D1A820-1243-4E8E-B532-DCF3D80DD639}" type="presParOf" srcId="{FD04921E-0759-4C36-9872-422C5BCBEE0B}" destId="{744D0539-3D8F-46E1-9B0E-51EB27076CAA}" srcOrd="1" destOrd="0" presId="urn:microsoft.com/office/officeart/2005/8/layout/lProcess2"/>
    <dgm:cxn modelId="{BCEFC402-22EE-4391-A94A-29FEF50A02F6}" type="presParOf" srcId="{FD04921E-0759-4C36-9872-422C5BCBEE0B}" destId="{73ECAAC9-0B62-4274-855A-0B5C0135CFAC}" srcOrd="2" destOrd="0" presId="urn:microsoft.com/office/officeart/2005/8/layout/lProcess2"/>
    <dgm:cxn modelId="{DCA48055-D43B-47B3-9273-4D1B2689CBFB}" type="presParOf" srcId="{73ECAAC9-0B62-4274-855A-0B5C0135CFAC}" destId="{68DF8F7B-F7B9-4A64-9E2F-6867CB4E421E}" srcOrd="0" destOrd="0" presId="urn:microsoft.com/office/officeart/2005/8/layout/lProcess2"/>
    <dgm:cxn modelId="{E1C2BF55-40FA-459B-9218-2AD53A467FFC}" type="presParOf" srcId="{68DF8F7B-F7B9-4A64-9E2F-6867CB4E421E}" destId="{62339B8A-1DDF-4147-BF7E-A8E917E96739}" srcOrd="0" destOrd="0" presId="urn:microsoft.com/office/officeart/2005/8/layout/lProcess2"/>
    <dgm:cxn modelId="{EDDF3E18-464A-47D8-9276-005A8C9507F5}" type="presParOf" srcId="{68DF8F7B-F7B9-4A64-9E2F-6867CB4E421E}" destId="{E20AE5DB-F70B-43FF-9D04-57D70DF7D177}" srcOrd="1" destOrd="0" presId="urn:microsoft.com/office/officeart/2005/8/layout/lProcess2"/>
    <dgm:cxn modelId="{39A8A241-1BE7-44BF-8E4F-B255E0B56999}" type="presParOf" srcId="{68DF8F7B-F7B9-4A64-9E2F-6867CB4E421E}" destId="{1056A9A1-B5E8-40DA-B7F2-677D4EA3B83D}" srcOrd="2" destOrd="0" presId="urn:microsoft.com/office/officeart/2005/8/layout/lProcess2"/>
    <dgm:cxn modelId="{3B9EDA93-DEB2-41B0-A238-0AFD5F980548}" type="presParOf" srcId="{68DF8F7B-F7B9-4A64-9E2F-6867CB4E421E}" destId="{7E9B23F3-B09A-4759-BF96-F86E489F7FA5}" srcOrd="3" destOrd="0" presId="urn:microsoft.com/office/officeart/2005/8/layout/lProcess2"/>
    <dgm:cxn modelId="{5FAF8C3B-3EBF-494B-82F4-1D42B12DB1E5}" type="presParOf" srcId="{68DF8F7B-F7B9-4A64-9E2F-6867CB4E421E}" destId="{5BCE5BEC-96CC-4F67-ACD8-93A02DDAF15F}" srcOrd="4" destOrd="0" presId="urn:microsoft.com/office/officeart/2005/8/layout/lProcess2"/>
    <dgm:cxn modelId="{FD2755B1-247F-4146-92BB-80E3700CA7D8}" type="presParOf" srcId="{C736C17B-C719-41C3-B88A-D54EAE9CF4DB}" destId="{176AE208-D31A-4282-8711-4E36817BE3A5}" srcOrd="9" destOrd="0" presId="urn:microsoft.com/office/officeart/2005/8/layout/lProcess2"/>
    <dgm:cxn modelId="{2DC6353A-BEB7-48F1-A641-015A5D583BF1}" type="presParOf" srcId="{C736C17B-C719-41C3-B88A-D54EAE9CF4DB}" destId="{84313894-539B-49B6-A4CC-210D36B00F4A}" srcOrd="10" destOrd="0" presId="urn:microsoft.com/office/officeart/2005/8/layout/lProcess2"/>
    <dgm:cxn modelId="{D51D282B-4E01-431C-853C-D0E523F89DFD}" type="presParOf" srcId="{84313894-539B-49B6-A4CC-210D36B00F4A}" destId="{B6CA2E61-00BF-40A0-AE6C-866BB6DAAAEA}" srcOrd="0" destOrd="0" presId="urn:microsoft.com/office/officeart/2005/8/layout/lProcess2"/>
    <dgm:cxn modelId="{B38CC289-E17B-4605-A18D-7F3429CC669F}" type="presParOf" srcId="{84313894-539B-49B6-A4CC-210D36B00F4A}" destId="{7E25A649-F17F-4322-AAA9-50EDB7678B8A}" srcOrd="1" destOrd="0" presId="urn:microsoft.com/office/officeart/2005/8/layout/lProcess2"/>
    <dgm:cxn modelId="{5767FB62-F9BC-4E47-8F9E-B46A4812F9D4}" type="presParOf" srcId="{84313894-539B-49B6-A4CC-210D36B00F4A}" destId="{EE71140A-B221-4198-B812-E93614603962}" srcOrd="2" destOrd="0" presId="urn:microsoft.com/office/officeart/2005/8/layout/lProcess2"/>
    <dgm:cxn modelId="{8B624EDC-13EB-4E38-AC9F-13139132C2AD}" type="presParOf" srcId="{EE71140A-B221-4198-B812-E93614603962}" destId="{BDCF25B7-D8D5-4343-AF80-B2563534D64C}" srcOrd="0" destOrd="0" presId="urn:microsoft.com/office/officeart/2005/8/layout/lProcess2"/>
    <dgm:cxn modelId="{EF191BCC-692A-4C69-973E-0CA87128EEA6}" type="presParOf" srcId="{BDCF25B7-D8D5-4343-AF80-B2563534D64C}" destId="{EDA059C3-5C02-4B9B-8DCD-E692F6B7B8EB}" srcOrd="0" destOrd="0" presId="urn:microsoft.com/office/officeart/2005/8/layout/lProcess2"/>
    <dgm:cxn modelId="{28AE0A77-0BFA-434C-8924-83D479C32CC8}" type="presParOf" srcId="{BDCF25B7-D8D5-4343-AF80-B2563534D64C}" destId="{F038A009-CFCF-4547-9749-B60B7BDBA6F5}" srcOrd="1" destOrd="0" presId="urn:microsoft.com/office/officeart/2005/8/layout/lProcess2"/>
    <dgm:cxn modelId="{6BCE4B02-28DA-4933-94FD-D4FCF59E17AB}" type="presParOf" srcId="{BDCF25B7-D8D5-4343-AF80-B2563534D64C}" destId="{81DB3085-47E8-47F7-832F-6A87ED2C662D}" srcOrd="2" destOrd="0" presId="urn:microsoft.com/office/officeart/2005/8/layout/lProcess2"/>
    <dgm:cxn modelId="{D87E6444-BF80-4132-B5A4-5B5011DDA562}" type="presParOf" srcId="{BDCF25B7-D8D5-4343-AF80-B2563534D64C}" destId="{7845B2EB-45BA-4617-92DB-D7279E375AEE}" srcOrd="3" destOrd="0" presId="urn:microsoft.com/office/officeart/2005/8/layout/lProcess2"/>
    <dgm:cxn modelId="{4E11A659-BB98-4ED3-8F6F-C6E1A451B83A}" type="presParOf" srcId="{BDCF25B7-D8D5-4343-AF80-B2563534D64C}" destId="{E41E8AA0-17E7-4E6F-8366-1374DE8E42AC}" srcOrd="4" destOrd="0" presId="urn:microsoft.com/office/officeart/2005/8/layout/lProcess2"/>
    <dgm:cxn modelId="{06B3CC41-0D3C-442E-8581-A670BFB663C8}" type="presParOf" srcId="{BDCF25B7-D8D5-4343-AF80-B2563534D64C}" destId="{DE537977-5549-4735-B22A-3084F8595960}" srcOrd="5" destOrd="0" presId="urn:microsoft.com/office/officeart/2005/8/layout/lProcess2"/>
    <dgm:cxn modelId="{5BC629F7-ACD0-4A98-A103-8AF17D907120}" type="presParOf" srcId="{BDCF25B7-D8D5-4343-AF80-B2563534D64C}" destId="{CC10EE2D-3082-4580-970F-04EDA3EC3715}" srcOrd="6" destOrd="0" presId="urn:microsoft.com/office/officeart/2005/8/layout/l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6AD555-A299-4EF7-A3C1-0EA7603D8D22}">
      <dsp:nvSpPr>
        <dsp:cNvPr id="0" name=""/>
        <dsp:cNvSpPr/>
      </dsp:nvSpPr>
      <dsp:spPr>
        <a:xfrm>
          <a:off x="0" y="0"/>
          <a:ext cx="1353193" cy="4091940"/>
        </a:xfrm>
        <a:prstGeom prst="roundRect">
          <a:avLst>
            <a:gd name="adj" fmla="val 10000"/>
          </a:avLst>
        </a:prstGeom>
        <a:solidFill>
          <a:srgbClr val="4472C4">
            <a:lumMod val="5000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Calibri" panose="020F0502020204030204"/>
              <a:ea typeface="+mn-ea"/>
              <a:cs typeface="+mn-cs"/>
            </a:rPr>
            <a:t>Clinical governance</a:t>
          </a:r>
        </a:p>
      </dsp:txBody>
      <dsp:txXfrm>
        <a:off x="35955" y="35955"/>
        <a:ext cx="1281283" cy="1155672"/>
      </dsp:txXfrm>
    </dsp:sp>
    <dsp:sp modelId="{8829C420-73F8-4167-8446-A6F00049E233}">
      <dsp:nvSpPr>
        <dsp:cNvPr id="0" name=""/>
        <dsp:cNvSpPr/>
      </dsp:nvSpPr>
      <dsp:spPr>
        <a:xfrm>
          <a:off x="158631" y="1219903"/>
          <a:ext cx="1057158" cy="530502"/>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National leadership on clinical governance</a:t>
          </a:r>
        </a:p>
      </dsp:txBody>
      <dsp:txXfrm>
        <a:off x="174169" y="1235441"/>
        <a:ext cx="1026082" cy="499426"/>
      </dsp:txXfrm>
    </dsp:sp>
    <dsp:sp modelId="{FF513BC1-A12A-473A-8536-40B8EB0E4AA5}">
      <dsp:nvSpPr>
        <dsp:cNvPr id="0" name=""/>
        <dsp:cNvSpPr/>
      </dsp:nvSpPr>
      <dsp:spPr>
        <a:xfrm>
          <a:off x="138744" y="1853000"/>
          <a:ext cx="1082554" cy="614939"/>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National standards for health care</a:t>
          </a:r>
        </a:p>
      </dsp:txBody>
      <dsp:txXfrm>
        <a:off x="156755" y="1871011"/>
        <a:ext cx="1046532" cy="578917"/>
      </dsp:txXfrm>
    </dsp:sp>
    <dsp:sp modelId="{2576921A-EF2C-456E-B15C-64720659FAE9}">
      <dsp:nvSpPr>
        <dsp:cNvPr id="0" name=""/>
        <dsp:cNvSpPr/>
      </dsp:nvSpPr>
      <dsp:spPr>
        <a:xfrm>
          <a:off x="138744" y="2562546"/>
          <a:ext cx="1082554" cy="614939"/>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Accreditation against the NSQHS Standards</a:t>
          </a:r>
        </a:p>
      </dsp:txBody>
      <dsp:txXfrm>
        <a:off x="156755" y="2580557"/>
        <a:ext cx="1046532" cy="578917"/>
      </dsp:txXfrm>
    </dsp:sp>
    <dsp:sp modelId="{12D2C08A-2A70-4ABB-B6BD-9FB384A35EB8}">
      <dsp:nvSpPr>
        <dsp:cNvPr id="0" name=""/>
        <dsp:cNvSpPr/>
      </dsp:nvSpPr>
      <dsp:spPr>
        <a:xfrm>
          <a:off x="138744" y="3272092"/>
          <a:ext cx="1082554" cy="614939"/>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Culturally safe care for people and communities, particularly First Nations people</a:t>
          </a:r>
        </a:p>
      </dsp:txBody>
      <dsp:txXfrm>
        <a:off x="156755" y="3290103"/>
        <a:ext cx="1046532" cy="578917"/>
      </dsp:txXfrm>
    </dsp:sp>
    <dsp:sp modelId="{64DB5BB9-9A5C-4268-9EF1-FE4E6400CE2E}">
      <dsp:nvSpPr>
        <dsp:cNvPr id="0" name=""/>
        <dsp:cNvSpPr/>
      </dsp:nvSpPr>
      <dsp:spPr>
        <a:xfrm>
          <a:off x="1449150" y="0"/>
          <a:ext cx="1353193" cy="4091940"/>
        </a:xfrm>
        <a:prstGeom prst="roundRect">
          <a:avLst>
            <a:gd name="adj" fmla="val 10000"/>
          </a:avLst>
        </a:prstGeom>
        <a:solidFill>
          <a:srgbClr val="ED7D31">
            <a:lumMod val="7500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Calibri" panose="020F0502020204030204"/>
              <a:ea typeface="+mn-ea"/>
              <a:cs typeface="+mn-cs"/>
            </a:rPr>
            <a:t>Partnerships with patients, their carers and familes and, communities</a:t>
          </a:r>
        </a:p>
      </dsp:txBody>
      <dsp:txXfrm>
        <a:off x="1485105" y="35955"/>
        <a:ext cx="1281283" cy="1155672"/>
      </dsp:txXfrm>
    </dsp:sp>
    <dsp:sp modelId="{9E72FB05-D9B7-49A5-848A-E87257B4D2AE}">
      <dsp:nvSpPr>
        <dsp:cNvPr id="0" name=""/>
        <dsp:cNvSpPr/>
      </dsp:nvSpPr>
      <dsp:spPr>
        <a:xfrm>
          <a:off x="1587614" y="1219849"/>
          <a:ext cx="1082554" cy="393211"/>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Enabling the patient voice in their health care</a:t>
          </a:r>
        </a:p>
      </dsp:txBody>
      <dsp:txXfrm>
        <a:off x="1599131" y="1231366"/>
        <a:ext cx="1059520" cy="370177"/>
      </dsp:txXfrm>
    </dsp:sp>
    <dsp:sp modelId="{C8032647-5E6E-430B-8EDB-C6A61885259B}">
      <dsp:nvSpPr>
        <dsp:cNvPr id="0" name=""/>
        <dsp:cNvSpPr/>
      </dsp:nvSpPr>
      <dsp:spPr>
        <a:xfrm>
          <a:off x="1593427" y="1726358"/>
          <a:ext cx="1082554" cy="983600"/>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Collaboration and communication between patients, carers, families, communities, health services and clinicians  to strengthen partnerships at all levels of health care</a:t>
          </a:r>
        </a:p>
      </dsp:txBody>
      <dsp:txXfrm>
        <a:off x="1622236" y="1755167"/>
        <a:ext cx="1024936" cy="925982"/>
      </dsp:txXfrm>
    </dsp:sp>
    <dsp:sp modelId="{0B901D84-DEA6-44FB-9329-4E9A85245381}">
      <dsp:nvSpPr>
        <dsp:cNvPr id="0" name=""/>
        <dsp:cNvSpPr/>
      </dsp:nvSpPr>
      <dsp:spPr>
        <a:xfrm>
          <a:off x="1593427" y="2851272"/>
          <a:ext cx="1082554" cy="260993"/>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Australian Charter of Health Care Rights</a:t>
          </a:r>
        </a:p>
      </dsp:txBody>
      <dsp:txXfrm>
        <a:off x="1601071" y="2858916"/>
        <a:ext cx="1067266" cy="245705"/>
      </dsp:txXfrm>
    </dsp:sp>
    <dsp:sp modelId="{E6B1F792-F1ED-4CA8-BA9B-8A78DAAEE7F2}">
      <dsp:nvSpPr>
        <dsp:cNvPr id="0" name=""/>
        <dsp:cNvSpPr/>
      </dsp:nvSpPr>
      <dsp:spPr>
        <a:xfrm>
          <a:off x="1593427" y="3208306"/>
          <a:ext cx="1082554" cy="278748"/>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Equitable health care</a:t>
          </a:r>
        </a:p>
      </dsp:txBody>
      <dsp:txXfrm>
        <a:off x="1601591" y="3216470"/>
        <a:ext cx="1066226" cy="262420"/>
      </dsp:txXfrm>
    </dsp:sp>
    <dsp:sp modelId="{58651BF1-317C-4603-B603-86F868FB42C2}">
      <dsp:nvSpPr>
        <dsp:cNvPr id="0" name=""/>
        <dsp:cNvSpPr/>
      </dsp:nvSpPr>
      <dsp:spPr>
        <a:xfrm>
          <a:off x="1593427" y="3592150"/>
          <a:ext cx="1082554" cy="321887"/>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Mental health and suicide prevention</a:t>
          </a:r>
          <a:endParaRPr lang="en-AU" sz="800" kern="1200">
            <a:solidFill>
              <a:sysClr val="windowText" lastClr="000000"/>
            </a:solidFill>
            <a:latin typeface="Calibri" panose="020F0502020204030204"/>
            <a:ea typeface="+mn-ea"/>
            <a:cs typeface="+mn-cs"/>
          </a:endParaRPr>
        </a:p>
      </dsp:txBody>
      <dsp:txXfrm>
        <a:off x="1602855" y="3601578"/>
        <a:ext cx="1063698" cy="303031"/>
      </dsp:txXfrm>
    </dsp:sp>
    <dsp:sp modelId="{0DF98843-7A99-484A-9D86-8EF71BAA512B}">
      <dsp:nvSpPr>
        <dsp:cNvPr id="0" name=""/>
        <dsp:cNvSpPr/>
      </dsp:nvSpPr>
      <dsp:spPr>
        <a:xfrm>
          <a:off x="2924117" y="0"/>
          <a:ext cx="1353193" cy="4091940"/>
        </a:xfrm>
        <a:prstGeom prst="roundRect">
          <a:avLst>
            <a:gd name="adj" fmla="val 10000"/>
          </a:avLst>
        </a:prstGeom>
        <a:solidFill>
          <a:srgbClr val="70AD47">
            <a:lumMod val="7500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Calibri" panose="020F0502020204030204"/>
              <a:ea typeface="+mn-ea"/>
              <a:cs typeface="+mn-cs"/>
            </a:rPr>
            <a:t>Appropriate and sustainable health care</a:t>
          </a:r>
        </a:p>
      </dsp:txBody>
      <dsp:txXfrm>
        <a:off x="2960072" y="35955"/>
        <a:ext cx="1281283" cy="1155672"/>
      </dsp:txXfrm>
    </dsp:sp>
    <dsp:sp modelId="{3AE9D941-DC1A-43CC-949B-47A71BA58DD5}">
      <dsp:nvSpPr>
        <dsp:cNvPr id="0" name=""/>
        <dsp:cNvSpPr/>
      </dsp:nvSpPr>
      <dsp:spPr>
        <a:xfrm>
          <a:off x="3055071" y="1221386"/>
          <a:ext cx="1082554" cy="803902"/>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Healthcare variation and low value care</a:t>
          </a:r>
        </a:p>
      </dsp:txBody>
      <dsp:txXfrm>
        <a:off x="3078616" y="1244931"/>
        <a:ext cx="1035464" cy="756812"/>
      </dsp:txXfrm>
    </dsp:sp>
    <dsp:sp modelId="{7BAAD3ED-7EF5-49FB-9B44-13FC3DB2629C}">
      <dsp:nvSpPr>
        <dsp:cNvPr id="0" name=""/>
        <dsp:cNvSpPr/>
      </dsp:nvSpPr>
      <dsp:spPr>
        <a:xfrm>
          <a:off x="3048110" y="2155511"/>
          <a:ext cx="1082554" cy="803902"/>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High-value care pathways and best practice care</a:t>
          </a:r>
        </a:p>
      </dsp:txBody>
      <dsp:txXfrm>
        <a:off x="3071655" y="2179056"/>
        <a:ext cx="1035464" cy="756812"/>
      </dsp:txXfrm>
    </dsp:sp>
    <dsp:sp modelId="{80D732E0-8C6C-4BCB-8608-CEA81B9335BB}">
      <dsp:nvSpPr>
        <dsp:cNvPr id="0" name=""/>
        <dsp:cNvSpPr/>
      </dsp:nvSpPr>
      <dsp:spPr>
        <a:xfrm>
          <a:off x="3048110" y="3083090"/>
          <a:ext cx="1082554" cy="803902"/>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Resilient and sustainable health care</a:t>
          </a:r>
          <a:r>
            <a:rPr lang="en-AU" sz="800" kern="1200">
              <a:solidFill>
                <a:sysClr val="windowText" lastClr="000000"/>
              </a:solidFill>
              <a:latin typeface="Calibri" panose="020F0502020204030204"/>
              <a:ea typeface="+mn-ea"/>
              <a:cs typeface="+mn-cs"/>
            </a:rPr>
            <a:t> </a:t>
          </a:r>
        </a:p>
      </dsp:txBody>
      <dsp:txXfrm>
        <a:off x="3071655" y="3106635"/>
        <a:ext cx="1035464" cy="756812"/>
      </dsp:txXfrm>
    </dsp:sp>
    <dsp:sp modelId="{794676AF-2E77-4336-B8C5-4E08EE5F32F5}">
      <dsp:nvSpPr>
        <dsp:cNvPr id="0" name=""/>
        <dsp:cNvSpPr/>
      </dsp:nvSpPr>
      <dsp:spPr>
        <a:xfrm>
          <a:off x="4407245" y="0"/>
          <a:ext cx="1353193" cy="4091940"/>
        </a:xfrm>
        <a:prstGeom prst="roundRect">
          <a:avLst>
            <a:gd name="adj" fmla="val 10000"/>
          </a:avLst>
        </a:prstGeom>
        <a:solidFill>
          <a:srgbClr val="CC3399"/>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Calibri" panose="020F0502020204030204"/>
              <a:ea typeface="+mn-ea"/>
              <a:cs typeface="+mn-cs"/>
            </a:rPr>
            <a:t>Safe clinical processes</a:t>
          </a:r>
        </a:p>
      </dsp:txBody>
      <dsp:txXfrm>
        <a:off x="4443200" y="35955"/>
        <a:ext cx="1281283" cy="1155672"/>
      </dsp:txXfrm>
    </dsp:sp>
    <dsp:sp modelId="{67D02929-8B45-404F-8B34-318727359E08}">
      <dsp:nvSpPr>
        <dsp:cNvPr id="0" name=""/>
        <dsp:cNvSpPr/>
      </dsp:nvSpPr>
      <dsp:spPr>
        <a:xfrm>
          <a:off x="4546431" y="1224978"/>
          <a:ext cx="1082554" cy="456019"/>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National approach to safe and quality use of medicines</a:t>
          </a:r>
        </a:p>
      </dsp:txBody>
      <dsp:txXfrm>
        <a:off x="4559787" y="1238334"/>
        <a:ext cx="1055842" cy="429307"/>
      </dsp:txXfrm>
    </dsp:sp>
    <dsp:sp modelId="{2905B8BB-A9F6-45B6-8D14-8329C5DA4F38}">
      <dsp:nvSpPr>
        <dsp:cNvPr id="0" name=""/>
        <dsp:cNvSpPr/>
      </dsp:nvSpPr>
      <dsp:spPr>
        <a:xfrm>
          <a:off x="4539081" y="1754566"/>
          <a:ext cx="1082554" cy="457795"/>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Infection prevention control and antimicrobial use and resistance</a:t>
          </a:r>
        </a:p>
      </dsp:txBody>
      <dsp:txXfrm>
        <a:off x="4552489" y="1767974"/>
        <a:ext cx="1055738" cy="430979"/>
      </dsp:txXfrm>
    </dsp:sp>
    <dsp:sp modelId="{EFDA491E-55E8-42D9-B560-2C817067336C}">
      <dsp:nvSpPr>
        <dsp:cNvPr id="0" name=""/>
        <dsp:cNvSpPr/>
      </dsp:nvSpPr>
      <dsp:spPr>
        <a:xfrm>
          <a:off x="4539081" y="2291408"/>
          <a:ext cx="1082554" cy="296093"/>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Digital health</a:t>
          </a:r>
        </a:p>
      </dsp:txBody>
      <dsp:txXfrm>
        <a:off x="4547753" y="2300080"/>
        <a:ext cx="1065210" cy="278749"/>
      </dsp:txXfrm>
    </dsp:sp>
    <dsp:sp modelId="{A2D30760-C5F9-486D-B1CC-2884A5392352}">
      <dsp:nvSpPr>
        <dsp:cNvPr id="0" name=""/>
        <dsp:cNvSpPr/>
      </dsp:nvSpPr>
      <dsp:spPr>
        <a:xfrm>
          <a:off x="4539081" y="2649316"/>
          <a:ext cx="1082554" cy="317197"/>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Artificial intelligence</a:t>
          </a:r>
        </a:p>
      </dsp:txBody>
      <dsp:txXfrm>
        <a:off x="4548371" y="2658606"/>
        <a:ext cx="1063974" cy="298617"/>
      </dsp:txXfrm>
    </dsp:sp>
    <dsp:sp modelId="{0D9A865E-718E-449C-AC91-ED7C3F558D73}">
      <dsp:nvSpPr>
        <dsp:cNvPr id="0" name=""/>
        <dsp:cNvSpPr/>
      </dsp:nvSpPr>
      <dsp:spPr>
        <a:xfrm>
          <a:off x="4539081" y="3036943"/>
          <a:ext cx="1082554" cy="396803"/>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Medical devices and new technologies</a:t>
          </a:r>
        </a:p>
      </dsp:txBody>
      <dsp:txXfrm>
        <a:off x="4550703" y="3048565"/>
        <a:ext cx="1059310" cy="373559"/>
      </dsp:txXfrm>
    </dsp:sp>
    <dsp:sp modelId="{7ADB5277-9925-46AA-9306-48FBE69A5756}">
      <dsp:nvSpPr>
        <dsp:cNvPr id="0" name=""/>
        <dsp:cNvSpPr/>
      </dsp:nvSpPr>
      <dsp:spPr>
        <a:xfrm>
          <a:off x="4539081" y="3504177"/>
          <a:ext cx="1082554" cy="382630"/>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Challenging behaviours</a:t>
          </a:r>
        </a:p>
      </dsp:txBody>
      <dsp:txXfrm>
        <a:off x="4550288" y="3515384"/>
        <a:ext cx="1060140" cy="360216"/>
      </dsp:txXfrm>
    </dsp:sp>
    <dsp:sp modelId="{313431D5-75B1-4171-B6A0-960530C2E4B5}">
      <dsp:nvSpPr>
        <dsp:cNvPr id="0" name=""/>
        <dsp:cNvSpPr/>
      </dsp:nvSpPr>
      <dsp:spPr>
        <a:xfrm>
          <a:off x="5823714" y="0"/>
          <a:ext cx="1353193" cy="4091940"/>
        </a:xfrm>
        <a:prstGeom prst="roundRect">
          <a:avLst>
            <a:gd name="adj" fmla="val 10000"/>
          </a:avLst>
        </a:prstGeom>
        <a:solidFill>
          <a:sysClr val="windowText" lastClr="000000">
            <a:lumMod val="50000"/>
            <a:lumOff val="50000"/>
          </a:sysClr>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Calibri" panose="020F0502020204030204"/>
              <a:ea typeface="+mn-ea"/>
              <a:cs typeface="+mn-cs"/>
            </a:rPr>
            <a:t>Integrated systems</a:t>
          </a:r>
        </a:p>
      </dsp:txBody>
      <dsp:txXfrm>
        <a:off x="5859669" y="35955"/>
        <a:ext cx="1281283" cy="1155672"/>
      </dsp:txXfrm>
    </dsp:sp>
    <dsp:sp modelId="{62339B8A-1DDF-4147-BF7E-A8E917E96739}">
      <dsp:nvSpPr>
        <dsp:cNvPr id="0" name=""/>
        <dsp:cNvSpPr/>
      </dsp:nvSpPr>
      <dsp:spPr>
        <a:xfrm>
          <a:off x="5955301" y="1221684"/>
          <a:ext cx="1108124" cy="815488"/>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Comprehensive, integrated care</a:t>
          </a:r>
        </a:p>
      </dsp:txBody>
      <dsp:txXfrm>
        <a:off x="5979186" y="1245569"/>
        <a:ext cx="1060354" cy="767718"/>
      </dsp:txXfrm>
    </dsp:sp>
    <dsp:sp modelId="{1056A9A1-B5E8-40DA-B7F2-677D4EA3B83D}">
      <dsp:nvSpPr>
        <dsp:cNvPr id="0" name=""/>
        <dsp:cNvSpPr/>
      </dsp:nvSpPr>
      <dsp:spPr>
        <a:xfrm>
          <a:off x="5957477" y="2166499"/>
          <a:ext cx="1082554" cy="798707"/>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Transitions of care / Communicating for safety</a:t>
          </a:r>
          <a:endParaRPr lang="en-AU" sz="800" kern="1200">
            <a:solidFill>
              <a:sysClr val="windowText" lastClr="000000"/>
            </a:solidFill>
            <a:latin typeface="Calibri" panose="020F0502020204030204"/>
            <a:ea typeface="+mn-ea"/>
            <a:cs typeface="+mn-cs"/>
          </a:endParaRPr>
        </a:p>
      </dsp:txBody>
      <dsp:txXfrm>
        <a:off x="5980870" y="2189892"/>
        <a:ext cx="1035768" cy="751921"/>
      </dsp:txXfrm>
    </dsp:sp>
    <dsp:sp modelId="{5BCE5BEC-96CC-4F67-ACD8-93A02DDAF15F}">
      <dsp:nvSpPr>
        <dsp:cNvPr id="0" name=""/>
        <dsp:cNvSpPr/>
      </dsp:nvSpPr>
      <dsp:spPr>
        <a:xfrm>
          <a:off x="5957477" y="3088084"/>
          <a:ext cx="1082554" cy="798707"/>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Integration of health care across the health (primary and acute), aged care and disability sectors</a:t>
          </a:r>
        </a:p>
      </dsp:txBody>
      <dsp:txXfrm>
        <a:off x="5980870" y="3111477"/>
        <a:ext cx="1035768" cy="751921"/>
      </dsp:txXfrm>
    </dsp:sp>
    <dsp:sp modelId="{B6CA2E61-00BF-40A0-AE6C-866BB6DAAAEA}">
      <dsp:nvSpPr>
        <dsp:cNvPr id="0" name=""/>
        <dsp:cNvSpPr/>
      </dsp:nvSpPr>
      <dsp:spPr>
        <a:xfrm>
          <a:off x="7249276" y="0"/>
          <a:ext cx="1353193" cy="4091940"/>
        </a:xfrm>
        <a:prstGeom prst="roundRect">
          <a:avLst>
            <a:gd name="adj" fmla="val 10000"/>
          </a:avLst>
        </a:prstGeom>
        <a:solidFill>
          <a:srgbClr val="7030A0"/>
        </a:solidFill>
        <a:ln>
          <a:noFill/>
        </a:ln>
        <a:effectLst/>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b="1" kern="1200">
              <a:solidFill>
                <a:sysClr val="window" lastClr="FFFFFF"/>
              </a:solidFill>
              <a:latin typeface="Calibri" panose="020F0502020204030204"/>
              <a:ea typeface="+mn-ea"/>
              <a:cs typeface="+mn-cs"/>
            </a:rPr>
            <a:t>Measurement for improvement</a:t>
          </a:r>
        </a:p>
      </dsp:txBody>
      <dsp:txXfrm>
        <a:off x="7285231" y="35955"/>
        <a:ext cx="1281283" cy="1155672"/>
      </dsp:txXfrm>
    </dsp:sp>
    <dsp:sp modelId="{EDA059C3-5C02-4B9B-8DCD-E692F6B7B8EB}">
      <dsp:nvSpPr>
        <dsp:cNvPr id="0" name=""/>
        <dsp:cNvSpPr/>
      </dsp:nvSpPr>
      <dsp:spPr>
        <a:xfrm>
          <a:off x="7391830" y="1223727"/>
          <a:ext cx="1082554" cy="550965"/>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Healthcare variation monitoring and reporting</a:t>
          </a:r>
        </a:p>
      </dsp:txBody>
      <dsp:txXfrm>
        <a:off x="7407967" y="1239864"/>
        <a:ext cx="1050280" cy="518691"/>
      </dsp:txXfrm>
    </dsp:sp>
    <dsp:sp modelId="{81DB3085-47E8-47F7-832F-6A87ED2C662D}">
      <dsp:nvSpPr>
        <dsp:cNvPr id="0" name=""/>
        <dsp:cNvSpPr/>
      </dsp:nvSpPr>
      <dsp:spPr>
        <a:xfrm>
          <a:off x="7412160" y="1879754"/>
          <a:ext cx="1082554" cy="653251"/>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Assessing the safety and quality of the Australian healthcare system</a:t>
          </a:r>
        </a:p>
      </dsp:txBody>
      <dsp:txXfrm>
        <a:off x="7431293" y="1898887"/>
        <a:ext cx="1044288" cy="614985"/>
      </dsp:txXfrm>
    </dsp:sp>
    <dsp:sp modelId="{E41E8AA0-17E7-4E6F-8366-1374DE8E42AC}">
      <dsp:nvSpPr>
        <dsp:cNvPr id="0" name=""/>
        <dsp:cNvSpPr/>
      </dsp:nvSpPr>
      <dsp:spPr>
        <a:xfrm>
          <a:off x="7412160" y="2633506"/>
          <a:ext cx="1082554" cy="653251"/>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 Measuring, monitoring and reporting the safety and quality of acute, primary and community care</a:t>
          </a:r>
        </a:p>
      </dsp:txBody>
      <dsp:txXfrm>
        <a:off x="7431293" y="2652639"/>
        <a:ext cx="1044288" cy="614985"/>
      </dsp:txXfrm>
    </dsp:sp>
    <dsp:sp modelId="{CC10EE2D-3082-4580-970F-04EDA3EC3715}">
      <dsp:nvSpPr>
        <dsp:cNvPr id="0" name=""/>
        <dsp:cNvSpPr/>
      </dsp:nvSpPr>
      <dsp:spPr>
        <a:xfrm>
          <a:off x="7412160" y="3387258"/>
          <a:ext cx="1082554" cy="499378"/>
        </a:xfrm>
        <a:prstGeom prst="roundRect">
          <a:avLst>
            <a:gd name="adj" fmla="val 10000"/>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latin typeface="Calibri" panose="020F0502020204030204"/>
              <a:ea typeface="+mn-ea"/>
              <a:cs typeface="+mn-cs"/>
            </a:rPr>
            <a:t>Public reporting for transparency</a:t>
          </a:r>
        </a:p>
      </dsp:txBody>
      <dsp:txXfrm>
        <a:off x="7426786" y="3401884"/>
        <a:ext cx="1053302" cy="47012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F285ED02FC45669451B57CB2E7E9E0"/>
        <w:category>
          <w:name w:val="General"/>
          <w:gallery w:val="placeholder"/>
        </w:category>
        <w:types>
          <w:type w:val="bbPlcHdr"/>
        </w:types>
        <w:behaviors>
          <w:behavior w:val="content"/>
        </w:behaviors>
        <w:guid w:val="{346F1F37-F45E-48E8-8FE1-D333C46F4B9B}"/>
      </w:docPartPr>
      <w:docPartBody>
        <w:p w:rsidR="007B761F" w:rsidRDefault="007B761F">
          <w:pPr>
            <w:pStyle w:val="C6F285ED02FC45669451B57CB2E7E9E0"/>
          </w:pPr>
          <w:r w:rsidRPr="00896871">
            <w:t>Date goes here</w:t>
          </w:r>
        </w:p>
      </w:docPartBody>
    </w:docPart>
    <w:docPart>
      <w:docPartPr>
        <w:name w:val="B3583DFFD67D4BB79CDB09BCC60FD4C1"/>
        <w:category>
          <w:name w:val="General"/>
          <w:gallery w:val="placeholder"/>
        </w:category>
        <w:types>
          <w:type w:val="bbPlcHdr"/>
        </w:types>
        <w:behaviors>
          <w:behavior w:val="content"/>
        </w:behaviors>
        <w:guid w:val="{76F16936-ABF5-407E-9229-68556B620436}"/>
      </w:docPartPr>
      <w:docPartBody>
        <w:p w:rsidR="007B761F" w:rsidRDefault="007B761F">
          <w:pPr>
            <w:pStyle w:val="B3583DFFD67D4BB79CDB09BCC60FD4C1"/>
          </w:pPr>
          <w:r w:rsidRPr="00062BA3">
            <w:t>Best-practice care for people, clinicians,</w:t>
          </w:r>
          <w:r>
            <w:t xml:space="preserve"> </w:t>
          </w:r>
          <w:r w:rsidRPr="00062BA3">
            <w:t>and Healthcare 36 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YInterstate Light">
    <w:altName w:val="Franklin Gothic Medium Cond"/>
    <w:charset w:val="00"/>
    <w:family w:val="auto"/>
    <w:pitch w:val="variable"/>
    <w:sig w:usb0="00000001" w:usb1="5000206A"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1F"/>
    <w:rsid w:val="000233AB"/>
    <w:rsid w:val="000D54B5"/>
    <w:rsid w:val="00174356"/>
    <w:rsid w:val="00186B12"/>
    <w:rsid w:val="00347F65"/>
    <w:rsid w:val="004F36FE"/>
    <w:rsid w:val="00520CD3"/>
    <w:rsid w:val="007505C3"/>
    <w:rsid w:val="007B761F"/>
    <w:rsid w:val="008A3581"/>
    <w:rsid w:val="00AC149D"/>
    <w:rsid w:val="00CF607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F285ED02FC45669451B57CB2E7E9E0">
    <w:name w:val="C6F285ED02FC45669451B57CB2E7E9E0"/>
  </w:style>
  <w:style w:type="paragraph" w:customStyle="1" w:styleId="B3583DFFD67D4BB79CDB09BCC60FD4C1">
    <w:name w:val="B3583DFFD67D4BB79CDB09BCC60FD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8803</Words>
  <Characters>53281</Characters>
  <Application>Microsoft Office Word</Application>
  <DocSecurity>0</DocSecurity>
  <Lines>1603</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2026-02-23T02:50:00Z</dcterms:created>
  <dcterms:modified xsi:type="dcterms:W3CDTF">2026-02-23T02:55:00Z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1addc35a,13ac6efa,1376db3e,ca96c7e,88c43f4,18ee3681,5474bd37,175729fa,24e910a7,4b1dd155,308f85a9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1b1b6118,7416726b,60aac22d,988d2,3bb0d7f9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2026-02-23T02:51:20Z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d5977cf9-2889-4b0a-8113-d19287d7a6dc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