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46FD9" w14:textId="77777777" w:rsidR="00823BD3" w:rsidRDefault="00823BD3" w:rsidP="00823BD3">
      <w:pPr>
        <w:spacing w:before="360" w:after="60"/>
        <w:rPr>
          <w:lang w:val="en-GB"/>
        </w:rPr>
      </w:pPr>
      <w:bookmarkStart w:id="0" w:name="_Toc491788192"/>
      <w:r>
        <w:rPr>
          <w:noProof/>
        </w:rPr>
        <w:drawing>
          <wp:inline distT="0" distB="0" distL="0" distR="0" wp14:anchorId="348918A6" wp14:editId="0A837239">
            <wp:extent cx="1168400" cy="381000"/>
            <wp:effectExtent l="0" t="0" r="0" b="0"/>
            <wp:docPr id="333" name="Picture 333" title="A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09E04.58889B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381000"/>
                    </a:xfrm>
                    <a:prstGeom prst="rect">
                      <a:avLst/>
                    </a:prstGeom>
                    <a:noFill/>
                    <a:ln>
                      <a:noFill/>
                    </a:ln>
                  </pic:spPr>
                </pic:pic>
              </a:graphicData>
            </a:graphic>
          </wp:inline>
        </w:drawing>
      </w:r>
      <w:r w:rsidR="00247937">
        <w:rPr>
          <w:lang w:val="en-GB"/>
        </w:rPr>
        <w:tab/>
      </w:r>
    </w:p>
    <w:p w14:paraId="2EA3AE27" w14:textId="77777777" w:rsidR="00247937" w:rsidRDefault="00247937" w:rsidP="00823BD3">
      <w:pPr>
        <w:spacing w:before="360" w:after="60"/>
        <w:rPr>
          <w:lang w:val="en-GB"/>
        </w:rPr>
      </w:pPr>
      <w:r>
        <w:rPr>
          <w:lang w:val="en-GB"/>
        </w:rPr>
        <w:t>TRIM: D17-</w:t>
      </w:r>
      <w:r w:rsidR="0047600B">
        <w:rPr>
          <w:lang w:val="en-GB"/>
        </w:rPr>
        <w:t>37675</w:t>
      </w:r>
    </w:p>
    <w:bookmarkStart w:id="1" w:name="_MON_1575351157"/>
    <w:bookmarkEnd w:id="1"/>
    <w:p w14:paraId="585CCB3C" w14:textId="77777777" w:rsidR="009E1CF7" w:rsidRDefault="00CB1E55" w:rsidP="009E1CF7">
      <w:pPr>
        <w:pStyle w:val="BodyText"/>
        <w:spacing w:line="240" w:lineRule="auto"/>
      </w:pPr>
      <w:r>
        <w:object w:dxaOrig="9026" w:dyaOrig="1400" w14:anchorId="6FC1A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ading - Frequently Asked Questions" style="width:451.5pt;height:69.5pt" o:ole="">
            <v:imagedata r:id="rId8" o:title=""/>
          </v:shape>
          <o:OLEObject Type="Embed" ProgID="Word.Document.12" ShapeID="_x0000_i1025" DrawAspect="Content" ObjectID="_1712493341" r:id="rId9">
            <o:FieldCodes>\s</o:FieldCodes>
          </o:OLEObject>
        </w:object>
      </w:r>
      <w:r w:rsidR="009E1CF7">
        <w:t xml:space="preserve">The infrastructure for Australian Passive AMR Surveillance (APAS) is provided by Queensland Health’s </w:t>
      </w:r>
      <w:r w:rsidR="009E1CF7" w:rsidRPr="0010740C">
        <w:t>OrgTRx system using a data cube approach (Queensla</w:t>
      </w:r>
      <w:r w:rsidR="009E1CF7">
        <w:t>n</w:t>
      </w:r>
      <w:r w:rsidR="009E1CF7" w:rsidRPr="0010740C">
        <w:t>d Health’s Business Intelligence System – Panorama)</w:t>
      </w:r>
      <w:r w:rsidR="009E1CF7">
        <w:t>. OrgTRx</w:t>
      </w:r>
      <w:r w:rsidR="009E1CF7" w:rsidRPr="0010740C">
        <w:t xml:space="preserve"> accepts extracts of surveillance data from </w:t>
      </w:r>
      <w:r w:rsidR="009E1CF7">
        <w:t xml:space="preserve">laboratory information management systems (LIS) that are incorporated as part of APAS.  </w:t>
      </w:r>
    </w:p>
    <w:p w14:paraId="7AED980E" w14:textId="77777777" w:rsidR="009E1CF7" w:rsidRPr="0010740C" w:rsidRDefault="009E1CF7" w:rsidP="009E1CF7">
      <w:pPr>
        <w:pStyle w:val="BodyText"/>
        <w:spacing w:line="240" w:lineRule="auto"/>
      </w:pPr>
      <w:r>
        <w:t>A</w:t>
      </w:r>
      <w:r w:rsidRPr="000A1FA5">
        <w:t>ll</w:t>
      </w:r>
      <w:r>
        <w:t xml:space="preserve"> participating laboratories </w:t>
      </w:r>
      <w:r w:rsidRPr="000A1FA5">
        <w:t xml:space="preserve">have access to the </w:t>
      </w:r>
      <w:r>
        <w:t xml:space="preserve">OrgTRx </w:t>
      </w:r>
      <w:r w:rsidRPr="000A1FA5">
        <w:t xml:space="preserve">data cube for the preparation of regular reports and antibiograms to </w:t>
      </w:r>
      <w:r>
        <w:t xml:space="preserve">support </w:t>
      </w:r>
      <w:r w:rsidRPr="000A1FA5">
        <w:t xml:space="preserve">antimicrobial stewardship </w:t>
      </w:r>
      <w:r>
        <w:t xml:space="preserve">programs </w:t>
      </w:r>
      <w:r w:rsidRPr="000A1FA5">
        <w:t xml:space="preserve">in </w:t>
      </w:r>
      <w:r>
        <w:t xml:space="preserve">participating </w:t>
      </w:r>
      <w:r w:rsidR="00092664">
        <w:t>services</w:t>
      </w:r>
      <w:r>
        <w:t>.</w:t>
      </w:r>
      <w:r w:rsidR="00092664">
        <w:t xml:space="preserve"> </w:t>
      </w:r>
      <w:r>
        <w:t>The following document provides answers to a number of questions frequently asked by users of the OrgTRx system.</w:t>
      </w:r>
    </w:p>
    <w:p w14:paraId="07EF5A6F" w14:textId="77777777" w:rsidR="00BB261E" w:rsidRPr="00247937" w:rsidRDefault="00247937" w:rsidP="00714B10">
      <w:pPr>
        <w:pStyle w:val="Heading2"/>
        <w:keepLines w:val="0"/>
        <w:numPr>
          <w:ilvl w:val="0"/>
          <w:numId w:val="6"/>
        </w:numPr>
        <w:spacing w:before="360" w:after="60"/>
        <w:ind w:left="567" w:hanging="567"/>
        <w:rPr>
          <w:rFonts w:ascii="Arial" w:hAnsi="Arial" w:cs="Arial"/>
          <w:color w:val="000000" w:themeColor="text1"/>
          <w:sz w:val="22"/>
          <w:szCs w:val="22"/>
          <w:lang w:val="en-GB"/>
        </w:rPr>
      </w:pPr>
      <w:r w:rsidRPr="00247937">
        <w:rPr>
          <w:rFonts w:ascii="Arial" w:hAnsi="Arial" w:cs="Arial"/>
          <w:color w:val="000000" w:themeColor="text1"/>
          <w:sz w:val="22"/>
          <w:szCs w:val="22"/>
          <w:lang w:val="en-GB"/>
        </w:rPr>
        <w:t xml:space="preserve">My laboratory has been integrated into APAS. </w:t>
      </w:r>
      <w:r w:rsidR="00BB261E" w:rsidRPr="00247937">
        <w:rPr>
          <w:rFonts w:ascii="Arial" w:hAnsi="Arial" w:cs="Arial"/>
          <w:color w:val="000000" w:themeColor="text1"/>
          <w:sz w:val="22"/>
          <w:szCs w:val="22"/>
          <w:lang w:val="en-GB"/>
        </w:rPr>
        <w:t xml:space="preserve">How do I access </w:t>
      </w:r>
      <w:proofErr w:type="spellStart"/>
      <w:r w:rsidR="00BB261E" w:rsidRPr="00247937">
        <w:rPr>
          <w:rFonts w:ascii="Arial" w:hAnsi="Arial" w:cs="Arial"/>
          <w:color w:val="000000" w:themeColor="text1"/>
          <w:sz w:val="22"/>
          <w:szCs w:val="22"/>
          <w:lang w:val="en-GB"/>
        </w:rPr>
        <w:t>OrgTRx</w:t>
      </w:r>
      <w:proofErr w:type="spellEnd"/>
      <w:r w:rsidR="00BB261E" w:rsidRPr="00247937">
        <w:rPr>
          <w:rFonts w:ascii="Arial" w:hAnsi="Arial" w:cs="Arial"/>
          <w:color w:val="000000" w:themeColor="text1"/>
          <w:sz w:val="22"/>
          <w:szCs w:val="22"/>
          <w:lang w:val="en-GB"/>
        </w:rPr>
        <w:t xml:space="preserve"> system support post ‘Go-Live’</w:t>
      </w:r>
      <w:r w:rsidR="0047486F">
        <w:rPr>
          <w:rFonts w:ascii="Arial" w:hAnsi="Arial" w:cs="Arial"/>
          <w:color w:val="000000" w:themeColor="text1"/>
          <w:sz w:val="22"/>
          <w:szCs w:val="22"/>
          <w:lang w:val="en-GB"/>
        </w:rPr>
        <w:t>?</w:t>
      </w:r>
    </w:p>
    <w:bookmarkEnd w:id="0"/>
    <w:p w14:paraId="046D05DB" w14:textId="77777777" w:rsidR="00BB261E" w:rsidRDefault="00BB261E" w:rsidP="00714B10">
      <w:pPr>
        <w:pStyle w:val="BodyText"/>
        <w:spacing w:line="240" w:lineRule="auto"/>
        <w:ind w:left="567"/>
        <w:rPr>
          <w:rFonts w:cs="Arial"/>
          <w:szCs w:val="22"/>
        </w:rPr>
      </w:pPr>
      <w:r w:rsidRPr="00247937">
        <w:rPr>
          <w:rFonts w:cs="Arial"/>
          <w:szCs w:val="22"/>
        </w:rPr>
        <w:t xml:space="preserve">Post Go-Live support for the </w:t>
      </w:r>
      <w:proofErr w:type="spellStart"/>
      <w:r w:rsidRPr="00247937">
        <w:rPr>
          <w:rFonts w:cs="Arial"/>
          <w:szCs w:val="22"/>
        </w:rPr>
        <w:t>datacube</w:t>
      </w:r>
      <w:proofErr w:type="spellEnd"/>
      <w:r w:rsidR="00696B93">
        <w:rPr>
          <w:rFonts w:cs="Arial"/>
          <w:szCs w:val="22"/>
        </w:rPr>
        <w:t xml:space="preserve"> is available via email to </w:t>
      </w:r>
      <w:hyperlink r:id="rId10" w:history="1">
        <w:r w:rsidR="00696B93" w:rsidRPr="00E458C1">
          <w:rPr>
            <w:rStyle w:val="Hyperlink"/>
            <w:rFonts w:cs="Arial"/>
            <w:szCs w:val="22"/>
          </w:rPr>
          <w:t>orgtrx</w:t>
        </w:r>
        <w:r w:rsidR="00696B93" w:rsidRPr="00E458C1">
          <w:rPr>
            <w:rStyle w:val="Hyperlink"/>
            <w:rFonts w:cs="Arial"/>
            <w:szCs w:val="22"/>
          </w:rPr>
          <w:noBreakHyphen/>
          <w:t>support@health.qld.gov.au</w:t>
        </w:r>
      </w:hyperlink>
      <w:r w:rsidRPr="00247937">
        <w:rPr>
          <w:rFonts w:cs="Arial"/>
          <w:szCs w:val="22"/>
        </w:rPr>
        <w:t xml:space="preserve">. </w:t>
      </w:r>
    </w:p>
    <w:p w14:paraId="65865881" w14:textId="77777777" w:rsidR="008D34C6" w:rsidRDefault="008D34C6" w:rsidP="002205B6">
      <w:pPr>
        <w:pStyle w:val="Heading2"/>
        <w:keepLines w:val="0"/>
        <w:numPr>
          <w:ilvl w:val="0"/>
          <w:numId w:val="6"/>
        </w:numPr>
        <w:spacing w:before="360" w:after="60"/>
        <w:ind w:left="567" w:hanging="567"/>
        <w:rPr>
          <w:rFonts w:ascii="Arial" w:eastAsia="Times New Roman" w:hAnsi="Arial" w:cs="Arial"/>
          <w:color w:val="000000"/>
          <w:sz w:val="22"/>
          <w:szCs w:val="22"/>
        </w:rPr>
      </w:pPr>
      <w:r>
        <w:rPr>
          <w:rFonts w:ascii="Arial" w:eastAsia="Times New Roman" w:hAnsi="Arial" w:cs="Arial"/>
          <w:color w:val="000000"/>
          <w:sz w:val="22"/>
          <w:szCs w:val="22"/>
          <w:lang w:val="en-GB"/>
        </w:rPr>
        <w:t xml:space="preserve">How do I receive access for a new </w:t>
      </w:r>
      <w:proofErr w:type="spellStart"/>
      <w:r>
        <w:rPr>
          <w:rFonts w:ascii="Arial" w:eastAsia="Times New Roman" w:hAnsi="Arial" w:cs="Arial"/>
          <w:color w:val="000000"/>
          <w:sz w:val="22"/>
          <w:szCs w:val="22"/>
          <w:lang w:val="en-GB"/>
        </w:rPr>
        <w:t>OrgTRx</w:t>
      </w:r>
      <w:proofErr w:type="spellEnd"/>
      <w:r>
        <w:rPr>
          <w:rFonts w:ascii="Arial" w:eastAsia="Times New Roman" w:hAnsi="Arial" w:cs="Arial"/>
          <w:color w:val="000000"/>
          <w:sz w:val="22"/>
          <w:szCs w:val="22"/>
          <w:lang w:val="en-GB"/>
        </w:rPr>
        <w:t xml:space="preserve"> user</w:t>
      </w:r>
      <w:r w:rsidR="0047486F">
        <w:rPr>
          <w:rFonts w:ascii="Arial" w:eastAsia="Times New Roman" w:hAnsi="Arial" w:cs="Arial"/>
          <w:color w:val="000000"/>
          <w:sz w:val="22"/>
          <w:szCs w:val="22"/>
          <w:lang w:val="en-GB"/>
        </w:rPr>
        <w:t>?</w:t>
      </w:r>
    </w:p>
    <w:p w14:paraId="6DFE44AC" w14:textId="77777777" w:rsidR="008D34C6" w:rsidRDefault="008D34C6" w:rsidP="008D34C6">
      <w:pPr>
        <w:pStyle w:val="PlainText"/>
        <w:ind w:left="567"/>
        <w:rPr>
          <w:rFonts w:ascii="Arial" w:hAnsi="Arial" w:cs="Arial"/>
          <w:szCs w:val="22"/>
        </w:rPr>
      </w:pPr>
      <w:r>
        <w:rPr>
          <w:rFonts w:ascii="Arial" w:hAnsi="Arial" w:cs="Arial"/>
        </w:rPr>
        <w:t xml:space="preserve">The laboratory director or manager sends an email titled “New </w:t>
      </w:r>
      <w:proofErr w:type="spellStart"/>
      <w:r>
        <w:rPr>
          <w:rFonts w:ascii="Arial" w:hAnsi="Arial" w:cs="Arial"/>
        </w:rPr>
        <w:t>OrgTRx</w:t>
      </w:r>
      <w:proofErr w:type="spellEnd"/>
      <w:r>
        <w:rPr>
          <w:rFonts w:ascii="Arial" w:hAnsi="Arial" w:cs="Arial"/>
        </w:rPr>
        <w:t xml:space="preserve"> User Request” to </w:t>
      </w:r>
      <w:hyperlink r:id="rId11" w:history="1">
        <w:r>
          <w:rPr>
            <w:rStyle w:val="Hyperlink"/>
            <w:rFonts w:ascii="Arial" w:hAnsi="Arial" w:cs="Arial"/>
          </w:rPr>
          <w:t>orgtrx-support@health.qld.gov.au</w:t>
        </w:r>
      </w:hyperlink>
      <w:r w:rsidRPr="008D34C6">
        <w:rPr>
          <w:rStyle w:val="Hyperlink"/>
          <w:u w:val="none"/>
        </w:rPr>
        <w:t xml:space="preserve">. </w:t>
      </w:r>
      <w:r w:rsidRPr="008D34C6">
        <w:rPr>
          <w:rStyle w:val="Hyperlink"/>
          <w:rFonts w:ascii="Arial" w:hAnsi="Arial" w:cs="Arial"/>
          <w:color w:val="000000"/>
          <w:u w:val="none"/>
        </w:rPr>
        <w:t>This email needs to</w:t>
      </w:r>
      <w:r>
        <w:rPr>
          <w:rStyle w:val="Hyperlink"/>
          <w:rFonts w:ascii="Arial" w:hAnsi="Arial" w:cs="Arial"/>
          <w:color w:val="000000"/>
          <w:u w:val="none"/>
        </w:rPr>
        <w:t xml:space="preserve"> </w:t>
      </w:r>
      <w:r>
        <w:rPr>
          <w:rFonts w:ascii="Arial" w:hAnsi="Arial" w:cs="Arial"/>
        </w:rPr>
        <w:t>contain the following details of the new user:</w:t>
      </w:r>
    </w:p>
    <w:p w14:paraId="4E9D6555" w14:textId="77777777" w:rsidR="008D34C6" w:rsidRDefault="008D34C6" w:rsidP="008D34C6">
      <w:pPr>
        <w:pStyle w:val="PlainText"/>
        <w:ind w:left="284"/>
        <w:rPr>
          <w:rFonts w:ascii="Arial" w:hAnsi="Arial" w:cs="Arial"/>
        </w:rPr>
      </w:pPr>
    </w:p>
    <w:p w14:paraId="0745489F" w14:textId="77777777" w:rsidR="008D34C6" w:rsidRDefault="008D34C6" w:rsidP="006270A3">
      <w:pPr>
        <w:pStyle w:val="PlainText"/>
        <w:numPr>
          <w:ilvl w:val="0"/>
          <w:numId w:val="18"/>
        </w:numPr>
        <w:ind w:left="1134" w:hanging="425"/>
        <w:rPr>
          <w:rFonts w:ascii="Arial" w:hAnsi="Arial" w:cs="Arial"/>
        </w:rPr>
      </w:pPr>
      <w:r>
        <w:rPr>
          <w:rFonts w:ascii="Arial" w:hAnsi="Arial" w:cs="Arial"/>
        </w:rPr>
        <w:t>User first name</w:t>
      </w:r>
    </w:p>
    <w:p w14:paraId="07FFADF8" w14:textId="77777777" w:rsidR="008D34C6" w:rsidRDefault="008D34C6" w:rsidP="006270A3">
      <w:pPr>
        <w:pStyle w:val="PlainText"/>
        <w:numPr>
          <w:ilvl w:val="0"/>
          <w:numId w:val="18"/>
        </w:numPr>
        <w:ind w:left="1134" w:hanging="425"/>
        <w:rPr>
          <w:rFonts w:ascii="Arial" w:hAnsi="Arial" w:cs="Arial"/>
        </w:rPr>
      </w:pPr>
      <w:r>
        <w:rPr>
          <w:rFonts w:ascii="Arial" w:hAnsi="Arial" w:cs="Arial"/>
        </w:rPr>
        <w:t>User surname</w:t>
      </w:r>
    </w:p>
    <w:p w14:paraId="76C1AB07" w14:textId="77777777" w:rsidR="008D34C6" w:rsidRDefault="008D34C6" w:rsidP="006270A3">
      <w:pPr>
        <w:pStyle w:val="PlainText"/>
        <w:numPr>
          <w:ilvl w:val="0"/>
          <w:numId w:val="18"/>
        </w:numPr>
        <w:ind w:left="1134" w:hanging="425"/>
        <w:rPr>
          <w:rFonts w:ascii="Arial" w:hAnsi="Arial" w:cs="Arial"/>
        </w:rPr>
      </w:pPr>
      <w:r>
        <w:rPr>
          <w:rFonts w:ascii="Arial" w:hAnsi="Arial" w:cs="Arial"/>
        </w:rPr>
        <w:t>Phone number</w:t>
      </w:r>
    </w:p>
    <w:p w14:paraId="7ECB24A0" w14:textId="77777777" w:rsidR="008D34C6" w:rsidRDefault="008D34C6" w:rsidP="006270A3">
      <w:pPr>
        <w:pStyle w:val="PlainText"/>
        <w:numPr>
          <w:ilvl w:val="0"/>
          <w:numId w:val="18"/>
        </w:numPr>
        <w:ind w:left="1134" w:hanging="425"/>
        <w:rPr>
          <w:rFonts w:ascii="Arial" w:hAnsi="Arial" w:cs="Arial"/>
        </w:rPr>
      </w:pPr>
      <w:r>
        <w:rPr>
          <w:rFonts w:ascii="Arial" w:hAnsi="Arial" w:cs="Arial"/>
        </w:rPr>
        <w:t>Email address</w:t>
      </w:r>
    </w:p>
    <w:p w14:paraId="5248FC58" w14:textId="77777777" w:rsidR="008D34C6" w:rsidRDefault="008D34C6" w:rsidP="006270A3">
      <w:pPr>
        <w:pStyle w:val="PlainText"/>
        <w:numPr>
          <w:ilvl w:val="0"/>
          <w:numId w:val="18"/>
        </w:numPr>
        <w:ind w:left="1134" w:hanging="425"/>
        <w:rPr>
          <w:rFonts w:ascii="Arial" w:hAnsi="Arial" w:cs="Arial"/>
        </w:rPr>
      </w:pPr>
      <w:r>
        <w:rPr>
          <w:rFonts w:ascii="Arial" w:hAnsi="Arial" w:cs="Arial"/>
        </w:rPr>
        <w:t xml:space="preserve">Laboratory name </w:t>
      </w:r>
    </w:p>
    <w:p w14:paraId="55059D4D" w14:textId="77777777" w:rsidR="008D34C6" w:rsidRDefault="008D34C6" w:rsidP="006270A3">
      <w:pPr>
        <w:pStyle w:val="PlainText"/>
        <w:numPr>
          <w:ilvl w:val="0"/>
          <w:numId w:val="18"/>
        </w:numPr>
        <w:ind w:left="1134" w:hanging="425"/>
        <w:rPr>
          <w:rFonts w:ascii="Arial" w:hAnsi="Arial" w:cs="Arial"/>
        </w:rPr>
      </w:pPr>
      <w:r>
        <w:rPr>
          <w:rFonts w:ascii="Arial" w:hAnsi="Arial" w:cs="Arial"/>
        </w:rPr>
        <w:t>IP address</w:t>
      </w:r>
      <w:r w:rsidR="006270A3">
        <w:rPr>
          <w:rFonts w:ascii="Arial" w:hAnsi="Arial" w:cs="Arial"/>
        </w:rPr>
        <w:t>.</w:t>
      </w:r>
    </w:p>
    <w:p w14:paraId="53706AF0" w14:textId="77777777" w:rsidR="008D34C6" w:rsidRDefault="008D34C6" w:rsidP="008D34C6">
      <w:pPr>
        <w:pStyle w:val="PlainText"/>
        <w:ind w:left="426"/>
        <w:rPr>
          <w:rFonts w:ascii="Arial" w:hAnsi="Arial" w:cs="Arial"/>
        </w:rPr>
      </w:pPr>
    </w:p>
    <w:p w14:paraId="6FCBE5ED" w14:textId="3C4904AE" w:rsidR="00AF0212" w:rsidRPr="008D34C6" w:rsidRDefault="008D34C6" w:rsidP="008D34C6">
      <w:pPr>
        <w:pStyle w:val="PlainText"/>
        <w:ind w:left="567"/>
        <w:rPr>
          <w:rFonts w:ascii="Arial" w:hAnsi="Arial" w:cs="Arial"/>
          <w:color w:val="000000" w:themeColor="text1"/>
        </w:rPr>
      </w:pPr>
      <w:r w:rsidRPr="008D34C6">
        <w:rPr>
          <w:rFonts w:ascii="Arial" w:hAnsi="Arial" w:cs="Arial"/>
          <w:color w:val="000000" w:themeColor="text1"/>
        </w:rPr>
        <w:t xml:space="preserve">For sites using a fixed (static) IP address, the local site IT support staff will need to configure user access first. This also applies to accessing </w:t>
      </w:r>
      <w:proofErr w:type="spellStart"/>
      <w:r w:rsidRPr="008D34C6">
        <w:rPr>
          <w:rFonts w:ascii="Arial" w:hAnsi="Arial" w:cs="Arial"/>
          <w:color w:val="000000" w:themeColor="text1"/>
        </w:rPr>
        <w:t>OrgTRx</w:t>
      </w:r>
      <w:proofErr w:type="spellEnd"/>
      <w:r w:rsidRPr="008D34C6">
        <w:rPr>
          <w:rFonts w:ascii="Arial" w:hAnsi="Arial" w:cs="Arial"/>
          <w:color w:val="000000" w:themeColor="text1"/>
        </w:rPr>
        <w:t xml:space="preserve"> outside your usual work station (e.g. laptop). The sites using static IP address are listed below. If you are at one </w:t>
      </w:r>
      <w:r w:rsidR="00677DEA">
        <w:rPr>
          <w:rFonts w:ascii="Arial" w:hAnsi="Arial" w:cs="Arial"/>
          <w:color w:val="000000" w:themeColor="text1"/>
        </w:rPr>
        <w:t xml:space="preserve">of </w:t>
      </w:r>
      <w:r w:rsidRPr="008D34C6">
        <w:rPr>
          <w:rFonts w:ascii="Arial" w:hAnsi="Arial" w:cs="Arial"/>
          <w:color w:val="000000" w:themeColor="text1"/>
        </w:rPr>
        <w:t xml:space="preserve">those sites, please contact your local IT support staff to request access to the Queensland Health </w:t>
      </w:r>
      <w:proofErr w:type="spellStart"/>
      <w:r w:rsidRPr="008D34C6">
        <w:rPr>
          <w:rFonts w:ascii="Arial" w:hAnsi="Arial" w:cs="Arial"/>
          <w:color w:val="000000" w:themeColor="text1"/>
        </w:rPr>
        <w:t>OrgTRx</w:t>
      </w:r>
      <w:proofErr w:type="spellEnd"/>
      <w:r w:rsidRPr="008D34C6">
        <w:rPr>
          <w:rFonts w:ascii="Arial" w:hAnsi="Arial" w:cs="Arial"/>
          <w:color w:val="000000" w:themeColor="text1"/>
        </w:rPr>
        <w:t xml:space="preserve"> application and reference that access already exists for other users in your laboratory: </w:t>
      </w:r>
    </w:p>
    <w:p w14:paraId="53BF34EB" w14:textId="77777777" w:rsidR="006270A3" w:rsidRDefault="008D34C6" w:rsidP="006270A3">
      <w:pPr>
        <w:pStyle w:val="PlainText"/>
        <w:numPr>
          <w:ilvl w:val="0"/>
          <w:numId w:val="19"/>
        </w:numPr>
        <w:ind w:left="1134" w:hanging="425"/>
        <w:rPr>
          <w:rFonts w:ascii="Arial" w:hAnsi="Arial" w:cs="Arial"/>
          <w:color w:val="000000" w:themeColor="text1"/>
        </w:rPr>
      </w:pPr>
      <w:r w:rsidRPr="006270A3">
        <w:rPr>
          <w:rFonts w:ascii="Arial" w:hAnsi="Arial" w:cs="Arial"/>
          <w:color w:val="000000" w:themeColor="text1"/>
        </w:rPr>
        <w:t>ACT Pathology</w:t>
      </w:r>
    </w:p>
    <w:p w14:paraId="695E0697" w14:textId="77777777" w:rsidR="006270A3" w:rsidRPr="006270A3" w:rsidRDefault="008D34C6" w:rsidP="006270A3">
      <w:pPr>
        <w:pStyle w:val="PlainText"/>
        <w:numPr>
          <w:ilvl w:val="0"/>
          <w:numId w:val="18"/>
        </w:numPr>
        <w:ind w:left="1134" w:hanging="425"/>
        <w:rPr>
          <w:rFonts w:ascii="Arial" w:hAnsi="Arial" w:cs="Arial"/>
          <w:color w:val="000000" w:themeColor="text1"/>
        </w:rPr>
      </w:pPr>
      <w:r w:rsidRPr="006270A3">
        <w:rPr>
          <w:rFonts w:ascii="Arial" w:hAnsi="Arial" w:cs="Arial"/>
          <w:color w:val="000000" w:themeColor="text1"/>
        </w:rPr>
        <w:t>Monash Pathology</w:t>
      </w:r>
    </w:p>
    <w:p w14:paraId="572FCC49" w14:textId="77777777" w:rsidR="006270A3" w:rsidRPr="006270A3" w:rsidRDefault="006270A3" w:rsidP="006270A3">
      <w:pPr>
        <w:pStyle w:val="PlainText"/>
        <w:numPr>
          <w:ilvl w:val="0"/>
          <w:numId w:val="18"/>
        </w:numPr>
        <w:ind w:left="1134" w:hanging="425"/>
        <w:rPr>
          <w:rFonts w:ascii="Arial" w:hAnsi="Arial" w:cs="Arial"/>
          <w:color w:val="000000" w:themeColor="text1"/>
        </w:rPr>
      </w:pPr>
      <w:r>
        <w:rPr>
          <w:rFonts w:ascii="Arial" w:hAnsi="Arial" w:cs="Arial"/>
          <w:color w:val="000000" w:themeColor="text1"/>
        </w:rPr>
        <w:t>NSWHP Hunter New England, Mid North Coast and North Coast</w:t>
      </w:r>
      <w:r w:rsidR="00BF3D6D">
        <w:rPr>
          <w:rFonts w:ascii="Arial" w:hAnsi="Arial" w:cs="Arial"/>
          <w:color w:val="000000" w:themeColor="text1"/>
        </w:rPr>
        <w:t>, NSW</w:t>
      </w:r>
    </w:p>
    <w:p w14:paraId="5FBCE8E8" w14:textId="77777777" w:rsidR="006270A3" w:rsidRDefault="006270A3" w:rsidP="006270A3">
      <w:pPr>
        <w:pStyle w:val="PlainText"/>
        <w:numPr>
          <w:ilvl w:val="0"/>
          <w:numId w:val="18"/>
        </w:numPr>
        <w:ind w:left="1134" w:hanging="425"/>
        <w:rPr>
          <w:rFonts w:ascii="Arial" w:hAnsi="Arial" w:cs="Arial"/>
          <w:color w:val="000000" w:themeColor="text1"/>
        </w:rPr>
      </w:pPr>
      <w:r>
        <w:rPr>
          <w:rFonts w:ascii="Arial" w:hAnsi="Arial" w:cs="Arial"/>
          <w:color w:val="000000" w:themeColor="text1"/>
        </w:rPr>
        <w:t>NSWHP South Eastern Sydney and Illawarra Shoalhaven</w:t>
      </w:r>
    </w:p>
    <w:p w14:paraId="6D3FE4B2" w14:textId="77777777" w:rsidR="006270A3" w:rsidRDefault="006270A3" w:rsidP="006270A3">
      <w:pPr>
        <w:pStyle w:val="PlainText"/>
        <w:numPr>
          <w:ilvl w:val="0"/>
          <w:numId w:val="18"/>
        </w:numPr>
        <w:ind w:left="1134" w:hanging="425"/>
        <w:rPr>
          <w:rFonts w:ascii="Arial" w:hAnsi="Arial" w:cs="Arial"/>
          <w:color w:val="000000" w:themeColor="text1"/>
        </w:rPr>
      </w:pPr>
      <w:r w:rsidRPr="006270A3">
        <w:rPr>
          <w:rFonts w:ascii="Arial" w:hAnsi="Arial" w:cs="Arial"/>
          <w:color w:val="000000" w:themeColor="text1"/>
        </w:rPr>
        <w:t xml:space="preserve">Royal Hobart Hospital </w:t>
      </w:r>
    </w:p>
    <w:p w14:paraId="47356764" w14:textId="77777777" w:rsidR="006270A3" w:rsidRPr="00823BD3" w:rsidRDefault="006270A3" w:rsidP="006270A3">
      <w:pPr>
        <w:pStyle w:val="PlainText"/>
        <w:numPr>
          <w:ilvl w:val="0"/>
          <w:numId w:val="18"/>
        </w:numPr>
        <w:ind w:left="1134" w:hanging="425"/>
        <w:rPr>
          <w:rFonts w:ascii="Arial" w:hAnsi="Arial" w:cs="Arial"/>
          <w:color w:val="000000" w:themeColor="text1"/>
        </w:rPr>
      </w:pPr>
      <w:r w:rsidRPr="00823BD3">
        <w:rPr>
          <w:rFonts w:ascii="Arial" w:hAnsi="Arial" w:cs="Arial"/>
          <w:color w:val="000000" w:themeColor="text1"/>
        </w:rPr>
        <w:t>South Australia Pathology</w:t>
      </w:r>
    </w:p>
    <w:p w14:paraId="66CC425D" w14:textId="77777777" w:rsidR="00823BD3" w:rsidRDefault="00823BD3" w:rsidP="00823BD3">
      <w:pPr>
        <w:pStyle w:val="Heading3"/>
        <w:keepLines w:val="0"/>
        <w:spacing w:before="600" w:after="60"/>
        <w:ind w:left="425"/>
        <w:rPr>
          <w:rFonts w:ascii="Arial" w:hAnsi="Arial" w:cs="Arial"/>
          <w:color w:val="000000" w:themeColor="text1"/>
          <w:szCs w:val="22"/>
        </w:rPr>
      </w:pPr>
    </w:p>
    <w:p w14:paraId="451ADE39" w14:textId="77777777" w:rsidR="00BB261E" w:rsidRPr="00696B93" w:rsidRDefault="006270A3" w:rsidP="00823BD3">
      <w:pPr>
        <w:pStyle w:val="Heading3"/>
        <w:keepLines w:val="0"/>
        <w:numPr>
          <w:ilvl w:val="0"/>
          <w:numId w:val="6"/>
        </w:numPr>
        <w:spacing w:before="600" w:after="60"/>
        <w:ind w:left="425" w:hanging="425"/>
        <w:rPr>
          <w:rFonts w:ascii="Arial" w:hAnsi="Arial" w:cs="Arial"/>
          <w:color w:val="000000" w:themeColor="text1"/>
          <w:szCs w:val="22"/>
        </w:rPr>
      </w:pPr>
      <w:r>
        <w:rPr>
          <w:rFonts w:ascii="Arial" w:hAnsi="Arial" w:cs="Arial"/>
          <w:color w:val="000000" w:themeColor="text1"/>
          <w:szCs w:val="22"/>
        </w:rPr>
        <w:t>H</w:t>
      </w:r>
      <w:r w:rsidR="00696B93" w:rsidRPr="00696B93">
        <w:rPr>
          <w:rFonts w:ascii="Arial" w:hAnsi="Arial" w:cs="Arial"/>
          <w:color w:val="000000" w:themeColor="text1"/>
          <w:szCs w:val="22"/>
        </w:rPr>
        <w:t>ow do I t</w:t>
      </w:r>
      <w:r w:rsidR="00BB261E" w:rsidRPr="00696B93">
        <w:rPr>
          <w:rFonts w:ascii="Arial" w:hAnsi="Arial" w:cs="Arial"/>
          <w:color w:val="000000" w:themeColor="text1"/>
          <w:szCs w:val="22"/>
        </w:rPr>
        <w:t>erminate user access</w:t>
      </w:r>
      <w:r w:rsidR="00696B93" w:rsidRPr="00696B93">
        <w:rPr>
          <w:rFonts w:ascii="Arial" w:hAnsi="Arial" w:cs="Arial"/>
          <w:color w:val="000000" w:themeColor="text1"/>
          <w:szCs w:val="22"/>
        </w:rPr>
        <w:t>?</w:t>
      </w:r>
    </w:p>
    <w:p w14:paraId="32CC14E3" w14:textId="77777777" w:rsidR="00BB261E" w:rsidRPr="00247937" w:rsidRDefault="00BB261E" w:rsidP="00696B93">
      <w:pPr>
        <w:pStyle w:val="BodyText"/>
        <w:spacing w:line="240" w:lineRule="auto"/>
        <w:ind w:left="426"/>
        <w:rPr>
          <w:rFonts w:cs="Arial"/>
          <w:szCs w:val="22"/>
        </w:rPr>
      </w:pPr>
      <w:r w:rsidRPr="00247937">
        <w:rPr>
          <w:rFonts w:cs="Arial"/>
          <w:szCs w:val="22"/>
        </w:rPr>
        <w:t>To advise that a user’s access should be terminated, an email should be sent from the laboratory director, or manager,</w:t>
      </w:r>
      <w:r w:rsidR="00696B93">
        <w:rPr>
          <w:rFonts w:cs="Arial"/>
          <w:szCs w:val="22"/>
        </w:rPr>
        <w:t xml:space="preserve"> to </w:t>
      </w:r>
      <w:hyperlink r:id="rId12" w:history="1">
        <w:r w:rsidR="00696B93" w:rsidRPr="00247937">
          <w:rPr>
            <w:rStyle w:val="Hyperlink"/>
            <w:rFonts w:cs="Arial"/>
            <w:szCs w:val="22"/>
          </w:rPr>
          <w:t>orgtrx-support@health.qld.gov.au</w:t>
        </w:r>
      </w:hyperlink>
      <w:r w:rsidR="00696B93">
        <w:rPr>
          <w:rStyle w:val="Hyperlink"/>
          <w:rFonts w:cs="Arial"/>
          <w:szCs w:val="22"/>
        </w:rPr>
        <w:t>,</w:t>
      </w:r>
      <w:r w:rsidRPr="00247937">
        <w:rPr>
          <w:rFonts w:cs="Arial"/>
          <w:szCs w:val="22"/>
        </w:rPr>
        <w:t xml:space="preserve"> indicating which user’s access is required to be terminated and the date.</w:t>
      </w:r>
    </w:p>
    <w:p w14:paraId="5A4A1CAF" w14:textId="77777777" w:rsidR="00696B93" w:rsidRPr="00696B93" w:rsidRDefault="00696B93" w:rsidP="002205B6">
      <w:pPr>
        <w:pStyle w:val="Heading3"/>
        <w:keepLines w:val="0"/>
        <w:numPr>
          <w:ilvl w:val="0"/>
          <w:numId w:val="6"/>
        </w:numPr>
        <w:spacing w:before="360" w:after="60"/>
        <w:ind w:left="425" w:hanging="425"/>
        <w:rPr>
          <w:rFonts w:ascii="Arial" w:hAnsi="Arial" w:cs="Arial"/>
          <w:color w:val="000000" w:themeColor="text1"/>
          <w:szCs w:val="22"/>
        </w:rPr>
      </w:pPr>
      <w:r w:rsidRPr="00696B93">
        <w:rPr>
          <w:rFonts w:ascii="Arial" w:hAnsi="Arial" w:cs="Arial"/>
          <w:color w:val="000000" w:themeColor="text1"/>
          <w:szCs w:val="22"/>
        </w:rPr>
        <w:t xml:space="preserve">I have been denied access to the OrgTRx </w:t>
      </w:r>
      <w:r w:rsidR="00BB261E" w:rsidRPr="00696B93">
        <w:rPr>
          <w:rFonts w:ascii="Arial" w:hAnsi="Arial" w:cs="Arial"/>
          <w:color w:val="000000" w:themeColor="text1"/>
          <w:szCs w:val="22"/>
        </w:rPr>
        <w:t>system</w:t>
      </w:r>
      <w:r>
        <w:rPr>
          <w:rFonts w:ascii="Arial" w:hAnsi="Arial" w:cs="Arial"/>
          <w:color w:val="000000" w:themeColor="text1"/>
          <w:szCs w:val="22"/>
        </w:rPr>
        <w:t>. How do I re-establish my access?</w:t>
      </w:r>
      <w:r w:rsidR="00BB261E" w:rsidRPr="00696B93">
        <w:rPr>
          <w:rFonts w:ascii="Arial" w:hAnsi="Arial" w:cs="Arial"/>
          <w:color w:val="000000" w:themeColor="text1"/>
          <w:szCs w:val="22"/>
        </w:rPr>
        <w:t xml:space="preserve"> </w:t>
      </w:r>
    </w:p>
    <w:p w14:paraId="683B45B5" w14:textId="77777777" w:rsidR="00696B93" w:rsidRDefault="00714B10" w:rsidP="00696B93">
      <w:pPr>
        <w:pStyle w:val="BodyText"/>
        <w:spacing w:line="240" w:lineRule="auto"/>
        <w:ind w:left="426"/>
      </w:pPr>
      <w:r>
        <w:t>The following steps should be followed if</w:t>
      </w:r>
      <w:r w:rsidR="00696B93">
        <w:t xml:space="preserve"> a user is unable to get access to the QH DSS data cube websit</w:t>
      </w:r>
      <w:r>
        <w:t>e</w:t>
      </w:r>
      <w:r w:rsidR="00696B93">
        <w:t>:</w:t>
      </w:r>
    </w:p>
    <w:p w14:paraId="44EE0C51" w14:textId="77777777" w:rsidR="00696B93" w:rsidRPr="00696B93" w:rsidRDefault="00696B93" w:rsidP="006270A3">
      <w:pPr>
        <w:pStyle w:val="NoSpacing"/>
        <w:widowControl w:val="0"/>
        <w:numPr>
          <w:ilvl w:val="0"/>
          <w:numId w:val="3"/>
        </w:numPr>
        <w:overflowPunct w:val="0"/>
        <w:autoSpaceDE w:val="0"/>
        <w:autoSpaceDN w:val="0"/>
        <w:adjustRightInd w:val="0"/>
        <w:ind w:left="1134" w:hanging="425"/>
        <w:textAlignment w:val="baseline"/>
        <w:rPr>
          <w:rFonts w:ascii="Arial" w:hAnsi="Arial" w:cs="Arial"/>
        </w:rPr>
      </w:pPr>
      <w:r w:rsidRPr="00696B93">
        <w:rPr>
          <w:rFonts w:ascii="Arial" w:hAnsi="Arial" w:cs="Arial"/>
        </w:rPr>
        <w:t xml:space="preserve">Contact your local IT support to check if </w:t>
      </w:r>
      <w:r w:rsidR="00A33D29">
        <w:rPr>
          <w:rFonts w:ascii="Arial" w:hAnsi="Arial" w:cs="Arial"/>
        </w:rPr>
        <w:t xml:space="preserve">there are </w:t>
      </w:r>
      <w:r w:rsidRPr="00696B93">
        <w:rPr>
          <w:rFonts w:ascii="Arial" w:hAnsi="Arial" w:cs="Arial"/>
        </w:rPr>
        <w:t>problems with the local network</w:t>
      </w:r>
    </w:p>
    <w:p w14:paraId="7B5B57EA" w14:textId="77777777" w:rsidR="00696B93" w:rsidRPr="00696B93" w:rsidRDefault="00696B93" w:rsidP="006270A3">
      <w:pPr>
        <w:pStyle w:val="NoSpacing"/>
        <w:widowControl w:val="0"/>
        <w:numPr>
          <w:ilvl w:val="0"/>
          <w:numId w:val="3"/>
        </w:numPr>
        <w:overflowPunct w:val="0"/>
        <w:autoSpaceDE w:val="0"/>
        <w:autoSpaceDN w:val="0"/>
        <w:adjustRightInd w:val="0"/>
        <w:ind w:left="1134" w:hanging="425"/>
        <w:textAlignment w:val="baseline"/>
        <w:rPr>
          <w:rFonts w:ascii="Arial" w:hAnsi="Arial" w:cs="Arial"/>
        </w:rPr>
      </w:pPr>
      <w:r w:rsidRPr="00696B93">
        <w:rPr>
          <w:rFonts w:ascii="Arial" w:hAnsi="Arial" w:cs="Arial"/>
        </w:rPr>
        <w:t xml:space="preserve">Contact </w:t>
      </w:r>
      <w:hyperlink r:id="rId13" w:history="1">
        <w:r w:rsidRPr="00696B93">
          <w:rPr>
            <w:rStyle w:val="Hyperlink"/>
            <w:rFonts w:ascii="Arial" w:hAnsi="Arial" w:cs="Arial"/>
          </w:rPr>
          <w:t>orgtrx-support@health.qld.gov.au</w:t>
        </w:r>
      </w:hyperlink>
      <w:r w:rsidRPr="00696B93">
        <w:rPr>
          <w:rFonts w:ascii="Arial" w:hAnsi="Arial" w:cs="Arial"/>
        </w:rPr>
        <w:t xml:space="preserve"> and this will be escalated with the QH IT system processes.</w:t>
      </w:r>
    </w:p>
    <w:p w14:paraId="7A4899B3" w14:textId="77777777" w:rsidR="00BB261E" w:rsidRPr="00696B93" w:rsidRDefault="00696B93" w:rsidP="002205B6">
      <w:pPr>
        <w:pStyle w:val="Heading3"/>
        <w:keepLines w:val="0"/>
        <w:numPr>
          <w:ilvl w:val="0"/>
          <w:numId w:val="6"/>
        </w:numPr>
        <w:tabs>
          <w:tab w:val="left" w:pos="426"/>
        </w:tabs>
        <w:spacing w:before="360" w:after="60"/>
        <w:ind w:left="425" w:hanging="425"/>
        <w:rPr>
          <w:rFonts w:ascii="Arial" w:hAnsi="Arial" w:cs="Arial"/>
          <w:color w:val="000000" w:themeColor="text1"/>
          <w:szCs w:val="22"/>
        </w:rPr>
      </w:pPr>
      <w:r w:rsidRPr="00696B93">
        <w:rPr>
          <w:rFonts w:ascii="Arial" w:hAnsi="Arial" w:cs="Arial"/>
          <w:color w:val="000000" w:themeColor="text1"/>
          <w:szCs w:val="22"/>
        </w:rPr>
        <w:t>How do I reset my password?</w:t>
      </w:r>
    </w:p>
    <w:p w14:paraId="4E3D653B" w14:textId="77777777" w:rsidR="00A33D29" w:rsidRDefault="002D4D71" w:rsidP="00696B93">
      <w:pPr>
        <w:pStyle w:val="BodyText"/>
        <w:spacing w:line="240" w:lineRule="auto"/>
        <w:ind w:left="426"/>
        <w:rPr>
          <w:rFonts w:cs="Arial"/>
          <w:szCs w:val="22"/>
        </w:rPr>
      </w:pPr>
      <w:r>
        <w:rPr>
          <w:rFonts w:cs="Arial"/>
          <w:szCs w:val="22"/>
        </w:rPr>
        <w:t xml:space="preserve">Users </w:t>
      </w:r>
      <w:r w:rsidR="00A33D29">
        <w:rPr>
          <w:rFonts w:cs="Arial"/>
          <w:szCs w:val="22"/>
        </w:rPr>
        <w:t xml:space="preserve">can change </w:t>
      </w:r>
      <w:r>
        <w:rPr>
          <w:rFonts w:cs="Arial"/>
          <w:szCs w:val="22"/>
        </w:rPr>
        <w:t>their</w:t>
      </w:r>
      <w:r w:rsidR="00A33D29">
        <w:rPr>
          <w:rFonts w:cs="Arial"/>
          <w:szCs w:val="22"/>
        </w:rPr>
        <w:t xml:space="preserve"> own password by:</w:t>
      </w:r>
    </w:p>
    <w:p w14:paraId="2461765B" w14:textId="77777777" w:rsidR="00A33D29" w:rsidRDefault="006270A3" w:rsidP="00A33D29">
      <w:pPr>
        <w:pStyle w:val="ListParagraph"/>
        <w:numPr>
          <w:ilvl w:val="0"/>
          <w:numId w:val="12"/>
        </w:numPr>
        <w:spacing w:after="200" w:line="276" w:lineRule="auto"/>
        <w:ind w:left="1069"/>
        <w:rPr>
          <w:rFonts w:cs="Arial"/>
        </w:rPr>
      </w:pPr>
      <w:r>
        <w:rPr>
          <w:rFonts w:cs="Arial"/>
        </w:rPr>
        <w:t>C</w:t>
      </w:r>
      <w:r w:rsidR="00A33D29" w:rsidRPr="00A33D29">
        <w:rPr>
          <w:rFonts w:cs="Arial"/>
        </w:rPr>
        <w:t xml:space="preserve">licking on </w:t>
      </w:r>
      <w:r w:rsidR="002D4D71">
        <w:rPr>
          <w:rFonts w:cs="Arial"/>
        </w:rPr>
        <w:t>their</w:t>
      </w:r>
      <w:r w:rsidR="00A33D29" w:rsidRPr="00A33D29">
        <w:rPr>
          <w:rFonts w:cs="Arial"/>
        </w:rPr>
        <w:t xml:space="preserve"> name in the Application Bar at the top of the page</w:t>
      </w:r>
    </w:p>
    <w:p w14:paraId="4A064671" w14:textId="77777777" w:rsidR="00A33D29" w:rsidRDefault="006270A3" w:rsidP="00A33D29">
      <w:pPr>
        <w:pStyle w:val="ListParagraph"/>
        <w:numPr>
          <w:ilvl w:val="0"/>
          <w:numId w:val="12"/>
        </w:numPr>
        <w:spacing w:after="200" w:line="276" w:lineRule="auto"/>
        <w:ind w:left="1069"/>
        <w:rPr>
          <w:rFonts w:cs="Arial"/>
        </w:rPr>
      </w:pPr>
      <w:r>
        <w:rPr>
          <w:rFonts w:cs="Arial"/>
        </w:rPr>
        <w:t>S</w:t>
      </w:r>
      <w:r w:rsidR="00A33D29">
        <w:rPr>
          <w:rFonts w:cs="Arial"/>
        </w:rPr>
        <w:t>elect Edit password</w:t>
      </w:r>
    </w:p>
    <w:p w14:paraId="6DC93E88" w14:textId="77777777" w:rsidR="00A33D29" w:rsidRPr="00A33D29" w:rsidRDefault="006270A3" w:rsidP="00A33D29">
      <w:pPr>
        <w:pStyle w:val="ListParagraph"/>
        <w:numPr>
          <w:ilvl w:val="0"/>
          <w:numId w:val="12"/>
        </w:numPr>
        <w:spacing w:after="200" w:line="276" w:lineRule="auto"/>
        <w:ind w:left="1069"/>
        <w:rPr>
          <w:rFonts w:cs="Arial"/>
        </w:rPr>
      </w:pPr>
      <w:r>
        <w:rPr>
          <w:rFonts w:cs="Arial"/>
        </w:rPr>
        <w:t>F</w:t>
      </w:r>
      <w:r w:rsidR="00A33D29">
        <w:rPr>
          <w:rFonts w:cs="Arial"/>
        </w:rPr>
        <w:t>ollow the prompts</w:t>
      </w:r>
      <w:r w:rsidR="002D4D71">
        <w:rPr>
          <w:rFonts w:cs="Arial"/>
        </w:rPr>
        <w:t xml:space="preserve"> to change their password</w:t>
      </w:r>
      <w:r>
        <w:rPr>
          <w:rFonts w:cs="Arial"/>
        </w:rPr>
        <w:t>.</w:t>
      </w:r>
    </w:p>
    <w:p w14:paraId="5C70CD4F" w14:textId="77777777" w:rsidR="00A33D29" w:rsidRDefault="002D4D71" w:rsidP="00696B93">
      <w:pPr>
        <w:pStyle w:val="BodyText"/>
        <w:spacing w:line="240" w:lineRule="auto"/>
        <w:ind w:left="426"/>
        <w:rPr>
          <w:rFonts w:cs="Arial"/>
          <w:szCs w:val="22"/>
        </w:rPr>
      </w:pPr>
      <w:r>
        <w:rPr>
          <w:rFonts w:cs="Arial"/>
          <w:szCs w:val="22"/>
        </w:rPr>
        <w:t>If users have forgotten their password and need it to be reset they</w:t>
      </w:r>
      <w:r w:rsidR="00BB261E" w:rsidRPr="00247937">
        <w:rPr>
          <w:rFonts w:cs="Arial"/>
          <w:szCs w:val="22"/>
        </w:rPr>
        <w:t xml:space="preserve"> need to contact the OrgTRx support email at </w:t>
      </w:r>
      <w:hyperlink r:id="rId14" w:history="1">
        <w:r w:rsidR="00626C91" w:rsidRPr="00E458C1">
          <w:rPr>
            <w:rStyle w:val="Hyperlink"/>
            <w:rFonts w:cs="Arial"/>
            <w:szCs w:val="22"/>
          </w:rPr>
          <w:t>orgtrx</w:t>
        </w:r>
        <w:r w:rsidR="00626C91" w:rsidRPr="00E458C1">
          <w:rPr>
            <w:rStyle w:val="Hyperlink"/>
            <w:rFonts w:cs="Arial"/>
            <w:szCs w:val="22"/>
          </w:rPr>
          <w:noBreakHyphen/>
          <w:t>support@health.qld.gov.au</w:t>
        </w:r>
      </w:hyperlink>
      <w:r w:rsidR="00BB261E" w:rsidRPr="00247937">
        <w:rPr>
          <w:rFonts w:cs="Arial"/>
          <w:szCs w:val="22"/>
        </w:rPr>
        <w:t xml:space="preserve">. </w:t>
      </w:r>
    </w:p>
    <w:p w14:paraId="6E812ABC" w14:textId="77777777" w:rsidR="00A33D29" w:rsidRPr="00A33D29" w:rsidRDefault="00A33D29" w:rsidP="002205B6">
      <w:pPr>
        <w:pStyle w:val="Heading3"/>
        <w:keepLines w:val="0"/>
        <w:numPr>
          <w:ilvl w:val="0"/>
          <w:numId w:val="6"/>
        </w:numPr>
        <w:tabs>
          <w:tab w:val="left" w:pos="426"/>
        </w:tabs>
        <w:spacing w:before="360" w:after="60"/>
        <w:ind w:left="425" w:hanging="425"/>
        <w:rPr>
          <w:rFonts w:ascii="Arial" w:hAnsi="Arial" w:cs="Arial"/>
          <w:color w:val="000000" w:themeColor="text1"/>
          <w:szCs w:val="22"/>
        </w:rPr>
      </w:pPr>
      <w:r w:rsidRPr="00A33D29">
        <w:rPr>
          <w:rFonts w:ascii="Arial" w:hAnsi="Arial" w:cs="Arial"/>
          <w:color w:val="000000" w:themeColor="text1"/>
          <w:szCs w:val="22"/>
        </w:rPr>
        <w:t>What do I do if my access has been archived?</w:t>
      </w:r>
    </w:p>
    <w:p w14:paraId="6C5162BC" w14:textId="77777777" w:rsidR="00BB261E" w:rsidRPr="00247937" w:rsidRDefault="00BB261E" w:rsidP="00696B93">
      <w:pPr>
        <w:pStyle w:val="BodyText"/>
        <w:spacing w:line="240" w:lineRule="auto"/>
        <w:ind w:left="426"/>
        <w:rPr>
          <w:rFonts w:cs="Arial"/>
          <w:szCs w:val="22"/>
        </w:rPr>
      </w:pPr>
      <w:r w:rsidRPr="00247937">
        <w:rPr>
          <w:rFonts w:cs="Arial"/>
          <w:szCs w:val="22"/>
        </w:rPr>
        <w:t xml:space="preserve">The Queensland DSS Archive Process will suspend the access of users if their account is not used for three months. The email message users will receive if their account is </w:t>
      </w:r>
      <w:r w:rsidR="002D4D71">
        <w:rPr>
          <w:rFonts w:cs="Arial"/>
          <w:szCs w:val="22"/>
        </w:rPr>
        <w:t xml:space="preserve">about to be </w:t>
      </w:r>
      <w:r w:rsidRPr="00247937">
        <w:rPr>
          <w:rFonts w:cs="Arial"/>
          <w:szCs w:val="22"/>
        </w:rPr>
        <w:t>archived is shown below</w:t>
      </w:r>
      <w:r w:rsidR="002D4D71">
        <w:rPr>
          <w:rFonts w:cs="Arial"/>
          <w:szCs w:val="22"/>
        </w:rPr>
        <w:t>.</w:t>
      </w:r>
    </w:p>
    <w:p w14:paraId="0945AAA1" w14:textId="77777777" w:rsidR="00BB261E" w:rsidRPr="00247937" w:rsidRDefault="00BB261E" w:rsidP="00696B93">
      <w:pPr>
        <w:pStyle w:val="NoSpacing"/>
        <w:widowControl w:val="0"/>
        <w:overflowPunct w:val="0"/>
        <w:autoSpaceDE w:val="0"/>
        <w:autoSpaceDN w:val="0"/>
        <w:adjustRightInd w:val="0"/>
        <w:ind w:left="426"/>
        <w:textAlignment w:val="baseline"/>
        <w:rPr>
          <w:rFonts w:ascii="Arial" w:hAnsi="Arial" w:cs="Arial"/>
        </w:rPr>
      </w:pPr>
    </w:p>
    <w:p w14:paraId="50AF9E5B" w14:textId="77777777" w:rsidR="00BB261E" w:rsidRPr="00247937" w:rsidRDefault="00BB261E" w:rsidP="0047486F">
      <w:pPr>
        <w:tabs>
          <w:tab w:val="left" w:pos="851"/>
        </w:tabs>
        <w:spacing w:after="240"/>
        <w:ind w:left="426"/>
        <w:rPr>
          <w:rFonts w:cs="Arial"/>
          <w:i/>
          <w:szCs w:val="22"/>
        </w:rPr>
      </w:pPr>
      <w:r w:rsidRPr="00247937">
        <w:rPr>
          <w:rFonts w:cs="Arial"/>
          <w:i/>
          <w:szCs w:val="22"/>
        </w:rPr>
        <w:t>Subject: DSS ARCHIVE PROCESS – Log into DSS</w:t>
      </w:r>
      <w:r w:rsidRPr="00247937">
        <w:rPr>
          <w:rFonts w:cs="Arial"/>
          <w:b/>
          <w:i/>
          <w:szCs w:val="22"/>
        </w:rPr>
        <w:t xml:space="preserve"> </w:t>
      </w:r>
      <w:r w:rsidRPr="00247937">
        <w:rPr>
          <w:rFonts w:cs="Arial"/>
          <w:i/>
          <w:szCs w:val="22"/>
        </w:rPr>
        <w:t>within the next 7 days to prevent your DSS account from being archived</w:t>
      </w:r>
    </w:p>
    <w:p w14:paraId="7C5AE7EA" w14:textId="77777777" w:rsidR="00BB261E" w:rsidRPr="00247937" w:rsidRDefault="00BB261E" w:rsidP="00714B10">
      <w:pPr>
        <w:ind w:left="426"/>
        <w:rPr>
          <w:rFonts w:cs="Arial"/>
          <w:szCs w:val="22"/>
        </w:rPr>
      </w:pPr>
      <w:r w:rsidRPr="00247937">
        <w:rPr>
          <w:rFonts w:cs="Arial"/>
          <w:noProof/>
          <w:szCs w:val="22"/>
        </w:rPr>
        <w:drawing>
          <wp:inline distT="0" distB="0" distL="0" distR="0" wp14:anchorId="732FE6D0" wp14:editId="0FB6AEAE">
            <wp:extent cx="3751730" cy="2114515"/>
            <wp:effectExtent l="0" t="0" r="1270" b="635"/>
            <wp:docPr id="7" name="Picture 7" descr="Warning message regarding archive process" title="Email message send to Users if account is to be arch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183F.715F3EB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748458" cy="2112671"/>
                    </a:xfrm>
                    <a:prstGeom prst="rect">
                      <a:avLst/>
                    </a:prstGeom>
                    <a:noFill/>
                    <a:ln>
                      <a:noFill/>
                    </a:ln>
                  </pic:spPr>
                </pic:pic>
              </a:graphicData>
            </a:graphic>
          </wp:inline>
        </w:drawing>
      </w:r>
    </w:p>
    <w:p w14:paraId="467FFA90" w14:textId="77777777" w:rsidR="00BB261E" w:rsidRPr="00247937" w:rsidRDefault="00BB261E" w:rsidP="00696B93">
      <w:pPr>
        <w:ind w:left="426"/>
        <w:rPr>
          <w:rFonts w:cs="Arial"/>
          <w:szCs w:val="22"/>
        </w:rPr>
      </w:pPr>
    </w:p>
    <w:p w14:paraId="36BC3836" w14:textId="77777777" w:rsidR="006270A3" w:rsidRDefault="006270A3" w:rsidP="00696B93">
      <w:pPr>
        <w:pStyle w:val="BodyText"/>
        <w:spacing w:line="240" w:lineRule="auto"/>
        <w:ind w:left="426"/>
        <w:rPr>
          <w:rFonts w:cs="Arial"/>
          <w:szCs w:val="22"/>
        </w:rPr>
      </w:pPr>
    </w:p>
    <w:p w14:paraId="6DC5378C" w14:textId="77777777" w:rsidR="00967791" w:rsidRDefault="00967791" w:rsidP="00696B93">
      <w:pPr>
        <w:pStyle w:val="BodyText"/>
        <w:spacing w:line="240" w:lineRule="auto"/>
        <w:ind w:left="426"/>
        <w:rPr>
          <w:rFonts w:cs="Arial"/>
          <w:szCs w:val="22"/>
        </w:rPr>
      </w:pPr>
    </w:p>
    <w:p w14:paraId="41F0DE16" w14:textId="77777777" w:rsidR="00BB261E" w:rsidRPr="00247937" w:rsidRDefault="00BB261E" w:rsidP="00696B93">
      <w:pPr>
        <w:pStyle w:val="BodyText"/>
        <w:spacing w:line="240" w:lineRule="auto"/>
        <w:ind w:left="426"/>
        <w:rPr>
          <w:rFonts w:cs="Arial"/>
          <w:szCs w:val="22"/>
        </w:rPr>
      </w:pPr>
      <w:r w:rsidRPr="00247937">
        <w:rPr>
          <w:rFonts w:cs="Arial"/>
          <w:szCs w:val="22"/>
        </w:rPr>
        <w:t>If users login within 7 days as requested they will not be archived.</w:t>
      </w:r>
    </w:p>
    <w:p w14:paraId="5084BEF1" w14:textId="77777777" w:rsidR="00BB261E" w:rsidRPr="00247937" w:rsidRDefault="00BB261E" w:rsidP="00696B93">
      <w:pPr>
        <w:pStyle w:val="BodyText"/>
        <w:spacing w:line="240" w:lineRule="auto"/>
        <w:ind w:left="426"/>
        <w:rPr>
          <w:rFonts w:cs="Arial"/>
          <w:szCs w:val="22"/>
        </w:rPr>
      </w:pPr>
      <w:r w:rsidRPr="00247937">
        <w:rPr>
          <w:rFonts w:cs="Arial"/>
          <w:szCs w:val="22"/>
        </w:rPr>
        <w:t xml:space="preserve">Users outside Queensland Health have their own site-specific web URL. If they have lost the web URL, in the first instance, they should contact their local Super User. If they have been archived they should contact </w:t>
      </w:r>
      <w:hyperlink r:id="rId17" w:history="1">
        <w:r w:rsidR="0047600B" w:rsidRPr="00AF719A">
          <w:rPr>
            <w:rStyle w:val="Hyperlink"/>
            <w:rFonts w:cs="Arial"/>
            <w:szCs w:val="22"/>
          </w:rPr>
          <w:t>orgtrx</w:t>
        </w:r>
        <w:r w:rsidR="0047600B" w:rsidRPr="00AF719A">
          <w:rPr>
            <w:rStyle w:val="Hyperlink"/>
            <w:rFonts w:cs="Arial"/>
            <w:szCs w:val="22"/>
          </w:rPr>
          <w:noBreakHyphen/>
          <w:t>support@health.qld.gov.au</w:t>
        </w:r>
      </w:hyperlink>
      <w:r w:rsidRPr="00247937">
        <w:rPr>
          <w:rFonts w:cs="Arial"/>
          <w:szCs w:val="22"/>
        </w:rPr>
        <w:t xml:space="preserve"> and provide their name, user login, phone number </w:t>
      </w:r>
      <w:r w:rsidR="0047486F">
        <w:rPr>
          <w:rFonts w:cs="Arial"/>
          <w:szCs w:val="22"/>
        </w:rPr>
        <w:t>and</w:t>
      </w:r>
      <w:r w:rsidRPr="00247937">
        <w:rPr>
          <w:rFonts w:cs="Arial"/>
          <w:szCs w:val="22"/>
        </w:rPr>
        <w:t xml:space="preserve"> email address to be unarchived.</w:t>
      </w:r>
    </w:p>
    <w:p w14:paraId="0F9E124C" w14:textId="77777777" w:rsidR="00BB261E" w:rsidRPr="008C56CE" w:rsidRDefault="00714B10" w:rsidP="00967791">
      <w:pPr>
        <w:pStyle w:val="Heading3"/>
        <w:keepLines w:val="0"/>
        <w:numPr>
          <w:ilvl w:val="0"/>
          <w:numId w:val="6"/>
        </w:numPr>
        <w:spacing w:before="360" w:after="60"/>
        <w:ind w:left="425" w:hanging="425"/>
        <w:rPr>
          <w:rFonts w:ascii="Arial" w:hAnsi="Arial" w:cs="Arial"/>
          <w:color w:val="000000" w:themeColor="text1"/>
          <w:szCs w:val="22"/>
        </w:rPr>
      </w:pPr>
      <w:r>
        <w:rPr>
          <w:rFonts w:ascii="Arial" w:hAnsi="Arial" w:cs="Arial"/>
          <w:color w:val="000000" w:themeColor="text1"/>
          <w:szCs w:val="22"/>
        </w:rPr>
        <w:t>What do I do if m</w:t>
      </w:r>
      <w:r w:rsidR="008C56CE" w:rsidRPr="008C56CE">
        <w:rPr>
          <w:rFonts w:ascii="Arial" w:hAnsi="Arial" w:cs="Arial"/>
          <w:color w:val="000000" w:themeColor="text1"/>
          <w:szCs w:val="22"/>
        </w:rPr>
        <w:t>y session</w:t>
      </w:r>
      <w:r w:rsidR="00BB261E" w:rsidRPr="008C56CE">
        <w:rPr>
          <w:rFonts w:ascii="Arial" w:hAnsi="Arial" w:cs="Arial"/>
          <w:color w:val="000000" w:themeColor="text1"/>
          <w:szCs w:val="22"/>
        </w:rPr>
        <w:t xml:space="preserve"> has timed out</w:t>
      </w:r>
      <w:r w:rsidR="0047486F">
        <w:rPr>
          <w:rFonts w:ascii="Arial" w:hAnsi="Arial" w:cs="Arial"/>
          <w:color w:val="000000" w:themeColor="text1"/>
          <w:szCs w:val="22"/>
        </w:rPr>
        <w:t>?</w:t>
      </w:r>
    </w:p>
    <w:p w14:paraId="3E30B2EB" w14:textId="77777777" w:rsidR="00BB261E" w:rsidRPr="00247937" w:rsidRDefault="00BB261E" w:rsidP="00714B10">
      <w:pPr>
        <w:pStyle w:val="BodyText"/>
        <w:spacing w:line="240" w:lineRule="auto"/>
        <w:ind w:left="426"/>
        <w:rPr>
          <w:rFonts w:cs="Arial"/>
          <w:szCs w:val="22"/>
        </w:rPr>
      </w:pPr>
      <w:r w:rsidRPr="00247937">
        <w:rPr>
          <w:rFonts w:cs="Arial"/>
          <w:szCs w:val="22"/>
        </w:rPr>
        <w:t>If the DSS window remains inactive for one hour, the application ‘times out’ and users receive the message below. To re-establish, their session, users just need to refresh that window on their web browser.</w:t>
      </w:r>
    </w:p>
    <w:p w14:paraId="6D4CBBE2" w14:textId="77777777" w:rsidR="00BB261E" w:rsidRPr="00247937" w:rsidRDefault="00BB261E" w:rsidP="00696B93">
      <w:pPr>
        <w:pStyle w:val="BodyText"/>
        <w:spacing w:line="240" w:lineRule="auto"/>
        <w:ind w:left="426"/>
        <w:rPr>
          <w:rFonts w:cs="Arial"/>
          <w:szCs w:val="22"/>
        </w:rPr>
      </w:pPr>
    </w:p>
    <w:p w14:paraId="33D0B720" w14:textId="77777777" w:rsidR="00BB261E" w:rsidRPr="00247937" w:rsidRDefault="00BB261E" w:rsidP="00696B93">
      <w:pPr>
        <w:ind w:left="426"/>
        <w:jc w:val="center"/>
        <w:rPr>
          <w:rFonts w:cs="Arial"/>
          <w:szCs w:val="22"/>
        </w:rPr>
      </w:pPr>
      <w:r w:rsidRPr="00247937">
        <w:rPr>
          <w:rFonts w:cs="Arial"/>
          <w:noProof/>
          <w:szCs w:val="22"/>
        </w:rPr>
        <w:drawing>
          <wp:inline distT="0" distB="0" distL="0" distR="0" wp14:anchorId="6E57F916" wp14:editId="3FFBC3D1">
            <wp:extent cx="4147146" cy="2276475"/>
            <wp:effectExtent l="0" t="0" r="6350" b="0"/>
            <wp:docPr id="6" name="Picture 6" descr="message sent to DSS users regarding application time out" title="User message - time out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jpg@01D31841.920AAB7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168041" cy="2287945"/>
                    </a:xfrm>
                    <a:prstGeom prst="rect">
                      <a:avLst/>
                    </a:prstGeom>
                    <a:noFill/>
                    <a:ln>
                      <a:noFill/>
                    </a:ln>
                  </pic:spPr>
                </pic:pic>
              </a:graphicData>
            </a:graphic>
          </wp:inline>
        </w:drawing>
      </w:r>
    </w:p>
    <w:p w14:paraId="690E215C" w14:textId="77777777" w:rsidR="00BB261E" w:rsidRPr="00247937" w:rsidRDefault="00BB261E" w:rsidP="00696B93">
      <w:pPr>
        <w:ind w:left="426"/>
        <w:rPr>
          <w:rFonts w:cs="Arial"/>
          <w:szCs w:val="22"/>
        </w:rPr>
      </w:pPr>
    </w:p>
    <w:p w14:paraId="5E22C559" w14:textId="77777777" w:rsidR="00BB261E" w:rsidRDefault="008C56CE" w:rsidP="00967791">
      <w:pPr>
        <w:pStyle w:val="Heading3"/>
        <w:keepLines w:val="0"/>
        <w:numPr>
          <w:ilvl w:val="0"/>
          <w:numId w:val="6"/>
        </w:numPr>
        <w:spacing w:before="360" w:after="60"/>
        <w:ind w:left="425" w:hanging="425"/>
        <w:rPr>
          <w:rFonts w:ascii="Arial" w:hAnsi="Arial" w:cs="Arial"/>
          <w:color w:val="000000" w:themeColor="text1"/>
          <w:szCs w:val="22"/>
        </w:rPr>
      </w:pPr>
      <w:r w:rsidRPr="008C56CE">
        <w:rPr>
          <w:rFonts w:ascii="Arial" w:hAnsi="Arial" w:cs="Arial"/>
          <w:color w:val="000000" w:themeColor="text1"/>
          <w:szCs w:val="22"/>
        </w:rPr>
        <w:t>How do I log off OrgTRx</w:t>
      </w:r>
      <w:r w:rsidR="0047600B">
        <w:rPr>
          <w:rFonts w:ascii="Arial" w:hAnsi="Arial" w:cs="Arial"/>
          <w:color w:val="000000" w:themeColor="text1"/>
          <w:szCs w:val="22"/>
        </w:rPr>
        <w:t>?</w:t>
      </w:r>
    </w:p>
    <w:p w14:paraId="76F9DBFE" w14:textId="77777777" w:rsidR="00BB261E" w:rsidRPr="00247937" w:rsidRDefault="00BB261E" w:rsidP="006270A3">
      <w:pPr>
        <w:pStyle w:val="BodyText"/>
        <w:spacing w:line="240" w:lineRule="auto"/>
        <w:ind w:left="426"/>
        <w:rPr>
          <w:rFonts w:cs="Arial"/>
          <w:szCs w:val="22"/>
        </w:rPr>
      </w:pPr>
      <w:r w:rsidRPr="00247937">
        <w:rPr>
          <w:rFonts w:cs="Arial"/>
          <w:szCs w:val="22"/>
        </w:rPr>
        <w:t>To log off the DSS OrgTRx module, users need to close their browser window. If a user does not log off via this method, the system will time out. When the user next logs on, they will need to refresh their screen.</w:t>
      </w:r>
    </w:p>
    <w:p w14:paraId="6A79985B" w14:textId="77777777" w:rsidR="00BB261E" w:rsidRPr="008C56CE" w:rsidRDefault="008C56CE" w:rsidP="00967791">
      <w:pPr>
        <w:pStyle w:val="Heading2"/>
        <w:keepLines w:val="0"/>
        <w:numPr>
          <w:ilvl w:val="0"/>
          <w:numId w:val="6"/>
        </w:numPr>
        <w:spacing w:before="360" w:after="60"/>
        <w:ind w:left="425" w:hanging="425"/>
        <w:rPr>
          <w:rFonts w:ascii="Arial" w:hAnsi="Arial" w:cs="Arial"/>
          <w:color w:val="000000" w:themeColor="text1"/>
          <w:sz w:val="22"/>
          <w:szCs w:val="22"/>
          <w:lang w:val="en-GB"/>
        </w:rPr>
      </w:pPr>
      <w:bookmarkStart w:id="2" w:name="_Toc491788193"/>
      <w:r w:rsidRPr="008C56CE">
        <w:rPr>
          <w:rFonts w:ascii="Arial" w:hAnsi="Arial" w:cs="Arial"/>
          <w:color w:val="000000" w:themeColor="text1"/>
          <w:sz w:val="22"/>
          <w:szCs w:val="22"/>
          <w:lang w:val="en-GB"/>
        </w:rPr>
        <w:t>How do I let the Commission know about upcoming changes to my service’s laboratory information system</w:t>
      </w:r>
      <w:bookmarkEnd w:id="2"/>
      <w:r w:rsidRPr="008C56CE">
        <w:rPr>
          <w:rFonts w:ascii="Arial" w:hAnsi="Arial" w:cs="Arial"/>
          <w:color w:val="000000" w:themeColor="text1"/>
          <w:sz w:val="22"/>
          <w:szCs w:val="22"/>
          <w:lang w:val="en-GB"/>
        </w:rPr>
        <w:t>?</w:t>
      </w:r>
    </w:p>
    <w:p w14:paraId="55D6C947" w14:textId="77777777" w:rsidR="003A0458" w:rsidRDefault="0047600B" w:rsidP="003A0458">
      <w:pPr>
        <w:tabs>
          <w:tab w:val="left" w:pos="426"/>
        </w:tabs>
        <w:ind w:left="426" w:hanging="1"/>
        <w:rPr>
          <w:rFonts w:cs="Arial"/>
          <w:lang w:val="en-GB"/>
        </w:rPr>
      </w:pPr>
      <w:r>
        <w:rPr>
          <w:rFonts w:cs="Arial"/>
          <w:lang w:val="en-GB"/>
        </w:rPr>
        <w:t xml:space="preserve">A systemised approach to IT </w:t>
      </w:r>
      <w:r w:rsidRPr="00D21F7C">
        <w:rPr>
          <w:rFonts w:cs="Arial"/>
          <w:lang w:val="en-GB"/>
        </w:rPr>
        <w:t xml:space="preserve">processes are required </w:t>
      </w:r>
      <w:r>
        <w:rPr>
          <w:rFonts w:cs="Arial"/>
          <w:lang w:val="en-GB"/>
        </w:rPr>
        <w:t xml:space="preserve">to ensure the APAS data as captured in the </w:t>
      </w:r>
      <w:proofErr w:type="spellStart"/>
      <w:r>
        <w:rPr>
          <w:rFonts w:cs="Arial"/>
          <w:lang w:val="en-GB"/>
        </w:rPr>
        <w:t>OrgTRx</w:t>
      </w:r>
      <w:proofErr w:type="spellEnd"/>
      <w:r>
        <w:rPr>
          <w:rFonts w:cs="Arial"/>
          <w:lang w:val="en-GB"/>
        </w:rPr>
        <w:t xml:space="preserve"> system is complete and provided in a timely manner. This is particularly important when</w:t>
      </w:r>
      <w:r w:rsidRPr="00D21F7C">
        <w:rPr>
          <w:rFonts w:cs="Arial"/>
          <w:lang w:val="en-GB"/>
        </w:rPr>
        <w:t xml:space="preserve"> sites upgrade or change their </w:t>
      </w:r>
      <w:r>
        <w:rPr>
          <w:rFonts w:cs="Arial"/>
          <w:lang w:val="en-GB"/>
        </w:rPr>
        <w:t>lab</w:t>
      </w:r>
      <w:r w:rsidR="006270A3">
        <w:rPr>
          <w:rFonts w:cs="Arial"/>
          <w:lang w:val="en-GB"/>
        </w:rPr>
        <w:t>oratory</w:t>
      </w:r>
      <w:r>
        <w:rPr>
          <w:rFonts w:cs="Arial"/>
          <w:lang w:val="en-GB"/>
        </w:rPr>
        <w:t xml:space="preserve"> information system, or other </w:t>
      </w:r>
      <w:r w:rsidRPr="00D21F7C">
        <w:rPr>
          <w:rFonts w:cs="Arial"/>
          <w:lang w:val="en-GB"/>
        </w:rPr>
        <w:t>systems</w:t>
      </w:r>
      <w:r>
        <w:rPr>
          <w:rFonts w:cs="Arial"/>
          <w:lang w:val="en-GB"/>
        </w:rPr>
        <w:t>,</w:t>
      </w:r>
      <w:r w:rsidRPr="00D21F7C">
        <w:rPr>
          <w:rFonts w:cs="Arial"/>
          <w:lang w:val="en-GB"/>
        </w:rPr>
        <w:t xml:space="preserve"> that </w:t>
      </w:r>
      <w:r>
        <w:rPr>
          <w:rFonts w:cs="Arial"/>
          <w:lang w:val="en-GB"/>
        </w:rPr>
        <w:t xml:space="preserve">provide supporting infrastructure to, </w:t>
      </w:r>
      <w:r w:rsidRPr="00D21F7C">
        <w:rPr>
          <w:rFonts w:cs="Arial"/>
          <w:lang w:val="en-GB"/>
        </w:rPr>
        <w:t>or connect with</w:t>
      </w:r>
      <w:r>
        <w:rPr>
          <w:rFonts w:cs="Arial"/>
          <w:lang w:val="en-GB"/>
        </w:rPr>
        <w:t>,</w:t>
      </w:r>
      <w:r w:rsidRPr="00D21F7C">
        <w:rPr>
          <w:rFonts w:cs="Arial"/>
          <w:lang w:val="en-GB"/>
        </w:rPr>
        <w:t xml:space="preserve"> </w:t>
      </w:r>
      <w:proofErr w:type="spellStart"/>
      <w:r w:rsidRPr="00D21F7C">
        <w:rPr>
          <w:rFonts w:cs="Arial"/>
          <w:lang w:val="en-GB"/>
        </w:rPr>
        <w:t>OrgTRx</w:t>
      </w:r>
      <w:proofErr w:type="spellEnd"/>
      <w:r w:rsidRPr="00D21F7C">
        <w:rPr>
          <w:rFonts w:cs="Arial"/>
          <w:lang w:val="en-GB"/>
        </w:rPr>
        <w:t>.</w:t>
      </w:r>
      <w:r w:rsidR="003A0458" w:rsidRPr="003A0458">
        <w:rPr>
          <w:rFonts w:cs="Arial"/>
          <w:lang w:val="en-GB"/>
        </w:rPr>
        <w:t xml:space="preserve"> </w:t>
      </w:r>
      <w:r w:rsidR="003A0458">
        <w:rPr>
          <w:rFonts w:cs="Arial"/>
          <w:lang w:val="en-GB"/>
        </w:rPr>
        <w:t>These may include:</w:t>
      </w:r>
    </w:p>
    <w:p w14:paraId="2BF48A0D" w14:textId="77777777" w:rsidR="0047600B" w:rsidRDefault="0047600B" w:rsidP="008C56CE">
      <w:pPr>
        <w:pStyle w:val="ListParagraph"/>
        <w:tabs>
          <w:tab w:val="left" w:pos="1418"/>
        </w:tabs>
        <w:contextualSpacing w:val="0"/>
        <w:rPr>
          <w:rFonts w:cs="Arial"/>
          <w:szCs w:val="22"/>
        </w:rPr>
      </w:pPr>
    </w:p>
    <w:p w14:paraId="5F60E5B8" w14:textId="77777777" w:rsidR="0047600B" w:rsidRPr="00B24416" w:rsidRDefault="0047600B" w:rsidP="0047600B">
      <w:pPr>
        <w:pStyle w:val="ListParagraph"/>
        <w:numPr>
          <w:ilvl w:val="0"/>
          <w:numId w:val="12"/>
        </w:numPr>
        <w:spacing w:after="200" w:line="276" w:lineRule="auto"/>
        <w:ind w:left="1069"/>
        <w:rPr>
          <w:rFonts w:cs="Arial"/>
        </w:rPr>
      </w:pPr>
      <w:r w:rsidRPr="00B24416">
        <w:rPr>
          <w:rFonts w:cs="Arial"/>
        </w:rPr>
        <w:t>A pathology/laboratory information system version upgrade</w:t>
      </w:r>
    </w:p>
    <w:p w14:paraId="2359AB3F" w14:textId="77777777" w:rsidR="0047600B" w:rsidRPr="00B24416" w:rsidRDefault="0047600B" w:rsidP="0047600B">
      <w:pPr>
        <w:pStyle w:val="ListParagraph"/>
        <w:numPr>
          <w:ilvl w:val="0"/>
          <w:numId w:val="12"/>
        </w:numPr>
        <w:spacing w:after="200" w:line="276" w:lineRule="auto"/>
        <w:ind w:left="1069"/>
        <w:rPr>
          <w:rFonts w:cs="Arial"/>
        </w:rPr>
      </w:pPr>
      <w:r w:rsidRPr="00B24416">
        <w:rPr>
          <w:rFonts w:cs="Arial"/>
        </w:rPr>
        <w:t>Migration to a new pathology/laboratory information system</w:t>
      </w:r>
    </w:p>
    <w:p w14:paraId="420B5CD7" w14:textId="77777777" w:rsidR="0047600B" w:rsidRPr="00B24416" w:rsidRDefault="0047600B" w:rsidP="0047600B">
      <w:pPr>
        <w:pStyle w:val="ListParagraph"/>
        <w:numPr>
          <w:ilvl w:val="0"/>
          <w:numId w:val="12"/>
        </w:numPr>
        <w:spacing w:after="200" w:line="276" w:lineRule="auto"/>
        <w:ind w:left="1069"/>
        <w:rPr>
          <w:rFonts w:cs="Arial"/>
        </w:rPr>
      </w:pPr>
      <w:r w:rsidRPr="00B24416">
        <w:rPr>
          <w:rFonts w:cs="Arial"/>
        </w:rPr>
        <w:t>Changes t</w:t>
      </w:r>
      <w:r>
        <w:rPr>
          <w:rFonts w:cs="Arial"/>
        </w:rPr>
        <w:t>o geographical location of the l</w:t>
      </w:r>
      <w:r w:rsidRPr="00B24416">
        <w:rPr>
          <w:rFonts w:cs="Arial"/>
        </w:rPr>
        <w:t>aboratory service</w:t>
      </w:r>
      <w:r>
        <w:rPr>
          <w:rFonts w:cs="Arial"/>
        </w:rPr>
        <w:t>,</w:t>
      </w:r>
      <w:r w:rsidRPr="00B24416">
        <w:rPr>
          <w:rFonts w:cs="Arial"/>
        </w:rPr>
        <w:t xml:space="preserve"> including change of building</w:t>
      </w:r>
      <w:r>
        <w:rPr>
          <w:rFonts w:cs="Arial"/>
        </w:rPr>
        <w:t xml:space="preserve"> and</w:t>
      </w:r>
      <w:r w:rsidRPr="00B24416">
        <w:rPr>
          <w:rFonts w:cs="Arial"/>
        </w:rPr>
        <w:t xml:space="preserve"> staff locations</w:t>
      </w:r>
    </w:p>
    <w:p w14:paraId="48F56C7C" w14:textId="77777777" w:rsidR="003A0458" w:rsidRDefault="0047600B" w:rsidP="0047600B">
      <w:pPr>
        <w:pStyle w:val="ListParagraph"/>
        <w:numPr>
          <w:ilvl w:val="0"/>
          <w:numId w:val="12"/>
        </w:numPr>
        <w:spacing w:after="200" w:line="276" w:lineRule="auto"/>
        <w:ind w:left="1069"/>
        <w:rPr>
          <w:rFonts w:cs="Arial"/>
        </w:rPr>
      </w:pPr>
      <w:r w:rsidRPr="00B24416">
        <w:rPr>
          <w:rFonts w:cs="Arial"/>
        </w:rPr>
        <w:t xml:space="preserve">Changes to </w:t>
      </w:r>
      <w:r w:rsidR="006270A3">
        <w:rPr>
          <w:rFonts w:cs="Arial"/>
        </w:rPr>
        <w:t>l</w:t>
      </w:r>
      <w:r w:rsidRPr="00B24416">
        <w:rPr>
          <w:rFonts w:cs="Arial"/>
        </w:rPr>
        <w:t>aboratory infrastructure</w:t>
      </w:r>
      <w:r w:rsidR="002205B6">
        <w:rPr>
          <w:rFonts w:cs="Arial"/>
        </w:rPr>
        <w:t>:</w:t>
      </w:r>
      <w:r w:rsidRPr="00B24416">
        <w:rPr>
          <w:rFonts w:cs="Arial"/>
        </w:rPr>
        <w:t xml:space="preserve"> applications/hardware; NBN</w:t>
      </w:r>
      <w:r>
        <w:rPr>
          <w:rFonts w:cs="Arial"/>
        </w:rPr>
        <w:t xml:space="preserve"> rollout; etc</w:t>
      </w:r>
    </w:p>
    <w:p w14:paraId="0A4FBCB9" w14:textId="77777777" w:rsidR="0047600B" w:rsidRPr="00B24416" w:rsidRDefault="0047600B" w:rsidP="003A0458">
      <w:pPr>
        <w:pStyle w:val="ListParagraph"/>
        <w:spacing w:after="200" w:line="276" w:lineRule="auto"/>
        <w:ind w:left="1069"/>
        <w:rPr>
          <w:rFonts w:cs="Arial"/>
        </w:rPr>
      </w:pPr>
    </w:p>
    <w:p w14:paraId="3007B95C" w14:textId="77777777" w:rsidR="0047600B" w:rsidRPr="00B24416" w:rsidRDefault="0047600B" w:rsidP="0047600B">
      <w:pPr>
        <w:pStyle w:val="ListParagraph"/>
        <w:numPr>
          <w:ilvl w:val="0"/>
          <w:numId w:val="12"/>
        </w:numPr>
        <w:spacing w:after="200" w:line="276" w:lineRule="auto"/>
        <w:ind w:left="1069"/>
        <w:rPr>
          <w:rFonts w:cs="Arial"/>
        </w:rPr>
      </w:pPr>
      <w:r w:rsidRPr="00B24416">
        <w:rPr>
          <w:rFonts w:cs="Arial"/>
        </w:rPr>
        <w:t xml:space="preserve">Change of communications service providers: Telstra, VoIP, </w:t>
      </w:r>
      <w:r>
        <w:rPr>
          <w:rFonts w:cs="Arial"/>
        </w:rPr>
        <w:t>etc</w:t>
      </w:r>
    </w:p>
    <w:p w14:paraId="335EC215" w14:textId="77777777" w:rsidR="0047600B" w:rsidRPr="00B24416" w:rsidRDefault="0047600B" w:rsidP="0047600B">
      <w:pPr>
        <w:pStyle w:val="ListParagraph"/>
        <w:numPr>
          <w:ilvl w:val="0"/>
          <w:numId w:val="12"/>
        </w:numPr>
        <w:spacing w:after="200" w:line="276" w:lineRule="auto"/>
        <w:ind w:left="1069"/>
        <w:rPr>
          <w:rFonts w:cs="Arial"/>
        </w:rPr>
      </w:pPr>
      <w:r>
        <w:rPr>
          <w:rFonts w:cs="Arial"/>
        </w:rPr>
        <w:t>Changes to laboratory b</w:t>
      </w:r>
      <w:r w:rsidRPr="00B24416">
        <w:rPr>
          <w:rFonts w:cs="Arial"/>
        </w:rPr>
        <w:t>usiness practices</w:t>
      </w:r>
      <w:r>
        <w:rPr>
          <w:rFonts w:cs="Arial"/>
        </w:rPr>
        <w:t>.</w:t>
      </w:r>
    </w:p>
    <w:p w14:paraId="55487A4B" w14:textId="77777777" w:rsidR="0047600B" w:rsidRDefault="0047600B" w:rsidP="002205B6">
      <w:pPr>
        <w:ind w:left="426"/>
        <w:rPr>
          <w:rFonts w:cs="Arial"/>
          <w:lang w:val="en-GB"/>
        </w:rPr>
      </w:pPr>
      <w:r>
        <w:rPr>
          <w:rFonts w:cs="Arial"/>
          <w:lang w:val="en-GB"/>
        </w:rPr>
        <w:t xml:space="preserve">Such changes may impact upon the technical feeds into the </w:t>
      </w:r>
      <w:proofErr w:type="spellStart"/>
      <w:r>
        <w:rPr>
          <w:rFonts w:cs="Arial"/>
          <w:lang w:val="en-GB"/>
        </w:rPr>
        <w:t>OrgTRx</w:t>
      </w:r>
      <w:proofErr w:type="spellEnd"/>
      <w:r>
        <w:rPr>
          <w:rFonts w:cs="Arial"/>
          <w:lang w:val="en-GB"/>
        </w:rPr>
        <w:t xml:space="preserve"> system or the data being sent, and therefore impact on the reliability of reports.  </w:t>
      </w:r>
    </w:p>
    <w:p w14:paraId="588860D8" w14:textId="77777777" w:rsidR="0047600B" w:rsidRDefault="0047600B" w:rsidP="0047600B">
      <w:pPr>
        <w:ind w:left="709"/>
        <w:rPr>
          <w:rFonts w:cs="Arial"/>
          <w:lang w:val="en-GB"/>
        </w:rPr>
      </w:pPr>
    </w:p>
    <w:p w14:paraId="02F810E5" w14:textId="4C9E4831" w:rsidR="00714B10" w:rsidRPr="00BF3D6D" w:rsidRDefault="0047600B" w:rsidP="002205B6">
      <w:pPr>
        <w:pStyle w:val="ListParagraph"/>
        <w:spacing w:after="200"/>
        <w:ind w:left="426"/>
        <w:rPr>
          <w:rFonts w:cs="Arial"/>
        </w:rPr>
      </w:pPr>
      <w:r>
        <w:rPr>
          <w:rFonts w:cs="Arial"/>
          <w:lang w:val="en-GB"/>
        </w:rPr>
        <w:t>It is essential that any site undertaking changes or upgrades to its systems promptly notify the Commission when such a change is planned. To facilitate smooth transition and avoid disruption to data transfer and access to reporting, the notification should be emailed to the Commission (</w:t>
      </w:r>
      <w:r w:rsidRPr="0047600B">
        <w:rPr>
          <w:rFonts w:cs="Arial"/>
          <w:color w:val="0070C0"/>
          <w:lang w:val="en-GB"/>
        </w:rPr>
        <w:t>AURA@safetyandquality.gov.au</w:t>
      </w:r>
      <w:r w:rsidRPr="00690114">
        <w:rPr>
          <w:rFonts w:cs="Arial"/>
          <w:lang w:val="en-GB"/>
        </w:rPr>
        <w:t>)</w:t>
      </w:r>
      <w:r>
        <w:rPr>
          <w:rFonts w:cs="Arial"/>
          <w:lang w:val="en-GB"/>
        </w:rPr>
        <w:t xml:space="preserve"> using the </w:t>
      </w:r>
      <w:hyperlink r:id="rId20" w:history="1">
        <w:r w:rsidR="00714B10" w:rsidRPr="000B4778">
          <w:rPr>
            <w:rStyle w:val="Hyperlink"/>
            <w:rFonts w:cs="Arial"/>
            <w:i/>
            <w:lang w:val="en-GB"/>
          </w:rPr>
          <w:t>Notification to Commission of Upgrade/Change to Site System(s) F</w:t>
        </w:r>
        <w:proofErr w:type="spellStart"/>
        <w:r w:rsidR="00714B10" w:rsidRPr="000B4778">
          <w:rPr>
            <w:rStyle w:val="Hyperlink"/>
            <w:rFonts w:cs="Arial"/>
            <w:i/>
          </w:rPr>
          <w:t>orm</w:t>
        </w:r>
        <w:proofErr w:type="spellEnd"/>
      </w:hyperlink>
      <w:r w:rsidR="0047486F" w:rsidRPr="00BF3D6D">
        <w:rPr>
          <w:rFonts w:cs="Arial"/>
        </w:rPr>
        <w:t>.</w:t>
      </w:r>
    </w:p>
    <w:p w14:paraId="01ACCD2E" w14:textId="77777777" w:rsidR="0047600B" w:rsidRDefault="0047600B" w:rsidP="002205B6">
      <w:pPr>
        <w:ind w:left="426"/>
        <w:rPr>
          <w:rFonts w:cs="Arial"/>
          <w:lang w:val="en-GB"/>
        </w:rPr>
      </w:pPr>
      <w:r>
        <w:rPr>
          <w:rFonts w:cs="Arial"/>
          <w:lang w:val="en-GB"/>
        </w:rPr>
        <w:t>On receiving the form, the Commission team will:</w:t>
      </w:r>
    </w:p>
    <w:p w14:paraId="5D4802BA" w14:textId="77777777" w:rsidR="0047600B" w:rsidRDefault="0047600B" w:rsidP="0047600B">
      <w:pPr>
        <w:pStyle w:val="ListParagraph"/>
        <w:numPr>
          <w:ilvl w:val="0"/>
          <w:numId w:val="11"/>
        </w:numPr>
        <w:spacing w:after="200" w:line="276" w:lineRule="auto"/>
        <w:ind w:left="1069"/>
        <w:rPr>
          <w:rFonts w:cs="Arial"/>
          <w:lang w:val="en-GB"/>
        </w:rPr>
      </w:pPr>
      <w:r>
        <w:rPr>
          <w:rFonts w:cs="Arial"/>
          <w:lang w:val="en-GB"/>
        </w:rPr>
        <w:t>Confirm detail on the form and discuss any questions arising out of any project plan provided by the site;</w:t>
      </w:r>
    </w:p>
    <w:p w14:paraId="2E9D8012" w14:textId="77777777" w:rsidR="0047600B" w:rsidRDefault="0047600B" w:rsidP="0047600B">
      <w:pPr>
        <w:pStyle w:val="ListParagraph"/>
        <w:numPr>
          <w:ilvl w:val="0"/>
          <w:numId w:val="11"/>
        </w:numPr>
        <w:spacing w:after="200" w:line="276" w:lineRule="auto"/>
        <w:ind w:left="1069"/>
        <w:rPr>
          <w:rFonts w:cs="Arial"/>
          <w:lang w:val="en-GB"/>
        </w:rPr>
      </w:pPr>
      <w:r>
        <w:rPr>
          <w:rFonts w:cs="Arial"/>
          <w:lang w:val="en-GB"/>
        </w:rPr>
        <w:t>Complete an assessment of the time, resource and potential cost impacts on the system, where relevant); and,</w:t>
      </w:r>
    </w:p>
    <w:p w14:paraId="6B46F0F4" w14:textId="77777777" w:rsidR="0047600B" w:rsidRDefault="0047600B" w:rsidP="0047600B">
      <w:pPr>
        <w:pStyle w:val="ListParagraph"/>
        <w:numPr>
          <w:ilvl w:val="0"/>
          <w:numId w:val="11"/>
        </w:numPr>
        <w:spacing w:after="200" w:line="276" w:lineRule="auto"/>
        <w:ind w:left="1069"/>
        <w:rPr>
          <w:rFonts w:cs="Arial"/>
          <w:lang w:val="en-GB"/>
        </w:rPr>
      </w:pPr>
      <w:r>
        <w:rPr>
          <w:rFonts w:cs="Arial"/>
          <w:lang w:val="en-GB"/>
        </w:rPr>
        <w:t xml:space="preserve">Plan the system work to accommodate the site changes and liaise with the site to ensure that the work between the sites and the </w:t>
      </w:r>
      <w:proofErr w:type="spellStart"/>
      <w:r>
        <w:rPr>
          <w:rFonts w:cs="Arial"/>
          <w:lang w:val="en-GB"/>
        </w:rPr>
        <w:t>OrgTRx</w:t>
      </w:r>
      <w:proofErr w:type="spellEnd"/>
      <w:r>
        <w:rPr>
          <w:rFonts w:cs="Arial"/>
          <w:lang w:val="en-GB"/>
        </w:rPr>
        <w:t xml:space="preserve"> team is coordinated.</w:t>
      </w:r>
    </w:p>
    <w:p w14:paraId="1B96A63F" w14:textId="77777777" w:rsidR="008C56CE" w:rsidRDefault="008C56CE" w:rsidP="002205B6">
      <w:pPr>
        <w:pStyle w:val="BodyText"/>
        <w:spacing w:before="120" w:line="240" w:lineRule="auto"/>
        <w:ind w:left="426" w:hanging="11"/>
        <w:rPr>
          <w:rFonts w:cs="Arial"/>
          <w:szCs w:val="22"/>
        </w:rPr>
      </w:pPr>
      <w:r w:rsidRPr="00247937">
        <w:rPr>
          <w:rFonts w:cs="Arial"/>
          <w:szCs w:val="22"/>
        </w:rPr>
        <w:t>A standing agenda item for the</w:t>
      </w:r>
      <w:r>
        <w:rPr>
          <w:rFonts w:cs="Arial"/>
          <w:szCs w:val="22"/>
        </w:rPr>
        <w:t xml:space="preserve"> APAS User Advisory Group </w:t>
      </w:r>
      <w:r w:rsidR="0047600B">
        <w:rPr>
          <w:rFonts w:cs="Arial"/>
          <w:szCs w:val="22"/>
        </w:rPr>
        <w:t xml:space="preserve">(UAG) </w:t>
      </w:r>
      <w:r>
        <w:rPr>
          <w:rFonts w:cs="Arial"/>
          <w:szCs w:val="22"/>
        </w:rPr>
        <w:t>also</w:t>
      </w:r>
      <w:r w:rsidRPr="00247937">
        <w:rPr>
          <w:rFonts w:cs="Arial"/>
          <w:szCs w:val="22"/>
        </w:rPr>
        <w:t xml:space="preserve"> provides a means by which sites can advise the Project Team of upcoming system changes.</w:t>
      </w:r>
      <w:r w:rsidR="0047600B">
        <w:rPr>
          <w:rFonts w:cs="Arial"/>
          <w:szCs w:val="22"/>
        </w:rPr>
        <w:t xml:space="preserve"> All participating laboratories are invited to participate in the UAG.</w:t>
      </w:r>
    </w:p>
    <w:p w14:paraId="7D747E0C" w14:textId="77777777" w:rsidR="008C56CE" w:rsidRPr="008C56CE" w:rsidRDefault="008C56CE" w:rsidP="00967791">
      <w:pPr>
        <w:pStyle w:val="BodyText"/>
        <w:numPr>
          <w:ilvl w:val="0"/>
          <w:numId w:val="6"/>
        </w:numPr>
        <w:spacing w:before="360" w:line="240" w:lineRule="auto"/>
        <w:ind w:left="425" w:hanging="425"/>
        <w:rPr>
          <w:rFonts w:cs="Arial"/>
          <w:b/>
          <w:color w:val="000000" w:themeColor="text1"/>
          <w:szCs w:val="22"/>
        </w:rPr>
      </w:pPr>
      <w:r w:rsidRPr="008C56CE">
        <w:rPr>
          <w:rFonts w:cs="Arial"/>
          <w:b/>
          <w:color w:val="000000" w:themeColor="text1"/>
          <w:szCs w:val="22"/>
        </w:rPr>
        <w:t>How do I request changes and/or improvements to the OrgTRx system?</w:t>
      </w:r>
    </w:p>
    <w:p w14:paraId="79149747" w14:textId="7C7AFA5C" w:rsidR="0047600B" w:rsidRPr="00A04013" w:rsidRDefault="0047600B" w:rsidP="002205B6">
      <w:pPr>
        <w:ind w:left="426"/>
        <w:rPr>
          <w:rFonts w:cs="Arial"/>
          <w:lang w:val="en-GB"/>
        </w:rPr>
      </w:pPr>
      <w:r>
        <w:rPr>
          <w:rFonts w:cs="Arial"/>
          <w:lang w:val="en-GB"/>
        </w:rPr>
        <w:t xml:space="preserve">When a site identifies an enhancement to the functionality of </w:t>
      </w:r>
      <w:proofErr w:type="spellStart"/>
      <w:r>
        <w:rPr>
          <w:rFonts w:cs="Arial"/>
          <w:lang w:val="en-GB"/>
        </w:rPr>
        <w:t>OrgTRx</w:t>
      </w:r>
      <w:proofErr w:type="spellEnd"/>
      <w:r>
        <w:rPr>
          <w:rFonts w:cs="Arial"/>
          <w:lang w:val="en-GB"/>
        </w:rPr>
        <w:t xml:space="preserve"> is required, they should first contact the Commission </w:t>
      </w:r>
      <w:r w:rsidR="00714B10">
        <w:rPr>
          <w:rFonts w:cs="Arial"/>
          <w:lang w:val="en-GB"/>
        </w:rPr>
        <w:t>APAS</w:t>
      </w:r>
      <w:r>
        <w:rPr>
          <w:rFonts w:cs="Arial"/>
          <w:lang w:val="en-GB"/>
        </w:rPr>
        <w:t xml:space="preserve"> team </w:t>
      </w:r>
      <w:r w:rsidRPr="0047600B">
        <w:rPr>
          <w:rFonts w:cs="Arial"/>
          <w:b/>
          <w:color w:val="0070C0"/>
          <w:lang w:val="en-GB"/>
        </w:rPr>
        <w:t>(</w:t>
      </w:r>
      <w:r w:rsidRPr="0047600B">
        <w:rPr>
          <w:rFonts w:cs="Arial"/>
          <w:color w:val="0070C0"/>
          <w:lang w:val="en-GB"/>
        </w:rPr>
        <w:t>AURA@safetyandquality.gov.au</w:t>
      </w:r>
      <w:r w:rsidRPr="00440BE0">
        <w:rPr>
          <w:rFonts w:cs="Arial"/>
          <w:lang w:val="en-GB"/>
        </w:rPr>
        <w:t>)</w:t>
      </w:r>
      <w:r>
        <w:rPr>
          <w:rFonts w:cs="Arial"/>
          <w:lang w:val="en-GB"/>
        </w:rPr>
        <w:t xml:space="preserve"> – the Commission will liaise with the </w:t>
      </w:r>
      <w:proofErr w:type="spellStart"/>
      <w:r>
        <w:rPr>
          <w:rFonts w:cs="Arial"/>
          <w:lang w:val="en-GB"/>
        </w:rPr>
        <w:t>OrgTRx</w:t>
      </w:r>
      <w:proofErr w:type="spellEnd"/>
      <w:r>
        <w:rPr>
          <w:rFonts w:cs="Arial"/>
          <w:lang w:val="en-GB"/>
        </w:rPr>
        <w:t xml:space="preserve"> </w:t>
      </w:r>
      <w:r w:rsidR="00677DEA">
        <w:rPr>
          <w:rFonts w:cs="Arial"/>
          <w:lang w:val="en-GB"/>
        </w:rPr>
        <w:t>Team</w:t>
      </w:r>
      <w:r>
        <w:rPr>
          <w:rFonts w:cs="Arial"/>
          <w:lang w:val="en-GB"/>
        </w:rPr>
        <w:t xml:space="preserve"> to advise if the functionality already exists and how to utilise these attributes. Additional training may be required to ensure awareness of, and familiarity with all the capabilities of the system.  </w:t>
      </w:r>
    </w:p>
    <w:p w14:paraId="25FC87FD" w14:textId="77777777" w:rsidR="0047600B" w:rsidRDefault="0047600B" w:rsidP="0047600B">
      <w:pPr>
        <w:rPr>
          <w:rFonts w:cs="Arial"/>
          <w:lang w:val="en-GB"/>
        </w:rPr>
      </w:pPr>
      <w:r>
        <w:rPr>
          <w:rFonts w:cs="Arial"/>
          <w:lang w:val="en-GB"/>
        </w:rPr>
        <w:tab/>
      </w:r>
      <w:r>
        <w:rPr>
          <w:rFonts w:cs="Arial"/>
          <w:lang w:val="en-GB"/>
        </w:rPr>
        <w:tab/>
      </w:r>
    </w:p>
    <w:p w14:paraId="63F9BEDD" w14:textId="6F8F4575" w:rsidR="0047600B" w:rsidRDefault="0047600B" w:rsidP="002205B6">
      <w:pPr>
        <w:ind w:left="426"/>
        <w:rPr>
          <w:rFonts w:cs="Arial"/>
          <w:color w:val="548DD4" w:themeColor="text2" w:themeTint="99"/>
          <w:lang w:val="en-GB"/>
        </w:rPr>
      </w:pPr>
      <w:r>
        <w:rPr>
          <w:rFonts w:cs="Arial"/>
          <w:lang w:val="en-GB"/>
        </w:rPr>
        <w:t xml:space="preserve">If the functionality does not currently exist, </w:t>
      </w:r>
      <w:r w:rsidR="002205B6">
        <w:rPr>
          <w:rFonts w:cs="Arial"/>
          <w:lang w:val="en-GB"/>
        </w:rPr>
        <w:t>t</w:t>
      </w:r>
      <w:r w:rsidRPr="0044343A">
        <w:rPr>
          <w:rFonts w:cs="Arial"/>
          <w:lang w:val="en-GB"/>
        </w:rPr>
        <w:t xml:space="preserve">he site should complete the </w:t>
      </w:r>
      <w:hyperlink r:id="rId21" w:history="1">
        <w:proofErr w:type="spellStart"/>
        <w:r w:rsidR="00BF3D6D" w:rsidRPr="000B4778">
          <w:rPr>
            <w:rStyle w:val="Hyperlink"/>
            <w:rFonts w:cs="Arial"/>
            <w:i/>
            <w:lang w:val="en-GB"/>
          </w:rPr>
          <w:t>OrgTrx</w:t>
        </w:r>
        <w:proofErr w:type="spellEnd"/>
        <w:r w:rsidR="00BF3D6D" w:rsidRPr="000B4778">
          <w:rPr>
            <w:rStyle w:val="Hyperlink"/>
            <w:rFonts w:cs="Arial"/>
            <w:i/>
            <w:lang w:val="en-GB"/>
          </w:rPr>
          <w:t xml:space="preserve"> </w:t>
        </w:r>
        <w:r w:rsidRPr="000B4778">
          <w:rPr>
            <w:rStyle w:val="Hyperlink"/>
            <w:rFonts w:cs="Arial"/>
            <w:i/>
            <w:lang w:val="en-GB"/>
          </w:rPr>
          <w:t xml:space="preserve">Proposed Enhancement </w:t>
        </w:r>
        <w:r w:rsidR="00BF3D6D" w:rsidRPr="000B4778">
          <w:rPr>
            <w:rStyle w:val="Hyperlink"/>
            <w:rFonts w:cs="Arial"/>
            <w:i/>
            <w:lang w:val="en-GB"/>
          </w:rPr>
          <w:t xml:space="preserve">Request </w:t>
        </w:r>
        <w:r w:rsidRPr="000B4778">
          <w:rPr>
            <w:rStyle w:val="Hyperlink"/>
            <w:rFonts w:cs="Arial"/>
            <w:i/>
            <w:lang w:val="en-GB"/>
          </w:rPr>
          <w:t>Form</w:t>
        </w:r>
      </w:hyperlink>
      <w:r w:rsidR="0047486F" w:rsidRPr="00BF3D6D">
        <w:rPr>
          <w:rFonts w:cs="Arial"/>
          <w:lang w:val="en-GB"/>
        </w:rPr>
        <w:t>.</w:t>
      </w:r>
      <w:r w:rsidRPr="0047486F">
        <w:rPr>
          <w:rFonts w:cs="Arial"/>
          <w:color w:val="548DD4" w:themeColor="text2" w:themeTint="99"/>
          <w:lang w:val="en-GB"/>
        </w:rPr>
        <w:t xml:space="preserve"> </w:t>
      </w:r>
    </w:p>
    <w:p w14:paraId="7F1C08D6" w14:textId="77777777" w:rsidR="002205B6" w:rsidRPr="0044343A" w:rsidRDefault="002205B6" w:rsidP="002205B6">
      <w:pPr>
        <w:ind w:left="426"/>
        <w:rPr>
          <w:rFonts w:cs="Arial"/>
          <w:lang w:val="en-GB"/>
        </w:rPr>
      </w:pPr>
    </w:p>
    <w:p w14:paraId="718BF0CD" w14:textId="77777777" w:rsidR="0047600B" w:rsidRDefault="0047600B" w:rsidP="002205B6">
      <w:pPr>
        <w:ind w:left="426"/>
        <w:rPr>
          <w:rFonts w:cs="Arial"/>
          <w:lang w:val="en-GB"/>
        </w:rPr>
      </w:pPr>
      <w:r>
        <w:rPr>
          <w:rFonts w:cs="Arial"/>
          <w:lang w:val="en-GB"/>
        </w:rPr>
        <w:t>In completing the Proposed Enhancement Form, the site is asked to provide:</w:t>
      </w:r>
    </w:p>
    <w:p w14:paraId="20A1DA71" w14:textId="77777777" w:rsidR="0047600B" w:rsidRDefault="0047600B" w:rsidP="002205B6">
      <w:pPr>
        <w:pStyle w:val="ListParagraph"/>
        <w:numPr>
          <w:ilvl w:val="0"/>
          <w:numId w:val="9"/>
        </w:numPr>
        <w:spacing w:after="200" w:line="276" w:lineRule="auto"/>
        <w:ind w:left="1080"/>
        <w:rPr>
          <w:rFonts w:cs="Arial"/>
          <w:lang w:val="en-GB"/>
        </w:rPr>
      </w:pPr>
      <w:r>
        <w:rPr>
          <w:rFonts w:cs="Arial"/>
          <w:lang w:val="en-GB"/>
        </w:rPr>
        <w:t>The contact details of the senior person to respond on-site and best placed to influence the im</w:t>
      </w:r>
      <w:r w:rsidR="002205B6">
        <w:rPr>
          <w:rFonts w:cs="Arial"/>
          <w:lang w:val="en-GB"/>
        </w:rPr>
        <w:t>plementation of the enhancement</w:t>
      </w:r>
    </w:p>
    <w:p w14:paraId="7C45DF2A" w14:textId="77777777" w:rsidR="002205B6" w:rsidRPr="00967791" w:rsidRDefault="0047600B" w:rsidP="002205B6">
      <w:pPr>
        <w:pStyle w:val="ListParagraph"/>
        <w:numPr>
          <w:ilvl w:val="0"/>
          <w:numId w:val="9"/>
        </w:numPr>
        <w:spacing w:after="200" w:line="276" w:lineRule="auto"/>
        <w:ind w:left="1080"/>
        <w:rPr>
          <w:rFonts w:cs="Arial"/>
          <w:lang w:val="en-GB"/>
        </w:rPr>
      </w:pPr>
      <w:r w:rsidRPr="00967791">
        <w:rPr>
          <w:rFonts w:cs="Arial"/>
          <w:lang w:val="en-GB"/>
        </w:rPr>
        <w:t>A full description of the proposed enhancement (attach supporting information). For example this might be:</w:t>
      </w:r>
    </w:p>
    <w:p w14:paraId="1F8F3E5A" w14:textId="77777777" w:rsidR="002205B6" w:rsidRDefault="0047600B" w:rsidP="002205B6">
      <w:pPr>
        <w:pStyle w:val="ListParagraph"/>
        <w:numPr>
          <w:ilvl w:val="1"/>
          <w:numId w:val="9"/>
        </w:numPr>
        <w:spacing w:after="200" w:line="276" w:lineRule="auto"/>
        <w:ind w:left="1494"/>
        <w:rPr>
          <w:rFonts w:cs="Arial"/>
          <w:lang w:val="en-GB"/>
        </w:rPr>
      </w:pPr>
      <w:r w:rsidRPr="002205B6">
        <w:rPr>
          <w:rFonts w:cs="Arial"/>
          <w:lang w:val="en-GB"/>
        </w:rPr>
        <w:t xml:space="preserve">new data fields (which should be named) </w:t>
      </w:r>
    </w:p>
    <w:p w14:paraId="5557D258" w14:textId="77777777" w:rsidR="002205B6" w:rsidRPr="002205B6" w:rsidRDefault="0047600B" w:rsidP="002205B6">
      <w:pPr>
        <w:pStyle w:val="ListParagraph"/>
        <w:numPr>
          <w:ilvl w:val="1"/>
          <w:numId w:val="9"/>
        </w:numPr>
        <w:spacing w:after="200" w:line="276" w:lineRule="auto"/>
        <w:ind w:left="1494"/>
        <w:rPr>
          <w:rFonts w:cs="Arial"/>
          <w:lang w:val="en-GB"/>
        </w:rPr>
      </w:pPr>
      <w:r w:rsidRPr="002205B6">
        <w:rPr>
          <w:rFonts w:cs="Arial"/>
          <w:lang w:val="en-GB"/>
        </w:rPr>
        <w:t>a new antibiogram</w:t>
      </w:r>
    </w:p>
    <w:p w14:paraId="252D5708" w14:textId="77777777" w:rsidR="0047600B" w:rsidRPr="002205B6" w:rsidRDefault="0047600B" w:rsidP="002205B6">
      <w:pPr>
        <w:pStyle w:val="ListParagraph"/>
        <w:numPr>
          <w:ilvl w:val="1"/>
          <w:numId w:val="9"/>
        </w:numPr>
        <w:spacing w:after="200" w:line="276" w:lineRule="auto"/>
        <w:ind w:left="1494"/>
        <w:rPr>
          <w:rFonts w:cs="Arial"/>
          <w:lang w:val="en-GB"/>
        </w:rPr>
      </w:pPr>
      <w:r w:rsidRPr="002205B6">
        <w:rPr>
          <w:rFonts w:cs="Arial"/>
          <w:lang w:val="en-GB"/>
        </w:rPr>
        <w:t>a proposed change for benchmarking antibiogram functionality i.e. the capability to compare VRE across other de-identified laboratory services or perhaps across facilities of a similar size</w:t>
      </w:r>
    </w:p>
    <w:p w14:paraId="5770984F" w14:textId="77777777" w:rsidR="00714B10" w:rsidRDefault="0047600B" w:rsidP="002205B6">
      <w:pPr>
        <w:pStyle w:val="ListParagraph"/>
        <w:numPr>
          <w:ilvl w:val="0"/>
          <w:numId w:val="9"/>
        </w:numPr>
        <w:spacing w:after="200"/>
        <w:ind w:left="1004" w:hanging="284"/>
        <w:rPr>
          <w:rFonts w:cs="Arial"/>
          <w:lang w:val="en-GB"/>
        </w:rPr>
      </w:pPr>
      <w:r w:rsidRPr="004824C7">
        <w:rPr>
          <w:rFonts w:cs="Arial"/>
          <w:lang w:val="en-GB"/>
        </w:rPr>
        <w:lastRenderedPageBreak/>
        <w:t xml:space="preserve">A description of the benefits </w:t>
      </w:r>
      <w:r>
        <w:rPr>
          <w:rFonts w:cs="Arial"/>
          <w:lang w:val="en-GB"/>
        </w:rPr>
        <w:t xml:space="preserve">to </w:t>
      </w:r>
      <w:r w:rsidRPr="004824C7">
        <w:rPr>
          <w:rFonts w:cs="Arial"/>
          <w:lang w:val="en-GB"/>
        </w:rPr>
        <w:t>be achieved by this enhancement</w:t>
      </w:r>
      <w:r w:rsidRPr="006B2A52">
        <w:rPr>
          <w:rFonts w:cs="Arial"/>
          <w:lang w:val="en-GB"/>
        </w:rPr>
        <w:t xml:space="preserve"> </w:t>
      </w:r>
      <w:r>
        <w:rPr>
          <w:rFonts w:cs="Arial"/>
          <w:lang w:val="en-GB"/>
        </w:rPr>
        <w:t xml:space="preserve">for the national system </w:t>
      </w:r>
      <w:r w:rsidRPr="004824C7">
        <w:rPr>
          <w:rFonts w:cs="Arial"/>
          <w:lang w:val="en-GB"/>
        </w:rPr>
        <w:t>and relate to the national AURA objectives</w:t>
      </w:r>
      <w:r>
        <w:rPr>
          <w:rFonts w:cs="Arial"/>
          <w:lang w:val="en-GB"/>
        </w:rPr>
        <w:t>, particularly indicating where the enhancement provides potential national benefit.</w:t>
      </w:r>
    </w:p>
    <w:p w14:paraId="158FF6B4" w14:textId="77777777" w:rsidR="008C56CE" w:rsidRPr="00714B10" w:rsidRDefault="008C56CE" w:rsidP="002205B6">
      <w:pPr>
        <w:tabs>
          <w:tab w:val="left" w:pos="426"/>
        </w:tabs>
        <w:spacing w:after="200"/>
        <w:ind w:left="426"/>
        <w:rPr>
          <w:rFonts w:cs="Arial"/>
          <w:lang w:val="en-GB"/>
        </w:rPr>
      </w:pPr>
      <w:r w:rsidRPr="00714B10">
        <w:rPr>
          <w:rFonts w:cs="Arial"/>
          <w:szCs w:val="22"/>
        </w:rPr>
        <w:t>Following receipt of a request</w:t>
      </w:r>
      <w:r w:rsidR="00714B10" w:rsidRPr="00714B10">
        <w:rPr>
          <w:rFonts w:cs="Arial"/>
          <w:szCs w:val="22"/>
        </w:rPr>
        <w:t>,</w:t>
      </w:r>
      <w:r w:rsidRPr="00714B10">
        <w:rPr>
          <w:rFonts w:cs="Arial"/>
          <w:szCs w:val="22"/>
        </w:rPr>
        <w:t xml:space="preserve"> an analysis is required to establish the necessary work to be undertaken each party to develop, incorporate and test any changes to ensure the continued successful operation of the system.</w:t>
      </w:r>
    </w:p>
    <w:p w14:paraId="4EF80F5D" w14:textId="77777777" w:rsidR="008C56CE" w:rsidRDefault="008C56CE" w:rsidP="002205B6">
      <w:pPr>
        <w:pStyle w:val="BodyText"/>
        <w:spacing w:before="120" w:line="240" w:lineRule="auto"/>
        <w:ind w:left="426"/>
        <w:rPr>
          <w:rFonts w:cs="Arial"/>
          <w:szCs w:val="22"/>
        </w:rPr>
      </w:pPr>
      <w:r w:rsidRPr="00247937">
        <w:rPr>
          <w:rFonts w:cs="Arial"/>
          <w:szCs w:val="22"/>
        </w:rPr>
        <w:t xml:space="preserve">A standing agenda item for the </w:t>
      </w:r>
      <w:r>
        <w:rPr>
          <w:rFonts w:cs="Arial"/>
          <w:szCs w:val="22"/>
        </w:rPr>
        <w:t xml:space="preserve">APAS </w:t>
      </w:r>
      <w:r w:rsidRPr="00247937">
        <w:rPr>
          <w:rFonts w:cs="Arial"/>
          <w:szCs w:val="22"/>
        </w:rPr>
        <w:t xml:space="preserve">UAG also provides a means by which sites can </w:t>
      </w:r>
      <w:r>
        <w:rPr>
          <w:rFonts w:cs="Arial"/>
          <w:szCs w:val="22"/>
        </w:rPr>
        <w:t>ask about the possibility of enhancements to the existing OrgTRx system</w:t>
      </w:r>
      <w:r w:rsidRPr="00247937">
        <w:rPr>
          <w:rFonts w:cs="Arial"/>
          <w:szCs w:val="22"/>
        </w:rPr>
        <w:t>.</w:t>
      </w:r>
    </w:p>
    <w:p w14:paraId="1D723090" w14:textId="77777777" w:rsidR="00B42AF9" w:rsidRPr="00AC16F2" w:rsidRDefault="00B42AF9" w:rsidP="00967791">
      <w:pPr>
        <w:pStyle w:val="BodyText"/>
        <w:numPr>
          <w:ilvl w:val="0"/>
          <w:numId w:val="6"/>
        </w:numPr>
        <w:spacing w:before="360" w:line="240" w:lineRule="auto"/>
        <w:ind w:left="425" w:hanging="425"/>
        <w:rPr>
          <w:rFonts w:cs="Arial"/>
          <w:b/>
          <w:color w:val="000000" w:themeColor="text1"/>
          <w:szCs w:val="22"/>
        </w:rPr>
      </w:pPr>
      <w:r w:rsidRPr="00AC16F2">
        <w:rPr>
          <w:rFonts w:cs="Arial"/>
          <w:b/>
          <w:color w:val="000000" w:themeColor="text1"/>
          <w:szCs w:val="22"/>
        </w:rPr>
        <w:t>How do I export data to Excel?</w:t>
      </w:r>
    </w:p>
    <w:p w14:paraId="40BDCC9E" w14:textId="67E845DF" w:rsidR="009E1CF7" w:rsidRDefault="000B6445" w:rsidP="002205B6">
      <w:pPr>
        <w:pStyle w:val="ListParagraph"/>
        <w:spacing w:after="200" w:line="276" w:lineRule="auto"/>
        <w:ind w:left="426"/>
        <w:rPr>
          <w:rFonts w:cs="Arial"/>
          <w:szCs w:val="22"/>
        </w:rPr>
      </w:pPr>
      <w:r w:rsidRPr="00BF3D6D">
        <w:rPr>
          <w:rFonts w:cs="Arial"/>
          <w:szCs w:val="22"/>
        </w:rPr>
        <w:t xml:space="preserve">The </w:t>
      </w:r>
      <w:hyperlink r:id="rId22" w:history="1">
        <w:proofErr w:type="spellStart"/>
        <w:r w:rsidRPr="000B4778">
          <w:rPr>
            <w:rStyle w:val="Hyperlink"/>
            <w:rFonts w:cs="Arial"/>
            <w:i/>
            <w:szCs w:val="22"/>
          </w:rPr>
          <w:t>OrgTRx</w:t>
        </w:r>
        <w:proofErr w:type="spellEnd"/>
        <w:r w:rsidRPr="000B4778">
          <w:rPr>
            <w:rStyle w:val="Hyperlink"/>
            <w:rFonts w:cs="Arial"/>
            <w:i/>
            <w:szCs w:val="22"/>
          </w:rPr>
          <w:t xml:space="preserve"> User Guide</w:t>
        </w:r>
      </w:hyperlink>
      <w:r w:rsidR="00B42AF9" w:rsidRPr="00BF3D6D">
        <w:rPr>
          <w:rFonts w:cs="Arial"/>
          <w:szCs w:val="22"/>
        </w:rPr>
        <w:t xml:space="preserve"> </w:t>
      </w:r>
      <w:r w:rsidR="00B42AF9" w:rsidRPr="00AC16F2">
        <w:rPr>
          <w:rFonts w:cs="Arial"/>
          <w:szCs w:val="22"/>
        </w:rPr>
        <w:t>provid</w:t>
      </w:r>
      <w:r>
        <w:rPr>
          <w:rFonts w:cs="Arial"/>
          <w:szCs w:val="22"/>
        </w:rPr>
        <w:t>es</w:t>
      </w:r>
      <w:r w:rsidR="00B42AF9" w:rsidRPr="00AC16F2">
        <w:rPr>
          <w:rFonts w:cs="Arial"/>
          <w:szCs w:val="22"/>
        </w:rPr>
        <w:t xml:space="preserve"> instructions for </w:t>
      </w:r>
      <w:r>
        <w:rPr>
          <w:rFonts w:cs="Arial"/>
          <w:szCs w:val="22"/>
        </w:rPr>
        <w:t>exporting in a variety of formats, including Excel</w:t>
      </w:r>
      <w:r w:rsidR="00E00953">
        <w:rPr>
          <w:rFonts w:cs="Arial"/>
          <w:szCs w:val="22"/>
        </w:rPr>
        <w:t xml:space="preserve"> and PDF</w:t>
      </w:r>
      <w:r>
        <w:rPr>
          <w:rFonts w:cs="Arial"/>
          <w:szCs w:val="22"/>
        </w:rPr>
        <w:t>.</w:t>
      </w:r>
    </w:p>
    <w:p w14:paraId="4C5FAE1A" w14:textId="77777777" w:rsidR="000B6445" w:rsidRDefault="000B6445" w:rsidP="00967791">
      <w:pPr>
        <w:pStyle w:val="BodyText"/>
        <w:numPr>
          <w:ilvl w:val="0"/>
          <w:numId w:val="6"/>
        </w:numPr>
        <w:spacing w:before="360" w:line="240" w:lineRule="auto"/>
        <w:ind w:left="425" w:hanging="425"/>
        <w:rPr>
          <w:rFonts w:cs="Arial"/>
          <w:b/>
          <w:color w:val="000000" w:themeColor="text1"/>
          <w:szCs w:val="22"/>
        </w:rPr>
      </w:pPr>
      <w:r>
        <w:rPr>
          <w:rFonts w:cs="Arial"/>
          <w:b/>
          <w:color w:val="000000" w:themeColor="text1"/>
          <w:szCs w:val="22"/>
        </w:rPr>
        <w:t>Are there standard reports available through OrgTRx?</w:t>
      </w:r>
    </w:p>
    <w:p w14:paraId="0DA6FA15" w14:textId="22E9C017" w:rsidR="000B6445" w:rsidRDefault="000B6445" w:rsidP="002205B6">
      <w:pPr>
        <w:ind w:left="426"/>
      </w:pPr>
      <w:r>
        <w:t>Within OrgT</w:t>
      </w:r>
      <w:r w:rsidR="00677DEA">
        <w:t>R</w:t>
      </w:r>
      <w:r>
        <w:t>x, t</w:t>
      </w:r>
      <w:r w:rsidRPr="000B6445">
        <w:t>here are pr</w:t>
      </w:r>
      <w:r>
        <w:t>e-</w:t>
      </w:r>
      <w:r w:rsidRPr="000B6445">
        <w:t>prepared standard views that are used as the starting point for users to interrogate their own data.</w:t>
      </w:r>
    </w:p>
    <w:p w14:paraId="59D4BAEA" w14:textId="77777777" w:rsidR="007C1481" w:rsidRDefault="007C1481" w:rsidP="002205B6">
      <w:pPr>
        <w:ind w:left="426"/>
      </w:pPr>
    </w:p>
    <w:p w14:paraId="51138131" w14:textId="77777777" w:rsidR="007C1481" w:rsidRPr="007C1481" w:rsidRDefault="007C1481" w:rsidP="007C1481">
      <w:pPr>
        <w:pStyle w:val="ListParagraph"/>
        <w:numPr>
          <w:ilvl w:val="0"/>
          <w:numId w:val="6"/>
        </w:numPr>
        <w:ind w:left="360"/>
        <w:rPr>
          <w:b/>
        </w:rPr>
      </w:pPr>
      <w:r w:rsidRPr="007C1481">
        <w:rPr>
          <w:b/>
        </w:rPr>
        <w:t xml:space="preserve">How </w:t>
      </w:r>
      <w:r>
        <w:rPr>
          <w:b/>
        </w:rPr>
        <w:t>are</w:t>
      </w:r>
      <w:r w:rsidRPr="007C1481">
        <w:rPr>
          <w:b/>
        </w:rPr>
        <w:t xml:space="preserve"> organisms mapped within OrgTRx?</w:t>
      </w:r>
    </w:p>
    <w:p w14:paraId="74501B00" w14:textId="77777777" w:rsidR="007C1481" w:rsidRDefault="007C1481" w:rsidP="007C1481"/>
    <w:p w14:paraId="4028C5E9" w14:textId="77777777" w:rsidR="007C1481" w:rsidRDefault="007C1481" w:rsidP="007C1481">
      <w:pPr>
        <w:ind w:left="426"/>
      </w:pPr>
      <w:r>
        <w:t xml:space="preserve">In OrgTRx, all previously encountered organisms are in a reference table and have an organism code. </w:t>
      </w:r>
    </w:p>
    <w:p w14:paraId="773D5FAC" w14:textId="77777777" w:rsidR="007C1481" w:rsidRDefault="007C1481" w:rsidP="007C1481"/>
    <w:p w14:paraId="088C3622" w14:textId="77777777" w:rsidR="007C1481" w:rsidRDefault="007C1481" w:rsidP="007C1481">
      <w:pPr>
        <w:tabs>
          <w:tab w:val="left" w:pos="426"/>
        </w:tabs>
        <w:ind w:left="426"/>
      </w:pPr>
      <w:r>
        <w:t>Below are examples of how organisms are categorised and allocated a code.</w:t>
      </w:r>
    </w:p>
    <w:p w14:paraId="06057884" w14:textId="77777777" w:rsidR="007C1481" w:rsidRDefault="007C1481" w:rsidP="007C1481">
      <w:pPr>
        <w:ind w:firstLine="36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466"/>
        <w:gridCol w:w="1503"/>
      </w:tblGrid>
      <w:tr w:rsidR="007C1481" w14:paraId="4FF8E519" w14:textId="77777777" w:rsidTr="007C1481">
        <w:tc>
          <w:tcPr>
            <w:tcW w:w="2693" w:type="dxa"/>
            <w:shd w:val="clear" w:color="auto" w:fill="auto"/>
          </w:tcPr>
          <w:p w14:paraId="1AED2258" w14:textId="77777777" w:rsidR="007C1481" w:rsidRPr="007600AE" w:rsidRDefault="007C1481" w:rsidP="006972C3">
            <w:pPr>
              <w:rPr>
                <w:b/>
              </w:rPr>
            </w:pPr>
            <w:r w:rsidRPr="007600AE">
              <w:rPr>
                <w:b/>
              </w:rPr>
              <w:t>Organism Type</w:t>
            </w:r>
          </w:p>
        </w:tc>
        <w:tc>
          <w:tcPr>
            <w:tcW w:w="2466" w:type="dxa"/>
            <w:shd w:val="clear" w:color="auto" w:fill="auto"/>
          </w:tcPr>
          <w:p w14:paraId="164B3AE6" w14:textId="77777777" w:rsidR="007C1481" w:rsidRPr="007600AE" w:rsidRDefault="007C1481" w:rsidP="006972C3">
            <w:pPr>
              <w:rPr>
                <w:b/>
              </w:rPr>
            </w:pPr>
            <w:r w:rsidRPr="007600AE">
              <w:rPr>
                <w:b/>
              </w:rPr>
              <w:t>Description</w:t>
            </w:r>
          </w:p>
        </w:tc>
        <w:tc>
          <w:tcPr>
            <w:tcW w:w="1503" w:type="dxa"/>
            <w:shd w:val="clear" w:color="auto" w:fill="auto"/>
          </w:tcPr>
          <w:p w14:paraId="5F1F547B" w14:textId="77777777" w:rsidR="007C1481" w:rsidRPr="007600AE" w:rsidRDefault="007C1481" w:rsidP="006972C3">
            <w:pPr>
              <w:rPr>
                <w:b/>
              </w:rPr>
            </w:pPr>
            <w:r w:rsidRPr="007600AE">
              <w:rPr>
                <w:b/>
              </w:rPr>
              <w:t>Code</w:t>
            </w:r>
          </w:p>
        </w:tc>
      </w:tr>
      <w:tr w:rsidR="007C1481" w14:paraId="66912320" w14:textId="77777777" w:rsidTr="007C1481">
        <w:tc>
          <w:tcPr>
            <w:tcW w:w="2693" w:type="dxa"/>
            <w:shd w:val="clear" w:color="auto" w:fill="auto"/>
          </w:tcPr>
          <w:p w14:paraId="1A79D7EF" w14:textId="77777777" w:rsidR="007C1481" w:rsidRDefault="007C1481" w:rsidP="006972C3">
            <w:r w:rsidRPr="00701D8E">
              <w:t>New genus</w:t>
            </w:r>
          </w:p>
        </w:tc>
        <w:tc>
          <w:tcPr>
            <w:tcW w:w="2466" w:type="dxa"/>
            <w:shd w:val="clear" w:color="auto" w:fill="auto"/>
          </w:tcPr>
          <w:p w14:paraId="4F5DBC39" w14:textId="77777777" w:rsidR="007C1481" w:rsidRDefault="007C1481" w:rsidP="006972C3">
            <w:proofErr w:type="spellStart"/>
            <w:r w:rsidRPr="00701D8E">
              <w:t>Genusname</w:t>
            </w:r>
            <w:proofErr w:type="spellEnd"/>
            <w:r w:rsidRPr="00701D8E">
              <w:t xml:space="preserve"> spp.</w:t>
            </w:r>
          </w:p>
        </w:tc>
        <w:tc>
          <w:tcPr>
            <w:tcW w:w="1503" w:type="dxa"/>
            <w:shd w:val="clear" w:color="auto" w:fill="auto"/>
          </w:tcPr>
          <w:p w14:paraId="5A0AACB9" w14:textId="77777777" w:rsidR="007C1481" w:rsidRDefault="007C1481" w:rsidP="006972C3">
            <w:r w:rsidRPr="00701D8E">
              <w:t>GENSPP</w:t>
            </w:r>
          </w:p>
        </w:tc>
      </w:tr>
      <w:tr w:rsidR="007C1481" w14:paraId="31B0E263" w14:textId="77777777" w:rsidTr="007C1481">
        <w:tc>
          <w:tcPr>
            <w:tcW w:w="2693" w:type="dxa"/>
            <w:shd w:val="clear" w:color="auto" w:fill="auto"/>
          </w:tcPr>
          <w:p w14:paraId="68FD6E5F" w14:textId="77777777" w:rsidR="007C1481" w:rsidRDefault="007C1481" w:rsidP="006972C3">
            <w:r>
              <w:t>Un-speciated members of that genus</w:t>
            </w:r>
          </w:p>
        </w:tc>
        <w:tc>
          <w:tcPr>
            <w:tcW w:w="2466" w:type="dxa"/>
            <w:shd w:val="clear" w:color="auto" w:fill="auto"/>
          </w:tcPr>
          <w:p w14:paraId="5D8013FE" w14:textId="77777777" w:rsidR="007C1481" w:rsidRDefault="007C1481" w:rsidP="006972C3">
            <w:proofErr w:type="spellStart"/>
            <w:r w:rsidRPr="00701D8E">
              <w:t>Genusname</w:t>
            </w:r>
            <w:proofErr w:type="spellEnd"/>
            <w:r w:rsidRPr="00701D8E">
              <w:t xml:space="preserve"> sp.</w:t>
            </w:r>
            <w:r w:rsidRPr="00701D8E">
              <w:tab/>
            </w:r>
          </w:p>
        </w:tc>
        <w:tc>
          <w:tcPr>
            <w:tcW w:w="1503" w:type="dxa"/>
            <w:shd w:val="clear" w:color="auto" w:fill="auto"/>
          </w:tcPr>
          <w:p w14:paraId="158BDD2E" w14:textId="77777777" w:rsidR="007C1481" w:rsidRDefault="007C1481" w:rsidP="006972C3">
            <w:pPr>
              <w:spacing w:after="120"/>
              <w:jc w:val="both"/>
            </w:pPr>
            <w:r w:rsidRPr="00701D8E">
              <w:t>GENSP</w:t>
            </w:r>
          </w:p>
        </w:tc>
      </w:tr>
      <w:tr w:rsidR="007C1481" w14:paraId="0463ECCB" w14:textId="77777777" w:rsidTr="007C1481">
        <w:tc>
          <w:tcPr>
            <w:tcW w:w="2693" w:type="dxa"/>
            <w:shd w:val="clear" w:color="auto" w:fill="auto"/>
          </w:tcPr>
          <w:p w14:paraId="69E9BE0A" w14:textId="77777777" w:rsidR="007C1481" w:rsidRDefault="007C1481" w:rsidP="006972C3">
            <w:r w:rsidRPr="00701D8E">
              <w:t>New organism</w:t>
            </w:r>
          </w:p>
        </w:tc>
        <w:tc>
          <w:tcPr>
            <w:tcW w:w="2466" w:type="dxa"/>
            <w:shd w:val="clear" w:color="auto" w:fill="auto"/>
          </w:tcPr>
          <w:p w14:paraId="472C69D0" w14:textId="77777777" w:rsidR="007C1481" w:rsidRDefault="007C1481" w:rsidP="006972C3">
            <w:r w:rsidRPr="00701D8E">
              <w:t xml:space="preserve">Genus </w:t>
            </w:r>
            <w:proofErr w:type="spellStart"/>
            <w:r w:rsidRPr="00701D8E">
              <w:t>newone</w:t>
            </w:r>
            <w:proofErr w:type="spellEnd"/>
          </w:p>
        </w:tc>
        <w:tc>
          <w:tcPr>
            <w:tcW w:w="1503" w:type="dxa"/>
            <w:shd w:val="clear" w:color="auto" w:fill="auto"/>
          </w:tcPr>
          <w:p w14:paraId="0DE424C9" w14:textId="77777777" w:rsidR="007C1481" w:rsidRDefault="007C1481" w:rsidP="006972C3">
            <w:r w:rsidRPr="00701D8E">
              <w:t>GENNEW</w:t>
            </w:r>
          </w:p>
        </w:tc>
      </w:tr>
    </w:tbl>
    <w:p w14:paraId="087FDCF3" w14:textId="77777777" w:rsidR="007C1481" w:rsidRPr="00701D8E" w:rsidRDefault="007C1481" w:rsidP="007C1481">
      <w:pPr>
        <w:spacing w:after="120"/>
        <w:ind w:left="720"/>
      </w:pPr>
      <w:r w:rsidRPr="00701D8E">
        <w:tab/>
      </w:r>
      <w:r w:rsidRPr="00701D8E">
        <w:tab/>
      </w:r>
      <w:r w:rsidRPr="00701D8E">
        <w:tab/>
      </w:r>
      <w:r w:rsidRPr="00701D8E">
        <w:tab/>
      </w:r>
      <w:r w:rsidRPr="00701D8E">
        <w:tab/>
      </w:r>
      <w:r w:rsidRPr="00701D8E">
        <w:tab/>
      </w:r>
    </w:p>
    <w:p w14:paraId="2C4C0868" w14:textId="77777777" w:rsidR="007C1481" w:rsidRDefault="007C1481" w:rsidP="007C1481">
      <w:pPr>
        <w:ind w:left="426"/>
      </w:pPr>
      <w:r>
        <w:t xml:space="preserve">If available, the organism code is usually the first three letters of the Genus followed by the first three letters of the species e.g. </w:t>
      </w:r>
      <w:r w:rsidRPr="007C1481">
        <w:rPr>
          <w:i/>
        </w:rPr>
        <w:t>Staphylococcus aureus</w:t>
      </w:r>
      <w:r>
        <w:t xml:space="preserve"> is STAAUR.</w:t>
      </w:r>
    </w:p>
    <w:p w14:paraId="7BEB451C" w14:textId="77777777" w:rsidR="007C1481" w:rsidRDefault="007C1481" w:rsidP="007C1481">
      <w:pPr>
        <w:rPr>
          <w:b/>
        </w:rPr>
      </w:pPr>
    </w:p>
    <w:p w14:paraId="0BC74061" w14:textId="77777777" w:rsidR="007C1481" w:rsidRPr="007C1481" w:rsidRDefault="007C1481" w:rsidP="007C1481">
      <w:pPr>
        <w:ind w:left="426"/>
        <w:rPr>
          <w:b/>
          <w:i/>
        </w:rPr>
      </w:pPr>
      <w:r w:rsidRPr="007C1481">
        <w:rPr>
          <w:b/>
          <w:i/>
        </w:rPr>
        <w:t>Process of mapping organisms</w:t>
      </w:r>
    </w:p>
    <w:p w14:paraId="75FD90CB" w14:textId="77777777" w:rsidR="007C1481" w:rsidRDefault="007C1481" w:rsidP="007C1481">
      <w:pPr>
        <w:ind w:left="426"/>
      </w:pPr>
      <w:r>
        <w:t>Mapping is an operation that associates each element of a given set (e.g. the OrgTRx Reference Table) with one or more elements of a second set (the unique code or codes from each Pathology Service)</w:t>
      </w:r>
    </w:p>
    <w:p w14:paraId="1BA8A77F" w14:textId="77777777" w:rsidR="007C1481" w:rsidRDefault="007C1481" w:rsidP="007C1481">
      <w:pPr>
        <w:ind w:left="426"/>
      </w:pPr>
    </w:p>
    <w:p w14:paraId="302E6E68" w14:textId="77777777" w:rsidR="007C1481" w:rsidRDefault="007C1481" w:rsidP="007C1481">
      <w:pPr>
        <w:ind w:left="426"/>
      </w:pPr>
      <w:r>
        <w:t>While the organism nomenclature is the same, each LIS has different codes for these organisms. It is these codes that are sent to OrgTRx. When a pathology service sends their susceptibility data to be included in OrgTRx there are a number of scenarios for the organism code:</w:t>
      </w:r>
    </w:p>
    <w:p w14:paraId="004E5943" w14:textId="77777777" w:rsidR="007C1481" w:rsidRDefault="007C1481" w:rsidP="007C1481">
      <w:pPr>
        <w:ind w:left="426"/>
      </w:pPr>
    </w:p>
    <w:p w14:paraId="58C30BC5" w14:textId="77777777" w:rsidR="007C1481" w:rsidRPr="007C1481" w:rsidRDefault="007C1481" w:rsidP="007C1481">
      <w:pPr>
        <w:pStyle w:val="ListParagraph"/>
        <w:numPr>
          <w:ilvl w:val="0"/>
          <w:numId w:val="21"/>
        </w:numPr>
        <w:spacing w:after="120"/>
        <w:rPr>
          <w:b/>
        </w:rPr>
      </w:pPr>
      <w:r w:rsidRPr="00E7217D">
        <w:t xml:space="preserve">If the organism code from the Pathology Service </w:t>
      </w:r>
      <w:r>
        <w:t xml:space="preserve">is new to OrgTRx, it may be necessary to contact the laboratory for the code’s description  </w:t>
      </w:r>
    </w:p>
    <w:p w14:paraId="4DA779C1" w14:textId="77777777" w:rsidR="007C1481" w:rsidRPr="007E007C" w:rsidRDefault="007C1481" w:rsidP="007C1481">
      <w:pPr>
        <w:pStyle w:val="ListParagraph"/>
        <w:numPr>
          <w:ilvl w:val="0"/>
          <w:numId w:val="21"/>
        </w:numPr>
        <w:spacing w:after="120"/>
      </w:pPr>
      <w:r>
        <w:t>If</w:t>
      </w:r>
      <w:r w:rsidRPr="00E7217D">
        <w:t xml:space="preserve"> the organism already exists in the </w:t>
      </w:r>
      <w:r>
        <w:t>OrgTRx o</w:t>
      </w:r>
      <w:r w:rsidRPr="00E7217D">
        <w:t xml:space="preserve">rganism reference table then the new code </w:t>
      </w:r>
      <w:r w:rsidRPr="007E007C">
        <w:t xml:space="preserve">from that pathology service is mapped to the existing OrgTRx organism code </w:t>
      </w:r>
    </w:p>
    <w:p w14:paraId="2CF6CCA3" w14:textId="77777777" w:rsidR="007C1481" w:rsidRPr="007C1481" w:rsidRDefault="007C1481" w:rsidP="007C1481">
      <w:pPr>
        <w:pStyle w:val="ListParagraph"/>
        <w:numPr>
          <w:ilvl w:val="0"/>
          <w:numId w:val="21"/>
        </w:numPr>
        <w:spacing w:after="120"/>
        <w:rPr>
          <w:rFonts w:cs="Arial"/>
        </w:rPr>
      </w:pPr>
      <w:r w:rsidRPr="007E007C">
        <w:lastRenderedPageBreak/>
        <w:t>When new codes are received the taxonomy/nomenclature is checked and it may be necessary to map that code to the new genus. For example</w:t>
      </w:r>
      <w:r>
        <w:t>,</w:t>
      </w:r>
      <w:r w:rsidRPr="007E007C">
        <w:t xml:space="preserve"> if a new code is received that has a laboratory description of ‘</w:t>
      </w:r>
      <w:proofErr w:type="spellStart"/>
      <w:r w:rsidRPr="007C1481">
        <w:rPr>
          <w:rFonts w:cs="Tahoma"/>
          <w:i/>
        </w:rPr>
        <w:t>Actinobacillus</w:t>
      </w:r>
      <w:proofErr w:type="spellEnd"/>
      <w:r w:rsidRPr="007C1481">
        <w:rPr>
          <w:rFonts w:cs="Tahoma"/>
          <w:i/>
        </w:rPr>
        <w:t xml:space="preserve"> </w:t>
      </w:r>
      <w:proofErr w:type="spellStart"/>
      <w:r w:rsidRPr="007C1481">
        <w:rPr>
          <w:rFonts w:cs="Tahoma"/>
          <w:i/>
        </w:rPr>
        <w:t>actinomycetemcomitans</w:t>
      </w:r>
      <w:proofErr w:type="spellEnd"/>
      <w:r w:rsidRPr="007C1481">
        <w:rPr>
          <w:rFonts w:cs="Tahoma"/>
        </w:rPr>
        <w:t>’ it will be mapped to ‘</w:t>
      </w:r>
      <w:proofErr w:type="spellStart"/>
      <w:r w:rsidRPr="007C1481">
        <w:rPr>
          <w:rFonts w:cs="Arial"/>
          <w:i/>
        </w:rPr>
        <w:t>Aggregatibacter</w:t>
      </w:r>
      <w:proofErr w:type="spellEnd"/>
      <w:r w:rsidRPr="007C1481">
        <w:rPr>
          <w:rFonts w:cs="Arial"/>
          <w:i/>
        </w:rPr>
        <w:t xml:space="preserve"> (</w:t>
      </w:r>
      <w:proofErr w:type="spellStart"/>
      <w:r w:rsidRPr="007C1481">
        <w:rPr>
          <w:rFonts w:cs="Arial"/>
          <w:i/>
        </w:rPr>
        <w:t>Actinobacillus</w:t>
      </w:r>
      <w:proofErr w:type="spellEnd"/>
      <w:r w:rsidRPr="007C1481">
        <w:rPr>
          <w:rFonts w:cs="Arial"/>
          <w:i/>
        </w:rPr>
        <w:t xml:space="preserve">) </w:t>
      </w:r>
      <w:proofErr w:type="spellStart"/>
      <w:r w:rsidRPr="007C1481">
        <w:rPr>
          <w:rFonts w:cs="Arial"/>
          <w:i/>
        </w:rPr>
        <w:t>actinomycetemcomitans</w:t>
      </w:r>
      <w:proofErr w:type="spellEnd"/>
      <w:r w:rsidRPr="007C1481">
        <w:rPr>
          <w:rFonts w:cs="Arial"/>
        </w:rPr>
        <w:t>’.  The old genus is in brackets.</w:t>
      </w:r>
    </w:p>
    <w:p w14:paraId="131555CB" w14:textId="77777777" w:rsidR="007C1481" w:rsidRPr="007E007C" w:rsidRDefault="007C1481" w:rsidP="007C1481">
      <w:pPr>
        <w:pStyle w:val="ListParagraph"/>
        <w:numPr>
          <w:ilvl w:val="0"/>
          <w:numId w:val="21"/>
        </w:numPr>
        <w:spacing w:after="120"/>
      </w:pPr>
      <w:r>
        <w:t>If an organism is sub-speciated in a specific laboratory service, but does not exist in the OrgTRx reference table, the laboratory would be contacted to check if it is acceptable to map this organism to the Genus and species group instead. If the sub-species are required, then it is possible to create a new organism in the OrgTRx reference table.</w:t>
      </w:r>
    </w:p>
    <w:sectPr w:rsidR="007C1481" w:rsidRPr="007E007C">
      <w:headerReference w:type="default" r:id="rId23"/>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FF4E1" w14:textId="77777777" w:rsidR="00222571" w:rsidRDefault="00222571" w:rsidP="00247937">
      <w:r>
        <w:separator/>
      </w:r>
    </w:p>
  </w:endnote>
  <w:endnote w:type="continuationSeparator" w:id="0">
    <w:p w14:paraId="6716F09A" w14:textId="77777777" w:rsidR="00222571" w:rsidRDefault="00222571" w:rsidP="0024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4BB9" w14:textId="77777777" w:rsidR="009E1CF7" w:rsidRPr="00CB1E55" w:rsidRDefault="003A0458" w:rsidP="00CB1E55">
    <w:pPr>
      <w:pStyle w:val="Footer"/>
    </w:pPr>
    <w:r>
      <w:t xml:space="preserve">APAS </w:t>
    </w:r>
    <w:r w:rsidR="00CB1E55">
      <w:t>FAQs</w:t>
    </w:r>
    <w:r w:rsidR="00CB1E55">
      <w:ptab w:relativeTo="margin" w:alignment="right" w:leader="none"/>
    </w:r>
    <w:r w:rsidR="00CB1E55" w:rsidRPr="00CB1E55">
      <w:fldChar w:fldCharType="begin"/>
    </w:r>
    <w:r w:rsidR="00CB1E55" w:rsidRPr="00CB1E55">
      <w:instrText xml:space="preserve"> PAGE   \* MERGEFORMAT </w:instrText>
    </w:r>
    <w:r w:rsidR="00CB1E55" w:rsidRPr="00CB1E55">
      <w:fldChar w:fldCharType="separate"/>
    </w:r>
    <w:r w:rsidR="00406BC0">
      <w:rPr>
        <w:noProof/>
      </w:rPr>
      <w:t>1</w:t>
    </w:r>
    <w:r w:rsidR="00CB1E55" w:rsidRPr="00CB1E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7C052" w14:textId="77777777" w:rsidR="00222571" w:rsidRDefault="00222571" w:rsidP="00247937">
      <w:r>
        <w:separator/>
      </w:r>
    </w:p>
  </w:footnote>
  <w:footnote w:type="continuationSeparator" w:id="0">
    <w:p w14:paraId="1CF9A855" w14:textId="77777777" w:rsidR="00222571" w:rsidRDefault="00222571" w:rsidP="0024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1983" w14:textId="77777777" w:rsidR="00247937" w:rsidRPr="00247937" w:rsidRDefault="00823BD3" w:rsidP="00823BD3">
    <w:pPr>
      <w:pStyle w:val="Header"/>
      <w:tabs>
        <w:tab w:val="right" w:pos="10206"/>
      </w:tabs>
    </w:pPr>
    <w:r>
      <w:rPr>
        <w:rFonts w:cs="Arial"/>
        <w:noProof/>
        <w:sz w:val="44"/>
        <w:szCs w:val="44"/>
      </w:rPr>
      <w:drawing>
        <wp:inline distT="0" distB="0" distL="0" distR="0" wp14:anchorId="1EB98541" wp14:editId="4E39D14D">
          <wp:extent cx="4634865" cy="654050"/>
          <wp:effectExtent l="0" t="0" r="0" b="0"/>
          <wp:docPr id="335" name="Picture 335" title="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4865" cy="65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CEC"/>
    <w:multiLevelType w:val="hybridMultilevel"/>
    <w:tmpl w:val="D04CB11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2" w15:restartNumberingAfterBreak="0">
    <w:nsid w:val="114F258E"/>
    <w:multiLevelType w:val="hybridMultilevel"/>
    <w:tmpl w:val="E0861F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0E5433"/>
    <w:multiLevelType w:val="hybridMultilevel"/>
    <w:tmpl w:val="D25489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24113A"/>
    <w:multiLevelType w:val="hybridMultilevel"/>
    <w:tmpl w:val="1B5E585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1A6044C"/>
    <w:multiLevelType w:val="hybridMultilevel"/>
    <w:tmpl w:val="1EA87F3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15:restartNumberingAfterBreak="0">
    <w:nsid w:val="2F8710A3"/>
    <w:multiLevelType w:val="hybridMultilevel"/>
    <w:tmpl w:val="EB747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50531A"/>
    <w:multiLevelType w:val="hybridMultilevel"/>
    <w:tmpl w:val="522AA4EA"/>
    <w:lvl w:ilvl="0" w:tplc="5E3A75B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766E8"/>
    <w:multiLevelType w:val="hybridMultilevel"/>
    <w:tmpl w:val="2940F79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4E32D0"/>
    <w:multiLevelType w:val="hybridMultilevel"/>
    <w:tmpl w:val="FD567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CD67CF"/>
    <w:multiLevelType w:val="hybridMultilevel"/>
    <w:tmpl w:val="39746A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BEB4670"/>
    <w:multiLevelType w:val="hybridMultilevel"/>
    <w:tmpl w:val="CFC44780"/>
    <w:lvl w:ilvl="0" w:tplc="0C09000F">
      <w:start w:val="1"/>
      <w:numFmt w:val="decimal"/>
      <w:lvlText w:val="%1."/>
      <w:lvlJc w:val="left"/>
      <w:pPr>
        <w:ind w:left="1569" w:hanging="360"/>
      </w:pPr>
    </w:lvl>
    <w:lvl w:ilvl="1" w:tplc="0C090019" w:tentative="1">
      <w:start w:val="1"/>
      <w:numFmt w:val="lowerLetter"/>
      <w:lvlText w:val="%2."/>
      <w:lvlJc w:val="left"/>
      <w:pPr>
        <w:ind w:left="2289" w:hanging="360"/>
      </w:pPr>
    </w:lvl>
    <w:lvl w:ilvl="2" w:tplc="0C09001B" w:tentative="1">
      <w:start w:val="1"/>
      <w:numFmt w:val="lowerRoman"/>
      <w:lvlText w:val="%3."/>
      <w:lvlJc w:val="right"/>
      <w:pPr>
        <w:ind w:left="3009" w:hanging="180"/>
      </w:pPr>
    </w:lvl>
    <w:lvl w:ilvl="3" w:tplc="0C09000F" w:tentative="1">
      <w:start w:val="1"/>
      <w:numFmt w:val="decimal"/>
      <w:lvlText w:val="%4."/>
      <w:lvlJc w:val="left"/>
      <w:pPr>
        <w:ind w:left="3729" w:hanging="360"/>
      </w:pPr>
    </w:lvl>
    <w:lvl w:ilvl="4" w:tplc="0C090019" w:tentative="1">
      <w:start w:val="1"/>
      <w:numFmt w:val="lowerLetter"/>
      <w:lvlText w:val="%5."/>
      <w:lvlJc w:val="left"/>
      <w:pPr>
        <w:ind w:left="4449" w:hanging="360"/>
      </w:pPr>
    </w:lvl>
    <w:lvl w:ilvl="5" w:tplc="0C09001B" w:tentative="1">
      <w:start w:val="1"/>
      <w:numFmt w:val="lowerRoman"/>
      <w:lvlText w:val="%6."/>
      <w:lvlJc w:val="right"/>
      <w:pPr>
        <w:ind w:left="5169" w:hanging="180"/>
      </w:pPr>
    </w:lvl>
    <w:lvl w:ilvl="6" w:tplc="0C09000F" w:tentative="1">
      <w:start w:val="1"/>
      <w:numFmt w:val="decimal"/>
      <w:lvlText w:val="%7."/>
      <w:lvlJc w:val="left"/>
      <w:pPr>
        <w:ind w:left="5889" w:hanging="360"/>
      </w:pPr>
    </w:lvl>
    <w:lvl w:ilvl="7" w:tplc="0C090019" w:tentative="1">
      <w:start w:val="1"/>
      <w:numFmt w:val="lowerLetter"/>
      <w:lvlText w:val="%8."/>
      <w:lvlJc w:val="left"/>
      <w:pPr>
        <w:ind w:left="6609" w:hanging="360"/>
      </w:pPr>
    </w:lvl>
    <w:lvl w:ilvl="8" w:tplc="0C09001B" w:tentative="1">
      <w:start w:val="1"/>
      <w:numFmt w:val="lowerRoman"/>
      <w:lvlText w:val="%9."/>
      <w:lvlJc w:val="right"/>
      <w:pPr>
        <w:ind w:left="7329" w:hanging="180"/>
      </w:pPr>
    </w:lvl>
  </w:abstractNum>
  <w:abstractNum w:abstractNumId="12" w15:restartNumberingAfterBreak="0">
    <w:nsid w:val="511A196F"/>
    <w:multiLevelType w:val="hybridMultilevel"/>
    <w:tmpl w:val="DF88F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C60E97"/>
    <w:multiLevelType w:val="multilevel"/>
    <w:tmpl w:val="2892C6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993"/>
        </w:tabs>
        <w:ind w:left="993" w:hanging="851"/>
      </w:pPr>
      <w:rPr>
        <w:rFonts w:hint="default"/>
        <w:i w:val="0"/>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6986032C"/>
    <w:multiLevelType w:val="hybridMultilevel"/>
    <w:tmpl w:val="DA1034D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6E8F265D"/>
    <w:multiLevelType w:val="hybridMultilevel"/>
    <w:tmpl w:val="C9821B8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75567E"/>
    <w:multiLevelType w:val="hybridMultilevel"/>
    <w:tmpl w:val="9244B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7B48E3"/>
    <w:multiLevelType w:val="hybridMultilevel"/>
    <w:tmpl w:val="F67CA33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1"/>
  </w:num>
  <w:num w:numId="2">
    <w:abstractNumId w:val="13"/>
  </w:num>
  <w:num w:numId="3">
    <w:abstractNumId w:val="11"/>
  </w:num>
  <w:num w:numId="4">
    <w:abstractNumId w:val="0"/>
  </w:num>
  <w:num w:numId="5">
    <w:abstractNumId w:val="3"/>
  </w:num>
  <w:num w:numId="6">
    <w:abstractNumId w:val="7"/>
  </w:num>
  <w:num w:numId="7">
    <w:abstractNumId w:val="15"/>
  </w:num>
  <w:num w:numId="8">
    <w:abstractNumId w:val="12"/>
  </w:num>
  <w:num w:numId="9">
    <w:abstractNumId w:val="6"/>
  </w:num>
  <w:num w:numId="10">
    <w:abstractNumId w:val="2"/>
  </w:num>
  <w:num w:numId="11">
    <w:abstractNumId w:val="5"/>
  </w:num>
  <w:num w:numId="12">
    <w:abstractNumId w:val="17"/>
  </w:num>
  <w:num w:numId="13">
    <w:abstractNumId w:val="8"/>
  </w:num>
  <w:num w:numId="14">
    <w:abstractNumId w:val="9"/>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E"/>
    <w:rsid w:val="00003743"/>
    <w:rsid w:val="00067456"/>
    <w:rsid w:val="00092664"/>
    <w:rsid w:val="000B4778"/>
    <w:rsid w:val="000B6445"/>
    <w:rsid w:val="001A3B40"/>
    <w:rsid w:val="001A4D6C"/>
    <w:rsid w:val="001B3443"/>
    <w:rsid w:val="002205B6"/>
    <w:rsid w:val="00222571"/>
    <w:rsid w:val="00247937"/>
    <w:rsid w:val="00267EC7"/>
    <w:rsid w:val="002D4D71"/>
    <w:rsid w:val="002F3AE3"/>
    <w:rsid w:val="0030786C"/>
    <w:rsid w:val="003A0458"/>
    <w:rsid w:val="003D17F9"/>
    <w:rsid w:val="00406BC0"/>
    <w:rsid w:val="00416BEF"/>
    <w:rsid w:val="0047486F"/>
    <w:rsid w:val="0047600B"/>
    <w:rsid w:val="004867E2"/>
    <w:rsid w:val="004A09AD"/>
    <w:rsid w:val="0058666C"/>
    <w:rsid w:val="00626C91"/>
    <w:rsid w:val="006270A3"/>
    <w:rsid w:val="00642BD2"/>
    <w:rsid w:val="00677DEA"/>
    <w:rsid w:val="00696B93"/>
    <w:rsid w:val="006E3E99"/>
    <w:rsid w:val="00714B10"/>
    <w:rsid w:val="007C1481"/>
    <w:rsid w:val="007C6D03"/>
    <w:rsid w:val="00823BD3"/>
    <w:rsid w:val="008264EB"/>
    <w:rsid w:val="008A04C3"/>
    <w:rsid w:val="008A1F4A"/>
    <w:rsid w:val="008C56CE"/>
    <w:rsid w:val="008D34C6"/>
    <w:rsid w:val="00904823"/>
    <w:rsid w:val="00954668"/>
    <w:rsid w:val="00967791"/>
    <w:rsid w:val="009E1CF7"/>
    <w:rsid w:val="00A17960"/>
    <w:rsid w:val="00A33D29"/>
    <w:rsid w:val="00A4512D"/>
    <w:rsid w:val="00A705AF"/>
    <w:rsid w:val="00AC16F2"/>
    <w:rsid w:val="00AF0212"/>
    <w:rsid w:val="00B42851"/>
    <w:rsid w:val="00B42AF9"/>
    <w:rsid w:val="00B471CC"/>
    <w:rsid w:val="00BB261E"/>
    <w:rsid w:val="00BF3D6D"/>
    <w:rsid w:val="00CB1E55"/>
    <w:rsid w:val="00CB5B1A"/>
    <w:rsid w:val="00D53CC5"/>
    <w:rsid w:val="00D55C49"/>
    <w:rsid w:val="00E00953"/>
    <w:rsid w:val="00EE75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7E3BD"/>
  <w15:docId w15:val="{38DF98BA-6649-40EA-A814-1F4BED24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61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qFormat/>
    <w:rsid w:val="001A3B40"/>
    <w:pPr>
      <w:spacing w:before="360" w:after="120"/>
      <w:outlineLvl w:val="0"/>
    </w:pPr>
    <w:rPr>
      <w:rFonts w:eastAsia="Cambria" w:cs="Arial"/>
      <w:b/>
      <w:bCs/>
      <w:noProof/>
      <w:color w:val="FFFFFF"/>
      <w:sz w:val="56"/>
      <w:szCs w:val="56"/>
      <w:lang w:val="en-US" w:eastAsia="x-none"/>
    </w:rPr>
  </w:style>
  <w:style w:type="paragraph" w:styleId="Heading2">
    <w:name w:val="heading 2"/>
    <w:basedOn w:val="Normal"/>
    <w:next w:val="Normal"/>
    <w:link w:val="Heading2Char"/>
    <w:unhideWhenUsed/>
    <w:qFormat/>
    <w:rsid w:val="00A705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705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nhideWhenUsed/>
    <w:qFormat/>
    <w:rsid w:val="00A705A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nhideWhenUsed/>
    <w:qFormat/>
    <w:rsid w:val="00A705A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nhideWhenUsed/>
    <w:qFormat/>
    <w:rsid w:val="00A705A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BB261E"/>
    <w:pPr>
      <w:widowControl w:val="0"/>
      <w:ind w:left="851"/>
      <w:jc w:val="both"/>
      <w:outlineLvl w:val="6"/>
    </w:pPr>
    <w:rPr>
      <w:snapToGrid w:val="0"/>
      <w:kern w:val="28"/>
      <w:szCs w:val="22"/>
      <w:lang w:val="en-GB" w:eastAsia="en-US"/>
    </w:rPr>
  </w:style>
  <w:style w:type="paragraph" w:styleId="Heading8">
    <w:name w:val="heading 8"/>
    <w:basedOn w:val="Normal"/>
    <w:next w:val="Normal"/>
    <w:link w:val="Heading8Char"/>
    <w:qFormat/>
    <w:rsid w:val="00BB261E"/>
    <w:pPr>
      <w:widowControl w:val="0"/>
      <w:spacing w:before="240" w:after="60"/>
      <w:ind w:left="851"/>
      <w:jc w:val="both"/>
      <w:outlineLvl w:val="7"/>
    </w:pPr>
    <w:rPr>
      <w:snapToGrid w:val="0"/>
      <w:kern w:val="28"/>
      <w:szCs w:val="22"/>
      <w:lang w:val="en-GB" w:eastAsia="en-US"/>
    </w:rPr>
  </w:style>
  <w:style w:type="paragraph" w:styleId="Heading9">
    <w:name w:val="heading 9"/>
    <w:basedOn w:val="Normal"/>
    <w:next w:val="Normal"/>
    <w:link w:val="Heading9Char"/>
    <w:qFormat/>
    <w:rsid w:val="00BB261E"/>
    <w:pPr>
      <w:widowControl w:val="0"/>
      <w:spacing w:before="240" w:after="60"/>
      <w:ind w:left="851"/>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uiPriority w:val="11"/>
    <w:qFormat/>
    <w:rsid w:val="00A705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05A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A705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05A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4512D"/>
    <w:pPr>
      <w:spacing w:after="0" w:line="240" w:lineRule="auto"/>
    </w:p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smallCaps/>
      <w:color w:val="C0504D" w:themeColor="accent2"/>
      <w:spacing w:val="5"/>
      <w:u w:val="singl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1A3B40"/>
    <w:pPr>
      <w:ind w:left="720"/>
      <w:contextualSpacing/>
    </w:pPr>
  </w:style>
  <w:style w:type="character" w:customStyle="1" w:styleId="Heading1Char">
    <w:name w:val="Heading 1 Char"/>
    <w:basedOn w:val="DefaultParagraphFont"/>
    <w:link w:val="Heading1"/>
    <w:rsid w:val="001A3B40"/>
    <w:rPr>
      <w:rFonts w:ascii="Arial" w:eastAsia="Cambria" w:hAnsi="Arial" w:cs="Arial"/>
      <w:b/>
      <w:bCs/>
      <w:noProof/>
      <w:color w:val="FFFFFF"/>
      <w:sz w:val="56"/>
      <w:szCs w:val="56"/>
      <w:lang w:val="en-US" w:eastAsia="x-none"/>
    </w:rPr>
  </w:style>
  <w:style w:type="character" w:customStyle="1" w:styleId="Heading7Char">
    <w:name w:val="Heading 7 Char"/>
    <w:basedOn w:val="DefaultParagraphFont"/>
    <w:link w:val="Heading7"/>
    <w:rsid w:val="00BB261E"/>
    <w:rPr>
      <w:rFonts w:ascii="Arial" w:eastAsia="Times New Roman" w:hAnsi="Arial" w:cs="Times New Roman"/>
      <w:snapToGrid w:val="0"/>
      <w:kern w:val="28"/>
      <w:lang w:val="en-GB" w:eastAsia="en-US"/>
    </w:rPr>
  </w:style>
  <w:style w:type="character" w:customStyle="1" w:styleId="Heading8Char">
    <w:name w:val="Heading 8 Char"/>
    <w:basedOn w:val="DefaultParagraphFont"/>
    <w:link w:val="Heading8"/>
    <w:rsid w:val="00BB261E"/>
    <w:rPr>
      <w:rFonts w:ascii="Arial" w:eastAsia="Times New Roman" w:hAnsi="Arial" w:cs="Times New Roman"/>
      <w:snapToGrid w:val="0"/>
      <w:kern w:val="28"/>
      <w:lang w:val="en-GB" w:eastAsia="en-US"/>
    </w:rPr>
  </w:style>
  <w:style w:type="character" w:customStyle="1" w:styleId="Heading9Char">
    <w:name w:val="Heading 9 Char"/>
    <w:basedOn w:val="DefaultParagraphFont"/>
    <w:link w:val="Heading9"/>
    <w:rsid w:val="00BB261E"/>
    <w:rPr>
      <w:rFonts w:ascii="Arial" w:eastAsia="Times New Roman" w:hAnsi="Arial" w:cs="Times New Roman"/>
      <w:snapToGrid w:val="0"/>
      <w:kern w:val="28"/>
      <w:szCs w:val="18"/>
      <w:lang w:val="en-GB" w:eastAsia="en-US"/>
    </w:rPr>
  </w:style>
  <w:style w:type="paragraph" w:styleId="BodyText">
    <w:name w:val="Body Text"/>
    <w:aliases w:val="Body Text Char Char Char Char Char Char Char,Body Text Char Char Char Char Char Char Char Char Char Char Char Char Char Char Char Char Char Char"/>
    <w:link w:val="BodyTextChar"/>
    <w:rsid w:val="00BB261E"/>
    <w:pPr>
      <w:widowControl w:val="0"/>
      <w:spacing w:before="60" w:after="120" w:line="280" w:lineRule="atLeast"/>
    </w:pPr>
    <w:rPr>
      <w:rFonts w:ascii="Arial" w:eastAsia="Times New Roman" w:hAnsi="Arial" w:cs="Times New Roman"/>
      <w:szCs w:val="20"/>
    </w:rPr>
  </w:style>
  <w:style w:type="character" w:customStyle="1" w:styleId="BodyTextChar">
    <w:name w:val="Body Text Char"/>
    <w:aliases w:val="Body Text Char Char Char Char Char Char Char Char,Body Text Char Char Char Char Char Char Char Char Char Char Char Char Char Char Char Char Char Char Char"/>
    <w:basedOn w:val="DefaultParagraphFont"/>
    <w:link w:val="BodyText"/>
    <w:rsid w:val="00BB261E"/>
    <w:rPr>
      <w:rFonts w:ascii="Arial" w:eastAsia="Times New Roman" w:hAnsi="Arial" w:cs="Times New Roman"/>
      <w:szCs w:val="20"/>
    </w:rPr>
  </w:style>
  <w:style w:type="character" w:styleId="Hyperlink">
    <w:name w:val="Hyperlink"/>
    <w:uiPriority w:val="99"/>
    <w:rsid w:val="00BB261E"/>
    <w:rPr>
      <w:color w:val="0000FF"/>
      <w:u w:val="single"/>
    </w:rPr>
  </w:style>
  <w:style w:type="character" w:customStyle="1" w:styleId="Heading2Char">
    <w:name w:val="Heading 2 Char"/>
    <w:link w:val="Heading2"/>
    <w:rsid w:val="00BB261E"/>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rsid w:val="00BB261E"/>
    <w:rPr>
      <w:rFonts w:asciiTheme="majorHAnsi" w:eastAsiaTheme="majorEastAsia" w:hAnsiTheme="majorHAnsi" w:cstheme="majorBidi"/>
      <w:b/>
      <w:bCs/>
      <w:color w:val="4F81BD" w:themeColor="accent1"/>
    </w:rPr>
  </w:style>
  <w:style w:type="paragraph" w:styleId="BalloonText">
    <w:name w:val="Balloon Text"/>
    <w:basedOn w:val="Normal"/>
    <w:link w:val="BalloonTextChar"/>
    <w:rsid w:val="00BB261E"/>
    <w:rPr>
      <w:rFonts w:ascii="Tahoma" w:hAnsi="Tahoma" w:cs="Tahoma"/>
      <w:sz w:val="16"/>
      <w:szCs w:val="16"/>
    </w:rPr>
  </w:style>
  <w:style w:type="character" w:customStyle="1" w:styleId="BalloonTextChar">
    <w:name w:val="Balloon Text Char"/>
    <w:basedOn w:val="DefaultParagraphFont"/>
    <w:link w:val="BalloonText"/>
    <w:rsid w:val="00BB261E"/>
    <w:rPr>
      <w:rFonts w:ascii="Tahoma" w:eastAsia="Times New Roman" w:hAnsi="Tahoma" w:cs="Tahoma"/>
      <w:sz w:val="16"/>
      <w:szCs w:val="16"/>
    </w:rPr>
  </w:style>
  <w:style w:type="paragraph" w:styleId="PlainText">
    <w:name w:val="Plain Text"/>
    <w:basedOn w:val="Normal"/>
    <w:link w:val="PlainTextChar"/>
    <w:uiPriority w:val="99"/>
    <w:unhideWhenUsed/>
    <w:rsid w:val="00BB261E"/>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BB261E"/>
    <w:rPr>
      <w:rFonts w:ascii="Calibri" w:hAnsi="Calibri"/>
      <w:szCs w:val="21"/>
      <w:lang w:val="en-GB" w:eastAsia="en-US"/>
    </w:rPr>
  </w:style>
  <w:style w:type="paragraph" w:styleId="Header">
    <w:name w:val="header"/>
    <w:basedOn w:val="Normal"/>
    <w:link w:val="HeaderChar"/>
    <w:uiPriority w:val="99"/>
    <w:rsid w:val="00247937"/>
    <w:pPr>
      <w:tabs>
        <w:tab w:val="center" w:pos="4513"/>
        <w:tab w:val="right" w:pos="9026"/>
      </w:tabs>
    </w:pPr>
  </w:style>
  <w:style w:type="character" w:customStyle="1" w:styleId="HeaderChar">
    <w:name w:val="Header Char"/>
    <w:basedOn w:val="DefaultParagraphFont"/>
    <w:link w:val="Header"/>
    <w:uiPriority w:val="99"/>
    <w:rsid w:val="00247937"/>
    <w:rPr>
      <w:rFonts w:ascii="Arial" w:eastAsia="Times New Roman" w:hAnsi="Arial" w:cs="Times New Roman"/>
      <w:szCs w:val="20"/>
    </w:rPr>
  </w:style>
  <w:style w:type="paragraph" w:styleId="Footer">
    <w:name w:val="footer"/>
    <w:basedOn w:val="Normal"/>
    <w:link w:val="FooterChar"/>
    <w:uiPriority w:val="99"/>
    <w:rsid w:val="00247937"/>
    <w:pPr>
      <w:tabs>
        <w:tab w:val="center" w:pos="4513"/>
        <w:tab w:val="right" w:pos="9026"/>
      </w:tabs>
    </w:pPr>
  </w:style>
  <w:style w:type="character" w:customStyle="1" w:styleId="FooterChar">
    <w:name w:val="Footer Char"/>
    <w:basedOn w:val="DefaultParagraphFont"/>
    <w:link w:val="Footer"/>
    <w:uiPriority w:val="99"/>
    <w:rsid w:val="00247937"/>
    <w:rPr>
      <w:rFonts w:ascii="Arial" w:eastAsia="Times New Roman" w:hAnsi="Arial" w:cs="Times New Roman"/>
      <w:szCs w:val="20"/>
    </w:rPr>
  </w:style>
  <w:style w:type="character" w:styleId="CommentReference">
    <w:name w:val="annotation reference"/>
    <w:basedOn w:val="DefaultParagraphFont"/>
    <w:rsid w:val="00247937"/>
    <w:rPr>
      <w:sz w:val="16"/>
      <w:szCs w:val="16"/>
    </w:rPr>
  </w:style>
  <w:style w:type="paragraph" w:styleId="CommentText">
    <w:name w:val="annotation text"/>
    <w:basedOn w:val="Normal"/>
    <w:link w:val="CommentTextChar"/>
    <w:rsid w:val="00247937"/>
    <w:rPr>
      <w:sz w:val="20"/>
    </w:rPr>
  </w:style>
  <w:style w:type="character" w:customStyle="1" w:styleId="CommentTextChar">
    <w:name w:val="Comment Text Char"/>
    <w:basedOn w:val="DefaultParagraphFont"/>
    <w:link w:val="CommentText"/>
    <w:rsid w:val="00247937"/>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47937"/>
    <w:rPr>
      <w:b/>
      <w:bCs/>
    </w:rPr>
  </w:style>
  <w:style w:type="character" w:customStyle="1" w:styleId="CommentSubjectChar">
    <w:name w:val="Comment Subject Char"/>
    <w:basedOn w:val="CommentTextChar"/>
    <w:link w:val="CommentSubject"/>
    <w:rsid w:val="00247937"/>
    <w:rPr>
      <w:rFonts w:ascii="Arial" w:eastAsia="Times New Roman" w:hAnsi="Arial" w:cs="Times New Roman"/>
      <w:b/>
      <w:bCs/>
      <w:sz w:val="20"/>
      <w:szCs w:val="20"/>
    </w:rPr>
  </w:style>
  <w:style w:type="paragraph" w:customStyle="1" w:styleId="Default">
    <w:name w:val="Default"/>
    <w:rsid w:val="00B42AF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B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1634">
      <w:bodyDiv w:val="1"/>
      <w:marLeft w:val="0"/>
      <w:marRight w:val="0"/>
      <w:marTop w:val="0"/>
      <w:marBottom w:val="0"/>
      <w:divBdr>
        <w:top w:val="none" w:sz="0" w:space="0" w:color="auto"/>
        <w:left w:val="none" w:sz="0" w:space="0" w:color="auto"/>
        <w:bottom w:val="none" w:sz="0" w:space="0" w:color="auto"/>
        <w:right w:val="none" w:sz="0" w:space="0" w:color="auto"/>
      </w:divBdr>
    </w:div>
    <w:div w:id="701638482">
      <w:bodyDiv w:val="1"/>
      <w:marLeft w:val="0"/>
      <w:marRight w:val="0"/>
      <w:marTop w:val="0"/>
      <w:marBottom w:val="0"/>
      <w:divBdr>
        <w:top w:val="none" w:sz="0" w:space="0" w:color="auto"/>
        <w:left w:val="none" w:sz="0" w:space="0" w:color="auto"/>
        <w:bottom w:val="none" w:sz="0" w:space="0" w:color="auto"/>
        <w:right w:val="none" w:sz="0" w:space="0" w:color="auto"/>
      </w:divBdr>
    </w:div>
    <w:div w:id="20060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orgtrx-support@health.qld.gov.au"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afetyandquality.gov.au/sites/default/files/migrated/APAS-OrgTRx-Proposed-Enhancement-Request-form-Nov-2017.pdf" TargetMode="External"/><Relationship Id="rId7" Type="http://schemas.openxmlformats.org/officeDocument/2006/relationships/image" Target="media/image1.png"/><Relationship Id="rId12" Type="http://schemas.openxmlformats.org/officeDocument/2006/relationships/hyperlink" Target="mailto:orgtrx-support@health.qld.gov.au" TargetMode="External"/><Relationship Id="rId17" Type="http://schemas.openxmlformats.org/officeDocument/2006/relationships/hyperlink" Target="mailto:orgtrxsupport@health.qld.gov.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9.jpg@01D31841.920AAB70" TargetMode="External"/><Relationship Id="rId20" Type="http://schemas.openxmlformats.org/officeDocument/2006/relationships/hyperlink" Target="mailto:https://www.safetyandquality.gov.au/sites/default/files/migrated/APAS-Notification-to-Commission-of-Upgrade-Change-to-Site-Systems-Nov-201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gtrx-support@health.qld.gov.a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mailto:orgtrxsupport@health.qld.gov.au" TargetMode="External"/><Relationship Id="rId19" Type="http://schemas.openxmlformats.org/officeDocument/2006/relationships/image" Target="cid:image002.jpg@01D31841.920AAB70"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mailto:orgtrxsupport@health.qld.gov.au" TargetMode="External"/><Relationship Id="rId22" Type="http://schemas.openxmlformats.org/officeDocument/2006/relationships/hyperlink" Target="https://www.safetyandquality.gov.au/sites/default/files/2019-10/orgtrx_user_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9446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Dimity Herden</dc:creator>
  <cp:lastModifiedBy>MERTENS, Kate</cp:lastModifiedBy>
  <cp:revision>2</cp:revision>
  <dcterms:created xsi:type="dcterms:W3CDTF">2022-04-26T05:49:00Z</dcterms:created>
  <dcterms:modified xsi:type="dcterms:W3CDTF">2022-04-26T05:49:00Z</dcterms:modified>
</cp:coreProperties>
</file>