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9732B" w14:textId="62288802" w:rsidR="00AA7781" w:rsidRDefault="00953A07" w:rsidP="00622FFC">
      <w:pPr>
        <w:pStyle w:val="PublicationDate"/>
        <w:jc w:val="both"/>
      </w:pPr>
      <w:r>
        <w:rPr>
          <w:noProof/>
        </w:rPr>
        <w:drawing>
          <wp:anchor distT="0" distB="0" distL="114300" distR="114300" simplePos="0" relativeHeight="251664384" behindDoc="1" locked="0" layoutInCell="1" allowOverlap="1" wp14:anchorId="47F6A14C" wp14:editId="23BA7D5B">
            <wp:simplePos x="0" y="0"/>
            <wp:positionH relativeFrom="column">
              <wp:posOffset>-720090</wp:posOffset>
            </wp:positionH>
            <wp:positionV relativeFrom="paragraph">
              <wp:posOffset>-570821</wp:posOffset>
            </wp:positionV>
            <wp:extent cx="7535917" cy="8140323"/>
            <wp:effectExtent l="0" t="0" r="0" b="635"/>
            <wp:wrapNone/>
            <wp:docPr id="742719273" name="Picture 6" descr="A blue curved objec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19273" name="Picture 6" descr="A blue curved object on a white background&#10;&#10;Description automatically generated"/>
                    <pic:cNvPicPr/>
                  </pic:nvPicPr>
                  <pic:blipFill>
                    <a:blip r:embed="rId11"/>
                    <a:stretch>
                      <a:fillRect/>
                    </a:stretch>
                  </pic:blipFill>
                  <pic:spPr>
                    <a:xfrm>
                      <a:off x="0" y="0"/>
                      <a:ext cx="7535917" cy="8140323"/>
                    </a:xfrm>
                    <a:prstGeom prst="rect">
                      <a:avLst/>
                    </a:prstGeom>
                  </pic:spPr>
                </pic:pic>
              </a:graphicData>
            </a:graphic>
            <wp14:sizeRelH relativeFrom="page">
              <wp14:pctWidth>0</wp14:pctWidth>
            </wp14:sizeRelH>
            <wp14:sizeRelV relativeFrom="page">
              <wp14:pctHeight>0</wp14:pctHeight>
            </wp14:sizeRelV>
          </wp:anchor>
        </w:drawing>
      </w:r>
    </w:p>
    <w:p w14:paraId="5C792D70" w14:textId="77777777" w:rsidR="00953A07" w:rsidRDefault="00953A07" w:rsidP="00622FFC">
      <w:pPr>
        <w:pStyle w:val="PublicationDate"/>
        <w:jc w:val="both"/>
      </w:pPr>
    </w:p>
    <w:p w14:paraId="025658CD" w14:textId="77777777" w:rsidR="00953A07" w:rsidRDefault="00953A07" w:rsidP="00622FFC">
      <w:pPr>
        <w:pStyle w:val="PublicationDate"/>
        <w:jc w:val="both"/>
      </w:pPr>
    </w:p>
    <w:p w14:paraId="288533FD" w14:textId="77777777" w:rsidR="00953A07" w:rsidRDefault="00953A07" w:rsidP="00622FFC">
      <w:pPr>
        <w:pStyle w:val="PublicationDate"/>
        <w:jc w:val="both"/>
      </w:pPr>
    </w:p>
    <w:p w14:paraId="369AFE06" w14:textId="77777777" w:rsidR="00953A07" w:rsidRDefault="00953A07" w:rsidP="00622FFC">
      <w:pPr>
        <w:pStyle w:val="PublicationDate"/>
        <w:jc w:val="both"/>
      </w:pPr>
    </w:p>
    <w:p w14:paraId="454007F8" w14:textId="77777777" w:rsidR="00953A07" w:rsidRDefault="00953A07" w:rsidP="00622FFC">
      <w:pPr>
        <w:pStyle w:val="PublicationDate"/>
        <w:jc w:val="both"/>
      </w:pPr>
    </w:p>
    <w:p w14:paraId="4405121A" w14:textId="77777777" w:rsidR="00953A07" w:rsidRDefault="00953A07" w:rsidP="00622FFC">
      <w:pPr>
        <w:pStyle w:val="PublicationDate"/>
        <w:jc w:val="both"/>
      </w:pPr>
    </w:p>
    <w:p w14:paraId="0247B620" w14:textId="77777777" w:rsidR="00953A07" w:rsidRDefault="00953A07" w:rsidP="00622FFC">
      <w:pPr>
        <w:pStyle w:val="PublicationDate"/>
        <w:jc w:val="both"/>
      </w:pPr>
    </w:p>
    <w:p w14:paraId="0DD80CCC" w14:textId="77777777" w:rsidR="00953A07" w:rsidRDefault="00953A07" w:rsidP="00622FFC">
      <w:pPr>
        <w:pStyle w:val="PublicationDate"/>
        <w:jc w:val="both"/>
      </w:pPr>
    </w:p>
    <w:p w14:paraId="3A406189" w14:textId="77777777" w:rsidR="00953A07" w:rsidRDefault="00953A07" w:rsidP="00622FFC">
      <w:pPr>
        <w:pStyle w:val="PublicationDate"/>
        <w:jc w:val="both"/>
      </w:pPr>
    </w:p>
    <w:p w14:paraId="0BD10F7F" w14:textId="77777777" w:rsidR="00953A07" w:rsidRDefault="00953A07" w:rsidP="00622FFC">
      <w:pPr>
        <w:pStyle w:val="PublicationDate"/>
        <w:jc w:val="both"/>
      </w:pPr>
    </w:p>
    <w:p w14:paraId="56753C0C" w14:textId="6E4C36ED" w:rsidR="00622FFC" w:rsidRDefault="00AA7781" w:rsidP="00622FFC">
      <w:pPr>
        <w:pStyle w:val="PublicationDate"/>
        <w:jc w:val="both"/>
      </w:pPr>
      <w:r>
        <w:t>August</w:t>
      </w:r>
      <w:r w:rsidR="00622FFC">
        <w:t xml:space="preserve"> 2024 </w:t>
      </w:r>
    </w:p>
    <w:p w14:paraId="6A8D7DBC" w14:textId="77777777" w:rsidR="00622FFC" w:rsidRPr="006F6AC1" w:rsidRDefault="00622FFC" w:rsidP="00622FFC">
      <w:pPr>
        <w:pStyle w:val="Title"/>
      </w:pPr>
      <w:r w:rsidRPr="006F6AC1">
        <w:t>Australian Framework for National Clinical Quality Registries 2024</w:t>
      </w:r>
    </w:p>
    <w:p w14:paraId="511D8C48" w14:textId="77777777" w:rsidR="00622FFC" w:rsidRDefault="00622FFC" w:rsidP="00622FFC">
      <w:pPr>
        <w:pStyle w:val="Subtitle"/>
        <w:sectPr w:rsidR="00622FFC" w:rsidSect="00622FFC">
          <w:headerReference w:type="even" r:id="rId12"/>
          <w:headerReference w:type="default" r:id="rId13"/>
          <w:footerReference w:type="even" r:id="rId14"/>
          <w:pgSz w:w="11906" w:h="16838"/>
          <w:pgMar w:top="2475" w:right="1134" w:bottom="851" w:left="1134" w:header="709" w:footer="567" w:gutter="0"/>
          <w:cols w:space="708"/>
          <w:docGrid w:linePitch="360"/>
        </w:sectPr>
      </w:pPr>
      <w:r w:rsidRPr="006F6AC1">
        <w:t xml:space="preserve">Attachment 2: </w:t>
      </w:r>
      <w:r w:rsidRPr="00995C24">
        <w:t>Australian CQR</w:t>
      </w:r>
      <w:r>
        <w:t xml:space="preserve"> s</w:t>
      </w:r>
      <w:r w:rsidRPr="006F6AC1">
        <w:t xml:space="preserve">ecurity compliance guideline </w:t>
      </w:r>
    </w:p>
    <w:p w14:paraId="759B9113" w14:textId="77777777" w:rsidR="00622FFC" w:rsidRPr="000F6B39" w:rsidRDefault="00622FFC" w:rsidP="00622FFC">
      <w:pPr>
        <w:pStyle w:val="ImprintText"/>
      </w:pPr>
      <w:r w:rsidRPr="000F6B39">
        <w:lastRenderedPageBreak/>
        <w:t>Published by the Australian Commission on Safety and Quality in Health Care</w:t>
      </w:r>
    </w:p>
    <w:p w14:paraId="6C198DD2" w14:textId="77777777" w:rsidR="00622FFC" w:rsidRDefault="00622FFC" w:rsidP="00622FFC">
      <w:pPr>
        <w:pStyle w:val="ImprintText"/>
      </w:pPr>
      <w:r>
        <w:t>Level 5, 255 Elizabeth Street, Sydney NSW 2000</w:t>
      </w:r>
      <w:r>
        <w:br/>
        <w:t>Phone: (02) 9126 3600</w:t>
      </w:r>
      <w:r w:rsidRPr="0054718D">
        <w:t> </w:t>
      </w:r>
      <w:r>
        <w:br/>
        <w:t xml:space="preserve">Email: </w:t>
      </w:r>
      <w:hyperlink r:id="rId15" w:history="1">
        <w:r w:rsidRPr="00985F55">
          <w:rPr>
            <w:rStyle w:val="Hyperlink"/>
          </w:rPr>
          <w:t>mail@safetyandquality.gov.au</w:t>
        </w:r>
      </w:hyperlink>
      <w:r>
        <w:t xml:space="preserve"> </w:t>
      </w:r>
      <w:r>
        <w:br/>
        <w:t xml:space="preserve">Website: </w:t>
      </w:r>
      <w:hyperlink r:id="rId16" w:history="1">
        <w:r w:rsidRPr="00985F55">
          <w:rPr>
            <w:rStyle w:val="Hyperlink"/>
          </w:rPr>
          <w:t>www.safetyandquality.gov.au</w:t>
        </w:r>
      </w:hyperlink>
      <w:r>
        <w:t xml:space="preserve"> </w:t>
      </w:r>
    </w:p>
    <w:p w14:paraId="2B629E29" w14:textId="77777777" w:rsidR="00622FFC" w:rsidRPr="00A47811" w:rsidRDefault="00622FFC" w:rsidP="00622FFC">
      <w:pPr>
        <w:pStyle w:val="ImprintText"/>
      </w:pPr>
      <w:r w:rsidRPr="00A47811">
        <w:t>ISBN: 978-1-922880-89-5</w:t>
      </w:r>
    </w:p>
    <w:p w14:paraId="015A61E4" w14:textId="77777777" w:rsidR="00622FFC" w:rsidRPr="00A47811" w:rsidRDefault="00622FFC" w:rsidP="00622FFC">
      <w:pPr>
        <w:pStyle w:val="ImprintText"/>
      </w:pPr>
      <w:r w:rsidRPr="00A47811">
        <w:t xml:space="preserve">© Australian Commission on Safety and Quality in Health Care </w:t>
      </w:r>
      <w:r w:rsidRPr="00A47811">
        <w:rPr>
          <w:rStyle w:val="DraftingNotesChar"/>
          <w:noProof w:val="0"/>
          <w:color w:val="000000"/>
        </w:rPr>
        <w:t>2024</w:t>
      </w:r>
    </w:p>
    <w:p w14:paraId="036A16E3" w14:textId="77777777" w:rsidR="00622FFC" w:rsidRDefault="00622FFC" w:rsidP="00622FFC">
      <w:pPr>
        <w:pStyle w:val="ImprintText"/>
      </w:pPr>
      <w:r>
        <w:t>All material and work produced by the Australian Commission on Safety and Quality in Health Care is protected by copyright. The Commission reserves the right to set out the terms and conditions for the use of such material.</w:t>
      </w:r>
      <w:r w:rsidRPr="0054718D">
        <w:t> </w:t>
      </w:r>
    </w:p>
    <w:p w14:paraId="17FCB8A4" w14:textId="77777777" w:rsidR="00622FFC" w:rsidRDefault="00622FFC" w:rsidP="00622FFC">
      <w:pPr>
        <w:pStyle w:val="ImprintText"/>
      </w:pPr>
      <w:r>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55443711" w14:textId="53D02E49" w:rsidR="00622FFC" w:rsidRDefault="00622FFC" w:rsidP="00622FFC">
      <w:pPr>
        <w:pStyle w:val="ImprintText"/>
      </w:pPr>
      <w:r>
        <w:t xml:space="preserve">With the exception of any material protected by a trademark, any content provided by third parties, and where otherwise noted, all material presented in this publication is licensed under a </w:t>
      </w:r>
      <w:hyperlink r:id="rId17" w:tooltip="Attribution-NonCommercial-NoDerivatives 4.0 International - Creative Commons" w:history="1">
        <w:r w:rsidRPr="007705C5">
          <w:rPr>
            <w:rStyle w:val="Hyperlink"/>
          </w:rPr>
          <w:t>Creative Commons Attribution-</w:t>
        </w:r>
        <w:proofErr w:type="spellStart"/>
        <w:r w:rsidRPr="007705C5">
          <w:rPr>
            <w:rStyle w:val="Hyperlink"/>
          </w:rPr>
          <w:t>NonCommercial</w:t>
        </w:r>
        <w:proofErr w:type="spellEnd"/>
        <w:r w:rsidRPr="007705C5">
          <w:rPr>
            <w:rStyle w:val="Hyperlink"/>
          </w:rPr>
          <w:t>-</w:t>
        </w:r>
        <w:proofErr w:type="spellStart"/>
        <w:r w:rsidRPr="007705C5">
          <w:rPr>
            <w:rStyle w:val="Hyperlink"/>
          </w:rPr>
          <w:t>NoDerivatives</w:t>
        </w:r>
        <w:proofErr w:type="spellEnd"/>
        <w:r w:rsidRPr="007705C5">
          <w:rPr>
            <w:rStyle w:val="Hyperlink"/>
          </w:rPr>
          <w:t xml:space="preserve"> 4.0 International licence</w:t>
        </w:r>
      </w:hyperlink>
      <w:r>
        <w:t>.</w:t>
      </w:r>
    </w:p>
    <w:p w14:paraId="3501744F" w14:textId="77777777" w:rsidR="00622FFC" w:rsidRDefault="00622FFC" w:rsidP="00622FFC">
      <w:pPr>
        <w:pStyle w:val="ImprintText"/>
      </w:pPr>
      <w:r w:rsidRPr="00B56D4D">
        <w:rPr>
          <w:noProof/>
        </w:rPr>
        <w:drawing>
          <wp:inline distT="0" distB="0" distL="0" distR="0" wp14:anchorId="621DF33B" wp14:editId="32090EE7">
            <wp:extent cx="765810" cy="267335"/>
            <wp:effectExtent l="0" t="0" r="0" b="0"/>
            <wp:docPr id="8" name="Picture 8" descr="Creative Comm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Creative Common logo"/>
                    <pic:cNvPicPr>
                      <a:picLocks/>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765810" cy="267335"/>
                    </a:xfrm>
                    <a:prstGeom prst="rect">
                      <a:avLst/>
                    </a:prstGeom>
                    <a:noFill/>
                    <a:ln>
                      <a:noFill/>
                    </a:ln>
                  </pic:spPr>
                </pic:pic>
              </a:graphicData>
            </a:graphic>
          </wp:inline>
        </w:drawing>
      </w:r>
    </w:p>
    <w:p w14:paraId="13D7D6DD" w14:textId="77777777" w:rsidR="00622FFC" w:rsidRDefault="00622FFC" w:rsidP="00622FFC">
      <w:pPr>
        <w:pStyle w:val="ImprintText"/>
      </w:pPr>
      <w:r>
        <w:t xml:space="preserve">Enquiries about the licence and any use of this publication are welcome and can be sent to </w:t>
      </w:r>
      <w:hyperlink r:id="rId19" w:tooltip="Send an email to the Commission" w:history="1">
        <w:r w:rsidRPr="00963018">
          <w:rPr>
            <w:rStyle w:val="Hyperlink"/>
          </w:rPr>
          <w:t>communications@safetyandquality.gov.au</w:t>
        </w:r>
      </w:hyperlink>
      <w:r>
        <w:t>.</w:t>
      </w:r>
    </w:p>
    <w:p w14:paraId="5A5A9FCB" w14:textId="77777777" w:rsidR="00622FFC" w:rsidRDefault="00622FFC" w:rsidP="00622FFC">
      <w:pPr>
        <w:pStyle w:val="ImprintText"/>
      </w:pPr>
      <w:r>
        <w:t>The Commission’s preference is that you attribute this publication (and any material sourced from it) using the following citation:</w:t>
      </w:r>
      <w:r w:rsidRPr="0054718D">
        <w:t> </w:t>
      </w:r>
    </w:p>
    <w:p w14:paraId="61B121D6" w14:textId="389877DA" w:rsidR="00622FFC" w:rsidRPr="00A47811" w:rsidRDefault="00622FFC" w:rsidP="00622FFC">
      <w:pPr>
        <w:pStyle w:val="ImprintText"/>
      </w:pPr>
      <w:r w:rsidRPr="00A47811">
        <w:rPr>
          <w:rStyle w:val="DraftingNotesChar"/>
          <w:noProof w:val="0"/>
          <w:color w:val="000000"/>
        </w:rPr>
        <w:t xml:space="preserve">Australian Commission on Safety and Quality in Health Care. </w:t>
      </w:r>
      <w:r w:rsidR="00D23E5C">
        <w:rPr>
          <w:rStyle w:val="DraftingNotesChar"/>
          <w:noProof w:val="0"/>
          <w:color w:val="000000"/>
        </w:rPr>
        <w:t>Australian Framework for National Clinical Quality Registries 2024. Attachment 2 Australian CQR security compliance guideline</w:t>
      </w:r>
      <w:r w:rsidRPr="00A47811">
        <w:rPr>
          <w:rStyle w:val="DraftingNotesChar"/>
          <w:noProof w:val="0"/>
          <w:color w:val="000000"/>
        </w:rPr>
        <w:t>. Sydney; ACSQHC, 2024</w:t>
      </w:r>
      <w:r w:rsidRPr="00A47811">
        <w:t>.</w:t>
      </w:r>
    </w:p>
    <w:p w14:paraId="636BE894" w14:textId="77777777" w:rsidR="00622FFC" w:rsidRPr="002E617C" w:rsidRDefault="00622FFC" w:rsidP="00622FFC">
      <w:pPr>
        <w:pStyle w:val="ImprintText"/>
        <w:rPr>
          <w:rStyle w:val="Strong"/>
        </w:rPr>
      </w:pPr>
      <w:r w:rsidRPr="002E617C">
        <w:rPr>
          <w:rStyle w:val="Strong"/>
        </w:rPr>
        <w:t>Disclaimer</w:t>
      </w:r>
    </w:p>
    <w:p w14:paraId="4D9BDFBB" w14:textId="77777777" w:rsidR="00D779B8" w:rsidRDefault="00622FFC" w:rsidP="00622FFC">
      <w:pPr>
        <w:pStyle w:val="ImprintText"/>
      </w:pPr>
      <w:r>
        <w:t>The content of this document is published in good faith by the Australian Commission on Safety and Quality in Health Care for information purposes. The document is not intended to provide guidance on particular healthcare choices. You should contact your healthcare provider on particular healthcare choices.</w:t>
      </w:r>
      <w:r w:rsidRPr="0054718D">
        <w:t> </w:t>
      </w:r>
    </w:p>
    <w:p w14:paraId="3DC66DCD" w14:textId="36EC7C09" w:rsidR="00622FFC" w:rsidRPr="00D779B8" w:rsidRDefault="00D779B8" w:rsidP="00D779B8">
      <w:pPr>
        <w:rPr>
          <w:rStyle w:val="DraftingNotesChar"/>
          <w:rFonts w:asciiTheme="minorHAnsi" w:hAnsiTheme="minorHAnsi"/>
          <w:noProof w:val="0"/>
          <w:color w:val="auto"/>
        </w:rPr>
      </w:pPr>
      <w:r w:rsidRPr="007E6C25">
        <w:t>The Commission does not accept any legal liability for any injury, loss or damage incurred by the use of, or reliance on, this document.</w:t>
      </w:r>
      <w:r w:rsidR="00622FFC">
        <w:rPr>
          <w:rStyle w:val="DraftingNotesChar"/>
        </w:rPr>
        <w:br w:type="page"/>
      </w:r>
    </w:p>
    <w:p w14:paraId="006F2ADE" w14:textId="77777777" w:rsidR="00622FFC" w:rsidRDefault="00622FFC" w:rsidP="00622FFC">
      <w:pPr>
        <w:pStyle w:val="Heading1a"/>
      </w:pPr>
      <w:r>
        <w:lastRenderedPageBreak/>
        <w:t>Contents</w:t>
      </w:r>
    </w:p>
    <w:p w14:paraId="7090BAE3" w14:textId="36C7F903" w:rsidR="008D0329" w:rsidRDefault="008D0329" w:rsidP="00C77617">
      <w:pPr>
        <w:pStyle w:val="TOC1"/>
        <w:tabs>
          <w:tab w:val="clear" w:pos="9015"/>
          <w:tab w:val="right" w:leader="dot" w:pos="9356"/>
        </w:tabs>
        <w:rPr>
          <w:rFonts w:eastAsiaTheme="minorEastAsia" w:cstheme="minorBidi"/>
          <w:b w:val="0"/>
          <w:bCs w:val="0"/>
          <w:noProof/>
          <w:color w:val="auto"/>
          <w:kern w:val="2"/>
          <w:szCs w:val="24"/>
          <w:lang w:eastAsia="en-GB"/>
          <w14:ligatures w14:val="standardContextual"/>
        </w:rPr>
      </w:pPr>
      <w:r>
        <w:rPr>
          <w:b w:val="0"/>
          <w:bCs w:val="0"/>
        </w:rPr>
        <w:fldChar w:fldCharType="begin"/>
      </w:r>
      <w:r>
        <w:rPr>
          <w:b w:val="0"/>
          <w:bCs w:val="0"/>
        </w:rPr>
        <w:instrText xml:space="preserve"> TOC \o "1-2" \h \z \u </w:instrText>
      </w:r>
      <w:r>
        <w:rPr>
          <w:b w:val="0"/>
          <w:bCs w:val="0"/>
        </w:rPr>
        <w:fldChar w:fldCharType="separate"/>
      </w:r>
      <w:hyperlink w:anchor="_Toc170135010" w:history="1">
        <w:r w:rsidRPr="00ED6084">
          <w:rPr>
            <w:rStyle w:val="Hyperlink"/>
            <w:noProof/>
          </w:rPr>
          <w:t>1.</w:t>
        </w:r>
        <w:r>
          <w:rPr>
            <w:rFonts w:eastAsiaTheme="minorEastAsia" w:cstheme="minorBidi"/>
            <w:b w:val="0"/>
            <w:bCs w:val="0"/>
            <w:noProof/>
            <w:color w:val="auto"/>
            <w:kern w:val="2"/>
            <w:szCs w:val="24"/>
            <w:lang w:eastAsia="en-GB"/>
            <w14:ligatures w14:val="standardContextual"/>
          </w:rPr>
          <w:tab/>
        </w:r>
        <w:r w:rsidRPr="00ED6084">
          <w:rPr>
            <w:rStyle w:val="Hyperlink"/>
            <w:noProof/>
          </w:rPr>
          <w:t>Introduction</w:t>
        </w:r>
        <w:r>
          <w:rPr>
            <w:noProof/>
            <w:webHidden/>
          </w:rPr>
          <w:tab/>
        </w:r>
        <w:r>
          <w:rPr>
            <w:noProof/>
            <w:webHidden/>
          </w:rPr>
          <w:fldChar w:fldCharType="begin"/>
        </w:r>
        <w:r>
          <w:rPr>
            <w:noProof/>
            <w:webHidden/>
          </w:rPr>
          <w:instrText xml:space="preserve"> PAGEREF _Toc170135010 \h </w:instrText>
        </w:r>
        <w:r>
          <w:rPr>
            <w:noProof/>
            <w:webHidden/>
          </w:rPr>
        </w:r>
        <w:r>
          <w:rPr>
            <w:noProof/>
            <w:webHidden/>
          </w:rPr>
          <w:fldChar w:fldCharType="separate"/>
        </w:r>
        <w:r w:rsidR="009E5E73">
          <w:rPr>
            <w:noProof/>
            <w:webHidden/>
          </w:rPr>
          <w:t>4</w:t>
        </w:r>
        <w:r>
          <w:rPr>
            <w:noProof/>
            <w:webHidden/>
          </w:rPr>
          <w:fldChar w:fldCharType="end"/>
        </w:r>
      </w:hyperlink>
    </w:p>
    <w:p w14:paraId="7B5E99D0" w14:textId="3B27AEC7" w:rsidR="008D0329" w:rsidRDefault="00000000" w:rsidP="00C77617">
      <w:pPr>
        <w:pStyle w:val="TOC2"/>
        <w:tabs>
          <w:tab w:val="clear" w:pos="9015"/>
          <w:tab w:val="right" w:leader="dot" w:pos="9356"/>
        </w:tabs>
        <w:rPr>
          <w:rFonts w:eastAsiaTheme="minorEastAsia" w:cstheme="minorBidi"/>
          <w:kern w:val="2"/>
          <w:sz w:val="24"/>
          <w:szCs w:val="24"/>
          <w:lang w:eastAsia="en-GB"/>
          <w14:ligatures w14:val="standardContextual"/>
        </w:rPr>
      </w:pPr>
      <w:hyperlink w:anchor="_Toc170135011" w:history="1">
        <w:r w:rsidR="008D0329" w:rsidRPr="00ED6084">
          <w:rPr>
            <w:rStyle w:val="Hyperlink"/>
          </w:rPr>
          <w:t>Purpose</w:t>
        </w:r>
        <w:r w:rsidR="008D0329">
          <w:rPr>
            <w:webHidden/>
          </w:rPr>
          <w:tab/>
        </w:r>
        <w:r w:rsidR="008D0329">
          <w:rPr>
            <w:webHidden/>
          </w:rPr>
          <w:fldChar w:fldCharType="begin"/>
        </w:r>
        <w:r w:rsidR="008D0329">
          <w:rPr>
            <w:webHidden/>
          </w:rPr>
          <w:instrText xml:space="preserve"> PAGEREF _Toc170135011 \h </w:instrText>
        </w:r>
        <w:r w:rsidR="008D0329">
          <w:rPr>
            <w:webHidden/>
          </w:rPr>
        </w:r>
        <w:r w:rsidR="008D0329">
          <w:rPr>
            <w:webHidden/>
          </w:rPr>
          <w:fldChar w:fldCharType="separate"/>
        </w:r>
        <w:r w:rsidR="009E5E73">
          <w:rPr>
            <w:webHidden/>
          </w:rPr>
          <w:t>4</w:t>
        </w:r>
        <w:r w:rsidR="008D0329">
          <w:rPr>
            <w:webHidden/>
          </w:rPr>
          <w:fldChar w:fldCharType="end"/>
        </w:r>
      </w:hyperlink>
    </w:p>
    <w:p w14:paraId="773FAA6F" w14:textId="48842730" w:rsidR="008D0329" w:rsidRDefault="00000000" w:rsidP="00C77617">
      <w:pPr>
        <w:pStyle w:val="TOC2"/>
        <w:tabs>
          <w:tab w:val="clear" w:pos="9015"/>
          <w:tab w:val="right" w:leader="dot" w:pos="9356"/>
        </w:tabs>
        <w:rPr>
          <w:rFonts w:eastAsiaTheme="minorEastAsia" w:cstheme="minorBidi"/>
          <w:kern w:val="2"/>
          <w:sz w:val="24"/>
          <w:szCs w:val="24"/>
          <w:lang w:eastAsia="en-GB"/>
          <w14:ligatures w14:val="standardContextual"/>
        </w:rPr>
      </w:pPr>
      <w:hyperlink w:anchor="_Toc170135012" w:history="1">
        <w:r w:rsidR="008D0329" w:rsidRPr="00ED6084">
          <w:rPr>
            <w:rStyle w:val="Hyperlink"/>
          </w:rPr>
          <w:t>About the Guideline</w:t>
        </w:r>
        <w:r w:rsidR="008D0329">
          <w:rPr>
            <w:webHidden/>
          </w:rPr>
          <w:tab/>
        </w:r>
        <w:r w:rsidR="008D0329">
          <w:rPr>
            <w:webHidden/>
          </w:rPr>
          <w:fldChar w:fldCharType="begin"/>
        </w:r>
        <w:r w:rsidR="008D0329">
          <w:rPr>
            <w:webHidden/>
          </w:rPr>
          <w:instrText xml:space="preserve"> PAGEREF _Toc170135012 \h </w:instrText>
        </w:r>
        <w:r w:rsidR="008D0329">
          <w:rPr>
            <w:webHidden/>
          </w:rPr>
        </w:r>
        <w:r w:rsidR="008D0329">
          <w:rPr>
            <w:webHidden/>
          </w:rPr>
          <w:fldChar w:fldCharType="separate"/>
        </w:r>
        <w:r w:rsidR="009E5E73">
          <w:rPr>
            <w:webHidden/>
          </w:rPr>
          <w:t>4</w:t>
        </w:r>
        <w:r w:rsidR="008D0329">
          <w:rPr>
            <w:webHidden/>
          </w:rPr>
          <w:fldChar w:fldCharType="end"/>
        </w:r>
      </w:hyperlink>
    </w:p>
    <w:p w14:paraId="607A577D" w14:textId="02B49593" w:rsidR="008D0329" w:rsidRDefault="00000000" w:rsidP="00C77617">
      <w:pPr>
        <w:pStyle w:val="TOC1"/>
        <w:tabs>
          <w:tab w:val="clear" w:pos="9015"/>
          <w:tab w:val="right" w:leader="dot" w:pos="9356"/>
        </w:tabs>
        <w:rPr>
          <w:rFonts w:eastAsiaTheme="minorEastAsia" w:cstheme="minorBidi"/>
          <w:b w:val="0"/>
          <w:bCs w:val="0"/>
          <w:noProof/>
          <w:color w:val="auto"/>
          <w:kern w:val="2"/>
          <w:szCs w:val="24"/>
          <w:lang w:eastAsia="en-GB"/>
          <w14:ligatures w14:val="standardContextual"/>
        </w:rPr>
      </w:pPr>
      <w:hyperlink w:anchor="_Toc170135013" w:history="1">
        <w:r w:rsidR="008D0329" w:rsidRPr="00ED6084">
          <w:rPr>
            <w:rStyle w:val="Hyperlink"/>
            <w:noProof/>
            <w:lang w:val="en-US"/>
          </w:rPr>
          <w:t>2.</w:t>
        </w:r>
        <w:r w:rsidR="008D0329">
          <w:rPr>
            <w:rFonts w:eastAsiaTheme="minorEastAsia" w:cstheme="minorBidi"/>
            <w:b w:val="0"/>
            <w:bCs w:val="0"/>
            <w:noProof/>
            <w:color w:val="auto"/>
            <w:kern w:val="2"/>
            <w:szCs w:val="24"/>
            <w:lang w:eastAsia="en-GB"/>
            <w14:ligatures w14:val="standardContextual"/>
          </w:rPr>
          <w:tab/>
        </w:r>
        <w:r w:rsidR="008D0329" w:rsidRPr="00ED6084">
          <w:rPr>
            <w:rStyle w:val="Hyperlink"/>
            <w:noProof/>
          </w:rPr>
          <w:t>Considerations in securing Clinical Quality Registries</w:t>
        </w:r>
        <w:r w:rsidR="008D0329">
          <w:rPr>
            <w:noProof/>
            <w:webHidden/>
          </w:rPr>
          <w:tab/>
        </w:r>
        <w:r w:rsidR="008D0329">
          <w:rPr>
            <w:noProof/>
            <w:webHidden/>
          </w:rPr>
          <w:fldChar w:fldCharType="begin"/>
        </w:r>
        <w:r w:rsidR="008D0329">
          <w:rPr>
            <w:noProof/>
            <w:webHidden/>
          </w:rPr>
          <w:instrText xml:space="preserve"> PAGEREF _Toc170135013 \h </w:instrText>
        </w:r>
        <w:r w:rsidR="008D0329">
          <w:rPr>
            <w:noProof/>
            <w:webHidden/>
          </w:rPr>
        </w:r>
        <w:r w:rsidR="008D0329">
          <w:rPr>
            <w:noProof/>
            <w:webHidden/>
          </w:rPr>
          <w:fldChar w:fldCharType="separate"/>
        </w:r>
        <w:r w:rsidR="009E5E73">
          <w:rPr>
            <w:noProof/>
            <w:webHidden/>
          </w:rPr>
          <w:t>5</w:t>
        </w:r>
        <w:r w:rsidR="008D0329">
          <w:rPr>
            <w:noProof/>
            <w:webHidden/>
          </w:rPr>
          <w:fldChar w:fldCharType="end"/>
        </w:r>
      </w:hyperlink>
    </w:p>
    <w:p w14:paraId="507B374B" w14:textId="519DDB0B" w:rsidR="008D0329" w:rsidRDefault="00000000" w:rsidP="00C77617">
      <w:pPr>
        <w:pStyle w:val="TOC2"/>
        <w:tabs>
          <w:tab w:val="clear" w:pos="9015"/>
          <w:tab w:val="right" w:leader="dot" w:pos="9356"/>
        </w:tabs>
        <w:rPr>
          <w:rFonts w:eastAsiaTheme="minorEastAsia" w:cstheme="minorBidi"/>
          <w:kern w:val="2"/>
          <w:sz w:val="24"/>
          <w:szCs w:val="24"/>
          <w:lang w:eastAsia="en-GB"/>
          <w14:ligatures w14:val="standardContextual"/>
        </w:rPr>
      </w:pPr>
      <w:hyperlink w:anchor="_Toc170135014" w:history="1">
        <w:r w:rsidR="008D0329" w:rsidRPr="00ED6084">
          <w:rPr>
            <w:rStyle w:val="Hyperlink"/>
          </w:rPr>
          <w:t>Definitions of key elements of information security</w:t>
        </w:r>
        <w:r w:rsidR="008D0329">
          <w:rPr>
            <w:webHidden/>
          </w:rPr>
          <w:tab/>
        </w:r>
        <w:r w:rsidR="008D0329">
          <w:rPr>
            <w:webHidden/>
          </w:rPr>
          <w:fldChar w:fldCharType="begin"/>
        </w:r>
        <w:r w:rsidR="008D0329">
          <w:rPr>
            <w:webHidden/>
          </w:rPr>
          <w:instrText xml:space="preserve"> PAGEREF _Toc170135014 \h </w:instrText>
        </w:r>
        <w:r w:rsidR="008D0329">
          <w:rPr>
            <w:webHidden/>
          </w:rPr>
        </w:r>
        <w:r w:rsidR="008D0329">
          <w:rPr>
            <w:webHidden/>
          </w:rPr>
          <w:fldChar w:fldCharType="separate"/>
        </w:r>
        <w:r w:rsidR="009E5E73">
          <w:rPr>
            <w:webHidden/>
          </w:rPr>
          <w:t>5</w:t>
        </w:r>
        <w:r w:rsidR="008D0329">
          <w:rPr>
            <w:webHidden/>
          </w:rPr>
          <w:fldChar w:fldCharType="end"/>
        </w:r>
      </w:hyperlink>
    </w:p>
    <w:p w14:paraId="22050CC4" w14:textId="20153D23" w:rsidR="008D0329" w:rsidRDefault="00000000" w:rsidP="00C77617">
      <w:pPr>
        <w:pStyle w:val="TOC2"/>
        <w:tabs>
          <w:tab w:val="clear" w:pos="9015"/>
          <w:tab w:val="right" w:leader="dot" w:pos="9356"/>
        </w:tabs>
        <w:rPr>
          <w:rFonts w:eastAsiaTheme="minorEastAsia" w:cstheme="minorBidi"/>
          <w:kern w:val="2"/>
          <w:sz w:val="24"/>
          <w:szCs w:val="24"/>
          <w:lang w:eastAsia="en-GB"/>
          <w14:ligatures w14:val="standardContextual"/>
        </w:rPr>
      </w:pPr>
      <w:hyperlink w:anchor="_Toc170135015" w:history="1">
        <w:r w:rsidR="008D0329" w:rsidRPr="00ED6084">
          <w:rPr>
            <w:rStyle w:val="Hyperlink"/>
          </w:rPr>
          <w:t>Common threats to information</w:t>
        </w:r>
        <w:r w:rsidR="008D0329">
          <w:rPr>
            <w:webHidden/>
          </w:rPr>
          <w:tab/>
        </w:r>
        <w:r w:rsidR="008D0329">
          <w:rPr>
            <w:webHidden/>
          </w:rPr>
          <w:fldChar w:fldCharType="begin"/>
        </w:r>
        <w:r w:rsidR="008D0329">
          <w:rPr>
            <w:webHidden/>
          </w:rPr>
          <w:instrText xml:space="preserve"> PAGEREF _Toc170135015 \h </w:instrText>
        </w:r>
        <w:r w:rsidR="008D0329">
          <w:rPr>
            <w:webHidden/>
          </w:rPr>
        </w:r>
        <w:r w:rsidR="008D0329">
          <w:rPr>
            <w:webHidden/>
          </w:rPr>
          <w:fldChar w:fldCharType="separate"/>
        </w:r>
        <w:r w:rsidR="009E5E73">
          <w:rPr>
            <w:webHidden/>
          </w:rPr>
          <w:t>5</w:t>
        </w:r>
        <w:r w:rsidR="008D0329">
          <w:rPr>
            <w:webHidden/>
          </w:rPr>
          <w:fldChar w:fldCharType="end"/>
        </w:r>
      </w:hyperlink>
    </w:p>
    <w:p w14:paraId="36C790D9" w14:textId="7059D6F7" w:rsidR="008D0329" w:rsidRDefault="00000000" w:rsidP="00C77617">
      <w:pPr>
        <w:pStyle w:val="TOC2"/>
        <w:tabs>
          <w:tab w:val="clear" w:pos="9015"/>
          <w:tab w:val="right" w:leader="dot" w:pos="9356"/>
        </w:tabs>
        <w:rPr>
          <w:rFonts w:eastAsiaTheme="minorEastAsia" w:cstheme="minorBidi"/>
          <w:kern w:val="2"/>
          <w:sz w:val="24"/>
          <w:szCs w:val="24"/>
          <w:lang w:eastAsia="en-GB"/>
          <w14:ligatures w14:val="standardContextual"/>
        </w:rPr>
      </w:pPr>
      <w:hyperlink w:anchor="_Toc170135016" w:history="1">
        <w:r w:rsidR="008D0329" w:rsidRPr="00ED6084">
          <w:rPr>
            <w:rStyle w:val="Hyperlink"/>
          </w:rPr>
          <w:t>Legislation and regulation</w:t>
        </w:r>
        <w:r w:rsidR="008D0329">
          <w:rPr>
            <w:webHidden/>
          </w:rPr>
          <w:tab/>
        </w:r>
        <w:r w:rsidR="008D0329">
          <w:rPr>
            <w:webHidden/>
          </w:rPr>
          <w:fldChar w:fldCharType="begin"/>
        </w:r>
        <w:r w:rsidR="008D0329">
          <w:rPr>
            <w:webHidden/>
          </w:rPr>
          <w:instrText xml:space="preserve"> PAGEREF _Toc170135016 \h </w:instrText>
        </w:r>
        <w:r w:rsidR="008D0329">
          <w:rPr>
            <w:webHidden/>
          </w:rPr>
        </w:r>
        <w:r w:rsidR="008D0329">
          <w:rPr>
            <w:webHidden/>
          </w:rPr>
          <w:fldChar w:fldCharType="separate"/>
        </w:r>
        <w:r w:rsidR="009E5E73">
          <w:rPr>
            <w:webHidden/>
          </w:rPr>
          <w:t>6</w:t>
        </w:r>
        <w:r w:rsidR="008D0329">
          <w:rPr>
            <w:webHidden/>
          </w:rPr>
          <w:fldChar w:fldCharType="end"/>
        </w:r>
      </w:hyperlink>
    </w:p>
    <w:p w14:paraId="210C9FEA" w14:textId="446A71E5" w:rsidR="008D0329" w:rsidRDefault="00000000" w:rsidP="00C77617">
      <w:pPr>
        <w:pStyle w:val="TOC2"/>
        <w:tabs>
          <w:tab w:val="clear" w:pos="9015"/>
          <w:tab w:val="right" w:leader="dot" w:pos="9356"/>
        </w:tabs>
        <w:rPr>
          <w:rFonts w:eastAsiaTheme="minorEastAsia" w:cstheme="minorBidi"/>
          <w:kern w:val="2"/>
          <w:sz w:val="24"/>
          <w:szCs w:val="24"/>
          <w:lang w:eastAsia="en-GB"/>
          <w14:ligatures w14:val="standardContextual"/>
        </w:rPr>
      </w:pPr>
      <w:hyperlink w:anchor="_Toc170135017" w:history="1">
        <w:r w:rsidR="008D0329" w:rsidRPr="00ED6084">
          <w:rPr>
            <w:rStyle w:val="Hyperlink"/>
          </w:rPr>
          <w:t>Approaches to managing risk</w:t>
        </w:r>
        <w:r w:rsidR="008D0329">
          <w:rPr>
            <w:webHidden/>
          </w:rPr>
          <w:tab/>
        </w:r>
        <w:r w:rsidR="008D0329">
          <w:rPr>
            <w:webHidden/>
          </w:rPr>
          <w:fldChar w:fldCharType="begin"/>
        </w:r>
        <w:r w:rsidR="008D0329">
          <w:rPr>
            <w:webHidden/>
          </w:rPr>
          <w:instrText xml:space="preserve"> PAGEREF _Toc170135017 \h </w:instrText>
        </w:r>
        <w:r w:rsidR="008D0329">
          <w:rPr>
            <w:webHidden/>
          </w:rPr>
        </w:r>
        <w:r w:rsidR="008D0329">
          <w:rPr>
            <w:webHidden/>
          </w:rPr>
          <w:fldChar w:fldCharType="separate"/>
        </w:r>
        <w:r w:rsidR="009E5E73">
          <w:rPr>
            <w:webHidden/>
          </w:rPr>
          <w:t>7</w:t>
        </w:r>
        <w:r w:rsidR="008D0329">
          <w:rPr>
            <w:webHidden/>
          </w:rPr>
          <w:fldChar w:fldCharType="end"/>
        </w:r>
      </w:hyperlink>
    </w:p>
    <w:p w14:paraId="7C5F87A1" w14:textId="088CA665" w:rsidR="008D0329" w:rsidRDefault="00000000" w:rsidP="00C77617">
      <w:pPr>
        <w:pStyle w:val="TOC1"/>
        <w:tabs>
          <w:tab w:val="clear" w:pos="9015"/>
          <w:tab w:val="right" w:leader="dot" w:pos="9356"/>
        </w:tabs>
        <w:rPr>
          <w:rFonts w:eastAsiaTheme="minorEastAsia" w:cstheme="minorBidi"/>
          <w:b w:val="0"/>
          <w:bCs w:val="0"/>
          <w:noProof/>
          <w:color w:val="auto"/>
          <w:kern w:val="2"/>
          <w:szCs w:val="24"/>
          <w:lang w:eastAsia="en-GB"/>
          <w14:ligatures w14:val="standardContextual"/>
        </w:rPr>
      </w:pPr>
      <w:hyperlink w:anchor="_Toc170135018" w:history="1">
        <w:r w:rsidR="008D0329" w:rsidRPr="00ED6084">
          <w:rPr>
            <w:rStyle w:val="Hyperlink"/>
            <w:noProof/>
          </w:rPr>
          <w:t>3.</w:t>
        </w:r>
        <w:r w:rsidR="008D0329">
          <w:rPr>
            <w:rFonts w:eastAsiaTheme="minorEastAsia" w:cstheme="minorBidi"/>
            <w:b w:val="0"/>
            <w:bCs w:val="0"/>
            <w:noProof/>
            <w:color w:val="auto"/>
            <w:kern w:val="2"/>
            <w:szCs w:val="24"/>
            <w:lang w:eastAsia="en-GB"/>
            <w14:ligatures w14:val="standardContextual"/>
          </w:rPr>
          <w:tab/>
        </w:r>
        <w:r w:rsidR="008D0329" w:rsidRPr="00ED6084">
          <w:rPr>
            <w:rStyle w:val="Hyperlink"/>
            <w:noProof/>
          </w:rPr>
          <w:t>System and infrastructure risk profiles</w:t>
        </w:r>
        <w:r w:rsidR="008D0329">
          <w:rPr>
            <w:noProof/>
            <w:webHidden/>
          </w:rPr>
          <w:tab/>
        </w:r>
        <w:r w:rsidR="008D0329">
          <w:rPr>
            <w:noProof/>
            <w:webHidden/>
          </w:rPr>
          <w:fldChar w:fldCharType="begin"/>
        </w:r>
        <w:r w:rsidR="008D0329">
          <w:rPr>
            <w:noProof/>
            <w:webHidden/>
          </w:rPr>
          <w:instrText xml:space="preserve"> PAGEREF _Toc170135018 \h </w:instrText>
        </w:r>
        <w:r w:rsidR="008D0329">
          <w:rPr>
            <w:noProof/>
            <w:webHidden/>
          </w:rPr>
        </w:r>
        <w:r w:rsidR="008D0329">
          <w:rPr>
            <w:noProof/>
            <w:webHidden/>
          </w:rPr>
          <w:fldChar w:fldCharType="separate"/>
        </w:r>
        <w:r w:rsidR="009E5E73">
          <w:rPr>
            <w:noProof/>
            <w:webHidden/>
          </w:rPr>
          <w:t>9</w:t>
        </w:r>
        <w:r w:rsidR="008D0329">
          <w:rPr>
            <w:noProof/>
            <w:webHidden/>
          </w:rPr>
          <w:fldChar w:fldCharType="end"/>
        </w:r>
      </w:hyperlink>
    </w:p>
    <w:p w14:paraId="77E33175" w14:textId="61775657" w:rsidR="008D0329" w:rsidRDefault="00000000" w:rsidP="00C77617">
      <w:pPr>
        <w:pStyle w:val="TOC1"/>
        <w:tabs>
          <w:tab w:val="clear" w:pos="9015"/>
          <w:tab w:val="right" w:leader="dot" w:pos="9356"/>
        </w:tabs>
        <w:rPr>
          <w:rFonts w:eastAsiaTheme="minorEastAsia" w:cstheme="minorBidi"/>
          <w:b w:val="0"/>
          <w:bCs w:val="0"/>
          <w:noProof/>
          <w:color w:val="auto"/>
          <w:kern w:val="2"/>
          <w:szCs w:val="24"/>
          <w:lang w:eastAsia="en-GB"/>
          <w14:ligatures w14:val="standardContextual"/>
        </w:rPr>
      </w:pPr>
      <w:hyperlink w:anchor="_Toc170135019" w:history="1">
        <w:r w:rsidR="008D0329" w:rsidRPr="00ED6084">
          <w:rPr>
            <w:rStyle w:val="Hyperlink"/>
            <w:noProof/>
          </w:rPr>
          <w:t>4.</w:t>
        </w:r>
        <w:r w:rsidR="008D0329">
          <w:rPr>
            <w:rFonts w:eastAsiaTheme="minorEastAsia" w:cstheme="minorBidi"/>
            <w:b w:val="0"/>
            <w:bCs w:val="0"/>
            <w:noProof/>
            <w:color w:val="auto"/>
            <w:kern w:val="2"/>
            <w:szCs w:val="24"/>
            <w:lang w:eastAsia="en-GB"/>
            <w14:ligatures w14:val="standardContextual"/>
          </w:rPr>
          <w:tab/>
        </w:r>
        <w:r w:rsidR="008D0329" w:rsidRPr="00ED6084">
          <w:rPr>
            <w:rStyle w:val="Hyperlink"/>
            <w:noProof/>
          </w:rPr>
          <w:t>Security assessment approach</w:t>
        </w:r>
        <w:r w:rsidR="008D0329">
          <w:rPr>
            <w:noProof/>
            <w:webHidden/>
          </w:rPr>
          <w:tab/>
        </w:r>
        <w:r w:rsidR="008D0329">
          <w:rPr>
            <w:noProof/>
            <w:webHidden/>
          </w:rPr>
          <w:fldChar w:fldCharType="begin"/>
        </w:r>
        <w:r w:rsidR="008D0329">
          <w:rPr>
            <w:noProof/>
            <w:webHidden/>
          </w:rPr>
          <w:instrText xml:space="preserve"> PAGEREF _Toc170135019 \h </w:instrText>
        </w:r>
        <w:r w:rsidR="008D0329">
          <w:rPr>
            <w:noProof/>
            <w:webHidden/>
          </w:rPr>
        </w:r>
        <w:r w:rsidR="008D0329">
          <w:rPr>
            <w:noProof/>
            <w:webHidden/>
          </w:rPr>
          <w:fldChar w:fldCharType="separate"/>
        </w:r>
        <w:r w:rsidR="009E5E73">
          <w:rPr>
            <w:noProof/>
            <w:webHidden/>
          </w:rPr>
          <w:t>13</w:t>
        </w:r>
        <w:r w:rsidR="008D0329">
          <w:rPr>
            <w:noProof/>
            <w:webHidden/>
          </w:rPr>
          <w:fldChar w:fldCharType="end"/>
        </w:r>
      </w:hyperlink>
    </w:p>
    <w:p w14:paraId="61ED4D03" w14:textId="2FCBE9ED" w:rsidR="008D0329" w:rsidRDefault="00000000" w:rsidP="00C77617">
      <w:pPr>
        <w:pStyle w:val="TOC2"/>
        <w:tabs>
          <w:tab w:val="clear" w:pos="9015"/>
          <w:tab w:val="right" w:leader="dot" w:pos="9356"/>
        </w:tabs>
        <w:rPr>
          <w:rFonts w:eastAsiaTheme="minorEastAsia" w:cstheme="minorBidi"/>
          <w:kern w:val="2"/>
          <w:sz w:val="24"/>
          <w:szCs w:val="24"/>
          <w:lang w:eastAsia="en-GB"/>
          <w14:ligatures w14:val="standardContextual"/>
        </w:rPr>
      </w:pPr>
      <w:hyperlink w:anchor="_Toc170135020" w:history="1">
        <w:r w:rsidR="008D0329" w:rsidRPr="00ED6084">
          <w:rPr>
            <w:rStyle w:val="Hyperlink"/>
          </w:rPr>
          <w:t>Methodology</w:t>
        </w:r>
        <w:r w:rsidR="008D0329">
          <w:rPr>
            <w:webHidden/>
          </w:rPr>
          <w:tab/>
        </w:r>
        <w:r w:rsidR="008D0329">
          <w:rPr>
            <w:webHidden/>
          </w:rPr>
          <w:fldChar w:fldCharType="begin"/>
        </w:r>
        <w:r w:rsidR="008D0329">
          <w:rPr>
            <w:webHidden/>
          </w:rPr>
          <w:instrText xml:space="preserve"> PAGEREF _Toc170135020 \h </w:instrText>
        </w:r>
        <w:r w:rsidR="008D0329">
          <w:rPr>
            <w:webHidden/>
          </w:rPr>
        </w:r>
        <w:r w:rsidR="008D0329">
          <w:rPr>
            <w:webHidden/>
          </w:rPr>
          <w:fldChar w:fldCharType="separate"/>
        </w:r>
        <w:r w:rsidR="009E5E73">
          <w:rPr>
            <w:webHidden/>
          </w:rPr>
          <w:t>13</w:t>
        </w:r>
        <w:r w:rsidR="008D0329">
          <w:rPr>
            <w:webHidden/>
          </w:rPr>
          <w:fldChar w:fldCharType="end"/>
        </w:r>
      </w:hyperlink>
    </w:p>
    <w:p w14:paraId="67B06180" w14:textId="3101BE11" w:rsidR="008D0329" w:rsidRDefault="00000000" w:rsidP="00C77617">
      <w:pPr>
        <w:pStyle w:val="TOC2"/>
        <w:tabs>
          <w:tab w:val="clear" w:pos="9015"/>
          <w:tab w:val="right" w:leader="dot" w:pos="9356"/>
        </w:tabs>
        <w:rPr>
          <w:rFonts w:eastAsiaTheme="minorEastAsia" w:cstheme="minorBidi"/>
          <w:kern w:val="2"/>
          <w:sz w:val="24"/>
          <w:szCs w:val="24"/>
          <w:lang w:eastAsia="en-GB"/>
          <w14:ligatures w14:val="standardContextual"/>
        </w:rPr>
      </w:pPr>
      <w:hyperlink w:anchor="_Toc170135021" w:history="1">
        <w:r w:rsidR="008D0329" w:rsidRPr="00ED6084">
          <w:rPr>
            <w:rStyle w:val="Hyperlink"/>
          </w:rPr>
          <w:t>Assessing compliance</w:t>
        </w:r>
        <w:r w:rsidR="008D0329">
          <w:rPr>
            <w:webHidden/>
          </w:rPr>
          <w:tab/>
        </w:r>
        <w:r w:rsidR="008D0329">
          <w:rPr>
            <w:webHidden/>
          </w:rPr>
          <w:fldChar w:fldCharType="begin"/>
        </w:r>
        <w:r w:rsidR="008D0329">
          <w:rPr>
            <w:webHidden/>
          </w:rPr>
          <w:instrText xml:space="preserve"> PAGEREF _Toc170135021 \h </w:instrText>
        </w:r>
        <w:r w:rsidR="008D0329">
          <w:rPr>
            <w:webHidden/>
          </w:rPr>
        </w:r>
        <w:r w:rsidR="008D0329">
          <w:rPr>
            <w:webHidden/>
          </w:rPr>
          <w:fldChar w:fldCharType="separate"/>
        </w:r>
        <w:r w:rsidR="009E5E73">
          <w:rPr>
            <w:webHidden/>
          </w:rPr>
          <w:t>13</w:t>
        </w:r>
        <w:r w:rsidR="008D0329">
          <w:rPr>
            <w:webHidden/>
          </w:rPr>
          <w:fldChar w:fldCharType="end"/>
        </w:r>
      </w:hyperlink>
    </w:p>
    <w:p w14:paraId="74995D8A" w14:textId="2FFBD95E" w:rsidR="008D0329" w:rsidRDefault="00000000" w:rsidP="00C77617">
      <w:pPr>
        <w:pStyle w:val="TOC2"/>
        <w:tabs>
          <w:tab w:val="clear" w:pos="9015"/>
          <w:tab w:val="right" w:leader="dot" w:pos="9356"/>
        </w:tabs>
        <w:rPr>
          <w:rFonts w:eastAsiaTheme="minorEastAsia" w:cstheme="minorBidi"/>
          <w:kern w:val="2"/>
          <w:sz w:val="24"/>
          <w:szCs w:val="24"/>
          <w:lang w:eastAsia="en-GB"/>
          <w14:ligatures w14:val="standardContextual"/>
        </w:rPr>
      </w:pPr>
      <w:hyperlink w:anchor="_Toc170135022" w:history="1">
        <w:r w:rsidR="008D0329" w:rsidRPr="00ED6084">
          <w:rPr>
            <w:rStyle w:val="Hyperlink"/>
          </w:rPr>
          <w:t>Identify gaps</w:t>
        </w:r>
        <w:r w:rsidR="008D0329">
          <w:rPr>
            <w:webHidden/>
          </w:rPr>
          <w:tab/>
        </w:r>
        <w:r w:rsidR="008D0329">
          <w:rPr>
            <w:webHidden/>
          </w:rPr>
          <w:fldChar w:fldCharType="begin"/>
        </w:r>
        <w:r w:rsidR="008D0329">
          <w:rPr>
            <w:webHidden/>
          </w:rPr>
          <w:instrText xml:space="preserve"> PAGEREF _Toc170135022 \h </w:instrText>
        </w:r>
        <w:r w:rsidR="008D0329">
          <w:rPr>
            <w:webHidden/>
          </w:rPr>
        </w:r>
        <w:r w:rsidR="008D0329">
          <w:rPr>
            <w:webHidden/>
          </w:rPr>
          <w:fldChar w:fldCharType="separate"/>
        </w:r>
        <w:r w:rsidR="009E5E73">
          <w:rPr>
            <w:webHidden/>
          </w:rPr>
          <w:t>17</w:t>
        </w:r>
        <w:r w:rsidR="008D0329">
          <w:rPr>
            <w:webHidden/>
          </w:rPr>
          <w:fldChar w:fldCharType="end"/>
        </w:r>
      </w:hyperlink>
    </w:p>
    <w:p w14:paraId="3AA66281" w14:textId="60BAE84D" w:rsidR="008D0329" w:rsidRDefault="00000000" w:rsidP="00C77617">
      <w:pPr>
        <w:pStyle w:val="TOC2"/>
        <w:tabs>
          <w:tab w:val="clear" w:pos="9015"/>
          <w:tab w:val="right" w:leader="dot" w:pos="9356"/>
        </w:tabs>
        <w:rPr>
          <w:rFonts w:eastAsiaTheme="minorEastAsia" w:cstheme="minorBidi"/>
          <w:kern w:val="2"/>
          <w:sz w:val="24"/>
          <w:szCs w:val="24"/>
          <w:lang w:eastAsia="en-GB"/>
          <w14:ligatures w14:val="standardContextual"/>
        </w:rPr>
      </w:pPr>
      <w:hyperlink w:anchor="_Toc170135023" w:history="1">
        <w:r w:rsidR="008D0329" w:rsidRPr="00ED6084">
          <w:rPr>
            <w:rStyle w:val="Hyperlink"/>
          </w:rPr>
          <w:t>Classifying and prioritising gaps</w:t>
        </w:r>
        <w:r w:rsidR="008D0329">
          <w:rPr>
            <w:webHidden/>
          </w:rPr>
          <w:tab/>
        </w:r>
        <w:r w:rsidR="008D0329">
          <w:rPr>
            <w:webHidden/>
          </w:rPr>
          <w:fldChar w:fldCharType="begin"/>
        </w:r>
        <w:r w:rsidR="008D0329">
          <w:rPr>
            <w:webHidden/>
          </w:rPr>
          <w:instrText xml:space="preserve"> PAGEREF _Toc170135023 \h </w:instrText>
        </w:r>
        <w:r w:rsidR="008D0329">
          <w:rPr>
            <w:webHidden/>
          </w:rPr>
        </w:r>
        <w:r w:rsidR="008D0329">
          <w:rPr>
            <w:webHidden/>
          </w:rPr>
          <w:fldChar w:fldCharType="separate"/>
        </w:r>
        <w:r w:rsidR="009E5E73">
          <w:rPr>
            <w:webHidden/>
          </w:rPr>
          <w:t>17</w:t>
        </w:r>
        <w:r w:rsidR="008D0329">
          <w:rPr>
            <w:webHidden/>
          </w:rPr>
          <w:fldChar w:fldCharType="end"/>
        </w:r>
      </w:hyperlink>
    </w:p>
    <w:p w14:paraId="1C1DD3F2" w14:textId="6507DA3D" w:rsidR="008D0329" w:rsidRDefault="00000000" w:rsidP="00C77617">
      <w:pPr>
        <w:pStyle w:val="TOC2"/>
        <w:tabs>
          <w:tab w:val="clear" w:pos="9015"/>
          <w:tab w:val="right" w:leader="dot" w:pos="9356"/>
        </w:tabs>
        <w:rPr>
          <w:rFonts w:eastAsiaTheme="minorEastAsia" w:cstheme="minorBidi"/>
          <w:kern w:val="2"/>
          <w:sz w:val="24"/>
          <w:szCs w:val="24"/>
          <w:lang w:eastAsia="en-GB"/>
          <w14:ligatures w14:val="standardContextual"/>
        </w:rPr>
      </w:pPr>
      <w:hyperlink w:anchor="_Toc170135024" w:history="1">
        <w:r w:rsidR="008D0329" w:rsidRPr="00ED6084">
          <w:rPr>
            <w:rStyle w:val="Hyperlink"/>
          </w:rPr>
          <w:t>Treat</w:t>
        </w:r>
        <w:r w:rsidR="008D0329">
          <w:rPr>
            <w:webHidden/>
          </w:rPr>
          <w:tab/>
        </w:r>
        <w:r w:rsidR="008D0329">
          <w:rPr>
            <w:webHidden/>
          </w:rPr>
          <w:fldChar w:fldCharType="begin"/>
        </w:r>
        <w:r w:rsidR="008D0329">
          <w:rPr>
            <w:webHidden/>
          </w:rPr>
          <w:instrText xml:space="preserve"> PAGEREF _Toc170135024 \h </w:instrText>
        </w:r>
        <w:r w:rsidR="008D0329">
          <w:rPr>
            <w:webHidden/>
          </w:rPr>
        </w:r>
        <w:r w:rsidR="008D0329">
          <w:rPr>
            <w:webHidden/>
          </w:rPr>
          <w:fldChar w:fldCharType="separate"/>
        </w:r>
        <w:r w:rsidR="009E5E73">
          <w:rPr>
            <w:webHidden/>
          </w:rPr>
          <w:t>18</w:t>
        </w:r>
        <w:r w:rsidR="008D0329">
          <w:rPr>
            <w:webHidden/>
          </w:rPr>
          <w:fldChar w:fldCharType="end"/>
        </w:r>
      </w:hyperlink>
    </w:p>
    <w:p w14:paraId="3F589FAA" w14:textId="100CF7D8" w:rsidR="008D0329" w:rsidRDefault="00000000" w:rsidP="00C77617">
      <w:pPr>
        <w:pStyle w:val="TOC1"/>
        <w:tabs>
          <w:tab w:val="clear" w:pos="9015"/>
          <w:tab w:val="right" w:leader="dot" w:pos="9356"/>
        </w:tabs>
        <w:rPr>
          <w:rFonts w:eastAsiaTheme="minorEastAsia" w:cstheme="minorBidi"/>
          <w:b w:val="0"/>
          <w:bCs w:val="0"/>
          <w:noProof/>
          <w:color w:val="auto"/>
          <w:kern w:val="2"/>
          <w:szCs w:val="24"/>
          <w:lang w:eastAsia="en-GB"/>
          <w14:ligatures w14:val="standardContextual"/>
        </w:rPr>
      </w:pPr>
      <w:hyperlink w:anchor="_Toc170135025" w:history="1">
        <w:r w:rsidR="008D0329" w:rsidRPr="00ED6084">
          <w:rPr>
            <w:rStyle w:val="Hyperlink"/>
            <w:noProof/>
          </w:rPr>
          <w:t>5.</w:t>
        </w:r>
        <w:r w:rsidR="008D0329">
          <w:rPr>
            <w:rFonts w:eastAsiaTheme="minorEastAsia" w:cstheme="minorBidi"/>
            <w:b w:val="0"/>
            <w:bCs w:val="0"/>
            <w:noProof/>
            <w:color w:val="auto"/>
            <w:kern w:val="2"/>
            <w:szCs w:val="24"/>
            <w:lang w:eastAsia="en-GB"/>
            <w14:ligatures w14:val="standardContextual"/>
          </w:rPr>
          <w:tab/>
        </w:r>
        <w:r w:rsidR="008D0329" w:rsidRPr="00ED6084">
          <w:rPr>
            <w:rStyle w:val="Hyperlink"/>
            <w:noProof/>
          </w:rPr>
          <w:t>Security compliance checklists for CQR ‘recommended practice’</w:t>
        </w:r>
        <w:r w:rsidR="008D0329">
          <w:rPr>
            <w:noProof/>
            <w:webHidden/>
          </w:rPr>
          <w:tab/>
        </w:r>
        <w:r w:rsidR="008D0329">
          <w:rPr>
            <w:noProof/>
            <w:webHidden/>
          </w:rPr>
          <w:fldChar w:fldCharType="begin"/>
        </w:r>
        <w:r w:rsidR="008D0329">
          <w:rPr>
            <w:noProof/>
            <w:webHidden/>
          </w:rPr>
          <w:instrText xml:space="preserve"> PAGEREF _Toc170135025 \h </w:instrText>
        </w:r>
        <w:r w:rsidR="008D0329">
          <w:rPr>
            <w:noProof/>
            <w:webHidden/>
          </w:rPr>
        </w:r>
        <w:r w:rsidR="008D0329">
          <w:rPr>
            <w:noProof/>
            <w:webHidden/>
          </w:rPr>
          <w:fldChar w:fldCharType="separate"/>
        </w:r>
        <w:r w:rsidR="009E5E73">
          <w:rPr>
            <w:noProof/>
            <w:webHidden/>
          </w:rPr>
          <w:t>19</w:t>
        </w:r>
        <w:r w:rsidR="008D0329">
          <w:rPr>
            <w:noProof/>
            <w:webHidden/>
          </w:rPr>
          <w:fldChar w:fldCharType="end"/>
        </w:r>
      </w:hyperlink>
    </w:p>
    <w:p w14:paraId="45F211CD" w14:textId="7199CC5C" w:rsidR="008D0329" w:rsidRDefault="00000000" w:rsidP="00C77617">
      <w:pPr>
        <w:pStyle w:val="TOC2"/>
        <w:tabs>
          <w:tab w:val="clear" w:pos="9015"/>
          <w:tab w:val="right" w:leader="dot" w:pos="9356"/>
        </w:tabs>
        <w:rPr>
          <w:rFonts w:eastAsiaTheme="minorEastAsia" w:cstheme="minorBidi"/>
          <w:kern w:val="2"/>
          <w:sz w:val="24"/>
          <w:szCs w:val="24"/>
          <w:lang w:eastAsia="en-GB"/>
          <w14:ligatures w14:val="standardContextual"/>
        </w:rPr>
      </w:pPr>
      <w:hyperlink w:anchor="_Toc170135026" w:history="1">
        <w:r w:rsidR="008D0329" w:rsidRPr="00ED6084">
          <w:rPr>
            <w:rStyle w:val="Hyperlink"/>
          </w:rPr>
          <w:t>Compliance checklists – CQR Business Operations and System Hosting</w:t>
        </w:r>
        <w:r w:rsidR="008D0329">
          <w:rPr>
            <w:webHidden/>
          </w:rPr>
          <w:tab/>
        </w:r>
        <w:r w:rsidR="008D0329">
          <w:rPr>
            <w:webHidden/>
          </w:rPr>
          <w:fldChar w:fldCharType="begin"/>
        </w:r>
        <w:r w:rsidR="008D0329">
          <w:rPr>
            <w:webHidden/>
          </w:rPr>
          <w:instrText xml:space="preserve"> PAGEREF _Toc170135026 \h </w:instrText>
        </w:r>
        <w:r w:rsidR="008D0329">
          <w:rPr>
            <w:webHidden/>
          </w:rPr>
        </w:r>
        <w:r w:rsidR="008D0329">
          <w:rPr>
            <w:webHidden/>
          </w:rPr>
          <w:fldChar w:fldCharType="separate"/>
        </w:r>
        <w:r w:rsidR="009E5E73">
          <w:rPr>
            <w:webHidden/>
          </w:rPr>
          <w:t>20</w:t>
        </w:r>
        <w:r w:rsidR="008D0329">
          <w:rPr>
            <w:webHidden/>
          </w:rPr>
          <w:fldChar w:fldCharType="end"/>
        </w:r>
      </w:hyperlink>
    </w:p>
    <w:p w14:paraId="72A1C587" w14:textId="61AECEFF" w:rsidR="008D0329" w:rsidRDefault="00000000" w:rsidP="00C77617">
      <w:pPr>
        <w:pStyle w:val="TOC1"/>
        <w:tabs>
          <w:tab w:val="clear" w:pos="9015"/>
          <w:tab w:val="right" w:leader="dot" w:pos="9356"/>
        </w:tabs>
        <w:rPr>
          <w:rFonts w:eastAsiaTheme="minorEastAsia" w:cstheme="minorBidi"/>
          <w:b w:val="0"/>
          <w:bCs w:val="0"/>
          <w:noProof/>
          <w:color w:val="auto"/>
          <w:kern w:val="2"/>
          <w:szCs w:val="24"/>
          <w:lang w:eastAsia="en-GB"/>
          <w14:ligatures w14:val="standardContextual"/>
        </w:rPr>
      </w:pPr>
      <w:hyperlink w:anchor="_Toc170135027" w:history="1">
        <w:r w:rsidR="008D0329" w:rsidRPr="00ED6084">
          <w:rPr>
            <w:rStyle w:val="Hyperlink"/>
            <w:noProof/>
          </w:rPr>
          <w:t>6.</w:t>
        </w:r>
        <w:r w:rsidR="008D0329">
          <w:rPr>
            <w:rFonts w:eastAsiaTheme="minorEastAsia" w:cstheme="minorBidi"/>
            <w:b w:val="0"/>
            <w:bCs w:val="0"/>
            <w:noProof/>
            <w:color w:val="auto"/>
            <w:kern w:val="2"/>
            <w:szCs w:val="24"/>
            <w:lang w:eastAsia="en-GB"/>
            <w14:ligatures w14:val="standardContextual"/>
          </w:rPr>
          <w:tab/>
        </w:r>
        <w:r w:rsidR="008D0329" w:rsidRPr="00ED6084">
          <w:rPr>
            <w:rStyle w:val="Hyperlink"/>
            <w:noProof/>
          </w:rPr>
          <w:t>Data breaches</w:t>
        </w:r>
        <w:r w:rsidR="008D0329">
          <w:rPr>
            <w:noProof/>
            <w:webHidden/>
          </w:rPr>
          <w:tab/>
        </w:r>
        <w:r w:rsidR="008D0329">
          <w:rPr>
            <w:noProof/>
            <w:webHidden/>
          </w:rPr>
          <w:fldChar w:fldCharType="begin"/>
        </w:r>
        <w:r w:rsidR="008D0329">
          <w:rPr>
            <w:noProof/>
            <w:webHidden/>
          </w:rPr>
          <w:instrText xml:space="preserve"> PAGEREF _Toc170135027 \h </w:instrText>
        </w:r>
        <w:r w:rsidR="008D0329">
          <w:rPr>
            <w:noProof/>
            <w:webHidden/>
          </w:rPr>
        </w:r>
        <w:r w:rsidR="008D0329">
          <w:rPr>
            <w:noProof/>
            <w:webHidden/>
          </w:rPr>
          <w:fldChar w:fldCharType="separate"/>
        </w:r>
        <w:r w:rsidR="009E5E73">
          <w:rPr>
            <w:noProof/>
            <w:webHidden/>
          </w:rPr>
          <w:t>21</w:t>
        </w:r>
        <w:r w:rsidR="008D0329">
          <w:rPr>
            <w:noProof/>
            <w:webHidden/>
          </w:rPr>
          <w:fldChar w:fldCharType="end"/>
        </w:r>
      </w:hyperlink>
    </w:p>
    <w:p w14:paraId="4323C700" w14:textId="3E53B89C" w:rsidR="008D0329" w:rsidRDefault="00000000" w:rsidP="00C77617">
      <w:pPr>
        <w:pStyle w:val="TOC2"/>
        <w:tabs>
          <w:tab w:val="clear" w:pos="9015"/>
          <w:tab w:val="right" w:leader="dot" w:pos="9356"/>
        </w:tabs>
        <w:rPr>
          <w:rFonts w:eastAsiaTheme="minorEastAsia" w:cstheme="minorBidi"/>
          <w:kern w:val="2"/>
          <w:sz w:val="24"/>
          <w:szCs w:val="24"/>
          <w:lang w:eastAsia="en-GB"/>
          <w14:ligatures w14:val="standardContextual"/>
        </w:rPr>
      </w:pPr>
      <w:hyperlink w:anchor="_Toc170135028" w:history="1">
        <w:r w:rsidR="008D0329" w:rsidRPr="00ED6084">
          <w:rPr>
            <w:rStyle w:val="Hyperlink"/>
          </w:rPr>
          <w:t>Response to data breaches</w:t>
        </w:r>
        <w:r w:rsidR="008D0329">
          <w:rPr>
            <w:webHidden/>
          </w:rPr>
          <w:tab/>
        </w:r>
        <w:r w:rsidR="008D0329">
          <w:rPr>
            <w:webHidden/>
          </w:rPr>
          <w:fldChar w:fldCharType="begin"/>
        </w:r>
        <w:r w:rsidR="008D0329">
          <w:rPr>
            <w:webHidden/>
          </w:rPr>
          <w:instrText xml:space="preserve"> PAGEREF _Toc170135028 \h </w:instrText>
        </w:r>
        <w:r w:rsidR="008D0329">
          <w:rPr>
            <w:webHidden/>
          </w:rPr>
        </w:r>
        <w:r w:rsidR="008D0329">
          <w:rPr>
            <w:webHidden/>
          </w:rPr>
          <w:fldChar w:fldCharType="separate"/>
        </w:r>
        <w:r w:rsidR="009E5E73">
          <w:rPr>
            <w:webHidden/>
          </w:rPr>
          <w:t>21</w:t>
        </w:r>
        <w:r w:rsidR="008D0329">
          <w:rPr>
            <w:webHidden/>
          </w:rPr>
          <w:fldChar w:fldCharType="end"/>
        </w:r>
      </w:hyperlink>
    </w:p>
    <w:p w14:paraId="4E9627B0" w14:textId="5444B36C" w:rsidR="008D0329" w:rsidRDefault="00000000" w:rsidP="00C77617">
      <w:pPr>
        <w:pStyle w:val="TOC1"/>
        <w:tabs>
          <w:tab w:val="clear" w:pos="9015"/>
          <w:tab w:val="right" w:leader="dot" w:pos="9356"/>
        </w:tabs>
        <w:rPr>
          <w:rFonts w:eastAsiaTheme="minorEastAsia" w:cstheme="minorBidi"/>
          <w:b w:val="0"/>
          <w:bCs w:val="0"/>
          <w:noProof/>
          <w:color w:val="auto"/>
          <w:kern w:val="2"/>
          <w:szCs w:val="24"/>
          <w:lang w:eastAsia="en-GB"/>
          <w14:ligatures w14:val="standardContextual"/>
        </w:rPr>
      </w:pPr>
      <w:hyperlink w:anchor="_Toc170135029" w:history="1">
        <w:r w:rsidR="008D0329" w:rsidRPr="00ED6084">
          <w:rPr>
            <w:rStyle w:val="Hyperlink"/>
            <w:noProof/>
          </w:rPr>
          <w:t>Glossary</w:t>
        </w:r>
        <w:r w:rsidR="008D0329">
          <w:rPr>
            <w:noProof/>
            <w:webHidden/>
          </w:rPr>
          <w:tab/>
        </w:r>
        <w:r w:rsidR="008D0329">
          <w:rPr>
            <w:noProof/>
            <w:webHidden/>
          </w:rPr>
          <w:fldChar w:fldCharType="begin"/>
        </w:r>
        <w:r w:rsidR="008D0329">
          <w:rPr>
            <w:noProof/>
            <w:webHidden/>
          </w:rPr>
          <w:instrText xml:space="preserve"> PAGEREF _Toc170135029 \h </w:instrText>
        </w:r>
        <w:r w:rsidR="008D0329">
          <w:rPr>
            <w:noProof/>
            <w:webHidden/>
          </w:rPr>
        </w:r>
        <w:r w:rsidR="008D0329">
          <w:rPr>
            <w:noProof/>
            <w:webHidden/>
          </w:rPr>
          <w:fldChar w:fldCharType="separate"/>
        </w:r>
        <w:r w:rsidR="009E5E73">
          <w:rPr>
            <w:noProof/>
            <w:webHidden/>
          </w:rPr>
          <w:t>22</w:t>
        </w:r>
        <w:r w:rsidR="008D0329">
          <w:rPr>
            <w:noProof/>
            <w:webHidden/>
          </w:rPr>
          <w:fldChar w:fldCharType="end"/>
        </w:r>
      </w:hyperlink>
    </w:p>
    <w:p w14:paraId="717D58DC" w14:textId="272F4AD9" w:rsidR="008D0329" w:rsidRDefault="00000000" w:rsidP="00C77617">
      <w:pPr>
        <w:pStyle w:val="TOC1"/>
        <w:tabs>
          <w:tab w:val="clear" w:pos="9015"/>
          <w:tab w:val="right" w:leader="dot" w:pos="9356"/>
        </w:tabs>
        <w:rPr>
          <w:rFonts w:eastAsiaTheme="minorEastAsia" w:cstheme="minorBidi"/>
          <w:b w:val="0"/>
          <w:bCs w:val="0"/>
          <w:noProof/>
          <w:color w:val="auto"/>
          <w:kern w:val="2"/>
          <w:szCs w:val="24"/>
          <w:lang w:eastAsia="en-GB"/>
          <w14:ligatures w14:val="standardContextual"/>
        </w:rPr>
      </w:pPr>
      <w:hyperlink w:anchor="_Toc170135030" w:history="1">
        <w:r w:rsidR="008D0329" w:rsidRPr="00ED6084">
          <w:rPr>
            <w:rStyle w:val="Hyperlink"/>
            <w:noProof/>
          </w:rPr>
          <w:t>References</w:t>
        </w:r>
        <w:r w:rsidR="008D0329">
          <w:rPr>
            <w:noProof/>
            <w:webHidden/>
          </w:rPr>
          <w:tab/>
        </w:r>
        <w:r w:rsidR="008D0329">
          <w:rPr>
            <w:noProof/>
            <w:webHidden/>
          </w:rPr>
          <w:fldChar w:fldCharType="begin"/>
        </w:r>
        <w:r w:rsidR="008D0329">
          <w:rPr>
            <w:noProof/>
            <w:webHidden/>
          </w:rPr>
          <w:instrText xml:space="preserve"> PAGEREF _Toc170135030 \h </w:instrText>
        </w:r>
        <w:r w:rsidR="008D0329">
          <w:rPr>
            <w:noProof/>
            <w:webHidden/>
          </w:rPr>
        </w:r>
        <w:r w:rsidR="008D0329">
          <w:rPr>
            <w:noProof/>
            <w:webHidden/>
          </w:rPr>
          <w:fldChar w:fldCharType="separate"/>
        </w:r>
        <w:r w:rsidR="009E5E73">
          <w:rPr>
            <w:noProof/>
            <w:webHidden/>
          </w:rPr>
          <w:t>24</w:t>
        </w:r>
        <w:r w:rsidR="008D0329">
          <w:rPr>
            <w:noProof/>
            <w:webHidden/>
          </w:rPr>
          <w:fldChar w:fldCharType="end"/>
        </w:r>
      </w:hyperlink>
    </w:p>
    <w:p w14:paraId="608EB127" w14:textId="70C6EC86" w:rsidR="00622FFC" w:rsidRDefault="008D0329" w:rsidP="00C77617">
      <w:pPr>
        <w:tabs>
          <w:tab w:val="left" w:leader="dot" w:pos="9356"/>
        </w:tabs>
        <w:spacing w:before="240"/>
        <w:rPr>
          <w:b/>
          <w:bCs/>
          <w:noProof/>
        </w:rPr>
      </w:pPr>
      <w:r>
        <w:rPr>
          <w:rFonts w:cstheme="minorHAnsi"/>
          <w:b/>
          <w:bCs/>
          <w:color w:val="005370" w:themeColor="text2"/>
          <w:sz w:val="24"/>
          <w:szCs w:val="20"/>
        </w:rPr>
        <w:fldChar w:fldCharType="end"/>
      </w:r>
      <w:r w:rsidR="00622FFC">
        <w:rPr>
          <w:b/>
          <w:bCs/>
          <w:noProof/>
        </w:rPr>
        <w:br w:type="page"/>
      </w:r>
    </w:p>
    <w:p w14:paraId="4807D539" w14:textId="77777777" w:rsidR="00622FFC" w:rsidRPr="002D0444" w:rsidRDefault="00622FFC" w:rsidP="00622FFC">
      <w:pPr>
        <w:pStyle w:val="Heading1"/>
      </w:pPr>
      <w:bookmarkStart w:id="0" w:name="_Toc156467962"/>
      <w:bookmarkStart w:id="1" w:name="_Toc158286564"/>
      <w:bookmarkStart w:id="2" w:name="_Toc158802045"/>
      <w:bookmarkStart w:id="3" w:name="_Toc160197574"/>
      <w:bookmarkStart w:id="4" w:name="_Toc170135010"/>
      <w:r>
        <w:lastRenderedPageBreak/>
        <w:t>1.</w:t>
      </w:r>
      <w:r>
        <w:tab/>
      </w:r>
      <w:r w:rsidRPr="002D0444">
        <w:t>Introduction</w:t>
      </w:r>
      <w:bookmarkEnd w:id="0"/>
      <w:bookmarkEnd w:id="1"/>
      <w:bookmarkEnd w:id="2"/>
      <w:bookmarkEnd w:id="3"/>
      <w:bookmarkEnd w:id="4"/>
    </w:p>
    <w:p w14:paraId="6F8BD1C2" w14:textId="77777777" w:rsidR="00622FFC" w:rsidRPr="00F34813" w:rsidRDefault="00622FFC" w:rsidP="00622FFC">
      <w:pPr>
        <w:pStyle w:val="Heading2"/>
      </w:pPr>
      <w:bookmarkStart w:id="5" w:name="_Toc156467963"/>
      <w:bookmarkStart w:id="6" w:name="_Toc158286565"/>
      <w:bookmarkStart w:id="7" w:name="_Toc158802046"/>
      <w:bookmarkStart w:id="8" w:name="_Toc160197575"/>
      <w:bookmarkStart w:id="9" w:name="_Toc170135011"/>
      <w:r w:rsidRPr="00F34813">
        <w:t>Purpose</w:t>
      </w:r>
      <w:bookmarkEnd w:id="5"/>
      <w:bookmarkEnd w:id="6"/>
      <w:bookmarkEnd w:id="7"/>
      <w:bookmarkEnd w:id="8"/>
      <w:bookmarkEnd w:id="9"/>
      <w:r>
        <w:t xml:space="preserve"> </w:t>
      </w:r>
    </w:p>
    <w:p w14:paraId="61FAE873" w14:textId="77777777" w:rsidR="00622FFC" w:rsidRDefault="00622FFC" w:rsidP="00622FFC">
      <w:pPr>
        <w:rPr>
          <w:rFonts w:cs="Arial"/>
        </w:rPr>
      </w:pPr>
      <w:r w:rsidRPr="00F34813">
        <w:rPr>
          <w:rFonts w:cs="Arial"/>
        </w:rPr>
        <w:t xml:space="preserve">The purpose of the </w:t>
      </w:r>
      <w:r w:rsidRPr="00367BE1">
        <w:rPr>
          <w:rFonts w:cs="Arial"/>
          <w:i/>
          <w:iCs/>
        </w:rPr>
        <w:t>Australian CQR</w:t>
      </w:r>
      <w:r>
        <w:rPr>
          <w:rFonts w:cs="Arial"/>
          <w:i/>
          <w:iCs/>
        </w:rPr>
        <w:t xml:space="preserve"> security compliance guideline</w:t>
      </w:r>
      <w:r w:rsidRPr="00F34813">
        <w:rPr>
          <w:rFonts w:cs="Arial"/>
        </w:rPr>
        <w:t xml:space="preserve"> (the</w:t>
      </w:r>
      <w:r w:rsidRPr="00F34813">
        <w:rPr>
          <w:rFonts w:cs="Arial"/>
          <w:i/>
          <w:iCs/>
        </w:rPr>
        <w:t xml:space="preserve"> </w:t>
      </w:r>
      <w:r w:rsidRPr="00F34813">
        <w:rPr>
          <w:rFonts w:cs="Arial"/>
        </w:rPr>
        <w:t>Guideline) is to provide guidelines that aid</w:t>
      </w:r>
      <w:r>
        <w:rPr>
          <w:rFonts w:cs="Arial"/>
        </w:rPr>
        <w:t xml:space="preserve"> CQR operators</w:t>
      </w:r>
      <w:r w:rsidRPr="00F34813">
        <w:rPr>
          <w:rFonts w:cs="Arial"/>
        </w:rPr>
        <w:t xml:space="preserve"> in meeting security requirements. It is designed as a resource to guide practices and strategies that align with established security standards for Australian national clinical quality registries (CQRs). The guidelines are formulated to enhance the understanding and implementation of security measures, ensuring effective compliance with necessary security criteria.</w:t>
      </w:r>
    </w:p>
    <w:p w14:paraId="71B4700C" w14:textId="77777777" w:rsidR="00622FFC" w:rsidRPr="00F34813" w:rsidRDefault="00622FFC" w:rsidP="00622FFC">
      <w:pPr>
        <w:rPr>
          <w:rFonts w:cs="Arial"/>
        </w:rPr>
      </w:pPr>
      <w:r>
        <w:rPr>
          <w:rFonts w:cs="Arial"/>
        </w:rPr>
        <w:t>This Guideline is intended to support CQR operators (and third-party hosting organisations on behalf of the CQR operator) to evaluate their adherence to security standards and techniques current in February 2024. It is intended to serve as a resource for internal review and drive maturity enhancement of CQRs over time.</w:t>
      </w:r>
    </w:p>
    <w:p w14:paraId="323B6842" w14:textId="77777777" w:rsidR="00622FFC" w:rsidRPr="00DF716F" w:rsidRDefault="00622FFC" w:rsidP="00622FFC">
      <w:pPr>
        <w:pStyle w:val="Heading2"/>
      </w:pPr>
      <w:bookmarkStart w:id="10" w:name="_Toc156467965"/>
      <w:bookmarkStart w:id="11" w:name="_Toc158286567"/>
      <w:bookmarkStart w:id="12" w:name="_Toc158802048"/>
      <w:bookmarkStart w:id="13" w:name="_Toc160197576"/>
      <w:bookmarkStart w:id="14" w:name="_Toc170135012"/>
      <w:r w:rsidRPr="00DF716F">
        <w:t>About the Guideline</w:t>
      </w:r>
      <w:bookmarkEnd w:id="10"/>
      <w:bookmarkEnd w:id="11"/>
      <w:bookmarkEnd w:id="12"/>
      <w:bookmarkEnd w:id="13"/>
      <w:bookmarkEnd w:id="14"/>
    </w:p>
    <w:p w14:paraId="2C1B7508" w14:textId="0DEFAA98" w:rsidR="00622FFC" w:rsidRPr="00F34813" w:rsidRDefault="00622FFC" w:rsidP="00622FFC">
      <w:pPr>
        <w:rPr>
          <w:rFonts w:cs="Arial"/>
        </w:rPr>
      </w:pPr>
      <w:r w:rsidRPr="00F34813">
        <w:rPr>
          <w:rFonts w:cs="Arial"/>
        </w:rPr>
        <w:t>The Guideline</w:t>
      </w:r>
      <w:r w:rsidRPr="00F34813">
        <w:rPr>
          <w:rFonts w:cs="Arial"/>
          <w:i/>
          <w:iCs/>
        </w:rPr>
        <w:t xml:space="preserve"> </w:t>
      </w:r>
      <w:r w:rsidRPr="00F34813">
        <w:rPr>
          <w:rFonts w:cs="Arial"/>
        </w:rPr>
        <w:t xml:space="preserve">builds on the work of the Australian Digital Health Agency’s </w:t>
      </w:r>
      <w:r w:rsidRPr="00F34813">
        <w:rPr>
          <w:rFonts w:cs="Arial"/>
          <w:i/>
          <w:iCs/>
        </w:rPr>
        <w:t xml:space="preserve">National </w:t>
      </w:r>
      <w:r>
        <w:rPr>
          <w:rFonts w:cs="Arial"/>
          <w:i/>
          <w:iCs/>
        </w:rPr>
        <w:t>e</w:t>
      </w:r>
      <w:r w:rsidRPr="00F34813">
        <w:rPr>
          <w:rFonts w:cs="Arial"/>
          <w:i/>
          <w:iCs/>
        </w:rPr>
        <w:t xml:space="preserve">Health Security </w:t>
      </w:r>
      <w:r>
        <w:rPr>
          <w:rFonts w:cs="Arial"/>
          <w:i/>
          <w:iCs/>
        </w:rPr>
        <w:t xml:space="preserve">and </w:t>
      </w:r>
      <w:r w:rsidRPr="00F34813">
        <w:rPr>
          <w:rFonts w:cs="Arial"/>
          <w:i/>
          <w:iCs/>
        </w:rPr>
        <w:t>Access Framework – v4.0</w:t>
      </w:r>
      <w:r w:rsidRPr="00F34813">
        <w:rPr>
          <w:rFonts w:cs="Arial"/>
        </w:rPr>
        <w:t>. (NESAF)</w:t>
      </w:r>
      <w:r w:rsidR="0075442E" w:rsidRPr="0075442E">
        <w:rPr>
          <w:rFonts w:cs="Arial"/>
          <w:vertAlign w:val="superscript"/>
        </w:rPr>
        <w:t>1</w:t>
      </w:r>
      <w:r w:rsidR="002066B8">
        <w:rPr>
          <w:rFonts w:cs="Arial"/>
          <w:vertAlign w:val="superscript"/>
        </w:rPr>
        <w:t xml:space="preserve"> </w:t>
      </w:r>
      <w:r w:rsidRPr="00F34813">
        <w:rPr>
          <w:rFonts w:cs="Arial"/>
        </w:rPr>
        <w:t>which provides guidance for the Australian healthcare sector and businesses to build and implement secure systems that protect patient data and e</w:t>
      </w:r>
      <w:r>
        <w:rPr>
          <w:rFonts w:cs="Arial"/>
        </w:rPr>
        <w:t>-h</w:t>
      </w:r>
      <w:r w:rsidRPr="00F34813">
        <w:rPr>
          <w:rFonts w:cs="Arial"/>
        </w:rPr>
        <w:t xml:space="preserve">ealth </w:t>
      </w:r>
      <w:r>
        <w:rPr>
          <w:rFonts w:cs="Arial"/>
        </w:rPr>
        <w:t xml:space="preserve">related </w:t>
      </w:r>
      <w:r w:rsidRPr="00F34813">
        <w:rPr>
          <w:rFonts w:cs="Arial"/>
        </w:rPr>
        <w:t xml:space="preserve">assets, while providing the provenance </w:t>
      </w:r>
      <w:r>
        <w:rPr>
          <w:rFonts w:cs="Arial"/>
        </w:rPr>
        <w:t>needed to ensure</w:t>
      </w:r>
      <w:r w:rsidRPr="00F34813">
        <w:rPr>
          <w:rFonts w:cs="Arial"/>
        </w:rPr>
        <w:t xml:space="preserve"> patient safety and privacy</w:t>
      </w:r>
      <w:r w:rsidR="00841984">
        <w:rPr>
          <w:rFonts w:cs="Arial"/>
        </w:rPr>
        <w:t>.</w:t>
      </w:r>
      <w:r w:rsidRPr="00841984">
        <w:rPr>
          <w:rFonts w:cs="Arial"/>
          <w:vertAlign w:val="superscript"/>
        </w:rPr>
        <w:t>.</w:t>
      </w:r>
      <w:r w:rsidR="00841984" w:rsidRPr="00841984">
        <w:rPr>
          <w:rFonts w:cs="Arial"/>
          <w:vertAlign w:val="superscript"/>
        </w:rPr>
        <w:t>1</w:t>
      </w:r>
    </w:p>
    <w:p w14:paraId="34659191" w14:textId="46C8C7F6" w:rsidR="00622FFC" w:rsidRPr="00F34813" w:rsidRDefault="00622FFC" w:rsidP="00622FFC">
      <w:pPr>
        <w:rPr>
          <w:rFonts w:cs="Arial"/>
        </w:rPr>
      </w:pPr>
      <w:r w:rsidRPr="00F34813">
        <w:rPr>
          <w:rFonts w:cs="Arial"/>
        </w:rPr>
        <w:t>The Guideline</w:t>
      </w:r>
      <w:r w:rsidRPr="00F34813">
        <w:rPr>
          <w:rFonts w:cs="Arial"/>
          <w:i/>
          <w:iCs/>
        </w:rPr>
        <w:t xml:space="preserve"> </w:t>
      </w:r>
      <w:r w:rsidRPr="00F34813">
        <w:rPr>
          <w:rFonts w:cs="Arial"/>
        </w:rPr>
        <w:t xml:space="preserve">has been developed in consultation with </w:t>
      </w:r>
      <w:r w:rsidR="0009015F">
        <w:rPr>
          <w:rFonts w:cs="Arial"/>
        </w:rPr>
        <w:t>an</w:t>
      </w:r>
      <w:r w:rsidRPr="00F34813">
        <w:rPr>
          <w:rFonts w:cs="Arial"/>
        </w:rPr>
        <w:t xml:space="preserve"> </w:t>
      </w:r>
      <w:r w:rsidR="0009015F" w:rsidRPr="0009015F">
        <w:rPr>
          <w:rFonts w:cs="Arial"/>
          <w:lang w:val="en-GB"/>
        </w:rPr>
        <w:t>Advisory Group, including CQR experts and representatives from all stat</w:t>
      </w:r>
      <w:r w:rsidR="0009015F">
        <w:rPr>
          <w:rFonts w:cs="Arial"/>
          <w:lang w:val="en-GB"/>
        </w:rPr>
        <w:t>es</w:t>
      </w:r>
      <w:r w:rsidR="0009015F" w:rsidRPr="0009015F">
        <w:rPr>
          <w:rFonts w:cs="Arial"/>
          <w:lang w:val="en-GB"/>
        </w:rPr>
        <w:t xml:space="preserve"> and territories, </w:t>
      </w:r>
      <w:r w:rsidR="0009015F">
        <w:rPr>
          <w:rFonts w:cs="Arial"/>
          <w:lang w:val="en-GB"/>
        </w:rPr>
        <w:t>as well as</w:t>
      </w:r>
      <w:r w:rsidRPr="00F34813">
        <w:rPr>
          <w:rFonts w:cs="Arial"/>
        </w:rPr>
        <w:t xml:space="preserve"> CQR experts in health data systems. </w:t>
      </w:r>
    </w:p>
    <w:p w14:paraId="378E4377" w14:textId="6F744EB4" w:rsidR="00622FFC" w:rsidRPr="00841984" w:rsidRDefault="00000000" w:rsidP="00841984">
      <w:pPr>
        <w:rPr>
          <w:rFonts w:ascii="AppleSystemUIFont" w:hAnsi="AppleSystemUIFont" w:cs="AppleSystemUIFont"/>
          <w:sz w:val="26"/>
          <w:szCs w:val="26"/>
          <w:lang w:val="en-GB"/>
        </w:rPr>
      </w:pPr>
      <w:hyperlink w:anchor="_2._Considerations_in" w:tooltip="Current document - Section 2: Considerations in securing Clinical Quality Registries " w:history="1">
        <w:r w:rsidR="00841984" w:rsidRPr="000B7E1D">
          <w:rPr>
            <w:rStyle w:val="Hyperlink"/>
            <w:i/>
            <w:iCs/>
          </w:rPr>
          <w:t>Section 2: Considerations in securing Clinical Quality Registries</w:t>
        </w:r>
      </w:hyperlink>
      <w:r w:rsidR="00841984" w:rsidRPr="00841984">
        <w:t xml:space="preserve"> </w:t>
      </w:r>
      <w:r w:rsidR="00622FFC" w:rsidRPr="00841984">
        <w:t>defines</w:t>
      </w:r>
      <w:r w:rsidR="00622FFC" w:rsidRPr="00F34813">
        <w:t xml:space="preserve"> the key elements of information security and outlines some of the common threats to CQRs.</w:t>
      </w:r>
    </w:p>
    <w:p w14:paraId="67BEF343" w14:textId="3D63DCDC" w:rsidR="00622FFC" w:rsidRPr="00F34813" w:rsidRDefault="00000000" w:rsidP="00622FFC">
      <w:pPr>
        <w:rPr>
          <w:rFonts w:cs="Arial"/>
        </w:rPr>
      </w:pPr>
      <w:hyperlink w:anchor="_3._System_and" w:tooltip="Current document - Section 3: System and infrastructure risk profiles" w:history="1">
        <w:r w:rsidR="000B7E1D" w:rsidRPr="000B7E1D">
          <w:rPr>
            <w:rStyle w:val="Hyperlink"/>
            <w:i/>
            <w:iCs/>
          </w:rPr>
          <w:t>Section 3: System and infrastructure risk profiles</w:t>
        </w:r>
      </w:hyperlink>
      <w:r w:rsidR="000B7E1D" w:rsidRPr="000B7E1D">
        <w:t xml:space="preserve"> </w:t>
      </w:r>
      <w:r w:rsidR="00622FFC">
        <w:rPr>
          <w:rFonts w:cs="Arial"/>
        </w:rPr>
        <w:t xml:space="preserve">outlines </w:t>
      </w:r>
      <w:r w:rsidR="00622FFC" w:rsidRPr="00F34813">
        <w:rPr>
          <w:rFonts w:cs="Arial"/>
        </w:rPr>
        <w:t xml:space="preserve">risk profiles for </w:t>
      </w:r>
      <w:r w:rsidR="00D67207">
        <w:rPr>
          <w:rFonts w:cs="Arial"/>
        </w:rPr>
        <w:t>CQRs</w:t>
      </w:r>
      <w:r w:rsidR="00622FFC" w:rsidRPr="00F34813">
        <w:rPr>
          <w:rFonts w:cs="Arial"/>
        </w:rPr>
        <w:t>.</w:t>
      </w:r>
    </w:p>
    <w:p w14:paraId="238732AC" w14:textId="3E28443C" w:rsidR="00622FFC" w:rsidRPr="00F34813" w:rsidRDefault="00000000" w:rsidP="00622FFC">
      <w:pPr>
        <w:rPr>
          <w:rFonts w:cs="Arial"/>
        </w:rPr>
      </w:pPr>
      <w:hyperlink w:anchor="_4._Security_assessment" w:tooltip="Current document - Section 4: Security assessment approach" w:history="1">
        <w:r w:rsidR="000B7E1D" w:rsidRPr="000B7E1D">
          <w:rPr>
            <w:rStyle w:val="Hyperlink"/>
            <w:i/>
            <w:iCs/>
          </w:rPr>
          <w:t>Section 4: Security assessment approach</w:t>
        </w:r>
      </w:hyperlink>
      <w:r w:rsidR="000B7E1D">
        <w:rPr>
          <w:rFonts w:cs="Arial"/>
        </w:rPr>
        <w:t xml:space="preserve"> </w:t>
      </w:r>
      <w:r w:rsidR="00622FFC" w:rsidRPr="00F34813">
        <w:rPr>
          <w:rFonts w:cs="Arial"/>
        </w:rPr>
        <w:t>describes a high-level approach to the assessment of CQR security compliance, including the measures to be taken to address any identified security gaps.</w:t>
      </w:r>
    </w:p>
    <w:p w14:paraId="14AFC874" w14:textId="7ED66D09" w:rsidR="00622FFC" w:rsidRPr="00F34813" w:rsidRDefault="00000000" w:rsidP="00622FFC">
      <w:pPr>
        <w:rPr>
          <w:rFonts w:cs="Arial"/>
        </w:rPr>
      </w:pPr>
      <w:hyperlink w:anchor="_5._Security_compliance" w:tooltip="Current document - Section 5: Security compliance checklists for CQR ‘recommended practice’" w:history="1">
        <w:r w:rsidR="000B7E1D" w:rsidRPr="000B7E1D">
          <w:rPr>
            <w:rStyle w:val="Hyperlink"/>
            <w:i/>
            <w:iCs/>
          </w:rPr>
          <w:t>Section 5: Security compliance checklists for CQR ‘recommended practice’</w:t>
        </w:r>
      </w:hyperlink>
      <w:r w:rsidR="000B7E1D" w:rsidRPr="000B7E1D">
        <w:t xml:space="preserve"> </w:t>
      </w:r>
      <w:r w:rsidR="00622FFC" w:rsidRPr="00D0707C">
        <w:rPr>
          <w:rFonts w:cs="Arial"/>
        </w:rPr>
        <w:t>help CQRs assess their security practices across a number of key security domains for minimum 'recommended practice' requirements.</w:t>
      </w:r>
    </w:p>
    <w:bookmarkStart w:id="15" w:name="_Hlk103501506"/>
    <w:p w14:paraId="36A9C70F" w14:textId="4FE54630" w:rsidR="00622FFC" w:rsidRPr="00F34813" w:rsidRDefault="000B7E1D" w:rsidP="00622FFC">
      <w:pPr>
        <w:rPr>
          <w:rFonts w:cs="Arial"/>
        </w:rPr>
      </w:pPr>
      <w:r>
        <w:rPr>
          <w:i/>
          <w:iCs/>
        </w:rPr>
        <w:fldChar w:fldCharType="begin"/>
      </w:r>
      <w:r w:rsidR="00953A07">
        <w:rPr>
          <w:i/>
          <w:iCs/>
        </w:rPr>
        <w:instrText>HYPERLINK  \l "_6._Data_breaches" \o "Current document - Section 6: Data breaches"</w:instrText>
      </w:r>
      <w:r>
        <w:rPr>
          <w:i/>
          <w:iCs/>
        </w:rPr>
      </w:r>
      <w:r>
        <w:rPr>
          <w:i/>
          <w:iCs/>
        </w:rPr>
        <w:fldChar w:fldCharType="separate"/>
      </w:r>
      <w:r w:rsidRPr="000B7E1D">
        <w:rPr>
          <w:rStyle w:val="Hyperlink"/>
          <w:i/>
          <w:iCs/>
        </w:rPr>
        <w:t>Section 6: Data breaches</w:t>
      </w:r>
      <w:r>
        <w:rPr>
          <w:i/>
          <w:iCs/>
        </w:rPr>
        <w:fldChar w:fldCharType="end"/>
      </w:r>
      <w:r>
        <w:rPr>
          <w:rFonts w:cs="Arial"/>
        </w:rPr>
        <w:t xml:space="preserve"> </w:t>
      </w:r>
      <w:r w:rsidR="00622FFC" w:rsidRPr="00F34813">
        <w:rPr>
          <w:rFonts w:cs="Arial"/>
        </w:rPr>
        <w:t xml:space="preserve">provides </w:t>
      </w:r>
      <w:r w:rsidR="00622FFC">
        <w:rPr>
          <w:rFonts w:cs="Arial"/>
        </w:rPr>
        <w:t xml:space="preserve">guidance from the </w:t>
      </w:r>
      <w:r w:rsidR="00622FFC" w:rsidRPr="00BF5DA0">
        <w:rPr>
          <w:rFonts w:cs="Arial"/>
        </w:rPr>
        <w:t>Office of the Australian Information Commissioner</w:t>
      </w:r>
      <w:r w:rsidR="00622FFC">
        <w:rPr>
          <w:rFonts w:cs="Arial"/>
        </w:rPr>
        <w:t xml:space="preserve"> (OAIC)</w:t>
      </w:r>
      <w:r w:rsidR="00622FFC" w:rsidRPr="00BF5DA0">
        <w:rPr>
          <w:rFonts w:cs="Arial"/>
        </w:rPr>
        <w:t xml:space="preserve"> </w:t>
      </w:r>
      <w:r w:rsidR="00622FFC">
        <w:rPr>
          <w:rFonts w:cs="Arial"/>
        </w:rPr>
        <w:t>on how to respond to data breaches.</w:t>
      </w:r>
      <w:r w:rsidR="00622FFC" w:rsidRPr="00F34813">
        <w:rPr>
          <w:rFonts w:cs="Arial"/>
        </w:rPr>
        <w:t xml:space="preserve"> </w:t>
      </w:r>
      <w:bookmarkEnd w:id="15"/>
    </w:p>
    <w:p w14:paraId="2A4657C7" w14:textId="77777777" w:rsidR="00622FFC" w:rsidRDefault="00622FFC" w:rsidP="00622FFC">
      <w:pPr>
        <w:pStyle w:val="Heading1"/>
      </w:pPr>
      <w:bookmarkStart w:id="16" w:name="_2._Considerations_in"/>
      <w:bookmarkEnd w:id="16"/>
      <w:r>
        <w:rPr>
          <w:lang w:val="en-US"/>
        </w:rPr>
        <w:br w:type="page"/>
      </w:r>
      <w:bookmarkStart w:id="17" w:name="_Ref350944780"/>
      <w:bookmarkStart w:id="18" w:name="_Ref350944786"/>
      <w:bookmarkStart w:id="19" w:name="_Ref350944808"/>
      <w:bookmarkStart w:id="20" w:name="_Toc156467966"/>
      <w:bookmarkStart w:id="21" w:name="_Toc158286568"/>
      <w:bookmarkStart w:id="22" w:name="_Toc158802049"/>
      <w:bookmarkStart w:id="23" w:name="_Toc160197577"/>
      <w:bookmarkStart w:id="24" w:name="_Toc170135013"/>
      <w:r>
        <w:rPr>
          <w:lang w:val="en-US"/>
        </w:rPr>
        <w:lastRenderedPageBreak/>
        <w:t>2.</w:t>
      </w:r>
      <w:r>
        <w:rPr>
          <w:lang w:val="en-US"/>
        </w:rPr>
        <w:tab/>
      </w:r>
      <w:r w:rsidRPr="002D0444">
        <w:t>Considerations in securing Clinical Quality Registries</w:t>
      </w:r>
      <w:bookmarkEnd w:id="17"/>
      <w:bookmarkEnd w:id="18"/>
      <w:bookmarkEnd w:id="19"/>
      <w:bookmarkEnd w:id="20"/>
      <w:bookmarkEnd w:id="21"/>
      <w:bookmarkEnd w:id="22"/>
      <w:bookmarkEnd w:id="23"/>
      <w:bookmarkEnd w:id="24"/>
    </w:p>
    <w:p w14:paraId="67A23226" w14:textId="77777777" w:rsidR="00622FFC" w:rsidRPr="00653628" w:rsidRDefault="00622FFC" w:rsidP="00622FFC"/>
    <w:p w14:paraId="546AD93C" w14:textId="21D28846" w:rsidR="00622FFC" w:rsidRDefault="00622FFC" w:rsidP="00622FFC">
      <w:pPr>
        <w:pStyle w:val="PulloutTextBody"/>
      </w:pPr>
      <w:bookmarkStart w:id="25" w:name="_Toc156467967"/>
      <w:bookmarkStart w:id="26" w:name="_Toc158286569"/>
      <w:bookmarkStart w:id="27" w:name="_Toc158802050"/>
      <w:bookmarkStart w:id="28" w:name="_Toc160197578"/>
      <w:r w:rsidRPr="00F34813">
        <w:t xml:space="preserve">This section defines the key elements of information security and sets out the context </w:t>
      </w:r>
      <w:r w:rsidR="00C15BEF">
        <w:br/>
      </w:r>
      <w:r w:rsidRPr="00F34813">
        <w:t xml:space="preserve">for information security for CQRs including confidentiality, integrity and availability. </w:t>
      </w:r>
      <w:r w:rsidR="00C15BEF">
        <w:br/>
      </w:r>
      <w:r w:rsidRPr="00F34813">
        <w:t>It discusses possible threats to a CQR, requirements to be managed</w:t>
      </w:r>
      <w:r>
        <w:t>,</w:t>
      </w:r>
      <w:r w:rsidRPr="00F34813">
        <w:t xml:space="preserve"> and relevant influences from legislation.</w:t>
      </w:r>
    </w:p>
    <w:p w14:paraId="28C39F35" w14:textId="77777777" w:rsidR="002C2D87" w:rsidRDefault="002C2D87" w:rsidP="002C2D87"/>
    <w:p w14:paraId="221CAF30" w14:textId="77777777" w:rsidR="00622FFC" w:rsidRPr="00DF716F" w:rsidRDefault="00622FFC" w:rsidP="00622FFC">
      <w:pPr>
        <w:pStyle w:val="Heading2"/>
      </w:pPr>
      <w:bookmarkStart w:id="29" w:name="_Toc170135014"/>
      <w:r w:rsidRPr="00DF716F">
        <w:t>Definitions of key elements of information security</w:t>
      </w:r>
      <w:bookmarkEnd w:id="25"/>
      <w:bookmarkEnd w:id="26"/>
      <w:bookmarkEnd w:id="27"/>
      <w:bookmarkEnd w:id="28"/>
      <w:bookmarkEnd w:id="29"/>
    </w:p>
    <w:p w14:paraId="4179767D" w14:textId="77777777" w:rsidR="00622FFC" w:rsidRDefault="00622FFC" w:rsidP="00622FFC">
      <w:pPr>
        <w:rPr>
          <w:rFonts w:cs="Arial"/>
        </w:rPr>
      </w:pPr>
      <w:r w:rsidRPr="00367BE1">
        <w:rPr>
          <w:rFonts w:cs="Arial"/>
        </w:rPr>
        <w:t>The information held by CQRs is a core health data asset. Protecting the confidentiality, integrity and availability of this asset is the focus of information security. These three key elements of information security are defined below</w:t>
      </w:r>
      <w:r w:rsidRPr="00A47811">
        <w:rPr>
          <w:rFonts w:cs="Arial"/>
          <w:vertAlign w:val="superscript"/>
        </w:rPr>
        <w:t>2</w:t>
      </w:r>
      <w:r w:rsidRPr="00367BE1">
        <w:rPr>
          <w:rFonts w:cs="Arial"/>
        </w:rPr>
        <w:t>:</w:t>
      </w:r>
    </w:p>
    <w:p w14:paraId="5AEFB7E7" w14:textId="77777777" w:rsidR="008E2CAE" w:rsidRPr="00367BE1" w:rsidRDefault="008E2CAE" w:rsidP="00622FFC">
      <w:pPr>
        <w:rPr>
          <w:rFonts w:cs="Arial"/>
        </w:rPr>
      </w:pPr>
    </w:p>
    <w:tbl>
      <w:tblPr>
        <w:tblStyle w:val="SurveyQuestions"/>
        <w:tblpPr w:leftFromText="180" w:rightFromText="180" w:vertAnchor="text" w:tblpY="1"/>
        <w:tblW w:w="9023" w:type="dxa"/>
        <w:tblLayout w:type="fixed"/>
        <w:tblLook w:val="01E0" w:firstRow="1" w:lastRow="1" w:firstColumn="1" w:lastColumn="1" w:noHBand="0" w:noVBand="0"/>
      </w:tblPr>
      <w:tblGrid>
        <w:gridCol w:w="2410"/>
        <w:gridCol w:w="6613"/>
      </w:tblGrid>
      <w:tr w:rsidR="00622FFC" w:rsidRPr="00F34813" w14:paraId="126F6F52" w14:textId="77777777" w:rsidTr="00F07A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BC38022" w14:textId="77777777" w:rsidR="00622FFC" w:rsidRPr="00BD374F" w:rsidRDefault="00622FFC" w:rsidP="00F07AF8">
            <w:r w:rsidRPr="00BD374F">
              <w:t xml:space="preserve">Element </w:t>
            </w:r>
          </w:p>
        </w:tc>
        <w:tc>
          <w:tcPr>
            <w:tcW w:w="6613" w:type="dxa"/>
          </w:tcPr>
          <w:p w14:paraId="461799AE" w14:textId="77777777" w:rsidR="00622FFC" w:rsidRPr="00F34813" w:rsidRDefault="00622FFC" w:rsidP="00F07AF8">
            <w:pPr>
              <w:cnfStyle w:val="100000000000" w:firstRow="1" w:lastRow="0" w:firstColumn="0" w:lastColumn="0" w:oddVBand="0" w:evenVBand="0" w:oddHBand="0" w:evenHBand="0" w:firstRowFirstColumn="0" w:firstRowLastColumn="0" w:lastRowFirstColumn="0" w:lastRowLastColumn="0"/>
            </w:pPr>
            <w:r>
              <w:t xml:space="preserve">Description </w:t>
            </w:r>
          </w:p>
        </w:tc>
      </w:tr>
      <w:tr w:rsidR="00622FFC" w:rsidRPr="00F34813" w14:paraId="11BE6411" w14:textId="77777777" w:rsidTr="00F07AF8">
        <w:tc>
          <w:tcPr>
            <w:cnfStyle w:val="001000000000" w:firstRow="0" w:lastRow="0" w:firstColumn="1" w:lastColumn="0" w:oddVBand="0" w:evenVBand="0" w:oddHBand="0" w:evenHBand="0" w:firstRowFirstColumn="0" w:firstRowLastColumn="0" w:lastRowFirstColumn="0" w:lastRowLastColumn="0"/>
            <w:tcW w:w="2410" w:type="dxa"/>
          </w:tcPr>
          <w:p w14:paraId="580E5EBA" w14:textId="77777777" w:rsidR="00622FFC" w:rsidRPr="00F34813" w:rsidRDefault="00622FFC" w:rsidP="00F07AF8">
            <w:pPr>
              <w:rPr>
                <w:b w:val="0"/>
                <w:bCs/>
              </w:rPr>
            </w:pPr>
            <w:r w:rsidRPr="00F34813">
              <w:rPr>
                <w:bCs/>
              </w:rPr>
              <w:t>Confidentiality</w:t>
            </w:r>
          </w:p>
          <w:p w14:paraId="3A54D96A" w14:textId="77777777" w:rsidR="00622FFC" w:rsidRPr="00F34813" w:rsidRDefault="00622FFC" w:rsidP="00F07AF8">
            <w:pPr>
              <w:rPr>
                <w:b w:val="0"/>
                <w:bCs/>
              </w:rPr>
            </w:pPr>
          </w:p>
        </w:tc>
        <w:tc>
          <w:tcPr>
            <w:tcW w:w="6613" w:type="dxa"/>
          </w:tcPr>
          <w:p w14:paraId="64259B29" w14:textId="77777777" w:rsidR="00622FFC" w:rsidRPr="00F34813" w:rsidRDefault="00622FFC" w:rsidP="00F07AF8">
            <w:pPr>
              <w:cnfStyle w:val="000000000000" w:firstRow="0" w:lastRow="0" w:firstColumn="0" w:lastColumn="0" w:oddVBand="0" w:evenVBand="0" w:oddHBand="0" w:evenHBand="0" w:firstRowFirstColumn="0" w:firstRowLastColumn="0" w:lastRowFirstColumn="0" w:lastRowLastColumn="0"/>
            </w:pPr>
            <w:r w:rsidRPr="00F34813">
              <w:t xml:space="preserve">Refers to ensuring that information is accessible and available </w:t>
            </w:r>
            <w:r>
              <w:t xml:space="preserve">only </w:t>
            </w:r>
            <w:r w:rsidRPr="00F34813">
              <w:t xml:space="preserve">to those authorised to have access. </w:t>
            </w:r>
          </w:p>
        </w:tc>
      </w:tr>
      <w:tr w:rsidR="00622FFC" w:rsidRPr="00F34813" w14:paraId="1468FCB3" w14:textId="77777777" w:rsidTr="00F07AF8">
        <w:tc>
          <w:tcPr>
            <w:cnfStyle w:val="001000000000" w:firstRow="0" w:lastRow="0" w:firstColumn="1" w:lastColumn="0" w:oddVBand="0" w:evenVBand="0" w:oddHBand="0" w:evenHBand="0" w:firstRowFirstColumn="0" w:firstRowLastColumn="0" w:lastRowFirstColumn="0" w:lastRowLastColumn="0"/>
            <w:tcW w:w="2410" w:type="dxa"/>
          </w:tcPr>
          <w:p w14:paraId="5011906E" w14:textId="77777777" w:rsidR="00622FFC" w:rsidRPr="00F34813" w:rsidRDefault="00622FFC" w:rsidP="00F07AF8">
            <w:pPr>
              <w:rPr>
                <w:b w:val="0"/>
                <w:bCs/>
              </w:rPr>
            </w:pPr>
            <w:r w:rsidRPr="00F34813">
              <w:rPr>
                <w:bCs/>
              </w:rPr>
              <w:t>Integrity</w:t>
            </w:r>
          </w:p>
        </w:tc>
        <w:tc>
          <w:tcPr>
            <w:tcW w:w="6613" w:type="dxa"/>
          </w:tcPr>
          <w:p w14:paraId="4CDEA4E6" w14:textId="77777777" w:rsidR="00622FFC" w:rsidRPr="00F34813" w:rsidRDefault="00622FFC" w:rsidP="00F07AF8">
            <w:pPr>
              <w:cnfStyle w:val="000000000000" w:firstRow="0" w:lastRow="0" w:firstColumn="0" w:lastColumn="0" w:oddVBand="0" w:evenVBand="0" w:oddHBand="0" w:evenHBand="0" w:firstRowFirstColumn="0" w:firstRowLastColumn="0" w:lastRowFirstColumn="0" w:lastRowLastColumn="0"/>
            </w:pPr>
            <w:r w:rsidRPr="00F34813">
              <w:t>Refers to being able to store, use, transfer and retrieve information with confidence that the information has not been tampered with</w:t>
            </w:r>
            <w:r>
              <w:t xml:space="preserve"> or altered</w:t>
            </w:r>
            <w:r w:rsidRPr="00F34813">
              <w:t xml:space="preserve"> other than through authorised transactions. </w:t>
            </w:r>
            <w:r w:rsidRPr="00367BE1">
              <w:t xml:space="preserve">Information integrity contributes to confidentiality by protecting access control data, audit trails and other system data that enable the identification of breaches in confidentiality. </w:t>
            </w:r>
          </w:p>
        </w:tc>
      </w:tr>
      <w:tr w:rsidR="00622FFC" w:rsidRPr="00F34813" w14:paraId="7F650DA1" w14:textId="77777777" w:rsidTr="00F07AF8">
        <w:tc>
          <w:tcPr>
            <w:cnfStyle w:val="001000000000" w:firstRow="0" w:lastRow="0" w:firstColumn="1" w:lastColumn="0" w:oddVBand="0" w:evenVBand="0" w:oddHBand="0" w:evenHBand="0" w:firstRowFirstColumn="0" w:firstRowLastColumn="0" w:lastRowFirstColumn="0" w:lastRowLastColumn="0"/>
            <w:tcW w:w="2410" w:type="dxa"/>
          </w:tcPr>
          <w:p w14:paraId="1AB31D25" w14:textId="77777777" w:rsidR="00622FFC" w:rsidRPr="00F34813" w:rsidRDefault="00622FFC" w:rsidP="00F07AF8">
            <w:pPr>
              <w:rPr>
                <w:b w:val="0"/>
                <w:bCs/>
              </w:rPr>
            </w:pPr>
            <w:r w:rsidRPr="00F34813">
              <w:rPr>
                <w:bCs/>
              </w:rPr>
              <w:t>Availability</w:t>
            </w:r>
          </w:p>
        </w:tc>
        <w:tc>
          <w:tcPr>
            <w:tcW w:w="6613" w:type="dxa"/>
          </w:tcPr>
          <w:p w14:paraId="6471DE2B" w14:textId="77777777" w:rsidR="00622FFC" w:rsidRPr="00F34813" w:rsidRDefault="00622FFC" w:rsidP="00F07AF8">
            <w:pPr>
              <w:cnfStyle w:val="000000000000" w:firstRow="0" w:lastRow="0" w:firstColumn="0" w:lastColumn="0" w:oddVBand="0" w:evenVBand="0" w:oddHBand="0" w:evenHBand="0" w:firstRowFirstColumn="0" w:firstRowLastColumn="0" w:lastRowFirstColumn="0" w:lastRowLastColumn="0"/>
            </w:pPr>
            <w:r w:rsidRPr="00F34813">
              <w:t xml:space="preserve">Ensures that information </w:t>
            </w:r>
            <w:r w:rsidRPr="00367BE1">
              <w:t xml:space="preserve">can be accessed by authorised </w:t>
            </w:r>
            <w:r w:rsidRPr="00F34813">
              <w:t>individuals when and where it is required.</w:t>
            </w:r>
          </w:p>
        </w:tc>
      </w:tr>
    </w:tbl>
    <w:p w14:paraId="62C8DCE9" w14:textId="283C82DB" w:rsidR="00622FFC" w:rsidRPr="000611D8" w:rsidRDefault="00622FFC" w:rsidP="00D60EAC">
      <w:pPr>
        <w:pStyle w:val="Heading2"/>
        <w:tabs>
          <w:tab w:val="left" w:pos="9214"/>
        </w:tabs>
      </w:pPr>
      <w:bookmarkStart w:id="30" w:name="_Toc156467968"/>
      <w:bookmarkStart w:id="31" w:name="_Toc158286570"/>
      <w:bookmarkStart w:id="32" w:name="_Toc158802051"/>
      <w:bookmarkStart w:id="33" w:name="_Toc160197579"/>
      <w:bookmarkStart w:id="34" w:name="_Toc170135015"/>
      <w:r w:rsidRPr="000611D8">
        <w:t>Common threats to information</w:t>
      </w:r>
      <w:bookmarkEnd w:id="30"/>
      <w:bookmarkEnd w:id="31"/>
      <w:bookmarkEnd w:id="32"/>
      <w:bookmarkEnd w:id="33"/>
      <w:bookmarkEnd w:id="34"/>
      <w:r w:rsidRPr="000611D8">
        <w:t xml:space="preserve"> </w:t>
      </w:r>
    </w:p>
    <w:p w14:paraId="4ECFC769" w14:textId="77777777" w:rsidR="00622FFC" w:rsidRPr="00367BE1" w:rsidRDefault="00622FFC" w:rsidP="00622FFC">
      <w:pPr>
        <w:rPr>
          <w:rFonts w:cs="Arial"/>
        </w:rPr>
      </w:pPr>
      <w:r w:rsidRPr="00367BE1">
        <w:rPr>
          <w:rFonts w:cs="Arial"/>
        </w:rPr>
        <w:t xml:space="preserve">Threats to information security exploit not only vulnerabilities in information systems, but also vulnerabilities in the processes and people that support and use those systems. Threats may come from internal or external sources. They may be accidental or deliberate, malicious, or well intentioned. Threats may have an impact on elements of information security individually or on all the elements at the same time. </w:t>
      </w:r>
    </w:p>
    <w:p w14:paraId="1421EF26" w14:textId="77777777" w:rsidR="00622FFC" w:rsidRPr="00F34813" w:rsidRDefault="00622FFC" w:rsidP="00622FFC">
      <w:pPr>
        <w:rPr>
          <w:rFonts w:cs="Arial"/>
        </w:rPr>
      </w:pPr>
      <w:r w:rsidRPr="00F34813">
        <w:rPr>
          <w:rFonts w:cs="Arial"/>
        </w:rPr>
        <w:t xml:space="preserve">The process of </w:t>
      </w:r>
      <w:r w:rsidRPr="00367BE1">
        <w:rPr>
          <w:rFonts w:cs="Arial"/>
        </w:rPr>
        <w:t xml:space="preserve">identifying, categorising and assessing threats to CQRs is an important part of this Guideline. In essence, it is a threat ‘catalogue’ that </w:t>
      </w:r>
      <w:r w:rsidRPr="00F34813">
        <w:rPr>
          <w:rFonts w:cs="Arial"/>
        </w:rPr>
        <w:t xml:space="preserve">lists the potential ways the information and functions of a CQR may be compromised. The </w:t>
      </w:r>
      <w:r>
        <w:rPr>
          <w:rFonts w:cs="Arial"/>
        </w:rPr>
        <w:t>following are</w:t>
      </w:r>
      <w:r w:rsidRPr="00F34813">
        <w:rPr>
          <w:rFonts w:cs="Arial"/>
        </w:rPr>
        <w:t xml:space="preserve"> the most common </w:t>
      </w:r>
      <w:r>
        <w:rPr>
          <w:rFonts w:cs="Arial"/>
        </w:rPr>
        <w:t xml:space="preserve">cybersecurity </w:t>
      </w:r>
      <w:r w:rsidRPr="00F34813">
        <w:rPr>
          <w:rFonts w:cs="Arial"/>
        </w:rPr>
        <w:t>threats and associated vulnerabilities that may exist within the CQR environment:</w:t>
      </w:r>
    </w:p>
    <w:p w14:paraId="493DAE4D" w14:textId="77777777" w:rsidR="008E2CAE" w:rsidRDefault="00622FFC" w:rsidP="00622FFC">
      <w:pPr>
        <w:pStyle w:val="ListParagraph"/>
        <w:numPr>
          <w:ilvl w:val="0"/>
          <w:numId w:val="30"/>
        </w:numPr>
      </w:pPr>
      <w:r w:rsidRPr="00A47811">
        <w:rPr>
          <w:b/>
          <w:bCs/>
        </w:rPr>
        <w:t>Phishing</w:t>
      </w:r>
      <w:r w:rsidRPr="00A47811">
        <w:br/>
        <w:t xml:space="preserve">This attack is designed to steal sensitive information, such as usernames and passwords. Phishing attacks come in the form of phishing emails or messages that are designed to look legitimate. They may impersonate reputable websites and personal contacts. Once the user clicks the URL or replies to the message, they are prompted to enter their credentials, </w:t>
      </w:r>
      <w:r w:rsidRPr="00A47811">
        <w:lastRenderedPageBreak/>
        <w:t>unwittingly sharing this information with the malicious source. The user may use those same credentials to access the CQR system.</w:t>
      </w:r>
    </w:p>
    <w:p w14:paraId="74E03CC6" w14:textId="6A7C9A70" w:rsidR="00622FFC" w:rsidRPr="00A47811" w:rsidRDefault="00622FFC" w:rsidP="008E2CAE">
      <w:pPr>
        <w:pStyle w:val="ListParagraph"/>
      </w:pPr>
      <w:r w:rsidRPr="00A47811">
        <w:t xml:space="preserve"> </w:t>
      </w:r>
    </w:p>
    <w:p w14:paraId="59886C11" w14:textId="77777777" w:rsidR="00622FFC" w:rsidRPr="00A47811" w:rsidRDefault="00622FFC" w:rsidP="00622FFC">
      <w:pPr>
        <w:pStyle w:val="ListParagraph"/>
        <w:numPr>
          <w:ilvl w:val="0"/>
          <w:numId w:val="30"/>
        </w:numPr>
      </w:pPr>
      <w:r w:rsidRPr="00A47811">
        <w:rPr>
          <w:b/>
          <w:bCs/>
        </w:rPr>
        <w:t>Virus, malware or spyware attacks</w:t>
      </w:r>
      <w:r w:rsidRPr="00A47811">
        <w:br/>
        <w:t>Cyber attackers use various means to get malware onto a user’s device, such as sending an SMS or email and asking the user to click a link, download a file or launch an application. Once the malware is installed, it can monitor user activities, send confidential data to the attacker, and assist the attacker in penetrating other targets within a healthcare provider’s IT network.</w:t>
      </w:r>
    </w:p>
    <w:p w14:paraId="61A6B6D8" w14:textId="77777777" w:rsidR="00622FFC" w:rsidRPr="00A47811" w:rsidRDefault="00622FFC" w:rsidP="00622FFC">
      <w:pPr>
        <w:pStyle w:val="ListParagraph"/>
        <w:ind w:left="0"/>
      </w:pPr>
    </w:p>
    <w:p w14:paraId="53C1612C" w14:textId="77777777" w:rsidR="00622FFC" w:rsidRPr="00A47811" w:rsidRDefault="00622FFC" w:rsidP="00622FFC">
      <w:pPr>
        <w:pStyle w:val="ListParagraph"/>
        <w:numPr>
          <w:ilvl w:val="0"/>
          <w:numId w:val="30"/>
        </w:numPr>
      </w:pPr>
      <w:r w:rsidRPr="00A47811">
        <w:rPr>
          <w:b/>
          <w:bCs/>
        </w:rPr>
        <w:t>Password attacks</w:t>
      </w:r>
      <w:r w:rsidRPr="00A47811">
        <w:br/>
        <w:t xml:space="preserve">A hacker can gain access to an individual’s password information by guessing (in either a random or systematic way), monitoring network traffic aka ‘sniffing’, or gaining access to the CQR system. </w:t>
      </w:r>
    </w:p>
    <w:p w14:paraId="3CB9B39F" w14:textId="77777777" w:rsidR="00622FFC" w:rsidRPr="00A47811" w:rsidRDefault="00622FFC" w:rsidP="00622FFC">
      <w:pPr>
        <w:pStyle w:val="ListParagraph"/>
        <w:ind w:left="0"/>
      </w:pPr>
    </w:p>
    <w:p w14:paraId="3B2C9E0C" w14:textId="77777777" w:rsidR="00622FFC" w:rsidRPr="00A47811" w:rsidRDefault="00622FFC" w:rsidP="00622FFC">
      <w:pPr>
        <w:pStyle w:val="ListParagraph"/>
        <w:numPr>
          <w:ilvl w:val="0"/>
          <w:numId w:val="30"/>
        </w:numPr>
        <w:rPr>
          <w:b/>
          <w:bCs/>
        </w:rPr>
      </w:pPr>
      <w:r w:rsidRPr="00A47811">
        <w:rPr>
          <w:b/>
          <w:bCs/>
        </w:rPr>
        <w:t>SQL injection attacks</w:t>
      </w:r>
    </w:p>
    <w:p w14:paraId="39B8108C" w14:textId="77777777" w:rsidR="00622FFC" w:rsidRDefault="00622FFC" w:rsidP="00622FFC">
      <w:pPr>
        <w:pStyle w:val="ListParagraph"/>
      </w:pPr>
      <w:r w:rsidRPr="00A47811">
        <w:t xml:space="preserve">SQL injection is a web security vulnerability that allows an attacker to interfere with the queries an application makes to its database. In general, it allows an attacker to view data that normally they should not be able to retrieve. This may include data belonging to other users, or any other data the application itself can access. In many cases, an attacker can modify or delete this data, causing persistent changes to the application’s content or behaviour. </w:t>
      </w:r>
    </w:p>
    <w:p w14:paraId="2AD9CA5D" w14:textId="0F9BD8F2" w:rsidR="004F116B" w:rsidRDefault="004F116B" w:rsidP="00622FFC">
      <w:r w:rsidRPr="002C2D87">
        <w:rPr>
          <w:i/>
          <w:iCs/>
        </w:rPr>
        <w:t>Section 5</w:t>
      </w:r>
      <w:r w:rsidRPr="00F34813">
        <w:t xml:space="preserve"> of this Guideline </w:t>
      </w:r>
      <w:r>
        <w:t>(</w:t>
      </w:r>
      <w:hyperlink w:anchor="_5._Security_compliance" w:tooltip="Current document - Section 5: Security compliance checklists for CQR ‘recommended practice’" w:history="1">
        <w:r w:rsidRPr="00F307A6">
          <w:rPr>
            <w:rStyle w:val="Hyperlink"/>
            <w:i/>
            <w:iCs/>
          </w:rPr>
          <w:t xml:space="preserve">Security compliance checklists for CQR </w:t>
        </w:r>
        <w:r w:rsidRPr="00F307A6">
          <w:rPr>
            <w:rStyle w:val="Hyperlink"/>
            <w:rFonts w:hint="eastAsia"/>
            <w:i/>
            <w:iCs/>
          </w:rPr>
          <w:t>‘</w:t>
        </w:r>
        <w:r w:rsidRPr="00F307A6">
          <w:rPr>
            <w:rStyle w:val="Hyperlink"/>
            <w:i/>
            <w:iCs/>
          </w:rPr>
          <w:t>recommended practice’</w:t>
        </w:r>
      </w:hyperlink>
      <w:r>
        <w:t xml:space="preserve">) </w:t>
      </w:r>
      <w:r w:rsidRPr="00F34813">
        <w:t>provides detailed guidance and explanation on each security control, categorised by security domain details that will facilitate secure operation in an environment characterised by such threats.</w:t>
      </w:r>
    </w:p>
    <w:p w14:paraId="0D9E5F45" w14:textId="77777777" w:rsidR="004F116B" w:rsidRPr="00A00E8F" w:rsidRDefault="004F116B" w:rsidP="004F116B">
      <w:pPr>
        <w:rPr>
          <w:rFonts w:cs="Arial"/>
        </w:rPr>
      </w:pPr>
    </w:p>
    <w:tbl>
      <w:tblPr>
        <w:tblStyle w:val="PulloutBox"/>
        <w:tblW w:w="5048" w:type="pct"/>
        <w:shd w:val="clear" w:color="auto" w:fill="F2EFE3"/>
        <w:tblLook w:val="0020" w:firstRow="1" w:lastRow="0" w:firstColumn="0" w:lastColumn="0" w:noHBand="0" w:noVBand="0"/>
        <w:tblDescription w:val="Box 1"/>
      </w:tblPr>
      <w:tblGrid>
        <w:gridCol w:w="9731"/>
      </w:tblGrid>
      <w:tr w:rsidR="004F116B" w14:paraId="385C8251" w14:textId="77777777" w:rsidTr="00316534">
        <w:trPr>
          <w:trHeight w:val="1190"/>
        </w:trPr>
        <w:tc>
          <w:tcPr>
            <w:tcW w:w="5000" w:type="pct"/>
            <w:shd w:val="clear" w:color="auto" w:fill="F2EFE3"/>
            <w:tcMar>
              <w:bottom w:w="0" w:type="dxa"/>
            </w:tcMar>
          </w:tcPr>
          <w:p w14:paraId="5F1B60C6" w14:textId="7ACE787C" w:rsidR="004F116B" w:rsidRPr="004F116B" w:rsidRDefault="004F116B" w:rsidP="004F116B">
            <w:pPr>
              <w:rPr>
                <w:b/>
                <w:bCs/>
              </w:rPr>
            </w:pPr>
            <w:r w:rsidRPr="004F116B">
              <w:rPr>
                <w:b/>
                <w:bCs/>
              </w:rPr>
              <w:t xml:space="preserve">For detailed information on cyber security and protective measures, healthcare providers should consult the Australian Digital Health Agency's resources at </w:t>
            </w:r>
            <w:hyperlink r:id="rId20" w:tooltip="Cyber security - Australian Digital Health Agency" w:history="1">
              <w:r w:rsidRPr="004F116B">
                <w:rPr>
                  <w:rStyle w:val="Hyperlink"/>
                  <w:rFonts w:ascii="Arial" w:hAnsi="Arial" w:cs="Arial"/>
                  <w:b/>
                  <w:bCs/>
                </w:rPr>
                <w:t>ADHA Cyber Security</w:t>
              </w:r>
            </w:hyperlink>
            <w:r w:rsidRPr="004F116B">
              <w:rPr>
                <w:rStyle w:val="Hyperlink"/>
                <w:rFonts w:ascii="Arial" w:hAnsi="Arial" w:cs="Arial"/>
                <w:b/>
                <w:bCs/>
              </w:rPr>
              <w:t>.</w:t>
            </w:r>
            <w:r w:rsidRPr="004F116B">
              <w:rPr>
                <w:b/>
                <w:bCs/>
                <w:vertAlign w:val="superscript"/>
              </w:rPr>
              <w:t>3</w:t>
            </w:r>
          </w:p>
        </w:tc>
      </w:tr>
    </w:tbl>
    <w:p w14:paraId="500036F7" w14:textId="77777777" w:rsidR="004F116B" w:rsidRPr="00A00E8F" w:rsidRDefault="004F116B" w:rsidP="004F116B">
      <w:pPr>
        <w:rPr>
          <w:rFonts w:cs="Arial"/>
        </w:rPr>
      </w:pPr>
    </w:p>
    <w:tbl>
      <w:tblPr>
        <w:tblStyle w:val="PulloutBox"/>
        <w:tblW w:w="5048" w:type="pct"/>
        <w:shd w:val="clear" w:color="auto" w:fill="F2EFE3"/>
        <w:tblLook w:val="0020" w:firstRow="1" w:lastRow="0" w:firstColumn="0" w:lastColumn="0" w:noHBand="0" w:noVBand="0"/>
        <w:tblDescription w:val="Box 1"/>
      </w:tblPr>
      <w:tblGrid>
        <w:gridCol w:w="9731"/>
      </w:tblGrid>
      <w:tr w:rsidR="004F116B" w14:paraId="41362F1E" w14:textId="77777777" w:rsidTr="00316534">
        <w:trPr>
          <w:trHeight w:val="1190"/>
        </w:trPr>
        <w:tc>
          <w:tcPr>
            <w:tcW w:w="5000" w:type="pct"/>
            <w:shd w:val="clear" w:color="auto" w:fill="F2EFE3"/>
            <w:tcMar>
              <w:bottom w:w="0" w:type="dxa"/>
            </w:tcMar>
          </w:tcPr>
          <w:p w14:paraId="256F7DB4" w14:textId="5D3A2A6B" w:rsidR="004F116B" w:rsidRPr="004F116B" w:rsidRDefault="004F116B" w:rsidP="004F116B">
            <w:pPr>
              <w:rPr>
                <w:b/>
                <w:bCs/>
              </w:rPr>
            </w:pPr>
            <w:r w:rsidRPr="004F116B">
              <w:rPr>
                <w:b/>
                <w:bCs/>
              </w:rPr>
              <w:t xml:space="preserve">To help fully identify threats that CQRs may encounter, refer to Section 4.4 of </w:t>
            </w:r>
            <w:hyperlink r:id="rId21" w:tooltip="National eHealth Security and Access Framework v4.0  - Australian Digital Health Agency">
              <w:r w:rsidRPr="004F116B">
                <w:rPr>
                  <w:rStyle w:val="Hyperlink"/>
                  <w:rFonts w:cs="Arial"/>
                  <w:b/>
                  <w:bCs/>
                </w:rPr>
                <w:t>NESAF v4 – Business Blueprint v1.0</w:t>
              </w:r>
            </w:hyperlink>
            <w:r w:rsidRPr="004F116B">
              <w:rPr>
                <w:b/>
                <w:bCs/>
              </w:rPr>
              <w:t>, available to download as part of the National eHealth Security and Access Framework v4.0</w:t>
            </w:r>
            <w:r w:rsidRPr="004F116B">
              <w:rPr>
                <w:rStyle w:val="Hyperlink"/>
                <w:b/>
                <w:bCs/>
                <w:i/>
                <w:iCs/>
                <w:u w:val="none"/>
              </w:rPr>
              <w:t>.</w:t>
            </w:r>
            <w:r w:rsidRPr="004F116B">
              <w:rPr>
                <w:b/>
                <w:bCs/>
                <w:vertAlign w:val="superscript"/>
              </w:rPr>
              <w:t>4</w:t>
            </w:r>
          </w:p>
        </w:tc>
      </w:tr>
    </w:tbl>
    <w:p w14:paraId="34CF94BD" w14:textId="77777777" w:rsidR="00622FFC" w:rsidRPr="00315249" w:rsidRDefault="00622FFC" w:rsidP="00622FFC">
      <w:pPr>
        <w:pStyle w:val="Heading2"/>
      </w:pPr>
      <w:bookmarkStart w:id="35" w:name="_Toc103165805"/>
      <w:bookmarkStart w:id="36" w:name="_Toc156467969"/>
      <w:bookmarkStart w:id="37" w:name="_Toc158286571"/>
      <w:bookmarkStart w:id="38" w:name="_Toc158802052"/>
      <w:bookmarkStart w:id="39" w:name="_Toc160197580"/>
      <w:bookmarkStart w:id="40" w:name="_Toc170135016"/>
      <w:bookmarkEnd w:id="35"/>
      <w:r w:rsidRPr="00315249">
        <w:t>Legislation and regulation</w:t>
      </w:r>
      <w:bookmarkEnd w:id="36"/>
      <w:bookmarkEnd w:id="37"/>
      <w:bookmarkEnd w:id="38"/>
      <w:bookmarkEnd w:id="39"/>
      <w:bookmarkEnd w:id="40"/>
      <w:r w:rsidRPr="00315249">
        <w:t xml:space="preserve"> </w:t>
      </w:r>
    </w:p>
    <w:p w14:paraId="1A89DCDF" w14:textId="77777777" w:rsidR="00622FFC" w:rsidRDefault="00622FFC" w:rsidP="00622FFC">
      <w:pPr>
        <w:rPr>
          <w:rFonts w:cs="Arial"/>
        </w:rPr>
      </w:pPr>
      <w:r w:rsidRPr="00367BE1">
        <w:rPr>
          <w:rFonts w:cs="Arial"/>
        </w:rPr>
        <w:t>The privacy of personal health information in Australia is determined by Australian, state and territory government legislation and regulation, as well as private health sector principles and policies.</w:t>
      </w:r>
    </w:p>
    <w:p w14:paraId="35EB120E" w14:textId="23263A68" w:rsidR="00622FFC" w:rsidRDefault="00622FFC" w:rsidP="00622FFC">
      <w:pPr>
        <w:rPr>
          <w:rFonts w:cs="Arial"/>
        </w:rPr>
      </w:pPr>
      <w:r w:rsidRPr="0C105EF7">
        <w:rPr>
          <w:rFonts w:cs="Arial"/>
        </w:rPr>
        <w:t xml:space="preserve">Australian Government agencies and </w:t>
      </w:r>
      <w:r w:rsidR="003B25F9">
        <w:rPr>
          <w:rFonts w:cs="Arial"/>
        </w:rPr>
        <w:t>all private sector health service providers</w:t>
      </w:r>
      <w:r w:rsidRPr="0C105EF7">
        <w:rPr>
          <w:rFonts w:cs="Arial"/>
        </w:rPr>
        <w:t xml:space="preserve"> are covered under the </w:t>
      </w:r>
      <w:r w:rsidRPr="0C105EF7">
        <w:rPr>
          <w:rFonts w:cs="Arial"/>
          <w:i/>
          <w:iCs/>
        </w:rPr>
        <w:t>Privacy Act 1988</w:t>
      </w:r>
      <w:r w:rsidRPr="0C105EF7">
        <w:rPr>
          <w:rFonts w:cs="Arial"/>
          <w:b/>
          <w:bCs/>
          <w:i/>
          <w:iCs/>
          <w:vertAlign w:val="superscript"/>
        </w:rPr>
        <w:t>5</w:t>
      </w:r>
      <w:r w:rsidRPr="0C105EF7">
        <w:rPr>
          <w:rFonts w:cs="Arial"/>
        </w:rPr>
        <w:t xml:space="preserve"> and are subject to </w:t>
      </w:r>
      <w:r w:rsidRPr="0C105EF7">
        <w:rPr>
          <w:rFonts w:cs="Arial"/>
          <w:i/>
          <w:iCs/>
        </w:rPr>
        <w:t>Section 95</w:t>
      </w:r>
      <w:r w:rsidRPr="0C105EF7">
        <w:rPr>
          <w:rFonts w:cs="Arial"/>
        </w:rPr>
        <w:t xml:space="preserve"> of the Act, which governs health data for medical research. Australian Privacy Principle 11</w:t>
      </w:r>
      <w:r w:rsidRPr="0C105EF7">
        <w:rPr>
          <w:rFonts w:cs="Arial"/>
          <w:vertAlign w:val="superscript"/>
        </w:rPr>
        <w:t>6</w:t>
      </w:r>
      <w:r w:rsidRPr="0C105EF7">
        <w:rPr>
          <w:rFonts w:cs="Arial"/>
        </w:rPr>
        <w:t xml:space="preserve"> is also concerned with the security of personal information.</w:t>
      </w:r>
    </w:p>
    <w:p w14:paraId="16208206" w14:textId="77777777" w:rsidR="00622FFC" w:rsidRDefault="00622FFC" w:rsidP="00622FFC">
      <w:pPr>
        <w:rPr>
          <w:rFonts w:cs="Arial"/>
        </w:rPr>
      </w:pPr>
      <w:r w:rsidRPr="00F34813">
        <w:rPr>
          <w:rFonts w:cs="Arial"/>
          <w:i/>
          <w:iCs/>
        </w:rPr>
        <w:t>Guidelines under Section 95 of the Privacy Act 1988</w:t>
      </w:r>
      <w:r w:rsidRPr="00A47811">
        <w:rPr>
          <w:rFonts w:cs="Arial"/>
          <w:i/>
          <w:iCs/>
          <w:vertAlign w:val="superscript"/>
        </w:rPr>
        <w:t>7</w:t>
      </w:r>
      <w:r>
        <w:rPr>
          <w:rFonts w:cs="Arial"/>
          <w:i/>
          <w:iCs/>
        </w:rPr>
        <w:t>,</w:t>
      </w:r>
      <w:r w:rsidRPr="000659BC">
        <w:rPr>
          <w:rFonts w:cs="Arial"/>
          <w:i/>
          <w:iCs/>
          <w:color w:val="FF40FF"/>
        </w:rPr>
        <w:t xml:space="preserve"> </w:t>
      </w:r>
      <w:r w:rsidRPr="00367BE1">
        <w:rPr>
          <w:rFonts w:cs="Arial"/>
        </w:rPr>
        <w:t>issued by the National Health and Medical Research Council (NHMRC)</w:t>
      </w:r>
      <w:r w:rsidRPr="00367BE1">
        <w:rPr>
          <w:rFonts w:cs="Arial"/>
          <w:i/>
          <w:iCs/>
        </w:rPr>
        <w:t xml:space="preserve">, </w:t>
      </w:r>
      <w:r w:rsidRPr="000659BC">
        <w:rPr>
          <w:rFonts w:cs="Arial"/>
        </w:rPr>
        <w:t>state</w:t>
      </w:r>
      <w:r>
        <w:rPr>
          <w:rFonts w:cs="Arial"/>
        </w:rPr>
        <w:t xml:space="preserve"> that</w:t>
      </w:r>
      <w:r w:rsidRPr="00F34813">
        <w:rPr>
          <w:rFonts w:cs="Arial"/>
          <w:i/>
          <w:iCs/>
        </w:rPr>
        <w:t xml:space="preserve"> </w:t>
      </w:r>
      <w:r w:rsidRPr="00F34813">
        <w:rPr>
          <w:rFonts w:cs="Arial"/>
        </w:rPr>
        <w:t xml:space="preserve">“security standards [are] to be applied to the personal </w:t>
      </w:r>
      <w:r>
        <w:rPr>
          <w:rFonts w:cs="Arial"/>
        </w:rPr>
        <w:lastRenderedPageBreak/>
        <w:t>information</w:t>
      </w:r>
      <w:r w:rsidRPr="00F34813">
        <w:rPr>
          <w:rFonts w:cs="Arial"/>
        </w:rPr>
        <w:t>…</w:t>
      </w:r>
      <w:r>
        <w:rPr>
          <w:rFonts w:cs="Arial"/>
        </w:rPr>
        <w:t xml:space="preserve"> </w:t>
      </w:r>
      <w:r w:rsidRPr="00F34813">
        <w:rPr>
          <w:rFonts w:cs="Arial"/>
        </w:rPr>
        <w:t xml:space="preserve">in a form that is at least as secure as it was in the sources from which the personal information was obtained.” </w:t>
      </w:r>
    </w:p>
    <w:p w14:paraId="7828D8F9" w14:textId="77777777" w:rsidR="00622FFC" w:rsidRPr="00F34813" w:rsidRDefault="00622FFC" w:rsidP="00622FFC">
      <w:pPr>
        <w:rPr>
          <w:rFonts w:cs="Arial"/>
        </w:rPr>
      </w:pPr>
      <w:r w:rsidRPr="00F34813">
        <w:rPr>
          <w:rFonts w:cs="Arial"/>
        </w:rPr>
        <w:t xml:space="preserve">Organisations in the private health sector </w:t>
      </w:r>
      <w:r>
        <w:rPr>
          <w:rFonts w:cs="Arial"/>
        </w:rPr>
        <w:t>must also</w:t>
      </w:r>
      <w:r w:rsidRPr="00F34813">
        <w:rPr>
          <w:rFonts w:cs="Arial"/>
        </w:rPr>
        <w:t xml:space="preserve"> comply with the </w:t>
      </w:r>
      <w:r w:rsidRPr="00F34813">
        <w:rPr>
          <w:rFonts w:cs="Arial"/>
          <w:i/>
          <w:iCs/>
        </w:rPr>
        <w:t>Privacy Act 1988</w:t>
      </w:r>
      <w:r w:rsidRPr="00F34813">
        <w:rPr>
          <w:rFonts w:cs="Arial"/>
        </w:rPr>
        <w:t xml:space="preserve"> and are subject to </w:t>
      </w:r>
      <w:r w:rsidRPr="005E446E">
        <w:rPr>
          <w:rFonts w:cs="Arial"/>
          <w:i/>
          <w:iCs/>
        </w:rPr>
        <w:t>Section 95A</w:t>
      </w:r>
      <w:r w:rsidRPr="00F34813">
        <w:rPr>
          <w:rFonts w:cs="Arial"/>
        </w:rPr>
        <w:t xml:space="preserve"> and the Australian Privacy Principles. </w:t>
      </w:r>
    </w:p>
    <w:p w14:paraId="0696EB59" w14:textId="77777777" w:rsidR="00DB5D01" w:rsidRDefault="00622FFC" w:rsidP="00622FFC">
      <w:pPr>
        <w:rPr>
          <w:rFonts w:cs="Arial"/>
        </w:rPr>
      </w:pPr>
      <w:r w:rsidRPr="00F34813">
        <w:rPr>
          <w:rFonts w:cs="Arial"/>
        </w:rPr>
        <w:t xml:space="preserve">The states and the Northern Territory are subject to varying legislative Acts, regulations, privacy principles and policies. </w:t>
      </w:r>
    </w:p>
    <w:p w14:paraId="212B79E4" w14:textId="77777777" w:rsidR="007C570E" w:rsidRPr="00A00E8F" w:rsidRDefault="007C570E" w:rsidP="007C570E">
      <w:pPr>
        <w:rPr>
          <w:rFonts w:cs="Arial"/>
        </w:rPr>
      </w:pPr>
    </w:p>
    <w:tbl>
      <w:tblPr>
        <w:tblStyle w:val="PulloutBox"/>
        <w:tblW w:w="5048" w:type="pct"/>
        <w:shd w:val="clear" w:color="auto" w:fill="F2EFE3"/>
        <w:tblLook w:val="0020" w:firstRow="1" w:lastRow="0" w:firstColumn="0" w:lastColumn="0" w:noHBand="0" w:noVBand="0"/>
        <w:tblDescription w:val="Box 1"/>
      </w:tblPr>
      <w:tblGrid>
        <w:gridCol w:w="9731"/>
      </w:tblGrid>
      <w:tr w:rsidR="007C570E" w14:paraId="5F80AFD8" w14:textId="77777777" w:rsidTr="00316534">
        <w:trPr>
          <w:trHeight w:val="1190"/>
        </w:trPr>
        <w:tc>
          <w:tcPr>
            <w:tcW w:w="5000" w:type="pct"/>
            <w:shd w:val="clear" w:color="auto" w:fill="F2EFE3"/>
            <w:tcMar>
              <w:bottom w:w="0" w:type="dxa"/>
            </w:tcMar>
          </w:tcPr>
          <w:p w14:paraId="1BEFF46D" w14:textId="0028BFEE" w:rsidR="007C570E" w:rsidRPr="007C570E" w:rsidRDefault="007C570E" w:rsidP="00316534">
            <w:pPr>
              <w:rPr>
                <w:rFonts w:cs="Arial"/>
                <w:b/>
                <w:bCs/>
              </w:rPr>
            </w:pPr>
            <w:r w:rsidRPr="007C570E">
              <w:rPr>
                <w:rFonts w:cs="Arial"/>
                <w:b/>
                <w:bCs/>
              </w:rPr>
              <w:t xml:space="preserve">For up-to-date information on privacy law in the states and the Northern Territory, refer to the </w:t>
            </w:r>
            <w:hyperlink r:id="rId22" w:tooltip="State and territory privacy legislation - Australian Information Commissioner (OAIC)" w:history="1">
              <w:r w:rsidRPr="007C570E">
                <w:rPr>
                  <w:rStyle w:val="Hyperlink"/>
                  <w:b/>
                  <w:bCs/>
                </w:rPr>
                <w:t>‘State and territory privacy legislation’ webpage</w:t>
              </w:r>
            </w:hyperlink>
            <w:r w:rsidRPr="007C570E">
              <w:rPr>
                <w:rFonts w:cs="Arial"/>
                <w:b/>
                <w:bCs/>
              </w:rPr>
              <w:t xml:space="preserve"> on the Office of the Australian Information Commissioner (OAIC) website.</w:t>
            </w:r>
            <w:r w:rsidRPr="007C570E">
              <w:rPr>
                <w:rFonts w:cs="Arial"/>
                <w:b/>
                <w:bCs/>
                <w:vertAlign w:val="superscript"/>
              </w:rPr>
              <w:t>8</w:t>
            </w:r>
            <w:r w:rsidRPr="007C570E">
              <w:rPr>
                <w:rFonts w:cs="Arial"/>
                <w:b/>
                <w:bCs/>
              </w:rPr>
              <w:t xml:space="preserve"> </w:t>
            </w:r>
          </w:p>
        </w:tc>
      </w:tr>
    </w:tbl>
    <w:p w14:paraId="66E6DEC9" w14:textId="77777777" w:rsidR="007C570E" w:rsidRPr="00A00E8F" w:rsidRDefault="007C570E" w:rsidP="007C570E">
      <w:pPr>
        <w:rPr>
          <w:rFonts w:cs="Arial"/>
        </w:rPr>
      </w:pPr>
    </w:p>
    <w:tbl>
      <w:tblPr>
        <w:tblStyle w:val="PulloutBox"/>
        <w:tblW w:w="5048" w:type="pct"/>
        <w:shd w:val="clear" w:color="auto" w:fill="F2EFE3"/>
        <w:tblLook w:val="0020" w:firstRow="1" w:lastRow="0" w:firstColumn="0" w:lastColumn="0" w:noHBand="0" w:noVBand="0"/>
        <w:tblDescription w:val="Box 1"/>
      </w:tblPr>
      <w:tblGrid>
        <w:gridCol w:w="9731"/>
      </w:tblGrid>
      <w:tr w:rsidR="007C570E" w14:paraId="3F980C79" w14:textId="77777777" w:rsidTr="00316534">
        <w:trPr>
          <w:trHeight w:val="1190"/>
        </w:trPr>
        <w:tc>
          <w:tcPr>
            <w:tcW w:w="5000" w:type="pct"/>
            <w:shd w:val="clear" w:color="auto" w:fill="F2EFE3"/>
            <w:tcMar>
              <w:bottom w:w="0" w:type="dxa"/>
            </w:tcMar>
          </w:tcPr>
          <w:p w14:paraId="41FDC5BF" w14:textId="1C14B975" w:rsidR="007C570E" w:rsidRPr="007C570E" w:rsidRDefault="007C570E" w:rsidP="00316534">
            <w:pPr>
              <w:rPr>
                <w:rFonts w:cs="Arial"/>
                <w:b/>
                <w:bCs/>
              </w:rPr>
            </w:pPr>
            <w:r w:rsidRPr="007C570E">
              <w:rPr>
                <w:rFonts w:cs="Arial"/>
                <w:b/>
                <w:bCs/>
              </w:rPr>
              <w:t xml:space="preserve">A </w:t>
            </w:r>
            <w:hyperlink r:id="rId23" w:tooltip="Legislation and regulation relating to clinical quality registries - Australian Commission on Safety and Quality in Health Care" w:history="1">
              <w:r w:rsidRPr="007C570E">
                <w:rPr>
                  <w:rStyle w:val="Hyperlink"/>
                  <w:rFonts w:cs="Arial"/>
                  <w:b/>
                  <w:bCs/>
                </w:rPr>
                <w:t>summary of legislation and health data custodial arrangements relating to CQRs</w:t>
              </w:r>
            </w:hyperlink>
            <w:r w:rsidRPr="007C570E">
              <w:rPr>
                <w:rFonts w:cs="Arial"/>
                <w:b/>
                <w:bCs/>
              </w:rPr>
              <w:t xml:space="preserve"> is also available on </w:t>
            </w:r>
            <w:r w:rsidRPr="002E267D">
              <w:rPr>
                <w:rFonts w:cs="Arial"/>
                <w:b/>
                <w:bCs/>
              </w:rPr>
              <w:t>the website</w:t>
            </w:r>
            <w:r w:rsidRPr="007C570E">
              <w:rPr>
                <w:rFonts w:cs="Arial"/>
                <w:b/>
                <w:bCs/>
              </w:rPr>
              <w:t xml:space="preserve"> of the Australian Commission on Safety and Quality in Health Care.</w:t>
            </w:r>
            <w:r w:rsidRPr="007C570E">
              <w:rPr>
                <w:rFonts w:cs="Arial"/>
                <w:b/>
                <w:bCs/>
                <w:vertAlign w:val="superscript"/>
              </w:rPr>
              <w:t>9</w:t>
            </w:r>
            <w:r w:rsidRPr="007C570E">
              <w:rPr>
                <w:rFonts w:cs="Arial"/>
                <w:b/>
                <w:bCs/>
              </w:rPr>
              <w:t xml:space="preserve"> </w:t>
            </w:r>
          </w:p>
        </w:tc>
      </w:tr>
    </w:tbl>
    <w:p w14:paraId="17D83CCC" w14:textId="77777777" w:rsidR="007C570E" w:rsidRDefault="007C570E" w:rsidP="00622FFC">
      <w:pPr>
        <w:rPr>
          <w:rFonts w:cs="Arial"/>
        </w:rPr>
      </w:pPr>
    </w:p>
    <w:p w14:paraId="51F9BC26" w14:textId="77777777" w:rsidR="00622FFC" w:rsidRPr="00F34813" w:rsidRDefault="00622FFC" w:rsidP="00622FFC">
      <w:pPr>
        <w:rPr>
          <w:rFonts w:cs="Arial"/>
        </w:rPr>
      </w:pPr>
      <w:r w:rsidRPr="00F34813">
        <w:rPr>
          <w:rFonts w:cs="Arial"/>
        </w:rPr>
        <w:t>In addition to taking measures to adequately secure information held in CQRs, it is recommended that operators of CQRs seek advice about the privacy issues that may affect the information that they hold.</w:t>
      </w:r>
    </w:p>
    <w:p w14:paraId="74B3D7F1" w14:textId="77777777" w:rsidR="00622FFC" w:rsidRPr="00DF716F" w:rsidRDefault="00622FFC" w:rsidP="00622FFC">
      <w:pPr>
        <w:pStyle w:val="Heading2"/>
      </w:pPr>
      <w:bookmarkStart w:id="41" w:name="_Toc156467970"/>
      <w:bookmarkStart w:id="42" w:name="_Toc158286572"/>
      <w:bookmarkStart w:id="43" w:name="_Toc158802053"/>
      <w:bookmarkStart w:id="44" w:name="_Toc160197581"/>
      <w:bookmarkStart w:id="45" w:name="_Toc170135017"/>
      <w:r w:rsidRPr="00DF716F">
        <w:t>Approaches to managing risk</w:t>
      </w:r>
      <w:bookmarkEnd w:id="41"/>
      <w:bookmarkEnd w:id="42"/>
      <w:bookmarkEnd w:id="43"/>
      <w:bookmarkEnd w:id="44"/>
      <w:bookmarkEnd w:id="45"/>
    </w:p>
    <w:p w14:paraId="32702619" w14:textId="77777777" w:rsidR="00622FFC" w:rsidRPr="00F34813" w:rsidRDefault="00622FFC" w:rsidP="00622FFC">
      <w:pPr>
        <w:rPr>
          <w:rFonts w:cs="Arial"/>
        </w:rPr>
      </w:pPr>
      <w:r w:rsidRPr="00367BE1">
        <w:rPr>
          <w:rFonts w:cs="Arial"/>
        </w:rPr>
        <w:t xml:space="preserve">The management of security risks </w:t>
      </w:r>
      <w:r w:rsidRPr="00F34813">
        <w:rPr>
          <w:rFonts w:cs="Arial"/>
        </w:rPr>
        <w:t>can take a range of forms, and it may not be practical for an organisation to address all identified risks. Priority should be given to those threats and associated vulnerabilities that have the highest likelihood of compromising the confidentiality, integrity, and availability of healthcare information</w:t>
      </w:r>
      <w:r>
        <w:rPr>
          <w:rFonts w:cs="Arial"/>
        </w:rPr>
        <w:t>,</w:t>
      </w:r>
      <w:r w:rsidRPr="00F34813">
        <w:rPr>
          <w:rFonts w:cs="Arial"/>
        </w:rPr>
        <w:t xml:space="preserve"> and those that </w:t>
      </w:r>
      <w:r>
        <w:rPr>
          <w:rFonts w:cs="Arial"/>
        </w:rPr>
        <w:t xml:space="preserve">would </w:t>
      </w:r>
      <w:r w:rsidRPr="00F34813">
        <w:rPr>
          <w:rFonts w:cs="Arial"/>
        </w:rPr>
        <w:t xml:space="preserve">have the greatest impact on the CQR and its information should </w:t>
      </w:r>
      <w:r>
        <w:rPr>
          <w:rFonts w:cs="Arial"/>
        </w:rPr>
        <w:t>the threat</w:t>
      </w:r>
      <w:r w:rsidRPr="00F34813">
        <w:rPr>
          <w:rFonts w:cs="Arial"/>
        </w:rPr>
        <w:t xml:space="preserve"> be realised. </w:t>
      </w:r>
    </w:p>
    <w:p w14:paraId="137255FE" w14:textId="77777777" w:rsidR="00622FFC" w:rsidRPr="00F34813" w:rsidRDefault="00622FFC" w:rsidP="00622FFC">
      <w:pPr>
        <w:rPr>
          <w:rFonts w:cs="Arial"/>
        </w:rPr>
      </w:pPr>
      <w:r w:rsidRPr="00F34813">
        <w:rPr>
          <w:rFonts w:cs="Arial"/>
        </w:rPr>
        <w:t>Risk management options</w:t>
      </w:r>
      <w:r w:rsidRPr="00A47811">
        <w:rPr>
          <w:rFonts w:cs="Arial"/>
          <w:vertAlign w:val="superscript"/>
        </w:rPr>
        <w:t>10</w:t>
      </w:r>
      <w:r>
        <w:rPr>
          <w:rFonts w:cs="Arial"/>
        </w:rPr>
        <w:t xml:space="preserve"> </w:t>
      </w:r>
      <w:r w:rsidRPr="00F34813">
        <w:rPr>
          <w:rFonts w:cs="Arial"/>
        </w:rPr>
        <w:t>can include:</w:t>
      </w:r>
    </w:p>
    <w:p w14:paraId="24599AA3" w14:textId="77777777" w:rsidR="00622FFC" w:rsidRPr="00F34813" w:rsidRDefault="00622FFC" w:rsidP="00622FFC">
      <w:pPr>
        <w:pStyle w:val="ListParagraph"/>
        <w:numPr>
          <w:ilvl w:val="0"/>
          <w:numId w:val="31"/>
        </w:numPr>
      </w:pPr>
      <w:r w:rsidRPr="00F34813">
        <w:t>Risk avoidance – risk is avoided by deciding not to start or continue with the activity that would cause the risk.</w:t>
      </w:r>
    </w:p>
    <w:p w14:paraId="1C8E1CE2" w14:textId="77777777" w:rsidR="00622FFC" w:rsidRPr="00F34813" w:rsidRDefault="00622FFC" w:rsidP="00622FFC">
      <w:pPr>
        <w:pStyle w:val="ListParagraph"/>
        <w:numPr>
          <w:ilvl w:val="0"/>
          <w:numId w:val="31"/>
        </w:numPr>
      </w:pPr>
      <w:r w:rsidRPr="00F34813">
        <w:t xml:space="preserve">Risk acceptance – accept the potential risk but put in place </w:t>
      </w:r>
      <w:r>
        <w:t xml:space="preserve">plans </w:t>
      </w:r>
      <w:r w:rsidRPr="00F34813">
        <w:t>to manage the consequences of the risk should it occur.</w:t>
      </w:r>
    </w:p>
    <w:p w14:paraId="12F6D063" w14:textId="77777777" w:rsidR="00622FFC" w:rsidRPr="00F34813" w:rsidRDefault="00622FFC" w:rsidP="00622FFC">
      <w:pPr>
        <w:pStyle w:val="ListParagraph"/>
        <w:numPr>
          <w:ilvl w:val="0"/>
          <w:numId w:val="31"/>
        </w:numPr>
      </w:pPr>
      <w:r w:rsidRPr="00F34813">
        <w:t>Changing the likelihood – through implementation of controls and preventative actions</w:t>
      </w:r>
      <w:r>
        <w:t xml:space="preserve">, for example, </w:t>
      </w:r>
      <w:r w:rsidRPr="00F34813">
        <w:t>audit and compliance programs, contract conditions, policies and procedures, testing.</w:t>
      </w:r>
    </w:p>
    <w:p w14:paraId="21A527FB" w14:textId="77777777" w:rsidR="00622FFC" w:rsidRPr="00F34813" w:rsidRDefault="00622FFC" w:rsidP="00622FFC">
      <w:pPr>
        <w:pStyle w:val="ListParagraph"/>
        <w:numPr>
          <w:ilvl w:val="0"/>
          <w:numId w:val="31"/>
        </w:numPr>
      </w:pPr>
      <w:r w:rsidRPr="00F34813">
        <w:t>Changing the consequences – through implementation of controls such as business continuity management, disaster recovery, back-up, emergency procedures, to reduce the consequences of the risk occurring.</w:t>
      </w:r>
    </w:p>
    <w:p w14:paraId="57FB7CA2" w14:textId="77777777" w:rsidR="00622FFC" w:rsidRPr="00F34813" w:rsidRDefault="00622FFC" w:rsidP="00622FFC">
      <w:pPr>
        <w:pStyle w:val="ListParagraph"/>
        <w:numPr>
          <w:ilvl w:val="0"/>
          <w:numId w:val="31"/>
        </w:numPr>
      </w:pPr>
      <w:r w:rsidRPr="00F34813">
        <w:t>Risk transfer – sharing the risk with another party or parties</w:t>
      </w:r>
      <w:r>
        <w:t xml:space="preserve">, for example, </w:t>
      </w:r>
      <w:r w:rsidRPr="00F34813">
        <w:t>through the use of contracts, insurance, outsourcing arrangements.</w:t>
      </w:r>
    </w:p>
    <w:p w14:paraId="65E93262" w14:textId="4088FD77" w:rsidR="00622FFC" w:rsidRPr="00F34813" w:rsidRDefault="00622FFC" w:rsidP="00622FFC">
      <w:pPr>
        <w:rPr>
          <w:rFonts w:cs="Arial"/>
        </w:rPr>
      </w:pPr>
      <w:r w:rsidRPr="00F34813">
        <w:rPr>
          <w:rFonts w:cs="Arial"/>
        </w:rPr>
        <w:t xml:space="preserve">When selecting an approach and controls to manage risk, </w:t>
      </w:r>
      <w:r w:rsidRPr="00367BE1">
        <w:rPr>
          <w:rFonts w:cs="Arial"/>
        </w:rPr>
        <w:t xml:space="preserve">a balance must be struck between mitigating the risk, and the time, effort and resources required to protect </w:t>
      </w:r>
      <w:r>
        <w:rPr>
          <w:rFonts w:cs="Arial"/>
        </w:rPr>
        <w:t xml:space="preserve">against </w:t>
      </w:r>
      <w:r w:rsidRPr="00367BE1">
        <w:rPr>
          <w:rFonts w:cs="Arial"/>
        </w:rPr>
        <w:t>it</w:t>
      </w:r>
      <w:r w:rsidR="002B07A6">
        <w:rPr>
          <w:rFonts w:cs="Arial"/>
        </w:rPr>
        <w:t xml:space="preserve">. </w:t>
      </w:r>
      <w:hyperlink w:anchor="OLE_LINK1" w:history="1">
        <w:r w:rsidR="002B07A6" w:rsidRPr="00F307A6">
          <w:rPr>
            <w:rStyle w:val="Hyperlink"/>
            <w:rFonts w:cs="Arial"/>
          </w:rPr>
          <w:t>Figure 1</w:t>
        </w:r>
      </w:hyperlink>
      <w:r w:rsidRPr="00367BE1">
        <w:rPr>
          <w:rFonts w:cs="Arial"/>
        </w:rPr>
        <w:t xml:space="preserve"> illustrates the cost-benefit trade-off </w:t>
      </w:r>
      <w:r>
        <w:rPr>
          <w:rFonts w:cs="Arial"/>
        </w:rPr>
        <w:t xml:space="preserve">that </w:t>
      </w:r>
      <w:r w:rsidRPr="00F34813">
        <w:rPr>
          <w:rFonts w:cs="Arial"/>
        </w:rPr>
        <w:t xml:space="preserve">organisations should consider </w:t>
      </w:r>
      <w:r>
        <w:rPr>
          <w:rFonts w:cs="Arial"/>
        </w:rPr>
        <w:t>when</w:t>
      </w:r>
      <w:r w:rsidRPr="00F34813">
        <w:rPr>
          <w:rFonts w:cs="Arial"/>
        </w:rPr>
        <w:t xml:space="preserve"> selecting and implementing appropriate controls. </w:t>
      </w:r>
    </w:p>
    <w:p w14:paraId="3E3ECA25" w14:textId="77777777" w:rsidR="00622FFC" w:rsidRDefault="00622FFC" w:rsidP="00622FFC">
      <w:pPr>
        <w:rPr>
          <w:rFonts w:cs="Arial"/>
        </w:rPr>
      </w:pPr>
      <w:r w:rsidRPr="00F34813">
        <w:rPr>
          <w:rFonts w:cs="Arial"/>
        </w:rPr>
        <w:lastRenderedPageBreak/>
        <w:t>The costs of implementing controls must be justified by the reduction in the level of risk or assessed against the risks associated with not implementing the control. Almost no information system is risk free and not all implemented controls can reduce the risk level to zero. The risk remaining after implementing new controls is the residual risk.</w:t>
      </w:r>
    </w:p>
    <w:p w14:paraId="731CC841" w14:textId="77777777" w:rsidR="00DB5D01" w:rsidRPr="00F34813" w:rsidRDefault="00DB5D01" w:rsidP="00622FFC">
      <w:pPr>
        <w:rPr>
          <w:rFonts w:cs="Arial"/>
        </w:rPr>
      </w:pPr>
    </w:p>
    <w:p w14:paraId="09DDC08A" w14:textId="77777777" w:rsidR="00622FFC" w:rsidRDefault="00622FFC" w:rsidP="00622FFC">
      <w:pPr>
        <w:pStyle w:val="FigureTableTitle"/>
      </w:pPr>
      <w:bookmarkStart w:id="46" w:name="OLE_LINK1"/>
      <w:bookmarkStart w:id="47" w:name="_Ref295861814"/>
      <w:bookmarkStart w:id="48" w:name="_Toc320014125"/>
      <w:bookmarkStart w:id="49" w:name="_Toc320014191"/>
      <w:bookmarkStart w:id="50" w:name="_Toc320014610"/>
      <w:bookmarkStart w:id="51" w:name="_Toc320087951"/>
      <w:bookmarkStart w:id="52" w:name="_Toc158814979"/>
      <w:bookmarkEnd w:id="46"/>
      <w:r w:rsidRPr="00F34813">
        <w:t xml:space="preserve">Figure </w:t>
      </w:r>
      <w:r w:rsidRPr="00F34813">
        <w:fldChar w:fldCharType="begin"/>
      </w:r>
      <w:r w:rsidRPr="00F34813">
        <w:instrText xml:space="preserve"> SEQ Figure \* ARABIC </w:instrText>
      </w:r>
      <w:r w:rsidRPr="00F34813">
        <w:fldChar w:fldCharType="separate"/>
      </w:r>
      <w:r w:rsidRPr="00F34813">
        <w:t>1</w:t>
      </w:r>
      <w:r w:rsidRPr="00F34813">
        <w:rPr>
          <w:noProof/>
        </w:rPr>
        <w:fldChar w:fldCharType="end"/>
      </w:r>
      <w:bookmarkEnd w:id="47"/>
      <w:r w:rsidRPr="00F34813">
        <w:t>: Cost-benefit trade-off – risk treatment options</w:t>
      </w:r>
      <w:bookmarkEnd w:id="48"/>
      <w:bookmarkEnd w:id="49"/>
      <w:bookmarkEnd w:id="50"/>
      <w:bookmarkEnd w:id="51"/>
      <w:bookmarkEnd w:id="52"/>
    </w:p>
    <w:p w14:paraId="20646E33" w14:textId="77777777" w:rsidR="009F53D0" w:rsidRDefault="009F53D0" w:rsidP="00622FFC">
      <w:pPr>
        <w:pStyle w:val="FigureTableTitle"/>
      </w:pPr>
    </w:p>
    <w:p w14:paraId="1B303278" w14:textId="21D00F68" w:rsidR="00622FFC" w:rsidRPr="00DF716F" w:rsidRDefault="009F53D0" w:rsidP="00C15BEF">
      <w:pPr>
        <w:pStyle w:val="FigureTableTitle"/>
      </w:pPr>
      <w:r>
        <w:rPr>
          <w:noProof/>
        </w:rPr>
        <w:drawing>
          <wp:inline distT="0" distB="0" distL="0" distR="0" wp14:anchorId="45EBBAFC" wp14:editId="120CE19C">
            <wp:extent cx="3778370" cy="3738088"/>
            <wp:effectExtent l="0" t="0" r="0" b="0"/>
            <wp:docPr id="1005099246" name="Picture 11" descr="Figure 1: Cost-benefit trade-off – risk treatm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99246" name="Picture 11" descr="Figure 1: Cost-benefit trade-off – risk treatment options"/>
                    <pic:cNvPicPr/>
                  </pic:nvPicPr>
                  <pic:blipFill>
                    <a:blip r:embed="rId24"/>
                    <a:stretch>
                      <a:fillRect/>
                    </a:stretch>
                  </pic:blipFill>
                  <pic:spPr>
                    <a:xfrm>
                      <a:off x="0" y="0"/>
                      <a:ext cx="3820325" cy="3779595"/>
                    </a:xfrm>
                    <a:prstGeom prst="rect">
                      <a:avLst/>
                    </a:prstGeom>
                  </pic:spPr>
                </pic:pic>
              </a:graphicData>
            </a:graphic>
          </wp:inline>
        </w:drawing>
      </w:r>
    </w:p>
    <w:p w14:paraId="190D93BC" w14:textId="0576D0CD" w:rsidR="00DB5D01" w:rsidRDefault="00DB5D01" w:rsidP="00622FFC">
      <w:pPr>
        <w:rPr>
          <w:rFonts w:cs="Arial"/>
        </w:rPr>
      </w:pPr>
    </w:p>
    <w:p w14:paraId="42B62DC2" w14:textId="13ED01A0" w:rsidR="00622FFC" w:rsidRPr="00F34813" w:rsidRDefault="00622FFC" w:rsidP="00622FFC">
      <w:pPr>
        <w:rPr>
          <w:rFonts w:cs="Arial"/>
        </w:rPr>
      </w:pPr>
      <w:r>
        <w:rPr>
          <w:rFonts w:cs="Arial"/>
        </w:rPr>
        <w:t>This</w:t>
      </w:r>
      <w:r w:rsidRPr="00F34813">
        <w:rPr>
          <w:rFonts w:cs="Arial"/>
        </w:rPr>
        <w:t xml:space="preserve"> </w:t>
      </w:r>
      <w:r w:rsidRPr="00E138A4">
        <w:rPr>
          <w:rFonts w:cs="Arial"/>
        </w:rPr>
        <w:t>Guideline</w:t>
      </w:r>
      <w:r>
        <w:rPr>
          <w:rFonts w:cs="Arial"/>
        </w:rPr>
        <w:t xml:space="preserve"> uses</w:t>
      </w:r>
      <w:r w:rsidRPr="00F34813">
        <w:rPr>
          <w:rFonts w:cs="Arial"/>
        </w:rPr>
        <w:t xml:space="preserve"> a checklist approach for managing CQR risks </w:t>
      </w:r>
      <w:r w:rsidRPr="00C446E4">
        <w:rPr>
          <w:rFonts w:cs="Arial"/>
        </w:rPr>
        <w:t>(</w:t>
      </w:r>
      <w:hyperlink w:anchor="_4._Security_assessment" w:tooltip="Current document - Section 4: Security assessment approach" w:history="1">
        <w:r w:rsidR="00F307A6" w:rsidRPr="00F307A6">
          <w:rPr>
            <w:rStyle w:val="Hyperlink"/>
            <w:rFonts w:cs="Arial"/>
            <w:i/>
            <w:iCs/>
          </w:rPr>
          <w:t>Section 4: Security assessment approach</w:t>
        </w:r>
      </w:hyperlink>
      <w:r w:rsidRPr="00C446E4">
        <w:rPr>
          <w:rFonts w:cs="Arial"/>
        </w:rPr>
        <w:t>).</w:t>
      </w:r>
      <w:r>
        <w:rPr>
          <w:rFonts w:cs="Arial"/>
        </w:rPr>
        <w:t xml:space="preserve"> </w:t>
      </w:r>
      <w:r w:rsidRPr="00F34813">
        <w:rPr>
          <w:rFonts w:cs="Arial"/>
        </w:rPr>
        <w:t>This approach stipulates specific measures to treat, to a particular level, the identified risks.</w:t>
      </w:r>
    </w:p>
    <w:p w14:paraId="62064145" w14:textId="77777777" w:rsidR="00622FFC" w:rsidRDefault="00622FFC" w:rsidP="00622FFC">
      <w:pPr>
        <w:rPr>
          <w:rFonts w:cs="Arial"/>
        </w:rPr>
      </w:pPr>
      <w:r w:rsidRPr="00F34813">
        <w:rPr>
          <w:rFonts w:cs="Arial"/>
        </w:rPr>
        <w:t xml:space="preserve">As highlighted in </w:t>
      </w:r>
      <w:r>
        <w:rPr>
          <w:rFonts w:cs="Arial"/>
        </w:rPr>
        <w:t>Figure 1</w:t>
      </w:r>
      <w:r w:rsidRPr="00F34813">
        <w:rPr>
          <w:rFonts w:cs="Arial"/>
        </w:rPr>
        <w:t>, residual risk cannot be completely removed.</w:t>
      </w:r>
      <w:r>
        <w:rPr>
          <w:rFonts w:cs="Arial"/>
        </w:rPr>
        <w:t xml:space="preserve"> </w:t>
      </w:r>
      <w:r w:rsidRPr="00F34813">
        <w:rPr>
          <w:rFonts w:cs="Arial"/>
        </w:rPr>
        <w:t>However, the application of the recommended controls can provide an appropriate level of risk treatment to the key areas for a CQR.</w:t>
      </w:r>
    </w:p>
    <w:p w14:paraId="2502CD15" w14:textId="5B0D7551" w:rsidR="00622FFC" w:rsidRPr="0038710D" w:rsidRDefault="00000000" w:rsidP="00622FFC">
      <w:pPr>
        <w:rPr>
          <w:rFonts w:cs="Arial"/>
        </w:rPr>
      </w:pPr>
      <w:hyperlink w:anchor="OLE_LINK2" w:tooltip="Current document - Table 1" w:history="1">
        <w:r w:rsidR="00F307A6" w:rsidRPr="00F307A6">
          <w:rPr>
            <w:rStyle w:val="Hyperlink"/>
          </w:rPr>
          <w:t>Table 1</w:t>
        </w:r>
      </w:hyperlink>
      <w:r w:rsidR="00F307A6" w:rsidRPr="00F307A6">
        <w:t xml:space="preserve"> </w:t>
      </w:r>
      <w:r w:rsidR="00622FFC">
        <w:rPr>
          <w:rFonts w:cs="Arial"/>
        </w:rPr>
        <w:t>provides an example of</w:t>
      </w:r>
      <w:r w:rsidR="00622FFC" w:rsidRPr="0038710D">
        <w:rPr>
          <w:rFonts w:cs="Arial"/>
        </w:rPr>
        <w:t xml:space="preserve"> the nature and extent of information security risks associated with </w:t>
      </w:r>
      <w:r w:rsidR="00622FFC">
        <w:rPr>
          <w:rFonts w:cs="Arial"/>
        </w:rPr>
        <w:t xml:space="preserve">running the CQR infrastructure. </w:t>
      </w:r>
    </w:p>
    <w:p w14:paraId="79BEDB68" w14:textId="62D4863D" w:rsidR="00803FFF" w:rsidRDefault="00622FFC" w:rsidP="00803FFF">
      <w:pPr>
        <w:rPr>
          <w:rFonts w:cs="Arial"/>
        </w:rPr>
      </w:pPr>
      <w:r>
        <w:rPr>
          <w:rFonts w:cs="Arial"/>
        </w:rPr>
        <w:t xml:space="preserve">The ‘elements’ listed in </w:t>
      </w:r>
      <w:hyperlink w:anchor="OLE_LINK2" w:tooltip="Current document - Table 1" w:history="1">
        <w:r w:rsidRPr="00F307A6">
          <w:rPr>
            <w:rStyle w:val="Hyperlink"/>
            <w:rFonts w:cs="Arial"/>
          </w:rPr>
          <w:t>Table 1</w:t>
        </w:r>
      </w:hyperlink>
      <w:r>
        <w:rPr>
          <w:rFonts w:cs="Arial"/>
        </w:rPr>
        <w:t xml:space="preserve"> are the </w:t>
      </w:r>
      <w:r w:rsidRPr="00F34813">
        <w:rPr>
          <w:rFonts w:cs="Arial"/>
        </w:rPr>
        <w:t xml:space="preserve">three key elements of information security </w:t>
      </w:r>
      <w:r>
        <w:rPr>
          <w:rFonts w:cs="Arial"/>
        </w:rPr>
        <w:t>as</w:t>
      </w:r>
      <w:r w:rsidRPr="00F34813">
        <w:rPr>
          <w:rFonts w:cs="Arial"/>
        </w:rPr>
        <w:t xml:space="preserve"> defined</w:t>
      </w:r>
      <w:r>
        <w:rPr>
          <w:rFonts w:cs="Arial"/>
        </w:rPr>
        <w:t xml:space="preserve"> in </w:t>
      </w:r>
      <w:hyperlink w:anchor="_2._Considerations_in" w:tooltip="Current document - Section 2: Considerations in securing Clinical Quality Registries" w:history="1">
        <w:r w:rsidRPr="00F307A6">
          <w:rPr>
            <w:rStyle w:val="Hyperlink"/>
            <w:rFonts w:cs="Arial"/>
            <w:i/>
            <w:iCs/>
          </w:rPr>
          <w:t>Section 2</w:t>
        </w:r>
      </w:hyperlink>
      <w:r>
        <w:rPr>
          <w:rFonts w:cs="Arial"/>
        </w:rPr>
        <w:t>.</w:t>
      </w:r>
      <w:r w:rsidRPr="0038710D">
        <w:rPr>
          <w:rFonts w:cs="Arial"/>
        </w:rPr>
        <w:t xml:space="preserve"> The ‘security domains’ indicated in </w:t>
      </w:r>
      <w:r w:rsidRPr="0038710D">
        <w:rPr>
          <w:rFonts w:cs="Arial"/>
        </w:rPr>
        <w:fldChar w:fldCharType="begin"/>
      </w:r>
      <w:r w:rsidRPr="0038710D">
        <w:rPr>
          <w:rFonts w:cs="Arial"/>
        </w:rPr>
        <w:instrText xml:space="preserve"> REF _Ref351384601 \h  \* MERGEFORMAT </w:instrText>
      </w:r>
      <w:r w:rsidRPr="0038710D">
        <w:rPr>
          <w:rFonts w:cs="Arial"/>
        </w:rPr>
      </w:r>
      <w:r w:rsidRPr="0038710D">
        <w:rPr>
          <w:rFonts w:cs="Arial"/>
        </w:rPr>
        <w:fldChar w:fldCharType="separate"/>
      </w:r>
      <w:hyperlink w:anchor="OLE_LINK2" w:tooltip="Current document - Table 1" w:history="1">
        <w:r w:rsidR="00F307A6" w:rsidRPr="00F307A6">
          <w:rPr>
            <w:rStyle w:val="Hyperlink"/>
            <w:rFonts w:cs="Arial"/>
          </w:rPr>
          <w:t>Table 1</w:t>
        </w:r>
      </w:hyperlink>
      <w:r w:rsidR="00F307A6">
        <w:rPr>
          <w:rFonts w:cs="Arial"/>
        </w:rPr>
        <w:t xml:space="preserve"> </w:t>
      </w:r>
      <w:r w:rsidRPr="0038710D">
        <w:rPr>
          <w:rFonts w:cs="Arial"/>
        </w:rPr>
        <w:fldChar w:fldCharType="end"/>
      </w:r>
      <w:r w:rsidRPr="0038710D">
        <w:rPr>
          <w:rFonts w:cs="Arial"/>
        </w:rPr>
        <w:t>are reflected in the security compliance checklists in</w:t>
      </w:r>
      <w:r w:rsidR="00F307A6">
        <w:rPr>
          <w:rFonts w:cs="Arial"/>
        </w:rPr>
        <w:t xml:space="preserve"> </w:t>
      </w:r>
      <w:hyperlink w:anchor="_5._Security_compliance" w:tooltip="Current document - Section 5: Security compliance checklists for CQR ‘recommended practice’ " w:history="1">
        <w:r w:rsidR="00F307A6" w:rsidRPr="00F307A6">
          <w:rPr>
            <w:rStyle w:val="Hyperlink"/>
            <w:rFonts w:cs="Arial"/>
            <w:i/>
            <w:iCs/>
          </w:rPr>
          <w:t>Section 5</w:t>
        </w:r>
      </w:hyperlink>
      <w:r w:rsidRPr="0038710D">
        <w:rPr>
          <w:rFonts w:cs="Arial"/>
        </w:rPr>
        <w:t>.</w:t>
      </w:r>
    </w:p>
    <w:p w14:paraId="103864AA" w14:textId="63A81EB4" w:rsidR="00803FFF" w:rsidRPr="002D0444" w:rsidRDefault="00803FFF" w:rsidP="00803FFF">
      <w:pPr>
        <w:pStyle w:val="Heading1"/>
      </w:pPr>
      <w:bookmarkStart w:id="53" w:name="_3._System_and"/>
      <w:bookmarkEnd w:id="53"/>
      <w:r>
        <w:br w:type="page"/>
      </w:r>
      <w:bookmarkStart w:id="54" w:name="_Ref351540377"/>
      <w:bookmarkStart w:id="55" w:name="_Ref351540395"/>
      <w:bookmarkStart w:id="56" w:name="_Toc156467971"/>
      <w:bookmarkStart w:id="57" w:name="_Toc158286573"/>
      <w:bookmarkStart w:id="58" w:name="_Toc158802054"/>
      <w:bookmarkStart w:id="59" w:name="_Toc160197582"/>
      <w:bookmarkStart w:id="60" w:name="_Toc170135018"/>
      <w:r>
        <w:lastRenderedPageBreak/>
        <w:t>3.</w:t>
      </w:r>
      <w:r>
        <w:tab/>
      </w:r>
      <w:r w:rsidRPr="002D0444">
        <w:t>System and infrastructure risk profiles</w:t>
      </w:r>
      <w:bookmarkEnd w:id="54"/>
      <w:bookmarkEnd w:id="55"/>
      <w:bookmarkEnd w:id="56"/>
      <w:bookmarkEnd w:id="57"/>
      <w:bookmarkEnd w:id="58"/>
      <w:bookmarkEnd w:id="59"/>
      <w:bookmarkEnd w:id="60"/>
      <w:r w:rsidRPr="002D0444">
        <w:t xml:space="preserve"> </w:t>
      </w:r>
    </w:p>
    <w:p w14:paraId="1D047080" w14:textId="1EDB3882" w:rsidR="00803FFF" w:rsidRPr="008E2CAE" w:rsidRDefault="00803FFF" w:rsidP="008E2CAE">
      <w:r>
        <w:t xml:space="preserve">This </w:t>
      </w:r>
      <w:r w:rsidRPr="00E138A4">
        <w:rPr>
          <w:iCs/>
        </w:rPr>
        <w:t>Guideline</w:t>
      </w:r>
      <w:r>
        <w:t xml:space="preserve"> may be used to assess the risk </w:t>
      </w:r>
      <w:r w:rsidRPr="00367BE1">
        <w:t>profile of Australian CQRs,</w:t>
      </w:r>
      <w:r>
        <w:t xml:space="preserve"> </w:t>
      </w:r>
      <w:r w:rsidRPr="00367BE1">
        <w:t xml:space="preserve">while acknowledging the </w:t>
      </w:r>
      <w:r>
        <w:t xml:space="preserve">many levels of organisational maturity and deployment models of CQRs. This section will provide details </w:t>
      </w:r>
      <w:r w:rsidRPr="00AD353D">
        <w:t xml:space="preserve">of </w:t>
      </w:r>
      <w:r>
        <w:t>the types of</w:t>
      </w:r>
      <w:r w:rsidRPr="00AD353D">
        <w:t xml:space="preserve"> risk</w:t>
      </w:r>
      <w:r>
        <w:t>s</w:t>
      </w:r>
      <w:r w:rsidRPr="00AD353D">
        <w:t xml:space="preserve"> that may be encountered</w:t>
      </w:r>
      <w:r>
        <w:t>.</w:t>
      </w:r>
    </w:p>
    <w:p w14:paraId="4E5C9BA4" w14:textId="77777777" w:rsidR="008E2CAE" w:rsidRPr="0038710D" w:rsidRDefault="008E2CAE" w:rsidP="008E2CAE">
      <w:pPr>
        <w:pStyle w:val="Heading3"/>
      </w:pPr>
      <w:bookmarkStart w:id="61" w:name="_Toc158802072"/>
      <w:bookmarkStart w:id="62" w:name="_Toc156467977"/>
      <w:bookmarkStart w:id="63" w:name="_Toc158286579"/>
      <w:bookmarkStart w:id="64" w:name="_Toc160197583"/>
      <w:r w:rsidRPr="0038710D">
        <w:t>Risk profile</w:t>
      </w:r>
      <w:r>
        <w:t xml:space="preserve"> for running CQR infrastructure</w:t>
      </w:r>
      <w:bookmarkEnd w:id="61"/>
      <w:bookmarkEnd w:id="62"/>
      <w:bookmarkEnd w:id="63"/>
      <w:bookmarkEnd w:id="64"/>
    </w:p>
    <w:p w14:paraId="51CBC4CF" w14:textId="51A3E05E" w:rsidR="008E2CAE" w:rsidRPr="0038710D" w:rsidRDefault="008E2CAE" w:rsidP="008E2CAE">
      <w:pPr>
        <w:rPr>
          <w:rFonts w:cs="Arial"/>
        </w:rPr>
      </w:pPr>
      <w:r>
        <w:rPr>
          <w:rFonts w:cs="Arial"/>
        </w:rPr>
        <w:t>Table 1 provides an example of</w:t>
      </w:r>
      <w:r w:rsidRPr="0038710D">
        <w:rPr>
          <w:rFonts w:cs="Arial"/>
        </w:rPr>
        <w:t xml:space="preserve"> the nature and extent of information security risks associated with </w:t>
      </w:r>
      <w:r>
        <w:rPr>
          <w:rFonts w:cs="Arial"/>
        </w:rPr>
        <w:t xml:space="preserve">running the CQR infrastructure. </w:t>
      </w:r>
    </w:p>
    <w:p w14:paraId="06E14FB6" w14:textId="31971E8F" w:rsidR="007C570E" w:rsidRDefault="008E2CAE" w:rsidP="007C570E">
      <w:pPr>
        <w:rPr>
          <w:rFonts w:cs="Arial"/>
        </w:rPr>
      </w:pPr>
      <w:r>
        <w:rPr>
          <w:rFonts w:cs="Arial"/>
        </w:rPr>
        <w:t xml:space="preserve">The ‘elements’ listed in Table 1 are the </w:t>
      </w:r>
      <w:r w:rsidRPr="00F34813">
        <w:rPr>
          <w:rFonts w:cs="Arial"/>
        </w:rPr>
        <w:t xml:space="preserve">three key elements of information security </w:t>
      </w:r>
      <w:r>
        <w:rPr>
          <w:rFonts w:cs="Arial"/>
        </w:rPr>
        <w:t>as</w:t>
      </w:r>
      <w:r w:rsidRPr="00F34813">
        <w:rPr>
          <w:rFonts w:cs="Arial"/>
        </w:rPr>
        <w:t xml:space="preserve"> defined</w:t>
      </w:r>
      <w:r>
        <w:rPr>
          <w:rFonts w:cs="Arial"/>
        </w:rPr>
        <w:t xml:space="preserve"> in </w:t>
      </w:r>
      <w:hyperlink w:anchor="_2._Considerations_in" w:tooltip="Current document - Section 2: Considerations in securing Clinical Quality Registries" w:history="1">
        <w:r w:rsidRPr="00F307A6">
          <w:rPr>
            <w:rStyle w:val="Hyperlink"/>
            <w:rFonts w:cs="Arial"/>
            <w:i/>
            <w:iCs/>
          </w:rPr>
          <w:t>Section 2</w:t>
        </w:r>
      </w:hyperlink>
      <w:r>
        <w:rPr>
          <w:rFonts w:cs="Arial"/>
        </w:rPr>
        <w:t>.</w:t>
      </w:r>
      <w:r w:rsidRPr="0038710D">
        <w:rPr>
          <w:rFonts w:cs="Arial"/>
        </w:rPr>
        <w:t xml:space="preserve"> The ‘security domains’ indicated in </w:t>
      </w:r>
      <w:r w:rsidRPr="0038710D">
        <w:rPr>
          <w:rFonts w:cs="Arial"/>
        </w:rPr>
        <w:fldChar w:fldCharType="begin"/>
      </w:r>
      <w:r w:rsidRPr="0038710D">
        <w:rPr>
          <w:rFonts w:cs="Arial"/>
        </w:rPr>
        <w:instrText xml:space="preserve"> REF _Ref351384601 \h  \* MERGEFORMAT </w:instrText>
      </w:r>
      <w:r w:rsidRPr="0038710D">
        <w:rPr>
          <w:rFonts w:cs="Arial"/>
        </w:rPr>
      </w:r>
      <w:r w:rsidRPr="0038710D">
        <w:rPr>
          <w:rFonts w:cs="Arial"/>
        </w:rPr>
        <w:fldChar w:fldCharType="separate"/>
      </w:r>
      <w:r w:rsidRPr="0038710D">
        <w:rPr>
          <w:rFonts w:cs="Arial"/>
        </w:rPr>
        <w:t xml:space="preserve">Table </w:t>
      </w:r>
      <w:r>
        <w:rPr>
          <w:rFonts w:cs="Arial"/>
        </w:rPr>
        <w:t>1</w:t>
      </w:r>
      <w:r w:rsidRPr="0038710D">
        <w:rPr>
          <w:rFonts w:cs="Arial"/>
        </w:rPr>
        <w:fldChar w:fldCharType="end"/>
      </w:r>
      <w:r w:rsidRPr="0038710D">
        <w:rPr>
          <w:rFonts w:cs="Arial"/>
        </w:rPr>
        <w:t xml:space="preserve"> are reflected in the security compliance checklists in </w:t>
      </w:r>
      <w:hyperlink w:anchor="_5._Security_compliance" w:tooltip="Current document - Section 5: Security compliance checklists for CQR ‘recommended practice’ " w:history="1">
        <w:r w:rsidR="00F307A6" w:rsidRPr="00F307A6">
          <w:rPr>
            <w:rStyle w:val="Hyperlink"/>
            <w:rFonts w:cs="Arial"/>
            <w:i/>
            <w:iCs/>
          </w:rPr>
          <w:t>Section 5</w:t>
        </w:r>
      </w:hyperlink>
      <w:r w:rsidR="00F307A6">
        <w:rPr>
          <w:rFonts w:cs="Arial"/>
          <w:i/>
          <w:iCs/>
        </w:rPr>
        <w:t>.</w:t>
      </w:r>
    </w:p>
    <w:p w14:paraId="3C950DE8" w14:textId="77777777" w:rsidR="00C101AE" w:rsidRDefault="00C101AE" w:rsidP="007C570E">
      <w:pPr>
        <w:rPr>
          <w:rFonts w:cs="Arial"/>
        </w:rPr>
      </w:pPr>
    </w:p>
    <w:p w14:paraId="3BC01D2B" w14:textId="1B78AB94" w:rsidR="00C101AE" w:rsidRPr="007C570E" w:rsidRDefault="007C570E" w:rsidP="007C570E">
      <w:pPr>
        <w:pStyle w:val="FigureTableTitle"/>
      </w:pPr>
      <w:bookmarkStart w:id="65" w:name="OLE_LINK2"/>
      <w:bookmarkEnd w:id="65"/>
      <w:r w:rsidRPr="0038710D">
        <w:t xml:space="preserve">Table </w:t>
      </w:r>
      <w:r>
        <w:t>1</w:t>
      </w:r>
      <w:r w:rsidRPr="0038710D">
        <w:t xml:space="preserve">: </w:t>
      </w:r>
      <w:r>
        <w:t>CQR</w:t>
      </w:r>
      <w:r w:rsidRPr="0038710D">
        <w:t xml:space="preserve"> infrastructure ris</w:t>
      </w:r>
      <w:r w:rsidR="00673662">
        <w:t>k</w:t>
      </w:r>
    </w:p>
    <w:tbl>
      <w:tblPr>
        <w:tblStyle w:val="DarkHeadingBanded"/>
        <w:tblW w:w="9998" w:type="dxa"/>
        <w:tblLook w:val="00A0" w:firstRow="1" w:lastRow="0" w:firstColumn="1" w:lastColumn="0" w:noHBand="0" w:noVBand="0"/>
      </w:tblPr>
      <w:tblGrid>
        <w:gridCol w:w="550"/>
        <w:gridCol w:w="1970"/>
        <w:gridCol w:w="2399"/>
        <w:gridCol w:w="1304"/>
        <w:gridCol w:w="1084"/>
        <w:gridCol w:w="948"/>
        <w:gridCol w:w="1743"/>
      </w:tblGrid>
      <w:tr w:rsidR="00C101AE" w:rsidRPr="00F34813" w14:paraId="66D9D33B" w14:textId="77777777" w:rsidTr="003B4A36">
        <w:trPr>
          <w:cnfStyle w:val="100000000000" w:firstRow="1" w:lastRow="0" w:firstColumn="0" w:lastColumn="0" w:oddVBand="0" w:evenVBand="0" w:oddHBand="0" w:evenHBand="0" w:firstRowFirstColumn="0" w:firstRowLastColumn="0" w:lastRowFirstColumn="0" w:lastRowLastColumn="0"/>
          <w:cantSplit/>
          <w:trHeight w:val="240"/>
          <w:tblHeader/>
        </w:trPr>
        <w:tc>
          <w:tcPr>
            <w:tcW w:w="550" w:type="dxa"/>
            <w:noWrap/>
          </w:tcPr>
          <w:p w14:paraId="542BC1CD" w14:textId="77777777" w:rsidR="00C101AE" w:rsidRPr="00F34813" w:rsidRDefault="00C101AE" w:rsidP="00316534">
            <w:pPr>
              <w:rPr>
                <w:b w:val="0"/>
                <w:color w:val="FFFFFF"/>
              </w:rPr>
            </w:pPr>
            <w:r w:rsidRPr="00F34813">
              <w:t>No.</w:t>
            </w:r>
          </w:p>
        </w:tc>
        <w:tc>
          <w:tcPr>
            <w:tcW w:w="1970" w:type="dxa"/>
            <w:noWrap/>
          </w:tcPr>
          <w:p w14:paraId="2DB6C4BE" w14:textId="77777777" w:rsidR="00C101AE" w:rsidRPr="00F34813" w:rsidRDefault="00C101AE" w:rsidP="00316534">
            <w:pPr>
              <w:rPr>
                <w:b w:val="0"/>
                <w:color w:val="FFFFFF"/>
              </w:rPr>
            </w:pPr>
            <w:r>
              <w:t>Element</w:t>
            </w:r>
          </w:p>
        </w:tc>
        <w:tc>
          <w:tcPr>
            <w:tcW w:w="2399" w:type="dxa"/>
            <w:noWrap/>
          </w:tcPr>
          <w:p w14:paraId="57A67CBF" w14:textId="77777777" w:rsidR="00C101AE" w:rsidRPr="00F34813" w:rsidRDefault="00C101AE" w:rsidP="00316534">
            <w:pPr>
              <w:rPr>
                <w:b w:val="0"/>
                <w:color w:val="FFFFFF"/>
              </w:rPr>
            </w:pPr>
            <w:r w:rsidRPr="00F34813">
              <w:t>Risk</w:t>
            </w:r>
          </w:p>
        </w:tc>
        <w:tc>
          <w:tcPr>
            <w:tcW w:w="1304" w:type="dxa"/>
            <w:noWrap/>
          </w:tcPr>
          <w:p w14:paraId="290C8F6B" w14:textId="77777777" w:rsidR="00C101AE" w:rsidRPr="00F34813" w:rsidRDefault="00C101AE" w:rsidP="00316534">
            <w:pPr>
              <w:rPr>
                <w:b w:val="0"/>
                <w:color w:val="FFFFFF"/>
              </w:rPr>
            </w:pPr>
            <w:r w:rsidRPr="00F34813">
              <w:t>Likelihood</w:t>
            </w:r>
          </w:p>
        </w:tc>
        <w:tc>
          <w:tcPr>
            <w:tcW w:w="1084" w:type="dxa"/>
            <w:noWrap/>
          </w:tcPr>
          <w:p w14:paraId="61E6C227" w14:textId="77777777" w:rsidR="00C101AE" w:rsidRPr="00F34813" w:rsidRDefault="00C101AE" w:rsidP="00316534">
            <w:pPr>
              <w:rPr>
                <w:b w:val="0"/>
                <w:color w:val="FFFFFF"/>
              </w:rPr>
            </w:pPr>
            <w:r w:rsidRPr="00F34813">
              <w:t>Impact</w:t>
            </w:r>
          </w:p>
        </w:tc>
        <w:tc>
          <w:tcPr>
            <w:tcW w:w="948" w:type="dxa"/>
            <w:noWrap/>
          </w:tcPr>
          <w:p w14:paraId="6CB33A8A" w14:textId="77777777" w:rsidR="00C101AE" w:rsidRPr="00F34813" w:rsidRDefault="00C101AE" w:rsidP="00316534">
            <w:pPr>
              <w:rPr>
                <w:b w:val="0"/>
                <w:color w:val="FFFFFF"/>
              </w:rPr>
            </w:pPr>
            <w:r w:rsidRPr="00F34813">
              <w:t>Risk</w:t>
            </w:r>
            <w:r>
              <w:t xml:space="preserve"> rating</w:t>
            </w:r>
          </w:p>
        </w:tc>
        <w:tc>
          <w:tcPr>
            <w:tcW w:w="1743" w:type="dxa"/>
            <w:noWrap/>
          </w:tcPr>
          <w:p w14:paraId="32D9C14F" w14:textId="77777777" w:rsidR="00C101AE" w:rsidRPr="00F34813" w:rsidRDefault="00C101AE" w:rsidP="00316534">
            <w:pPr>
              <w:rPr>
                <w:b w:val="0"/>
                <w:color w:val="FFFFFF"/>
              </w:rPr>
            </w:pPr>
            <w:r w:rsidRPr="00F34813">
              <w:t xml:space="preserve">Security </w:t>
            </w:r>
            <w:r>
              <w:t>d</w:t>
            </w:r>
            <w:r w:rsidRPr="00F34813">
              <w:t>omain</w:t>
            </w:r>
          </w:p>
        </w:tc>
      </w:tr>
      <w:tr w:rsidR="00C101AE" w:rsidRPr="00F34813" w14:paraId="48FFB0D9" w14:textId="77777777" w:rsidTr="003B4A36">
        <w:trPr>
          <w:cantSplit/>
          <w:trHeight w:val="480"/>
        </w:trPr>
        <w:tc>
          <w:tcPr>
            <w:tcW w:w="550" w:type="dxa"/>
            <w:noWrap/>
          </w:tcPr>
          <w:p w14:paraId="4D896EFA" w14:textId="77777777" w:rsidR="00C101AE" w:rsidRPr="00F34813" w:rsidRDefault="00C101AE" w:rsidP="00316534">
            <w:pPr>
              <w:rPr>
                <w:color w:val="000000"/>
              </w:rPr>
            </w:pPr>
            <w:r w:rsidRPr="00F34813">
              <w:t>1</w:t>
            </w:r>
          </w:p>
        </w:tc>
        <w:tc>
          <w:tcPr>
            <w:tcW w:w="1970" w:type="dxa"/>
          </w:tcPr>
          <w:p w14:paraId="2C733FEB" w14:textId="77777777" w:rsidR="00C101AE" w:rsidRPr="00F34813" w:rsidRDefault="00C101AE" w:rsidP="00316534">
            <w:pPr>
              <w:rPr>
                <w:color w:val="000000"/>
              </w:rPr>
            </w:pPr>
            <w:r w:rsidRPr="00F34813">
              <w:t>Confidentiality</w:t>
            </w:r>
          </w:p>
        </w:tc>
        <w:tc>
          <w:tcPr>
            <w:tcW w:w="2399" w:type="dxa"/>
          </w:tcPr>
          <w:p w14:paraId="5C67DEB4" w14:textId="77777777" w:rsidR="00C101AE" w:rsidRPr="00F34813" w:rsidRDefault="00C101AE" w:rsidP="00316534">
            <w:pPr>
              <w:rPr>
                <w:color w:val="000000"/>
              </w:rPr>
            </w:pPr>
            <w:r w:rsidRPr="00F34813">
              <w:t>Loss of confidentiality of multiple records due to staff accidentally disclosing information leads to loss of privacy, embarrassment for the CQR and/or financial penalties</w:t>
            </w:r>
            <w:r>
              <w:t>.</w:t>
            </w:r>
          </w:p>
        </w:tc>
        <w:tc>
          <w:tcPr>
            <w:tcW w:w="1304" w:type="dxa"/>
            <w:noWrap/>
          </w:tcPr>
          <w:p w14:paraId="17D79269" w14:textId="77777777" w:rsidR="00C101AE" w:rsidRPr="00F34813" w:rsidRDefault="00C101AE" w:rsidP="00316534">
            <w:pPr>
              <w:rPr>
                <w:color w:val="000000"/>
              </w:rPr>
            </w:pPr>
            <w:r w:rsidRPr="00F34813">
              <w:t>Unlikely</w:t>
            </w:r>
          </w:p>
        </w:tc>
        <w:tc>
          <w:tcPr>
            <w:tcW w:w="1084" w:type="dxa"/>
            <w:noWrap/>
          </w:tcPr>
          <w:p w14:paraId="441872A7" w14:textId="77777777" w:rsidR="00C101AE" w:rsidRPr="00F34813" w:rsidRDefault="00C101AE" w:rsidP="00316534">
            <w:pPr>
              <w:rPr>
                <w:color w:val="000000"/>
              </w:rPr>
            </w:pPr>
            <w:r w:rsidRPr="00F34813">
              <w:t>Major</w:t>
            </w:r>
          </w:p>
        </w:tc>
        <w:tc>
          <w:tcPr>
            <w:tcW w:w="948" w:type="dxa"/>
            <w:noWrap/>
          </w:tcPr>
          <w:p w14:paraId="78F34675" w14:textId="77777777" w:rsidR="00C101AE" w:rsidRPr="00737874" w:rsidRDefault="00C101AE" w:rsidP="00316534">
            <w:r w:rsidRPr="00737874">
              <w:t>High</w:t>
            </w:r>
          </w:p>
        </w:tc>
        <w:tc>
          <w:tcPr>
            <w:tcW w:w="1743" w:type="dxa"/>
          </w:tcPr>
          <w:p w14:paraId="27E2F5E2" w14:textId="77777777" w:rsidR="00C101AE" w:rsidRPr="00737874" w:rsidRDefault="00C101AE" w:rsidP="00316534">
            <w:r w:rsidRPr="00737874">
              <w:t>Information security policy; HR security</w:t>
            </w:r>
          </w:p>
        </w:tc>
      </w:tr>
      <w:tr w:rsidR="00C101AE" w:rsidRPr="00F34813" w14:paraId="4E8179D3" w14:textId="77777777" w:rsidTr="003B4A36">
        <w:trPr>
          <w:cnfStyle w:val="000000010000" w:firstRow="0" w:lastRow="0" w:firstColumn="0" w:lastColumn="0" w:oddVBand="0" w:evenVBand="0" w:oddHBand="0" w:evenHBand="1" w:firstRowFirstColumn="0" w:firstRowLastColumn="0" w:lastRowFirstColumn="0" w:lastRowLastColumn="0"/>
          <w:cantSplit/>
          <w:trHeight w:val="480"/>
        </w:trPr>
        <w:tc>
          <w:tcPr>
            <w:tcW w:w="550" w:type="dxa"/>
            <w:noWrap/>
          </w:tcPr>
          <w:p w14:paraId="14305531" w14:textId="77777777" w:rsidR="00C101AE" w:rsidRPr="00F34813" w:rsidRDefault="00C101AE" w:rsidP="00316534">
            <w:pPr>
              <w:rPr>
                <w:color w:val="000000"/>
              </w:rPr>
            </w:pPr>
            <w:r w:rsidRPr="00F34813">
              <w:t>2</w:t>
            </w:r>
          </w:p>
        </w:tc>
        <w:tc>
          <w:tcPr>
            <w:tcW w:w="1970" w:type="dxa"/>
          </w:tcPr>
          <w:p w14:paraId="1D4102E8" w14:textId="77777777" w:rsidR="00C101AE" w:rsidRPr="00F34813" w:rsidRDefault="00C101AE" w:rsidP="00316534">
            <w:pPr>
              <w:rPr>
                <w:color w:val="000000"/>
              </w:rPr>
            </w:pPr>
            <w:r w:rsidRPr="00F34813">
              <w:t>Confidentiality</w:t>
            </w:r>
          </w:p>
        </w:tc>
        <w:tc>
          <w:tcPr>
            <w:tcW w:w="2399" w:type="dxa"/>
          </w:tcPr>
          <w:p w14:paraId="62194A68" w14:textId="65F27F1A" w:rsidR="00C101AE" w:rsidRPr="00F34813" w:rsidRDefault="00C101AE" w:rsidP="00316534">
            <w:pPr>
              <w:rPr>
                <w:color w:val="000000"/>
              </w:rPr>
            </w:pPr>
            <w:r w:rsidRPr="00F34813">
              <w:t>Accidental breach of legislation (by central administration staff) due to central administration staff managing multiple jurisdictions</w:t>
            </w:r>
            <w:r>
              <w:t>.</w:t>
            </w:r>
            <w:r w:rsidRPr="00F34813">
              <w:t xml:space="preserve"> </w:t>
            </w:r>
          </w:p>
        </w:tc>
        <w:tc>
          <w:tcPr>
            <w:tcW w:w="1304" w:type="dxa"/>
            <w:noWrap/>
          </w:tcPr>
          <w:p w14:paraId="7F486699" w14:textId="77777777" w:rsidR="00C101AE" w:rsidRPr="00F34813" w:rsidRDefault="00C101AE" w:rsidP="00316534">
            <w:pPr>
              <w:rPr>
                <w:color w:val="000000"/>
              </w:rPr>
            </w:pPr>
            <w:r w:rsidRPr="00F34813">
              <w:t>Unlikely</w:t>
            </w:r>
          </w:p>
        </w:tc>
        <w:tc>
          <w:tcPr>
            <w:tcW w:w="1084" w:type="dxa"/>
            <w:noWrap/>
          </w:tcPr>
          <w:p w14:paraId="1794EE3A" w14:textId="77777777" w:rsidR="00C101AE" w:rsidRPr="00F34813" w:rsidRDefault="00C101AE" w:rsidP="00316534">
            <w:pPr>
              <w:rPr>
                <w:color w:val="000000"/>
              </w:rPr>
            </w:pPr>
            <w:r w:rsidRPr="00F34813">
              <w:t>Major</w:t>
            </w:r>
          </w:p>
        </w:tc>
        <w:tc>
          <w:tcPr>
            <w:tcW w:w="948" w:type="dxa"/>
            <w:noWrap/>
          </w:tcPr>
          <w:p w14:paraId="4783D719" w14:textId="77777777" w:rsidR="00C101AE" w:rsidRPr="00F34813" w:rsidRDefault="00C101AE" w:rsidP="00316534">
            <w:pPr>
              <w:rPr>
                <w:color w:val="000000"/>
              </w:rPr>
            </w:pPr>
            <w:r w:rsidRPr="00F34813">
              <w:t>High</w:t>
            </w:r>
          </w:p>
        </w:tc>
        <w:tc>
          <w:tcPr>
            <w:tcW w:w="1743" w:type="dxa"/>
          </w:tcPr>
          <w:p w14:paraId="27DFC47B" w14:textId="77777777" w:rsidR="00C101AE" w:rsidRPr="00F34813" w:rsidRDefault="00C101AE" w:rsidP="00316534">
            <w:pPr>
              <w:rPr>
                <w:color w:val="000000"/>
              </w:rPr>
            </w:pPr>
            <w:r w:rsidRPr="00F34813">
              <w:t xml:space="preserve">Access </w:t>
            </w:r>
            <w:r>
              <w:t>c</w:t>
            </w:r>
            <w:r w:rsidRPr="00F34813">
              <w:t>ontrol; Compliance</w:t>
            </w:r>
          </w:p>
        </w:tc>
      </w:tr>
      <w:tr w:rsidR="00C101AE" w:rsidRPr="00F34813" w14:paraId="295D242E" w14:textId="77777777" w:rsidTr="003B4A36">
        <w:trPr>
          <w:cantSplit/>
          <w:trHeight w:val="480"/>
        </w:trPr>
        <w:tc>
          <w:tcPr>
            <w:tcW w:w="550" w:type="dxa"/>
            <w:noWrap/>
          </w:tcPr>
          <w:p w14:paraId="582B7702" w14:textId="77777777" w:rsidR="00C101AE" w:rsidRPr="00F34813" w:rsidRDefault="00C101AE" w:rsidP="00316534">
            <w:pPr>
              <w:rPr>
                <w:color w:val="000000"/>
              </w:rPr>
            </w:pPr>
            <w:r w:rsidRPr="00F34813">
              <w:t>3</w:t>
            </w:r>
          </w:p>
        </w:tc>
        <w:tc>
          <w:tcPr>
            <w:tcW w:w="1970" w:type="dxa"/>
          </w:tcPr>
          <w:p w14:paraId="16815C06" w14:textId="77777777" w:rsidR="00C101AE" w:rsidRPr="00F34813" w:rsidRDefault="00C101AE" w:rsidP="00316534">
            <w:pPr>
              <w:rPr>
                <w:color w:val="000000"/>
              </w:rPr>
            </w:pPr>
            <w:r w:rsidRPr="00F34813">
              <w:t>Confidentiality</w:t>
            </w:r>
          </w:p>
        </w:tc>
        <w:tc>
          <w:tcPr>
            <w:tcW w:w="2399" w:type="dxa"/>
          </w:tcPr>
          <w:p w14:paraId="7BB412EA" w14:textId="77777777" w:rsidR="00C101AE" w:rsidRPr="00F34813" w:rsidRDefault="00C101AE" w:rsidP="00316534">
            <w:pPr>
              <w:rPr>
                <w:color w:val="000000"/>
              </w:rPr>
            </w:pPr>
            <w:r w:rsidRPr="00F34813">
              <w:t>Loss of confidentiality of information due to staff or contractors purposely disclosing health information (likelihood is increased in central administration)</w:t>
            </w:r>
            <w:r>
              <w:t>.</w:t>
            </w:r>
          </w:p>
        </w:tc>
        <w:tc>
          <w:tcPr>
            <w:tcW w:w="1304" w:type="dxa"/>
            <w:noWrap/>
          </w:tcPr>
          <w:p w14:paraId="464698D0" w14:textId="77777777" w:rsidR="00C101AE" w:rsidRPr="00F34813" w:rsidRDefault="00C101AE" w:rsidP="00316534">
            <w:pPr>
              <w:rPr>
                <w:color w:val="000000"/>
              </w:rPr>
            </w:pPr>
            <w:r w:rsidRPr="00F34813">
              <w:t>Unlikely</w:t>
            </w:r>
          </w:p>
        </w:tc>
        <w:tc>
          <w:tcPr>
            <w:tcW w:w="1084" w:type="dxa"/>
            <w:noWrap/>
          </w:tcPr>
          <w:p w14:paraId="1D613C81" w14:textId="77777777" w:rsidR="00C101AE" w:rsidRPr="00F34813" w:rsidRDefault="00C101AE" w:rsidP="00316534">
            <w:pPr>
              <w:rPr>
                <w:color w:val="000000"/>
              </w:rPr>
            </w:pPr>
            <w:r w:rsidRPr="00F34813">
              <w:t>Major</w:t>
            </w:r>
          </w:p>
        </w:tc>
        <w:tc>
          <w:tcPr>
            <w:tcW w:w="948" w:type="dxa"/>
            <w:noWrap/>
          </w:tcPr>
          <w:p w14:paraId="365AEBA5" w14:textId="77777777" w:rsidR="00C101AE" w:rsidRPr="00F34813" w:rsidRDefault="00C101AE" w:rsidP="00316534">
            <w:pPr>
              <w:rPr>
                <w:color w:val="000000"/>
              </w:rPr>
            </w:pPr>
            <w:r w:rsidRPr="00F34813">
              <w:t>High</w:t>
            </w:r>
          </w:p>
        </w:tc>
        <w:tc>
          <w:tcPr>
            <w:tcW w:w="1743" w:type="dxa"/>
          </w:tcPr>
          <w:p w14:paraId="590ED70E" w14:textId="77777777" w:rsidR="00C101AE" w:rsidRPr="00F34813" w:rsidRDefault="00C101AE" w:rsidP="00316534">
            <w:pPr>
              <w:rPr>
                <w:color w:val="000000"/>
              </w:rPr>
            </w:pPr>
            <w:r w:rsidRPr="00F34813">
              <w:t xml:space="preserve">Information </w:t>
            </w:r>
            <w:r>
              <w:t>s</w:t>
            </w:r>
            <w:r w:rsidRPr="00F34813">
              <w:t xml:space="preserve">ecurity </w:t>
            </w:r>
            <w:r>
              <w:t>p</w:t>
            </w:r>
            <w:r w:rsidRPr="00F34813">
              <w:t xml:space="preserve">olicy; HR </w:t>
            </w:r>
            <w:r>
              <w:t>s</w:t>
            </w:r>
            <w:r w:rsidRPr="00F34813">
              <w:t xml:space="preserve">ecurity; </w:t>
            </w:r>
            <w:r>
              <w:t>Organising i</w:t>
            </w:r>
            <w:r w:rsidRPr="00F34813">
              <w:t xml:space="preserve">nformation </w:t>
            </w:r>
            <w:r>
              <w:t>s</w:t>
            </w:r>
            <w:r w:rsidRPr="00F34813">
              <w:t xml:space="preserve">ecurity </w:t>
            </w:r>
          </w:p>
        </w:tc>
      </w:tr>
      <w:tr w:rsidR="00C101AE" w:rsidRPr="00F34813" w14:paraId="4A1CEFCD" w14:textId="77777777" w:rsidTr="003B4A36">
        <w:trPr>
          <w:cnfStyle w:val="000000010000" w:firstRow="0" w:lastRow="0" w:firstColumn="0" w:lastColumn="0" w:oddVBand="0" w:evenVBand="0" w:oddHBand="0" w:evenHBand="1" w:firstRowFirstColumn="0" w:firstRowLastColumn="0" w:lastRowFirstColumn="0" w:lastRowLastColumn="0"/>
          <w:cantSplit/>
          <w:trHeight w:val="480"/>
        </w:trPr>
        <w:tc>
          <w:tcPr>
            <w:tcW w:w="550" w:type="dxa"/>
            <w:noWrap/>
          </w:tcPr>
          <w:p w14:paraId="7541C85B" w14:textId="77777777" w:rsidR="00C101AE" w:rsidRPr="00F34813" w:rsidRDefault="00C101AE" w:rsidP="00316534">
            <w:pPr>
              <w:rPr>
                <w:color w:val="000000"/>
              </w:rPr>
            </w:pPr>
            <w:r w:rsidRPr="00F34813">
              <w:t>4</w:t>
            </w:r>
          </w:p>
        </w:tc>
        <w:tc>
          <w:tcPr>
            <w:tcW w:w="1970" w:type="dxa"/>
          </w:tcPr>
          <w:p w14:paraId="77B04E7B" w14:textId="77777777" w:rsidR="00C101AE" w:rsidRPr="00F34813" w:rsidRDefault="00C101AE" w:rsidP="00316534">
            <w:pPr>
              <w:rPr>
                <w:color w:val="000000"/>
              </w:rPr>
            </w:pPr>
            <w:r w:rsidRPr="00F34813">
              <w:t>Confidentiality</w:t>
            </w:r>
          </w:p>
        </w:tc>
        <w:tc>
          <w:tcPr>
            <w:tcW w:w="2399" w:type="dxa"/>
          </w:tcPr>
          <w:p w14:paraId="41BFB573" w14:textId="77777777" w:rsidR="00C101AE" w:rsidRPr="00F34813" w:rsidRDefault="00C101AE" w:rsidP="00316534">
            <w:pPr>
              <w:rPr>
                <w:color w:val="000000"/>
              </w:rPr>
            </w:pPr>
            <w:r w:rsidRPr="00D06B06">
              <w:t>Changing to new central administration environment may put information at additional risk due to the difficulties in identifying users</w:t>
            </w:r>
            <w:r>
              <w:t>.</w:t>
            </w:r>
          </w:p>
        </w:tc>
        <w:tc>
          <w:tcPr>
            <w:tcW w:w="1304" w:type="dxa"/>
            <w:noWrap/>
          </w:tcPr>
          <w:p w14:paraId="72A0E4DA" w14:textId="77777777" w:rsidR="00C101AE" w:rsidRPr="00F34813" w:rsidRDefault="00C101AE" w:rsidP="00316534">
            <w:pPr>
              <w:rPr>
                <w:color w:val="000000"/>
              </w:rPr>
            </w:pPr>
            <w:r w:rsidRPr="00F34813">
              <w:t>Possible</w:t>
            </w:r>
          </w:p>
        </w:tc>
        <w:tc>
          <w:tcPr>
            <w:tcW w:w="1084" w:type="dxa"/>
            <w:noWrap/>
          </w:tcPr>
          <w:p w14:paraId="21786480" w14:textId="77777777" w:rsidR="00C101AE" w:rsidRPr="00F34813" w:rsidRDefault="00C101AE" w:rsidP="00316534">
            <w:pPr>
              <w:rPr>
                <w:color w:val="000000"/>
              </w:rPr>
            </w:pPr>
            <w:r w:rsidRPr="00F34813">
              <w:t>Moderate</w:t>
            </w:r>
          </w:p>
        </w:tc>
        <w:tc>
          <w:tcPr>
            <w:tcW w:w="948" w:type="dxa"/>
            <w:noWrap/>
          </w:tcPr>
          <w:p w14:paraId="22B44C28" w14:textId="77777777" w:rsidR="00C101AE" w:rsidRPr="00F34813" w:rsidRDefault="00C101AE" w:rsidP="00316534">
            <w:pPr>
              <w:rPr>
                <w:color w:val="000000"/>
              </w:rPr>
            </w:pPr>
            <w:r w:rsidRPr="00F34813">
              <w:t>High</w:t>
            </w:r>
          </w:p>
        </w:tc>
        <w:tc>
          <w:tcPr>
            <w:tcW w:w="1743" w:type="dxa"/>
          </w:tcPr>
          <w:p w14:paraId="79DA6335" w14:textId="77777777" w:rsidR="00C101AE" w:rsidRPr="00F34813" w:rsidRDefault="00C101AE" w:rsidP="00316534">
            <w:pPr>
              <w:rPr>
                <w:color w:val="000000"/>
              </w:rPr>
            </w:pPr>
            <w:r w:rsidRPr="00F34813">
              <w:t xml:space="preserve">Information </w:t>
            </w:r>
            <w:r>
              <w:t>s</w:t>
            </w:r>
            <w:r w:rsidRPr="00F34813">
              <w:t xml:space="preserve">ecurity </w:t>
            </w:r>
            <w:r>
              <w:t>p</w:t>
            </w:r>
            <w:r w:rsidRPr="00F34813">
              <w:t xml:space="preserve">olicy; </w:t>
            </w:r>
            <w:r>
              <w:t>Organising i</w:t>
            </w:r>
            <w:r w:rsidRPr="00F34813">
              <w:t xml:space="preserve">nformation </w:t>
            </w:r>
            <w:r>
              <w:t>s</w:t>
            </w:r>
            <w:r w:rsidRPr="00F34813">
              <w:t>ecurity</w:t>
            </w:r>
          </w:p>
        </w:tc>
      </w:tr>
      <w:tr w:rsidR="00C101AE" w:rsidRPr="00F34813" w14:paraId="08A8531F" w14:textId="77777777" w:rsidTr="003B4A36">
        <w:trPr>
          <w:cantSplit/>
          <w:trHeight w:val="480"/>
        </w:trPr>
        <w:tc>
          <w:tcPr>
            <w:tcW w:w="550" w:type="dxa"/>
            <w:noWrap/>
          </w:tcPr>
          <w:p w14:paraId="53285593" w14:textId="77777777" w:rsidR="00C101AE" w:rsidRPr="00F34813" w:rsidRDefault="00C101AE" w:rsidP="00316534">
            <w:pPr>
              <w:rPr>
                <w:color w:val="000000"/>
              </w:rPr>
            </w:pPr>
            <w:r w:rsidRPr="00F34813">
              <w:lastRenderedPageBreak/>
              <w:t>5</w:t>
            </w:r>
          </w:p>
        </w:tc>
        <w:tc>
          <w:tcPr>
            <w:tcW w:w="1970" w:type="dxa"/>
          </w:tcPr>
          <w:p w14:paraId="4D67DAE4" w14:textId="77777777" w:rsidR="00C101AE" w:rsidRPr="00F34813" w:rsidRDefault="00C101AE" w:rsidP="00316534">
            <w:pPr>
              <w:rPr>
                <w:color w:val="000000"/>
              </w:rPr>
            </w:pPr>
            <w:r w:rsidRPr="00F34813">
              <w:t>Confidentiality</w:t>
            </w:r>
          </w:p>
        </w:tc>
        <w:tc>
          <w:tcPr>
            <w:tcW w:w="2399" w:type="dxa"/>
          </w:tcPr>
          <w:p w14:paraId="24454BA6" w14:textId="77777777" w:rsidR="00C101AE" w:rsidRPr="001D3BA3" w:rsidRDefault="00C101AE" w:rsidP="00316534">
            <w:pPr>
              <w:rPr>
                <w:color w:val="FF40FF"/>
              </w:rPr>
            </w:pPr>
            <w:r w:rsidRPr="00737874">
              <w:t xml:space="preserve">Loss of confidentiality of information while in transit externally (e.g. from data suppliers). </w:t>
            </w:r>
          </w:p>
        </w:tc>
        <w:tc>
          <w:tcPr>
            <w:tcW w:w="1304" w:type="dxa"/>
            <w:noWrap/>
          </w:tcPr>
          <w:p w14:paraId="1173EB96" w14:textId="77777777" w:rsidR="00C101AE" w:rsidRPr="00F34813" w:rsidRDefault="00C101AE" w:rsidP="00316534">
            <w:pPr>
              <w:rPr>
                <w:color w:val="000000"/>
              </w:rPr>
            </w:pPr>
            <w:r w:rsidRPr="00F34813">
              <w:t>Possible</w:t>
            </w:r>
          </w:p>
        </w:tc>
        <w:tc>
          <w:tcPr>
            <w:tcW w:w="1084" w:type="dxa"/>
            <w:noWrap/>
          </w:tcPr>
          <w:p w14:paraId="27218986" w14:textId="77777777" w:rsidR="00C101AE" w:rsidRPr="00F34813" w:rsidRDefault="00C101AE" w:rsidP="00316534">
            <w:pPr>
              <w:rPr>
                <w:color w:val="000000"/>
              </w:rPr>
            </w:pPr>
            <w:r w:rsidRPr="00F34813">
              <w:t>Moderate</w:t>
            </w:r>
          </w:p>
        </w:tc>
        <w:tc>
          <w:tcPr>
            <w:tcW w:w="948" w:type="dxa"/>
            <w:noWrap/>
          </w:tcPr>
          <w:p w14:paraId="4CA59DB7" w14:textId="77777777" w:rsidR="00C101AE" w:rsidRPr="00F34813" w:rsidRDefault="00C101AE" w:rsidP="00316534">
            <w:pPr>
              <w:rPr>
                <w:color w:val="000000"/>
              </w:rPr>
            </w:pPr>
            <w:r w:rsidRPr="00F34813">
              <w:t>High</w:t>
            </w:r>
          </w:p>
        </w:tc>
        <w:tc>
          <w:tcPr>
            <w:tcW w:w="1743" w:type="dxa"/>
          </w:tcPr>
          <w:p w14:paraId="08A04CA0" w14:textId="77777777" w:rsidR="00C101AE" w:rsidRPr="00F34813" w:rsidRDefault="00C101AE" w:rsidP="00316534">
            <w:pPr>
              <w:rPr>
                <w:color w:val="000000"/>
              </w:rPr>
            </w:pPr>
            <w:r w:rsidRPr="00F34813">
              <w:t xml:space="preserve">Communications and </w:t>
            </w:r>
            <w:r>
              <w:t>o</w:t>
            </w:r>
            <w:r w:rsidRPr="00F34813">
              <w:t xml:space="preserve">perations </w:t>
            </w:r>
            <w:r>
              <w:t>m</w:t>
            </w:r>
            <w:r w:rsidRPr="00F34813">
              <w:t>anagement</w:t>
            </w:r>
          </w:p>
        </w:tc>
      </w:tr>
      <w:tr w:rsidR="00C101AE" w:rsidRPr="00F34813" w14:paraId="2C8354D5" w14:textId="77777777" w:rsidTr="003B4A36">
        <w:trPr>
          <w:cnfStyle w:val="000000010000" w:firstRow="0" w:lastRow="0" w:firstColumn="0" w:lastColumn="0" w:oddVBand="0" w:evenVBand="0" w:oddHBand="0" w:evenHBand="1" w:firstRowFirstColumn="0" w:firstRowLastColumn="0" w:lastRowFirstColumn="0" w:lastRowLastColumn="0"/>
          <w:cantSplit/>
          <w:trHeight w:val="720"/>
        </w:trPr>
        <w:tc>
          <w:tcPr>
            <w:tcW w:w="550" w:type="dxa"/>
            <w:noWrap/>
          </w:tcPr>
          <w:p w14:paraId="3C897A31" w14:textId="77777777" w:rsidR="00C101AE" w:rsidRPr="00F34813" w:rsidRDefault="00C101AE" w:rsidP="00316534">
            <w:pPr>
              <w:rPr>
                <w:color w:val="000000"/>
              </w:rPr>
            </w:pPr>
            <w:r w:rsidRPr="00F34813">
              <w:t>6</w:t>
            </w:r>
          </w:p>
        </w:tc>
        <w:tc>
          <w:tcPr>
            <w:tcW w:w="1970" w:type="dxa"/>
          </w:tcPr>
          <w:p w14:paraId="012190E8" w14:textId="77777777" w:rsidR="00C101AE" w:rsidRPr="00F34813" w:rsidRDefault="00C101AE" w:rsidP="00316534">
            <w:pPr>
              <w:rPr>
                <w:color w:val="000000"/>
              </w:rPr>
            </w:pPr>
            <w:r w:rsidRPr="00F34813">
              <w:t>Confidentiality</w:t>
            </w:r>
          </w:p>
        </w:tc>
        <w:tc>
          <w:tcPr>
            <w:tcW w:w="2399" w:type="dxa"/>
          </w:tcPr>
          <w:p w14:paraId="7FC0C55B" w14:textId="77777777" w:rsidR="00C101AE" w:rsidRPr="001D3BA3" w:rsidRDefault="00C101AE" w:rsidP="00316534">
            <w:pPr>
              <w:rPr>
                <w:color w:val="FF40FF"/>
              </w:rPr>
            </w:pPr>
            <w:r w:rsidRPr="00737874">
              <w:t>Portable devices may store confidential information and could be left in public areas or stolen, leading to breach of confidentiality of multiple records.</w:t>
            </w:r>
          </w:p>
        </w:tc>
        <w:tc>
          <w:tcPr>
            <w:tcW w:w="1304" w:type="dxa"/>
            <w:noWrap/>
          </w:tcPr>
          <w:p w14:paraId="2160334A" w14:textId="77777777" w:rsidR="00C101AE" w:rsidRPr="00F34813" w:rsidRDefault="00C101AE" w:rsidP="00316534">
            <w:pPr>
              <w:rPr>
                <w:color w:val="000000"/>
              </w:rPr>
            </w:pPr>
            <w:r w:rsidRPr="00F34813">
              <w:t>Unlikely</w:t>
            </w:r>
          </w:p>
        </w:tc>
        <w:tc>
          <w:tcPr>
            <w:tcW w:w="1084" w:type="dxa"/>
            <w:noWrap/>
          </w:tcPr>
          <w:p w14:paraId="029C6D3C" w14:textId="77777777" w:rsidR="00C101AE" w:rsidRPr="00F34813" w:rsidRDefault="00C101AE" w:rsidP="00316534">
            <w:pPr>
              <w:rPr>
                <w:color w:val="000000"/>
              </w:rPr>
            </w:pPr>
            <w:r w:rsidRPr="00F34813">
              <w:t>Major</w:t>
            </w:r>
          </w:p>
        </w:tc>
        <w:tc>
          <w:tcPr>
            <w:tcW w:w="948" w:type="dxa"/>
            <w:noWrap/>
          </w:tcPr>
          <w:p w14:paraId="461757FC" w14:textId="77777777" w:rsidR="00C101AE" w:rsidRPr="00F34813" w:rsidRDefault="00C101AE" w:rsidP="00316534">
            <w:pPr>
              <w:rPr>
                <w:color w:val="000000"/>
              </w:rPr>
            </w:pPr>
            <w:r w:rsidRPr="00F34813">
              <w:t>High</w:t>
            </w:r>
          </w:p>
        </w:tc>
        <w:tc>
          <w:tcPr>
            <w:tcW w:w="1743" w:type="dxa"/>
          </w:tcPr>
          <w:p w14:paraId="08973971" w14:textId="77777777" w:rsidR="00C101AE" w:rsidRPr="00F34813" w:rsidRDefault="00C101AE" w:rsidP="00316534">
            <w:pPr>
              <w:rPr>
                <w:color w:val="000000"/>
              </w:rPr>
            </w:pPr>
            <w:r w:rsidRPr="00F34813">
              <w:t xml:space="preserve">HR </w:t>
            </w:r>
            <w:r>
              <w:t>s</w:t>
            </w:r>
            <w:r w:rsidRPr="00F34813">
              <w:t xml:space="preserve">ecurity; Communications and </w:t>
            </w:r>
            <w:r>
              <w:t>o</w:t>
            </w:r>
            <w:r w:rsidRPr="00F34813">
              <w:t xml:space="preserve">perations </w:t>
            </w:r>
            <w:r>
              <w:t>m</w:t>
            </w:r>
            <w:r w:rsidRPr="00F34813">
              <w:t>anagement</w:t>
            </w:r>
          </w:p>
        </w:tc>
      </w:tr>
      <w:tr w:rsidR="00C101AE" w:rsidRPr="00F34813" w14:paraId="185D679C" w14:textId="77777777" w:rsidTr="003B4A36">
        <w:trPr>
          <w:cantSplit/>
          <w:trHeight w:val="480"/>
        </w:trPr>
        <w:tc>
          <w:tcPr>
            <w:tcW w:w="550" w:type="dxa"/>
            <w:noWrap/>
          </w:tcPr>
          <w:p w14:paraId="455A2C5F" w14:textId="77777777" w:rsidR="00C101AE" w:rsidRPr="00F34813" w:rsidRDefault="00C101AE" w:rsidP="00316534">
            <w:pPr>
              <w:rPr>
                <w:color w:val="000000"/>
              </w:rPr>
            </w:pPr>
            <w:r w:rsidRPr="00F34813">
              <w:t>7</w:t>
            </w:r>
          </w:p>
        </w:tc>
        <w:tc>
          <w:tcPr>
            <w:tcW w:w="1970" w:type="dxa"/>
          </w:tcPr>
          <w:p w14:paraId="2F650CCF" w14:textId="77777777" w:rsidR="00C101AE" w:rsidRPr="00F34813" w:rsidRDefault="00C101AE" w:rsidP="00316534">
            <w:pPr>
              <w:rPr>
                <w:color w:val="000000"/>
              </w:rPr>
            </w:pPr>
            <w:r w:rsidRPr="00F34813">
              <w:t>Confidentiality</w:t>
            </w:r>
          </w:p>
        </w:tc>
        <w:tc>
          <w:tcPr>
            <w:tcW w:w="2399" w:type="dxa"/>
          </w:tcPr>
          <w:p w14:paraId="52A921F0" w14:textId="77777777" w:rsidR="00C101AE" w:rsidRPr="001D3BA3" w:rsidRDefault="00C101AE" w:rsidP="00316534">
            <w:pPr>
              <w:rPr>
                <w:color w:val="FF40FF"/>
              </w:rPr>
            </w:pPr>
            <w:r w:rsidRPr="00737874">
              <w:t>Breach of legislation due to information being used in a way that is not the purpose for which it was collected (e.g. violation of consent).</w:t>
            </w:r>
          </w:p>
        </w:tc>
        <w:tc>
          <w:tcPr>
            <w:tcW w:w="1304" w:type="dxa"/>
            <w:noWrap/>
          </w:tcPr>
          <w:p w14:paraId="3D87CBA1" w14:textId="77777777" w:rsidR="00C101AE" w:rsidRPr="00F34813" w:rsidRDefault="00C101AE" w:rsidP="00316534">
            <w:pPr>
              <w:rPr>
                <w:color w:val="000000"/>
              </w:rPr>
            </w:pPr>
            <w:r w:rsidRPr="00F34813">
              <w:t>Unlikely</w:t>
            </w:r>
          </w:p>
        </w:tc>
        <w:tc>
          <w:tcPr>
            <w:tcW w:w="1084" w:type="dxa"/>
            <w:noWrap/>
          </w:tcPr>
          <w:p w14:paraId="1D9BB85B" w14:textId="77777777" w:rsidR="00C101AE" w:rsidRPr="00F34813" w:rsidRDefault="00C101AE" w:rsidP="00316534">
            <w:pPr>
              <w:rPr>
                <w:color w:val="000000"/>
              </w:rPr>
            </w:pPr>
            <w:r w:rsidRPr="00F34813">
              <w:t>Moderate</w:t>
            </w:r>
          </w:p>
        </w:tc>
        <w:tc>
          <w:tcPr>
            <w:tcW w:w="948" w:type="dxa"/>
            <w:noWrap/>
          </w:tcPr>
          <w:p w14:paraId="79FC3EDE" w14:textId="77777777" w:rsidR="00C101AE" w:rsidRPr="00F34813" w:rsidRDefault="00C101AE" w:rsidP="00316534">
            <w:pPr>
              <w:rPr>
                <w:color w:val="000000"/>
              </w:rPr>
            </w:pPr>
            <w:r w:rsidRPr="00F34813">
              <w:t>Medium</w:t>
            </w:r>
          </w:p>
        </w:tc>
        <w:tc>
          <w:tcPr>
            <w:tcW w:w="1743" w:type="dxa"/>
          </w:tcPr>
          <w:p w14:paraId="5D04B33F" w14:textId="77777777" w:rsidR="00C101AE" w:rsidRPr="00F34813" w:rsidRDefault="00C101AE" w:rsidP="00316534">
            <w:pPr>
              <w:rPr>
                <w:color w:val="000000"/>
              </w:rPr>
            </w:pPr>
            <w:r w:rsidRPr="00F34813">
              <w:t xml:space="preserve">Compliance; HR </w:t>
            </w:r>
            <w:r>
              <w:t>s</w:t>
            </w:r>
            <w:r w:rsidRPr="00F34813">
              <w:t>ecurity</w:t>
            </w:r>
          </w:p>
        </w:tc>
      </w:tr>
      <w:tr w:rsidR="00C101AE" w:rsidRPr="00F34813" w14:paraId="3750375E" w14:textId="77777777" w:rsidTr="003B4A36">
        <w:trPr>
          <w:cnfStyle w:val="000000010000" w:firstRow="0" w:lastRow="0" w:firstColumn="0" w:lastColumn="0" w:oddVBand="0" w:evenVBand="0" w:oddHBand="0" w:evenHBand="1" w:firstRowFirstColumn="0" w:firstRowLastColumn="0" w:lastRowFirstColumn="0" w:lastRowLastColumn="0"/>
          <w:cantSplit/>
          <w:trHeight w:val="480"/>
        </w:trPr>
        <w:tc>
          <w:tcPr>
            <w:tcW w:w="550" w:type="dxa"/>
            <w:noWrap/>
          </w:tcPr>
          <w:p w14:paraId="525C787A" w14:textId="77777777" w:rsidR="00C101AE" w:rsidRPr="00F34813" w:rsidRDefault="00C101AE" w:rsidP="00316534">
            <w:pPr>
              <w:rPr>
                <w:color w:val="000000"/>
              </w:rPr>
            </w:pPr>
            <w:r w:rsidRPr="00F34813">
              <w:t>8</w:t>
            </w:r>
          </w:p>
        </w:tc>
        <w:tc>
          <w:tcPr>
            <w:tcW w:w="1970" w:type="dxa"/>
          </w:tcPr>
          <w:p w14:paraId="4086D1FD" w14:textId="77777777" w:rsidR="00C101AE" w:rsidRPr="00F34813" w:rsidRDefault="00C101AE" w:rsidP="00316534">
            <w:pPr>
              <w:rPr>
                <w:color w:val="000000"/>
              </w:rPr>
            </w:pPr>
            <w:r w:rsidRPr="00F34813">
              <w:t>Confidentiality</w:t>
            </w:r>
          </w:p>
        </w:tc>
        <w:tc>
          <w:tcPr>
            <w:tcW w:w="2399" w:type="dxa"/>
          </w:tcPr>
          <w:p w14:paraId="0F329F72" w14:textId="77777777" w:rsidR="00C101AE" w:rsidRPr="00F34813" w:rsidRDefault="00C101AE" w:rsidP="00316534">
            <w:pPr>
              <w:rPr>
                <w:color w:val="000000"/>
              </w:rPr>
            </w:pPr>
            <w:r w:rsidRPr="00F34813">
              <w:t>Theft of (non-portable) information systems containing multiple records of confidential information</w:t>
            </w:r>
            <w:r>
              <w:t>.</w:t>
            </w:r>
          </w:p>
        </w:tc>
        <w:tc>
          <w:tcPr>
            <w:tcW w:w="1304" w:type="dxa"/>
            <w:noWrap/>
          </w:tcPr>
          <w:p w14:paraId="241B854C" w14:textId="77777777" w:rsidR="00C101AE" w:rsidRPr="00F34813" w:rsidRDefault="00C101AE" w:rsidP="00316534">
            <w:pPr>
              <w:rPr>
                <w:color w:val="000000"/>
              </w:rPr>
            </w:pPr>
            <w:r w:rsidRPr="00F34813">
              <w:t>Unlikely</w:t>
            </w:r>
          </w:p>
        </w:tc>
        <w:tc>
          <w:tcPr>
            <w:tcW w:w="1084" w:type="dxa"/>
            <w:noWrap/>
          </w:tcPr>
          <w:p w14:paraId="4ED586E1" w14:textId="77777777" w:rsidR="00C101AE" w:rsidRPr="00F34813" w:rsidRDefault="00C101AE" w:rsidP="00316534">
            <w:pPr>
              <w:rPr>
                <w:color w:val="000000"/>
              </w:rPr>
            </w:pPr>
            <w:r w:rsidRPr="00F34813">
              <w:t>Major</w:t>
            </w:r>
          </w:p>
        </w:tc>
        <w:tc>
          <w:tcPr>
            <w:tcW w:w="948" w:type="dxa"/>
            <w:noWrap/>
          </w:tcPr>
          <w:p w14:paraId="70A45082" w14:textId="77777777" w:rsidR="00C101AE" w:rsidRPr="00F34813" w:rsidRDefault="00C101AE" w:rsidP="00316534">
            <w:pPr>
              <w:rPr>
                <w:color w:val="000000"/>
              </w:rPr>
            </w:pPr>
            <w:r w:rsidRPr="00F34813">
              <w:t>High</w:t>
            </w:r>
          </w:p>
        </w:tc>
        <w:tc>
          <w:tcPr>
            <w:tcW w:w="1743" w:type="dxa"/>
          </w:tcPr>
          <w:p w14:paraId="6AB18535" w14:textId="77777777" w:rsidR="00C101AE" w:rsidRPr="00F34813" w:rsidRDefault="00C101AE" w:rsidP="00316534">
            <w:pPr>
              <w:rPr>
                <w:color w:val="000000"/>
              </w:rPr>
            </w:pPr>
            <w:r w:rsidRPr="00F34813">
              <w:t xml:space="preserve">Physical </w:t>
            </w:r>
            <w:r w:rsidRPr="002340EF">
              <w:t>and environmental security</w:t>
            </w:r>
          </w:p>
        </w:tc>
      </w:tr>
      <w:tr w:rsidR="00C101AE" w:rsidRPr="00F34813" w14:paraId="22DBBE22" w14:textId="77777777" w:rsidTr="003B4A36">
        <w:trPr>
          <w:cantSplit/>
          <w:trHeight w:val="480"/>
        </w:trPr>
        <w:tc>
          <w:tcPr>
            <w:tcW w:w="550" w:type="dxa"/>
            <w:noWrap/>
          </w:tcPr>
          <w:p w14:paraId="1B68E752" w14:textId="77777777" w:rsidR="00C101AE" w:rsidRPr="00F34813" w:rsidRDefault="00C101AE" w:rsidP="00316534">
            <w:pPr>
              <w:rPr>
                <w:color w:val="000000"/>
              </w:rPr>
            </w:pPr>
            <w:r w:rsidRPr="00F34813">
              <w:t>9</w:t>
            </w:r>
          </w:p>
        </w:tc>
        <w:tc>
          <w:tcPr>
            <w:tcW w:w="1970" w:type="dxa"/>
          </w:tcPr>
          <w:p w14:paraId="227EE3EC" w14:textId="77777777" w:rsidR="00C101AE" w:rsidRPr="00F34813" w:rsidRDefault="00C101AE" w:rsidP="00316534">
            <w:pPr>
              <w:rPr>
                <w:color w:val="000000"/>
              </w:rPr>
            </w:pPr>
            <w:r w:rsidRPr="00F34813">
              <w:t>Confidentiality</w:t>
            </w:r>
          </w:p>
        </w:tc>
        <w:tc>
          <w:tcPr>
            <w:tcW w:w="2399" w:type="dxa"/>
          </w:tcPr>
          <w:p w14:paraId="78FA91DF" w14:textId="77777777" w:rsidR="00C101AE" w:rsidRPr="00F34813" w:rsidRDefault="00C101AE" w:rsidP="00316534">
            <w:pPr>
              <w:rPr>
                <w:color w:val="000000"/>
              </w:rPr>
            </w:pPr>
            <w:r w:rsidRPr="00F34813">
              <w:t>Authorised user inadvertently gives information to unauthorised user</w:t>
            </w:r>
            <w:r>
              <w:t>.</w:t>
            </w:r>
          </w:p>
        </w:tc>
        <w:tc>
          <w:tcPr>
            <w:tcW w:w="1304" w:type="dxa"/>
            <w:noWrap/>
          </w:tcPr>
          <w:p w14:paraId="3FBB209B" w14:textId="77777777" w:rsidR="00C101AE" w:rsidRPr="00F34813" w:rsidRDefault="00C101AE" w:rsidP="00316534">
            <w:pPr>
              <w:rPr>
                <w:color w:val="000000"/>
              </w:rPr>
            </w:pPr>
            <w:r w:rsidRPr="00F34813">
              <w:t>Possible</w:t>
            </w:r>
          </w:p>
        </w:tc>
        <w:tc>
          <w:tcPr>
            <w:tcW w:w="1084" w:type="dxa"/>
            <w:noWrap/>
          </w:tcPr>
          <w:p w14:paraId="08DEB93F" w14:textId="77777777" w:rsidR="00C101AE" w:rsidRPr="00F34813" w:rsidRDefault="00C101AE" w:rsidP="00316534">
            <w:pPr>
              <w:rPr>
                <w:color w:val="000000"/>
              </w:rPr>
            </w:pPr>
            <w:r w:rsidRPr="00F34813">
              <w:t>Moderate</w:t>
            </w:r>
          </w:p>
        </w:tc>
        <w:tc>
          <w:tcPr>
            <w:tcW w:w="948" w:type="dxa"/>
            <w:noWrap/>
          </w:tcPr>
          <w:p w14:paraId="63755EAE" w14:textId="77777777" w:rsidR="00C101AE" w:rsidRPr="00F34813" w:rsidRDefault="00C101AE" w:rsidP="00316534">
            <w:pPr>
              <w:rPr>
                <w:color w:val="000000"/>
              </w:rPr>
            </w:pPr>
            <w:r w:rsidRPr="00F34813">
              <w:t xml:space="preserve"> High</w:t>
            </w:r>
          </w:p>
        </w:tc>
        <w:tc>
          <w:tcPr>
            <w:tcW w:w="1743" w:type="dxa"/>
          </w:tcPr>
          <w:p w14:paraId="28BE2D47" w14:textId="77777777" w:rsidR="00C101AE" w:rsidRPr="00F34813" w:rsidRDefault="00C101AE" w:rsidP="00316534">
            <w:pPr>
              <w:rPr>
                <w:color w:val="000000"/>
              </w:rPr>
            </w:pPr>
            <w:r w:rsidRPr="00F34813">
              <w:t xml:space="preserve">HR </w:t>
            </w:r>
            <w:r>
              <w:t>s</w:t>
            </w:r>
            <w:r w:rsidRPr="00F34813">
              <w:t>ecurity</w:t>
            </w:r>
          </w:p>
        </w:tc>
      </w:tr>
      <w:tr w:rsidR="00C101AE" w:rsidRPr="00F34813" w14:paraId="7BAEBFC9" w14:textId="77777777" w:rsidTr="003B4A36">
        <w:trPr>
          <w:cnfStyle w:val="000000010000" w:firstRow="0" w:lastRow="0" w:firstColumn="0" w:lastColumn="0" w:oddVBand="0" w:evenVBand="0" w:oddHBand="0" w:evenHBand="1" w:firstRowFirstColumn="0" w:firstRowLastColumn="0" w:lastRowFirstColumn="0" w:lastRowLastColumn="0"/>
          <w:cantSplit/>
          <w:trHeight w:val="480"/>
        </w:trPr>
        <w:tc>
          <w:tcPr>
            <w:tcW w:w="550" w:type="dxa"/>
            <w:noWrap/>
          </w:tcPr>
          <w:p w14:paraId="6319E0D0" w14:textId="77777777" w:rsidR="00C101AE" w:rsidRPr="00F34813" w:rsidRDefault="00C101AE" w:rsidP="00316534">
            <w:pPr>
              <w:rPr>
                <w:color w:val="000000"/>
              </w:rPr>
            </w:pPr>
            <w:r w:rsidRPr="00F34813">
              <w:t>10</w:t>
            </w:r>
          </w:p>
        </w:tc>
        <w:tc>
          <w:tcPr>
            <w:tcW w:w="1970" w:type="dxa"/>
            <w:noWrap/>
          </w:tcPr>
          <w:p w14:paraId="72D269D2" w14:textId="77777777" w:rsidR="00C101AE" w:rsidRPr="00F34813" w:rsidRDefault="00C101AE" w:rsidP="00316534">
            <w:pPr>
              <w:rPr>
                <w:color w:val="000000"/>
              </w:rPr>
            </w:pPr>
            <w:r w:rsidRPr="00F34813">
              <w:t>Integrity</w:t>
            </w:r>
          </w:p>
        </w:tc>
        <w:tc>
          <w:tcPr>
            <w:tcW w:w="2399" w:type="dxa"/>
          </w:tcPr>
          <w:p w14:paraId="0D328A77" w14:textId="77777777" w:rsidR="00C101AE" w:rsidRPr="00F34813" w:rsidRDefault="00C101AE" w:rsidP="00316534">
            <w:pPr>
              <w:rPr>
                <w:color w:val="000000"/>
              </w:rPr>
            </w:pPr>
            <w:r w:rsidRPr="00F34813">
              <w:t xml:space="preserve">Data integrity errors in bulk upload </w:t>
            </w:r>
            <w:r>
              <w:t>or</w:t>
            </w:r>
            <w:r w:rsidRPr="00F34813">
              <w:t xml:space="preserve"> external file transfers</w:t>
            </w:r>
            <w:r>
              <w:t>.</w:t>
            </w:r>
          </w:p>
        </w:tc>
        <w:tc>
          <w:tcPr>
            <w:tcW w:w="1304" w:type="dxa"/>
            <w:noWrap/>
          </w:tcPr>
          <w:p w14:paraId="66F69D5E" w14:textId="77777777" w:rsidR="00C101AE" w:rsidRPr="00F34813" w:rsidRDefault="00C101AE" w:rsidP="00316534">
            <w:pPr>
              <w:rPr>
                <w:color w:val="000000"/>
              </w:rPr>
            </w:pPr>
            <w:r w:rsidRPr="00F34813">
              <w:t>Unlikely</w:t>
            </w:r>
          </w:p>
        </w:tc>
        <w:tc>
          <w:tcPr>
            <w:tcW w:w="1084" w:type="dxa"/>
            <w:noWrap/>
          </w:tcPr>
          <w:p w14:paraId="1E000A73" w14:textId="77777777" w:rsidR="00C101AE" w:rsidRPr="00F34813" w:rsidRDefault="00C101AE" w:rsidP="00316534">
            <w:pPr>
              <w:rPr>
                <w:color w:val="000000"/>
              </w:rPr>
            </w:pPr>
            <w:r w:rsidRPr="00F34813">
              <w:t>Major</w:t>
            </w:r>
          </w:p>
        </w:tc>
        <w:tc>
          <w:tcPr>
            <w:tcW w:w="948" w:type="dxa"/>
            <w:noWrap/>
          </w:tcPr>
          <w:p w14:paraId="029D9574" w14:textId="77777777" w:rsidR="00C101AE" w:rsidRPr="00F34813" w:rsidRDefault="00C101AE" w:rsidP="00316534">
            <w:pPr>
              <w:rPr>
                <w:color w:val="000000"/>
              </w:rPr>
            </w:pPr>
            <w:r w:rsidRPr="00F34813">
              <w:t>High</w:t>
            </w:r>
          </w:p>
        </w:tc>
        <w:tc>
          <w:tcPr>
            <w:tcW w:w="1743" w:type="dxa"/>
          </w:tcPr>
          <w:p w14:paraId="727B350A" w14:textId="77777777" w:rsidR="00C101AE" w:rsidRPr="00F34813" w:rsidRDefault="00C101AE" w:rsidP="00316534">
            <w:pPr>
              <w:rPr>
                <w:color w:val="000000"/>
              </w:rPr>
            </w:pPr>
            <w:r w:rsidRPr="00F34813">
              <w:t>Information systems acquisition</w:t>
            </w:r>
            <w:r>
              <w:t>,</w:t>
            </w:r>
            <w:r w:rsidRPr="00F34813">
              <w:t xml:space="preserve"> development and maintenance</w:t>
            </w:r>
          </w:p>
        </w:tc>
      </w:tr>
      <w:tr w:rsidR="00C101AE" w:rsidRPr="00F34813" w14:paraId="16E043AB" w14:textId="77777777" w:rsidTr="003B4A36">
        <w:trPr>
          <w:cantSplit/>
          <w:trHeight w:val="480"/>
        </w:trPr>
        <w:tc>
          <w:tcPr>
            <w:tcW w:w="550" w:type="dxa"/>
            <w:noWrap/>
          </w:tcPr>
          <w:p w14:paraId="7A007C39" w14:textId="77777777" w:rsidR="00C101AE" w:rsidRPr="00F34813" w:rsidRDefault="00C101AE" w:rsidP="00316534">
            <w:pPr>
              <w:rPr>
                <w:color w:val="000000"/>
              </w:rPr>
            </w:pPr>
            <w:r w:rsidRPr="00F34813">
              <w:t>11</w:t>
            </w:r>
          </w:p>
        </w:tc>
        <w:tc>
          <w:tcPr>
            <w:tcW w:w="1970" w:type="dxa"/>
            <w:noWrap/>
          </w:tcPr>
          <w:p w14:paraId="7FAAA0CC" w14:textId="77777777" w:rsidR="00C101AE" w:rsidRPr="00F34813" w:rsidRDefault="00C101AE" w:rsidP="00316534">
            <w:pPr>
              <w:rPr>
                <w:color w:val="000000"/>
              </w:rPr>
            </w:pPr>
            <w:r w:rsidRPr="00F34813">
              <w:t>Integrity</w:t>
            </w:r>
          </w:p>
        </w:tc>
        <w:tc>
          <w:tcPr>
            <w:tcW w:w="2399" w:type="dxa"/>
          </w:tcPr>
          <w:p w14:paraId="4FE7A952" w14:textId="77777777" w:rsidR="00C101AE" w:rsidRPr="00F34813" w:rsidRDefault="00C101AE" w:rsidP="00316534">
            <w:pPr>
              <w:rPr>
                <w:color w:val="000000"/>
              </w:rPr>
            </w:pPr>
            <w:r w:rsidRPr="00F34813">
              <w:t>Individual record data quality errors through data entry (transposition)</w:t>
            </w:r>
            <w:r>
              <w:t>.</w:t>
            </w:r>
          </w:p>
        </w:tc>
        <w:tc>
          <w:tcPr>
            <w:tcW w:w="1304" w:type="dxa"/>
            <w:noWrap/>
          </w:tcPr>
          <w:p w14:paraId="05578855" w14:textId="77777777" w:rsidR="00C101AE" w:rsidRPr="00F34813" w:rsidRDefault="00C101AE" w:rsidP="00316534">
            <w:pPr>
              <w:rPr>
                <w:color w:val="000000"/>
              </w:rPr>
            </w:pPr>
            <w:r w:rsidRPr="00F34813">
              <w:t>Possible</w:t>
            </w:r>
          </w:p>
        </w:tc>
        <w:tc>
          <w:tcPr>
            <w:tcW w:w="1084" w:type="dxa"/>
            <w:noWrap/>
          </w:tcPr>
          <w:p w14:paraId="0A15DAAE" w14:textId="77777777" w:rsidR="00C101AE" w:rsidRPr="00F34813" w:rsidRDefault="00C101AE" w:rsidP="00316534">
            <w:pPr>
              <w:rPr>
                <w:color w:val="000000"/>
              </w:rPr>
            </w:pPr>
            <w:r w:rsidRPr="00F34813">
              <w:t>Minor</w:t>
            </w:r>
          </w:p>
        </w:tc>
        <w:tc>
          <w:tcPr>
            <w:tcW w:w="948" w:type="dxa"/>
            <w:noWrap/>
          </w:tcPr>
          <w:p w14:paraId="037308BA" w14:textId="77777777" w:rsidR="00C101AE" w:rsidRPr="00F34813" w:rsidRDefault="00C101AE" w:rsidP="00316534">
            <w:pPr>
              <w:rPr>
                <w:color w:val="000000"/>
              </w:rPr>
            </w:pPr>
            <w:r w:rsidRPr="00F34813">
              <w:t>Medium</w:t>
            </w:r>
          </w:p>
        </w:tc>
        <w:tc>
          <w:tcPr>
            <w:tcW w:w="1743" w:type="dxa"/>
          </w:tcPr>
          <w:p w14:paraId="6F226DEE" w14:textId="77777777" w:rsidR="00C101AE" w:rsidRPr="00F34813" w:rsidRDefault="00C101AE" w:rsidP="00316534">
            <w:pPr>
              <w:rPr>
                <w:color w:val="000000"/>
              </w:rPr>
            </w:pPr>
            <w:r w:rsidRPr="00F34813">
              <w:t xml:space="preserve">Information systems acquisition, development and maintenance; HR </w:t>
            </w:r>
            <w:r>
              <w:t>s</w:t>
            </w:r>
            <w:r w:rsidRPr="00F34813">
              <w:t>ecurity</w:t>
            </w:r>
          </w:p>
        </w:tc>
      </w:tr>
      <w:tr w:rsidR="00C101AE" w:rsidRPr="00F34813" w14:paraId="71566F42" w14:textId="77777777" w:rsidTr="003B4A36">
        <w:trPr>
          <w:cnfStyle w:val="000000010000" w:firstRow="0" w:lastRow="0" w:firstColumn="0" w:lastColumn="0" w:oddVBand="0" w:evenVBand="0" w:oddHBand="0" w:evenHBand="1" w:firstRowFirstColumn="0" w:firstRowLastColumn="0" w:lastRowFirstColumn="0" w:lastRowLastColumn="0"/>
          <w:cantSplit/>
          <w:trHeight w:val="480"/>
        </w:trPr>
        <w:tc>
          <w:tcPr>
            <w:tcW w:w="550" w:type="dxa"/>
            <w:noWrap/>
          </w:tcPr>
          <w:p w14:paraId="3490A281" w14:textId="77777777" w:rsidR="00C101AE" w:rsidRPr="00F34813" w:rsidRDefault="00C101AE" w:rsidP="00316534">
            <w:pPr>
              <w:rPr>
                <w:color w:val="000000"/>
              </w:rPr>
            </w:pPr>
            <w:r w:rsidRPr="00F34813">
              <w:t>12</w:t>
            </w:r>
          </w:p>
        </w:tc>
        <w:tc>
          <w:tcPr>
            <w:tcW w:w="1970" w:type="dxa"/>
            <w:noWrap/>
          </w:tcPr>
          <w:p w14:paraId="2BB70F39" w14:textId="77777777" w:rsidR="00C101AE" w:rsidRPr="00F34813" w:rsidRDefault="00C101AE" w:rsidP="00316534">
            <w:pPr>
              <w:rPr>
                <w:color w:val="000000"/>
              </w:rPr>
            </w:pPr>
            <w:r w:rsidRPr="00F34813">
              <w:t>Integrity</w:t>
            </w:r>
          </w:p>
        </w:tc>
        <w:tc>
          <w:tcPr>
            <w:tcW w:w="2399" w:type="dxa"/>
          </w:tcPr>
          <w:p w14:paraId="28CFC7D0" w14:textId="77777777" w:rsidR="00C101AE" w:rsidRPr="00F34813" w:rsidRDefault="00C101AE" w:rsidP="00316534">
            <w:pPr>
              <w:rPr>
                <w:color w:val="000000"/>
              </w:rPr>
            </w:pPr>
            <w:r w:rsidRPr="00F34813">
              <w:t>Malicious staff purposely change multiple records</w:t>
            </w:r>
            <w:r>
              <w:t>.</w:t>
            </w:r>
            <w:r w:rsidRPr="00F34813">
              <w:t xml:space="preserve"> </w:t>
            </w:r>
          </w:p>
        </w:tc>
        <w:tc>
          <w:tcPr>
            <w:tcW w:w="1304" w:type="dxa"/>
            <w:noWrap/>
          </w:tcPr>
          <w:p w14:paraId="463142B1" w14:textId="77777777" w:rsidR="00C101AE" w:rsidRPr="00F34813" w:rsidRDefault="00C101AE" w:rsidP="00316534">
            <w:pPr>
              <w:rPr>
                <w:color w:val="000000"/>
              </w:rPr>
            </w:pPr>
            <w:r w:rsidRPr="00F34813">
              <w:t>Unlikely</w:t>
            </w:r>
          </w:p>
        </w:tc>
        <w:tc>
          <w:tcPr>
            <w:tcW w:w="1084" w:type="dxa"/>
            <w:noWrap/>
          </w:tcPr>
          <w:p w14:paraId="6AD848C1" w14:textId="77777777" w:rsidR="00C101AE" w:rsidRPr="00F34813" w:rsidRDefault="00C101AE" w:rsidP="00316534">
            <w:pPr>
              <w:rPr>
                <w:color w:val="000000"/>
              </w:rPr>
            </w:pPr>
            <w:r w:rsidRPr="00F34813">
              <w:t>Major</w:t>
            </w:r>
          </w:p>
        </w:tc>
        <w:tc>
          <w:tcPr>
            <w:tcW w:w="948" w:type="dxa"/>
            <w:noWrap/>
          </w:tcPr>
          <w:p w14:paraId="066C06C2" w14:textId="77777777" w:rsidR="00C101AE" w:rsidRPr="00F34813" w:rsidRDefault="00C101AE" w:rsidP="00316534">
            <w:pPr>
              <w:rPr>
                <w:color w:val="000000"/>
              </w:rPr>
            </w:pPr>
            <w:r w:rsidRPr="00F34813">
              <w:t>High</w:t>
            </w:r>
          </w:p>
        </w:tc>
        <w:tc>
          <w:tcPr>
            <w:tcW w:w="1743" w:type="dxa"/>
          </w:tcPr>
          <w:p w14:paraId="794BF081" w14:textId="77777777" w:rsidR="00C101AE" w:rsidRPr="00F34813" w:rsidRDefault="00C101AE" w:rsidP="00316534">
            <w:pPr>
              <w:rPr>
                <w:color w:val="000000"/>
              </w:rPr>
            </w:pPr>
            <w:r w:rsidRPr="00F34813">
              <w:t xml:space="preserve">HR </w:t>
            </w:r>
            <w:r>
              <w:t>s</w:t>
            </w:r>
            <w:r w:rsidRPr="00F34813">
              <w:t xml:space="preserve">ecurity; Communications and </w:t>
            </w:r>
            <w:r>
              <w:t>o</w:t>
            </w:r>
            <w:r w:rsidRPr="00F34813">
              <w:t xml:space="preserve">perations </w:t>
            </w:r>
            <w:r>
              <w:t>m</w:t>
            </w:r>
            <w:r w:rsidRPr="00F34813">
              <w:t xml:space="preserve">anagement; Access </w:t>
            </w:r>
            <w:r>
              <w:t>c</w:t>
            </w:r>
            <w:r w:rsidRPr="00F34813">
              <w:t>ontrol</w:t>
            </w:r>
          </w:p>
        </w:tc>
      </w:tr>
      <w:tr w:rsidR="00C101AE" w:rsidRPr="00F34813" w14:paraId="511F551A" w14:textId="77777777" w:rsidTr="003B4A36">
        <w:trPr>
          <w:cantSplit/>
          <w:trHeight w:val="480"/>
        </w:trPr>
        <w:tc>
          <w:tcPr>
            <w:tcW w:w="550" w:type="dxa"/>
            <w:noWrap/>
          </w:tcPr>
          <w:p w14:paraId="1BF7347C" w14:textId="77777777" w:rsidR="00C101AE" w:rsidRPr="00F34813" w:rsidRDefault="00C101AE" w:rsidP="00316534">
            <w:pPr>
              <w:rPr>
                <w:color w:val="000000"/>
              </w:rPr>
            </w:pPr>
            <w:r w:rsidRPr="00F34813">
              <w:t>13</w:t>
            </w:r>
          </w:p>
        </w:tc>
        <w:tc>
          <w:tcPr>
            <w:tcW w:w="1970" w:type="dxa"/>
            <w:noWrap/>
          </w:tcPr>
          <w:p w14:paraId="75A5361C" w14:textId="77777777" w:rsidR="00C101AE" w:rsidRPr="00F34813" w:rsidRDefault="00C101AE" w:rsidP="00316534">
            <w:pPr>
              <w:rPr>
                <w:color w:val="000000"/>
              </w:rPr>
            </w:pPr>
            <w:r w:rsidRPr="00F34813">
              <w:t>Integrity</w:t>
            </w:r>
          </w:p>
        </w:tc>
        <w:tc>
          <w:tcPr>
            <w:tcW w:w="2399" w:type="dxa"/>
          </w:tcPr>
          <w:p w14:paraId="5E19D1CC" w14:textId="77777777" w:rsidR="00C101AE" w:rsidRPr="00F34813" w:rsidRDefault="00C101AE" w:rsidP="00316534">
            <w:pPr>
              <w:rPr>
                <w:color w:val="000000"/>
              </w:rPr>
            </w:pPr>
            <w:r w:rsidRPr="00F34813">
              <w:t>Untrained/unskilled staff accidentally change multiple records</w:t>
            </w:r>
            <w:r>
              <w:t>.</w:t>
            </w:r>
          </w:p>
        </w:tc>
        <w:tc>
          <w:tcPr>
            <w:tcW w:w="1304" w:type="dxa"/>
            <w:noWrap/>
          </w:tcPr>
          <w:p w14:paraId="1F926218" w14:textId="77777777" w:rsidR="00C101AE" w:rsidRPr="00F34813" w:rsidRDefault="00C101AE" w:rsidP="00316534">
            <w:pPr>
              <w:rPr>
                <w:color w:val="000000"/>
              </w:rPr>
            </w:pPr>
            <w:r w:rsidRPr="00F34813">
              <w:t>Unlikely</w:t>
            </w:r>
          </w:p>
        </w:tc>
        <w:tc>
          <w:tcPr>
            <w:tcW w:w="1084" w:type="dxa"/>
            <w:noWrap/>
          </w:tcPr>
          <w:p w14:paraId="4DC9E42C" w14:textId="77777777" w:rsidR="00C101AE" w:rsidRPr="00F34813" w:rsidRDefault="00C101AE" w:rsidP="00316534">
            <w:pPr>
              <w:rPr>
                <w:color w:val="000000"/>
              </w:rPr>
            </w:pPr>
            <w:r w:rsidRPr="00F34813">
              <w:t>Moderate</w:t>
            </w:r>
          </w:p>
        </w:tc>
        <w:tc>
          <w:tcPr>
            <w:tcW w:w="948" w:type="dxa"/>
            <w:noWrap/>
          </w:tcPr>
          <w:p w14:paraId="55434154" w14:textId="77777777" w:rsidR="00C101AE" w:rsidRPr="00F34813" w:rsidRDefault="00C101AE" w:rsidP="00316534">
            <w:pPr>
              <w:rPr>
                <w:color w:val="000000"/>
              </w:rPr>
            </w:pPr>
            <w:r w:rsidRPr="00F34813">
              <w:t>Medium</w:t>
            </w:r>
          </w:p>
        </w:tc>
        <w:tc>
          <w:tcPr>
            <w:tcW w:w="1743" w:type="dxa"/>
          </w:tcPr>
          <w:p w14:paraId="102E0916" w14:textId="77777777" w:rsidR="00C101AE" w:rsidRPr="00F34813" w:rsidRDefault="00C101AE" w:rsidP="00316534">
            <w:pPr>
              <w:rPr>
                <w:color w:val="000000"/>
              </w:rPr>
            </w:pPr>
            <w:r w:rsidRPr="00F34813">
              <w:t xml:space="preserve">HR </w:t>
            </w:r>
            <w:r>
              <w:t>s</w:t>
            </w:r>
            <w:r w:rsidRPr="00F34813">
              <w:t xml:space="preserve">ecurity; Access </w:t>
            </w:r>
            <w:r>
              <w:t>c</w:t>
            </w:r>
            <w:r w:rsidRPr="00F34813">
              <w:t>ontrol</w:t>
            </w:r>
          </w:p>
        </w:tc>
      </w:tr>
      <w:tr w:rsidR="00C101AE" w:rsidRPr="00F34813" w14:paraId="4AC15B03" w14:textId="77777777" w:rsidTr="003B4A36">
        <w:trPr>
          <w:cnfStyle w:val="000000010000" w:firstRow="0" w:lastRow="0" w:firstColumn="0" w:lastColumn="0" w:oddVBand="0" w:evenVBand="0" w:oddHBand="0" w:evenHBand="1" w:firstRowFirstColumn="0" w:firstRowLastColumn="0" w:lastRowFirstColumn="0" w:lastRowLastColumn="0"/>
          <w:cantSplit/>
          <w:trHeight w:val="480"/>
        </w:trPr>
        <w:tc>
          <w:tcPr>
            <w:tcW w:w="550" w:type="dxa"/>
            <w:noWrap/>
          </w:tcPr>
          <w:p w14:paraId="3A10A48E" w14:textId="77777777" w:rsidR="00C101AE" w:rsidRPr="00F34813" w:rsidRDefault="00C101AE" w:rsidP="00316534">
            <w:pPr>
              <w:rPr>
                <w:color w:val="000000"/>
              </w:rPr>
            </w:pPr>
            <w:r w:rsidRPr="00F34813">
              <w:lastRenderedPageBreak/>
              <w:t>14</w:t>
            </w:r>
          </w:p>
        </w:tc>
        <w:tc>
          <w:tcPr>
            <w:tcW w:w="1970" w:type="dxa"/>
            <w:noWrap/>
          </w:tcPr>
          <w:p w14:paraId="2B85BAD2" w14:textId="77777777" w:rsidR="00C101AE" w:rsidRPr="00F34813" w:rsidRDefault="00C101AE" w:rsidP="00316534">
            <w:pPr>
              <w:rPr>
                <w:color w:val="000000"/>
              </w:rPr>
            </w:pPr>
            <w:r w:rsidRPr="00F34813">
              <w:t>Integrity</w:t>
            </w:r>
          </w:p>
        </w:tc>
        <w:tc>
          <w:tcPr>
            <w:tcW w:w="2399" w:type="dxa"/>
          </w:tcPr>
          <w:p w14:paraId="445CDEF5" w14:textId="77777777" w:rsidR="00C101AE" w:rsidRPr="00F34813" w:rsidRDefault="00C101AE" w:rsidP="00316534">
            <w:pPr>
              <w:rPr>
                <w:color w:val="000000"/>
              </w:rPr>
            </w:pPr>
            <w:r w:rsidRPr="00F34813">
              <w:t xml:space="preserve">Database errors due to environmental factors (e.g. </w:t>
            </w:r>
            <w:r>
              <w:t>l</w:t>
            </w:r>
            <w:r w:rsidRPr="00F34813">
              <w:t>oss of power causes system failure which corrupts database)</w:t>
            </w:r>
            <w:r>
              <w:t>.</w:t>
            </w:r>
          </w:p>
        </w:tc>
        <w:tc>
          <w:tcPr>
            <w:tcW w:w="1304" w:type="dxa"/>
            <w:noWrap/>
          </w:tcPr>
          <w:p w14:paraId="39E24096" w14:textId="77777777" w:rsidR="00C101AE" w:rsidRPr="00F34813" w:rsidRDefault="00C101AE" w:rsidP="00316534">
            <w:pPr>
              <w:rPr>
                <w:color w:val="000000"/>
              </w:rPr>
            </w:pPr>
            <w:r w:rsidRPr="00F34813">
              <w:t>Unlikely</w:t>
            </w:r>
          </w:p>
        </w:tc>
        <w:tc>
          <w:tcPr>
            <w:tcW w:w="1084" w:type="dxa"/>
            <w:noWrap/>
          </w:tcPr>
          <w:p w14:paraId="37D47D54" w14:textId="77777777" w:rsidR="00C101AE" w:rsidRPr="00F34813" w:rsidRDefault="00C101AE" w:rsidP="00316534">
            <w:pPr>
              <w:rPr>
                <w:color w:val="000000"/>
              </w:rPr>
            </w:pPr>
            <w:r w:rsidRPr="00F34813">
              <w:t>Moderate</w:t>
            </w:r>
          </w:p>
        </w:tc>
        <w:tc>
          <w:tcPr>
            <w:tcW w:w="948" w:type="dxa"/>
            <w:noWrap/>
          </w:tcPr>
          <w:p w14:paraId="6DD8DA40" w14:textId="77777777" w:rsidR="00C101AE" w:rsidRPr="00F34813" w:rsidRDefault="00C101AE" w:rsidP="00316534">
            <w:pPr>
              <w:rPr>
                <w:color w:val="000000"/>
              </w:rPr>
            </w:pPr>
            <w:r w:rsidRPr="00F34813">
              <w:t>Medium</w:t>
            </w:r>
          </w:p>
        </w:tc>
        <w:tc>
          <w:tcPr>
            <w:tcW w:w="1743" w:type="dxa"/>
          </w:tcPr>
          <w:p w14:paraId="3339C82E" w14:textId="77777777" w:rsidR="00C101AE" w:rsidRPr="00F34813" w:rsidRDefault="00C101AE" w:rsidP="00316534">
            <w:pPr>
              <w:rPr>
                <w:color w:val="000000"/>
              </w:rPr>
            </w:pPr>
            <w:r w:rsidRPr="000730B7">
              <w:t>Information security aspects of business continuity management</w:t>
            </w:r>
            <w:r w:rsidRPr="00F34813">
              <w:t xml:space="preserve">; Physical </w:t>
            </w:r>
            <w:r>
              <w:t>and environmental s</w:t>
            </w:r>
            <w:r w:rsidRPr="00F34813">
              <w:t>ecurity</w:t>
            </w:r>
          </w:p>
        </w:tc>
      </w:tr>
      <w:tr w:rsidR="00C101AE" w:rsidRPr="00F34813" w14:paraId="7ABC4123" w14:textId="77777777" w:rsidTr="003B4A36">
        <w:trPr>
          <w:cantSplit/>
          <w:trHeight w:val="480"/>
        </w:trPr>
        <w:tc>
          <w:tcPr>
            <w:tcW w:w="550" w:type="dxa"/>
            <w:noWrap/>
          </w:tcPr>
          <w:p w14:paraId="76CD54CF" w14:textId="77777777" w:rsidR="00C101AE" w:rsidRPr="00F34813" w:rsidRDefault="00C101AE" w:rsidP="00316534">
            <w:pPr>
              <w:rPr>
                <w:color w:val="000000"/>
              </w:rPr>
            </w:pPr>
            <w:r w:rsidRPr="00F34813">
              <w:t>15</w:t>
            </w:r>
          </w:p>
        </w:tc>
        <w:tc>
          <w:tcPr>
            <w:tcW w:w="1970" w:type="dxa"/>
            <w:noWrap/>
          </w:tcPr>
          <w:p w14:paraId="3E3B776B" w14:textId="77777777" w:rsidR="00C101AE" w:rsidRPr="00F34813" w:rsidRDefault="00C101AE" w:rsidP="00316534">
            <w:pPr>
              <w:rPr>
                <w:color w:val="000000"/>
              </w:rPr>
            </w:pPr>
            <w:r w:rsidRPr="00F34813">
              <w:t>Integrity</w:t>
            </w:r>
          </w:p>
        </w:tc>
        <w:tc>
          <w:tcPr>
            <w:tcW w:w="2399" w:type="dxa"/>
          </w:tcPr>
          <w:p w14:paraId="0A612535" w14:textId="77777777" w:rsidR="00C101AE" w:rsidRPr="00F34813" w:rsidRDefault="00C101AE" w:rsidP="00316534">
            <w:pPr>
              <w:rPr>
                <w:color w:val="000000"/>
              </w:rPr>
            </w:pPr>
            <w:r w:rsidRPr="00F34813">
              <w:t>Message received or sent from unauthorised party</w:t>
            </w:r>
            <w:r>
              <w:t>.</w:t>
            </w:r>
            <w:r w:rsidRPr="00F34813">
              <w:t xml:space="preserve"> </w:t>
            </w:r>
          </w:p>
        </w:tc>
        <w:tc>
          <w:tcPr>
            <w:tcW w:w="1304" w:type="dxa"/>
            <w:noWrap/>
          </w:tcPr>
          <w:p w14:paraId="4BDD13DB" w14:textId="77777777" w:rsidR="00C101AE" w:rsidRPr="00F34813" w:rsidRDefault="00C101AE" w:rsidP="00316534">
            <w:pPr>
              <w:rPr>
                <w:color w:val="000000"/>
              </w:rPr>
            </w:pPr>
            <w:r w:rsidRPr="00F34813">
              <w:t>Unlikely</w:t>
            </w:r>
          </w:p>
        </w:tc>
        <w:tc>
          <w:tcPr>
            <w:tcW w:w="1084" w:type="dxa"/>
            <w:noWrap/>
          </w:tcPr>
          <w:p w14:paraId="7B4F9BD6" w14:textId="77777777" w:rsidR="00C101AE" w:rsidRPr="00F34813" w:rsidRDefault="00C101AE" w:rsidP="00316534">
            <w:pPr>
              <w:rPr>
                <w:color w:val="000000"/>
              </w:rPr>
            </w:pPr>
            <w:r w:rsidRPr="00F34813">
              <w:t>Moderate</w:t>
            </w:r>
          </w:p>
        </w:tc>
        <w:tc>
          <w:tcPr>
            <w:tcW w:w="948" w:type="dxa"/>
            <w:noWrap/>
          </w:tcPr>
          <w:p w14:paraId="381A546F" w14:textId="77777777" w:rsidR="00C101AE" w:rsidRPr="00F34813" w:rsidRDefault="00C101AE" w:rsidP="00316534">
            <w:pPr>
              <w:rPr>
                <w:color w:val="000000"/>
              </w:rPr>
            </w:pPr>
            <w:r w:rsidRPr="00F34813">
              <w:t>Medium</w:t>
            </w:r>
          </w:p>
        </w:tc>
        <w:tc>
          <w:tcPr>
            <w:tcW w:w="1743" w:type="dxa"/>
          </w:tcPr>
          <w:p w14:paraId="6525EB2E" w14:textId="77777777" w:rsidR="00C101AE" w:rsidRPr="00F34813" w:rsidRDefault="00C101AE" w:rsidP="00316534">
            <w:pPr>
              <w:rPr>
                <w:color w:val="000000"/>
              </w:rPr>
            </w:pPr>
            <w:r w:rsidRPr="00F34813">
              <w:t xml:space="preserve">Access </w:t>
            </w:r>
            <w:r>
              <w:t>c</w:t>
            </w:r>
            <w:r w:rsidRPr="00F34813">
              <w:t xml:space="preserve">ontrol; </w:t>
            </w:r>
            <w:r>
              <w:t>C</w:t>
            </w:r>
            <w:r w:rsidRPr="00F34813">
              <w:t>ommunications and operations management</w:t>
            </w:r>
          </w:p>
        </w:tc>
      </w:tr>
      <w:tr w:rsidR="00C101AE" w:rsidRPr="00F34813" w14:paraId="5FC07439" w14:textId="77777777" w:rsidTr="003B4A36">
        <w:trPr>
          <w:cnfStyle w:val="000000010000" w:firstRow="0" w:lastRow="0" w:firstColumn="0" w:lastColumn="0" w:oddVBand="0" w:evenVBand="0" w:oddHBand="0" w:evenHBand="1" w:firstRowFirstColumn="0" w:firstRowLastColumn="0" w:lastRowFirstColumn="0" w:lastRowLastColumn="0"/>
          <w:cantSplit/>
          <w:trHeight w:val="480"/>
        </w:trPr>
        <w:tc>
          <w:tcPr>
            <w:tcW w:w="550" w:type="dxa"/>
            <w:noWrap/>
          </w:tcPr>
          <w:p w14:paraId="231BDE78" w14:textId="77777777" w:rsidR="00C101AE" w:rsidRPr="00F34813" w:rsidRDefault="00C101AE" w:rsidP="00316534">
            <w:pPr>
              <w:rPr>
                <w:color w:val="000000"/>
              </w:rPr>
            </w:pPr>
            <w:r w:rsidRPr="00F34813">
              <w:t>16</w:t>
            </w:r>
          </w:p>
        </w:tc>
        <w:tc>
          <w:tcPr>
            <w:tcW w:w="1970" w:type="dxa"/>
            <w:noWrap/>
          </w:tcPr>
          <w:p w14:paraId="7F3253B8" w14:textId="77777777" w:rsidR="00C101AE" w:rsidRPr="00F34813" w:rsidRDefault="00C101AE" w:rsidP="00316534">
            <w:pPr>
              <w:rPr>
                <w:color w:val="000000"/>
              </w:rPr>
            </w:pPr>
            <w:r w:rsidRPr="00F34813">
              <w:t>Integrity/Availability</w:t>
            </w:r>
          </w:p>
        </w:tc>
        <w:tc>
          <w:tcPr>
            <w:tcW w:w="2399" w:type="dxa"/>
          </w:tcPr>
          <w:p w14:paraId="48C2A78A" w14:textId="77777777" w:rsidR="00C101AE" w:rsidRPr="00F34813" w:rsidRDefault="00C101AE" w:rsidP="00316534">
            <w:pPr>
              <w:rPr>
                <w:color w:val="000000"/>
              </w:rPr>
            </w:pPr>
            <w:r w:rsidRPr="00F34813">
              <w:t>Malware/viruses resulting in loss of integrity</w:t>
            </w:r>
            <w:r>
              <w:t>/</w:t>
            </w:r>
            <w:r w:rsidRPr="00F34813">
              <w:t>availability of multiple records</w:t>
            </w:r>
            <w:r>
              <w:t>.</w:t>
            </w:r>
          </w:p>
        </w:tc>
        <w:tc>
          <w:tcPr>
            <w:tcW w:w="1304" w:type="dxa"/>
            <w:noWrap/>
          </w:tcPr>
          <w:p w14:paraId="6EA22FF9" w14:textId="77777777" w:rsidR="00C101AE" w:rsidRPr="00F34813" w:rsidRDefault="00C101AE" w:rsidP="00316534">
            <w:pPr>
              <w:rPr>
                <w:color w:val="000000"/>
              </w:rPr>
            </w:pPr>
            <w:r w:rsidRPr="00F34813">
              <w:t>Unlikely</w:t>
            </w:r>
          </w:p>
        </w:tc>
        <w:tc>
          <w:tcPr>
            <w:tcW w:w="1084" w:type="dxa"/>
            <w:noWrap/>
          </w:tcPr>
          <w:p w14:paraId="5F17514D" w14:textId="77777777" w:rsidR="00C101AE" w:rsidRPr="00F34813" w:rsidRDefault="00C101AE" w:rsidP="00316534">
            <w:pPr>
              <w:rPr>
                <w:color w:val="000000"/>
              </w:rPr>
            </w:pPr>
            <w:r w:rsidRPr="00F34813">
              <w:t>Major</w:t>
            </w:r>
          </w:p>
        </w:tc>
        <w:tc>
          <w:tcPr>
            <w:tcW w:w="948" w:type="dxa"/>
            <w:noWrap/>
          </w:tcPr>
          <w:p w14:paraId="1C96DBC1" w14:textId="77777777" w:rsidR="00C101AE" w:rsidRPr="00F34813" w:rsidRDefault="00C101AE" w:rsidP="00316534">
            <w:pPr>
              <w:rPr>
                <w:color w:val="000000"/>
              </w:rPr>
            </w:pPr>
            <w:r w:rsidRPr="00F34813">
              <w:t>High</w:t>
            </w:r>
          </w:p>
        </w:tc>
        <w:tc>
          <w:tcPr>
            <w:tcW w:w="1743" w:type="dxa"/>
          </w:tcPr>
          <w:p w14:paraId="62793A5A" w14:textId="77777777" w:rsidR="00C101AE" w:rsidRPr="00F34813" w:rsidRDefault="00C101AE" w:rsidP="00316534">
            <w:pPr>
              <w:rPr>
                <w:color w:val="000000"/>
              </w:rPr>
            </w:pPr>
            <w:r w:rsidRPr="00F34813">
              <w:t xml:space="preserve">Communications and operations management; </w:t>
            </w:r>
            <w:r>
              <w:t xml:space="preserve">Information security </w:t>
            </w:r>
            <w:r w:rsidRPr="00F34813">
              <w:t>incident management</w:t>
            </w:r>
          </w:p>
        </w:tc>
      </w:tr>
      <w:tr w:rsidR="00C101AE" w:rsidRPr="00F34813" w14:paraId="14843D53" w14:textId="77777777" w:rsidTr="003B4A36">
        <w:trPr>
          <w:cantSplit/>
          <w:trHeight w:val="720"/>
        </w:trPr>
        <w:tc>
          <w:tcPr>
            <w:tcW w:w="550" w:type="dxa"/>
            <w:noWrap/>
          </w:tcPr>
          <w:p w14:paraId="75378D43" w14:textId="77777777" w:rsidR="00C101AE" w:rsidRPr="00F34813" w:rsidRDefault="00C101AE" w:rsidP="00316534">
            <w:pPr>
              <w:rPr>
                <w:color w:val="000000"/>
              </w:rPr>
            </w:pPr>
            <w:r w:rsidRPr="00F34813">
              <w:t>17</w:t>
            </w:r>
          </w:p>
        </w:tc>
        <w:tc>
          <w:tcPr>
            <w:tcW w:w="1970" w:type="dxa"/>
            <w:noWrap/>
          </w:tcPr>
          <w:p w14:paraId="6F334C62" w14:textId="77777777" w:rsidR="00C101AE" w:rsidRPr="0068473A" w:rsidRDefault="00C101AE" w:rsidP="00316534">
            <w:r w:rsidRPr="0068473A">
              <w:t>Integrity</w:t>
            </w:r>
          </w:p>
        </w:tc>
        <w:tc>
          <w:tcPr>
            <w:tcW w:w="2399" w:type="dxa"/>
          </w:tcPr>
          <w:p w14:paraId="1E062DFC" w14:textId="77777777" w:rsidR="00C101AE" w:rsidRPr="0068473A" w:rsidRDefault="00C101AE" w:rsidP="00316534">
            <w:r w:rsidRPr="0068473A">
              <w:t>Incompatibility between data and metadata/reference tables – they get out of sync over time – and backwards incompatibility causes loss of integrity of many records.</w:t>
            </w:r>
          </w:p>
        </w:tc>
        <w:tc>
          <w:tcPr>
            <w:tcW w:w="1304" w:type="dxa"/>
            <w:noWrap/>
          </w:tcPr>
          <w:p w14:paraId="6E1EE30D" w14:textId="77777777" w:rsidR="00C101AE" w:rsidRPr="00F34813" w:rsidRDefault="00C101AE" w:rsidP="00316534">
            <w:pPr>
              <w:rPr>
                <w:color w:val="000000"/>
              </w:rPr>
            </w:pPr>
            <w:r w:rsidRPr="00F34813">
              <w:t>Unlikely</w:t>
            </w:r>
          </w:p>
        </w:tc>
        <w:tc>
          <w:tcPr>
            <w:tcW w:w="1084" w:type="dxa"/>
            <w:noWrap/>
          </w:tcPr>
          <w:p w14:paraId="31F96701" w14:textId="77777777" w:rsidR="00C101AE" w:rsidRPr="00F34813" w:rsidRDefault="00C101AE" w:rsidP="00316534">
            <w:pPr>
              <w:rPr>
                <w:color w:val="000000"/>
              </w:rPr>
            </w:pPr>
            <w:r w:rsidRPr="00F34813">
              <w:t>Moderate</w:t>
            </w:r>
          </w:p>
        </w:tc>
        <w:tc>
          <w:tcPr>
            <w:tcW w:w="948" w:type="dxa"/>
            <w:noWrap/>
          </w:tcPr>
          <w:p w14:paraId="47F15FD0" w14:textId="77777777" w:rsidR="00C101AE" w:rsidRPr="00F34813" w:rsidRDefault="00C101AE" w:rsidP="00316534">
            <w:pPr>
              <w:rPr>
                <w:color w:val="000000"/>
              </w:rPr>
            </w:pPr>
            <w:r w:rsidRPr="00F34813">
              <w:t>Medium</w:t>
            </w:r>
          </w:p>
        </w:tc>
        <w:tc>
          <w:tcPr>
            <w:tcW w:w="1743" w:type="dxa"/>
          </w:tcPr>
          <w:p w14:paraId="11F58F39" w14:textId="77777777" w:rsidR="00C101AE" w:rsidRPr="00F34813" w:rsidRDefault="00C101AE" w:rsidP="00316534">
            <w:pPr>
              <w:rPr>
                <w:color w:val="000000"/>
              </w:rPr>
            </w:pPr>
            <w:r w:rsidRPr="00F34813">
              <w:t>Information systems acquisition, development and maintenance</w:t>
            </w:r>
          </w:p>
        </w:tc>
      </w:tr>
      <w:tr w:rsidR="00C101AE" w:rsidRPr="00F34813" w14:paraId="13CDC63C" w14:textId="77777777" w:rsidTr="003B4A36">
        <w:trPr>
          <w:cnfStyle w:val="000000010000" w:firstRow="0" w:lastRow="0" w:firstColumn="0" w:lastColumn="0" w:oddVBand="0" w:evenVBand="0" w:oddHBand="0" w:evenHBand="1" w:firstRowFirstColumn="0" w:firstRowLastColumn="0" w:lastRowFirstColumn="0" w:lastRowLastColumn="0"/>
          <w:cantSplit/>
          <w:trHeight w:val="480"/>
        </w:trPr>
        <w:tc>
          <w:tcPr>
            <w:tcW w:w="550" w:type="dxa"/>
            <w:noWrap/>
          </w:tcPr>
          <w:p w14:paraId="303154CC" w14:textId="77777777" w:rsidR="00C101AE" w:rsidRPr="00F34813" w:rsidRDefault="00C101AE" w:rsidP="00316534">
            <w:pPr>
              <w:rPr>
                <w:color w:val="000000"/>
              </w:rPr>
            </w:pPr>
            <w:r w:rsidRPr="00F34813">
              <w:t>18</w:t>
            </w:r>
          </w:p>
        </w:tc>
        <w:tc>
          <w:tcPr>
            <w:tcW w:w="1970" w:type="dxa"/>
            <w:noWrap/>
          </w:tcPr>
          <w:p w14:paraId="6F8EE010" w14:textId="77777777" w:rsidR="00C101AE" w:rsidRPr="00F34813" w:rsidRDefault="00C101AE" w:rsidP="00316534">
            <w:pPr>
              <w:rPr>
                <w:color w:val="000000"/>
              </w:rPr>
            </w:pPr>
            <w:r w:rsidRPr="00F34813">
              <w:t>Integrity</w:t>
            </w:r>
          </w:p>
        </w:tc>
        <w:tc>
          <w:tcPr>
            <w:tcW w:w="2399" w:type="dxa"/>
          </w:tcPr>
          <w:p w14:paraId="5736AA5D" w14:textId="77777777" w:rsidR="00C101AE" w:rsidRPr="001D3BA3" w:rsidRDefault="00C101AE" w:rsidP="00316534">
            <w:pPr>
              <w:rPr>
                <w:color w:val="FF40FF"/>
              </w:rPr>
            </w:pPr>
            <w:r w:rsidRPr="0068473A">
              <w:t>Application errors – e.g. dates stored in US format lead to multiple records becoming corrupt.</w:t>
            </w:r>
          </w:p>
        </w:tc>
        <w:tc>
          <w:tcPr>
            <w:tcW w:w="1304" w:type="dxa"/>
            <w:noWrap/>
          </w:tcPr>
          <w:p w14:paraId="6732A8D8" w14:textId="77777777" w:rsidR="00C101AE" w:rsidRPr="00F34813" w:rsidRDefault="00C101AE" w:rsidP="00316534">
            <w:pPr>
              <w:rPr>
                <w:color w:val="000000"/>
              </w:rPr>
            </w:pPr>
            <w:r w:rsidRPr="00F34813">
              <w:t>Unlikely</w:t>
            </w:r>
          </w:p>
        </w:tc>
        <w:tc>
          <w:tcPr>
            <w:tcW w:w="1084" w:type="dxa"/>
            <w:noWrap/>
          </w:tcPr>
          <w:p w14:paraId="1D84585D" w14:textId="77777777" w:rsidR="00C101AE" w:rsidRPr="00F34813" w:rsidRDefault="00C101AE" w:rsidP="00316534">
            <w:pPr>
              <w:rPr>
                <w:color w:val="000000"/>
              </w:rPr>
            </w:pPr>
            <w:r w:rsidRPr="00F34813">
              <w:t>Moderate</w:t>
            </w:r>
          </w:p>
        </w:tc>
        <w:tc>
          <w:tcPr>
            <w:tcW w:w="948" w:type="dxa"/>
            <w:noWrap/>
          </w:tcPr>
          <w:p w14:paraId="793E9EDB" w14:textId="77777777" w:rsidR="00C101AE" w:rsidRPr="00F34813" w:rsidRDefault="00C101AE" w:rsidP="00316534">
            <w:pPr>
              <w:rPr>
                <w:color w:val="000000"/>
              </w:rPr>
            </w:pPr>
            <w:r w:rsidRPr="00F34813">
              <w:t>Medium</w:t>
            </w:r>
          </w:p>
        </w:tc>
        <w:tc>
          <w:tcPr>
            <w:tcW w:w="1743" w:type="dxa"/>
          </w:tcPr>
          <w:p w14:paraId="726124CD" w14:textId="77777777" w:rsidR="00C101AE" w:rsidRPr="00F34813" w:rsidRDefault="00C101AE" w:rsidP="00316534">
            <w:pPr>
              <w:rPr>
                <w:color w:val="000000"/>
              </w:rPr>
            </w:pPr>
            <w:r w:rsidRPr="00F34813">
              <w:t>Information systems acquisition, development and maintenance</w:t>
            </w:r>
          </w:p>
        </w:tc>
      </w:tr>
      <w:tr w:rsidR="00C101AE" w:rsidRPr="00F34813" w14:paraId="3E29EF9C" w14:textId="77777777" w:rsidTr="003B4A36">
        <w:trPr>
          <w:cantSplit/>
          <w:trHeight w:val="480"/>
        </w:trPr>
        <w:tc>
          <w:tcPr>
            <w:tcW w:w="550" w:type="dxa"/>
            <w:noWrap/>
          </w:tcPr>
          <w:p w14:paraId="583AA5B7" w14:textId="77777777" w:rsidR="00C101AE" w:rsidRPr="00F34813" w:rsidRDefault="00C101AE" w:rsidP="00316534">
            <w:pPr>
              <w:rPr>
                <w:color w:val="000000"/>
              </w:rPr>
            </w:pPr>
            <w:r w:rsidRPr="00F34813">
              <w:t>19</w:t>
            </w:r>
          </w:p>
        </w:tc>
        <w:tc>
          <w:tcPr>
            <w:tcW w:w="1970" w:type="dxa"/>
            <w:noWrap/>
          </w:tcPr>
          <w:p w14:paraId="5CF446FA" w14:textId="77777777" w:rsidR="00C101AE" w:rsidRPr="00F34813" w:rsidRDefault="00C101AE" w:rsidP="00316534">
            <w:pPr>
              <w:rPr>
                <w:color w:val="000000"/>
              </w:rPr>
            </w:pPr>
            <w:r w:rsidRPr="00F34813">
              <w:t>Availability</w:t>
            </w:r>
          </w:p>
        </w:tc>
        <w:tc>
          <w:tcPr>
            <w:tcW w:w="2399" w:type="dxa"/>
          </w:tcPr>
          <w:p w14:paraId="2253DB6F" w14:textId="77777777" w:rsidR="00C101AE" w:rsidRPr="00F34813" w:rsidRDefault="00C101AE" w:rsidP="00316534">
            <w:pPr>
              <w:rPr>
                <w:color w:val="000000"/>
              </w:rPr>
            </w:pPr>
            <w:r w:rsidRPr="00F34813">
              <w:t xml:space="preserve">Power </w:t>
            </w:r>
            <w:r>
              <w:t xml:space="preserve">loss </w:t>
            </w:r>
            <w:r w:rsidRPr="00F34813">
              <w:t>or</w:t>
            </w:r>
            <w:r>
              <w:t xml:space="preserve"> </w:t>
            </w:r>
            <w:r w:rsidRPr="00F34813">
              <w:t>other environmental issues lead to CQR becoming unavailable for more than a day</w:t>
            </w:r>
            <w:r>
              <w:t>.</w:t>
            </w:r>
          </w:p>
        </w:tc>
        <w:tc>
          <w:tcPr>
            <w:tcW w:w="1304" w:type="dxa"/>
            <w:noWrap/>
          </w:tcPr>
          <w:p w14:paraId="0615F969" w14:textId="77777777" w:rsidR="00C101AE" w:rsidRPr="00F34813" w:rsidRDefault="00C101AE" w:rsidP="00316534">
            <w:pPr>
              <w:rPr>
                <w:color w:val="000000"/>
              </w:rPr>
            </w:pPr>
            <w:r w:rsidRPr="00F34813">
              <w:t>Unlikely</w:t>
            </w:r>
          </w:p>
        </w:tc>
        <w:tc>
          <w:tcPr>
            <w:tcW w:w="1084" w:type="dxa"/>
            <w:noWrap/>
          </w:tcPr>
          <w:p w14:paraId="140DDA95" w14:textId="77777777" w:rsidR="00C101AE" w:rsidRPr="00F34813" w:rsidRDefault="00C101AE" w:rsidP="00316534">
            <w:pPr>
              <w:rPr>
                <w:color w:val="000000"/>
              </w:rPr>
            </w:pPr>
            <w:r w:rsidRPr="00F34813">
              <w:t>Moderate</w:t>
            </w:r>
          </w:p>
        </w:tc>
        <w:tc>
          <w:tcPr>
            <w:tcW w:w="948" w:type="dxa"/>
            <w:noWrap/>
          </w:tcPr>
          <w:p w14:paraId="72874AC3" w14:textId="77777777" w:rsidR="00C101AE" w:rsidRPr="00F34813" w:rsidRDefault="00C101AE" w:rsidP="00316534">
            <w:pPr>
              <w:rPr>
                <w:color w:val="000000"/>
              </w:rPr>
            </w:pPr>
            <w:r w:rsidRPr="00F34813">
              <w:t>Medium</w:t>
            </w:r>
          </w:p>
        </w:tc>
        <w:tc>
          <w:tcPr>
            <w:tcW w:w="1743" w:type="dxa"/>
          </w:tcPr>
          <w:p w14:paraId="4B4C035D" w14:textId="77777777" w:rsidR="00C101AE" w:rsidRPr="00F34813" w:rsidRDefault="00C101AE" w:rsidP="00316534">
            <w:pPr>
              <w:rPr>
                <w:color w:val="000000"/>
              </w:rPr>
            </w:pPr>
            <w:r w:rsidRPr="00F34813">
              <w:t xml:space="preserve">Business Continuity Management; Physical </w:t>
            </w:r>
            <w:r>
              <w:t>and environmental s</w:t>
            </w:r>
            <w:r w:rsidRPr="00F34813">
              <w:t>ecurity</w:t>
            </w:r>
          </w:p>
        </w:tc>
      </w:tr>
      <w:tr w:rsidR="00C101AE" w:rsidRPr="00F34813" w14:paraId="5F67E0D1" w14:textId="77777777" w:rsidTr="003B4A36">
        <w:trPr>
          <w:cnfStyle w:val="000000010000" w:firstRow="0" w:lastRow="0" w:firstColumn="0" w:lastColumn="0" w:oddVBand="0" w:evenVBand="0" w:oddHBand="0" w:evenHBand="1" w:firstRowFirstColumn="0" w:firstRowLastColumn="0" w:lastRowFirstColumn="0" w:lastRowLastColumn="0"/>
          <w:cantSplit/>
          <w:trHeight w:val="480"/>
        </w:trPr>
        <w:tc>
          <w:tcPr>
            <w:tcW w:w="550" w:type="dxa"/>
            <w:noWrap/>
          </w:tcPr>
          <w:p w14:paraId="69DA11EE" w14:textId="77777777" w:rsidR="00C101AE" w:rsidRPr="00F34813" w:rsidRDefault="00C101AE" w:rsidP="00316534">
            <w:pPr>
              <w:rPr>
                <w:color w:val="000000"/>
              </w:rPr>
            </w:pPr>
            <w:r w:rsidRPr="00F34813">
              <w:t>20</w:t>
            </w:r>
          </w:p>
        </w:tc>
        <w:tc>
          <w:tcPr>
            <w:tcW w:w="1970" w:type="dxa"/>
            <w:noWrap/>
          </w:tcPr>
          <w:p w14:paraId="6DEEC4A1" w14:textId="77777777" w:rsidR="00C101AE" w:rsidRPr="00F34813" w:rsidRDefault="00C101AE" w:rsidP="00316534">
            <w:pPr>
              <w:rPr>
                <w:color w:val="000000"/>
              </w:rPr>
            </w:pPr>
            <w:r w:rsidRPr="00F34813">
              <w:t>Availability</w:t>
            </w:r>
          </w:p>
        </w:tc>
        <w:tc>
          <w:tcPr>
            <w:tcW w:w="2399" w:type="dxa"/>
          </w:tcPr>
          <w:p w14:paraId="7BFA4746" w14:textId="77777777" w:rsidR="00C101AE" w:rsidRPr="00F34813" w:rsidRDefault="00C101AE" w:rsidP="00316534">
            <w:pPr>
              <w:rPr>
                <w:color w:val="000000"/>
              </w:rPr>
            </w:pPr>
            <w:r w:rsidRPr="00F34813">
              <w:t>Denial of service attacks through external services (malicious or accidental)</w:t>
            </w:r>
            <w:r>
              <w:t>.</w:t>
            </w:r>
          </w:p>
        </w:tc>
        <w:tc>
          <w:tcPr>
            <w:tcW w:w="1304" w:type="dxa"/>
            <w:noWrap/>
          </w:tcPr>
          <w:p w14:paraId="4B8D531F" w14:textId="77777777" w:rsidR="00C101AE" w:rsidRPr="00F34813" w:rsidRDefault="00C101AE" w:rsidP="00316534">
            <w:pPr>
              <w:rPr>
                <w:color w:val="000000"/>
              </w:rPr>
            </w:pPr>
            <w:r w:rsidRPr="00F34813">
              <w:t>Unlikely</w:t>
            </w:r>
          </w:p>
        </w:tc>
        <w:tc>
          <w:tcPr>
            <w:tcW w:w="1084" w:type="dxa"/>
            <w:noWrap/>
          </w:tcPr>
          <w:p w14:paraId="07BAAE7F" w14:textId="77777777" w:rsidR="00C101AE" w:rsidRPr="00F34813" w:rsidRDefault="00C101AE" w:rsidP="00316534">
            <w:pPr>
              <w:rPr>
                <w:color w:val="000000"/>
              </w:rPr>
            </w:pPr>
            <w:r w:rsidRPr="00F34813">
              <w:t>Moderate</w:t>
            </w:r>
          </w:p>
        </w:tc>
        <w:tc>
          <w:tcPr>
            <w:tcW w:w="948" w:type="dxa"/>
            <w:noWrap/>
          </w:tcPr>
          <w:p w14:paraId="1FC4F6A3" w14:textId="77777777" w:rsidR="00C101AE" w:rsidRPr="00F34813" w:rsidRDefault="00C101AE" w:rsidP="00316534">
            <w:pPr>
              <w:rPr>
                <w:color w:val="000000"/>
              </w:rPr>
            </w:pPr>
            <w:r w:rsidRPr="00F34813">
              <w:t>Medium</w:t>
            </w:r>
          </w:p>
        </w:tc>
        <w:tc>
          <w:tcPr>
            <w:tcW w:w="1743" w:type="dxa"/>
          </w:tcPr>
          <w:p w14:paraId="62367D0A" w14:textId="77777777" w:rsidR="00C101AE" w:rsidRPr="00F34813" w:rsidRDefault="00C101AE" w:rsidP="00316534">
            <w:pPr>
              <w:rPr>
                <w:color w:val="000000"/>
              </w:rPr>
            </w:pPr>
            <w:r w:rsidRPr="00F34813">
              <w:t xml:space="preserve">Communications and </w:t>
            </w:r>
            <w:r>
              <w:t>o</w:t>
            </w:r>
            <w:r w:rsidRPr="00F34813">
              <w:t xml:space="preserve">perations </w:t>
            </w:r>
            <w:r>
              <w:t>m</w:t>
            </w:r>
            <w:r w:rsidRPr="00F34813">
              <w:t>anagement; I</w:t>
            </w:r>
            <w:r>
              <w:t>nformation security i</w:t>
            </w:r>
            <w:r w:rsidRPr="00F34813">
              <w:t xml:space="preserve">ncident </w:t>
            </w:r>
            <w:r>
              <w:t>m</w:t>
            </w:r>
            <w:r w:rsidRPr="00F34813">
              <w:t>anagement</w:t>
            </w:r>
          </w:p>
        </w:tc>
      </w:tr>
      <w:tr w:rsidR="00C101AE" w:rsidRPr="00F34813" w14:paraId="486AB6B8" w14:textId="77777777" w:rsidTr="003B4A36">
        <w:trPr>
          <w:cantSplit/>
          <w:trHeight w:val="480"/>
        </w:trPr>
        <w:tc>
          <w:tcPr>
            <w:tcW w:w="550" w:type="dxa"/>
            <w:noWrap/>
          </w:tcPr>
          <w:p w14:paraId="2F289941" w14:textId="77777777" w:rsidR="00C101AE" w:rsidRPr="00F34813" w:rsidRDefault="00C101AE" w:rsidP="00316534">
            <w:pPr>
              <w:rPr>
                <w:color w:val="000000"/>
              </w:rPr>
            </w:pPr>
            <w:r w:rsidRPr="00F34813">
              <w:t>21</w:t>
            </w:r>
          </w:p>
        </w:tc>
        <w:tc>
          <w:tcPr>
            <w:tcW w:w="1970" w:type="dxa"/>
            <w:noWrap/>
          </w:tcPr>
          <w:p w14:paraId="438C1899" w14:textId="77777777" w:rsidR="00C101AE" w:rsidRPr="00F34813" w:rsidRDefault="00C101AE" w:rsidP="00316534">
            <w:pPr>
              <w:rPr>
                <w:color w:val="000000"/>
              </w:rPr>
            </w:pPr>
            <w:r w:rsidRPr="00F34813">
              <w:t>Availability</w:t>
            </w:r>
          </w:p>
        </w:tc>
        <w:tc>
          <w:tcPr>
            <w:tcW w:w="2399" w:type="dxa"/>
          </w:tcPr>
          <w:p w14:paraId="70987215" w14:textId="77777777" w:rsidR="00C101AE" w:rsidRPr="00F34813" w:rsidRDefault="00C101AE" w:rsidP="00316534">
            <w:pPr>
              <w:rPr>
                <w:color w:val="000000"/>
              </w:rPr>
            </w:pPr>
            <w:r w:rsidRPr="00F34813">
              <w:t>Infrastructure capacity issues – e.g. low server RAM/HDD</w:t>
            </w:r>
            <w:r>
              <w:t>,</w:t>
            </w:r>
            <w:r w:rsidRPr="00F34813">
              <w:t xml:space="preserve"> etc</w:t>
            </w:r>
            <w:r>
              <w:t>.</w:t>
            </w:r>
          </w:p>
        </w:tc>
        <w:tc>
          <w:tcPr>
            <w:tcW w:w="1304" w:type="dxa"/>
            <w:noWrap/>
          </w:tcPr>
          <w:p w14:paraId="235D7AEE" w14:textId="77777777" w:rsidR="00C101AE" w:rsidRPr="00F34813" w:rsidRDefault="00C101AE" w:rsidP="00316534">
            <w:pPr>
              <w:rPr>
                <w:color w:val="000000"/>
              </w:rPr>
            </w:pPr>
            <w:r w:rsidRPr="00F34813">
              <w:t>Unlikely</w:t>
            </w:r>
          </w:p>
        </w:tc>
        <w:tc>
          <w:tcPr>
            <w:tcW w:w="1084" w:type="dxa"/>
            <w:noWrap/>
          </w:tcPr>
          <w:p w14:paraId="5441B422" w14:textId="77777777" w:rsidR="00C101AE" w:rsidRPr="00F34813" w:rsidRDefault="00C101AE" w:rsidP="00316534">
            <w:pPr>
              <w:rPr>
                <w:color w:val="000000"/>
              </w:rPr>
            </w:pPr>
            <w:r w:rsidRPr="00F34813">
              <w:t>Moderate</w:t>
            </w:r>
          </w:p>
        </w:tc>
        <w:tc>
          <w:tcPr>
            <w:tcW w:w="948" w:type="dxa"/>
            <w:noWrap/>
          </w:tcPr>
          <w:p w14:paraId="77A8549D" w14:textId="77777777" w:rsidR="00C101AE" w:rsidRPr="00F34813" w:rsidRDefault="00C101AE" w:rsidP="00316534">
            <w:pPr>
              <w:rPr>
                <w:color w:val="000000"/>
              </w:rPr>
            </w:pPr>
            <w:r w:rsidRPr="00F34813">
              <w:t>Medium</w:t>
            </w:r>
          </w:p>
        </w:tc>
        <w:tc>
          <w:tcPr>
            <w:tcW w:w="1743" w:type="dxa"/>
          </w:tcPr>
          <w:p w14:paraId="0FC30A31" w14:textId="77777777" w:rsidR="00C101AE" w:rsidRPr="00F34813" w:rsidRDefault="00C101AE" w:rsidP="00316534">
            <w:pPr>
              <w:rPr>
                <w:color w:val="000000"/>
              </w:rPr>
            </w:pPr>
            <w:r w:rsidRPr="00F34813">
              <w:t>Communications and Operations Management</w:t>
            </w:r>
          </w:p>
        </w:tc>
      </w:tr>
      <w:tr w:rsidR="00C101AE" w:rsidRPr="00F34813" w14:paraId="4FBDC09A" w14:textId="77777777" w:rsidTr="003B4A36">
        <w:trPr>
          <w:cnfStyle w:val="000000010000" w:firstRow="0" w:lastRow="0" w:firstColumn="0" w:lastColumn="0" w:oddVBand="0" w:evenVBand="0" w:oddHBand="0" w:evenHBand="1" w:firstRowFirstColumn="0" w:firstRowLastColumn="0" w:lastRowFirstColumn="0" w:lastRowLastColumn="0"/>
          <w:cantSplit/>
          <w:trHeight w:val="480"/>
        </w:trPr>
        <w:tc>
          <w:tcPr>
            <w:tcW w:w="550" w:type="dxa"/>
            <w:noWrap/>
          </w:tcPr>
          <w:p w14:paraId="40F07E2C" w14:textId="77777777" w:rsidR="00C101AE" w:rsidRPr="00F34813" w:rsidRDefault="00C101AE" w:rsidP="00316534">
            <w:pPr>
              <w:rPr>
                <w:color w:val="000000"/>
              </w:rPr>
            </w:pPr>
            <w:r w:rsidRPr="00F34813">
              <w:lastRenderedPageBreak/>
              <w:t>22</w:t>
            </w:r>
          </w:p>
        </w:tc>
        <w:tc>
          <w:tcPr>
            <w:tcW w:w="1970" w:type="dxa"/>
            <w:noWrap/>
          </w:tcPr>
          <w:p w14:paraId="652522D7" w14:textId="77777777" w:rsidR="00C101AE" w:rsidRPr="00F34813" w:rsidRDefault="00C101AE" w:rsidP="00316534">
            <w:pPr>
              <w:rPr>
                <w:color w:val="000000"/>
              </w:rPr>
            </w:pPr>
            <w:r w:rsidRPr="00F34813">
              <w:t>Availability</w:t>
            </w:r>
          </w:p>
        </w:tc>
        <w:tc>
          <w:tcPr>
            <w:tcW w:w="2399" w:type="dxa"/>
          </w:tcPr>
          <w:p w14:paraId="5CB68F89" w14:textId="77777777" w:rsidR="00C101AE" w:rsidRPr="00F34813" w:rsidRDefault="00C101AE" w:rsidP="00316534">
            <w:pPr>
              <w:rPr>
                <w:color w:val="000000"/>
              </w:rPr>
            </w:pPr>
            <w:r w:rsidRPr="00F34813">
              <w:t>Unauthorised software/hardware changes cause outages beyond acceptable period</w:t>
            </w:r>
            <w:r>
              <w:t>.</w:t>
            </w:r>
          </w:p>
        </w:tc>
        <w:tc>
          <w:tcPr>
            <w:tcW w:w="1304" w:type="dxa"/>
            <w:noWrap/>
          </w:tcPr>
          <w:p w14:paraId="62AD5728" w14:textId="77777777" w:rsidR="00C101AE" w:rsidRPr="00F34813" w:rsidRDefault="00C101AE" w:rsidP="00316534">
            <w:pPr>
              <w:rPr>
                <w:color w:val="000000"/>
              </w:rPr>
            </w:pPr>
            <w:r w:rsidRPr="00F34813">
              <w:t>Unlikely</w:t>
            </w:r>
          </w:p>
        </w:tc>
        <w:tc>
          <w:tcPr>
            <w:tcW w:w="1084" w:type="dxa"/>
            <w:noWrap/>
          </w:tcPr>
          <w:p w14:paraId="2EF571F3" w14:textId="77777777" w:rsidR="00C101AE" w:rsidRPr="00F34813" w:rsidRDefault="00C101AE" w:rsidP="00316534">
            <w:pPr>
              <w:rPr>
                <w:color w:val="000000"/>
              </w:rPr>
            </w:pPr>
            <w:r w:rsidRPr="00F34813">
              <w:t>Moderate</w:t>
            </w:r>
          </w:p>
        </w:tc>
        <w:tc>
          <w:tcPr>
            <w:tcW w:w="948" w:type="dxa"/>
            <w:noWrap/>
          </w:tcPr>
          <w:p w14:paraId="192137A5" w14:textId="77777777" w:rsidR="00C101AE" w:rsidRPr="00F34813" w:rsidRDefault="00C101AE" w:rsidP="00316534">
            <w:pPr>
              <w:rPr>
                <w:color w:val="000000"/>
              </w:rPr>
            </w:pPr>
            <w:r w:rsidRPr="00F34813">
              <w:t>Medium</w:t>
            </w:r>
          </w:p>
        </w:tc>
        <w:tc>
          <w:tcPr>
            <w:tcW w:w="1743" w:type="dxa"/>
          </w:tcPr>
          <w:p w14:paraId="2A60698B" w14:textId="77777777" w:rsidR="00C101AE" w:rsidRPr="00F34813" w:rsidRDefault="00C101AE" w:rsidP="00316534">
            <w:pPr>
              <w:rPr>
                <w:color w:val="000000"/>
              </w:rPr>
            </w:pPr>
            <w:r w:rsidRPr="00F34813">
              <w:t xml:space="preserve">Communications and </w:t>
            </w:r>
            <w:r>
              <w:t>o</w:t>
            </w:r>
            <w:r w:rsidRPr="00F34813">
              <w:t xml:space="preserve">perations </w:t>
            </w:r>
            <w:r>
              <w:t>m</w:t>
            </w:r>
            <w:r w:rsidRPr="00F34813">
              <w:t>anagement</w:t>
            </w:r>
          </w:p>
        </w:tc>
      </w:tr>
      <w:tr w:rsidR="00C101AE" w:rsidRPr="00F34813" w14:paraId="56EAD40D" w14:textId="77777777" w:rsidTr="003B4A36">
        <w:trPr>
          <w:cantSplit/>
          <w:trHeight w:val="480"/>
        </w:trPr>
        <w:tc>
          <w:tcPr>
            <w:tcW w:w="550" w:type="dxa"/>
            <w:noWrap/>
          </w:tcPr>
          <w:p w14:paraId="3D92BC3F" w14:textId="77777777" w:rsidR="00C101AE" w:rsidRPr="00F34813" w:rsidRDefault="00C101AE" w:rsidP="00316534">
            <w:pPr>
              <w:rPr>
                <w:color w:val="000000"/>
              </w:rPr>
            </w:pPr>
            <w:r w:rsidRPr="00F34813">
              <w:t>23</w:t>
            </w:r>
          </w:p>
        </w:tc>
        <w:tc>
          <w:tcPr>
            <w:tcW w:w="1970" w:type="dxa"/>
            <w:noWrap/>
          </w:tcPr>
          <w:p w14:paraId="414C90BB" w14:textId="77777777" w:rsidR="00C101AE" w:rsidRPr="00F34813" w:rsidRDefault="00C101AE" w:rsidP="00316534">
            <w:pPr>
              <w:rPr>
                <w:color w:val="000000"/>
              </w:rPr>
            </w:pPr>
            <w:r w:rsidRPr="00F34813">
              <w:t>Availability</w:t>
            </w:r>
          </w:p>
        </w:tc>
        <w:tc>
          <w:tcPr>
            <w:tcW w:w="2399" w:type="dxa"/>
          </w:tcPr>
          <w:p w14:paraId="31593997" w14:textId="77777777" w:rsidR="00C101AE" w:rsidRPr="001D3BA3" w:rsidRDefault="00C101AE" w:rsidP="00316534">
            <w:pPr>
              <w:rPr>
                <w:color w:val="FF40FF"/>
              </w:rPr>
            </w:pPr>
            <w:r w:rsidRPr="0068473A">
              <w:t>User accidentally causes environmental issues – e.g. turns off server, spills liquid, etc.</w:t>
            </w:r>
          </w:p>
        </w:tc>
        <w:tc>
          <w:tcPr>
            <w:tcW w:w="1304" w:type="dxa"/>
            <w:noWrap/>
          </w:tcPr>
          <w:p w14:paraId="47031FA9" w14:textId="77777777" w:rsidR="00C101AE" w:rsidRPr="00F34813" w:rsidRDefault="00C101AE" w:rsidP="00316534">
            <w:pPr>
              <w:rPr>
                <w:color w:val="000000"/>
              </w:rPr>
            </w:pPr>
            <w:r w:rsidRPr="00F34813">
              <w:t>Unlikely</w:t>
            </w:r>
          </w:p>
        </w:tc>
        <w:tc>
          <w:tcPr>
            <w:tcW w:w="1084" w:type="dxa"/>
            <w:noWrap/>
          </w:tcPr>
          <w:p w14:paraId="5DE26D03" w14:textId="77777777" w:rsidR="00C101AE" w:rsidRPr="00F34813" w:rsidRDefault="00C101AE" w:rsidP="00316534">
            <w:pPr>
              <w:rPr>
                <w:color w:val="000000"/>
              </w:rPr>
            </w:pPr>
            <w:r w:rsidRPr="00F34813">
              <w:t>Moderate</w:t>
            </w:r>
          </w:p>
        </w:tc>
        <w:tc>
          <w:tcPr>
            <w:tcW w:w="948" w:type="dxa"/>
            <w:noWrap/>
          </w:tcPr>
          <w:p w14:paraId="527CE507" w14:textId="77777777" w:rsidR="00C101AE" w:rsidRPr="00F34813" w:rsidRDefault="00C101AE" w:rsidP="00316534">
            <w:pPr>
              <w:rPr>
                <w:color w:val="000000"/>
              </w:rPr>
            </w:pPr>
            <w:r w:rsidRPr="00F34813">
              <w:t>Medium</w:t>
            </w:r>
          </w:p>
        </w:tc>
        <w:tc>
          <w:tcPr>
            <w:tcW w:w="1743" w:type="dxa"/>
          </w:tcPr>
          <w:p w14:paraId="1C6B2EB0" w14:textId="77777777" w:rsidR="00C101AE" w:rsidRPr="00F34813" w:rsidRDefault="00C101AE" w:rsidP="00316534">
            <w:pPr>
              <w:rPr>
                <w:color w:val="000000"/>
              </w:rPr>
            </w:pPr>
            <w:r w:rsidRPr="00F34813">
              <w:t xml:space="preserve">HR </w:t>
            </w:r>
            <w:r>
              <w:t>s</w:t>
            </w:r>
            <w:r w:rsidRPr="00F34813">
              <w:t xml:space="preserve">ecurity; Physical </w:t>
            </w:r>
            <w:r>
              <w:t>and environmental s</w:t>
            </w:r>
            <w:r w:rsidRPr="00F34813">
              <w:t>ecurity</w:t>
            </w:r>
          </w:p>
        </w:tc>
      </w:tr>
      <w:tr w:rsidR="00C101AE" w:rsidRPr="00F34813" w14:paraId="11065762" w14:textId="77777777" w:rsidTr="003B4A36">
        <w:trPr>
          <w:cnfStyle w:val="000000010000" w:firstRow="0" w:lastRow="0" w:firstColumn="0" w:lastColumn="0" w:oddVBand="0" w:evenVBand="0" w:oddHBand="0" w:evenHBand="1" w:firstRowFirstColumn="0" w:firstRowLastColumn="0" w:lastRowFirstColumn="0" w:lastRowLastColumn="0"/>
          <w:cantSplit/>
          <w:trHeight w:val="480"/>
        </w:trPr>
        <w:tc>
          <w:tcPr>
            <w:tcW w:w="550" w:type="dxa"/>
            <w:noWrap/>
          </w:tcPr>
          <w:p w14:paraId="09D5E6D2" w14:textId="77777777" w:rsidR="00C101AE" w:rsidRPr="00F34813" w:rsidRDefault="00C101AE" w:rsidP="00316534">
            <w:pPr>
              <w:rPr>
                <w:color w:val="000000"/>
              </w:rPr>
            </w:pPr>
            <w:r w:rsidRPr="00F34813">
              <w:t>24</w:t>
            </w:r>
          </w:p>
        </w:tc>
        <w:tc>
          <w:tcPr>
            <w:tcW w:w="1970" w:type="dxa"/>
            <w:noWrap/>
          </w:tcPr>
          <w:p w14:paraId="6E04AF92" w14:textId="77777777" w:rsidR="00C101AE" w:rsidRPr="00F34813" w:rsidRDefault="00C101AE" w:rsidP="00316534">
            <w:pPr>
              <w:rPr>
                <w:color w:val="000000"/>
              </w:rPr>
            </w:pPr>
            <w:r w:rsidRPr="00F34813">
              <w:t>Availability</w:t>
            </w:r>
          </w:p>
        </w:tc>
        <w:tc>
          <w:tcPr>
            <w:tcW w:w="2399" w:type="dxa"/>
          </w:tcPr>
          <w:p w14:paraId="44D07777" w14:textId="77777777" w:rsidR="00C101AE" w:rsidRPr="001D3BA3" w:rsidRDefault="00C101AE" w:rsidP="00316534">
            <w:pPr>
              <w:rPr>
                <w:color w:val="FF40FF"/>
              </w:rPr>
            </w:pPr>
            <w:r w:rsidRPr="0068473A">
              <w:t>Vendor fails to meet service level agreement (SLA) for availability.</w:t>
            </w:r>
          </w:p>
        </w:tc>
        <w:tc>
          <w:tcPr>
            <w:tcW w:w="1304" w:type="dxa"/>
            <w:noWrap/>
          </w:tcPr>
          <w:p w14:paraId="0C83DAA3" w14:textId="77777777" w:rsidR="00C101AE" w:rsidRPr="00F34813" w:rsidRDefault="00C101AE" w:rsidP="00316534">
            <w:pPr>
              <w:rPr>
                <w:color w:val="000000"/>
              </w:rPr>
            </w:pPr>
            <w:r w:rsidRPr="00F34813">
              <w:t>Unlikely</w:t>
            </w:r>
          </w:p>
        </w:tc>
        <w:tc>
          <w:tcPr>
            <w:tcW w:w="1084" w:type="dxa"/>
            <w:noWrap/>
          </w:tcPr>
          <w:p w14:paraId="396760DA" w14:textId="77777777" w:rsidR="00C101AE" w:rsidRPr="00F34813" w:rsidRDefault="00C101AE" w:rsidP="00316534">
            <w:pPr>
              <w:rPr>
                <w:color w:val="000000"/>
              </w:rPr>
            </w:pPr>
            <w:r w:rsidRPr="00F34813">
              <w:t>Moderate</w:t>
            </w:r>
          </w:p>
        </w:tc>
        <w:tc>
          <w:tcPr>
            <w:tcW w:w="948" w:type="dxa"/>
            <w:noWrap/>
          </w:tcPr>
          <w:p w14:paraId="4DFB6988" w14:textId="77777777" w:rsidR="00C101AE" w:rsidRPr="00F34813" w:rsidRDefault="00C101AE" w:rsidP="00316534">
            <w:pPr>
              <w:rPr>
                <w:color w:val="000000"/>
              </w:rPr>
            </w:pPr>
            <w:r w:rsidRPr="00F34813">
              <w:t>Medium</w:t>
            </w:r>
          </w:p>
        </w:tc>
        <w:tc>
          <w:tcPr>
            <w:tcW w:w="1743" w:type="dxa"/>
          </w:tcPr>
          <w:p w14:paraId="410C542F" w14:textId="77777777" w:rsidR="00C101AE" w:rsidRPr="00F34813" w:rsidRDefault="00C101AE" w:rsidP="00316534">
            <w:pPr>
              <w:rPr>
                <w:color w:val="000000"/>
              </w:rPr>
            </w:pPr>
            <w:r w:rsidRPr="00720077">
              <w:t xml:space="preserve">Organising </w:t>
            </w:r>
            <w:r>
              <w:t>i</w:t>
            </w:r>
            <w:r w:rsidRPr="00F34813">
              <w:t xml:space="preserve">nformation </w:t>
            </w:r>
            <w:r>
              <w:t>s</w:t>
            </w:r>
            <w:r w:rsidRPr="00F34813">
              <w:t xml:space="preserve">ecurity </w:t>
            </w:r>
          </w:p>
        </w:tc>
      </w:tr>
      <w:tr w:rsidR="00C101AE" w:rsidRPr="00F34813" w14:paraId="160822E7" w14:textId="77777777" w:rsidTr="003B4A36">
        <w:trPr>
          <w:cantSplit/>
          <w:trHeight w:val="480"/>
        </w:trPr>
        <w:tc>
          <w:tcPr>
            <w:tcW w:w="550" w:type="dxa"/>
            <w:noWrap/>
          </w:tcPr>
          <w:p w14:paraId="3B5308F1" w14:textId="77777777" w:rsidR="00C101AE" w:rsidRPr="00F34813" w:rsidRDefault="00C101AE" w:rsidP="00316534">
            <w:pPr>
              <w:rPr>
                <w:color w:val="000000"/>
              </w:rPr>
            </w:pPr>
            <w:r w:rsidRPr="00F34813">
              <w:t>25</w:t>
            </w:r>
          </w:p>
        </w:tc>
        <w:tc>
          <w:tcPr>
            <w:tcW w:w="1970" w:type="dxa"/>
            <w:noWrap/>
          </w:tcPr>
          <w:p w14:paraId="7B8AE42F" w14:textId="77777777" w:rsidR="00C101AE" w:rsidRPr="00F34813" w:rsidRDefault="00C101AE" w:rsidP="00316534">
            <w:pPr>
              <w:rPr>
                <w:color w:val="000000"/>
              </w:rPr>
            </w:pPr>
            <w:r w:rsidRPr="00F34813">
              <w:t>Availability</w:t>
            </w:r>
          </w:p>
        </w:tc>
        <w:tc>
          <w:tcPr>
            <w:tcW w:w="2399" w:type="dxa"/>
          </w:tcPr>
          <w:p w14:paraId="1A60C8BA" w14:textId="77777777" w:rsidR="00C101AE" w:rsidRPr="00F34813" w:rsidRDefault="00C101AE" w:rsidP="00316534">
            <w:pPr>
              <w:rPr>
                <w:color w:val="000000"/>
              </w:rPr>
            </w:pPr>
            <w:r w:rsidRPr="00F34813">
              <w:t>Loss of small number of records due to reluctance by contributors to re-enter</w:t>
            </w:r>
            <w:r>
              <w:t xml:space="preserve"> or </w:t>
            </w:r>
            <w:r w:rsidRPr="00F34813">
              <w:t>re</w:t>
            </w:r>
            <w:r>
              <w:t>-</w:t>
            </w:r>
            <w:r w:rsidRPr="00F34813">
              <w:t>provide data following loss of availability or other factors</w:t>
            </w:r>
            <w:r>
              <w:t>.</w:t>
            </w:r>
          </w:p>
        </w:tc>
        <w:tc>
          <w:tcPr>
            <w:tcW w:w="1304" w:type="dxa"/>
            <w:noWrap/>
          </w:tcPr>
          <w:p w14:paraId="0E013F65" w14:textId="77777777" w:rsidR="00C101AE" w:rsidRPr="00F34813" w:rsidRDefault="00C101AE" w:rsidP="00316534">
            <w:pPr>
              <w:rPr>
                <w:color w:val="000000"/>
              </w:rPr>
            </w:pPr>
            <w:r w:rsidRPr="00F34813">
              <w:t>Unlikely</w:t>
            </w:r>
          </w:p>
        </w:tc>
        <w:tc>
          <w:tcPr>
            <w:tcW w:w="1084" w:type="dxa"/>
            <w:noWrap/>
          </w:tcPr>
          <w:p w14:paraId="60E9C587" w14:textId="77777777" w:rsidR="00C101AE" w:rsidRPr="00F34813" w:rsidRDefault="00C101AE" w:rsidP="00316534">
            <w:pPr>
              <w:rPr>
                <w:color w:val="000000"/>
              </w:rPr>
            </w:pPr>
            <w:r w:rsidRPr="00F34813">
              <w:t>Moderate</w:t>
            </w:r>
          </w:p>
        </w:tc>
        <w:tc>
          <w:tcPr>
            <w:tcW w:w="948" w:type="dxa"/>
            <w:noWrap/>
          </w:tcPr>
          <w:p w14:paraId="034BC2F5" w14:textId="77777777" w:rsidR="00C101AE" w:rsidRPr="00F34813" w:rsidRDefault="00C101AE" w:rsidP="00316534">
            <w:pPr>
              <w:rPr>
                <w:color w:val="000000"/>
              </w:rPr>
            </w:pPr>
            <w:r w:rsidRPr="00F34813">
              <w:t>Medium</w:t>
            </w:r>
          </w:p>
        </w:tc>
        <w:tc>
          <w:tcPr>
            <w:tcW w:w="1743" w:type="dxa"/>
            <w:noWrap/>
          </w:tcPr>
          <w:p w14:paraId="0C82EE99" w14:textId="77777777" w:rsidR="00C101AE" w:rsidRPr="005B6372" w:rsidRDefault="00C101AE" w:rsidP="00316534">
            <w:r w:rsidRPr="00F34813">
              <w:t xml:space="preserve">HR </w:t>
            </w:r>
            <w:r>
              <w:t>s</w:t>
            </w:r>
            <w:r w:rsidRPr="00F34813">
              <w:t>ecurity</w:t>
            </w:r>
          </w:p>
        </w:tc>
      </w:tr>
      <w:tr w:rsidR="00C101AE" w:rsidRPr="00F34813" w14:paraId="38DE68E8" w14:textId="77777777" w:rsidTr="003B4A36">
        <w:trPr>
          <w:cnfStyle w:val="000000010000" w:firstRow="0" w:lastRow="0" w:firstColumn="0" w:lastColumn="0" w:oddVBand="0" w:evenVBand="0" w:oddHBand="0" w:evenHBand="1" w:firstRowFirstColumn="0" w:firstRowLastColumn="0" w:lastRowFirstColumn="0" w:lastRowLastColumn="0"/>
          <w:cantSplit/>
          <w:trHeight w:val="480"/>
        </w:trPr>
        <w:tc>
          <w:tcPr>
            <w:tcW w:w="550" w:type="dxa"/>
            <w:noWrap/>
          </w:tcPr>
          <w:p w14:paraId="512FAEAE" w14:textId="77777777" w:rsidR="00C101AE" w:rsidRPr="00F34813" w:rsidRDefault="00C101AE" w:rsidP="00316534">
            <w:r>
              <w:t>26</w:t>
            </w:r>
          </w:p>
        </w:tc>
        <w:tc>
          <w:tcPr>
            <w:tcW w:w="1970" w:type="dxa"/>
            <w:noWrap/>
          </w:tcPr>
          <w:p w14:paraId="2D4D31B3" w14:textId="77777777" w:rsidR="00C101AE" w:rsidRDefault="00C101AE" w:rsidP="00316534">
            <w:r>
              <w:t>Confidentiality/ Integrity/ Availability</w:t>
            </w:r>
          </w:p>
          <w:p w14:paraId="05787227" w14:textId="77777777" w:rsidR="00C101AE" w:rsidRPr="00F34813" w:rsidRDefault="00C101AE" w:rsidP="00316534"/>
        </w:tc>
        <w:tc>
          <w:tcPr>
            <w:tcW w:w="2399" w:type="dxa"/>
          </w:tcPr>
          <w:p w14:paraId="78BFF8A3" w14:textId="4C3CCF32" w:rsidR="00C101AE" w:rsidRPr="00F34813" w:rsidRDefault="00C101AE" w:rsidP="00316534">
            <w:r>
              <w:t xml:space="preserve">Loss of confidential information due to </w:t>
            </w:r>
            <w:r w:rsidR="006F18D1">
              <w:t>cyber-attacks</w:t>
            </w:r>
            <w:r>
              <w:t xml:space="preserve"> such as phishing, SQL injection attacks, password attacks, virus attacks, malware attacks and spyware attacks.</w:t>
            </w:r>
          </w:p>
        </w:tc>
        <w:tc>
          <w:tcPr>
            <w:tcW w:w="1304" w:type="dxa"/>
            <w:noWrap/>
          </w:tcPr>
          <w:p w14:paraId="77B28770" w14:textId="77777777" w:rsidR="00C101AE" w:rsidRPr="00F34813" w:rsidRDefault="00C101AE" w:rsidP="00316534">
            <w:r>
              <w:t>Possible</w:t>
            </w:r>
          </w:p>
        </w:tc>
        <w:tc>
          <w:tcPr>
            <w:tcW w:w="1084" w:type="dxa"/>
            <w:noWrap/>
          </w:tcPr>
          <w:p w14:paraId="1702C80E" w14:textId="77777777" w:rsidR="00C101AE" w:rsidRPr="00F34813" w:rsidRDefault="00C101AE" w:rsidP="00316534">
            <w:r>
              <w:t>Major</w:t>
            </w:r>
          </w:p>
        </w:tc>
        <w:tc>
          <w:tcPr>
            <w:tcW w:w="948" w:type="dxa"/>
            <w:noWrap/>
          </w:tcPr>
          <w:p w14:paraId="60C17802" w14:textId="77777777" w:rsidR="00C101AE" w:rsidRPr="00F34813" w:rsidRDefault="00C101AE" w:rsidP="00316534">
            <w:r>
              <w:t>High</w:t>
            </w:r>
          </w:p>
        </w:tc>
        <w:tc>
          <w:tcPr>
            <w:tcW w:w="1743" w:type="dxa"/>
            <w:noWrap/>
          </w:tcPr>
          <w:p w14:paraId="7925C408" w14:textId="77777777" w:rsidR="00C101AE" w:rsidRPr="00F34813" w:rsidRDefault="00C101AE" w:rsidP="00316534">
            <w:r>
              <w:t xml:space="preserve">Access control; Information security incident management </w:t>
            </w:r>
          </w:p>
        </w:tc>
      </w:tr>
    </w:tbl>
    <w:p w14:paraId="4B8EC64E" w14:textId="3A9330B3" w:rsidR="00C101AE" w:rsidRPr="007C570E" w:rsidRDefault="00C101AE" w:rsidP="007C570E">
      <w:pPr>
        <w:pStyle w:val="FigureTableTitle"/>
        <w:sectPr w:rsidR="00C101AE" w:rsidRPr="007C570E" w:rsidSect="00A028AC">
          <w:headerReference w:type="even" r:id="rId25"/>
          <w:headerReference w:type="default" r:id="rId26"/>
          <w:footerReference w:type="even" r:id="rId27"/>
          <w:footerReference w:type="default" r:id="rId28"/>
          <w:headerReference w:type="first" r:id="rId29"/>
          <w:footerReference w:type="first" r:id="rId30"/>
          <w:pgSz w:w="11906" w:h="16838"/>
          <w:pgMar w:top="1418" w:right="1134" w:bottom="1418" w:left="1134" w:header="709" w:footer="709" w:gutter="0"/>
          <w:cols w:space="708"/>
          <w:docGrid w:linePitch="360"/>
        </w:sectPr>
      </w:pPr>
    </w:p>
    <w:p w14:paraId="72416C77" w14:textId="7997A723" w:rsidR="00C101AE" w:rsidRPr="00C101AE" w:rsidRDefault="00C101AE" w:rsidP="00C101AE">
      <w:pPr>
        <w:rPr>
          <w:rFonts w:cs="Arial"/>
        </w:rPr>
        <w:sectPr w:rsidR="00C101AE" w:rsidRPr="00C101AE" w:rsidSect="00C101AE">
          <w:headerReference w:type="even" r:id="rId31"/>
          <w:headerReference w:type="default" r:id="rId32"/>
          <w:footerReference w:type="even" r:id="rId33"/>
          <w:footerReference w:type="default" r:id="rId34"/>
          <w:headerReference w:type="first" r:id="rId35"/>
          <w:footerReference w:type="first" r:id="rId36"/>
          <w:type w:val="continuous"/>
          <w:pgSz w:w="11906" w:h="16838"/>
          <w:pgMar w:top="1418" w:right="1134" w:bottom="1418" w:left="1134" w:header="709" w:footer="709" w:gutter="0"/>
          <w:cols w:space="708"/>
          <w:docGrid w:linePitch="360"/>
        </w:sectPr>
      </w:pPr>
    </w:p>
    <w:p w14:paraId="37638AA7" w14:textId="200C7AF4" w:rsidR="00613C02" w:rsidRDefault="008E2CAE" w:rsidP="00613C02">
      <w:pPr>
        <w:pStyle w:val="Heading1"/>
      </w:pPr>
      <w:bookmarkStart w:id="66" w:name="_4._Security_assessment"/>
      <w:bookmarkStart w:id="67" w:name="_Ref351533228"/>
      <w:bookmarkStart w:id="68" w:name="_Toc156467979"/>
      <w:bookmarkStart w:id="69" w:name="_Toc158286581"/>
      <w:bookmarkStart w:id="70" w:name="_Toc158802073"/>
      <w:bookmarkStart w:id="71" w:name="_Toc160197584"/>
      <w:bookmarkStart w:id="72" w:name="_Toc170135019"/>
      <w:bookmarkEnd w:id="66"/>
      <w:r>
        <w:lastRenderedPageBreak/>
        <w:t>4.</w:t>
      </w:r>
      <w:r>
        <w:tab/>
      </w:r>
      <w:r w:rsidR="00613C02" w:rsidRPr="002D0444">
        <w:t xml:space="preserve">Security </w:t>
      </w:r>
      <w:r w:rsidR="00613C02">
        <w:t>a</w:t>
      </w:r>
      <w:r w:rsidR="00613C02" w:rsidRPr="002D0444">
        <w:t xml:space="preserve">ssessment </w:t>
      </w:r>
      <w:r w:rsidR="00613C02">
        <w:t>a</w:t>
      </w:r>
      <w:r w:rsidR="00613C02" w:rsidRPr="002D0444">
        <w:t>pproach</w:t>
      </w:r>
      <w:bookmarkEnd w:id="67"/>
      <w:bookmarkEnd w:id="68"/>
      <w:bookmarkEnd w:id="69"/>
      <w:bookmarkEnd w:id="70"/>
      <w:bookmarkEnd w:id="71"/>
      <w:bookmarkEnd w:id="72"/>
    </w:p>
    <w:p w14:paraId="63E83820" w14:textId="77777777" w:rsidR="001D109F" w:rsidRDefault="001D109F" w:rsidP="001D109F"/>
    <w:p w14:paraId="4A457F99" w14:textId="17BDB57D" w:rsidR="00613C02" w:rsidRPr="00613C02" w:rsidRDefault="00613C02" w:rsidP="001D109F">
      <w:pPr>
        <w:pStyle w:val="PulloutTextBody"/>
      </w:pPr>
      <w:r w:rsidRPr="00F34813">
        <w:t>This section describes a high-level approach to assess</w:t>
      </w:r>
      <w:r>
        <w:t xml:space="preserve">ing </w:t>
      </w:r>
      <w:r w:rsidRPr="00F34813">
        <w:t xml:space="preserve">CQR security compliance, including measures to be taken to address any identified security gaps. To assess security compliance, assessors should first identify the </w:t>
      </w:r>
      <w:r>
        <w:t xml:space="preserve">security compliance </w:t>
      </w:r>
      <w:r w:rsidRPr="00F34813">
        <w:t xml:space="preserve">checklists </w:t>
      </w:r>
      <w:r>
        <w:t xml:space="preserve">(provided in </w:t>
      </w:r>
      <w:r w:rsidRPr="002C2D87">
        <w:rPr>
          <w:i/>
          <w:iCs/>
        </w:rPr>
        <w:t>Section 5</w:t>
      </w:r>
      <w:r>
        <w:t xml:space="preserve">) </w:t>
      </w:r>
      <w:r w:rsidRPr="00F34813">
        <w:t xml:space="preserve">applicable to the </w:t>
      </w:r>
      <w:r>
        <w:t xml:space="preserve">CQR </w:t>
      </w:r>
      <w:r w:rsidRPr="00F34813">
        <w:t>organisation being assessed.</w:t>
      </w:r>
    </w:p>
    <w:p w14:paraId="7010F4C9" w14:textId="77777777" w:rsidR="001D109F" w:rsidRDefault="001D109F" w:rsidP="001D109F">
      <w:bookmarkStart w:id="73" w:name="_Toc156467980"/>
      <w:bookmarkStart w:id="74" w:name="_Toc158286582"/>
      <w:bookmarkStart w:id="75" w:name="_Toc158802074"/>
      <w:bookmarkStart w:id="76" w:name="_Toc160197585"/>
      <w:bookmarkStart w:id="77" w:name="_Toc170135020"/>
    </w:p>
    <w:p w14:paraId="5DF5B7E1" w14:textId="014FDE54" w:rsidR="00613C02" w:rsidRPr="00DF716F" w:rsidRDefault="00613C02" w:rsidP="00613C02">
      <w:pPr>
        <w:pStyle w:val="Heading2"/>
      </w:pPr>
      <w:r w:rsidRPr="00DF716F">
        <w:t>Methodology</w:t>
      </w:r>
      <w:bookmarkEnd w:id="73"/>
      <w:bookmarkEnd w:id="74"/>
      <w:bookmarkEnd w:id="75"/>
      <w:bookmarkEnd w:id="76"/>
      <w:bookmarkEnd w:id="77"/>
    </w:p>
    <w:p w14:paraId="5A568B89" w14:textId="6ED5F690" w:rsidR="00DB5D01" w:rsidRDefault="00613C02" w:rsidP="00613C02">
      <w:pPr>
        <w:rPr>
          <w:rFonts w:cs="Arial"/>
        </w:rPr>
      </w:pPr>
      <w:r w:rsidRPr="00F34813">
        <w:rPr>
          <w:rFonts w:cs="Arial"/>
        </w:rPr>
        <w:t xml:space="preserve">A checklist approach is </w:t>
      </w:r>
      <w:r>
        <w:rPr>
          <w:rFonts w:cs="Arial"/>
        </w:rPr>
        <w:t>used</w:t>
      </w:r>
      <w:r w:rsidRPr="00F34813">
        <w:rPr>
          <w:rFonts w:cs="Arial"/>
        </w:rPr>
        <w:t xml:space="preserve"> to assess the security compliance of CQRs. Each area of the checklist is tested against the local CQR environment to assess compliance.</w:t>
      </w:r>
      <w:r>
        <w:rPr>
          <w:rFonts w:cs="Arial"/>
        </w:rPr>
        <w:t xml:space="preserve"> </w:t>
      </w:r>
      <w:r w:rsidRPr="00F34813">
        <w:rPr>
          <w:rFonts w:cs="Arial"/>
        </w:rPr>
        <w:t>Gaps in compliance are identified, classified in importance, prioritised for action, and treated.</w:t>
      </w:r>
      <w:r w:rsidR="001D109F">
        <w:rPr>
          <w:rFonts w:cs="Arial"/>
        </w:rPr>
        <w:t xml:space="preserve"> </w:t>
      </w:r>
      <w:r w:rsidRPr="00F34813">
        <w:rPr>
          <w:rFonts w:cs="Arial"/>
        </w:rPr>
        <w:t>The chart below shows these steps in the methodology.</w:t>
      </w:r>
    </w:p>
    <w:p w14:paraId="3C9C81BB" w14:textId="56F77E3B" w:rsidR="00613C02" w:rsidRPr="00613C02" w:rsidRDefault="00613C02" w:rsidP="00613C02">
      <w:pPr>
        <w:rPr>
          <w:rFonts w:cs="Arial"/>
        </w:rPr>
      </w:pPr>
    </w:p>
    <w:p w14:paraId="435178C6" w14:textId="5DAF318E" w:rsidR="00DB5D01" w:rsidRDefault="00C15BEF" w:rsidP="00DB5D01">
      <w:bookmarkStart w:id="78" w:name="_Toc158286583"/>
      <w:bookmarkStart w:id="79" w:name="_Toc156467981"/>
      <w:bookmarkStart w:id="80" w:name="_Toc158802075"/>
      <w:bookmarkStart w:id="81" w:name="_Toc160197586"/>
      <w:bookmarkStart w:id="82" w:name="_Toc170135021"/>
      <w:r>
        <w:rPr>
          <w:noProof/>
        </w:rPr>
        <w:drawing>
          <wp:inline distT="0" distB="0" distL="0" distR="0" wp14:anchorId="250D0DF9" wp14:editId="0D274BDB">
            <wp:extent cx="6100440" cy="539646"/>
            <wp:effectExtent l="0" t="0" r="0" b="0"/>
            <wp:docPr id="816344003" name="Picture 8" descr="Methodology steps&#10;&#10;Assess compliance&#10;Identify gaps&#10;Classify&#10;Prioritise&#10;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44003" name="Picture 8" descr="Methodology steps&#10;&#10;Assess compliance&#10;Identify gaps&#10;Classify&#10;Prioritise&#10;Treat"/>
                    <pic:cNvPicPr/>
                  </pic:nvPicPr>
                  <pic:blipFill rotWithShape="1">
                    <a:blip r:embed="rId37"/>
                    <a:srcRect l="21141" t="45477" r="21018" b="45427"/>
                    <a:stretch/>
                  </pic:blipFill>
                  <pic:spPr bwMode="auto">
                    <a:xfrm>
                      <a:off x="0" y="0"/>
                      <a:ext cx="6370556" cy="563541"/>
                    </a:xfrm>
                    <a:prstGeom prst="rect">
                      <a:avLst/>
                    </a:prstGeom>
                    <a:ln>
                      <a:noFill/>
                    </a:ln>
                    <a:extLst>
                      <a:ext uri="{53640926-AAD7-44D8-BBD7-CCE9431645EC}">
                        <a14:shadowObscured xmlns:a14="http://schemas.microsoft.com/office/drawing/2010/main"/>
                      </a:ext>
                    </a:extLst>
                  </pic:spPr>
                </pic:pic>
              </a:graphicData>
            </a:graphic>
          </wp:inline>
        </w:drawing>
      </w:r>
    </w:p>
    <w:p w14:paraId="517BAB91" w14:textId="2C28B6A3" w:rsidR="00C15BEF" w:rsidRDefault="00C15BEF" w:rsidP="00DB5D01"/>
    <w:p w14:paraId="5B29C3BD" w14:textId="3B9E4F35" w:rsidR="00613C02" w:rsidRPr="00DF716F" w:rsidRDefault="00613C02" w:rsidP="00613C02">
      <w:pPr>
        <w:pStyle w:val="Heading2"/>
      </w:pPr>
      <w:r w:rsidRPr="00DF716F">
        <w:t xml:space="preserve">Assessing </w:t>
      </w:r>
      <w:bookmarkStart w:id="83" w:name="_Toc156467982"/>
      <w:bookmarkStart w:id="84" w:name="_Toc158286584"/>
      <w:bookmarkEnd w:id="78"/>
      <w:bookmarkEnd w:id="79"/>
      <w:bookmarkEnd w:id="80"/>
      <w:bookmarkEnd w:id="83"/>
      <w:bookmarkEnd w:id="84"/>
      <w:r>
        <w:t>c</w:t>
      </w:r>
      <w:r w:rsidRPr="00DF716F">
        <w:t>ompliance</w:t>
      </w:r>
      <w:bookmarkEnd w:id="81"/>
      <w:bookmarkEnd w:id="82"/>
    </w:p>
    <w:p w14:paraId="6C471D92" w14:textId="77777777" w:rsidR="00613C02" w:rsidRPr="00F34813" w:rsidRDefault="00613C02" w:rsidP="00613C02">
      <w:pPr>
        <w:pStyle w:val="Heading3"/>
      </w:pPr>
      <w:bookmarkStart w:id="85" w:name="_Toc158286585"/>
      <w:bookmarkStart w:id="86" w:name="_Toc158802076"/>
      <w:bookmarkStart w:id="87" w:name="_Toc160197587"/>
      <w:r w:rsidRPr="00F34813">
        <w:t>Compliance</w:t>
      </w:r>
      <w:bookmarkEnd w:id="85"/>
      <w:bookmarkEnd w:id="86"/>
      <w:bookmarkEnd w:id="87"/>
    </w:p>
    <w:p w14:paraId="7F466A2A" w14:textId="77777777" w:rsidR="00613C02" w:rsidRPr="00F34813" w:rsidRDefault="00613C02" w:rsidP="00613C02">
      <w:pPr>
        <w:rPr>
          <w:rFonts w:cs="Arial"/>
        </w:rPr>
      </w:pPr>
      <w:r w:rsidRPr="00F34813">
        <w:rPr>
          <w:rFonts w:cs="Arial"/>
        </w:rPr>
        <w:t xml:space="preserve">ISO 27001 compliance implies that a CQR has conducted a self-assessment against the ISO standards and deems itself in alignment with these standards. This involves internally evaluating their processes and security measures to </w:t>
      </w:r>
      <w:r>
        <w:rPr>
          <w:rFonts w:cs="Arial"/>
        </w:rPr>
        <w:t xml:space="preserve">make </w:t>
      </w:r>
      <w:r w:rsidRPr="00F34813">
        <w:rPr>
          <w:rFonts w:cs="Arial"/>
        </w:rPr>
        <w:t xml:space="preserve">sure they meet the criteria set out in the ISO 27001 standards. </w:t>
      </w:r>
    </w:p>
    <w:p w14:paraId="4B63BE53" w14:textId="77777777" w:rsidR="00613C02" w:rsidRPr="00F34813" w:rsidRDefault="00613C02" w:rsidP="00613C02">
      <w:pPr>
        <w:pStyle w:val="Heading3"/>
      </w:pPr>
      <w:bookmarkStart w:id="88" w:name="_Toc158286586"/>
      <w:bookmarkStart w:id="89" w:name="_Toc158802077"/>
      <w:bookmarkStart w:id="90" w:name="_Toc160197588"/>
      <w:r w:rsidRPr="00F34813">
        <w:t>Certification</w:t>
      </w:r>
      <w:bookmarkEnd w:id="88"/>
      <w:bookmarkEnd w:id="89"/>
      <w:bookmarkEnd w:id="90"/>
    </w:p>
    <w:p w14:paraId="4C8953BD" w14:textId="77777777" w:rsidR="00613C02" w:rsidRPr="00F34813" w:rsidRDefault="00613C02" w:rsidP="00613C02">
      <w:pPr>
        <w:rPr>
          <w:rFonts w:cs="Arial"/>
        </w:rPr>
      </w:pPr>
      <w:r w:rsidRPr="00F34813">
        <w:rPr>
          <w:rFonts w:cs="Arial"/>
        </w:rPr>
        <w:t>ISO 27001 certification indicates that a CQR</w:t>
      </w:r>
      <w:r>
        <w:rPr>
          <w:rFonts w:cs="Arial"/>
        </w:rPr>
        <w:t>’</w:t>
      </w:r>
      <w:r w:rsidRPr="00F34813">
        <w:rPr>
          <w:rFonts w:cs="Arial"/>
        </w:rPr>
        <w:t>s adherence to these standards has been externally validated by a certified auditing or certifying organisation. This certification process involves a thorough, independent examination of the CQR's security infrastructure and processes, confirming their conformity to the rigorous standards of ISO 27001.</w:t>
      </w:r>
    </w:p>
    <w:p w14:paraId="4B5E4E7B" w14:textId="77777777" w:rsidR="00613C02" w:rsidRPr="00F34813" w:rsidRDefault="00613C02" w:rsidP="00613C02">
      <w:pPr>
        <w:pStyle w:val="Heading3"/>
      </w:pPr>
      <w:bookmarkStart w:id="91" w:name="_Toc156467983"/>
      <w:bookmarkStart w:id="92" w:name="_Toc156472360"/>
      <w:bookmarkStart w:id="93" w:name="_Toc156472608"/>
      <w:bookmarkStart w:id="94" w:name="_Toc156479432"/>
      <w:bookmarkStart w:id="95" w:name="_Toc158286587"/>
      <w:bookmarkStart w:id="96" w:name="_Toc156467984"/>
      <w:bookmarkStart w:id="97" w:name="_Toc158286588"/>
      <w:bookmarkStart w:id="98" w:name="_Toc158802078"/>
      <w:bookmarkStart w:id="99" w:name="_Toc160197589"/>
      <w:bookmarkEnd w:id="91"/>
      <w:bookmarkEnd w:id="92"/>
      <w:bookmarkEnd w:id="93"/>
      <w:bookmarkEnd w:id="94"/>
      <w:bookmarkEnd w:id="95"/>
      <w:r w:rsidRPr="00F34813">
        <w:t>Assessment checklists</w:t>
      </w:r>
      <w:bookmarkEnd w:id="96"/>
      <w:bookmarkEnd w:id="97"/>
      <w:bookmarkEnd w:id="98"/>
      <w:bookmarkEnd w:id="99"/>
      <w:r w:rsidRPr="00F34813">
        <w:t xml:space="preserve"> </w:t>
      </w:r>
      <w:r w:rsidRPr="00F34813">
        <w:tab/>
      </w:r>
      <w:r w:rsidRPr="00F34813">
        <w:tab/>
      </w:r>
    </w:p>
    <w:p w14:paraId="7BF58FD5" w14:textId="753A1F2A" w:rsidR="00613C02" w:rsidRDefault="00613C02" w:rsidP="00613C02">
      <w:pPr>
        <w:rPr>
          <w:rFonts w:cs="Arial"/>
        </w:rPr>
      </w:pPr>
      <w:r>
        <w:rPr>
          <w:rFonts w:cs="Arial"/>
        </w:rPr>
        <w:t>T</w:t>
      </w:r>
      <w:r w:rsidRPr="00F34813">
        <w:rPr>
          <w:rFonts w:cs="Arial"/>
        </w:rPr>
        <w:t xml:space="preserve">his </w:t>
      </w:r>
      <w:r w:rsidRPr="002C3F14">
        <w:rPr>
          <w:rFonts w:cs="Arial"/>
        </w:rPr>
        <w:t xml:space="preserve">Guideline </w:t>
      </w:r>
      <w:r w:rsidRPr="00F34813">
        <w:rPr>
          <w:rFonts w:cs="Arial"/>
        </w:rPr>
        <w:t xml:space="preserve">identifies </w:t>
      </w:r>
      <w:r>
        <w:rPr>
          <w:rFonts w:cs="Arial"/>
        </w:rPr>
        <w:t>two</w:t>
      </w:r>
      <w:r w:rsidRPr="00F34813">
        <w:rPr>
          <w:rFonts w:cs="Arial"/>
        </w:rPr>
        <w:t xml:space="preserve"> separate checklists</w:t>
      </w:r>
      <w:r>
        <w:rPr>
          <w:rFonts w:cs="Arial"/>
        </w:rPr>
        <w:t xml:space="preserve"> (provided at </w:t>
      </w:r>
      <w:hyperlink w:anchor="_5._Security_compliance" w:tooltip="Current document - Section 5: Security compliance checklists for CQR ‘recommended practice’ " w:history="1">
        <w:r w:rsidRPr="00F307A6">
          <w:rPr>
            <w:rStyle w:val="Hyperlink"/>
            <w:rFonts w:cs="Arial"/>
            <w:i/>
            <w:iCs/>
          </w:rPr>
          <w:t>Section 5</w:t>
        </w:r>
      </w:hyperlink>
      <w:r>
        <w:rPr>
          <w:rFonts w:cs="Arial"/>
        </w:rPr>
        <w:t>)</w:t>
      </w:r>
      <w:r w:rsidRPr="00F34813">
        <w:rPr>
          <w:rFonts w:cs="Arial"/>
        </w:rPr>
        <w:t>:</w:t>
      </w:r>
    </w:p>
    <w:p w14:paraId="169BE5B4" w14:textId="77777777" w:rsidR="00613C02" w:rsidRDefault="00613C02" w:rsidP="00613C02">
      <w:pPr>
        <w:spacing w:after="0"/>
        <w:rPr>
          <w:rFonts w:cs="Arial"/>
          <w:b/>
          <w:bCs/>
        </w:rPr>
      </w:pPr>
      <w:r>
        <w:rPr>
          <w:rFonts w:cs="Arial"/>
          <w:b/>
          <w:bCs/>
        </w:rPr>
        <w:br w:type="page"/>
      </w:r>
    </w:p>
    <w:p w14:paraId="75C7DF83" w14:textId="3ECD9DBA" w:rsidR="00613C02" w:rsidRPr="00613C02" w:rsidRDefault="00613C02" w:rsidP="00E35054">
      <w:pPr>
        <w:pStyle w:val="Heading5"/>
        <w:ind w:left="720"/>
      </w:pPr>
      <w:r>
        <w:lastRenderedPageBreak/>
        <w:t xml:space="preserve">1. </w:t>
      </w:r>
      <w:r w:rsidRPr="00613C02">
        <w:t>CQR Business Operations Checklist</w:t>
      </w:r>
    </w:p>
    <w:p w14:paraId="4DF99EB7" w14:textId="38A4D6D4" w:rsidR="00613C02" w:rsidRPr="00F34813" w:rsidRDefault="00613C02" w:rsidP="00E35054">
      <w:pPr>
        <w:ind w:left="720"/>
        <w:rPr>
          <w:rFonts w:cs="Arial"/>
        </w:rPr>
      </w:pPr>
      <w:r w:rsidRPr="00F34813">
        <w:rPr>
          <w:rFonts w:cs="Arial"/>
        </w:rPr>
        <w:t>The CQR Business Operations Checklist is used to identify the current status of security controls concerning the business operations of a CQR. This includes, but is not limited to, employment screening controls, authorisation of users and business continuity practices. Regardless of the underlying data</w:t>
      </w:r>
      <w:r>
        <w:rPr>
          <w:rFonts w:cs="Arial"/>
        </w:rPr>
        <w:t xml:space="preserve"> </w:t>
      </w:r>
      <w:r w:rsidRPr="00F34813">
        <w:rPr>
          <w:rFonts w:cs="Arial"/>
        </w:rPr>
        <w:t>hosting infrastructure of each CQR, these business operation security controls should be similar across all CQRs and the same level of security is required.</w:t>
      </w:r>
    </w:p>
    <w:p w14:paraId="373DBFC6" w14:textId="57573B97" w:rsidR="00613C02" w:rsidRPr="00613C02" w:rsidRDefault="00613C02" w:rsidP="00E35054">
      <w:pPr>
        <w:pStyle w:val="Heading5"/>
        <w:ind w:left="720"/>
      </w:pPr>
      <w:r>
        <w:t xml:space="preserve">2. </w:t>
      </w:r>
      <w:r w:rsidRPr="00613C02">
        <w:t>CQR System Hosting Checklist</w:t>
      </w:r>
    </w:p>
    <w:p w14:paraId="56F2E565" w14:textId="288E1CF1" w:rsidR="00613C02" w:rsidRDefault="00613C02" w:rsidP="00E35054">
      <w:pPr>
        <w:ind w:left="720"/>
        <w:rPr>
          <w:rFonts w:cs="Arial"/>
        </w:rPr>
      </w:pPr>
      <w:r>
        <w:rPr>
          <w:rFonts w:cs="Arial"/>
        </w:rPr>
        <w:t>The CQR System Hosting Checklist is used to identify the current status of security controls concerning a CQR’s hosting infrastructure. These security controls apply for both on-premise and cloud</w:t>
      </w:r>
      <w:r w:rsidR="006F18D1">
        <w:rPr>
          <w:rFonts w:cs="Arial"/>
        </w:rPr>
        <w:t>-</w:t>
      </w:r>
      <w:r>
        <w:rPr>
          <w:rFonts w:cs="Arial"/>
        </w:rPr>
        <w:t>hosting environments.</w:t>
      </w:r>
    </w:p>
    <w:p w14:paraId="3F57450F" w14:textId="53837B51" w:rsidR="00613C02" w:rsidRPr="00DB11D4" w:rsidRDefault="00613C02" w:rsidP="00E35054">
      <w:pPr>
        <w:ind w:left="720"/>
        <w:rPr>
          <w:rFonts w:cs="Arial"/>
        </w:rPr>
      </w:pPr>
      <w:r w:rsidRPr="0C105EF7">
        <w:rPr>
          <w:rFonts w:cs="Arial"/>
        </w:rPr>
        <w:t>The CQR System Hosting</w:t>
      </w:r>
      <w:r>
        <w:t xml:space="preserve"> </w:t>
      </w:r>
      <w:r w:rsidRPr="0C105EF7">
        <w:rPr>
          <w:rFonts w:cs="Arial"/>
        </w:rPr>
        <w:t xml:space="preserve">Checklist is used where ISO 27001 </w:t>
      </w:r>
      <w:r w:rsidR="00D31CAC">
        <w:rPr>
          <w:rFonts w:cs="Arial"/>
        </w:rPr>
        <w:t xml:space="preserve">certification </w:t>
      </w:r>
      <w:r w:rsidRPr="0C105EF7">
        <w:rPr>
          <w:rFonts w:cs="Arial"/>
        </w:rPr>
        <w:t>or Australian Signals Directorate (ASD)</w:t>
      </w:r>
      <w:r w:rsidRPr="0C105EF7">
        <w:rPr>
          <w:rFonts w:cs="Arial"/>
          <w:vertAlign w:val="superscript"/>
        </w:rPr>
        <w:t>11</w:t>
      </w:r>
      <w:r w:rsidRPr="0C105EF7">
        <w:rPr>
          <w:rFonts w:cs="Arial"/>
        </w:rPr>
        <w:t xml:space="preserve"> </w:t>
      </w:r>
      <w:r w:rsidR="005F738D">
        <w:rPr>
          <w:rFonts w:cs="Arial"/>
        </w:rPr>
        <w:t xml:space="preserve">guidelines are not applied. </w:t>
      </w:r>
    </w:p>
    <w:p w14:paraId="12012379" w14:textId="79250A6C" w:rsidR="00613C02" w:rsidRPr="00F34813" w:rsidRDefault="00613C02" w:rsidP="00E35054">
      <w:pPr>
        <w:ind w:left="720"/>
        <w:rPr>
          <w:rFonts w:cs="Arial"/>
        </w:rPr>
      </w:pPr>
      <w:r w:rsidRPr="0C105EF7">
        <w:rPr>
          <w:rFonts w:cs="Arial"/>
        </w:rPr>
        <w:t xml:space="preserve">Formally accredited by authorised certifiers, ISO 27001 is the international standard for information security management and, where satisfied, provides a high level of confidence in an organisation’s security control measures. Similarly, ASD evaluates </w:t>
      </w:r>
      <w:r w:rsidRPr="0C105EF7">
        <w:rPr>
          <w:rStyle w:val="HTMLAcronym"/>
          <w:rFonts w:cs="Arial"/>
        </w:rPr>
        <w:t>ICT</w:t>
      </w:r>
      <w:r w:rsidRPr="0C105EF7">
        <w:rPr>
          <w:rFonts w:cs="Arial"/>
        </w:rPr>
        <w:t xml:space="preserve"> security products used by Australian governments to protect official information. These </w:t>
      </w:r>
      <w:r w:rsidR="00D31CAC">
        <w:rPr>
          <w:rFonts w:cs="Arial"/>
        </w:rPr>
        <w:t>evaluations</w:t>
      </w:r>
      <w:r w:rsidR="00D31CAC" w:rsidRPr="0C105EF7">
        <w:rPr>
          <w:rFonts w:cs="Arial"/>
        </w:rPr>
        <w:t xml:space="preserve"> </w:t>
      </w:r>
      <w:r w:rsidRPr="0C105EF7">
        <w:rPr>
          <w:rFonts w:cs="Arial"/>
        </w:rPr>
        <w:t xml:space="preserve">provide confidence that </w:t>
      </w:r>
      <w:r w:rsidRPr="0C105EF7">
        <w:rPr>
          <w:rStyle w:val="HTMLAcronym"/>
          <w:rFonts w:cs="Arial"/>
        </w:rPr>
        <w:t>ICT</w:t>
      </w:r>
      <w:r w:rsidRPr="0C105EF7">
        <w:rPr>
          <w:rFonts w:cs="Arial"/>
        </w:rPr>
        <w:t xml:space="preserve"> security products perform as claimed by the vendor.</w:t>
      </w:r>
    </w:p>
    <w:p w14:paraId="2125BEED" w14:textId="2C16C57A" w:rsidR="00613C02" w:rsidRPr="00F34813" w:rsidRDefault="00613C02" w:rsidP="00E35054">
      <w:pPr>
        <w:ind w:left="720"/>
        <w:rPr>
          <w:rFonts w:cs="Arial"/>
        </w:rPr>
      </w:pPr>
      <w:r w:rsidRPr="0C105EF7">
        <w:rPr>
          <w:rFonts w:cs="Arial"/>
        </w:rPr>
        <w:t xml:space="preserve">It is expected that few CQR organisations within Australia will have ISO 27001 or ASD </w:t>
      </w:r>
      <w:r w:rsidR="00541E15">
        <w:rPr>
          <w:rFonts w:cs="Arial"/>
        </w:rPr>
        <w:t>evaluation</w:t>
      </w:r>
      <w:r w:rsidRPr="0C105EF7">
        <w:rPr>
          <w:rFonts w:cs="Arial"/>
        </w:rPr>
        <w:t xml:space="preserve">, in which case the checklist should be used. The CQR System Hosting Checklist involves best practice controls for securing CQR information within the system hosting environment and </w:t>
      </w:r>
      <w:r w:rsidR="008E04F7">
        <w:rPr>
          <w:rFonts w:cs="Arial"/>
        </w:rPr>
        <w:t>is recommended to review annually</w:t>
      </w:r>
      <w:r w:rsidRPr="0C105EF7">
        <w:rPr>
          <w:rFonts w:cs="Arial"/>
        </w:rPr>
        <w:t>.</w:t>
      </w:r>
    </w:p>
    <w:p w14:paraId="401A5C98" w14:textId="77777777" w:rsidR="00613C02" w:rsidRPr="00F34813" w:rsidRDefault="00613C02" w:rsidP="00613C02">
      <w:pPr>
        <w:pStyle w:val="Heading3"/>
      </w:pPr>
      <w:bookmarkStart w:id="100" w:name="_Toc156467985"/>
      <w:bookmarkStart w:id="101" w:name="_Toc158802079"/>
      <w:bookmarkStart w:id="102" w:name="_Toc158286589"/>
      <w:bookmarkStart w:id="103" w:name="_Toc160197590"/>
      <w:r w:rsidRPr="00F34813">
        <w:t>Determining the appropriate checklists</w:t>
      </w:r>
      <w:bookmarkEnd w:id="100"/>
      <w:bookmarkEnd w:id="101"/>
      <w:bookmarkEnd w:id="102"/>
      <w:bookmarkEnd w:id="103"/>
    </w:p>
    <w:p w14:paraId="4E5F0C88" w14:textId="77777777" w:rsidR="00613C02" w:rsidRDefault="00613C02" w:rsidP="00613C02">
      <w:pPr>
        <w:rPr>
          <w:rFonts w:cs="Arial"/>
        </w:rPr>
      </w:pPr>
      <w:r w:rsidRPr="00F34813">
        <w:rPr>
          <w:rFonts w:cs="Arial"/>
        </w:rPr>
        <w:t>The flowchart (</w:t>
      </w:r>
      <w:r w:rsidRPr="00F34813">
        <w:rPr>
          <w:rFonts w:cs="Arial"/>
        </w:rPr>
        <w:fldChar w:fldCharType="begin"/>
      </w:r>
      <w:r w:rsidRPr="00F34813">
        <w:rPr>
          <w:rFonts w:cs="Arial"/>
        </w:rPr>
        <w:instrText xml:space="preserve"> REF _Ref351473903 \h </w:instrText>
      </w:r>
      <w:r>
        <w:rPr>
          <w:rFonts w:cs="Arial"/>
        </w:rPr>
        <w:instrText xml:space="preserve"> \* MERGEFORMAT </w:instrText>
      </w:r>
      <w:r w:rsidRPr="00F34813">
        <w:rPr>
          <w:rFonts w:cs="Arial"/>
        </w:rPr>
      </w:r>
      <w:r w:rsidRPr="00F34813">
        <w:rPr>
          <w:rFonts w:cs="Arial"/>
        </w:rPr>
        <w:fldChar w:fldCharType="separate"/>
      </w:r>
      <w:r w:rsidRPr="00F34813">
        <w:rPr>
          <w:rFonts w:cs="Arial"/>
        </w:rPr>
        <w:t xml:space="preserve">Figure </w:t>
      </w:r>
      <w:r>
        <w:rPr>
          <w:rFonts w:cs="Arial"/>
        </w:rPr>
        <w:t>2</w:t>
      </w:r>
      <w:r w:rsidRPr="00F34813">
        <w:rPr>
          <w:rFonts w:cs="Arial"/>
        </w:rPr>
        <w:fldChar w:fldCharType="end"/>
      </w:r>
      <w:r w:rsidRPr="00F34813">
        <w:rPr>
          <w:rFonts w:cs="Arial"/>
        </w:rPr>
        <w:t>) and matrix (</w:t>
      </w:r>
      <w:r w:rsidRPr="00F34813">
        <w:rPr>
          <w:rFonts w:cs="Arial"/>
        </w:rPr>
        <w:fldChar w:fldCharType="begin"/>
      </w:r>
      <w:r w:rsidRPr="00F34813">
        <w:rPr>
          <w:rFonts w:cs="Arial"/>
        </w:rPr>
        <w:instrText xml:space="preserve"> REF _Ref351459022 \h </w:instrText>
      </w:r>
      <w:r>
        <w:rPr>
          <w:rFonts w:cs="Arial"/>
        </w:rPr>
        <w:instrText xml:space="preserve"> \* MERGEFORMAT </w:instrText>
      </w:r>
      <w:r w:rsidRPr="00F34813">
        <w:rPr>
          <w:rFonts w:cs="Arial"/>
        </w:rPr>
      </w:r>
      <w:r w:rsidRPr="00F34813">
        <w:rPr>
          <w:rFonts w:cs="Arial"/>
        </w:rPr>
        <w:fldChar w:fldCharType="separate"/>
      </w:r>
      <w:r w:rsidRPr="00F34813">
        <w:rPr>
          <w:rFonts w:cs="Arial"/>
        </w:rPr>
        <w:t xml:space="preserve">Table </w:t>
      </w:r>
      <w:r>
        <w:rPr>
          <w:rFonts w:cs="Arial"/>
        </w:rPr>
        <w:t>2</w:t>
      </w:r>
      <w:r w:rsidRPr="00F34813">
        <w:rPr>
          <w:rFonts w:cs="Arial"/>
        </w:rPr>
        <w:fldChar w:fldCharType="end"/>
      </w:r>
      <w:r w:rsidRPr="00F34813">
        <w:rPr>
          <w:rFonts w:cs="Arial"/>
        </w:rPr>
        <w:t xml:space="preserve">) should be used to determine the appropriate checklists </w:t>
      </w:r>
      <w:r>
        <w:rPr>
          <w:rFonts w:cs="Arial"/>
        </w:rPr>
        <w:t>for</w:t>
      </w:r>
      <w:r w:rsidRPr="00F34813">
        <w:rPr>
          <w:rFonts w:cs="Arial"/>
        </w:rPr>
        <w:t xml:space="preserve"> assess</w:t>
      </w:r>
      <w:r>
        <w:rPr>
          <w:rFonts w:cs="Arial"/>
        </w:rPr>
        <w:t>ing</w:t>
      </w:r>
      <w:r w:rsidRPr="00F34813">
        <w:rPr>
          <w:rFonts w:cs="Arial"/>
        </w:rPr>
        <w:t xml:space="preserve"> an organisation’s security control measures</w:t>
      </w:r>
      <w:r>
        <w:rPr>
          <w:rFonts w:cs="Arial"/>
        </w:rPr>
        <w:t>.</w:t>
      </w:r>
    </w:p>
    <w:p w14:paraId="0292D19E" w14:textId="77777777" w:rsidR="00C15BEF" w:rsidRDefault="00C15BEF" w:rsidP="00613C02">
      <w:pPr>
        <w:rPr>
          <w:rFonts w:cs="Arial"/>
        </w:rPr>
      </w:pPr>
    </w:p>
    <w:p w14:paraId="5BB768F1" w14:textId="5E829134" w:rsidR="00C15BEF" w:rsidRPr="00C15BEF" w:rsidRDefault="00C15BEF" w:rsidP="00613C02">
      <w:pPr>
        <w:rPr>
          <w:rFonts w:cs="Arial"/>
          <w:i/>
          <w:iCs/>
        </w:rPr>
      </w:pPr>
      <w:r>
        <w:rPr>
          <w:rFonts w:cs="Arial"/>
          <w:i/>
          <w:iCs/>
        </w:rPr>
        <w:t>Please see following pages for Figure 2 and Table 2.</w:t>
      </w:r>
    </w:p>
    <w:p w14:paraId="001FD64A" w14:textId="3BB403C4" w:rsidR="008E2CAE" w:rsidRDefault="008E2CAE" w:rsidP="008E2CAE">
      <w:pPr>
        <w:rPr>
          <w:rFonts w:cs="Arial"/>
        </w:rPr>
      </w:pPr>
    </w:p>
    <w:p w14:paraId="7A42CED9" w14:textId="77777777" w:rsidR="00C82236" w:rsidRDefault="00C82236">
      <w:pPr>
        <w:spacing w:before="0" w:after="80"/>
        <w:rPr>
          <w:b/>
        </w:rPr>
      </w:pPr>
      <w:r>
        <w:br w:type="page"/>
      </w:r>
    </w:p>
    <w:p w14:paraId="308DCF5E" w14:textId="7E2F5E55" w:rsidR="008E2CAE" w:rsidRDefault="008E2CAE" w:rsidP="008E2CAE">
      <w:pPr>
        <w:pStyle w:val="FigureTableTitle"/>
      </w:pPr>
      <w:r w:rsidRPr="001D3BA3">
        <w:lastRenderedPageBreak/>
        <w:t>Figure 2: Flowchart for determining the appropriate assessment checklists</w:t>
      </w:r>
    </w:p>
    <w:p w14:paraId="703350EE" w14:textId="77777777" w:rsidR="00C15BEF" w:rsidRDefault="00C15BEF" w:rsidP="008E2CAE">
      <w:pPr>
        <w:pStyle w:val="FigureTableTitle"/>
      </w:pPr>
    </w:p>
    <w:p w14:paraId="215D001E" w14:textId="2FAD8358" w:rsidR="00626ACF" w:rsidRDefault="00C15BEF" w:rsidP="00C15BEF">
      <w:pPr>
        <w:pStyle w:val="FigureTableTitle"/>
      </w:pPr>
      <w:r>
        <w:rPr>
          <w:noProof/>
        </w:rPr>
        <w:drawing>
          <wp:inline distT="0" distB="0" distL="0" distR="0" wp14:anchorId="2E948696" wp14:editId="3B6A17D5">
            <wp:extent cx="4050866" cy="7725300"/>
            <wp:effectExtent l="0" t="0" r="635" b="0"/>
            <wp:docPr id="1867797231" name="Picture 10" descr="Figure 2: Flowchart for determining the appropriate assessment check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97231" name="Picture 10" descr="Figure 2: Flowchart for determining the appropriate assessment checklists"/>
                    <pic:cNvPicPr/>
                  </pic:nvPicPr>
                  <pic:blipFill>
                    <a:blip r:embed="rId38"/>
                    <a:srcRect t="475" b="475"/>
                    <a:stretch>
                      <a:fillRect/>
                    </a:stretch>
                  </pic:blipFill>
                  <pic:spPr bwMode="auto">
                    <a:xfrm>
                      <a:off x="0" y="0"/>
                      <a:ext cx="4050866" cy="7725300"/>
                    </a:xfrm>
                    <a:prstGeom prst="rect">
                      <a:avLst/>
                    </a:prstGeom>
                    <a:ln>
                      <a:noFill/>
                    </a:ln>
                    <a:extLst>
                      <a:ext uri="{53640926-AAD7-44D8-BBD7-CCE9431645EC}">
                        <a14:shadowObscured xmlns:a14="http://schemas.microsoft.com/office/drawing/2010/main"/>
                      </a:ext>
                    </a:extLst>
                  </pic:spPr>
                </pic:pic>
              </a:graphicData>
            </a:graphic>
          </wp:inline>
        </w:drawing>
      </w:r>
    </w:p>
    <w:p w14:paraId="4B591DF8" w14:textId="77777777" w:rsidR="008E2CAE" w:rsidRDefault="008E2CAE" w:rsidP="008E2CAE">
      <w:pPr>
        <w:spacing w:after="0"/>
        <w:rPr>
          <w:rFonts w:cs="Arial"/>
          <w:b/>
          <w:sz w:val="20"/>
          <w:szCs w:val="20"/>
        </w:rPr>
      </w:pPr>
    </w:p>
    <w:p w14:paraId="34DF7E3F" w14:textId="77777777" w:rsidR="008E2CAE" w:rsidRPr="005D64BB" w:rsidRDefault="008E2CAE" w:rsidP="000D47CA">
      <w:r w:rsidRPr="005D64BB">
        <w:rPr>
          <w:b/>
        </w:rPr>
        <w:t>CQR</w:t>
      </w:r>
      <w:r w:rsidRPr="005D64BB">
        <w:t>: Clinical Quality Registry</w:t>
      </w:r>
    </w:p>
    <w:p w14:paraId="7CFB17D7" w14:textId="2674276F" w:rsidR="008E2CAE" w:rsidRPr="00412CDD" w:rsidRDefault="008E2CAE" w:rsidP="000D47CA">
      <w:pPr>
        <w:sectPr w:rsidR="008E2CAE" w:rsidRPr="00412CDD" w:rsidSect="00787A52">
          <w:headerReference w:type="even" r:id="rId39"/>
          <w:headerReference w:type="default" r:id="rId40"/>
          <w:footerReference w:type="default" r:id="rId41"/>
          <w:headerReference w:type="first" r:id="rId42"/>
          <w:pgSz w:w="11906" w:h="16838" w:code="9"/>
          <w:pgMar w:top="1421" w:right="992" w:bottom="1371" w:left="1275" w:header="709" w:footer="89" w:gutter="0"/>
          <w:cols w:space="708"/>
          <w:docGrid w:linePitch="360"/>
        </w:sectPr>
      </w:pPr>
      <w:r w:rsidRPr="005D64BB">
        <w:rPr>
          <w:b/>
        </w:rPr>
        <w:t>ISO 27001</w:t>
      </w:r>
      <w:r w:rsidRPr="005D64BB">
        <w:t>: Information Security Management System standa</w:t>
      </w:r>
      <w:r w:rsidR="000D47CA">
        <w:t>rd</w:t>
      </w:r>
    </w:p>
    <w:p w14:paraId="7F8DF276" w14:textId="77777777" w:rsidR="00613C02" w:rsidRPr="00F34813" w:rsidRDefault="00613C02" w:rsidP="00613C02">
      <w:pPr>
        <w:pStyle w:val="FigureTableTitle"/>
        <w:ind w:right="-852"/>
      </w:pPr>
      <w:bookmarkStart w:id="104" w:name="_Ref351459022"/>
      <w:bookmarkStart w:id="105" w:name="_Toc320087961"/>
      <w:bookmarkStart w:id="106" w:name="_Ref351459044"/>
      <w:bookmarkStart w:id="107" w:name="_Toc158814972"/>
      <w:r w:rsidRPr="00F34813">
        <w:lastRenderedPageBreak/>
        <w:t xml:space="preserve">Table </w:t>
      </w:r>
      <w:bookmarkEnd w:id="104"/>
      <w:r>
        <w:t>2</w:t>
      </w:r>
      <w:r w:rsidRPr="00F34813">
        <w:t>: Matrix for determining the appropriate assessment checklists</w:t>
      </w:r>
      <w:bookmarkEnd w:id="105"/>
      <w:bookmarkEnd w:id="106"/>
      <w:bookmarkEnd w:id="107"/>
    </w:p>
    <w:p w14:paraId="74564487" w14:textId="3795BB1E" w:rsidR="00DB5D01" w:rsidRPr="00F34813" w:rsidRDefault="00613C02" w:rsidP="00613C02">
      <w:pPr>
        <w:rPr>
          <w:rFonts w:cs="Arial"/>
        </w:rPr>
      </w:pPr>
      <w:r w:rsidRPr="00F34813">
        <w:rPr>
          <w:rFonts w:cs="Arial"/>
        </w:rPr>
        <w:t>The matrix complements</w:t>
      </w:r>
      <w:r>
        <w:rPr>
          <w:rFonts w:cs="Arial"/>
        </w:rPr>
        <w:t xml:space="preserve"> the </w:t>
      </w:r>
      <w:r w:rsidRPr="00F34813">
        <w:rPr>
          <w:rFonts w:cs="Arial"/>
        </w:rPr>
        <w:fldChar w:fldCharType="begin"/>
      </w:r>
      <w:r w:rsidRPr="00F34813">
        <w:rPr>
          <w:rFonts w:cs="Arial"/>
        </w:rPr>
        <w:instrText xml:space="preserve"> REF _Ref351541973 \h </w:instrText>
      </w:r>
      <w:r>
        <w:rPr>
          <w:rFonts w:cs="Arial"/>
        </w:rPr>
        <w:instrText xml:space="preserve"> \* MERGEFORMAT </w:instrText>
      </w:r>
      <w:r w:rsidRPr="00F34813">
        <w:rPr>
          <w:rFonts w:cs="Arial"/>
        </w:rPr>
      </w:r>
      <w:r w:rsidRPr="00F34813">
        <w:rPr>
          <w:rFonts w:cs="Arial"/>
        </w:rPr>
        <w:fldChar w:fldCharType="separate"/>
      </w:r>
      <w:r w:rsidRPr="00F34813">
        <w:rPr>
          <w:rFonts w:cs="Arial"/>
        </w:rPr>
        <w:t xml:space="preserve">Figure </w:t>
      </w:r>
      <w:r>
        <w:rPr>
          <w:rFonts w:cs="Arial"/>
        </w:rPr>
        <w:t>2 flowchart</w:t>
      </w:r>
      <w:r w:rsidRPr="00F34813">
        <w:rPr>
          <w:rFonts w:cs="Arial"/>
        </w:rPr>
        <w:t xml:space="preserve"> for determining the appropriate assessment checklists</w:t>
      </w:r>
      <w:r w:rsidRPr="00F34813">
        <w:rPr>
          <w:rFonts w:cs="Arial"/>
        </w:rPr>
        <w:fldChar w:fldCharType="end"/>
      </w:r>
      <w:r w:rsidRPr="00F34813">
        <w:rPr>
          <w:rFonts w:cs="Arial"/>
        </w:rPr>
        <w:t>.</w:t>
      </w:r>
    </w:p>
    <w:tbl>
      <w:tblPr>
        <w:tblStyle w:val="SurveyQuestions"/>
        <w:tblW w:w="8960" w:type="dxa"/>
        <w:tblLayout w:type="fixed"/>
        <w:tblLook w:val="00A0" w:firstRow="1" w:lastRow="0" w:firstColumn="1" w:lastColumn="0" w:noHBand="0" w:noVBand="0"/>
      </w:tblPr>
      <w:tblGrid>
        <w:gridCol w:w="3727"/>
        <w:gridCol w:w="1857"/>
        <w:gridCol w:w="1727"/>
        <w:gridCol w:w="1627"/>
        <w:gridCol w:w="22"/>
      </w:tblGrid>
      <w:tr w:rsidR="00613C02" w:rsidRPr="00F34813" w14:paraId="320F7873" w14:textId="77777777" w:rsidTr="0C105EF7">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727" w:type="dxa"/>
            <w:vMerge w:val="restart"/>
            <w:vAlign w:val="bottom"/>
          </w:tcPr>
          <w:p w14:paraId="00103E89" w14:textId="6CABBCEA" w:rsidR="00613C02" w:rsidRPr="00F34813" w:rsidRDefault="00613C02" w:rsidP="00613C02">
            <w:pPr>
              <w:rPr>
                <w:b w:val="0"/>
                <w:color w:val="000000"/>
              </w:rPr>
            </w:pPr>
            <w:r w:rsidRPr="00613C02">
              <w:t xml:space="preserve">The organisation being </w:t>
            </w:r>
            <w:r w:rsidR="00DB5D01">
              <w:br/>
            </w:r>
            <w:r w:rsidRPr="00613C02">
              <w:t>assessed is a…</w:t>
            </w:r>
          </w:p>
        </w:tc>
        <w:tc>
          <w:tcPr>
            <w:tcW w:w="5233" w:type="dxa"/>
            <w:gridSpan w:val="4"/>
            <w:noWrap/>
            <w:vAlign w:val="center"/>
          </w:tcPr>
          <w:p w14:paraId="0A3BC55F" w14:textId="77777777" w:rsidR="00613C02" w:rsidRPr="00F34813" w:rsidRDefault="00613C02" w:rsidP="00613C02">
            <w:pPr>
              <w:jc w:val="center"/>
              <w:cnfStyle w:val="100000000000" w:firstRow="1" w:lastRow="0" w:firstColumn="0" w:lastColumn="0" w:oddVBand="0" w:evenVBand="0" w:oddHBand="0" w:evenHBand="0" w:firstRowFirstColumn="0" w:firstRowLastColumn="0" w:lastRowFirstColumn="0" w:lastRowLastColumn="0"/>
              <w:rPr>
                <w:b w:val="0"/>
                <w:color w:val="000000"/>
              </w:rPr>
            </w:pPr>
            <w:r w:rsidRPr="00613C02">
              <w:t>The certification checklist(s) that the organisation needs to complete is (are)…</w:t>
            </w:r>
          </w:p>
        </w:tc>
      </w:tr>
      <w:tr w:rsidR="00613C02" w:rsidRPr="00F34813" w14:paraId="5CB0C6F1" w14:textId="77777777" w:rsidTr="0C105EF7">
        <w:trPr>
          <w:trHeight w:val="954"/>
        </w:trPr>
        <w:tc>
          <w:tcPr>
            <w:cnfStyle w:val="001000000000" w:firstRow="0" w:lastRow="0" w:firstColumn="1" w:lastColumn="0" w:oddVBand="0" w:evenVBand="0" w:oddHBand="0" w:evenHBand="0" w:firstRowFirstColumn="0" w:firstRowLastColumn="0" w:lastRowFirstColumn="0" w:lastRowLastColumn="0"/>
            <w:tcW w:w="3727" w:type="dxa"/>
            <w:vMerge/>
          </w:tcPr>
          <w:p w14:paraId="168C97FC" w14:textId="77777777" w:rsidR="00613C02" w:rsidRPr="00F34813" w:rsidRDefault="00613C02" w:rsidP="00613C02">
            <w:pPr>
              <w:rPr>
                <w:b w:val="0"/>
                <w:color w:val="000000"/>
              </w:rPr>
            </w:pPr>
          </w:p>
        </w:tc>
        <w:tc>
          <w:tcPr>
            <w:tcW w:w="1857" w:type="dxa"/>
            <w:vAlign w:val="center"/>
          </w:tcPr>
          <w:p w14:paraId="2AAF556F" w14:textId="77777777" w:rsidR="00613C02" w:rsidRPr="00613C02" w:rsidRDefault="00613C02" w:rsidP="00613C0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13C02">
              <w:rPr>
                <w:rFonts w:ascii="Arial" w:hAnsi="Arial" w:cs="Arial"/>
                <w:color w:val="000000" w:themeColor="text1"/>
                <w:sz w:val="20"/>
              </w:rPr>
              <w:t>CQR Business Operations Checklist</w:t>
            </w:r>
          </w:p>
        </w:tc>
        <w:tc>
          <w:tcPr>
            <w:tcW w:w="1727" w:type="dxa"/>
            <w:vAlign w:val="center"/>
          </w:tcPr>
          <w:p w14:paraId="236D4BF8" w14:textId="77777777" w:rsidR="00613C02" w:rsidRPr="00613C02" w:rsidRDefault="00613C02" w:rsidP="00613C0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13C02">
              <w:rPr>
                <w:rFonts w:ascii="Arial" w:hAnsi="Arial" w:cs="Arial"/>
                <w:color w:val="000000" w:themeColor="text1"/>
                <w:sz w:val="20"/>
              </w:rPr>
              <w:t>CQR System Hosting Checklist</w:t>
            </w:r>
          </w:p>
        </w:tc>
        <w:tc>
          <w:tcPr>
            <w:tcW w:w="1649" w:type="dxa"/>
            <w:gridSpan w:val="2"/>
            <w:vAlign w:val="center"/>
          </w:tcPr>
          <w:p w14:paraId="3308339C" w14:textId="77777777" w:rsidR="00613C02" w:rsidRPr="00613C02" w:rsidRDefault="00613C02" w:rsidP="00613C0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613C02">
              <w:rPr>
                <w:rFonts w:ascii="Arial" w:hAnsi="Arial" w:cs="Arial"/>
                <w:color w:val="000000" w:themeColor="text1"/>
                <w:sz w:val="20"/>
              </w:rPr>
              <w:t>Other</w:t>
            </w:r>
          </w:p>
        </w:tc>
      </w:tr>
      <w:tr w:rsidR="00613C02" w:rsidRPr="00F34813" w14:paraId="07C16A1B" w14:textId="77777777" w:rsidTr="0C105EF7">
        <w:trPr>
          <w:gridAfter w:val="1"/>
          <w:wAfter w:w="22" w:type="dxa"/>
          <w:trHeight w:val="1194"/>
        </w:trPr>
        <w:tc>
          <w:tcPr>
            <w:cnfStyle w:val="001000000000" w:firstRow="0" w:lastRow="0" w:firstColumn="1" w:lastColumn="0" w:oddVBand="0" w:evenVBand="0" w:oddHBand="0" w:evenHBand="0" w:firstRowFirstColumn="0" w:firstRowLastColumn="0" w:lastRowFirstColumn="0" w:lastRowLastColumn="0"/>
            <w:tcW w:w="3727" w:type="dxa"/>
          </w:tcPr>
          <w:p w14:paraId="04CCF6E4" w14:textId="77777777" w:rsidR="00613C02" w:rsidRPr="00613C02" w:rsidRDefault="00613C02" w:rsidP="00613C02">
            <w:pPr>
              <w:rPr>
                <w:rFonts w:ascii="Arial" w:hAnsi="Arial" w:cs="Arial"/>
                <w:b w:val="0"/>
                <w:bCs/>
                <w:color w:val="000000"/>
                <w:sz w:val="20"/>
              </w:rPr>
            </w:pPr>
            <w:r w:rsidRPr="00613C02">
              <w:rPr>
                <w:rFonts w:ascii="Arial" w:hAnsi="Arial" w:cs="Arial"/>
                <w:b w:val="0"/>
                <w:bCs/>
                <w:color w:val="000000"/>
                <w:sz w:val="20"/>
              </w:rPr>
              <w:t xml:space="preserve">Existing CQR with an internal data hosting platform (all data and applications are hosted and maintained by CQR staff). </w:t>
            </w:r>
          </w:p>
        </w:tc>
        <w:tc>
          <w:tcPr>
            <w:tcW w:w="1857" w:type="dxa"/>
            <w:noWrap/>
            <w:vAlign w:val="center"/>
          </w:tcPr>
          <w:p w14:paraId="462830D7" w14:textId="0E64E9AB" w:rsidR="00613C02" w:rsidRPr="00F34813" w:rsidRDefault="00613C02" w:rsidP="00613C02">
            <w:pPr>
              <w:jc w:val="center"/>
              <w:cnfStyle w:val="000000000000" w:firstRow="0" w:lastRow="0" w:firstColumn="0" w:lastColumn="0" w:oddVBand="0" w:evenVBand="0" w:oddHBand="0" w:evenHBand="0" w:firstRowFirstColumn="0" w:firstRowLastColumn="0" w:lastRowFirstColumn="0" w:lastRowLastColumn="0"/>
              <w:rPr>
                <w:color w:val="000000"/>
                <w:sz w:val="40"/>
                <w:szCs w:val="40"/>
              </w:rPr>
            </w:pPr>
            <w:r>
              <w:rPr>
                <w:rFonts w:ascii="Wingdings" w:eastAsia="Wingdings" w:hAnsi="Wingdings"/>
                <w:color w:val="000000" w:themeColor="text1"/>
                <w:sz w:val="40"/>
                <w:szCs w:val="40"/>
              </w:rPr>
              <w:t>ü</w:t>
            </w:r>
          </w:p>
        </w:tc>
        <w:tc>
          <w:tcPr>
            <w:tcW w:w="1727" w:type="dxa"/>
            <w:noWrap/>
            <w:vAlign w:val="center"/>
          </w:tcPr>
          <w:p w14:paraId="0EE681CC" w14:textId="5064F467" w:rsidR="00613C02" w:rsidRPr="00F34813" w:rsidRDefault="00613C02" w:rsidP="00613C02">
            <w:pPr>
              <w:jc w:val="center"/>
              <w:cnfStyle w:val="000000000000" w:firstRow="0" w:lastRow="0" w:firstColumn="0" w:lastColumn="0" w:oddVBand="0" w:evenVBand="0" w:oddHBand="0" w:evenHBand="0" w:firstRowFirstColumn="0" w:firstRowLastColumn="0" w:lastRowFirstColumn="0" w:lastRowLastColumn="0"/>
              <w:rPr>
                <w:color w:val="000000"/>
                <w:sz w:val="40"/>
                <w:szCs w:val="40"/>
              </w:rPr>
            </w:pPr>
            <w:r>
              <w:rPr>
                <w:rFonts w:ascii="Wingdings" w:eastAsia="Wingdings" w:hAnsi="Wingdings"/>
                <w:color w:val="000000" w:themeColor="text1"/>
                <w:sz w:val="40"/>
                <w:szCs w:val="40"/>
              </w:rPr>
              <w:t>ü</w:t>
            </w:r>
          </w:p>
        </w:tc>
        <w:tc>
          <w:tcPr>
            <w:tcW w:w="1627" w:type="dxa"/>
            <w:noWrap/>
            <w:vAlign w:val="center"/>
          </w:tcPr>
          <w:p w14:paraId="3C0E32D8" w14:textId="77777777" w:rsidR="00613C02" w:rsidRPr="00F34813" w:rsidRDefault="00613C02" w:rsidP="00613C02">
            <w:pPr>
              <w:jc w:val="center"/>
              <w:cnfStyle w:val="000000000000" w:firstRow="0" w:lastRow="0" w:firstColumn="0" w:lastColumn="0" w:oddVBand="0" w:evenVBand="0" w:oddHBand="0" w:evenHBand="0" w:firstRowFirstColumn="0" w:firstRowLastColumn="0" w:lastRowFirstColumn="0" w:lastRowLastColumn="0"/>
              <w:rPr>
                <w:color w:val="000000"/>
              </w:rPr>
            </w:pPr>
          </w:p>
        </w:tc>
      </w:tr>
      <w:tr w:rsidR="00613C02" w:rsidRPr="00F34813" w14:paraId="150EE207" w14:textId="77777777" w:rsidTr="0C105EF7">
        <w:trPr>
          <w:gridAfter w:val="1"/>
          <w:wAfter w:w="22" w:type="dxa"/>
          <w:trHeight w:val="1074"/>
        </w:trPr>
        <w:tc>
          <w:tcPr>
            <w:cnfStyle w:val="001000000000" w:firstRow="0" w:lastRow="0" w:firstColumn="1" w:lastColumn="0" w:oddVBand="0" w:evenVBand="0" w:oddHBand="0" w:evenHBand="0" w:firstRowFirstColumn="0" w:firstRowLastColumn="0" w:lastRowFirstColumn="0" w:lastRowLastColumn="0"/>
            <w:tcW w:w="3727" w:type="dxa"/>
          </w:tcPr>
          <w:p w14:paraId="221034EC" w14:textId="77777777" w:rsidR="00613C02" w:rsidRPr="00613C02" w:rsidRDefault="00613C02" w:rsidP="00613C02">
            <w:pPr>
              <w:rPr>
                <w:rFonts w:ascii="Arial" w:hAnsi="Arial" w:cs="Arial"/>
                <w:b w:val="0"/>
                <w:bCs/>
                <w:color w:val="000000"/>
                <w:sz w:val="20"/>
              </w:rPr>
            </w:pPr>
            <w:r w:rsidRPr="00613C02">
              <w:rPr>
                <w:rFonts w:ascii="Arial" w:hAnsi="Arial" w:cs="Arial"/>
                <w:b w:val="0"/>
                <w:bCs/>
                <w:color w:val="000000"/>
                <w:sz w:val="20"/>
              </w:rPr>
              <w:t>New CQR infrastructure with internal data hosting platform that hosts information for multiple CQRs.</w:t>
            </w:r>
          </w:p>
        </w:tc>
        <w:tc>
          <w:tcPr>
            <w:tcW w:w="1857" w:type="dxa"/>
            <w:noWrap/>
            <w:vAlign w:val="center"/>
          </w:tcPr>
          <w:p w14:paraId="62CB1487" w14:textId="4C00F580" w:rsidR="00613C02" w:rsidRPr="00F34813" w:rsidRDefault="00613C02" w:rsidP="00613C02">
            <w:pPr>
              <w:jc w:val="center"/>
              <w:cnfStyle w:val="000000000000" w:firstRow="0" w:lastRow="0" w:firstColumn="0" w:lastColumn="0" w:oddVBand="0" w:evenVBand="0" w:oddHBand="0" w:evenHBand="0" w:firstRowFirstColumn="0" w:firstRowLastColumn="0" w:lastRowFirstColumn="0" w:lastRowLastColumn="0"/>
              <w:rPr>
                <w:color w:val="000000"/>
                <w:sz w:val="40"/>
                <w:szCs w:val="40"/>
              </w:rPr>
            </w:pPr>
            <w:r>
              <w:rPr>
                <w:rFonts w:ascii="Wingdings" w:eastAsia="Wingdings" w:hAnsi="Wingdings"/>
                <w:color w:val="000000" w:themeColor="text1"/>
                <w:sz w:val="40"/>
                <w:szCs w:val="40"/>
              </w:rPr>
              <w:t>ü</w:t>
            </w:r>
          </w:p>
          <w:p w14:paraId="23DF743C" w14:textId="77777777" w:rsidR="00613C02" w:rsidRPr="00F34813" w:rsidRDefault="00613C02" w:rsidP="00613C02">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13C02">
              <w:rPr>
                <w:color w:val="000000" w:themeColor="text1"/>
                <w:sz w:val="18"/>
                <w:szCs w:val="18"/>
              </w:rPr>
              <w:t>(per CQR)</w:t>
            </w:r>
          </w:p>
        </w:tc>
        <w:tc>
          <w:tcPr>
            <w:tcW w:w="1727" w:type="dxa"/>
            <w:noWrap/>
            <w:vAlign w:val="center"/>
          </w:tcPr>
          <w:p w14:paraId="4E7AD892" w14:textId="77777777" w:rsidR="00613C02" w:rsidRPr="00F34813" w:rsidRDefault="00613C02" w:rsidP="00613C02">
            <w:pPr>
              <w:jc w:val="center"/>
              <w:cnfStyle w:val="000000000000" w:firstRow="0" w:lastRow="0" w:firstColumn="0" w:lastColumn="0" w:oddVBand="0" w:evenVBand="0" w:oddHBand="0" w:evenHBand="0" w:firstRowFirstColumn="0" w:firstRowLastColumn="0" w:lastRowFirstColumn="0" w:lastRowLastColumn="0"/>
              <w:rPr>
                <w:color w:val="000000"/>
              </w:rPr>
            </w:pPr>
            <w:r>
              <w:rPr>
                <w:rFonts w:ascii="Wingdings" w:eastAsia="Wingdings" w:hAnsi="Wingdings"/>
                <w:color w:val="000000" w:themeColor="text1"/>
                <w:sz w:val="40"/>
                <w:szCs w:val="40"/>
              </w:rPr>
              <w:t>ü</w:t>
            </w:r>
          </w:p>
        </w:tc>
        <w:tc>
          <w:tcPr>
            <w:tcW w:w="1627" w:type="dxa"/>
            <w:noWrap/>
            <w:vAlign w:val="center"/>
          </w:tcPr>
          <w:p w14:paraId="59D32A69" w14:textId="77777777" w:rsidR="00613C02" w:rsidRPr="00F34813" w:rsidRDefault="00613C02" w:rsidP="00613C02">
            <w:pPr>
              <w:jc w:val="center"/>
              <w:cnfStyle w:val="000000000000" w:firstRow="0" w:lastRow="0" w:firstColumn="0" w:lastColumn="0" w:oddVBand="0" w:evenVBand="0" w:oddHBand="0" w:evenHBand="0" w:firstRowFirstColumn="0" w:firstRowLastColumn="0" w:lastRowFirstColumn="0" w:lastRowLastColumn="0"/>
              <w:rPr>
                <w:color w:val="000000"/>
              </w:rPr>
            </w:pPr>
          </w:p>
        </w:tc>
      </w:tr>
      <w:tr w:rsidR="00613C02" w:rsidRPr="00F34813" w14:paraId="53A40424" w14:textId="77777777" w:rsidTr="0C105EF7">
        <w:trPr>
          <w:gridAfter w:val="1"/>
          <w:wAfter w:w="22" w:type="dxa"/>
          <w:trHeight w:val="1074"/>
        </w:trPr>
        <w:tc>
          <w:tcPr>
            <w:cnfStyle w:val="001000000000" w:firstRow="0" w:lastRow="0" w:firstColumn="1" w:lastColumn="0" w:oddVBand="0" w:evenVBand="0" w:oddHBand="0" w:evenHBand="0" w:firstRowFirstColumn="0" w:firstRowLastColumn="0" w:lastRowFirstColumn="0" w:lastRowLastColumn="0"/>
            <w:tcW w:w="3727" w:type="dxa"/>
          </w:tcPr>
          <w:p w14:paraId="7701DEE3" w14:textId="77777777" w:rsidR="00613C02" w:rsidRPr="00613C02" w:rsidRDefault="00613C02" w:rsidP="00613C02">
            <w:pPr>
              <w:rPr>
                <w:rFonts w:ascii="Arial" w:hAnsi="Arial" w:cs="Arial"/>
                <w:b w:val="0"/>
                <w:bCs/>
                <w:color w:val="000000"/>
                <w:sz w:val="20"/>
              </w:rPr>
            </w:pPr>
            <w:r w:rsidRPr="00613C02">
              <w:rPr>
                <w:rFonts w:ascii="Arial" w:hAnsi="Arial" w:cs="Arial"/>
                <w:b w:val="0"/>
                <w:bCs/>
                <w:color w:val="000000"/>
                <w:sz w:val="20"/>
              </w:rPr>
              <w:t>New CQR infrastructure that hosts information for multiple CQRs using an external data hosting provider (e.g. Cloud provider) that DOES have ISO 27001 certification.</w:t>
            </w:r>
          </w:p>
        </w:tc>
        <w:tc>
          <w:tcPr>
            <w:tcW w:w="1857" w:type="dxa"/>
            <w:noWrap/>
            <w:vAlign w:val="center"/>
          </w:tcPr>
          <w:p w14:paraId="1DD09B16" w14:textId="5BD7006C" w:rsidR="00613C02" w:rsidRPr="00F34813" w:rsidRDefault="00613C02" w:rsidP="00613C02">
            <w:pPr>
              <w:jc w:val="center"/>
              <w:cnfStyle w:val="000000000000" w:firstRow="0" w:lastRow="0" w:firstColumn="0" w:lastColumn="0" w:oddVBand="0" w:evenVBand="0" w:oddHBand="0" w:evenHBand="0" w:firstRowFirstColumn="0" w:firstRowLastColumn="0" w:lastRowFirstColumn="0" w:lastRowLastColumn="0"/>
              <w:rPr>
                <w:color w:val="000000"/>
                <w:sz w:val="40"/>
                <w:szCs w:val="40"/>
              </w:rPr>
            </w:pPr>
            <w:r>
              <w:rPr>
                <w:rFonts w:ascii="Wingdings" w:eastAsia="Wingdings" w:hAnsi="Wingdings"/>
                <w:color w:val="000000" w:themeColor="text1"/>
                <w:sz w:val="40"/>
                <w:szCs w:val="40"/>
              </w:rPr>
              <w:t>ü</w:t>
            </w:r>
          </w:p>
          <w:p w14:paraId="66DA4EC4" w14:textId="77777777" w:rsidR="00613C02" w:rsidRDefault="00613C02" w:rsidP="00613C02">
            <w:pPr>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olor w:val="000000" w:themeColor="text1"/>
                <w:sz w:val="40"/>
                <w:szCs w:val="40"/>
              </w:rPr>
            </w:pPr>
            <w:r w:rsidRPr="00613C02">
              <w:rPr>
                <w:color w:val="000000" w:themeColor="text1"/>
                <w:sz w:val="18"/>
                <w:szCs w:val="18"/>
              </w:rPr>
              <w:t>(per CQR)</w:t>
            </w:r>
          </w:p>
        </w:tc>
        <w:tc>
          <w:tcPr>
            <w:tcW w:w="1727" w:type="dxa"/>
            <w:noWrap/>
            <w:vAlign w:val="center"/>
          </w:tcPr>
          <w:p w14:paraId="600CA2BF" w14:textId="77777777" w:rsidR="00613C02" w:rsidRDefault="00613C02" w:rsidP="00613C02">
            <w:pPr>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olor w:val="000000" w:themeColor="text1"/>
                <w:sz w:val="40"/>
                <w:szCs w:val="40"/>
              </w:rPr>
            </w:pPr>
          </w:p>
        </w:tc>
        <w:tc>
          <w:tcPr>
            <w:tcW w:w="1627" w:type="dxa"/>
            <w:noWrap/>
            <w:vAlign w:val="center"/>
          </w:tcPr>
          <w:p w14:paraId="5FCC68A7" w14:textId="62380FAA" w:rsidR="00613C02" w:rsidRPr="00F34813" w:rsidRDefault="00613C02" w:rsidP="00613C02">
            <w:pPr>
              <w:jc w:val="center"/>
              <w:cnfStyle w:val="000000000000" w:firstRow="0" w:lastRow="0" w:firstColumn="0" w:lastColumn="0" w:oddVBand="0" w:evenVBand="0" w:oddHBand="0" w:evenHBand="0" w:firstRowFirstColumn="0" w:firstRowLastColumn="0" w:lastRowFirstColumn="0" w:lastRowLastColumn="0"/>
              <w:rPr>
                <w:color w:val="000000"/>
                <w:sz w:val="40"/>
                <w:szCs w:val="40"/>
              </w:rPr>
            </w:pPr>
            <w:r>
              <w:rPr>
                <w:rFonts w:ascii="Wingdings" w:eastAsia="Wingdings" w:hAnsi="Wingdings"/>
                <w:color w:val="000000" w:themeColor="text1"/>
                <w:sz w:val="40"/>
                <w:szCs w:val="40"/>
              </w:rPr>
              <w:t>ü</w:t>
            </w:r>
          </w:p>
          <w:p w14:paraId="3FD7C4C1" w14:textId="77777777" w:rsidR="00613C02" w:rsidRPr="00F34813" w:rsidRDefault="00613C02" w:rsidP="00613C02">
            <w:pPr>
              <w:jc w:val="center"/>
              <w:cnfStyle w:val="000000000000" w:firstRow="0" w:lastRow="0" w:firstColumn="0" w:lastColumn="0" w:oddVBand="0" w:evenVBand="0" w:oddHBand="0" w:evenHBand="0" w:firstRowFirstColumn="0" w:firstRowLastColumn="0" w:lastRowFirstColumn="0" w:lastRowLastColumn="0"/>
              <w:rPr>
                <w:color w:val="000000"/>
              </w:rPr>
            </w:pPr>
            <w:r w:rsidRPr="00613C02">
              <w:rPr>
                <w:color w:val="000000" w:themeColor="text1"/>
                <w:sz w:val="18"/>
                <w:szCs w:val="18"/>
              </w:rPr>
              <w:t>Proof of certification to be sighted by CQR</w:t>
            </w:r>
          </w:p>
        </w:tc>
      </w:tr>
      <w:tr w:rsidR="00613C02" w:rsidRPr="00F34813" w14:paraId="3ED9E377" w14:textId="77777777" w:rsidTr="0C105EF7">
        <w:trPr>
          <w:gridAfter w:val="1"/>
          <w:wAfter w:w="22" w:type="dxa"/>
          <w:trHeight w:val="1074"/>
        </w:trPr>
        <w:tc>
          <w:tcPr>
            <w:cnfStyle w:val="001000000000" w:firstRow="0" w:lastRow="0" w:firstColumn="1" w:lastColumn="0" w:oddVBand="0" w:evenVBand="0" w:oddHBand="0" w:evenHBand="0" w:firstRowFirstColumn="0" w:firstRowLastColumn="0" w:lastRowFirstColumn="0" w:lastRowLastColumn="0"/>
            <w:tcW w:w="3727" w:type="dxa"/>
          </w:tcPr>
          <w:p w14:paraId="563FC5B9" w14:textId="77777777" w:rsidR="00613C02" w:rsidRPr="00613C02" w:rsidRDefault="00613C02" w:rsidP="00613C02">
            <w:pPr>
              <w:rPr>
                <w:rFonts w:ascii="Arial" w:hAnsi="Arial" w:cs="Arial"/>
                <w:b w:val="0"/>
                <w:bCs/>
                <w:color w:val="000000"/>
                <w:sz w:val="20"/>
              </w:rPr>
            </w:pPr>
            <w:r w:rsidRPr="00613C02">
              <w:rPr>
                <w:rFonts w:ascii="Arial" w:hAnsi="Arial" w:cs="Arial"/>
                <w:b w:val="0"/>
                <w:bCs/>
                <w:color w:val="000000"/>
                <w:sz w:val="20"/>
              </w:rPr>
              <w:t>New CQR infrastructure that hosts information for multiple CQRs using an external data hosting provider (e.g. Cloud provider) that DOES NOT have ISO 27001 certification.</w:t>
            </w:r>
          </w:p>
        </w:tc>
        <w:tc>
          <w:tcPr>
            <w:tcW w:w="1857" w:type="dxa"/>
            <w:noWrap/>
            <w:vAlign w:val="center"/>
          </w:tcPr>
          <w:p w14:paraId="67913294" w14:textId="1BBDE432" w:rsidR="00613C02" w:rsidRPr="00F34813" w:rsidRDefault="00613C02" w:rsidP="00613C02">
            <w:pPr>
              <w:jc w:val="center"/>
              <w:cnfStyle w:val="000000000000" w:firstRow="0" w:lastRow="0" w:firstColumn="0" w:lastColumn="0" w:oddVBand="0" w:evenVBand="0" w:oddHBand="0" w:evenHBand="0" w:firstRowFirstColumn="0" w:firstRowLastColumn="0" w:lastRowFirstColumn="0" w:lastRowLastColumn="0"/>
              <w:rPr>
                <w:color w:val="000000"/>
                <w:sz w:val="40"/>
                <w:szCs w:val="40"/>
              </w:rPr>
            </w:pPr>
            <w:r>
              <w:rPr>
                <w:rFonts w:ascii="Wingdings" w:eastAsia="Wingdings" w:hAnsi="Wingdings"/>
                <w:color w:val="000000" w:themeColor="text1"/>
                <w:sz w:val="40"/>
                <w:szCs w:val="40"/>
              </w:rPr>
              <w:t>ü</w:t>
            </w:r>
          </w:p>
          <w:p w14:paraId="484E58F1" w14:textId="77777777" w:rsidR="00613C02" w:rsidRDefault="00613C02" w:rsidP="00613C02">
            <w:pPr>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olor w:val="000000" w:themeColor="text1"/>
                <w:sz w:val="40"/>
                <w:szCs w:val="40"/>
              </w:rPr>
            </w:pPr>
            <w:r w:rsidRPr="00613C02">
              <w:rPr>
                <w:color w:val="000000" w:themeColor="text1"/>
                <w:sz w:val="18"/>
                <w:szCs w:val="18"/>
              </w:rPr>
              <w:t>(per CQR)</w:t>
            </w:r>
          </w:p>
        </w:tc>
        <w:tc>
          <w:tcPr>
            <w:tcW w:w="1727" w:type="dxa"/>
            <w:noWrap/>
            <w:vAlign w:val="center"/>
          </w:tcPr>
          <w:p w14:paraId="00B6F517" w14:textId="77777777" w:rsidR="00613C02" w:rsidRPr="00F34813" w:rsidRDefault="00613C02" w:rsidP="00613C02">
            <w:pPr>
              <w:jc w:val="center"/>
              <w:cnfStyle w:val="000000000000" w:firstRow="0" w:lastRow="0" w:firstColumn="0" w:lastColumn="0" w:oddVBand="0" w:evenVBand="0" w:oddHBand="0" w:evenHBand="0" w:firstRowFirstColumn="0" w:firstRowLastColumn="0" w:lastRowFirstColumn="0" w:lastRowLastColumn="0"/>
              <w:rPr>
                <w:color w:val="000000"/>
                <w:sz w:val="40"/>
                <w:szCs w:val="40"/>
              </w:rPr>
            </w:pPr>
            <w:r>
              <w:rPr>
                <w:rFonts w:ascii="Wingdings" w:eastAsia="Wingdings" w:hAnsi="Wingdings"/>
                <w:color w:val="000000" w:themeColor="text1"/>
                <w:sz w:val="40"/>
                <w:szCs w:val="40"/>
              </w:rPr>
              <w:t>ü</w:t>
            </w:r>
          </w:p>
          <w:p w14:paraId="05E5172D" w14:textId="77777777" w:rsidR="00613C02" w:rsidRDefault="00613C02" w:rsidP="00613C02">
            <w:pPr>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olor w:val="000000" w:themeColor="text1"/>
                <w:sz w:val="40"/>
                <w:szCs w:val="40"/>
              </w:rPr>
            </w:pPr>
            <w:r w:rsidRPr="00613C02">
              <w:rPr>
                <w:color w:val="000000" w:themeColor="text1"/>
                <w:sz w:val="18"/>
                <w:szCs w:val="18"/>
              </w:rPr>
              <w:t>CQR is responsible for ensuring the external provider complies.</w:t>
            </w:r>
          </w:p>
        </w:tc>
        <w:tc>
          <w:tcPr>
            <w:tcW w:w="1627" w:type="dxa"/>
            <w:noWrap/>
            <w:vAlign w:val="center"/>
          </w:tcPr>
          <w:p w14:paraId="40B6C615" w14:textId="77777777" w:rsidR="00613C02" w:rsidRPr="00F34813" w:rsidRDefault="00613C02" w:rsidP="00613C02">
            <w:pPr>
              <w:jc w:val="center"/>
              <w:cnfStyle w:val="000000000000" w:firstRow="0" w:lastRow="0" w:firstColumn="0" w:lastColumn="0" w:oddVBand="0" w:evenVBand="0" w:oddHBand="0" w:evenHBand="0" w:firstRowFirstColumn="0" w:firstRowLastColumn="0" w:lastRowFirstColumn="0" w:lastRowLastColumn="0"/>
              <w:rPr>
                <w:color w:val="000000"/>
              </w:rPr>
            </w:pPr>
          </w:p>
        </w:tc>
      </w:tr>
      <w:tr w:rsidR="00613C02" w:rsidRPr="00F34813" w14:paraId="0EF66319" w14:textId="77777777" w:rsidTr="0C105EF7">
        <w:trPr>
          <w:gridAfter w:val="1"/>
          <w:wAfter w:w="22" w:type="dxa"/>
          <w:trHeight w:val="1680"/>
        </w:trPr>
        <w:tc>
          <w:tcPr>
            <w:cnfStyle w:val="001000000000" w:firstRow="0" w:lastRow="0" w:firstColumn="1" w:lastColumn="0" w:oddVBand="0" w:evenVBand="0" w:oddHBand="0" w:evenHBand="0" w:firstRowFirstColumn="0" w:firstRowLastColumn="0" w:lastRowFirstColumn="0" w:lastRowLastColumn="0"/>
            <w:tcW w:w="3727" w:type="dxa"/>
          </w:tcPr>
          <w:p w14:paraId="47F82791" w14:textId="3AF2F01C" w:rsidR="00613C02" w:rsidRPr="00613C02" w:rsidRDefault="00613C02" w:rsidP="00613C02">
            <w:pPr>
              <w:rPr>
                <w:rFonts w:ascii="Arial" w:hAnsi="Arial" w:cs="Arial"/>
                <w:b w:val="0"/>
                <w:bCs/>
                <w:color w:val="000000"/>
                <w:sz w:val="20"/>
              </w:rPr>
            </w:pPr>
            <w:r w:rsidRPr="00613C02">
              <w:rPr>
                <w:rFonts w:ascii="Arial" w:hAnsi="Arial" w:cs="Arial"/>
                <w:b w:val="0"/>
                <w:bCs/>
                <w:color w:val="000000"/>
                <w:sz w:val="20"/>
              </w:rPr>
              <w:t xml:space="preserve">New </w:t>
            </w:r>
            <w:r w:rsidR="00BD7416">
              <w:rPr>
                <w:rFonts w:ascii="Arial" w:hAnsi="Arial" w:cs="Arial"/>
                <w:b w:val="0"/>
                <w:bCs/>
                <w:color w:val="000000"/>
                <w:sz w:val="20"/>
              </w:rPr>
              <w:t xml:space="preserve">and existing </w:t>
            </w:r>
            <w:r w:rsidRPr="00613C02">
              <w:rPr>
                <w:rFonts w:ascii="Arial" w:hAnsi="Arial" w:cs="Arial"/>
                <w:b w:val="0"/>
                <w:bCs/>
                <w:color w:val="000000"/>
                <w:sz w:val="20"/>
              </w:rPr>
              <w:t xml:space="preserve">CQR Infrastructure using an external data hosting provider (e.g. Cloud provider) that DOES NOT have ISO 27001 certification. </w:t>
            </w:r>
          </w:p>
        </w:tc>
        <w:tc>
          <w:tcPr>
            <w:tcW w:w="1857" w:type="dxa"/>
            <w:noWrap/>
            <w:vAlign w:val="center"/>
          </w:tcPr>
          <w:p w14:paraId="1612CFA1" w14:textId="77777777" w:rsidR="00613C02" w:rsidRPr="00F34813" w:rsidRDefault="00613C02" w:rsidP="00613C02">
            <w:pPr>
              <w:jc w:val="center"/>
              <w:cnfStyle w:val="000000000000" w:firstRow="0" w:lastRow="0" w:firstColumn="0" w:lastColumn="0" w:oddVBand="0" w:evenVBand="0" w:oddHBand="0" w:evenHBand="0" w:firstRowFirstColumn="0" w:firstRowLastColumn="0" w:lastRowFirstColumn="0" w:lastRowLastColumn="0"/>
              <w:rPr>
                <w:color w:val="000000"/>
                <w:sz w:val="40"/>
                <w:szCs w:val="40"/>
              </w:rPr>
            </w:pPr>
          </w:p>
          <w:p w14:paraId="6AB400D1" w14:textId="77777777" w:rsidR="00613C02" w:rsidRPr="00F34813" w:rsidRDefault="00613C02" w:rsidP="00613C02">
            <w:pPr>
              <w:jc w:val="center"/>
              <w:cnfStyle w:val="000000000000" w:firstRow="0" w:lastRow="0" w:firstColumn="0" w:lastColumn="0" w:oddVBand="0" w:evenVBand="0" w:oddHBand="0" w:evenHBand="0" w:firstRowFirstColumn="0" w:firstRowLastColumn="0" w:lastRowFirstColumn="0" w:lastRowLastColumn="0"/>
              <w:rPr>
                <w:color w:val="000000"/>
              </w:rPr>
            </w:pPr>
            <w:r>
              <w:rPr>
                <w:rFonts w:ascii="Wingdings" w:eastAsia="Wingdings" w:hAnsi="Wingdings"/>
                <w:color w:val="000000" w:themeColor="text1"/>
                <w:sz w:val="40"/>
                <w:szCs w:val="40"/>
              </w:rPr>
              <w:t>ü</w:t>
            </w:r>
            <w:r w:rsidRPr="00D876DB" w:rsidDel="00D876DB">
              <w:rPr>
                <w:rFonts w:eastAsia="Wingdings"/>
                <w:color w:val="000000"/>
                <w:sz w:val="40"/>
                <w:szCs w:val="40"/>
              </w:rPr>
              <w:t xml:space="preserve"> </w:t>
            </w:r>
            <w:r w:rsidRPr="00F34813">
              <w:rPr>
                <w:noProof/>
              </w:rPr>
              <w:drawing>
                <wp:anchor distT="0" distB="0" distL="114300" distR="114300" simplePos="0" relativeHeight="251663360" behindDoc="0" locked="0" layoutInCell="1" allowOverlap="1" wp14:anchorId="21B41D98" wp14:editId="15E00CFD">
                  <wp:simplePos x="0" y="0"/>
                  <wp:positionH relativeFrom="column">
                    <wp:posOffset>349250</wp:posOffset>
                  </wp:positionH>
                  <wp:positionV relativeFrom="paragraph">
                    <wp:posOffset>7458075</wp:posOffset>
                  </wp:positionV>
                  <wp:extent cx="195580" cy="20891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5580" cy="208915"/>
                          </a:xfrm>
                          <a:prstGeom prst="rect">
                            <a:avLst/>
                          </a:prstGeom>
                          <a:noFill/>
                        </pic:spPr>
                      </pic:pic>
                    </a:graphicData>
                  </a:graphic>
                  <wp14:sizeRelH relativeFrom="page">
                    <wp14:pctWidth>0</wp14:pctWidth>
                  </wp14:sizeRelH>
                  <wp14:sizeRelV relativeFrom="page">
                    <wp14:pctHeight>0</wp14:pctHeight>
                  </wp14:sizeRelV>
                </wp:anchor>
              </w:drawing>
            </w:r>
          </w:p>
        </w:tc>
        <w:tc>
          <w:tcPr>
            <w:tcW w:w="1727" w:type="dxa"/>
            <w:noWrap/>
            <w:vAlign w:val="center"/>
          </w:tcPr>
          <w:p w14:paraId="16904E03" w14:textId="77777777" w:rsidR="00613C02" w:rsidRPr="00F34813" w:rsidRDefault="00613C02" w:rsidP="00613C02">
            <w:pPr>
              <w:jc w:val="center"/>
              <w:cnfStyle w:val="000000000000" w:firstRow="0" w:lastRow="0" w:firstColumn="0" w:lastColumn="0" w:oddVBand="0" w:evenVBand="0" w:oddHBand="0" w:evenHBand="0" w:firstRowFirstColumn="0" w:firstRowLastColumn="0" w:lastRowFirstColumn="0" w:lastRowLastColumn="0"/>
              <w:rPr>
                <w:color w:val="000000"/>
                <w:sz w:val="40"/>
                <w:szCs w:val="40"/>
              </w:rPr>
            </w:pPr>
            <w:r>
              <w:rPr>
                <w:rFonts w:ascii="Wingdings" w:eastAsia="Wingdings" w:hAnsi="Wingdings"/>
                <w:color w:val="000000" w:themeColor="text1"/>
                <w:sz w:val="40"/>
                <w:szCs w:val="40"/>
              </w:rPr>
              <w:t>ü</w:t>
            </w:r>
          </w:p>
          <w:p w14:paraId="390D74C6" w14:textId="77777777" w:rsidR="00613C02" w:rsidRPr="00F34813" w:rsidRDefault="00613C02" w:rsidP="00613C02">
            <w:pPr>
              <w:jc w:val="center"/>
              <w:cnfStyle w:val="000000000000" w:firstRow="0" w:lastRow="0" w:firstColumn="0" w:lastColumn="0" w:oddVBand="0" w:evenVBand="0" w:oddHBand="0" w:evenHBand="0" w:firstRowFirstColumn="0" w:firstRowLastColumn="0" w:lastRowFirstColumn="0" w:lastRowLastColumn="0"/>
              <w:rPr>
                <w:color w:val="000000"/>
              </w:rPr>
            </w:pPr>
            <w:r w:rsidRPr="00613C02">
              <w:rPr>
                <w:color w:val="000000" w:themeColor="text1"/>
                <w:sz w:val="18"/>
                <w:szCs w:val="18"/>
              </w:rPr>
              <w:t>CQR is responsible for ensuring the external provider complies.</w:t>
            </w:r>
          </w:p>
        </w:tc>
        <w:tc>
          <w:tcPr>
            <w:tcW w:w="1627" w:type="dxa"/>
            <w:noWrap/>
            <w:vAlign w:val="center"/>
          </w:tcPr>
          <w:p w14:paraId="5445A5CC" w14:textId="77777777" w:rsidR="00613C02" w:rsidRPr="00F34813" w:rsidRDefault="00613C02" w:rsidP="00613C02">
            <w:pPr>
              <w:jc w:val="center"/>
              <w:cnfStyle w:val="000000000000" w:firstRow="0" w:lastRow="0" w:firstColumn="0" w:lastColumn="0" w:oddVBand="0" w:evenVBand="0" w:oddHBand="0" w:evenHBand="0" w:firstRowFirstColumn="0" w:firstRowLastColumn="0" w:lastRowFirstColumn="0" w:lastRowLastColumn="0"/>
              <w:rPr>
                <w:color w:val="000000"/>
              </w:rPr>
            </w:pPr>
          </w:p>
        </w:tc>
      </w:tr>
      <w:tr w:rsidR="00613C02" w:rsidRPr="00F34813" w14:paraId="52787519" w14:textId="77777777" w:rsidTr="0C105EF7">
        <w:trPr>
          <w:gridAfter w:val="1"/>
          <w:wAfter w:w="22" w:type="dxa"/>
          <w:trHeight w:val="1680"/>
        </w:trPr>
        <w:tc>
          <w:tcPr>
            <w:cnfStyle w:val="001000000000" w:firstRow="0" w:lastRow="0" w:firstColumn="1" w:lastColumn="0" w:oddVBand="0" w:evenVBand="0" w:oddHBand="0" w:evenHBand="0" w:firstRowFirstColumn="0" w:firstRowLastColumn="0" w:lastRowFirstColumn="0" w:lastRowLastColumn="0"/>
            <w:tcW w:w="3727" w:type="dxa"/>
          </w:tcPr>
          <w:p w14:paraId="156BF258" w14:textId="63F96E71" w:rsidR="00613C02" w:rsidRPr="00613C02" w:rsidRDefault="00613C02" w:rsidP="0C105EF7">
            <w:pPr>
              <w:rPr>
                <w:rFonts w:ascii="Arial" w:hAnsi="Arial" w:cs="Arial"/>
                <w:b w:val="0"/>
                <w:color w:val="000000"/>
                <w:sz w:val="20"/>
              </w:rPr>
            </w:pPr>
            <w:r w:rsidRPr="0C105EF7">
              <w:rPr>
                <w:rFonts w:ascii="Arial" w:hAnsi="Arial" w:cs="Arial"/>
                <w:b w:val="0"/>
                <w:color w:val="000000" w:themeColor="text1"/>
                <w:sz w:val="20"/>
              </w:rPr>
              <w:t xml:space="preserve">Existing or new CQR infrastructure that uses an external data hosting provider that </w:t>
            </w:r>
            <w:r w:rsidR="08CF3DF5" w:rsidRPr="0C105EF7">
              <w:rPr>
                <w:rFonts w:ascii="Arial" w:hAnsi="Arial" w:cs="Arial"/>
                <w:b w:val="0"/>
                <w:color w:val="000000" w:themeColor="text1"/>
                <w:sz w:val="20"/>
              </w:rPr>
              <w:t xml:space="preserve">DOES </w:t>
            </w:r>
            <w:r w:rsidRPr="0C105EF7">
              <w:rPr>
                <w:rFonts w:ascii="Arial" w:hAnsi="Arial" w:cs="Arial"/>
                <w:b w:val="0"/>
                <w:color w:val="000000" w:themeColor="text1"/>
                <w:sz w:val="20"/>
              </w:rPr>
              <w:t xml:space="preserve">have ISO 27001 certification. </w:t>
            </w:r>
          </w:p>
        </w:tc>
        <w:tc>
          <w:tcPr>
            <w:tcW w:w="1857" w:type="dxa"/>
            <w:noWrap/>
            <w:vAlign w:val="center"/>
          </w:tcPr>
          <w:p w14:paraId="693CCF8A" w14:textId="52F74F5C" w:rsidR="00613C02" w:rsidRPr="00F34813" w:rsidRDefault="00613C02" w:rsidP="00613C02">
            <w:pPr>
              <w:jc w:val="center"/>
              <w:cnfStyle w:val="000000000000" w:firstRow="0" w:lastRow="0" w:firstColumn="0" w:lastColumn="0" w:oddVBand="0" w:evenVBand="0" w:oddHBand="0" w:evenHBand="0" w:firstRowFirstColumn="0" w:firstRowLastColumn="0" w:lastRowFirstColumn="0" w:lastRowLastColumn="0"/>
              <w:rPr>
                <w:color w:val="000000"/>
                <w:sz w:val="40"/>
                <w:szCs w:val="40"/>
              </w:rPr>
            </w:pPr>
            <w:r>
              <w:rPr>
                <w:rFonts w:ascii="Wingdings" w:eastAsia="Wingdings" w:hAnsi="Wingdings"/>
                <w:color w:val="000000" w:themeColor="text1"/>
                <w:sz w:val="40"/>
                <w:szCs w:val="40"/>
              </w:rPr>
              <w:t>ü</w:t>
            </w:r>
          </w:p>
        </w:tc>
        <w:tc>
          <w:tcPr>
            <w:tcW w:w="1727" w:type="dxa"/>
            <w:noWrap/>
            <w:vAlign w:val="center"/>
          </w:tcPr>
          <w:p w14:paraId="5CF2DC77" w14:textId="77777777" w:rsidR="00613C02" w:rsidRPr="00F34813" w:rsidRDefault="00613C02" w:rsidP="00613C02">
            <w:pPr>
              <w:jc w:val="center"/>
              <w:cnfStyle w:val="000000000000" w:firstRow="0" w:lastRow="0" w:firstColumn="0" w:lastColumn="0" w:oddVBand="0" w:evenVBand="0" w:oddHBand="0" w:evenHBand="0" w:firstRowFirstColumn="0" w:firstRowLastColumn="0" w:lastRowFirstColumn="0" w:lastRowLastColumn="0"/>
              <w:rPr>
                <w:color w:val="000000"/>
              </w:rPr>
            </w:pPr>
          </w:p>
        </w:tc>
        <w:tc>
          <w:tcPr>
            <w:tcW w:w="1627" w:type="dxa"/>
            <w:vAlign w:val="center"/>
          </w:tcPr>
          <w:p w14:paraId="6C009A51" w14:textId="74AC68B1" w:rsidR="00613C02" w:rsidRPr="00F34813" w:rsidRDefault="00613C02" w:rsidP="00613C02">
            <w:pPr>
              <w:jc w:val="center"/>
              <w:cnfStyle w:val="000000000000" w:firstRow="0" w:lastRow="0" w:firstColumn="0" w:lastColumn="0" w:oddVBand="0" w:evenVBand="0" w:oddHBand="0" w:evenHBand="0" w:firstRowFirstColumn="0" w:firstRowLastColumn="0" w:lastRowFirstColumn="0" w:lastRowLastColumn="0"/>
              <w:rPr>
                <w:color w:val="000000"/>
                <w:sz w:val="40"/>
                <w:szCs w:val="40"/>
              </w:rPr>
            </w:pPr>
            <w:r>
              <w:rPr>
                <w:rFonts w:ascii="Wingdings" w:eastAsia="Wingdings" w:hAnsi="Wingdings"/>
                <w:color w:val="000000" w:themeColor="text1"/>
                <w:sz w:val="40"/>
                <w:szCs w:val="40"/>
              </w:rPr>
              <w:t>ü</w:t>
            </w:r>
          </w:p>
          <w:p w14:paraId="6E2D1480" w14:textId="15393A33" w:rsidR="00613C02" w:rsidRPr="00F34813" w:rsidRDefault="00613C02" w:rsidP="00613C02">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13C02">
              <w:rPr>
                <w:color w:val="000000" w:themeColor="text1"/>
                <w:sz w:val="18"/>
                <w:szCs w:val="18"/>
              </w:rPr>
              <w:t>Proof of certification</w:t>
            </w:r>
          </w:p>
        </w:tc>
      </w:tr>
      <w:tr w:rsidR="00613C02" w:rsidRPr="00F34813" w14:paraId="494AC3AC" w14:textId="77777777" w:rsidTr="0C105EF7">
        <w:trPr>
          <w:gridAfter w:val="1"/>
          <w:wAfter w:w="22" w:type="dxa"/>
          <w:trHeight w:val="1345"/>
        </w:trPr>
        <w:tc>
          <w:tcPr>
            <w:cnfStyle w:val="001000000000" w:firstRow="0" w:lastRow="0" w:firstColumn="1" w:lastColumn="0" w:oddVBand="0" w:evenVBand="0" w:oddHBand="0" w:evenHBand="0" w:firstRowFirstColumn="0" w:firstRowLastColumn="0" w:lastRowFirstColumn="0" w:lastRowLastColumn="0"/>
            <w:tcW w:w="3727" w:type="dxa"/>
          </w:tcPr>
          <w:p w14:paraId="723130FF" w14:textId="77777777" w:rsidR="00613C02" w:rsidRPr="00613C02" w:rsidRDefault="00613C02" w:rsidP="00613C02">
            <w:pPr>
              <w:rPr>
                <w:rFonts w:ascii="Arial" w:hAnsi="Arial" w:cs="Arial"/>
                <w:b w:val="0"/>
                <w:bCs/>
                <w:color w:val="000000"/>
                <w:sz w:val="20"/>
              </w:rPr>
            </w:pPr>
            <w:r w:rsidRPr="00613C02">
              <w:rPr>
                <w:rFonts w:ascii="Arial" w:hAnsi="Arial" w:cs="Arial"/>
                <w:b w:val="0"/>
                <w:bCs/>
                <w:color w:val="000000"/>
                <w:sz w:val="20"/>
              </w:rPr>
              <w:t>CQR infrastructure that hosts information for multiple CQRs t</w:t>
            </w:r>
            <w:r w:rsidRPr="00613C02">
              <w:rPr>
                <w:rFonts w:ascii="Arial" w:hAnsi="Arial" w:cs="Arial"/>
                <w:b w:val="0"/>
                <w:bCs/>
                <w:color w:val="000000" w:themeColor="text1"/>
                <w:sz w:val="20"/>
              </w:rPr>
              <w:t xml:space="preserve">hat has previously attained certification and another CQR wishes to join the existing central jurisdictional infrastructure services). </w:t>
            </w:r>
          </w:p>
        </w:tc>
        <w:tc>
          <w:tcPr>
            <w:tcW w:w="1857" w:type="dxa"/>
            <w:noWrap/>
            <w:vAlign w:val="center"/>
          </w:tcPr>
          <w:p w14:paraId="64319C92" w14:textId="77777777" w:rsidR="00613C02" w:rsidRPr="00F34813" w:rsidRDefault="00613C02" w:rsidP="00613C02">
            <w:pPr>
              <w:jc w:val="center"/>
              <w:cnfStyle w:val="000000000000" w:firstRow="0" w:lastRow="0" w:firstColumn="0" w:lastColumn="0" w:oddVBand="0" w:evenVBand="0" w:oddHBand="0" w:evenHBand="0" w:firstRowFirstColumn="0" w:firstRowLastColumn="0" w:lastRowFirstColumn="0" w:lastRowLastColumn="0"/>
              <w:rPr>
                <w:color w:val="000000"/>
                <w:sz w:val="40"/>
                <w:szCs w:val="40"/>
              </w:rPr>
            </w:pPr>
            <w:r>
              <w:rPr>
                <w:rFonts w:ascii="Wingdings" w:eastAsia="Wingdings" w:hAnsi="Wingdings"/>
                <w:color w:val="000000" w:themeColor="text1"/>
                <w:sz w:val="40"/>
                <w:szCs w:val="40"/>
              </w:rPr>
              <w:t>ü</w:t>
            </w:r>
          </w:p>
          <w:p w14:paraId="5E50897E" w14:textId="77777777" w:rsidR="00613C02" w:rsidRPr="00F34813" w:rsidRDefault="00613C02" w:rsidP="00613C02">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13C02">
              <w:rPr>
                <w:color w:val="000000" w:themeColor="text1"/>
                <w:sz w:val="18"/>
                <w:szCs w:val="18"/>
              </w:rPr>
              <w:t>(per CQR)</w:t>
            </w:r>
          </w:p>
        </w:tc>
        <w:tc>
          <w:tcPr>
            <w:tcW w:w="1727" w:type="dxa"/>
            <w:noWrap/>
            <w:vAlign w:val="center"/>
          </w:tcPr>
          <w:p w14:paraId="52B79BA9" w14:textId="77777777" w:rsidR="00613C02" w:rsidRPr="00F34813" w:rsidRDefault="00613C02" w:rsidP="00613C02">
            <w:pPr>
              <w:jc w:val="center"/>
              <w:cnfStyle w:val="000000000000" w:firstRow="0" w:lastRow="0" w:firstColumn="0" w:lastColumn="0" w:oddVBand="0" w:evenVBand="0" w:oddHBand="0" w:evenHBand="0" w:firstRowFirstColumn="0" w:firstRowLastColumn="0" w:lastRowFirstColumn="0" w:lastRowLastColumn="0"/>
              <w:rPr>
                <w:color w:val="000000"/>
              </w:rPr>
            </w:pPr>
            <w:r w:rsidRPr="00F34813">
              <w:rPr>
                <w:color w:val="000000" w:themeColor="text1"/>
                <w:sz w:val="16"/>
                <w:szCs w:val="16"/>
              </w:rPr>
              <w:t xml:space="preserve">Not required </w:t>
            </w:r>
            <w:r>
              <w:rPr>
                <w:color w:val="000000" w:themeColor="text1"/>
                <w:sz w:val="16"/>
                <w:szCs w:val="16"/>
              </w:rPr>
              <w:t>–</w:t>
            </w:r>
            <w:r w:rsidRPr="00F34813">
              <w:rPr>
                <w:color w:val="000000" w:themeColor="text1"/>
                <w:sz w:val="16"/>
                <w:szCs w:val="16"/>
              </w:rPr>
              <w:t xml:space="preserve"> already accredited once.</w:t>
            </w:r>
          </w:p>
        </w:tc>
        <w:tc>
          <w:tcPr>
            <w:tcW w:w="1627" w:type="dxa"/>
            <w:noWrap/>
            <w:vAlign w:val="center"/>
          </w:tcPr>
          <w:p w14:paraId="68DB8A05" w14:textId="77777777" w:rsidR="00613C02" w:rsidRPr="00F34813" w:rsidRDefault="00613C02" w:rsidP="00613C02">
            <w:pPr>
              <w:jc w:val="center"/>
              <w:cnfStyle w:val="000000000000" w:firstRow="0" w:lastRow="0" w:firstColumn="0" w:lastColumn="0" w:oddVBand="0" w:evenVBand="0" w:oddHBand="0" w:evenHBand="0" w:firstRowFirstColumn="0" w:firstRowLastColumn="0" w:lastRowFirstColumn="0" w:lastRowLastColumn="0"/>
              <w:rPr>
                <w:color w:val="000000"/>
              </w:rPr>
            </w:pPr>
          </w:p>
        </w:tc>
      </w:tr>
    </w:tbl>
    <w:p w14:paraId="6FD32E14" w14:textId="59D1672A" w:rsidR="00613C02" w:rsidRPr="00DF716F" w:rsidRDefault="00613C02" w:rsidP="00613C02">
      <w:pPr>
        <w:pStyle w:val="Heading2"/>
      </w:pPr>
      <w:bookmarkStart w:id="108" w:name="_Toc156467986"/>
      <w:bookmarkStart w:id="109" w:name="_Toc158286590"/>
      <w:bookmarkStart w:id="110" w:name="_Toc158802080"/>
      <w:bookmarkStart w:id="111" w:name="_Toc160197591"/>
      <w:bookmarkStart w:id="112" w:name="_Toc170135022"/>
      <w:r w:rsidRPr="00DF716F">
        <w:lastRenderedPageBreak/>
        <w:t xml:space="preserve">Identify </w:t>
      </w:r>
      <w:bookmarkEnd w:id="108"/>
      <w:bookmarkEnd w:id="109"/>
      <w:bookmarkEnd w:id="110"/>
      <w:r>
        <w:t>g</w:t>
      </w:r>
      <w:r w:rsidRPr="00DF716F">
        <w:t>aps</w:t>
      </w:r>
      <w:bookmarkEnd w:id="111"/>
      <w:bookmarkEnd w:id="112"/>
    </w:p>
    <w:p w14:paraId="139BAB95" w14:textId="77777777" w:rsidR="00613C02" w:rsidRPr="00A3059A" w:rsidRDefault="00613C02" w:rsidP="00613C02">
      <w:pPr>
        <w:rPr>
          <w:rFonts w:cs="Arial"/>
        </w:rPr>
      </w:pPr>
      <w:r w:rsidRPr="00A3059A">
        <w:rPr>
          <w:rFonts w:cs="Arial"/>
        </w:rPr>
        <w:t>Following the compliance assessment, any security control gaps should be identified and recorded. Security control gaps</w:t>
      </w:r>
      <w:r w:rsidRPr="00A3059A" w:rsidDel="003408C7">
        <w:rPr>
          <w:rFonts w:cs="Arial"/>
        </w:rPr>
        <w:t xml:space="preserve"> </w:t>
      </w:r>
      <w:r w:rsidRPr="00A3059A">
        <w:rPr>
          <w:rFonts w:cs="Arial"/>
        </w:rPr>
        <w:t>are any areas that are noted as not meeting recommended practice.</w:t>
      </w:r>
    </w:p>
    <w:p w14:paraId="56121F69" w14:textId="77777777" w:rsidR="00613C02" w:rsidRPr="00DF716F" w:rsidRDefault="00613C02" w:rsidP="00613C02">
      <w:pPr>
        <w:pStyle w:val="Heading2"/>
      </w:pPr>
      <w:bookmarkStart w:id="113" w:name="_Toc156467987"/>
      <w:bookmarkStart w:id="114" w:name="_Toc158802081"/>
      <w:bookmarkStart w:id="115" w:name="_Toc158286591"/>
      <w:bookmarkStart w:id="116" w:name="_Toc160197592"/>
      <w:bookmarkStart w:id="117" w:name="_Toc170135023"/>
      <w:r w:rsidRPr="00DF716F">
        <w:t>Classifying and prioritising gaps</w:t>
      </w:r>
      <w:bookmarkEnd w:id="113"/>
      <w:bookmarkEnd w:id="114"/>
      <w:bookmarkEnd w:id="115"/>
      <w:bookmarkEnd w:id="116"/>
      <w:bookmarkEnd w:id="117"/>
    </w:p>
    <w:p w14:paraId="104BE666" w14:textId="77777777" w:rsidR="00613C02" w:rsidRPr="00F34813" w:rsidRDefault="00613C02" w:rsidP="00613C02">
      <w:pPr>
        <w:rPr>
          <w:rFonts w:cs="Arial"/>
        </w:rPr>
      </w:pPr>
      <w:r w:rsidRPr="00F34813">
        <w:rPr>
          <w:rFonts w:cs="Arial"/>
        </w:rPr>
        <w:t xml:space="preserve">Once a security control gap has been identified, the next stage is to classify the </w:t>
      </w:r>
      <w:r>
        <w:rPr>
          <w:rFonts w:cs="Arial"/>
        </w:rPr>
        <w:t xml:space="preserve">gap’s </w:t>
      </w:r>
      <w:r w:rsidRPr="00F34813">
        <w:rPr>
          <w:rFonts w:cs="Arial"/>
        </w:rPr>
        <w:t xml:space="preserve">importance in terms of urgency and complexity. </w:t>
      </w:r>
      <w:r w:rsidRPr="00A3059A">
        <w:rPr>
          <w:rFonts w:cs="Arial"/>
        </w:rPr>
        <w:t xml:space="preserve">Classifying security gaps in this way helps build a logical priority list for </w:t>
      </w:r>
      <w:r w:rsidRPr="00F34813">
        <w:rPr>
          <w:rFonts w:cs="Arial"/>
        </w:rPr>
        <w:t>gap remediation work.</w:t>
      </w:r>
    </w:p>
    <w:p w14:paraId="4AD29612" w14:textId="10515913" w:rsidR="00613C02" w:rsidRPr="00F34813" w:rsidRDefault="00613C02" w:rsidP="00613C02">
      <w:pPr>
        <w:rPr>
          <w:rFonts w:cs="Arial"/>
        </w:rPr>
      </w:pPr>
      <w:r w:rsidRPr="00A3059A">
        <w:rPr>
          <w:rFonts w:cs="Arial"/>
        </w:rPr>
        <w:t xml:space="preserve">The level of urgency is based on the potential impact on a CQR if that security gap or weakness were exploited. </w:t>
      </w:r>
      <w:r w:rsidRPr="00F34813">
        <w:rPr>
          <w:rFonts w:cs="Arial"/>
        </w:rPr>
        <w:t xml:space="preserve">In other words, </w:t>
      </w:r>
      <w:r w:rsidRPr="00F34813">
        <w:rPr>
          <w:rFonts w:cs="Arial"/>
          <w:i/>
          <w:iCs/>
        </w:rPr>
        <w:t>the level of</w:t>
      </w:r>
      <w:r w:rsidRPr="00F34813">
        <w:rPr>
          <w:rFonts w:cs="Arial"/>
        </w:rPr>
        <w:t xml:space="preserve"> </w:t>
      </w:r>
      <w:r w:rsidRPr="00F34813">
        <w:rPr>
          <w:rFonts w:cs="Arial"/>
          <w:i/>
          <w:iCs/>
        </w:rPr>
        <w:t xml:space="preserve">urgency should be measured by the </w:t>
      </w:r>
      <w:r w:rsidRPr="00F34813">
        <w:rPr>
          <w:rFonts w:cs="Arial"/>
          <w:i/>
          <w:iCs/>
          <w:u w:val="single"/>
        </w:rPr>
        <w:t>level of risk that is being mitigated by the control</w:t>
      </w:r>
      <w:r w:rsidRPr="00F34813">
        <w:rPr>
          <w:rFonts w:cs="Arial"/>
          <w:i/>
          <w:iCs/>
        </w:rPr>
        <w:t xml:space="preserve"> </w:t>
      </w:r>
      <w:r w:rsidRPr="00464110">
        <w:rPr>
          <w:rFonts w:cs="Arial"/>
        </w:rPr>
        <w:t xml:space="preserve">(as referenced in the checklist provided </w:t>
      </w:r>
      <w:r>
        <w:rPr>
          <w:rFonts w:cs="Arial"/>
        </w:rPr>
        <w:t>in</w:t>
      </w:r>
      <w:r w:rsidRPr="00464110">
        <w:rPr>
          <w:rFonts w:cs="Arial"/>
        </w:rPr>
        <w:t xml:space="preserve"> </w:t>
      </w:r>
      <w:hyperlink w:anchor="_5._Security_compliance" w:tooltip="Current document - Section 5: Security compliance checklists for CQR ‘recommended practice’ " w:history="1">
        <w:r w:rsidRPr="00F307A6">
          <w:rPr>
            <w:rStyle w:val="Hyperlink"/>
            <w:rFonts w:cs="Arial"/>
            <w:i/>
            <w:iCs/>
          </w:rPr>
          <w:t>Section 5</w:t>
        </w:r>
      </w:hyperlink>
      <w:r w:rsidRPr="00464110">
        <w:rPr>
          <w:rFonts w:cs="Arial"/>
        </w:rPr>
        <w:t>)</w:t>
      </w:r>
      <w:r w:rsidRPr="00F34813">
        <w:rPr>
          <w:rFonts w:cs="Arial"/>
          <w:i/>
          <w:iCs/>
        </w:rPr>
        <w:t>.</w:t>
      </w:r>
    </w:p>
    <w:p w14:paraId="0BD4012A" w14:textId="77777777" w:rsidR="00613C02" w:rsidRPr="00F34813" w:rsidRDefault="00613C02" w:rsidP="00613C02">
      <w:pPr>
        <w:rPr>
          <w:rFonts w:cs="Arial"/>
        </w:rPr>
      </w:pPr>
      <w:r w:rsidRPr="00F34813">
        <w:rPr>
          <w:rFonts w:cs="Arial"/>
        </w:rPr>
        <w:t xml:space="preserve">The level of complexity is measured by the expected effort and expertise required to implement a control. </w:t>
      </w:r>
      <w:bookmarkStart w:id="118" w:name="_Toc320087962"/>
    </w:p>
    <w:p w14:paraId="0D7A9F94" w14:textId="1C4D1700" w:rsidR="000D47CA" w:rsidRDefault="00613C02" w:rsidP="00613C02">
      <w:pPr>
        <w:rPr>
          <w:rFonts w:cs="Arial"/>
        </w:rPr>
      </w:pPr>
      <w:r w:rsidRPr="00F34813">
        <w:rPr>
          <w:rFonts w:cs="Arial"/>
        </w:rPr>
        <w:t xml:space="preserve">The numbered quadrants in </w:t>
      </w:r>
      <w:r w:rsidRPr="00F34813">
        <w:rPr>
          <w:rFonts w:cs="Arial"/>
        </w:rPr>
        <w:fldChar w:fldCharType="begin"/>
      </w:r>
      <w:r w:rsidRPr="00F34813">
        <w:rPr>
          <w:rFonts w:cs="Arial"/>
        </w:rPr>
        <w:instrText xml:space="preserve"> REF _Ref351532577 \h </w:instrText>
      </w:r>
      <w:r>
        <w:rPr>
          <w:rFonts w:cs="Arial"/>
        </w:rPr>
        <w:instrText xml:space="preserve"> \* MERGEFORMAT </w:instrText>
      </w:r>
      <w:r w:rsidRPr="00F34813">
        <w:rPr>
          <w:rFonts w:cs="Arial"/>
        </w:rPr>
      </w:r>
      <w:r w:rsidRPr="00F34813">
        <w:rPr>
          <w:rFonts w:cs="Arial"/>
        </w:rPr>
        <w:fldChar w:fldCharType="separate"/>
      </w:r>
      <w:r w:rsidRPr="00F34813">
        <w:rPr>
          <w:rFonts w:cs="Arial"/>
        </w:rPr>
        <w:t xml:space="preserve">Figure </w:t>
      </w:r>
      <w:r>
        <w:rPr>
          <w:rFonts w:cs="Arial"/>
        </w:rPr>
        <w:t>3</w:t>
      </w:r>
      <w:r w:rsidRPr="00F34813">
        <w:rPr>
          <w:rFonts w:cs="Arial"/>
        </w:rPr>
        <w:fldChar w:fldCharType="end"/>
      </w:r>
      <w:r w:rsidRPr="00F34813">
        <w:rPr>
          <w:rFonts w:cs="Arial"/>
        </w:rPr>
        <w:t xml:space="preserve"> suggest a simple approach to prioritising any remediation work that may be needed.</w:t>
      </w:r>
      <w:r>
        <w:rPr>
          <w:rFonts w:cs="Arial"/>
        </w:rPr>
        <w:t xml:space="preserve"> </w:t>
      </w:r>
      <w:r w:rsidRPr="00F34813">
        <w:rPr>
          <w:rFonts w:cs="Arial"/>
        </w:rPr>
        <w:t>Any work that is urgent but simple should be top priority and may be possible to undertake in-house.</w:t>
      </w:r>
      <w:r>
        <w:rPr>
          <w:rFonts w:cs="Arial"/>
        </w:rPr>
        <w:t xml:space="preserve"> </w:t>
      </w:r>
    </w:p>
    <w:p w14:paraId="5EADFFA0" w14:textId="77777777" w:rsidR="00DB5D01" w:rsidRPr="00F34813" w:rsidRDefault="00DB5D01" w:rsidP="00613C02">
      <w:pPr>
        <w:rPr>
          <w:rFonts w:cs="Arial"/>
        </w:rPr>
      </w:pPr>
    </w:p>
    <w:p w14:paraId="6E14A750" w14:textId="1A060C47" w:rsidR="00613C02" w:rsidRPr="00613C02" w:rsidRDefault="00613C02" w:rsidP="00613C02">
      <w:pPr>
        <w:pStyle w:val="FigureTableTitle"/>
      </w:pPr>
      <w:bookmarkStart w:id="119" w:name="_Ref351532577"/>
      <w:bookmarkStart w:id="120" w:name="_Toc158814981"/>
      <w:r w:rsidRPr="00613C02">
        <w:t>Figure 3</w:t>
      </w:r>
      <w:bookmarkEnd w:id="119"/>
      <w:r w:rsidRPr="00613C02">
        <w:t>: Classifying and prioritising gaps</w:t>
      </w:r>
      <w:bookmarkEnd w:id="118"/>
      <w:bookmarkEnd w:id="120"/>
      <w:r w:rsidR="003D5004">
        <w:br/>
      </w:r>
    </w:p>
    <w:p w14:paraId="2315AD6C" w14:textId="108F9703" w:rsidR="00613C02" w:rsidRDefault="00C82236" w:rsidP="00C15BEF">
      <w:bookmarkStart w:id="121" w:name="_Toc156467988"/>
      <w:bookmarkStart w:id="122" w:name="_Toc158286592"/>
      <w:bookmarkStart w:id="123" w:name="_Toc158802082"/>
      <w:bookmarkStart w:id="124" w:name="_Toc160197593"/>
      <w:r>
        <w:rPr>
          <w:noProof/>
        </w:rPr>
        <w:drawing>
          <wp:inline distT="0" distB="0" distL="0" distR="0" wp14:anchorId="6FA10A54" wp14:editId="23C3C803">
            <wp:extent cx="4591438" cy="4596339"/>
            <wp:effectExtent l="0" t="0" r="6350" b="1270"/>
            <wp:docPr id="1096566419" name="Picture 14" descr="Figure 3: Classifying and prioritising g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66419" name="Picture 14" descr="Figure 3: Classifying and prioritising gaps"/>
                    <pic:cNvPicPr/>
                  </pic:nvPicPr>
                  <pic:blipFill>
                    <a:blip r:embed="rId44"/>
                    <a:stretch>
                      <a:fillRect/>
                    </a:stretch>
                  </pic:blipFill>
                  <pic:spPr>
                    <a:xfrm>
                      <a:off x="0" y="0"/>
                      <a:ext cx="4591438" cy="4596339"/>
                    </a:xfrm>
                    <a:prstGeom prst="rect">
                      <a:avLst/>
                    </a:prstGeom>
                  </pic:spPr>
                </pic:pic>
              </a:graphicData>
            </a:graphic>
          </wp:inline>
        </w:drawing>
      </w:r>
    </w:p>
    <w:p w14:paraId="296388CC" w14:textId="6B61D42D" w:rsidR="00613C02" w:rsidRPr="00DF716F" w:rsidRDefault="00613C02" w:rsidP="00613C02">
      <w:pPr>
        <w:pStyle w:val="Heading2"/>
      </w:pPr>
      <w:bookmarkStart w:id="125" w:name="_Toc170135024"/>
      <w:r w:rsidRPr="00DF716F">
        <w:lastRenderedPageBreak/>
        <w:t>Treat</w:t>
      </w:r>
      <w:bookmarkEnd w:id="121"/>
      <w:bookmarkEnd w:id="122"/>
      <w:bookmarkEnd w:id="123"/>
      <w:bookmarkEnd w:id="124"/>
      <w:bookmarkEnd w:id="125"/>
    </w:p>
    <w:p w14:paraId="6A83C0C4" w14:textId="77777777" w:rsidR="00613C02" w:rsidRPr="00F34813" w:rsidRDefault="00613C02" w:rsidP="00613C02">
      <w:pPr>
        <w:rPr>
          <w:rFonts w:cs="Arial"/>
        </w:rPr>
      </w:pPr>
      <w:r w:rsidRPr="00F34813">
        <w:rPr>
          <w:rFonts w:cs="Arial"/>
        </w:rPr>
        <w:t xml:space="preserve">Treatment of identified security </w:t>
      </w:r>
      <w:r w:rsidRPr="00A3059A">
        <w:rPr>
          <w:rFonts w:cs="Arial"/>
        </w:rPr>
        <w:t xml:space="preserve">gaps involves implementing </w:t>
      </w:r>
      <w:r w:rsidRPr="00F34813">
        <w:rPr>
          <w:rFonts w:cs="Arial"/>
        </w:rPr>
        <w:t xml:space="preserve">the required controls identified in the appropriate checklist. </w:t>
      </w:r>
      <w:r>
        <w:rPr>
          <w:rFonts w:cs="Arial"/>
        </w:rPr>
        <w:t>CQR organisations</w:t>
      </w:r>
      <w:r w:rsidRPr="00F34813">
        <w:rPr>
          <w:rFonts w:cs="Arial"/>
        </w:rPr>
        <w:t xml:space="preserve"> and external data</w:t>
      </w:r>
      <w:r>
        <w:rPr>
          <w:rFonts w:cs="Arial"/>
        </w:rPr>
        <w:t xml:space="preserve"> </w:t>
      </w:r>
      <w:r w:rsidRPr="00F34813">
        <w:rPr>
          <w:rFonts w:cs="Arial"/>
        </w:rPr>
        <w:t xml:space="preserve">hosting service providers should plan for the remediation of any gap areas on a priority basis as determined </w:t>
      </w:r>
      <w:r w:rsidRPr="00A3059A">
        <w:rPr>
          <w:rFonts w:cs="Arial"/>
        </w:rPr>
        <w:t xml:space="preserve">through the classification process described previously. </w:t>
      </w:r>
    </w:p>
    <w:p w14:paraId="5B87040E" w14:textId="77777777" w:rsidR="00613C02" w:rsidRDefault="00613C02" w:rsidP="00613C02">
      <w:pPr>
        <w:rPr>
          <w:rFonts w:cs="Arial"/>
        </w:rPr>
      </w:pPr>
      <w:r w:rsidRPr="00F34813">
        <w:rPr>
          <w:rFonts w:cs="Arial"/>
        </w:rPr>
        <w:t>Other guidelines such as NESAF have a broader body of detailed information that can be used to inform the treatment of gap areas.</w:t>
      </w:r>
    </w:p>
    <w:p w14:paraId="65B379A8" w14:textId="1BC36FEC" w:rsidR="00613C02" w:rsidRPr="00F34813" w:rsidRDefault="00000000" w:rsidP="00613C02">
      <w:pPr>
        <w:rPr>
          <w:rFonts w:cs="Arial"/>
        </w:rPr>
        <w:sectPr w:rsidR="00613C02" w:rsidRPr="00F34813" w:rsidSect="00787A52">
          <w:headerReference w:type="even" r:id="rId45"/>
          <w:headerReference w:type="default" r:id="rId46"/>
          <w:footerReference w:type="default" r:id="rId47"/>
          <w:headerReference w:type="first" r:id="rId48"/>
          <w:pgSz w:w="11906" w:h="16838" w:code="9"/>
          <w:pgMar w:top="1393" w:right="992" w:bottom="1441" w:left="1275" w:header="709" w:footer="564" w:gutter="0"/>
          <w:cols w:space="708"/>
          <w:docGrid w:linePitch="360"/>
        </w:sectPr>
      </w:pPr>
      <w:hyperlink w:anchor="_6._Data_breaches" w:tooltip="Current document - Section 6: Data breaches" w:history="1">
        <w:r w:rsidR="00F307A6" w:rsidRPr="00F307A6">
          <w:rPr>
            <w:rStyle w:val="Hyperlink"/>
            <w:rFonts w:cs="Arial"/>
            <w:i/>
            <w:iCs/>
          </w:rPr>
          <w:t>Section 6: Data breaches</w:t>
        </w:r>
      </w:hyperlink>
      <w:r w:rsidR="00F307A6" w:rsidRPr="00F307A6">
        <w:rPr>
          <w:rFonts w:cs="Arial"/>
        </w:rPr>
        <w:t xml:space="preserve"> </w:t>
      </w:r>
      <w:r w:rsidR="00613C02" w:rsidRPr="00F34813">
        <w:rPr>
          <w:rFonts w:cs="Arial"/>
        </w:rPr>
        <w:t xml:space="preserve">provides </w:t>
      </w:r>
      <w:r w:rsidR="00613C02">
        <w:rPr>
          <w:rFonts w:cs="Arial"/>
        </w:rPr>
        <w:t>guidance from the OAIC on how to respond to data breaches</w:t>
      </w:r>
      <w:r w:rsidR="00613C02" w:rsidRPr="00F34813">
        <w:rPr>
          <w:rFonts w:cs="Arial"/>
        </w:rPr>
        <w:t>.</w:t>
      </w:r>
    </w:p>
    <w:p w14:paraId="314F0370" w14:textId="64E848C3" w:rsidR="00613C02" w:rsidRPr="002D0444" w:rsidRDefault="00C905A0" w:rsidP="00613C02">
      <w:pPr>
        <w:pStyle w:val="Heading1"/>
      </w:pPr>
      <w:bookmarkStart w:id="126" w:name="_5._Security_compliance"/>
      <w:bookmarkStart w:id="127" w:name="_Ref350959883"/>
      <w:bookmarkStart w:id="128" w:name="_Ref350959899"/>
      <w:bookmarkStart w:id="129" w:name="_Ref351384735"/>
      <w:bookmarkStart w:id="130" w:name="_Toc156467989"/>
      <w:bookmarkStart w:id="131" w:name="_Toc158802083"/>
      <w:bookmarkStart w:id="132" w:name="_Toc158286593"/>
      <w:bookmarkStart w:id="133" w:name="_Toc160197594"/>
      <w:bookmarkStart w:id="134" w:name="_Toc170135025"/>
      <w:bookmarkEnd w:id="126"/>
      <w:r>
        <w:lastRenderedPageBreak/>
        <w:t>5.</w:t>
      </w:r>
      <w:r>
        <w:tab/>
      </w:r>
      <w:r w:rsidR="00613C02" w:rsidRPr="002D0444">
        <w:t xml:space="preserve">Security </w:t>
      </w:r>
      <w:r w:rsidR="00613C02">
        <w:t>c</w:t>
      </w:r>
      <w:r w:rsidR="00613C02" w:rsidRPr="002D0444">
        <w:t xml:space="preserve">ompliance </w:t>
      </w:r>
      <w:r w:rsidR="00613C02">
        <w:t>c</w:t>
      </w:r>
      <w:r w:rsidR="00613C02" w:rsidRPr="002D0444">
        <w:t xml:space="preserve">hecklists for CQR </w:t>
      </w:r>
      <w:r w:rsidR="00613C02" w:rsidRPr="002D0444">
        <w:rPr>
          <w:rFonts w:hint="eastAsia"/>
        </w:rPr>
        <w:t>‘</w:t>
      </w:r>
      <w:r w:rsidR="00613C02">
        <w:t>r</w:t>
      </w:r>
      <w:r w:rsidR="00613C02" w:rsidRPr="002D0444">
        <w:t xml:space="preserve">ecommended </w:t>
      </w:r>
      <w:r w:rsidR="00613C02">
        <w:t>p</w:t>
      </w:r>
      <w:r w:rsidR="00613C02" w:rsidRPr="002D0444">
        <w:t>ractice</w:t>
      </w:r>
      <w:r w:rsidR="00613C02" w:rsidRPr="002D0444">
        <w:rPr>
          <w:rFonts w:hint="eastAsia"/>
        </w:rPr>
        <w:t>’</w:t>
      </w:r>
      <w:bookmarkEnd w:id="127"/>
      <w:bookmarkEnd w:id="128"/>
      <w:bookmarkEnd w:id="129"/>
      <w:bookmarkEnd w:id="130"/>
      <w:bookmarkEnd w:id="131"/>
      <w:bookmarkEnd w:id="132"/>
      <w:bookmarkEnd w:id="133"/>
      <w:bookmarkEnd w:id="134"/>
    </w:p>
    <w:p w14:paraId="29782E73" w14:textId="7EE53520" w:rsidR="00DB5D01" w:rsidRPr="00F34813" w:rsidRDefault="00613C02" w:rsidP="00613C02">
      <w:pPr>
        <w:rPr>
          <w:rFonts w:cs="Arial"/>
        </w:rPr>
      </w:pPr>
      <w:bookmarkStart w:id="135" w:name="_Toc156467990"/>
      <w:bookmarkStart w:id="136" w:name="_Toc158286594"/>
      <w:bookmarkStart w:id="137" w:name="_Toc158802084"/>
      <w:r w:rsidRPr="00F34813">
        <w:rPr>
          <w:rFonts w:cs="Arial"/>
        </w:rPr>
        <w:t xml:space="preserve">This section provides detailed </w:t>
      </w:r>
      <w:r>
        <w:rPr>
          <w:rFonts w:cs="Arial"/>
        </w:rPr>
        <w:t xml:space="preserve">security compliance </w:t>
      </w:r>
      <w:r w:rsidRPr="00F34813">
        <w:rPr>
          <w:rFonts w:cs="Arial"/>
        </w:rPr>
        <w:t xml:space="preserve">checklists to be used </w:t>
      </w:r>
      <w:r>
        <w:rPr>
          <w:rFonts w:cs="Arial"/>
        </w:rPr>
        <w:t>by CQR organisations to assess their business operations and CQR system hosting</w:t>
      </w:r>
      <w:r w:rsidRPr="00F34813">
        <w:rPr>
          <w:rFonts w:cs="Arial"/>
        </w:rPr>
        <w:t xml:space="preserve">. </w:t>
      </w:r>
      <w:r>
        <w:rPr>
          <w:rFonts w:cs="Arial"/>
        </w:rPr>
        <w:t xml:space="preserve">The security compliance checklists contain the </w:t>
      </w:r>
      <w:r w:rsidRPr="00F34813">
        <w:rPr>
          <w:rFonts w:cs="Arial"/>
        </w:rPr>
        <w:t>key domains for minimum ‘</w:t>
      </w:r>
      <w:r>
        <w:rPr>
          <w:rFonts w:cs="Arial"/>
        </w:rPr>
        <w:t>recommended</w:t>
      </w:r>
      <w:r w:rsidRPr="00F34813">
        <w:rPr>
          <w:rFonts w:cs="Arial"/>
        </w:rPr>
        <w:t xml:space="preserve"> practice’ </w:t>
      </w:r>
      <w:r>
        <w:rPr>
          <w:rFonts w:cs="Arial"/>
        </w:rPr>
        <w:t xml:space="preserve">for information security. The domains of information security are represented in Figure 4. </w:t>
      </w:r>
      <w:r w:rsidRPr="00F34813">
        <w:rPr>
          <w:rFonts w:cs="Arial"/>
        </w:rPr>
        <w:t xml:space="preserve"> </w:t>
      </w:r>
    </w:p>
    <w:p w14:paraId="5B67036F" w14:textId="03EB64C9" w:rsidR="00613C02" w:rsidRPr="00C905A0" w:rsidRDefault="00613C02" w:rsidP="00C905A0">
      <w:pPr>
        <w:pStyle w:val="FigureTableTitle"/>
      </w:pPr>
      <w:r w:rsidRPr="4845FD6F">
        <w:t xml:space="preserve">Figure </w:t>
      </w:r>
      <w:r>
        <w:t>4</w:t>
      </w:r>
      <w:r w:rsidRPr="4845FD6F">
        <w:t>: Domains of information security</w:t>
      </w:r>
      <w:r>
        <w:t xml:space="preserve"> </w:t>
      </w:r>
    </w:p>
    <w:p w14:paraId="19FBA107" w14:textId="2A9F658A" w:rsidR="00613C02" w:rsidRDefault="004E6936" w:rsidP="00C905A0">
      <w:pPr>
        <w:rPr>
          <w:rFonts w:cs="Arial"/>
        </w:rPr>
      </w:pPr>
      <w:r>
        <w:rPr>
          <w:rFonts w:cs="Arial"/>
          <w:noProof/>
        </w:rPr>
        <w:drawing>
          <wp:inline distT="0" distB="0" distL="0" distR="0" wp14:anchorId="4007329A" wp14:editId="35F4E40A">
            <wp:extent cx="4849195" cy="6771384"/>
            <wp:effectExtent l="0" t="0" r="2540" b="0"/>
            <wp:docPr id="168225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593" name="Picture 11"/>
                    <pic:cNvPicPr/>
                  </pic:nvPicPr>
                  <pic:blipFill>
                    <a:blip r:embed="rId49"/>
                    <a:srcRect t="143" b="143"/>
                    <a:stretch>
                      <a:fillRect/>
                    </a:stretch>
                  </pic:blipFill>
                  <pic:spPr bwMode="auto">
                    <a:xfrm>
                      <a:off x="0" y="0"/>
                      <a:ext cx="4849195" cy="6771384"/>
                    </a:xfrm>
                    <a:prstGeom prst="rect">
                      <a:avLst/>
                    </a:prstGeom>
                    <a:ln>
                      <a:noFill/>
                    </a:ln>
                    <a:extLst>
                      <a:ext uri="{53640926-AAD7-44D8-BBD7-CCE9431645EC}">
                        <a14:shadowObscured xmlns:a14="http://schemas.microsoft.com/office/drawing/2010/main"/>
                      </a:ext>
                    </a:extLst>
                  </pic:spPr>
                </pic:pic>
              </a:graphicData>
            </a:graphic>
          </wp:inline>
        </w:drawing>
      </w:r>
    </w:p>
    <w:p w14:paraId="655D4C01" w14:textId="77777777" w:rsidR="00613C02" w:rsidRPr="00DF716F" w:rsidRDefault="00613C02" w:rsidP="00613C02">
      <w:pPr>
        <w:pStyle w:val="Heading2"/>
      </w:pPr>
      <w:bookmarkStart w:id="138" w:name="_Toc160197595"/>
      <w:bookmarkStart w:id="139" w:name="_Toc170135026"/>
      <w:bookmarkStart w:id="140" w:name="_Hlk160204422"/>
      <w:r w:rsidRPr="00DF716F">
        <w:lastRenderedPageBreak/>
        <w:t>Complianc</w:t>
      </w:r>
      <w:r>
        <w:t>e checklists</w:t>
      </w:r>
      <w:r w:rsidRPr="00A3059A">
        <w:rPr>
          <w:color w:val="auto"/>
        </w:rPr>
        <w:t xml:space="preserve"> </w:t>
      </w:r>
      <w:r w:rsidRPr="00DF716F">
        <w:t>– CQR Business Operations</w:t>
      </w:r>
      <w:bookmarkEnd w:id="135"/>
      <w:bookmarkEnd w:id="136"/>
      <w:r w:rsidRPr="00DF716F">
        <w:t xml:space="preserve"> </w:t>
      </w:r>
      <w:r>
        <w:t>and System Hosting</w:t>
      </w:r>
      <w:bookmarkEnd w:id="137"/>
      <w:bookmarkEnd w:id="138"/>
      <w:bookmarkEnd w:id="139"/>
    </w:p>
    <w:bookmarkEnd w:id="140"/>
    <w:p w14:paraId="4739A09F" w14:textId="69705F4B" w:rsidR="00613C02" w:rsidRPr="00C905A0" w:rsidRDefault="00613C02" w:rsidP="00613C02">
      <w:pPr>
        <w:rPr>
          <w:rFonts w:cs="Arial"/>
          <w:vertAlign w:val="superscript"/>
        </w:rPr>
      </w:pPr>
      <w:r w:rsidRPr="0C105EF7">
        <w:rPr>
          <w:rFonts w:cs="Arial"/>
        </w:rPr>
        <w:t>These checklists identify the security control and outline the objective of the security control, the recommended practice and detailed guidance. The detailed guidance combines information from relevant security guidelines and specific details to suit CQR environments. The guidance borrows from the National eHealth Security and Access Framework and ISO/IEC 27002</w:t>
      </w:r>
      <w:r w:rsidR="00636BD3" w:rsidRPr="0C105EF7">
        <w:rPr>
          <w:rFonts w:cs="Arial"/>
        </w:rPr>
        <w:t xml:space="preserve"> Standard</w:t>
      </w:r>
      <w:r w:rsidRPr="0C105EF7">
        <w:rPr>
          <w:rFonts w:cs="Arial"/>
        </w:rPr>
        <w:t>.</w:t>
      </w:r>
      <w:r w:rsidR="00C905A0" w:rsidRPr="0C105EF7">
        <w:rPr>
          <w:rFonts w:cs="Arial"/>
          <w:vertAlign w:val="superscript"/>
        </w:rPr>
        <w:t>12</w:t>
      </w:r>
    </w:p>
    <w:p w14:paraId="08D3E0F0" w14:textId="18CC57D9" w:rsidR="00613C02" w:rsidRDefault="00613C02" w:rsidP="00613C02">
      <w:pPr>
        <w:rPr>
          <w:rFonts w:cs="Arial"/>
        </w:rPr>
      </w:pPr>
      <w:r>
        <w:rPr>
          <w:rFonts w:cs="Arial"/>
        </w:rPr>
        <w:t>The checklists should be used in line with the methodology, flowchart (Figure 2</w:t>
      </w:r>
      <w:r w:rsidRPr="00A3059A">
        <w:rPr>
          <w:rFonts w:cs="Arial"/>
        </w:rPr>
        <w:t xml:space="preserve">) and matrix (Table 2) </w:t>
      </w:r>
      <w:r>
        <w:rPr>
          <w:rFonts w:cs="Arial"/>
        </w:rPr>
        <w:t xml:space="preserve">provided in </w:t>
      </w:r>
      <w:hyperlink w:anchor="_4._Security_assessment" w:tooltip="Current document - Section 4: Security assessment approach " w:history="1">
        <w:r w:rsidRPr="00F307A6">
          <w:rPr>
            <w:rStyle w:val="Hyperlink"/>
            <w:rFonts w:cs="Arial"/>
            <w:i/>
            <w:iCs/>
          </w:rPr>
          <w:t>Section 4</w:t>
        </w:r>
      </w:hyperlink>
      <w:r>
        <w:rPr>
          <w:rFonts w:cs="Arial"/>
        </w:rPr>
        <w:t xml:space="preserve">. </w:t>
      </w:r>
    </w:p>
    <w:p w14:paraId="65C06C2E" w14:textId="77777777" w:rsidR="0081175C" w:rsidRPr="00A00E8F" w:rsidRDefault="0081175C" w:rsidP="0081175C">
      <w:pPr>
        <w:rPr>
          <w:rFonts w:cs="Arial"/>
        </w:rPr>
      </w:pPr>
    </w:p>
    <w:tbl>
      <w:tblPr>
        <w:tblStyle w:val="PulloutBox"/>
        <w:tblW w:w="5048" w:type="pct"/>
        <w:shd w:val="clear" w:color="auto" w:fill="F2EFE3"/>
        <w:tblLook w:val="0020" w:firstRow="1" w:lastRow="0" w:firstColumn="0" w:lastColumn="0" w:noHBand="0" w:noVBand="0"/>
        <w:tblDescription w:val="Box 1"/>
      </w:tblPr>
      <w:tblGrid>
        <w:gridCol w:w="9731"/>
      </w:tblGrid>
      <w:tr w:rsidR="0081175C" w14:paraId="57548BEA" w14:textId="77777777" w:rsidTr="00F07AF8">
        <w:trPr>
          <w:trHeight w:val="1190"/>
        </w:trPr>
        <w:tc>
          <w:tcPr>
            <w:tcW w:w="5000" w:type="pct"/>
            <w:shd w:val="clear" w:color="auto" w:fill="F2EFE3"/>
            <w:tcMar>
              <w:bottom w:w="0" w:type="dxa"/>
            </w:tcMar>
          </w:tcPr>
          <w:p w14:paraId="220308B7" w14:textId="77777777" w:rsidR="0081175C" w:rsidRPr="00A00E8F" w:rsidRDefault="0081175C" w:rsidP="00F07AF8">
            <w:pPr>
              <w:pStyle w:val="BodyText"/>
              <w:rPr>
                <w:rFonts w:cs="Arial"/>
                <w:b/>
                <w:bCs/>
              </w:rPr>
            </w:pPr>
            <w:r w:rsidRPr="00A00E8F">
              <w:rPr>
                <w:rFonts w:cs="Arial"/>
                <w:b/>
                <w:bCs/>
              </w:rPr>
              <w:t>To be completed by each CQR organisation/system hosting organisation.</w:t>
            </w:r>
          </w:p>
          <w:p w14:paraId="69720C73" w14:textId="1FEA84F2" w:rsidR="0081175C" w:rsidRPr="00A00E8F" w:rsidRDefault="00000000" w:rsidP="00F07AF8">
            <w:pPr>
              <w:pStyle w:val="BodyText"/>
              <w:rPr>
                <w:rFonts w:cs="Arial"/>
                <w:i/>
                <w:iCs/>
              </w:rPr>
            </w:pPr>
            <w:hyperlink r:id="rId50" w:tooltip="Compliance checklists - Australian Commission on Safety and Quality in Health Care" w:history="1">
              <w:r w:rsidR="0081175C" w:rsidRPr="00DD5631">
                <w:rPr>
                  <w:rStyle w:val="Hyperlink"/>
                  <w:rFonts w:cs="Arial"/>
                  <w:b/>
                  <w:bCs/>
                </w:rPr>
                <w:t>The checklist</w:t>
              </w:r>
              <w:r w:rsidR="00546CF1" w:rsidRPr="00DD5631">
                <w:rPr>
                  <w:rStyle w:val="Hyperlink"/>
                  <w:rFonts w:cs="Arial"/>
                  <w:b/>
                  <w:bCs/>
                </w:rPr>
                <w:t>s</w:t>
              </w:r>
              <w:r w:rsidR="0081175C" w:rsidRPr="00DD5631">
                <w:rPr>
                  <w:rStyle w:val="Hyperlink"/>
                  <w:rFonts w:cs="Arial"/>
                  <w:b/>
                  <w:bCs/>
                </w:rPr>
                <w:t xml:space="preserve"> can be accessed in Excel </w:t>
              </w:r>
              <w:r w:rsidR="00546CF1" w:rsidRPr="00DD5631">
                <w:rPr>
                  <w:rStyle w:val="Hyperlink"/>
                  <w:rFonts w:cs="Arial"/>
                  <w:b/>
                  <w:bCs/>
                </w:rPr>
                <w:t>on the Commission’s website</w:t>
              </w:r>
              <w:r w:rsidR="0081175C" w:rsidRPr="00DD5631">
                <w:rPr>
                  <w:rStyle w:val="Hyperlink"/>
                  <w:rFonts w:cs="Arial"/>
                  <w:b/>
                  <w:bCs/>
                </w:rPr>
                <w:t>.</w:t>
              </w:r>
            </w:hyperlink>
            <w:r w:rsidR="0081175C" w:rsidRPr="00A00E8F">
              <w:rPr>
                <w:b/>
                <w:bCs/>
                <w:vertAlign w:val="superscript"/>
              </w:rPr>
              <w:t>13</w:t>
            </w:r>
          </w:p>
        </w:tc>
      </w:tr>
    </w:tbl>
    <w:p w14:paraId="7AD54116" w14:textId="1F88CED3" w:rsidR="00613C02" w:rsidRPr="00DD5631" w:rsidRDefault="00613C02" w:rsidP="00DD5631">
      <w:pPr>
        <w:spacing w:after="0"/>
        <w:rPr>
          <w:rFonts w:cs="Arial"/>
          <w:b/>
          <w:bCs/>
          <w:sz w:val="28"/>
          <w:szCs w:val="28"/>
        </w:rPr>
      </w:pPr>
    </w:p>
    <w:p w14:paraId="622EEA51" w14:textId="77777777" w:rsidR="00613C02" w:rsidRPr="00F34813" w:rsidRDefault="00613C02" w:rsidP="00613C02">
      <w:pPr>
        <w:pStyle w:val="BodyText"/>
        <w:rPr>
          <w:rFonts w:cs="Arial"/>
          <w:i/>
          <w:iCs/>
        </w:rPr>
      </w:pPr>
    </w:p>
    <w:p w14:paraId="074105F9" w14:textId="77777777" w:rsidR="000D47CA" w:rsidRDefault="000D47CA">
      <w:pPr>
        <w:spacing w:before="0" w:after="80"/>
        <w:rPr>
          <w:rFonts w:cs="Arial"/>
          <w:b/>
          <w:bCs/>
          <w:color w:val="005370" w:themeColor="text2"/>
          <w:kern w:val="28"/>
          <w:sz w:val="40"/>
          <w:szCs w:val="32"/>
        </w:rPr>
      </w:pPr>
      <w:bookmarkStart w:id="141" w:name="_Toc160197596"/>
      <w:r>
        <w:br w:type="page"/>
      </w:r>
    </w:p>
    <w:p w14:paraId="3CE012E6" w14:textId="53373033" w:rsidR="00613C02" w:rsidRPr="002D0444" w:rsidRDefault="00BF332B" w:rsidP="00613C02">
      <w:pPr>
        <w:pStyle w:val="Heading1"/>
      </w:pPr>
      <w:bookmarkStart w:id="142" w:name="_6._Data_breaches"/>
      <w:bookmarkStart w:id="143" w:name="_Toc170135027"/>
      <w:bookmarkEnd w:id="142"/>
      <w:r>
        <w:lastRenderedPageBreak/>
        <w:t>6.</w:t>
      </w:r>
      <w:r>
        <w:tab/>
      </w:r>
      <w:r w:rsidR="00613C02">
        <w:t>Data breaches</w:t>
      </w:r>
      <w:bookmarkEnd w:id="141"/>
      <w:bookmarkEnd w:id="143"/>
    </w:p>
    <w:p w14:paraId="7B41C37D" w14:textId="77777777" w:rsidR="00613C02" w:rsidRPr="00DF716F" w:rsidRDefault="00613C02" w:rsidP="00613C02">
      <w:pPr>
        <w:pStyle w:val="Heading2"/>
      </w:pPr>
      <w:bookmarkStart w:id="144" w:name="_Toc156467994"/>
      <w:bookmarkStart w:id="145" w:name="_Toc158286598"/>
      <w:bookmarkStart w:id="146" w:name="_Toc158802086"/>
      <w:bookmarkStart w:id="147" w:name="_Toc160197597"/>
      <w:bookmarkStart w:id="148" w:name="_Toc170135028"/>
      <w:r w:rsidRPr="00DF716F">
        <w:t xml:space="preserve">Response to </w:t>
      </w:r>
      <w:r>
        <w:t>d</w:t>
      </w:r>
      <w:r w:rsidRPr="00DF716F">
        <w:t xml:space="preserve">ata </w:t>
      </w:r>
      <w:bookmarkEnd w:id="144"/>
      <w:bookmarkEnd w:id="145"/>
      <w:bookmarkEnd w:id="146"/>
      <w:r>
        <w:t>b</w:t>
      </w:r>
      <w:r w:rsidRPr="00DF716F">
        <w:t>reaches</w:t>
      </w:r>
      <w:bookmarkEnd w:id="147"/>
      <w:bookmarkEnd w:id="148"/>
    </w:p>
    <w:p w14:paraId="24F58C9F" w14:textId="77777777" w:rsidR="00613C02" w:rsidRPr="00F34813" w:rsidRDefault="00613C02" w:rsidP="00BF332B">
      <w:r w:rsidRPr="00F34813">
        <w:t>The response to a data breach of the information being protected within the CQR should follow the steps outlined by the Office of the Australian Information Commissioner</w:t>
      </w:r>
      <w:r>
        <w:t xml:space="preserve"> (</w:t>
      </w:r>
      <w:r w:rsidRPr="00F34813">
        <w:t xml:space="preserve">OAIC). The OAIC is </w:t>
      </w:r>
      <w:r>
        <w:t>the</w:t>
      </w:r>
      <w:r w:rsidRPr="00F34813">
        <w:t xml:space="preserve"> regulatory authority in Australia responsible for overseeing privacy and information management practices. The response should be tailored to the specific incident and</w:t>
      </w:r>
      <w:r>
        <w:t>, in</w:t>
      </w:r>
      <w:r w:rsidRPr="00F34813">
        <w:t xml:space="preserve"> general</w:t>
      </w:r>
      <w:r>
        <w:t>,</w:t>
      </w:r>
      <w:r w:rsidRPr="00F34813">
        <w:t xml:space="preserve"> follow four steps:</w:t>
      </w:r>
    </w:p>
    <w:p w14:paraId="7B206D20" w14:textId="77777777" w:rsidR="00613C02" w:rsidRPr="00F34813" w:rsidRDefault="00613C02" w:rsidP="00BF332B">
      <w:pPr>
        <w:pStyle w:val="ListParagraph"/>
        <w:numPr>
          <w:ilvl w:val="0"/>
          <w:numId w:val="36"/>
        </w:numPr>
      </w:pPr>
      <w:r w:rsidRPr="00DA2BC1">
        <w:rPr>
          <w:i/>
          <w:iCs/>
        </w:rPr>
        <w:t xml:space="preserve">Contain </w:t>
      </w:r>
      <w:r w:rsidRPr="00F34813">
        <w:t>the breach</w:t>
      </w:r>
    </w:p>
    <w:p w14:paraId="26075BC3" w14:textId="77777777" w:rsidR="00613C02" w:rsidRPr="00F34813" w:rsidRDefault="00613C02" w:rsidP="00BF332B">
      <w:pPr>
        <w:pStyle w:val="ListParagraph"/>
        <w:numPr>
          <w:ilvl w:val="0"/>
          <w:numId w:val="36"/>
        </w:numPr>
      </w:pPr>
      <w:r w:rsidRPr="00DA2BC1">
        <w:rPr>
          <w:i/>
          <w:iCs/>
        </w:rPr>
        <w:t xml:space="preserve">Assess </w:t>
      </w:r>
      <w:r w:rsidRPr="00F34813">
        <w:t>the situation</w:t>
      </w:r>
    </w:p>
    <w:p w14:paraId="03581A57" w14:textId="77777777" w:rsidR="00613C02" w:rsidRPr="00F34813" w:rsidRDefault="00613C02" w:rsidP="00BF332B">
      <w:pPr>
        <w:pStyle w:val="ListParagraph"/>
        <w:numPr>
          <w:ilvl w:val="0"/>
          <w:numId w:val="36"/>
        </w:numPr>
      </w:pPr>
      <w:r w:rsidRPr="00DA2BC1">
        <w:rPr>
          <w:i/>
          <w:iCs/>
        </w:rPr>
        <w:t xml:space="preserve">Notify </w:t>
      </w:r>
      <w:r w:rsidRPr="00F34813">
        <w:t>relevant parties</w:t>
      </w:r>
    </w:p>
    <w:p w14:paraId="65F72E8E" w14:textId="77777777" w:rsidR="00613C02" w:rsidRPr="00F34813" w:rsidRDefault="00613C02" w:rsidP="00BF332B">
      <w:pPr>
        <w:pStyle w:val="ListParagraph"/>
        <w:numPr>
          <w:ilvl w:val="0"/>
          <w:numId w:val="36"/>
        </w:numPr>
      </w:pPr>
      <w:r w:rsidRPr="00DA2BC1">
        <w:rPr>
          <w:i/>
          <w:iCs/>
        </w:rPr>
        <w:t xml:space="preserve">Review </w:t>
      </w:r>
      <w:r w:rsidRPr="00F34813">
        <w:t>the incident to prevent future breaches</w:t>
      </w:r>
      <w:r>
        <w:t>.</w:t>
      </w:r>
    </w:p>
    <w:p w14:paraId="56C1EB34" w14:textId="77777777" w:rsidR="00613C02" w:rsidRDefault="00613C02" w:rsidP="00BF332B">
      <w:r w:rsidRPr="00F34813">
        <w:t>Given the sensitive nature of data in CQRs, a breach could have significant implications. Adhering to these steps ensures effective management of any breach, minimi</w:t>
      </w:r>
      <w:r>
        <w:t>s</w:t>
      </w:r>
      <w:r w:rsidRPr="00F34813">
        <w:t xml:space="preserve">es harm and maintains trust in the CQR's data handling processes. This approach also aligns with best practices in data security and privacy management, </w:t>
      </w:r>
      <w:r>
        <w:t xml:space="preserve">which are </w:t>
      </w:r>
      <w:r w:rsidRPr="00F34813">
        <w:t>vital for a project handling sensitive health information.</w:t>
      </w:r>
    </w:p>
    <w:p w14:paraId="28F60634" w14:textId="77777777" w:rsidR="00E35054" w:rsidRPr="00A00E8F" w:rsidRDefault="00E35054" w:rsidP="00E35054">
      <w:pPr>
        <w:rPr>
          <w:rFonts w:cs="Arial"/>
        </w:rPr>
      </w:pPr>
    </w:p>
    <w:tbl>
      <w:tblPr>
        <w:tblStyle w:val="PulloutBox"/>
        <w:tblW w:w="5048" w:type="pct"/>
        <w:shd w:val="clear" w:color="auto" w:fill="F2EFE3"/>
        <w:tblLook w:val="0020" w:firstRow="1" w:lastRow="0" w:firstColumn="0" w:lastColumn="0" w:noHBand="0" w:noVBand="0"/>
        <w:tblDescription w:val="Box 1"/>
      </w:tblPr>
      <w:tblGrid>
        <w:gridCol w:w="9731"/>
      </w:tblGrid>
      <w:tr w:rsidR="00E35054" w14:paraId="437A3111" w14:textId="77777777" w:rsidTr="00E35054">
        <w:trPr>
          <w:trHeight w:val="1095"/>
        </w:trPr>
        <w:tc>
          <w:tcPr>
            <w:tcW w:w="5000" w:type="pct"/>
            <w:shd w:val="clear" w:color="auto" w:fill="F2EFE3"/>
            <w:tcMar>
              <w:bottom w:w="0" w:type="dxa"/>
            </w:tcMar>
          </w:tcPr>
          <w:p w14:paraId="0158B73C" w14:textId="351BAFAE" w:rsidR="00E35054" w:rsidRPr="00E35054" w:rsidRDefault="00E35054" w:rsidP="00316534">
            <w:pPr>
              <w:rPr>
                <w:rFonts w:cs="Arial"/>
                <w:b/>
                <w:bCs/>
                <w:color w:val="005370" w:themeColor="text2"/>
                <w:u w:val="single"/>
              </w:rPr>
            </w:pPr>
            <w:r w:rsidRPr="00E35054">
              <w:rPr>
                <w:b/>
                <w:bCs/>
              </w:rPr>
              <w:t xml:space="preserve">For more detailed information please visit the </w:t>
            </w:r>
            <w:hyperlink r:id="rId51" w:tooltip="Part 3: Responding to data breaches – four key steps  - Office of the Australian Information Commissioner" w:history="1">
              <w:r w:rsidRPr="00E35054">
                <w:rPr>
                  <w:rStyle w:val="Hyperlink"/>
                  <w:b/>
                  <w:bCs/>
                </w:rPr>
                <w:t>‘</w:t>
              </w:r>
              <w:r w:rsidRPr="00E35054">
                <w:rPr>
                  <w:rStyle w:val="Hyperlink"/>
                  <w:rFonts w:cs="Arial"/>
                  <w:b/>
                  <w:bCs/>
                </w:rPr>
                <w:t>Responding to data breaches</w:t>
              </w:r>
              <w:r w:rsidRPr="00E35054">
                <w:rPr>
                  <w:rStyle w:val="Hyperlink"/>
                  <w:b/>
                  <w:bCs/>
                </w:rPr>
                <w:t>’ webpage</w:t>
              </w:r>
            </w:hyperlink>
            <w:r w:rsidRPr="00E35054">
              <w:rPr>
                <w:b/>
                <w:bCs/>
              </w:rPr>
              <w:t xml:space="preserve"> on the OAIC website.</w:t>
            </w:r>
            <w:r w:rsidRPr="00E35054">
              <w:rPr>
                <w:rFonts w:cs="Arial"/>
                <w:b/>
                <w:bCs/>
                <w:vertAlign w:val="superscript"/>
              </w:rPr>
              <w:t>14</w:t>
            </w:r>
          </w:p>
        </w:tc>
      </w:tr>
    </w:tbl>
    <w:p w14:paraId="24025D98" w14:textId="77777777" w:rsidR="00613C02" w:rsidRPr="00F34813" w:rsidRDefault="00613C02" w:rsidP="00613C02">
      <w:pPr>
        <w:pStyle w:val="BodyText"/>
        <w:tabs>
          <w:tab w:val="num" w:pos="783"/>
        </w:tabs>
        <w:rPr>
          <w:rFonts w:cs="Arial"/>
        </w:rPr>
      </w:pPr>
      <w:r w:rsidRPr="00F34813">
        <w:rPr>
          <w:rFonts w:cs="Arial"/>
        </w:rPr>
        <w:br w:type="page"/>
      </w:r>
    </w:p>
    <w:p w14:paraId="09CD4E43" w14:textId="77777777" w:rsidR="00613C02" w:rsidRPr="002D0444" w:rsidRDefault="00613C02" w:rsidP="00613C02">
      <w:pPr>
        <w:pStyle w:val="Heading1"/>
      </w:pPr>
      <w:bookmarkStart w:id="149" w:name="_Toc158802087"/>
      <w:bookmarkStart w:id="150" w:name="_Toc158802380"/>
      <w:bookmarkStart w:id="151" w:name="_Toc160197598"/>
      <w:bookmarkStart w:id="152" w:name="_Toc170135029"/>
      <w:r w:rsidRPr="002D0444">
        <w:lastRenderedPageBreak/>
        <w:t>Glossary</w:t>
      </w:r>
      <w:bookmarkStart w:id="153" w:name="_Toc158802088"/>
      <w:bookmarkStart w:id="154" w:name="_Toc158802136"/>
      <w:bookmarkStart w:id="155" w:name="_Toc158802230"/>
      <w:bookmarkStart w:id="156" w:name="_Toc158802320"/>
      <w:bookmarkStart w:id="157" w:name="_Toc158802381"/>
      <w:bookmarkStart w:id="158" w:name="_Toc158802089"/>
      <w:bookmarkEnd w:id="149"/>
      <w:bookmarkEnd w:id="150"/>
      <w:bookmarkEnd w:id="151"/>
      <w:bookmarkEnd w:id="152"/>
      <w:bookmarkEnd w:id="153"/>
      <w:bookmarkEnd w:id="154"/>
      <w:bookmarkEnd w:id="155"/>
      <w:bookmarkEnd w:id="156"/>
      <w:bookmarkEnd w:id="157"/>
      <w:bookmarkEnd w:id="158"/>
    </w:p>
    <w:tbl>
      <w:tblPr>
        <w:tblStyle w:val="SurveyQuestions"/>
        <w:tblW w:w="0" w:type="auto"/>
        <w:tblLayout w:type="fixed"/>
        <w:tblLook w:val="00A0" w:firstRow="1" w:lastRow="0" w:firstColumn="1" w:lastColumn="0" w:noHBand="0" w:noVBand="0"/>
      </w:tblPr>
      <w:tblGrid>
        <w:gridCol w:w="2410"/>
        <w:gridCol w:w="6941"/>
      </w:tblGrid>
      <w:tr w:rsidR="00613C02" w:rsidRPr="00F34813" w14:paraId="58D0CAAA" w14:textId="77777777" w:rsidTr="0C105E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440231A" w14:textId="77777777" w:rsidR="00613C02" w:rsidRPr="00F34813" w:rsidRDefault="00613C02" w:rsidP="00804A7A">
            <w:pPr>
              <w:rPr>
                <w:b w:val="0"/>
              </w:rPr>
            </w:pPr>
            <w:r w:rsidRPr="00F34813">
              <w:t>Term</w:t>
            </w:r>
          </w:p>
        </w:tc>
        <w:tc>
          <w:tcPr>
            <w:tcW w:w="6941" w:type="dxa"/>
          </w:tcPr>
          <w:p w14:paraId="4B8F7037" w14:textId="77777777" w:rsidR="00613C02" w:rsidRPr="00F34813" w:rsidRDefault="00613C02" w:rsidP="00804A7A">
            <w:pPr>
              <w:cnfStyle w:val="100000000000" w:firstRow="1" w:lastRow="0" w:firstColumn="0" w:lastColumn="0" w:oddVBand="0" w:evenVBand="0" w:oddHBand="0" w:evenHBand="0" w:firstRowFirstColumn="0" w:firstRowLastColumn="0" w:lastRowFirstColumn="0" w:lastRowLastColumn="0"/>
              <w:rPr>
                <w:b w:val="0"/>
              </w:rPr>
            </w:pPr>
            <w:r w:rsidRPr="00F34813">
              <w:t>Definition</w:t>
            </w:r>
          </w:p>
        </w:tc>
      </w:tr>
      <w:tr w:rsidR="00613C02" w:rsidRPr="00F34813" w14:paraId="35C71A68" w14:textId="77777777" w:rsidTr="0C105EF7">
        <w:tc>
          <w:tcPr>
            <w:cnfStyle w:val="001000000000" w:firstRow="0" w:lastRow="0" w:firstColumn="1" w:lastColumn="0" w:oddVBand="0" w:evenVBand="0" w:oddHBand="0" w:evenHBand="0" w:firstRowFirstColumn="0" w:firstRowLastColumn="0" w:lastRowFirstColumn="0" w:lastRowLastColumn="0"/>
            <w:tcW w:w="2410" w:type="dxa"/>
          </w:tcPr>
          <w:p w14:paraId="5CFBD00C" w14:textId="77777777" w:rsidR="00613C02" w:rsidRPr="00412CDD" w:rsidRDefault="00613C02" w:rsidP="00804A7A">
            <w:pPr>
              <w:rPr>
                <w:b w:val="0"/>
                <w:bCs/>
              </w:rPr>
            </w:pPr>
            <w:r w:rsidRPr="00412CDD">
              <w:rPr>
                <w:bCs/>
              </w:rPr>
              <w:t>Access control</w:t>
            </w:r>
          </w:p>
        </w:tc>
        <w:tc>
          <w:tcPr>
            <w:tcW w:w="6941" w:type="dxa"/>
          </w:tcPr>
          <w:p w14:paraId="4369329A" w14:textId="77777777" w:rsidR="00613C02" w:rsidRPr="00F34813" w:rsidRDefault="00613C02" w:rsidP="00804A7A">
            <w:pPr>
              <w:cnfStyle w:val="000000000000" w:firstRow="0" w:lastRow="0" w:firstColumn="0" w:lastColumn="0" w:oddVBand="0" w:evenVBand="0" w:oddHBand="0" w:evenHBand="0" w:firstRowFirstColumn="0" w:firstRowLastColumn="0" w:lastRowFirstColumn="0" w:lastRowLastColumn="0"/>
            </w:pPr>
            <w:r w:rsidRPr="00F34813">
              <w:t>A means of controlling access by users to computer systems or to data on a computer system.</w:t>
            </w:r>
          </w:p>
        </w:tc>
      </w:tr>
      <w:tr w:rsidR="00613C02" w:rsidRPr="00F34813" w14:paraId="67BFB19F" w14:textId="77777777" w:rsidTr="0C105EF7">
        <w:tc>
          <w:tcPr>
            <w:cnfStyle w:val="001000000000" w:firstRow="0" w:lastRow="0" w:firstColumn="1" w:lastColumn="0" w:oddVBand="0" w:evenVBand="0" w:oddHBand="0" w:evenHBand="0" w:firstRowFirstColumn="0" w:firstRowLastColumn="0" w:lastRowFirstColumn="0" w:lastRowLastColumn="0"/>
            <w:tcW w:w="2410" w:type="dxa"/>
          </w:tcPr>
          <w:p w14:paraId="324CE72B" w14:textId="77777777" w:rsidR="00613C02" w:rsidRPr="00412CDD" w:rsidRDefault="00613C02" w:rsidP="00804A7A">
            <w:pPr>
              <w:rPr>
                <w:b w:val="0"/>
                <w:bCs/>
              </w:rPr>
            </w:pPr>
            <w:r w:rsidRPr="00412CDD">
              <w:rPr>
                <w:bCs/>
              </w:rPr>
              <w:t>The Commission</w:t>
            </w:r>
          </w:p>
        </w:tc>
        <w:tc>
          <w:tcPr>
            <w:tcW w:w="6941" w:type="dxa"/>
          </w:tcPr>
          <w:p w14:paraId="4B4D18DD" w14:textId="77777777" w:rsidR="00613C02" w:rsidRPr="00F34813" w:rsidRDefault="00613C02" w:rsidP="00804A7A">
            <w:pPr>
              <w:cnfStyle w:val="000000000000" w:firstRow="0" w:lastRow="0" w:firstColumn="0" w:lastColumn="0" w:oddVBand="0" w:evenVBand="0" w:oddHBand="0" w:evenHBand="0" w:firstRowFirstColumn="0" w:firstRowLastColumn="0" w:lastRowFirstColumn="0" w:lastRowLastColumn="0"/>
            </w:pPr>
            <w:r w:rsidRPr="00F34813">
              <w:t>Australian Commission on Safety and Quality in Health Care.</w:t>
            </w:r>
          </w:p>
        </w:tc>
      </w:tr>
      <w:tr w:rsidR="00613C02" w:rsidRPr="00F34813" w14:paraId="0ADAF049" w14:textId="77777777" w:rsidTr="0C105EF7">
        <w:tc>
          <w:tcPr>
            <w:cnfStyle w:val="001000000000" w:firstRow="0" w:lastRow="0" w:firstColumn="1" w:lastColumn="0" w:oddVBand="0" w:evenVBand="0" w:oddHBand="0" w:evenHBand="0" w:firstRowFirstColumn="0" w:firstRowLastColumn="0" w:lastRowFirstColumn="0" w:lastRowLastColumn="0"/>
            <w:tcW w:w="2410" w:type="dxa"/>
          </w:tcPr>
          <w:p w14:paraId="400E0AB6" w14:textId="77777777" w:rsidR="00613C02" w:rsidRPr="00412CDD" w:rsidRDefault="00613C02" w:rsidP="00804A7A">
            <w:pPr>
              <w:rPr>
                <w:b w:val="0"/>
                <w:bCs/>
              </w:rPr>
            </w:pPr>
            <w:r w:rsidRPr="00412CDD">
              <w:rPr>
                <w:bCs/>
              </w:rPr>
              <w:t>Asset</w:t>
            </w:r>
          </w:p>
        </w:tc>
        <w:tc>
          <w:tcPr>
            <w:tcW w:w="6941" w:type="dxa"/>
          </w:tcPr>
          <w:p w14:paraId="75BDBBCF" w14:textId="227A74DD" w:rsidR="00613C02" w:rsidRPr="00F34813" w:rsidRDefault="00613C02" w:rsidP="00804A7A">
            <w:pPr>
              <w:cnfStyle w:val="000000000000" w:firstRow="0" w:lastRow="0" w:firstColumn="0" w:lastColumn="0" w:oddVBand="0" w:evenVBand="0" w:oddHBand="0" w:evenHBand="0" w:firstRowFirstColumn="0" w:firstRowLastColumn="0" w:lastRowFirstColumn="0" w:lastRowLastColumn="0"/>
            </w:pPr>
            <w:r w:rsidRPr="00F34813">
              <w:t>Anything that has value to an organisation.</w:t>
            </w:r>
            <w:r w:rsidR="00804A7A" w:rsidRPr="00804A7A">
              <w:rPr>
                <w:rFonts w:cs="Arial"/>
                <w:vertAlign w:val="superscript"/>
              </w:rPr>
              <w:t>15</w:t>
            </w:r>
          </w:p>
        </w:tc>
      </w:tr>
      <w:tr w:rsidR="00613C02" w:rsidRPr="00F34813" w14:paraId="2AE43E76" w14:textId="77777777" w:rsidTr="0C105EF7">
        <w:tc>
          <w:tcPr>
            <w:cnfStyle w:val="001000000000" w:firstRow="0" w:lastRow="0" w:firstColumn="1" w:lastColumn="0" w:oddVBand="0" w:evenVBand="0" w:oddHBand="0" w:evenHBand="0" w:firstRowFirstColumn="0" w:firstRowLastColumn="0" w:lastRowFirstColumn="0" w:lastRowLastColumn="0"/>
            <w:tcW w:w="2410" w:type="dxa"/>
          </w:tcPr>
          <w:p w14:paraId="0C40CC35" w14:textId="77777777" w:rsidR="00613C02" w:rsidRPr="00412CDD" w:rsidRDefault="00613C02" w:rsidP="00804A7A">
            <w:pPr>
              <w:rPr>
                <w:b w:val="0"/>
                <w:bCs/>
              </w:rPr>
            </w:pPr>
            <w:r w:rsidRPr="00412CDD">
              <w:rPr>
                <w:bCs/>
              </w:rPr>
              <w:t>Authentication</w:t>
            </w:r>
          </w:p>
        </w:tc>
        <w:tc>
          <w:tcPr>
            <w:tcW w:w="6941" w:type="dxa"/>
          </w:tcPr>
          <w:p w14:paraId="2CE6BCC3" w14:textId="0527FD16" w:rsidR="00613C02" w:rsidRPr="00F34813" w:rsidRDefault="00613C02" w:rsidP="00804A7A">
            <w:pPr>
              <w:cnfStyle w:val="000000000000" w:firstRow="0" w:lastRow="0" w:firstColumn="0" w:lastColumn="0" w:oddVBand="0" w:evenVBand="0" w:oddHBand="0" w:evenHBand="0" w:firstRowFirstColumn="0" w:firstRowLastColumn="0" w:lastRowFirstColumn="0" w:lastRowLastColumn="0"/>
            </w:pPr>
            <w:r w:rsidRPr="00F34813">
              <w:t>Means that one can verify whether the sender is who they say they are.</w:t>
            </w:r>
            <w:r w:rsidR="00804A7A" w:rsidRPr="00804A7A">
              <w:rPr>
                <w:rFonts w:cs="Arial"/>
                <w:vertAlign w:val="superscript"/>
              </w:rPr>
              <w:t>16</w:t>
            </w:r>
          </w:p>
        </w:tc>
      </w:tr>
      <w:tr w:rsidR="00613C02" w:rsidRPr="00F34813" w14:paraId="3DD64DCF" w14:textId="77777777" w:rsidTr="0C105EF7">
        <w:tc>
          <w:tcPr>
            <w:cnfStyle w:val="001000000000" w:firstRow="0" w:lastRow="0" w:firstColumn="1" w:lastColumn="0" w:oddVBand="0" w:evenVBand="0" w:oddHBand="0" w:evenHBand="0" w:firstRowFirstColumn="0" w:firstRowLastColumn="0" w:lastRowFirstColumn="0" w:lastRowLastColumn="0"/>
            <w:tcW w:w="2410" w:type="dxa"/>
          </w:tcPr>
          <w:p w14:paraId="113D027F" w14:textId="77777777" w:rsidR="00613C02" w:rsidRPr="00412CDD" w:rsidRDefault="00613C02" w:rsidP="00804A7A">
            <w:pPr>
              <w:rPr>
                <w:b w:val="0"/>
                <w:bCs/>
              </w:rPr>
            </w:pPr>
            <w:r w:rsidRPr="00412CDD">
              <w:rPr>
                <w:bCs/>
              </w:rPr>
              <w:t>Availability</w:t>
            </w:r>
          </w:p>
        </w:tc>
        <w:tc>
          <w:tcPr>
            <w:tcW w:w="6941" w:type="dxa"/>
          </w:tcPr>
          <w:p w14:paraId="6C957C81" w14:textId="775D403D" w:rsidR="00613C02" w:rsidRPr="00F34813" w:rsidRDefault="00613C02" w:rsidP="00804A7A">
            <w:pPr>
              <w:cnfStyle w:val="000000000000" w:firstRow="0" w:lastRow="0" w:firstColumn="0" w:lastColumn="0" w:oddVBand="0" w:evenVBand="0" w:oddHBand="0" w:evenHBand="0" w:firstRowFirstColumn="0" w:firstRowLastColumn="0" w:lastRowFirstColumn="0" w:lastRowLastColumn="0"/>
            </w:pPr>
            <w:r w:rsidRPr="00F34813">
              <w:t>Refers to the property of being accessing and usable on demand by an authorised entity.</w:t>
            </w:r>
            <w:r w:rsidR="00804A7A" w:rsidRPr="00804A7A">
              <w:rPr>
                <w:rFonts w:cs="Arial"/>
                <w:vertAlign w:val="superscript"/>
              </w:rPr>
              <w:t>17,18</w:t>
            </w:r>
          </w:p>
        </w:tc>
      </w:tr>
      <w:tr w:rsidR="00613C02" w:rsidRPr="00F34813" w14:paraId="0498E4D3" w14:textId="77777777" w:rsidTr="0C105EF7">
        <w:tc>
          <w:tcPr>
            <w:cnfStyle w:val="001000000000" w:firstRow="0" w:lastRow="0" w:firstColumn="1" w:lastColumn="0" w:oddVBand="0" w:evenVBand="0" w:oddHBand="0" w:evenHBand="0" w:firstRowFirstColumn="0" w:firstRowLastColumn="0" w:lastRowFirstColumn="0" w:lastRowLastColumn="0"/>
            <w:tcW w:w="2410" w:type="dxa"/>
          </w:tcPr>
          <w:p w14:paraId="6173DC15" w14:textId="77777777" w:rsidR="00613C02" w:rsidRPr="00412CDD" w:rsidRDefault="00613C02" w:rsidP="00804A7A">
            <w:pPr>
              <w:rPr>
                <w:b w:val="0"/>
                <w:bCs/>
              </w:rPr>
            </w:pPr>
            <w:r w:rsidRPr="00412CDD">
              <w:rPr>
                <w:bCs/>
              </w:rPr>
              <w:t xml:space="preserve">Centrally hosted </w:t>
            </w:r>
          </w:p>
        </w:tc>
        <w:tc>
          <w:tcPr>
            <w:tcW w:w="6941" w:type="dxa"/>
          </w:tcPr>
          <w:p w14:paraId="34CF0252" w14:textId="77777777" w:rsidR="00613C02" w:rsidRPr="00F34813" w:rsidRDefault="00613C02" w:rsidP="00804A7A">
            <w:pPr>
              <w:cnfStyle w:val="000000000000" w:firstRow="0" w:lastRow="0" w:firstColumn="0" w:lastColumn="0" w:oddVBand="0" w:evenVBand="0" w:oddHBand="0" w:evenHBand="0" w:firstRowFirstColumn="0" w:firstRowLastColumn="0" w:lastRowFirstColumn="0" w:lastRowLastColumn="0"/>
            </w:pPr>
            <w:r w:rsidRPr="00F34813">
              <w:t>Centrally hosted jurisdictional (</w:t>
            </w:r>
            <w:r>
              <w:t>Australian</w:t>
            </w:r>
            <w:r w:rsidRPr="00F34813">
              <w:t>, state and territory infrastructure model) national infrastructure</w:t>
            </w:r>
          </w:p>
        </w:tc>
      </w:tr>
      <w:tr w:rsidR="00613C02" w:rsidRPr="00F34813" w14:paraId="4EA06B49" w14:textId="77777777" w:rsidTr="0C105EF7">
        <w:tc>
          <w:tcPr>
            <w:cnfStyle w:val="001000000000" w:firstRow="0" w:lastRow="0" w:firstColumn="1" w:lastColumn="0" w:oddVBand="0" w:evenVBand="0" w:oddHBand="0" w:evenHBand="0" w:firstRowFirstColumn="0" w:firstRowLastColumn="0" w:lastRowFirstColumn="0" w:lastRowLastColumn="0"/>
            <w:tcW w:w="2410" w:type="dxa"/>
          </w:tcPr>
          <w:p w14:paraId="788F2EBE" w14:textId="77777777" w:rsidR="00613C02" w:rsidRPr="00412CDD" w:rsidRDefault="00613C02" w:rsidP="00804A7A">
            <w:pPr>
              <w:rPr>
                <w:b w:val="0"/>
                <w:bCs/>
              </w:rPr>
            </w:pPr>
            <w:r w:rsidRPr="00412CDD">
              <w:rPr>
                <w:bCs/>
              </w:rPr>
              <w:t>Confidentiality</w:t>
            </w:r>
          </w:p>
        </w:tc>
        <w:tc>
          <w:tcPr>
            <w:tcW w:w="6941" w:type="dxa"/>
          </w:tcPr>
          <w:p w14:paraId="280122CA" w14:textId="77777777" w:rsidR="00613C02" w:rsidRPr="00F34813" w:rsidRDefault="00613C02" w:rsidP="00804A7A">
            <w:pPr>
              <w:cnfStyle w:val="000000000000" w:firstRow="0" w:lastRow="0" w:firstColumn="0" w:lastColumn="0" w:oddVBand="0" w:evenVBand="0" w:oddHBand="0" w:evenHBand="0" w:firstRowFirstColumn="0" w:firstRowLastColumn="0" w:lastRowFirstColumn="0" w:lastRowLastColumn="0"/>
            </w:pPr>
            <w:r w:rsidRPr="00F34813">
              <w:t xml:space="preserve">The </w:t>
            </w:r>
            <w:r w:rsidRPr="007B3E35">
              <w:t xml:space="preserve">requirement </w:t>
            </w:r>
            <w:r w:rsidRPr="00F34813">
              <w:t>that information is not made available or disclosed to unauthorised individuals, entities or processes.</w:t>
            </w:r>
          </w:p>
        </w:tc>
      </w:tr>
      <w:tr w:rsidR="00613C02" w:rsidRPr="00F34813" w14:paraId="6E8CDC12" w14:textId="77777777" w:rsidTr="0C105EF7">
        <w:tc>
          <w:tcPr>
            <w:cnfStyle w:val="001000000000" w:firstRow="0" w:lastRow="0" w:firstColumn="1" w:lastColumn="0" w:oddVBand="0" w:evenVBand="0" w:oddHBand="0" w:evenHBand="0" w:firstRowFirstColumn="0" w:firstRowLastColumn="0" w:lastRowFirstColumn="0" w:lastRowLastColumn="0"/>
            <w:tcW w:w="2410" w:type="dxa"/>
          </w:tcPr>
          <w:p w14:paraId="7B40A96E" w14:textId="77777777" w:rsidR="00613C02" w:rsidRPr="00412CDD" w:rsidRDefault="00613C02" w:rsidP="00804A7A">
            <w:pPr>
              <w:rPr>
                <w:b w:val="0"/>
                <w:bCs/>
              </w:rPr>
            </w:pPr>
            <w:r w:rsidRPr="00412CDD">
              <w:rPr>
                <w:bCs/>
              </w:rPr>
              <w:t>CQR</w:t>
            </w:r>
          </w:p>
        </w:tc>
        <w:tc>
          <w:tcPr>
            <w:tcW w:w="6941" w:type="dxa"/>
          </w:tcPr>
          <w:p w14:paraId="7AB0DFF6" w14:textId="77777777" w:rsidR="00613C02" w:rsidRPr="00F34813" w:rsidRDefault="00613C02" w:rsidP="00804A7A">
            <w:pPr>
              <w:cnfStyle w:val="000000000000" w:firstRow="0" w:lastRow="0" w:firstColumn="0" w:lastColumn="0" w:oddVBand="0" w:evenVBand="0" w:oddHBand="0" w:evenHBand="0" w:firstRowFirstColumn="0" w:firstRowLastColumn="0" w:lastRowFirstColumn="0" w:lastRowLastColumn="0"/>
            </w:pPr>
            <w:r w:rsidRPr="00F34813">
              <w:t>Clinical Quality Registry.</w:t>
            </w:r>
          </w:p>
        </w:tc>
      </w:tr>
      <w:tr w:rsidR="00613C02" w:rsidRPr="00F34813" w14:paraId="271C2C0D" w14:textId="77777777" w:rsidTr="0C105EF7">
        <w:tc>
          <w:tcPr>
            <w:cnfStyle w:val="001000000000" w:firstRow="0" w:lastRow="0" w:firstColumn="1" w:lastColumn="0" w:oddVBand="0" w:evenVBand="0" w:oddHBand="0" w:evenHBand="0" w:firstRowFirstColumn="0" w:firstRowLastColumn="0" w:lastRowFirstColumn="0" w:lastRowLastColumn="0"/>
            <w:tcW w:w="2410" w:type="dxa"/>
          </w:tcPr>
          <w:p w14:paraId="2CE39A8C" w14:textId="77777777" w:rsidR="00613C02" w:rsidRPr="00412CDD" w:rsidRDefault="00613C02" w:rsidP="00804A7A">
            <w:pPr>
              <w:rPr>
                <w:b w:val="0"/>
                <w:bCs/>
              </w:rPr>
            </w:pPr>
            <w:r w:rsidRPr="00412CDD">
              <w:rPr>
                <w:bCs/>
              </w:rPr>
              <w:t>Data hosting infrastructure</w:t>
            </w:r>
          </w:p>
        </w:tc>
        <w:tc>
          <w:tcPr>
            <w:tcW w:w="6941" w:type="dxa"/>
          </w:tcPr>
          <w:p w14:paraId="32ACB803" w14:textId="77777777" w:rsidR="00613C02" w:rsidRPr="00F34813" w:rsidRDefault="00613C02" w:rsidP="00804A7A">
            <w:pPr>
              <w:cnfStyle w:val="000000000000" w:firstRow="0" w:lastRow="0" w:firstColumn="0" w:lastColumn="0" w:oddVBand="0" w:evenVBand="0" w:oddHBand="0" w:evenHBand="0" w:firstRowFirstColumn="0" w:firstRowLastColumn="0" w:lastRowFirstColumn="0" w:lastRowLastColumn="0"/>
            </w:pPr>
            <w:r>
              <w:t>In</w:t>
            </w:r>
            <w:r w:rsidRPr="00F34813">
              <w:t xml:space="preserve"> this document, data hosting infrastructure refers to capacity and/or capability of ICT infrastructure such as data hosting services, hardware and software applications.</w:t>
            </w:r>
            <w:r>
              <w:t xml:space="preserve"> </w:t>
            </w:r>
          </w:p>
        </w:tc>
      </w:tr>
      <w:tr w:rsidR="00613C02" w:rsidRPr="00F34813" w14:paraId="680FA782" w14:textId="77777777" w:rsidTr="0C105EF7">
        <w:tc>
          <w:tcPr>
            <w:cnfStyle w:val="001000000000" w:firstRow="0" w:lastRow="0" w:firstColumn="1" w:lastColumn="0" w:oddVBand="0" w:evenVBand="0" w:oddHBand="0" w:evenHBand="0" w:firstRowFirstColumn="0" w:firstRowLastColumn="0" w:lastRowFirstColumn="0" w:lastRowLastColumn="0"/>
            <w:tcW w:w="2410" w:type="dxa"/>
          </w:tcPr>
          <w:p w14:paraId="7ED2A3D8" w14:textId="77777777" w:rsidR="00613C02" w:rsidRPr="00412CDD" w:rsidRDefault="00613C02" w:rsidP="00804A7A">
            <w:pPr>
              <w:rPr>
                <w:b w:val="0"/>
                <w:bCs/>
              </w:rPr>
            </w:pPr>
            <w:r w:rsidRPr="00412CDD">
              <w:rPr>
                <w:bCs/>
              </w:rPr>
              <w:t>Denial of service</w:t>
            </w:r>
          </w:p>
        </w:tc>
        <w:tc>
          <w:tcPr>
            <w:tcW w:w="6941" w:type="dxa"/>
          </w:tcPr>
          <w:p w14:paraId="71E48D5A" w14:textId="07E84D68" w:rsidR="00613C02" w:rsidRPr="00F34813" w:rsidRDefault="00613C02" w:rsidP="00804A7A">
            <w:pPr>
              <w:cnfStyle w:val="000000000000" w:firstRow="0" w:lastRow="0" w:firstColumn="0" w:lastColumn="0" w:oddVBand="0" w:evenVBand="0" w:oddHBand="0" w:evenHBand="0" w:firstRowFirstColumn="0" w:firstRowLastColumn="0" w:lastRowFirstColumn="0" w:lastRowLastColumn="0"/>
            </w:pPr>
            <w:r w:rsidRPr="00F34813">
              <w:t>A</w:t>
            </w:r>
            <w:r>
              <w:t xml:space="preserve"> </w:t>
            </w:r>
            <w:r w:rsidR="006F18D1">
              <w:t>cyber</w:t>
            </w:r>
            <w:r w:rsidR="006F18D1" w:rsidRPr="00F34813">
              <w:t>-attack</w:t>
            </w:r>
            <w:r w:rsidRPr="00F34813">
              <w:t xml:space="preserve"> that prevent</w:t>
            </w:r>
            <w:r>
              <w:t>s</w:t>
            </w:r>
            <w:r w:rsidRPr="00F34813">
              <w:t xml:space="preserve"> authorised access </w:t>
            </w:r>
            <w:r>
              <w:t xml:space="preserve">to </w:t>
            </w:r>
            <w:r w:rsidRPr="00F34813">
              <w:t>and availability of organisational information/services/resources.</w:t>
            </w:r>
          </w:p>
        </w:tc>
      </w:tr>
      <w:tr w:rsidR="00613C02" w:rsidRPr="00F34813" w14:paraId="4E33BC0D" w14:textId="77777777" w:rsidTr="0C105EF7">
        <w:tc>
          <w:tcPr>
            <w:cnfStyle w:val="001000000000" w:firstRow="0" w:lastRow="0" w:firstColumn="1" w:lastColumn="0" w:oddVBand="0" w:evenVBand="0" w:oddHBand="0" w:evenHBand="0" w:firstRowFirstColumn="0" w:firstRowLastColumn="0" w:lastRowFirstColumn="0" w:lastRowLastColumn="0"/>
            <w:tcW w:w="2410" w:type="dxa"/>
          </w:tcPr>
          <w:p w14:paraId="3B9A2322" w14:textId="77777777" w:rsidR="00613C02" w:rsidRPr="00412CDD" w:rsidRDefault="00613C02" w:rsidP="00804A7A">
            <w:pPr>
              <w:rPr>
                <w:b w:val="0"/>
                <w:bCs/>
              </w:rPr>
            </w:pPr>
            <w:r w:rsidRPr="00412CDD">
              <w:rPr>
                <w:bCs/>
              </w:rPr>
              <w:t>External data hosting infrastructure provider</w:t>
            </w:r>
          </w:p>
        </w:tc>
        <w:tc>
          <w:tcPr>
            <w:tcW w:w="6941" w:type="dxa"/>
          </w:tcPr>
          <w:p w14:paraId="2342A153" w14:textId="77777777" w:rsidR="00613C02" w:rsidRPr="00F34813" w:rsidRDefault="00613C02" w:rsidP="00804A7A">
            <w:pPr>
              <w:cnfStyle w:val="000000000000" w:firstRow="0" w:lastRow="0" w:firstColumn="0" w:lastColumn="0" w:oddVBand="0" w:evenVBand="0" w:oddHBand="0" w:evenHBand="0" w:firstRowFirstColumn="0" w:firstRowLastColumn="0" w:lastRowFirstColumn="0" w:lastRowLastColumn="0"/>
            </w:pPr>
            <w:r w:rsidRPr="00F34813">
              <w:t xml:space="preserve">In the context of this document, an external data hosting infrastructure provider refers to organisations that provide technology infrastructure such as hosting services, hardware or applications to standalone CQRs through a third-party service provider arrangement. </w:t>
            </w:r>
          </w:p>
        </w:tc>
      </w:tr>
      <w:tr w:rsidR="00613C02" w:rsidRPr="00F34813" w14:paraId="5A7AD0F5" w14:textId="77777777" w:rsidTr="0C105EF7">
        <w:tc>
          <w:tcPr>
            <w:cnfStyle w:val="001000000000" w:firstRow="0" w:lastRow="0" w:firstColumn="1" w:lastColumn="0" w:oddVBand="0" w:evenVBand="0" w:oddHBand="0" w:evenHBand="0" w:firstRowFirstColumn="0" w:firstRowLastColumn="0" w:lastRowFirstColumn="0" w:lastRowLastColumn="0"/>
            <w:tcW w:w="2410" w:type="dxa"/>
          </w:tcPr>
          <w:p w14:paraId="31C222D4" w14:textId="77777777" w:rsidR="00613C02" w:rsidRPr="00412CDD" w:rsidRDefault="00613C02" w:rsidP="00804A7A">
            <w:pPr>
              <w:rPr>
                <w:b w:val="0"/>
                <w:bCs/>
              </w:rPr>
            </w:pPr>
            <w:r w:rsidRPr="00412CDD">
              <w:rPr>
                <w:bCs/>
              </w:rPr>
              <w:t>Encryption</w:t>
            </w:r>
          </w:p>
        </w:tc>
        <w:tc>
          <w:tcPr>
            <w:tcW w:w="6941" w:type="dxa"/>
          </w:tcPr>
          <w:p w14:paraId="7FBEEC43" w14:textId="2B9C7EC8" w:rsidR="00613C02" w:rsidRPr="00F34813" w:rsidRDefault="00613C02" w:rsidP="00804A7A">
            <w:pPr>
              <w:cnfStyle w:val="000000000000" w:firstRow="0" w:lastRow="0" w:firstColumn="0" w:lastColumn="0" w:oddVBand="0" w:evenVBand="0" w:oddHBand="0" w:evenHBand="0" w:firstRowFirstColumn="0" w:firstRowLastColumn="0" w:lastRowFirstColumn="0" w:lastRowLastColumn="0"/>
            </w:pPr>
            <w:r w:rsidRPr="00F34813">
              <w:t xml:space="preserve">Data are electronically </w:t>
            </w:r>
            <w:r>
              <w:t>‘</w:t>
            </w:r>
            <w:r w:rsidRPr="00F34813">
              <w:t>scrambled</w:t>
            </w:r>
            <w:r>
              <w:t>’</w:t>
            </w:r>
            <w:r w:rsidRPr="00F34813">
              <w:t xml:space="preserve"> so it cannot be read unless the information is decrypted.</w:t>
            </w:r>
            <w:r w:rsidR="00804A7A" w:rsidRPr="00804A7A">
              <w:rPr>
                <w:rFonts w:cs="Arial"/>
                <w:vertAlign w:val="superscript"/>
              </w:rPr>
              <w:t>19</w:t>
            </w:r>
          </w:p>
        </w:tc>
      </w:tr>
      <w:tr w:rsidR="00613C02" w:rsidRPr="00F34813" w14:paraId="78B0407F" w14:textId="77777777" w:rsidTr="0C105EF7">
        <w:tc>
          <w:tcPr>
            <w:cnfStyle w:val="001000000000" w:firstRow="0" w:lastRow="0" w:firstColumn="1" w:lastColumn="0" w:oddVBand="0" w:evenVBand="0" w:oddHBand="0" w:evenHBand="0" w:firstRowFirstColumn="0" w:firstRowLastColumn="0" w:lastRowFirstColumn="0" w:lastRowLastColumn="0"/>
            <w:tcW w:w="2410" w:type="dxa"/>
          </w:tcPr>
          <w:p w14:paraId="34AF2231" w14:textId="77777777" w:rsidR="00613C02" w:rsidRPr="00412CDD" w:rsidRDefault="00613C02" w:rsidP="00804A7A">
            <w:pPr>
              <w:rPr>
                <w:b w:val="0"/>
                <w:bCs/>
              </w:rPr>
            </w:pPr>
            <w:r w:rsidRPr="00412CDD">
              <w:rPr>
                <w:bCs/>
              </w:rPr>
              <w:t>Firewall</w:t>
            </w:r>
          </w:p>
        </w:tc>
        <w:tc>
          <w:tcPr>
            <w:tcW w:w="6941" w:type="dxa"/>
          </w:tcPr>
          <w:p w14:paraId="3DBF8DD0" w14:textId="77777777" w:rsidR="00613C02" w:rsidRPr="00F34813" w:rsidRDefault="00613C02" w:rsidP="00804A7A">
            <w:pPr>
              <w:cnfStyle w:val="000000000000" w:firstRow="0" w:lastRow="0" w:firstColumn="0" w:lastColumn="0" w:oddVBand="0" w:evenVBand="0" w:oddHBand="0" w:evenHBand="0" w:firstRowFirstColumn="0" w:firstRowLastColumn="0" w:lastRowFirstColumn="0" w:lastRowLastColumn="0"/>
            </w:pPr>
            <w:r w:rsidRPr="00F34813">
              <w:t>Device(s) designed to prevent unauthorised transmission to or from a private network based on a set of rules. Used to protect networks from unauthorised access while permitting legitimate communications to pass through</w:t>
            </w:r>
            <w:r>
              <w:t>.</w:t>
            </w:r>
          </w:p>
        </w:tc>
      </w:tr>
      <w:tr w:rsidR="00613C02" w:rsidRPr="00F34813" w14:paraId="019CB14B" w14:textId="77777777" w:rsidTr="0C105EF7">
        <w:tc>
          <w:tcPr>
            <w:cnfStyle w:val="001000000000" w:firstRow="0" w:lastRow="0" w:firstColumn="1" w:lastColumn="0" w:oddVBand="0" w:evenVBand="0" w:oddHBand="0" w:evenHBand="0" w:firstRowFirstColumn="0" w:firstRowLastColumn="0" w:lastRowFirstColumn="0" w:lastRowLastColumn="0"/>
            <w:tcW w:w="2410" w:type="dxa"/>
          </w:tcPr>
          <w:p w14:paraId="1CA74379" w14:textId="77777777" w:rsidR="00613C02" w:rsidRPr="00412CDD" w:rsidRDefault="00613C02" w:rsidP="00804A7A">
            <w:pPr>
              <w:rPr>
                <w:b w:val="0"/>
                <w:bCs/>
              </w:rPr>
            </w:pPr>
            <w:r w:rsidRPr="00412CDD">
              <w:rPr>
                <w:bCs/>
              </w:rPr>
              <w:t>Health information system</w:t>
            </w:r>
          </w:p>
        </w:tc>
        <w:tc>
          <w:tcPr>
            <w:tcW w:w="6941" w:type="dxa"/>
          </w:tcPr>
          <w:p w14:paraId="57D42BAF" w14:textId="6BF2578E" w:rsidR="00613C02" w:rsidRPr="00F34813" w:rsidRDefault="00613C02" w:rsidP="00804A7A">
            <w:pPr>
              <w:cnfStyle w:val="000000000000" w:firstRow="0" w:lastRow="0" w:firstColumn="0" w:lastColumn="0" w:oddVBand="0" w:evenVBand="0" w:oddHBand="0" w:evenHBand="0" w:firstRowFirstColumn="0" w:firstRowLastColumn="0" w:lastRowFirstColumn="0" w:lastRowLastColumn="0"/>
            </w:pPr>
            <w:r w:rsidRPr="00F34813">
              <w:t xml:space="preserve">Repository of information regarding the health of a </w:t>
            </w:r>
            <w:r w:rsidRPr="007B3E35">
              <w:t xml:space="preserve">patient </w:t>
            </w:r>
            <w:r w:rsidRPr="00F34813">
              <w:t>in computer-processable form, stored and transmitted securely, and accessible by multiple authorised users.</w:t>
            </w:r>
            <w:r w:rsidR="00FC2A80" w:rsidRPr="00FC2A80">
              <w:rPr>
                <w:rFonts w:cs="Arial"/>
                <w:vertAlign w:val="superscript"/>
              </w:rPr>
              <w:t>20</w:t>
            </w:r>
          </w:p>
        </w:tc>
      </w:tr>
      <w:tr w:rsidR="00613C02" w:rsidRPr="00F34813" w14:paraId="1D84E02C" w14:textId="77777777" w:rsidTr="0C105EF7">
        <w:tc>
          <w:tcPr>
            <w:cnfStyle w:val="001000000000" w:firstRow="0" w:lastRow="0" w:firstColumn="1" w:lastColumn="0" w:oddVBand="0" w:evenVBand="0" w:oddHBand="0" w:evenHBand="0" w:firstRowFirstColumn="0" w:firstRowLastColumn="0" w:lastRowFirstColumn="0" w:lastRowLastColumn="0"/>
            <w:tcW w:w="2410" w:type="dxa"/>
          </w:tcPr>
          <w:p w14:paraId="734A401E" w14:textId="77777777" w:rsidR="00613C02" w:rsidRPr="00412CDD" w:rsidRDefault="00613C02" w:rsidP="00804A7A">
            <w:pPr>
              <w:rPr>
                <w:b w:val="0"/>
                <w:bCs/>
              </w:rPr>
            </w:pPr>
            <w:r w:rsidRPr="00412CDD">
              <w:rPr>
                <w:bCs/>
              </w:rPr>
              <w:t>Health care</w:t>
            </w:r>
          </w:p>
        </w:tc>
        <w:tc>
          <w:tcPr>
            <w:tcW w:w="6941" w:type="dxa"/>
          </w:tcPr>
          <w:p w14:paraId="028AAFBF" w14:textId="70B2B2D6" w:rsidR="00613C02" w:rsidRPr="00F34813" w:rsidRDefault="00613C02" w:rsidP="00804A7A">
            <w:pPr>
              <w:cnfStyle w:val="000000000000" w:firstRow="0" w:lastRow="0" w:firstColumn="0" w:lastColumn="0" w:oddVBand="0" w:evenVBand="0" w:oddHBand="0" w:evenHBand="0" w:firstRowFirstColumn="0" w:firstRowLastColumn="0" w:lastRowFirstColumn="0" w:lastRowLastColumn="0"/>
            </w:pPr>
            <w:r>
              <w:t>Any type of service provided by professionals or paraprofessionals with an impact on health status</w:t>
            </w:r>
            <w:r w:rsidR="0DFBD90E" w:rsidRPr="0C105EF7">
              <w:rPr>
                <w:rFonts w:cs="Arial"/>
                <w:vertAlign w:val="superscript"/>
              </w:rPr>
              <w:t>21</w:t>
            </w:r>
          </w:p>
        </w:tc>
      </w:tr>
      <w:tr w:rsidR="00613C02" w:rsidRPr="00F34813" w14:paraId="174C09CE" w14:textId="77777777" w:rsidTr="0C105EF7">
        <w:tc>
          <w:tcPr>
            <w:cnfStyle w:val="001000000000" w:firstRow="0" w:lastRow="0" w:firstColumn="1" w:lastColumn="0" w:oddVBand="0" w:evenVBand="0" w:oddHBand="0" w:evenHBand="0" w:firstRowFirstColumn="0" w:firstRowLastColumn="0" w:lastRowFirstColumn="0" w:lastRowLastColumn="0"/>
            <w:tcW w:w="2410" w:type="dxa"/>
          </w:tcPr>
          <w:p w14:paraId="0D98AACB" w14:textId="77777777" w:rsidR="00613C02" w:rsidRPr="00412CDD" w:rsidRDefault="00613C02" w:rsidP="00804A7A">
            <w:pPr>
              <w:rPr>
                <w:b w:val="0"/>
                <w:bCs/>
              </w:rPr>
            </w:pPr>
            <w:r w:rsidRPr="00412CDD">
              <w:rPr>
                <w:bCs/>
              </w:rPr>
              <w:lastRenderedPageBreak/>
              <w:t>Healthcare organisation</w:t>
            </w:r>
          </w:p>
        </w:tc>
        <w:tc>
          <w:tcPr>
            <w:tcW w:w="6941" w:type="dxa"/>
          </w:tcPr>
          <w:p w14:paraId="34DCD7B5" w14:textId="008B6D72" w:rsidR="00613C02" w:rsidRPr="00F34813" w:rsidRDefault="00613C02" w:rsidP="00804A7A">
            <w:pPr>
              <w:cnfStyle w:val="000000000000" w:firstRow="0" w:lastRow="0" w:firstColumn="0" w:lastColumn="0" w:oddVBand="0" w:evenVBand="0" w:oddHBand="0" w:evenHBand="0" w:firstRowFirstColumn="0" w:firstRowLastColumn="0" w:lastRowFirstColumn="0" w:lastRowLastColumn="0"/>
            </w:pPr>
            <w:r w:rsidRPr="00F34813">
              <w:t>Generic term used to describe many types of organisations that provide healthcare services.</w:t>
            </w:r>
            <w:r w:rsidR="00FC2A80" w:rsidRPr="00FC2A80">
              <w:rPr>
                <w:rFonts w:cs="Arial"/>
                <w:vertAlign w:val="superscript"/>
              </w:rPr>
              <w:t>21</w:t>
            </w:r>
          </w:p>
        </w:tc>
      </w:tr>
      <w:tr w:rsidR="00613C02" w:rsidRPr="00F34813" w14:paraId="791B455E" w14:textId="77777777" w:rsidTr="0C105EF7">
        <w:tc>
          <w:tcPr>
            <w:cnfStyle w:val="001000000000" w:firstRow="0" w:lastRow="0" w:firstColumn="1" w:lastColumn="0" w:oddVBand="0" w:evenVBand="0" w:oddHBand="0" w:evenHBand="0" w:firstRowFirstColumn="0" w:firstRowLastColumn="0" w:lastRowFirstColumn="0" w:lastRowLastColumn="0"/>
            <w:tcW w:w="2410" w:type="dxa"/>
          </w:tcPr>
          <w:p w14:paraId="5B20EF83" w14:textId="77777777" w:rsidR="00613C02" w:rsidRPr="00412CDD" w:rsidRDefault="00613C02" w:rsidP="00804A7A">
            <w:pPr>
              <w:rPr>
                <w:b w:val="0"/>
                <w:bCs/>
              </w:rPr>
            </w:pPr>
            <w:r w:rsidRPr="00412CDD">
              <w:rPr>
                <w:bCs/>
              </w:rPr>
              <w:t>Information security</w:t>
            </w:r>
          </w:p>
        </w:tc>
        <w:tc>
          <w:tcPr>
            <w:tcW w:w="6941" w:type="dxa"/>
          </w:tcPr>
          <w:p w14:paraId="19915FF7" w14:textId="77777777" w:rsidR="00613C02" w:rsidRPr="00F34813" w:rsidRDefault="00613C02" w:rsidP="00804A7A">
            <w:pPr>
              <w:cnfStyle w:val="000000000000" w:firstRow="0" w:lastRow="0" w:firstColumn="0" w:lastColumn="0" w:oddVBand="0" w:evenVBand="0" w:oddHBand="0" w:evenHBand="0" w:firstRowFirstColumn="0" w:firstRowLastColumn="0" w:lastRowFirstColumn="0" w:lastRowLastColumn="0"/>
            </w:pPr>
            <w:r w:rsidRPr="00F34813">
              <w:t>Preservation of confidentiality, integrity and availability of information.</w:t>
            </w:r>
          </w:p>
        </w:tc>
      </w:tr>
      <w:tr w:rsidR="00613C02" w:rsidRPr="00F34813" w14:paraId="5A4B54B8" w14:textId="77777777" w:rsidTr="0C105EF7">
        <w:tc>
          <w:tcPr>
            <w:cnfStyle w:val="001000000000" w:firstRow="0" w:lastRow="0" w:firstColumn="1" w:lastColumn="0" w:oddVBand="0" w:evenVBand="0" w:oddHBand="0" w:evenHBand="0" w:firstRowFirstColumn="0" w:firstRowLastColumn="0" w:lastRowFirstColumn="0" w:lastRowLastColumn="0"/>
            <w:tcW w:w="2410" w:type="dxa"/>
          </w:tcPr>
          <w:p w14:paraId="264121A8" w14:textId="77777777" w:rsidR="00613C02" w:rsidRPr="00412CDD" w:rsidRDefault="00613C02" w:rsidP="00804A7A">
            <w:pPr>
              <w:rPr>
                <w:b w:val="0"/>
                <w:bCs/>
              </w:rPr>
            </w:pPr>
            <w:r w:rsidRPr="00412CDD">
              <w:rPr>
                <w:bCs/>
              </w:rPr>
              <w:t>Integrity</w:t>
            </w:r>
          </w:p>
        </w:tc>
        <w:tc>
          <w:tcPr>
            <w:tcW w:w="6941" w:type="dxa"/>
          </w:tcPr>
          <w:p w14:paraId="2BB50346" w14:textId="2CC7D1A4" w:rsidR="00613C02" w:rsidRPr="00F34813" w:rsidRDefault="00613C02" w:rsidP="00804A7A">
            <w:pPr>
              <w:cnfStyle w:val="000000000000" w:firstRow="0" w:lastRow="0" w:firstColumn="0" w:lastColumn="0" w:oddVBand="0" w:evenVBand="0" w:oddHBand="0" w:evenHBand="0" w:firstRowFirstColumn="0" w:firstRowLastColumn="0" w:lastRowFirstColumn="0" w:lastRowLastColumn="0"/>
            </w:pPr>
            <w:r w:rsidRPr="007B3E35">
              <w:t xml:space="preserve">The property of data that has not been altered or destroyed. Also the property of a system </w:t>
            </w:r>
            <w:r>
              <w:t xml:space="preserve">that </w:t>
            </w:r>
            <w:r w:rsidRPr="00F34813">
              <w:t>can perform its intended function in an unimpaired manner, free from deliberate or accidental unauthorised manipulation of the system.</w:t>
            </w:r>
            <w:r w:rsidR="00FC2A80" w:rsidRPr="00FC2A80">
              <w:rPr>
                <w:rFonts w:cs="Arial"/>
                <w:vertAlign w:val="superscript"/>
              </w:rPr>
              <w:t>21</w:t>
            </w:r>
          </w:p>
        </w:tc>
      </w:tr>
      <w:tr w:rsidR="00613C02" w:rsidRPr="00F34813" w14:paraId="19FDE851" w14:textId="77777777" w:rsidTr="0C105EF7">
        <w:tc>
          <w:tcPr>
            <w:cnfStyle w:val="001000000000" w:firstRow="0" w:lastRow="0" w:firstColumn="1" w:lastColumn="0" w:oddVBand="0" w:evenVBand="0" w:oddHBand="0" w:evenHBand="0" w:firstRowFirstColumn="0" w:firstRowLastColumn="0" w:lastRowFirstColumn="0" w:lastRowLastColumn="0"/>
            <w:tcW w:w="2410" w:type="dxa"/>
          </w:tcPr>
          <w:p w14:paraId="40283734" w14:textId="77777777" w:rsidR="00613C02" w:rsidRPr="00412CDD" w:rsidRDefault="00613C02" w:rsidP="00804A7A">
            <w:pPr>
              <w:rPr>
                <w:b w:val="0"/>
                <w:bCs/>
              </w:rPr>
            </w:pPr>
            <w:r w:rsidRPr="00412CDD">
              <w:rPr>
                <w:bCs/>
              </w:rPr>
              <w:t>NESAF</w:t>
            </w:r>
          </w:p>
        </w:tc>
        <w:tc>
          <w:tcPr>
            <w:tcW w:w="6941" w:type="dxa"/>
          </w:tcPr>
          <w:p w14:paraId="61DA97C9" w14:textId="77777777" w:rsidR="00613C02" w:rsidRPr="00F34813" w:rsidRDefault="00613C02" w:rsidP="00804A7A">
            <w:pPr>
              <w:cnfStyle w:val="000000000000" w:firstRow="0" w:lastRow="0" w:firstColumn="0" w:lastColumn="0" w:oddVBand="0" w:evenVBand="0" w:oddHBand="0" w:evenHBand="0" w:firstRowFirstColumn="0" w:firstRowLastColumn="0" w:lastRowFirstColumn="0" w:lastRowLastColumn="0"/>
            </w:pPr>
            <w:r w:rsidRPr="00F34813">
              <w:t xml:space="preserve">National </w:t>
            </w:r>
            <w:r>
              <w:t>e</w:t>
            </w:r>
            <w:r w:rsidRPr="00F34813">
              <w:t xml:space="preserve">Health Security and Access </w:t>
            </w:r>
            <w:r>
              <w:t>Framework</w:t>
            </w:r>
            <w:r w:rsidRPr="00F34813">
              <w:t>.</w:t>
            </w:r>
          </w:p>
        </w:tc>
      </w:tr>
      <w:tr w:rsidR="00613C02" w:rsidRPr="00F34813" w14:paraId="185BC641" w14:textId="77777777" w:rsidTr="0C105EF7">
        <w:tc>
          <w:tcPr>
            <w:cnfStyle w:val="001000000000" w:firstRow="0" w:lastRow="0" w:firstColumn="1" w:lastColumn="0" w:oddVBand="0" w:evenVBand="0" w:oddHBand="0" w:evenHBand="0" w:firstRowFirstColumn="0" w:firstRowLastColumn="0" w:lastRowFirstColumn="0" w:lastRowLastColumn="0"/>
            <w:tcW w:w="2410" w:type="dxa"/>
          </w:tcPr>
          <w:p w14:paraId="3CC62D4A" w14:textId="77777777" w:rsidR="00613C02" w:rsidRPr="00412CDD" w:rsidRDefault="00613C02" w:rsidP="00804A7A">
            <w:pPr>
              <w:rPr>
                <w:b w:val="0"/>
                <w:bCs/>
              </w:rPr>
            </w:pPr>
            <w:r w:rsidRPr="00412CDD">
              <w:rPr>
                <w:bCs/>
              </w:rPr>
              <w:t>Malicious code</w:t>
            </w:r>
          </w:p>
        </w:tc>
        <w:tc>
          <w:tcPr>
            <w:tcW w:w="6941" w:type="dxa"/>
          </w:tcPr>
          <w:p w14:paraId="19C43CC3" w14:textId="77777777" w:rsidR="00613C02" w:rsidRPr="00F34813" w:rsidRDefault="00613C02" w:rsidP="00804A7A">
            <w:pPr>
              <w:cnfStyle w:val="000000000000" w:firstRow="0" w:lastRow="0" w:firstColumn="0" w:lastColumn="0" w:oddVBand="0" w:evenVBand="0" w:oddHBand="0" w:evenHBand="0" w:firstRowFirstColumn="0" w:firstRowLastColumn="0" w:lastRowFirstColumn="0" w:lastRowLastColumn="0"/>
            </w:pPr>
            <w:r w:rsidRPr="00F34813">
              <w:t>Programs such as viruses and worms designed to exploit weaknesses in computer software and replicate and/or attach themselves to other software programs on a computer or a network.</w:t>
            </w:r>
          </w:p>
        </w:tc>
      </w:tr>
      <w:tr w:rsidR="00613C02" w:rsidRPr="00F34813" w14:paraId="142C62E6" w14:textId="77777777" w:rsidTr="0C105EF7">
        <w:tc>
          <w:tcPr>
            <w:cnfStyle w:val="001000000000" w:firstRow="0" w:lastRow="0" w:firstColumn="1" w:lastColumn="0" w:oddVBand="0" w:evenVBand="0" w:oddHBand="0" w:evenHBand="0" w:firstRowFirstColumn="0" w:firstRowLastColumn="0" w:lastRowFirstColumn="0" w:lastRowLastColumn="0"/>
            <w:tcW w:w="2410" w:type="dxa"/>
          </w:tcPr>
          <w:p w14:paraId="13D1750C" w14:textId="77777777" w:rsidR="00613C02" w:rsidRPr="00412CDD" w:rsidRDefault="00613C02" w:rsidP="00804A7A">
            <w:pPr>
              <w:rPr>
                <w:b w:val="0"/>
                <w:bCs/>
              </w:rPr>
            </w:pPr>
            <w:r w:rsidRPr="00412CDD">
              <w:rPr>
                <w:bCs/>
              </w:rPr>
              <w:t>Personal health information</w:t>
            </w:r>
          </w:p>
        </w:tc>
        <w:tc>
          <w:tcPr>
            <w:tcW w:w="6941" w:type="dxa"/>
          </w:tcPr>
          <w:p w14:paraId="65840122" w14:textId="4731CB40" w:rsidR="00613C02" w:rsidRPr="00F34813" w:rsidRDefault="00613C02" w:rsidP="00804A7A">
            <w:pPr>
              <w:cnfStyle w:val="000000000000" w:firstRow="0" w:lastRow="0" w:firstColumn="0" w:lastColumn="0" w:oddVBand="0" w:evenVBand="0" w:oddHBand="0" w:evenHBand="0" w:firstRowFirstColumn="0" w:firstRowLastColumn="0" w:lastRowFirstColumn="0" w:lastRowLastColumn="0"/>
            </w:pPr>
            <w:r w:rsidRPr="00F34813">
              <w:t>Information about an identifiable person which relates to the physical or mental health of the individual or to provision of health services to the individual</w:t>
            </w:r>
            <w:r w:rsidR="00FC2A80">
              <w:t>.</w:t>
            </w:r>
            <w:r w:rsidR="00FC2A80" w:rsidRPr="00FC2A80">
              <w:rPr>
                <w:vertAlign w:val="superscript"/>
              </w:rPr>
              <w:t>20</w:t>
            </w:r>
          </w:p>
        </w:tc>
      </w:tr>
      <w:tr w:rsidR="00613C02" w:rsidRPr="00F34813" w14:paraId="4DB274E2" w14:textId="77777777" w:rsidTr="0C105EF7">
        <w:tc>
          <w:tcPr>
            <w:cnfStyle w:val="001000000000" w:firstRow="0" w:lastRow="0" w:firstColumn="1" w:lastColumn="0" w:oddVBand="0" w:evenVBand="0" w:oddHBand="0" w:evenHBand="0" w:firstRowFirstColumn="0" w:firstRowLastColumn="0" w:lastRowFirstColumn="0" w:lastRowLastColumn="0"/>
            <w:tcW w:w="2410" w:type="dxa"/>
          </w:tcPr>
          <w:p w14:paraId="05DADA77" w14:textId="77777777" w:rsidR="00613C02" w:rsidRPr="00412CDD" w:rsidRDefault="00613C02" w:rsidP="00804A7A">
            <w:pPr>
              <w:rPr>
                <w:b w:val="0"/>
                <w:bCs/>
              </w:rPr>
            </w:pPr>
            <w:r w:rsidRPr="00412CDD">
              <w:rPr>
                <w:bCs/>
              </w:rPr>
              <w:t>Register</w:t>
            </w:r>
          </w:p>
        </w:tc>
        <w:tc>
          <w:tcPr>
            <w:tcW w:w="6941" w:type="dxa"/>
          </w:tcPr>
          <w:p w14:paraId="37FBB097" w14:textId="77777777" w:rsidR="00613C02" w:rsidRPr="00F34813" w:rsidRDefault="00613C02" w:rsidP="00804A7A">
            <w:pPr>
              <w:cnfStyle w:val="000000000000" w:firstRow="0" w:lastRow="0" w:firstColumn="0" w:lastColumn="0" w:oddVBand="0" w:evenVBand="0" w:oddHBand="0" w:evenHBand="0" w:firstRowFirstColumn="0" w:firstRowLastColumn="0" w:lastRowFirstColumn="0" w:lastRowLastColumn="0"/>
            </w:pPr>
            <w:r w:rsidRPr="00F34813">
              <w:t>The file of data concerning all cases of a particular disease or other health-relevant condition in a defined population such that the cases can be related to a population base. With this information, incidence rates can be calculated. If the cases are followed up, information on remission, exacerbation, prevalence and survival can also be obtained.</w:t>
            </w:r>
          </w:p>
        </w:tc>
      </w:tr>
      <w:tr w:rsidR="00613C02" w:rsidRPr="00F34813" w14:paraId="3C9D7234" w14:textId="77777777" w:rsidTr="0C105EF7">
        <w:tc>
          <w:tcPr>
            <w:cnfStyle w:val="001000000000" w:firstRow="0" w:lastRow="0" w:firstColumn="1" w:lastColumn="0" w:oddVBand="0" w:evenVBand="0" w:oddHBand="0" w:evenHBand="0" w:firstRowFirstColumn="0" w:firstRowLastColumn="0" w:lastRowFirstColumn="0" w:lastRowLastColumn="0"/>
            <w:tcW w:w="2410" w:type="dxa"/>
          </w:tcPr>
          <w:p w14:paraId="523AEEBF" w14:textId="77777777" w:rsidR="00613C02" w:rsidRPr="00412CDD" w:rsidRDefault="00613C02" w:rsidP="00804A7A">
            <w:pPr>
              <w:rPr>
                <w:b w:val="0"/>
                <w:bCs/>
              </w:rPr>
            </w:pPr>
            <w:r w:rsidRPr="00412CDD">
              <w:rPr>
                <w:bCs/>
              </w:rPr>
              <w:t>Registration</w:t>
            </w:r>
          </w:p>
        </w:tc>
        <w:tc>
          <w:tcPr>
            <w:tcW w:w="6941" w:type="dxa"/>
          </w:tcPr>
          <w:p w14:paraId="39E5FDC3" w14:textId="77777777" w:rsidR="00613C02" w:rsidRPr="00F34813" w:rsidRDefault="00613C02" w:rsidP="00804A7A">
            <w:pPr>
              <w:cnfStyle w:val="000000000000" w:firstRow="0" w:lastRow="0" w:firstColumn="0" w:lastColumn="0" w:oddVBand="0" w:evenVBand="0" w:oddHBand="0" w:evenHBand="0" w:firstRowFirstColumn="0" w:firstRowLastColumn="0" w:lastRowFirstColumn="0" w:lastRowLastColumn="0"/>
            </w:pPr>
            <w:r w:rsidRPr="00F34813">
              <w:t>The system of ongoing registration for individuals entered into a register.</w:t>
            </w:r>
          </w:p>
          <w:p w14:paraId="4744FCA7" w14:textId="0664ACA7" w:rsidR="00613C02" w:rsidRPr="00F34813" w:rsidRDefault="00613C02" w:rsidP="00804A7A">
            <w:pPr>
              <w:cnfStyle w:val="000000000000" w:firstRow="0" w:lastRow="0" w:firstColumn="0" w:lastColumn="0" w:oddVBand="0" w:evenVBand="0" w:oddHBand="0" w:evenHBand="0" w:firstRowFirstColumn="0" w:firstRowLastColumn="0" w:lastRowFirstColumn="0" w:lastRowLastColumn="0"/>
            </w:pPr>
            <w:r w:rsidRPr="007B3E35">
              <w:t xml:space="preserve">For the purpose of this document, the functions performed by a CQR are defined in the </w:t>
            </w:r>
            <w:hyperlink r:id="rId52" w:tooltip="Australian Framework for National Clinical Quality Registries 2024" w:history="1">
              <w:r w:rsidRPr="007852DE">
                <w:rPr>
                  <w:rStyle w:val="Hyperlink"/>
                  <w:i/>
                  <w:iCs/>
                </w:rPr>
                <w:t>Australian Framework for National Clinical Quality Registries 2024</w:t>
              </w:r>
            </w:hyperlink>
            <w:r w:rsidRPr="007B3E35">
              <w:t>:</w:t>
            </w:r>
            <w:r w:rsidRPr="007B3E35">
              <w:rPr>
                <w:i/>
                <w:iCs/>
              </w:rPr>
              <w:t xml:space="preserve"> Overview of CQR Functions</w:t>
            </w:r>
            <w:r w:rsidRPr="007B3E35">
              <w:t>. These include data custodianship, provider enrolment, data collection, data quality management and data analysis and outcome reporting.</w:t>
            </w:r>
          </w:p>
        </w:tc>
      </w:tr>
      <w:tr w:rsidR="00613C02" w:rsidRPr="00F34813" w14:paraId="03D3B9A1" w14:textId="77777777" w:rsidTr="0C105EF7">
        <w:tc>
          <w:tcPr>
            <w:cnfStyle w:val="001000000000" w:firstRow="0" w:lastRow="0" w:firstColumn="1" w:lastColumn="0" w:oddVBand="0" w:evenVBand="0" w:oddHBand="0" w:evenHBand="0" w:firstRowFirstColumn="0" w:firstRowLastColumn="0" w:lastRowFirstColumn="0" w:lastRowLastColumn="0"/>
            <w:tcW w:w="2410" w:type="dxa"/>
          </w:tcPr>
          <w:p w14:paraId="7F32FF11" w14:textId="77777777" w:rsidR="00613C02" w:rsidRPr="00412CDD" w:rsidRDefault="00613C02" w:rsidP="00804A7A">
            <w:pPr>
              <w:rPr>
                <w:b w:val="0"/>
                <w:bCs/>
              </w:rPr>
            </w:pPr>
            <w:r w:rsidRPr="00412CDD">
              <w:rPr>
                <w:bCs/>
              </w:rPr>
              <w:t>Risk</w:t>
            </w:r>
          </w:p>
        </w:tc>
        <w:tc>
          <w:tcPr>
            <w:tcW w:w="6941" w:type="dxa"/>
          </w:tcPr>
          <w:p w14:paraId="627028A2" w14:textId="216E50BC" w:rsidR="00613C02" w:rsidRPr="00F34813" w:rsidRDefault="00613C02" w:rsidP="00804A7A">
            <w:pPr>
              <w:cnfStyle w:val="000000000000" w:firstRow="0" w:lastRow="0" w:firstColumn="0" w:lastColumn="0" w:oddVBand="0" w:evenVBand="0" w:oddHBand="0" w:evenHBand="0" w:firstRowFirstColumn="0" w:firstRowLastColumn="0" w:lastRowFirstColumn="0" w:lastRowLastColumn="0"/>
            </w:pPr>
            <w:r w:rsidRPr="00F34813">
              <w:t>The probability that a given threat will exploit a given vulnerability.</w:t>
            </w:r>
            <w:r w:rsidR="00FC2A80" w:rsidRPr="00FC2A80">
              <w:rPr>
                <w:rFonts w:cs="Arial"/>
                <w:vertAlign w:val="superscript"/>
              </w:rPr>
              <w:t>20</w:t>
            </w:r>
          </w:p>
        </w:tc>
      </w:tr>
      <w:tr w:rsidR="00613C02" w:rsidRPr="00F34813" w14:paraId="045B9CF6" w14:textId="77777777" w:rsidTr="0C105EF7">
        <w:tc>
          <w:tcPr>
            <w:cnfStyle w:val="001000000000" w:firstRow="0" w:lastRow="0" w:firstColumn="1" w:lastColumn="0" w:oddVBand="0" w:evenVBand="0" w:oddHBand="0" w:evenHBand="0" w:firstRowFirstColumn="0" w:firstRowLastColumn="0" w:lastRowFirstColumn="0" w:lastRowLastColumn="0"/>
            <w:tcW w:w="2410" w:type="dxa"/>
          </w:tcPr>
          <w:p w14:paraId="6C8502BE" w14:textId="77777777" w:rsidR="00613C02" w:rsidRPr="00412CDD" w:rsidRDefault="00613C02" w:rsidP="00804A7A">
            <w:pPr>
              <w:rPr>
                <w:b w:val="0"/>
                <w:bCs/>
              </w:rPr>
            </w:pPr>
            <w:r w:rsidRPr="00412CDD">
              <w:rPr>
                <w:bCs/>
              </w:rPr>
              <w:t>Risk assessment</w:t>
            </w:r>
          </w:p>
        </w:tc>
        <w:tc>
          <w:tcPr>
            <w:tcW w:w="6941" w:type="dxa"/>
          </w:tcPr>
          <w:p w14:paraId="45C72823" w14:textId="77777777" w:rsidR="00613C02" w:rsidRPr="00F34813" w:rsidRDefault="00613C02" w:rsidP="00804A7A">
            <w:pPr>
              <w:cnfStyle w:val="000000000000" w:firstRow="0" w:lastRow="0" w:firstColumn="0" w:lastColumn="0" w:oddVBand="0" w:evenVBand="0" w:oddHBand="0" w:evenHBand="0" w:firstRowFirstColumn="0" w:firstRowLastColumn="0" w:lastRowFirstColumn="0" w:lastRowLastColumn="0"/>
            </w:pPr>
            <w:r w:rsidRPr="00F34813">
              <w:t>The process of identifying risks to a business and determining the probability of</w:t>
            </w:r>
            <w:r>
              <w:t xml:space="preserve"> </w:t>
            </w:r>
            <w:r w:rsidRPr="00F34813">
              <w:t>occurrence, the resulting impact, and identifying actions that would treat the risk.</w:t>
            </w:r>
          </w:p>
        </w:tc>
      </w:tr>
      <w:tr w:rsidR="00613C02" w:rsidRPr="00F34813" w14:paraId="602144A4" w14:textId="77777777" w:rsidTr="0C105EF7">
        <w:tc>
          <w:tcPr>
            <w:cnfStyle w:val="001000000000" w:firstRow="0" w:lastRow="0" w:firstColumn="1" w:lastColumn="0" w:oddVBand="0" w:evenVBand="0" w:oddHBand="0" w:evenHBand="0" w:firstRowFirstColumn="0" w:firstRowLastColumn="0" w:lastRowFirstColumn="0" w:lastRowLastColumn="0"/>
            <w:tcW w:w="2410" w:type="dxa"/>
          </w:tcPr>
          <w:p w14:paraId="49A13F77" w14:textId="77777777" w:rsidR="00613C02" w:rsidRPr="00412CDD" w:rsidRDefault="00613C02" w:rsidP="00804A7A">
            <w:pPr>
              <w:rPr>
                <w:b w:val="0"/>
                <w:bCs/>
              </w:rPr>
            </w:pPr>
            <w:r w:rsidRPr="00412CDD">
              <w:rPr>
                <w:bCs/>
              </w:rPr>
              <w:t>Threat</w:t>
            </w:r>
          </w:p>
        </w:tc>
        <w:tc>
          <w:tcPr>
            <w:tcW w:w="6941" w:type="dxa"/>
          </w:tcPr>
          <w:p w14:paraId="4A0C979D" w14:textId="52224D81" w:rsidR="00613C02" w:rsidRPr="00F34813" w:rsidRDefault="00613C02" w:rsidP="00804A7A">
            <w:pPr>
              <w:cnfStyle w:val="000000000000" w:firstRow="0" w:lastRow="0" w:firstColumn="0" w:lastColumn="0" w:oddVBand="0" w:evenVBand="0" w:oddHBand="0" w:evenHBand="0" w:firstRowFirstColumn="0" w:firstRowLastColumn="0" w:lastRowFirstColumn="0" w:lastRowLastColumn="0"/>
            </w:pPr>
            <w:r w:rsidRPr="00F34813">
              <w:t>An action or event that may result in a detrimental outcome to a system or information asset.</w:t>
            </w:r>
            <w:r w:rsidR="00FC2A80" w:rsidRPr="00FC2A80">
              <w:rPr>
                <w:rFonts w:cs="Arial"/>
                <w:vertAlign w:val="superscript"/>
              </w:rPr>
              <w:t>21</w:t>
            </w:r>
          </w:p>
        </w:tc>
      </w:tr>
      <w:tr w:rsidR="00613C02" w:rsidRPr="00F34813" w14:paraId="6E0FBEBE" w14:textId="77777777" w:rsidTr="0C105EF7">
        <w:tc>
          <w:tcPr>
            <w:cnfStyle w:val="001000000000" w:firstRow="0" w:lastRow="0" w:firstColumn="1" w:lastColumn="0" w:oddVBand="0" w:evenVBand="0" w:oddHBand="0" w:evenHBand="0" w:firstRowFirstColumn="0" w:firstRowLastColumn="0" w:lastRowFirstColumn="0" w:lastRowLastColumn="0"/>
            <w:tcW w:w="2410" w:type="dxa"/>
          </w:tcPr>
          <w:p w14:paraId="775322EA" w14:textId="77777777" w:rsidR="00613C02" w:rsidRPr="00412CDD" w:rsidRDefault="00613C02" w:rsidP="00804A7A">
            <w:pPr>
              <w:rPr>
                <w:b w:val="0"/>
                <w:bCs/>
              </w:rPr>
            </w:pPr>
            <w:r w:rsidRPr="00412CDD">
              <w:rPr>
                <w:bCs/>
              </w:rPr>
              <w:t>Vulnerability</w:t>
            </w:r>
          </w:p>
        </w:tc>
        <w:tc>
          <w:tcPr>
            <w:tcW w:w="6941" w:type="dxa"/>
          </w:tcPr>
          <w:p w14:paraId="091B0EB4" w14:textId="56D5156A" w:rsidR="00613C02" w:rsidRPr="00F34813" w:rsidRDefault="00613C02" w:rsidP="00804A7A">
            <w:pPr>
              <w:cnfStyle w:val="000000000000" w:firstRow="0" w:lastRow="0" w:firstColumn="0" w:lastColumn="0" w:oddVBand="0" w:evenVBand="0" w:oddHBand="0" w:evenHBand="0" w:firstRowFirstColumn="0" w:firstRowLastColumn="0" w:lastRowFirstColumn="0" w:lastRowLastColumn="0"/>
            </w:pPr>
            <w:r w:rsidRPr="00F34813">
              <w:t>A weakness that can be exploited that may cause damage to a system or information assets.</w:t>
            </w:r>
            <w:r w:rsidR="00FC2A80" w:rsidRPr="00FC2A80">
              <w:rPr>
                <w:rFonts w:cs="Arial"/>
                <w:vertAlign w:val="superscript"/>
              </w:rPr>
              <w:t>21</w:t>
            </w:r>
          </w:p>
        </w:tc>
      </w:tr>
    </w:tbl>
    <w:p w14:paraId="6D15776E" w14:textId="77777777" w:rsidR="00613C02" w:rsidRPr="00F34813" w:rsidRDefault="00613C02" w:rsidP="00804A7A"/>
    <w:p w14:paraId="60CDA738" w14:textId="1C007492" w:rsidR="00412CDD" w:rsidRPr="00412CDD" w:rsidRDefault="00412CDD" w:rsidP="00412CDD">
      <w:pPr>
        <w:pStyle w:val="Heading1"/>
      </w:pPr>
      <w:r>
        <w:br w:type="page"/>
      </w:r>
      <w:bookmarkStart w:id="159" w:name="_Toc170135030"/>
      <w:r>
        <w:lastRenderedPageBreak/>
        <w:t>References</w:t>
      </w:r>
      <w:bookmarkEnd w:id="159"/>
    </w:p>
    <w:p w14:paraId="2DF72C4D" w14:textId="77777777" w:rsidR="00412CDD" w:rsidRDefault="00412CDD" w:rsidP="00412CDD">
      <w:pPr>
        <w:pStyle w:val="ListParagraph"/>
        <w:numPr>
          <w:ilvl w:val="0"/>
          <w:numId w:val="38"/>
        </w:numPr>
        <w:rPr>
          <w:rStyle w:val="Hyperlink"/>
        </w:rPr>
      </w:pPr>
      <w:r>
        <w:t xml:space="preserve">Australian Government Australian Digital Health Agency. </w:t>
      </w:r>
      <w:r w:rsidRPr="00B5607B">
        <w:t>National eHealth Security and Access Framework v4.0</w:t>
      </w:r>
      <w:r w:rsidRPr="005733FC">
        <w:t>. Canberra: ADHA.</w:t>
      </w:r>
      <w:r>
        <w:rPr>
          <w:rStyle w:val="Hyperlink"/>
        </w:rPr>
        <w:t xml:space="preserve"> </w:t>
      </w:r>
      <w:hyperlink r:id="rId53" w:history="1">
        <w:r w:rsidRPr="00947C74">
          <w:rPr>
            <w:rStyle w:val="Hyperlink"/>
          </w:rPr>
          <w:t>https://developer.digitalhealth.gov.au/resources/national-ehealth-security-and-access-framework-v4-0</w:t>
        </w:r>
      </w:hyperlink>
      <w:r w:rsidRPr="00B5607B">
        <w:rPr>
          <w:rStyle w:val="Hyperlink"/>
        </w:rPr>
        <w:t xml:space="preserve"> (accessed Feb 2024)</w:t>
      </w:r>
      <w:bookmarkStart w:id="160" w:name="_Hlk160114671"/>
    </w:p>
    <w:p w14:paraId="7E6B6248" w14:textId="5CA86BBD" w:rsidR="00412CDD" w:rsidRDefault="00412CDD" w:rsidP="00412CDD">
      <w:pPr>
        <w:pStyle w:val="ListParagraph"/>
        <w:numPr>
          <w:ilvl w:val="0"/>
          <w:numId w:val="38"/>
        </w:numPr>
        <w:rPr>
          <w:rStyle w:val="Hyperlink"/>
        </w:rPr>
      </w:pPr>
      <w:r>
        <w:t xml:space="preserve">Australian Government Australian Digital Health Agency. </w:t>
      </w:r>
      <w:r w:rsidRPr="00A17F5C">
        <w:t>National eHealth Security and Access Framework v4.0</w:t>
      </w:r>
      <w:r w:rsidR="005733FC">
        <w:t>.</w:t>
      </w:r>
      <w:r w:rsidR="005733FC" w:rsidRPr="005733FC">
        <w:t xml:space="preserve"> Canberra: ADHA.</w:t>
      </w:r>
      <w:r w:rsidR="005733FC">
        <w:rPr>
          <w:rStyle w:val="Hyperlink"/>
        </w:rPr>
        <w:t xml:space="preserve"> </w:t>
      </w:r>
      <w:hyperlink r:id="rId54" w:history="1">
        <w:r w:rsidRPr="00A115F1">
          <w:rPr>
            <w:rStyle w:val="Hyperlink"/>
            <w:rFonts w:eastAsiaTheme="majorEastAsia"/>
          </w:rPr>
          <w:t>https://developer.digitalhealth.gov.au/resources/national-ehealth-security-and-access-framework-v4-0</w:t>
        </w:r>
      </w:hyperlink>
      <w:r w:rsidRPr="00A115F1">
        <w:rPr>
          <w:rStyle w:val="Hyperlink"/>
          <w:rFonts w:eastAsiaTheme="majorEastAsia"/>
          <w:color w:val="auto"/>
        </w:rPr>
        <w:t xml:space="preserve"> (accessed Feb 2024)</w:t>
      </w:r>
      <w:bookmarkEnd w:id="160"/>
    </w:p>
    <w:p w14:paraId="78A65BF7" w14:textId="77777777" w:rsidR="00412CDD" w:rsidRDefault="00412CDD" w:rsidP="00412CDD">
      <w:pPr>
        <w:pStyle w:val="ListParagraph"/>
        <w:numPr>
          <w:ilvl w:val="0"/>
          <w:numId w:val="38"/>
        </w:numPr>
      </w:pPr>
      <w:r w:rsidRPr="00D304DA">
        <w:t xml:space="preserve">Australian Government Australian Digital Health Agency. </w:t>
      </w:r>
      <w:r>
        <w:t xml:space="preserve">For healthcare providers: Cyber security. Canberra: ADHA. </w:t>
      </w:r>
      <w:hyperlink r:id="rId55" w:history="1">
        <w:r w:rsidRPr="00110A9A">
          <w:rPr>
            <w:rStyle w:val="Hyperlink"/>
            <w:rFonts w:eastAsiaTheme="majorEastAsia"/>
          </w:rPr>
          <w:t>https://www.digitalhealth.gov.au/healthcare-providers/cyber-security</w:t>
        </w:r>
      </w:hyperlink>
      <w:r w:rsidRPr="00152266" w:rsidDel="00152266">
        <w:t xml:space="preserve"> </w:t>
      </w:r>
      <w:r>
        <w:t>(accessed Feb 2024)</w:t>
      </w:r>
    </w:p>
    <w:p w14:paraId="2122FDA8" w14:textId="3E1A066B" w:rsidR="00412CDD" w:rsidRDefault="00412CDD" w:rsidP="00412CDD">
      <w:pPr>
        <w:pStyle w:val="ListParagraph"/>
        <w:numPr>
          <w:ilvl w:val="0"/>
          <w:numId w:val="38"/>
        </w:numPr>
        <w:rPr>
          <w:rStyle w:val="Hyperlink"/>
        </w:rPr>
      </w:pPr>
      <w:r w:rsidRPr="00336866">
        <w:t>Australian Government Australian Digital Health Agency. National eHealth Security and Access Framework v4.0</w:t>
      </w:r>
      <w:r w:rsidR="005733FC">
        <w:t>.</w:t>
      </w:r>
      <w:r w:rsidR="005733FC" w:rsidRPr="005733FC">
        <w:t xml:space="preserve"> Canberra: ADHA.</w:t>
      </w:r>
      <w:r w:rsidRPr="00110A9A">
        <w:rPr>
          <w:rStyle w:val="Hyperlink"/>
          <w:rFonts w:eastAsiaTheme="majorEastAsia"/>
        </w:rPr>
        <w:t xml:space="preserve"> </w:t>
      </w:r>
      <w:hyperlink r:id="rId56" w:history="1">
        <w:r w:rsidRPr="00110A9A">
          <w:rPr>
            <w:rStyle w:val="Hyperlink"/>
            <w:rFonts w:eastAsiaTheme="majorEastAsia"/>
          </w:rPr>
          <w:t>https://developer.digitalhealth.gov.au/resources/national-ehealth-security-and-access-framework-v4-0</w:t>
        </w:r>
      </w:hyperlink>
      <w:r w:rsidRPr="00110A9A">
        <w:rPr>
          <w:rStyle w:val="Hyperlink"/>
          <w:rFonts w:eastAsiaTheme="majorEastAsia"/>
          <w:color w:val="auto"/>
        </w:rPr>
        <w:t xml:space="preserve"> (accessed Feb 2024)</w:t>
      </w:r>
    </w:p>
    <w:p w14:paraId="5669D14C" w14:textId="77777777" w:rsidR="00412CDD" w:rsidRDefault="00412CDD" w:rsidP="00412CDD">
      <w:pPr>
        <w:pStyle w:val="ListParagraph"/>
        <w:numPr>
          <w:ilvl w:val="0"/>
          <w:numId w:val="38"/>
        </w:numPr>
      </w:pPr>
      <w:r w:rsidRPr="00D07397">
        <w:t xml:space="preserve">Australian Government Office of the Australian Information Commissioner. </w:t>
      </w:r>
      <w:r>
        <w:t>The Privacy Act</w:t>
      </w:r>
      <w:r w:rsidRPr="00D07397">
        <w:t xml:space="preserve">. Canberra: OAIC. </w:t>
      </w:r>
      <w:hyperlink r:id="rId57" w:history="1">
        <w:r w:rsidRPr="00110A9A">
          <w:rPr>
            <w:rStyle w:val="Hyperlink"/>
            <w:rFonts w:eastAsiaTheme="majorEastAsia"/>
          </w:rPr>
          <w:t>https://www.oaic.gov.au/privacy/the-privacy-act</w:t>
        </w:r>
      </w:hyperlink>
      <w:r>
        <w:t xml:space="preserve"> </w:t>
      </w:r>
      <w:r w:rsidRPr="00110A9A">
        <w:rPr>
          <w:rStyle w:val="Hyperlink"/>
          <w:rFonts w:eastAsiaTheme="majorEastAsia"/>
          <w:color w:val="auto"/>
        </w:rPr>
        <w:t>(accessed Feb 2024)</w:t>
      </w:r>
    </w:p>
    <w:p w14:paraId="348F4473" w14:textId="77777777" w:rsidR="00412CDD" w:rsidRDefault="00412CDD" w:rsidP="00412CDD">
      <w:pPr>
        <w:pStyle w:val="ListParagraph"/>
        <w:numPr>
          <w:ilvl w:val="0"/>
          <w:numId w:val="38"/>
        </w:numPr>
      </w:pPr>
      <w:r w:rsidRPr="00C8761C">
        <w:t xml:space="preserve">Australian Government Office of the Australian Information Commissioner. Read the Australian Privacy Principles. Canberra: OAIC. </w:t>
      </w:r>
      <w:hyperlink r:id="rId58" w:history="1">
        <w:r w:rsidRPr="00110A9A">
          <w:rPr>
            <w:rStyle w:val="Hyperlink"/>
            <w:rFonts w:eastAsiaTheme="majorEastAsia"/>
          </w:rPr>
          <w:t>https://www.oaic.gov.au/privacy/australian-privacy-principles/read-the-australian-privacy-principles</w:t>
        </w:r>
      </w:hyperlink>
      <w:r w:rsidRPr="00C8761C">
        <w:t xml:space="preserve"> (accessed Feb 2024)</w:t>
      </w:r>
    </w:p>
    <w:p w14:paraId="7741C292" w14:textId="77777777" w:rsidR="00412CDD" w:rsidRDefault="00412CDD" w:rsidP="00412CDD">
      <w:pPr>
        <w:pStyle w:val="ListParagraph"/>
        <w:numPr>
          <w:ilvl w:val="0"/>
          <w:numId w:val="38"/>
        </w:numPr>
      </w:pPr>
      <w:r w:rsidRPr="00C8761C">
        <w:t xml:space="preserve">National Health and Medical Research Council. Guidelines under Section 95 of the Privacy Act 1988. Canberra: NHMRC; 2015. </w:t>
      </w:r>
      <w:hyperlink r:id="rId59" w:history="1">
        <w:r w:rsidRPr="00110A9A">
          <w:rPr>
            <w:rStyle w:val="Hyperlink"/>
            <w:rFonts w:eastAsiaTheme="majorEastAsia"/>
          </w:rPr>
          <w:t>https://www.nhmrc.gov.au/about-us/publications/guidelines-under-section-95-privacy-act-1988</w:t>
        </w:r>
      </w:hyperlink>
      <w:r w:rsidRPr="00C8761C">
        <w:t xml:space="preserve"> (accessed Feb 2024)</w:t>
      </w:r>
    </w:p>
    <w:p w14:paraId="30D2503A" w14:textId="77777777" w:rsidR="00412CDD" w:rsidRDefault="00412CDD" w:rsidP="00412CDD">
      <w:pPr>
        <w:pStyle w:val="ListParagraph"/>
        <w:numPr>
          <w:ilvl w:val="0"/>
          <w:numId w:val="38"/>
        </w:numPr>
      </w:pPr>
      <w:r w:rsidRPr="00737874">
        <w:t xml:space="preserve">Australian Government Office of the Australian Information Commissioner. State and territory privacy legislation. Canberra: OAIC. </w:t>
      </w:r>
      <w:hyperlink r:id="rId60" w:history="1">
        <w:r w:rsidRPr="00110A9A">
          <w:rPr>
            <w:rStyle w:val="Hyperlink"/>
            <w:rFonts w:eastAsiaTheme="majorEastAsia"/>
          </w:rPr>
          <w:t>https://www.oaic.gov.au/privacy/privacy-legislation/state-and-territory-privacy-legislation/state-and-territory-privacy-legislation</w:t>
        </w:r>
      </w:hyperlink>
      <w:r w:rsidRPr="00737874">
        <w:t xml:space="preserve"> (accessed Feb 2024)</w:t>
      </w:r>
    </w:p>
    <w:p w14:paraId="0F5C9E36" w14:textId="2490B2DC" w:rsidR="00412CDD" w:rsidRDefault="00412CDD" w:rsidP="00412CDD">
      <w:pPr>
        <w:pStyle w:val="ListParagraph"/>
        <w:numPr>
          <w:ilvl w:val="0"/>
          <w:numId w:val="38"/>
        </w:numPr>
        <w:rPr>
          <w:rStyle w:val="Hyperlink"/>
        </w:rPr>
      </w:pPr>
      <w:r w:rsidRPr="00737874">
        <w:t>MinterEllison for Australian Commission on Safety and Quality in Health Care. Legislation and regulation relating to clinical quality registries.</w:t>
      </w:r>
      <w:r w:rsidR="002E267D">
        <w:t xml:space="preserve"> </w:t>
      </w:r>
      <w:r w:rsidRPr="005733FC">
        <w:rPr>
          <w:rFonts w:eastAsiaTheme="majorEastAsia"/>
        </w:rPr>
        <w:t>Sydney: ACSQHC; May 2020.</w:t>
      </w:r>
      <w:r w:rsidRPr="00110A9A">
        <w:rPr>
          <w:rStyle w:val="Hyperlink"/>
          <w:rFonts w:eastAsiaTheme="majorEastAsia"/>
          <w:color w:val="auto"/>
        </w:rPr>
        <w:t xml:space="preserve"> </w:t>
      </w:r>
      <w:r w:rsidR="00CB37F4" w:rsidRPr="00CB37F4">
        <w:t xml:space="preserve"> </w:t>
      </w:r>
      <w:hyperlink r:id="rId61" w:anchor="legislation-and-regulation-relating-to-clinical-quality-registries" w:history="1">
        <w:r w:rsidR="00CB37F4" w:rsidRPr="00CB37F4">
          <w:rPr>
            <w:rStyle w:val="Hyperlink"/>
            <w:rFonts w:eastAsiaTheme="majorEastAsia"/>
          </w:rPr>
          <w:t>https://www.safetyandquality.gov.au/our-work/health-and-human-research/national-arrangements-clinical-quality-registries#legislation-and-regulation-relating-to-clinical-quality-registries</w:t>
        </w:r>
      </w:hyperlink>
      <w:r w:rsidRPr="00110A9A">
        <w:rPr>
          <w:rStyle w:val="Hyperlink"/>
          <w:rFonts w:eastAsiaTheme="majorEastAsia"/>
          <w:color w:val="auto"/>
        </w:rPr>
        <w:t xml:space="preserve"> (accessed Feb 2024)</w:t>
      </w:r>
    </w:p>
    <w:p w14:paraId="6F2E28A0" w14:textId="100E6E6A" w:rsidR="00412CDD" w:rsidRDefault="00412CDD" w:rsidP="00412CDD">
      <w:pPr>
        <w:pStyle w:val="ListParagraph"/>
        <w:numPr>
          <w:ilvl w:val="0"/>
          <w:numId w:val="38"/>
        </w:numPr>
        <w:rPr>
          <w:rStyle w:val="Hyperlink"/>
        </w:rPr>
      </w:pPr>
      <w:r>
        <w:t xml:space="preserve">Australian Government Australian Digital Health Agency. </w:t>
      </w:r>
      <w:r w:rsidRPr="00A17F5C">
        <w:t>National eHealth Security and Access Framework v4.0</w:t>
      </w:r>
      <w:r w:rsidR="00CB37F4" w:rsidRPr="00CB37F4">
        <w:rPr>
          <w:rFonts w:eastAsiaTheme="majorEastAsia"/>
        </w:rPr>
        <w:t xml:space="preserve">. </w:t>
      </w:r>
      <w:r w:rsidRPr="00CB37F4">
        <w:rPr>
          <w:rFonts w:eastAsiaTheme="majorEastAsia"/>
        </w:rPr>
        <w:t>Canberra: ADHA.</w:t>
      </w:r>
      <w:r w:rsidRPr="00110A9A">
        <w:rPr>
          <w:rStyle w:val="Hyperlink"/>
          <w:rFonts w:eastAsiaTheme="majorEastAsia"/>
        </w:rPr>
        <w:t xml:space="preserve"> </w:t>
      </w:r>
      <w:hyperlink r:id="rId62" w:history="1">
        <w:r w:rsidRPr="00110A9A">
          <w:rPr>
            <w:rStyle w:val="Hyperlink"/>
            <w:rFonts w:eastAsiaTheme="majorEastAsia"/>
          </w:rPr>
          <w:t>https://developer.digitalhealth.gov.au/resources/national-ehealth-security-and-access-framework-v4-0</w:t>
        </w:r>
      </w:hyperlink>
      <w:r w:rsidRPr="00110A9A">
        <w:rPr>
          <w:rStyle w:val="Hyperlink"/>
          <w:rFonts w:eastAsiaTheme="majorEastAsia"/>
          <w:color w:val="auto"/>
        </w:rPr>
        <w:t xml:space="preserve"> (accessed Feb 2024)</w:t>
      </w:r>
    </w:p>
    <w:p w14:paraId="58D96601" w14:textId="62C65340" w:rsidR="00412CDD" w:rsidRDefault="00412CDD" w:rsidP="00412CDD">
      <w:pPr>
        <w:pStyle w:val="ListParagraph"/>
        <w:numPr>
          <w:ilvl w:val="0"/>
          <w:numId w:val="38"/>
        </w:numPr>
      </w:pPr>
      <w:r>
        <w:t xml:space="preserve">ASD is now </w:t>
      </w:r>
      <w:hyperlink r:id="rId63" w:history="1">
        <w:r w:rsidRPr="00110A9A">
          <w:rPr>
            <w:rStyle w:val="Hyperlink"/>
            <w:rFonts w:eastAsiaTheme="majorEastAsia"/>
          </w:rPr>
          <w:t>cyber.gov.au</w:t>
        </w:r>
      </w:hyperlink>
      <w:r>
        <w:t xml:space="preserve"> and the </w:t>
      </w:r>
      <w:r w:rsidR="0069635E" w:rsidRPr="0069635E">
        <w:rPr>
          <w:rFonts w:ascii="Arial" w:hAnsi="Arial" w:cs="Arial"/>
          <w:color w:val="001E45"/>
          <w:shd w:val="clear" w:color="auto" w:fill="F9FAFC"/>
        </w:rPr>
        <w:t>Australian Signals Directorate's Australian Cyber Security Centre (ASD's ACSC) leads the Australian Government’s efforts to improve cyber security.</w:t>
      </w:r>
    </w:p>
    <w:p w14:paraId="1D644F3D" w14:textId="2F601958" w:rsidR="00DC0C05" w:rsidRDefault="00DC0C05" w:rsidP="00DC0C05">
      <w:pPr>
        <w:pStyle w:val="ListParagraph"/>
        <w:numPr>
          <w:ilvl w:val="0"/>
          <w:numId w:val="38"/>
        </w:numPr>
      </w:pPr>
      <w:r w:rsidRPr="004006F4">
        <w:t>Standards Australia. AS ISO 27799:2023 Health informatics — Information security management in health using ISO/IEC 27002. Sydney: Standards Australia; 2023.</w:t>
      </w:r>
      <w:r w:rsidR="00A2022A">
        <w:t xml:space="preserve"> </w:t>
      </w:r>
      <w:hyperlink r:id="rId64" w:history="1">
        <w:r w:rsidR="00A2022A" w:rsidRPr="00A2022A">
          <w:rPr>
            <w:rStyle w:val="Hyperlink"/>
          </w:rPr>
          <w:t>https://store.standards.org.au/product/as-iso-27799-2023</w:t>
        </w:r>
      </w:hyperlink>
      <w:r w:rsidR="00A2022A" w:rsidRPr="00A2022A">
        <w:t xml:space="preserve"> </w:t>
      </w:r>
      <w:r w:rsidRPr="004006F4">
        <w:t>(accessed Feb 2024)</w:t>
      </w:r>
    </w:p>
    <w:p w14:paraId="3A8A6A07" w14:textId="77777777" w:rsidR="00412CDD" w:rsidRDefault="00412CDD" w:rsidP="00412CDD">
      <w:pPr>
        <w:pStyle w:val="ListParagraph"/>
        <w:numPr>
          <w:ilvl w:val="0"/>
          <w:numId w:val="38"/>
        </w:numPr>
      </w:pPr>
      <w:r w:rsidRPr="00036A9B">
        <w:t>Compliance checklists – CQR Business Operations and System Hosting</w:t>
      </w:r>
    </w:p>
    <w:p w14:paraId="6B12647C" w14:textId="77777777" w:rsidR="00412CDD" w:rsidRDefault="00412CDD" w:rsidP="00412CDD">
      <w:pPr>
        <w:pStyle w:val="ListParagraph"/>
        <w:numPr>
          <w:ilvl w:val="0"/>
          <w:numId w:val="38"/>
        </w:numPr>
        <w:rPr>
          <w:rStyle w:val="Hyperlink"/>
        </w:rPr>
      </w:pPr>
      <w:r w:rsidRPr="00D07397">
        <w:t xml:space="preserve">Australian Government Office of the Australian Information Commissioner. </w:t>
      </w:r>
      <w:r w:rsidRPr="00D23F2B">
        <w:t>Part 3: Responding to data breaches – four key steps</w:t>
      </w:r>
      <w:r w:rsidRPr="00D07397">
        <w:t xml:space="preserve">. Canberra: OAIC. </w:t>
      </w:r>
      <w:hyperlink r:id="rId65" w:history="1">
        <w:r w:rsidRPr="008F35EA">
          <w:rPr>
            <w:rStyle w:val="Hyperlink"/>
            <w:rFonts w:eastAsiaTheme="majorEastAsia"/>
          </w:rPr>
          <w:t>https://www.oaic.gov.au/privacy/privacy-guidance-for-organisations-and-government-agencies/preventing-preparing-for-and-responding-to-data-breaches/data-breach-preparation-and-response/part-3-responding-to-data-breaches-four-key-steps</w:t>
        </w:r>
      </w:hyperlink>
      <w:r>
        <w:t xml:space="preserve"> </w:t>
      </w:r>
      <w:r w:rsidRPr="008F35EA">
        <w:rPr>
          <w:rStyle w:val="Hyperlink"/>
          <w:rFonts w:eastAsiaTheme="majorEastAsia"/>
          <w:color w:val="auto"/>
        </w:rPr>
        <w:t>(accessed Feb 2024)</w:t>
      </w:r>
      <w:bookmarkStart w:id="161" w:name="_Hlk160114700"/>
    </w:p>
    <w:bookmarkEnd w:id="161"/>
    <w:p w14:paraId="1F049760" w14:textId="77777777" w:rsidR="00A2022A" w:rsidRDefault="00A2022A" w:rsidP="00A2022A">
      <w:pPr>
        <w:pStyle w:val="ListParagraph"/>
        <w:numPr>
          <w:ilvl w:val="0"/>
          <w:numId w:val="38"/>
        </w:numPr>
      </w:pPr>
      <w:r w:rsidRPr="004006F4">
        <w:t>Standards Australia. AS ISO 27799:2023 Health informatics — Information security management in health using ISO/IEC 27002. Sydney: Standards Australia; 2023.</w:t>
      </w:r>
      <w:r>
        <w:t xml:space="preserve"> </w:t>
      </w:r>
      <w:hyperlink r:id="rId66" w:history="1">
        <w:r w:rsidRPr="00A2022A">
          <w:rPr>
            <w:rStyle w:val="Hyperlink"/>
          </w:rPr>
          <w:t>https://store.standards.org.au/product/as-iso-27799-2023</w:t>
        </w:r>
      </w:hyperlink>
      <w:r w:rsidRPr="00A2022A">
        <w:t xml:space="preserve"> </w:t>
      </w:r>
      <w:r w:rsidRPr="004006F4">
        <w:t>(accessed Feb 2024)</w:t>
      </w:r>
    </w:p>
    <w:p w14:paraId="63295981" w14:textId="77777777" w:rsidR="00412CDD" w:rsidRDefault="00412CDD" w:rsidP="00412CDD">
      <w:pPr>
        <w:pStyle w:val="ListParagraph"/>
        <w:numPr>
          <w:ilvl w:val="0"/>
          <w:numId w:val="38"/>
        </w:numPr>
      </w:pPr>
      <w:r w:rsidRPr="004006F4">
        <w:lastRenderedPageBreak/>
        <w:t xml:space="preserve">Royal Australian College of General Practitioners. Information security in general health practice. Melbourne: RACGP; 2022. </w:t>
      </w:r>
      <w:hyperlink r:id="rId67" w:history="1">
        <w:r w:rsidRPr="004F3D1A">
          <w:rPr>
            <w:rStyle w:val="Hyperlink"/>
            <w:rFonts w:eastAsiaTheme="majorEastAsia"/>
          </w:rPr>
          <w:t>https://www.racgp.org.au/running-a-practice/security/protecting-your-practice-information/information-security-in-general-practice</w:t>
        </w:r>
      </w:hyperlink>
      <w:r w:rsidRPr="004006F4">
        <w:t xml:space="preserve"> (accessed Feb 2024)</w:t>
      </w:r>
    </w:p>
    <w:p w14:paraId="445B8AF8" w14:textId="77777777" w:rsidR="00412CDD" w:rsidRDefault="00412CDD" w:rsidP="00412CDD">
      <w:pPr>
        <w:pStyle w:val="ListParagraph"/>
        <w:numPr>
          <w:ilvl w:val="0"/>
          <w:numId w:val="38"/>
        </w:numPr>
      </w:pPr>
      <w:r w:rsidRPr="0001363A">
        <w:t>Australian Government Australian Digital Health Agency. National eHealth Security and Access Framework v4.0</w:t>
      </w:r>
      <w:r w:rsidRPr="004F3D1A">
        <w:rPr>
          <w:i/>
          <w:iCs/>
        </w:rPr>
        <w:t>.</w:t>
      </w:r>
      <w:r w:rsidRPr="0001363A">
        <w:t xml:space="preserve"> Canberra: ADHA. </w:t>
      </w:r>
      <w:hyperlink r:id="rId68" w:history="1">
        <w:r w:rsidRPr="004F3D1A">
          <w:rPr>
            <w:rStyle w:val="Hyperlink"/>
            <w:rFonts w:eastAsiaTheme="majorEastAsia"/>
          </w:rPr>
          <w:t>https://developer.digitalhealth.gov.au/resources/national-ehealth-security-and-access-framework-v4-0</w:t>
        </w:r>
      </w:hyperlink>
      <w:r w:rsidRPr="0001363A">
        <w:t xml:space="preserve"> (accessed Feb 2024)</w:t>
      </w:r>
    </w:p>
    <w:p w14:paraId="06EF3586" w14:textId="2F6CCAB7" w:rsidR="00412CDD" w:rsidRDefault="00412CDD" w:rsidP="00412CDD">
      <w:pPr>
        <w:pStyle w:val="ListParagraph"/>
        <w:numPr>
          <w:ilvl w:val="0"/>
          <w:numId w:val="38"/>
        </w:numPr>
      </w:pPr>
      <w:r w:rsidRPr="0001363A">
        <w:t xml:space="preserve">Standards Australia. AS ISO 27799:2023 Health informatics — Information security management in health using ISO/IEC 27002. Sydney: Standards Australia; 2023. </w:t>
      </w:r>
      <w:hyperlink r:id="rId69" w:history="1">
        <w:r w:rsidRPr="004F3D1A">
          <w:rPr>
            <w:rStyle w:val="Hyperlink"/>
            <w:rFonts w:eastAsiaTheme="majorEastAsia"/>
          </w:rPr>
          <w:t>https://store.standards.org.au/product/as-iso-27799-2023</w:t>
        </w:r>
      </w:hyperlink>
      <w:r w:rsidRPr="0001363A">
        <w:t xml:space="preserve"> (accessed Feb 2024)</w:t>
      </w:r>
    </w:p>
    <w:p w14:paraId="21E4F899" w14:textId="77777777" w:rsidR="00412CDD" w:rsidRDefault="00412CDD" w:rsidP="00412CDD">
      <w:pPr>
        <w:pStyle w:val="ListParagraph"/>
        <w:numPr>
          <w:ilvl w:val="0"/>
          <w:numId w:val="38"/>
        </w:numPr>
      </w:pPr>
      <w:r w:rsidRPr="0000615A">
        <w:t xml:space="preserve">Royal Australian College of General Practitioners. Information security in general health practice. Melbourne: RACGP; 2022. </w:t>
      </w:r>
      <w:hyperlink r:id="rId70" w:history="1">
        <w:r w:rsidRPr="0000615A">
          <w:rPr>
            <w:rStyle w:val="Hyperlink"/>
          </w:rPr>
          <w:t>https://www.racgp.org.au/running-a-practice/security/protecting-your-practice-information/information-security-in-general-practice</w:t>
        </w:r>
      </w:hyperlink>
      <w:r w:rsidRPr="0000615A">
        <w:t xml:space="preserve"> (accessed Feb 2024)</w:t>
      </w:r>
    </w:p>
    <w:p w14:paraId="6821D1C8" w14:textId="595275EA" w:rsidR="00412CDD" w:rsidRDefault="00412CDD" w:rsidP="00412CDD">
      <w:pPr>
        <w:pStyle w:val="ListParagraph"/>
        <w:numPr>
          <w:ilvl w:val="0"/>
          <w:numId w:val="38"/>
        </w:numPr>
      </w:pPr>
      <w:r w:rsidRPr="00037587">
        <w:t xml:space="preserve">Standards Australia. AS ISO 27799:2023 Health informatics — Information security management in health using ISO/IEC 27002. Sydney: Standards Australia; 2023. </w:t>
      </w:r>
      <w:hyperlink r:id="rId71" w:history="1">
        <w:r w:rsidRPr="00927625">
          <w:rPr>
            <w:rStyle w:val="Hyperlink"/>
            <w:rFonts w:eastAsiaTheme="majorEastAsia"/>
          </w:rPr>
          <w:t>https://store.standards.org.au/product/as-iso-27799-2023</w:t>
        </w:r>
      </w:hyperlink>
      <w:r w:rsidRPr="00037587">
        <w:t xml:space="preserve"> (accessed Feb 2024)</w:t>
      </w:r>
    </w:p>
    <w:p w14:paraId="7479DB71" w14:textId="77777777" w:rsidR="00412CDD" w:rsidRDefault="00412CDD" w:rsidP="00412CDD">
      <w:pPr>
        <w:pStyle w:val="ListParagraph"/>
        <w:numPr>
          <w:ilvl w:val="0"/>
          <w:numId w:val="38"/>
        </w:numPr>
      </w:pPr>
      <w:r w:rsidRPr="00927625">
        <w:rPr>
          <w:i/>
          <w:iCs/>
        </w:rPr>
        <w:t>Ibid.</w:t>
      </w:r>
      <w:bookmarkStart w:id="162" w:name="_Hlk162958199"/>
    </w:p>
    <w:bookmarkEnd w:id="162"/>
    <w:p w14:paraId="156E1A5F" w14:textId="5D2E4B89" w:rsidR="00412CDD" w:rsidRPr="00412CDD" w:rsidRDefault="00412CDD" w:rsidP="00412CDD">
      <w:pPr>
        <w:sectPr w:rsidR="00412CDD" w:rsidRPr="00412CDD" w:rsidSect="00613C02">
          <w:pgSz w:w="11906" w:h="16838"/>
          <w:pgMar w:top="1418" w:right="1134" w:bottom="1418" w:left="1134" w:header="709" w:footer="709" w:gutter="0"/>
          <w:cols w:space="708"/>
          <w:docGrid w:linePitch="360"/>
        </w:sectPr>
      </w:pPr>
    </w:p>
    <w:p w14:paraId="29F41BB2" w14:textId="77777777" w:rsidR="00A12B60" w:rsidRPr="00B70655" w:rsidRDefault="00A12B60" w:rsidP="00A12B60">
      <w:pPr>
        <w:pStyle w:val="Backpagelogoholder"/>
        <w:spacing w:before="10440"/>
        <w:rPr>
          <w:highlight w:val="green"/>
        </w:rPr>
      </w:pPr>
      <w:r w:rsidRPr="00B70655">
        <w:lastRenderedPageBreak/>
        <w:drawing>
          <wp:inline distT="0" distB="0" distL="0" distR="0" wp14:anchorId="53FC949C" wp14:editId="1BDDF7C5">
            <wp:extent cx="3941445" cy="555625"/>
            <wp:effectExtent l="0" t="0" r="0" b="3175"/>
            <wp:docPr id="49" name="Picture 49"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941445" cy="555625"/>
                    </a:xfrm>
                    <a:prstGeom prst="rect">
                      <a:avLst/>
                    </a:prstGeom>
                  </pic:spPr>
                </pic:pic>
              </a:graphicData>
            </a:graphic>
          </wp:inline>
        </w:drawing>
      </w:r>
    </w:p>
    <w:p w14:paraId="14D73955" w14:textId="77777777" w:rsidR="00A12B60" w:rsidRPr="00B70655" w:rsidRDefault="00A12B60" w:rsidP="00A12B60">
      <w:r w:rsidRPr="00B70655">
        <w:t>Level 5, 255 Elizabeth Street, Sydney NSW 2000</w:t>
      </w:r>
      <w:r w:rsidRPr="00B70655">
        <w:br/>
        <w:t>GPO Box 5480, Sydney NSW 2001</w:t>
      </w:r>
    </w:p>
    <w:p w14:paraId="1FBF382A" w14:textId="77777777" w:rsidR="00A12B60" w:rsidRPr="00B70655" w:rsidRDefault="00A12B60" w:rsidP="00A12B60">
      <w:r w:rsidRPr="00B70655">
        <w:t>Phone: (02) 9126 3600</w:t>
      </w:r>
    </w:p>
    <w:p w14:paraId="05DA6546" w14:textId="77777777" w:rsidR="00465AB0" w:rsidRDefault="00A12B60" w:rsidP="009374DD">
      <w:r w:rsidRPr="00B70655">
        <w:t xml:space="preserve">Email: </w:t>
      </w:r>
      <w:hyperlink r:id="rId73" w:history="1">
        <w:r w:rsidRPr="00B70655">
          <w:rPr>
            <w:rStyle w:val="Hyperlink"/>
          </w:rPr>
          <w:t>mail@safetyandquality.gov.au</w:t>
        </w:r>
      </w:hyperlink>
      <w:r w:rsidRPr="00B70655">
        <w:t xml:space="preserve"> </w:t>
      </w:r>
      <w:r w:rsidRPr="00B70655">
        <w:br/>
        <w:t xml:space="preserve">Website: </w:t>
      </w:r>
      <w:hyperlink r:id="rId74" w:history="1">
        <w:r w:rsidRPr="00B70655">
          <w:rPr>
            <w:rStyle w:val="Hyperlink"/>
          </w:rPr>
          <w:t>www.safetyandquality.gov.au</w:t>
        </w:r>
      </w:hyperlink>
    </w:p>
    <w:sectPr w:rsidR="00465AB0" w:rsidSect="00613C02">
      <w:footerReference w:type="default" r:id="rId75"/>
      <w:headerReference w:type="first" r:id="rId76"/>
      <w:footerReference w:type="first" r:id="rId77"/>
      <w:footnotePr>
        <w:numFmt w:val="chicago"/>
      </w:footnotePr>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08E05" w14:textId="77777777" w:rsidR="003D03BA" w:rsidRDefault="003D03BA" w:rsidP="000B0274">
      <w:r>
        <w:separator/>
      </w:r>
    </w:p>
    <w:p w14:paraId="25352192" w14:textId="77777777" w:rsidR="003D03BA" w:rsidRDefault="003D03BA"/>
    <w:p w14:paraId="0255AA05" w14:textId="77777777" w:rsidR="003D03BA" w:rsidRDefault="003D03BA"/>
    <w:p w14:paraId="2B683C56" w14:textId="77777777" w:rsidR="003D03BA" w:rsidRDefault="003D03BA"/>
    <w:p w14:paraId="58DF83C3" w14:textId="77777777" w:rsidR="003D03BA" w:rsidRDefault="003D03BA"/>
  </w:endnote>
  <w:endnote w:type="continuationSeparator" w:id="0">
    <w:p w14:paraId="4321C96C" w14:textId="77777777" w:rsidR="003D03BA" w:rsidRDefault="003D03BA" w:rsidP="000B0274">
      <w:r>
        <w:continuationSeparator/>
      </w:r>
    </w:p>
    <w:p w14:paraId="02390F0D" w14:textId="77777777" w:rsidR="003D03BA" w:rsidRDefault="003D03BA"/>
    <w:p w14:paraId="62031EE4" w14:textId="77777777" w:rsidR="003D03BA" w:rsidRDefault="003D03BA"/>
    <w:p w14:paraId="2CC50160" w14:textId="77777777" w:rsidR="003D03BA" w:rsidRDefault="003D03BA"/>
    <w:p w14:paraId="1CD2839D" w14:textId="77777777" w:rsidR="003D03BA" w:rsidRDefault="003D03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Arial (Body)">
    <w:altName w:val="Arial"/>
    <w:charset w:val="00"/>
    <w:family w:val="roman"/>
    <w:pitch w:val="default"/>
  </w:font>
  <w:font w:name="Gotham Medium">
    <w:panose1 w:val="00000000000000000000"/>
    <w:charset w:val="00"/>
    <w:family w:val="auto"/>
    <w:notTrueType/>
    <w:pitch w:val="variable"/>
    <w:sig w:usb0="A100007F" w:usb1="4000005B" w:usb2="00000000" w:usb3="00000000" w:csb0="0000009B" w:csb1="00000000"/>
  </w:font>
  <w:font w:name="Lucida Grande">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E9168" w14:textId="77777777" w:rsidR="00622FFC" w:rsidRDefault="00622FFC" w:rsidP="00D84622">
    <w:pPr>
      <w:pStyle w:val="Footer"/>
    </w:pPr>
  </w:p>
  <w:p w14:paraId="67BCF548" w14:textId="77777777" w:rsidR="00622FFC" w:rsidRDefault="00622FFC"/>
  <w:p w14:paraId="571AB554" w14:textId="77777777" w:rsidR="00622FFC" w:rsidRDefault="00622FFC"/>
  <w:p w14:paraId="36AB401E" w14:textId="77777777" w:rsidR="00622FFC" w:rsidRDefault="00622FFC"/>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43137" w14:textId="322DD738" w:rsidR="002E4B35" w:rsidRPr="00412CDD" w:rsidRDefault="00412CDD" w:rsidP="00412CDD">
    <w:pPr>
      <w:pStyle w:val="Footer"/>
    </w:pPr>
    <w:r w:rsidRPr="00412CDD">
      <w:t>Attachment 2: Australian CQR security compliance guideline</w:t>
    </w:r>
    <w:r w:rsidRPr="00412CDD">
      <w:tab/>
    </w:r>
    <w:r w:rsidRPr="00412CDD">
      <w:fldChar w:fldCharType="begin"/>
    </w:r>
    <w:r w:rsidRPr="00412CDD">
      <w:instrText xml:space="preserve"> PAGE   \* MERGEFORMAT </w:instrText>
    </w:r>
    <w:r w:rsidRPr="00412CDD">
      <w:fldChar w:fldCharType="separate"/>
    </w:r>
    <w:r>
      <w:t>12</w:t>
    </w:r>
    <w:r w:rsidRPr="00412CDD">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3E5A9" w14:textId="77777777" w:rsidR="006D4CD4" w:rsidRPr="006D4CD4" w:rsidRDefault="006D4CD4" w:rsidP="006D4CD4">
    <w:pPr>
      <w:pStyle w:val="Footer"/>
    </w:pPr>
    <w:r>
      <w:t>Report name goes here</w:t>
    </w:r>
    <w:r w:rsidRPr="00D84622">
      <w:tab/>
    </w:r>
    <w:r w:rsidRPr="00D84622">
      <w:fldChar w:fldCharType="begin"/>
    </w:r>
    <w:r w:rsidRPr="00D84622">
      <w:instrText xml:space="preserve"> PAGE   \* MERGEFORMAT </w:instrText>
    </w:r>
    <w:r w:rsidRPr="00D84622">
      <w:fldChar w:fldCharType="separate"/>
    </w:r>
    <w:r>
      <w:t>2</w:t>
    </w:r>
    <w:r w:rsidRPr="00D8462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1D8D4" w14:textId="77777777" w:rsidR="00A12B60" w:rsidRDefault="00A12B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4AC9D" w14:textId="2A367256" w:rsidR="00A12B60" w:rsidRPr="00787A52" w:rsidRDefault="00787A52" w:rsidP="00787A52">
    <w:pPr>
      <w:pStyle w:val="Footer"/>
    </w:pPr>
    <w:r w:rsidRPr="00787A52">
      <w:t>Attachment 2: Australian CQR security compliance guideline</w:t>
    </w:r>
    <w:r w:rsidR="00412CDD" w:rsidRPr="00787A52">
      <w:tab/>
    </w:r>
    <w:r w:rsidR="00412CDD" w:rsidRPr="00787A52">
      <w:fldChar w:fldCharType="begin"/>
    </w:r>
    <w:r w:rsidR="00412CDD" w:rsidRPr="00787A52">
      <w:instrText xml:space="preserve"> PAGE   \* MERGEFORMAT </w:instrText>
    </w:r>
    <w:r w:rsidR="00412CDD" w:rsidRPr="00787A52">
      <w:fldChar w:fldCharType="separate"/>
    </w:r>
    <w:r w:rsidR="00412CDD" w:rsidRPr="00787A52">
      <w:t>18</w:t>
    </w:r>
    <w:r w:rsidR="00412CDD" w:rsidRPr="00787A52">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4F1FB" w14:textId="77777777" w:rsidR="00A12B60" w:rsidRDefault="00A12B6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370E1" w14:textId="77777777" w:rsidR="00673662" w:rsidRDefault="0067366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257FB" w14:textId="77777777" w:rsidR="00673662" w:rsidRPr="00412CDD" w:rsidRDefault="00673662" w:rsidP="00412CDD">
    <w:pPr>
      <w:pStyle w:val="Footer"/>
    </w:pPr>
    <w:r w:rsidRPr="00412CDD">
      <w:t>Attachment 2: Australian CQR security compliance guideline</w:t>
    </w:r>
    <w:r w:rsidRPr="00412CDD">
      <w:tab/>
    </w:r>
    <w:r w:rsidRPr="00412CDD">
      <w:fldChar w:fldCharType="begin"/>
    </w:r>
    <w:r w:rsidRPr="00412CDD">
      <w:instrText xml:space="preserve"> PAGE   \* MERGEFORMAT </w:instrText>
    </w:r>
    <w:r w:rsidRPr="00412CDD">
      <w:fldChar w:fldCharType="separate"/>
    </w:r>
    <w:r w:rsidRPr="00412CDD">
      <w:t>18</w:t>
    </w:r>
    <w:r w:rsidRPr="00412CD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C6A0A" w14:textId="77777777" w:rsidR="00673662" w:rsidRDefault="0067366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A6404" w14:textId="77777777" w:rsidR="00787A52" w:rsidRPr="00412CDD" w:rsidRDefault="00787A52" w:rsidP="00787A52">
    <w:pPr>
      <w:pStyle w:val="Footer"/>
    </w:pPr>
    <w:r w:rsidRPr="00412CDD">
      <w:t>Attachment 2: Australian CQR security compliance guideline</w:t>
    </w:r>
    <w:r w:rsidRPr="00412CDD">
      <w:tab/>
    </w:r>
    <w:r w:rsidRPr="00412CDD">
      <w:fldChar w:fldCharType="begin"/>
    </w:r>
    <w:r w:rsidRPr="00412CDD">
      <w:instrText xml:space="preserve"> PAGE   \* MERGEFORMAT </w:instrText>
    </w:r>
    <w:r w:rsidRPr="00412CDD">
      <w:fldChar w:fldCharType="separate"/>
    </w:r>
    <w:r>
      <w:t>13</w:t>
    </w:r>
    <w:r w:rsidRPr="00412CDD">
      <w:fldChar w:fldCharType="end"/>
    </w:r>
  </w:p>
  <w:p w14:paraId="17D48A06" w14:textId="77777777" w:rsidR="00787A52" w:rsidRDefault="00787A52" w:rsidP="00412CD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72832" w14:textId="4779224C" w:rsidR="00787A52" w:rsidRDefault="00787A52" w:rsidP="00412CDD">
    <w:pPr>
      <w:pStyle w:val="Footer"/>
    </w:pPr>
    <w:r w:rsidRPr="00412CDD">
      <w:t>Attachment 2: Australian CQR security compliance guideline</w:t>
    </w:r>
    <w:r w:rsidRPr="00412CDD">
      <w:tab/>
    </w:r>
    <w:r w:rsidRPr="00412CDD">
      <w:fldChar w:fldCharType="begin"/>
    </w:r>
    <w:r w:rsidRPr="00412CDD">
      <w:instrText xml:space="preserve"> PAGE   \* MERGEFORMAT </w:instrText>
    </w:r>
    <w:r w:rsidRPr="00412CDD">
      <w:fldChar w:fldCharType="separate"/>
    </w:r>
    <w:r>
      <w:t>13</w:t>
    </w:r>
    <w:r w:rsidRPr="00412CD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53FCC" w14:textId="77777777" w:rsidR="003D03BA" w:rsidRDefault="003D03BA" w:rsidP="000B0274">
      <w:r>
        <w:separator/>
      </w:r>
    </w:p>
    <w:p w14:paraId="3B7D3FF7" w14:textId="77777777" w:rsidR="003D03BA" w:rsidRDefault="003D03BA"/>
    <w:p w14:paraId="4F0BABD0" w14:textId="77777777" w:rsidR="003D03BA" w:rsidRDefault="003D03BA"/>
    <w:p w14:paraId="0DCB368A" w14:textId="77777777" w:rsidR="003D03BA" w:rsidRDefault="003D03BA"/>
    <w:p w14:paraId="47F7F5CB" w14:textId="77777777" w:rsidR="003D03BA" w:rsidRDefault="003D03BA"/>
  </w:footnote>
  <w:footnote w:type="continuationSeparator" w:id="0">
    <w:p w14:paraId="429E3AAE" w14:textId="77777777" w:rsidR="003D03BA" w:rsidRDefault="003D03BA" w:rsidP="000B0274">
      <w:r>
        <w:continuationSeparator/>
      </w:r>
    </w:p>
    <w:p w14:paraId="4B3E0F16" w14:textId="77777777" w:rsidR="003D03BA" w:rsidRDefault="003D03BA"/>
    <w:p w14:paraId="26D58BB8" w14:textId="77777777" w:rsidR="003D03BA" w:rsidRDefault="003D03BA"/>
    <w:p w14:paraId="695DEBAE" w14:textId="77777777" w:rsidR="003D03BA" w:rsidRDefault="003D03BA"/>
    <w:p w14:paraId="53276A3F" w14:textId="77777777" w:rsidR="003D03BA" w:rsidRDefault="003D03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96234" w14:textId="77777777" w:rsidR="00622FFC" w:rsidRDefault="00622FFC"/>
  <w:p w14:paraId="23093B49" w14:textId="77777777" w:rsidR="00622FFC" w:rsidRDefault="00622FFC"/>
  <w:p w14:paraId="3434238E" w14:textId="77777777" w:rsidR="00622FFC" w:rsidRDefault="00622FFC"/>
  <w:p w14:paraId="4F44D5BA" w14:textId="77777777" w:rsidR="00622FFC" w:rsidRDefault="00622FF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BC757" w14:textId="77777777" w:rsidR="008E2CAE" w:rsidRDefault="008E2CAE" w:rsidP="006F5F40">
    <w:pPr>
      <w:pStyle w:val="Header"/>
      <w:tabs>
        <w:tab w:val="left" w:pos="142"/>
        <w:tab w:val="right" w:pos="8789"/>
        <w:tab w:val="right" w:pos="13608"/>
      </w:tabs>
    </w:pP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E7A7E" w14:textId="77777777" w:rsidR="008E2CAE" w:rsidRDefault="008E2CAE">
    <w:pPr>
      <w:pStyle w:val="Header"/>
    </w:pPr>
    <w:r>
      <w:rPr>
        <w:noProof/>
      </w:rPr>
      <mc:AlternateContent>
        <mc:Choice Requires="wps">
          <w:drawing>
            <wp:anchor distT="0" distB="0" distL="114300" distR="114300" simplePos="0" relativeHeight="251662336" behindDoc="1" locked="0" layoutInCell="0" allowOverlap="1" wp14:anchorId="0EC34674" wp14:editId="74728AA8">
              <wp:simplePos x="0" y="0"/>
              <wp:positionH relativeFrom="margin">
                <wp:align>center</wp:align>
              </wp:positionH>
              <wp:positionV relativeFrom="margin">
                <wp:align>center</wp:align>
              </wp:positionV>
              <wp:extent cx="7783830" cy="915670"/>
              <wp:effectExtent l="0" t="0" r="0" b="0"/>
              <wp:wrapNone/>
              <wp:docPr id="1570750995" name="PowerPlusWaterMarkObject548049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783830" cy="9156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BE2D83" w14:textId="77777777" w:rsidR="008E2CAE" w:rsidRDefault="008E2CAE" w:rsidP="002839EA">
                          <w:pPr>
                            <w:jc w:val="center"/>
                            <w:rPr>
                              <w:rFonts w:cs="Arial"/>
                              <w:color w:val="C0C0C0"/>
                              <w:sz w:val="72"/>
                              <w:szCs w:val="72"/>
                              <w:lang w:val="en-GB"/>
                              <w14:textFill>
                                <w14:solidFill>
                                  <w14:srgbClr w14:val="C0C0C0">
                                    <w14:alpha w14:val="50000"/>
                                  </w14:srgbClr>
                                </w14:solidFill>
                              </w14:textFill>
                            </w:rPr>
                          </w:pPr>
                          <w:r>
                            <w:rPr>
                              <w:rFonts w:cs="Arial"/>
                              <w:color w:val="C0C0C0"/>
                              <w:sz w:val="72"/>
                              <w:szCs w:val="72"/>
                              <w:lang w:val="en-GB"/>
                              <w14:textFill>
                                <w14:solidFill>
                                  <w14:srgbClr w14:val="C0C0C0">
                                    <w14:alpha w14:val="50000"/>
                                  </w14:srgbClr>
                                </w14:solidFill>
                              </w14:textFill>
                            </w:rPr>
                            <w:t>Consultation version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EC34674" id="_x0000_t202" coordsize="21600,21600" o:spt="202" path="m,l,21600r21600,l21600,xe">
              <v:stroke joinstyle="miter"/>
              <v:path gradientshapeok="t" o:connecttype="rect"/>
            </v:shapetype>
            <v:shape id="PowerPlusWaterMarkObject5480496" o:spid="_x0000_s1027" type="#_x0000_t202" style="position:absolute;margin-left:0;margin-top:0;width:612.9pt;height:72.1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rbHQIAACQEAAAOAAAAZHJzL2Uyb0RvYy54bWysU01z0zAQvTPDf9DoTpy00yb1xOmEFsqh&#10;QIeG6VmR5FjF0oqVEjv8elaK0/BxY/BBI+9Kz++9fZ5f97ZlO43BgKv4ZDTmTDsJyrhNxb+u3r+Z&#10;cRaicEq04HTF9zrw68XrV/POl/oMGmiVRkYgLpSdr3gToy+LIshGWxFG4LWjZg1oRaRX3BQKRUfo&#10;ti3OxuPLogNUHkHqEKh6e2jyRcavay3j57oOOrK24sQt5hXzuk5rsZiLcoPCN0YONMQ/sLDCOPro&#10;C9StiIJt0fwFZY1ECFDHkQRbQF0bqbMGUjMZ/6HmsRFeZy1kTvAvNoX/Bys/7R79A7LYv4WeBphF&#10;BH8P8ltgDu6QZjLhtPsC5F3e3TTCbfQyeDL32NTB/KDp5v47ZeIDGBeJZi4s1fM2xA8UglYfawMI&#10;InSNFur3cta92vsj4kr3MaEmPBpY0flQDsTToEMZkoR19xEUXRHbCFlGX6NlmHnPrsbpyWUynZFU&#10;SsP+JQH0ASapOJ3Ozmfn1JLUu5pcXE5zRApRJrA0YI8h3mmwLG0qjmRCRhW7+xATudORgWkid6AZ&#10;+3XPjBpkJOJrUHui3lEAKx6+bwVqMntrb4DySubVCPaJEr7ELP5IYNU/CfQDhUjkH9pjADOPnETF&#10;nLDJD/VMQLalXO9Eyy6yEQemw+GB8wE13XWwJBNrkwWdeA6CKIpZ5/DbpKz/+p5PnX7uxU8AAAD/&#10;/wMAUEsDBBQABgAIAAAAIQBClHXw3QAAAAYBAAAPAAAAZHJzL2Rvd25yZXYueG1sTI9BT8JAEIXv&#10;Jv6HzZh4MbC1AWNKt0RIOMlF5OBx6A5tY3e2dLdQ/fUOXvQymcl7efO9fDm6Vp2pD41nA4/TBBRx&#10;6W3DlYH9+2byDCpEZIutZzLwRQGWxe1Njpn1F36j8y5WSkI4ZGigjrHLtA5lTQ7D1HfEoh197zDK&#10;2Vfa9niRcNfqNEmetMOG5UONHa1rKj93gzNQHT9Ow+lhu37d7MeS/Hb1PW9WxtzfjS8LUJHG+GeG&#10;K76gQyFMBz+wDao1IEXi77xqaTqXHgfZZrMUdJHr//jFDwAAAP//AwBQSwECLQAUAAYACAAAACEA&#10;toM4kv4AAADhAQAAEwAAAAAAAAAAAAAAAAAAAAAAW0NvbnRlbnRfVHlwZXNdLnhtbFBLAQItABQA&#10;BgAIAAAAIQA4/SH/1gAAAJQBAAALAAAAAAAAAAAAAAAAAC8BAABfcmVscy8ucmVsc1BLAQItABQA&#10;BgAIAAAAIQBCQNrbHQIAACQEAAAOAAAAAAAAAAAAAAAAAC4CAABkcnMvZTJvRG9jLnhtbFBLAQIt&#10;ABQABgAIAAAAIQBClHXw3QAAAAYBAAAPAAAAAAAAAAAAAAAAAHcEAABkcnMvZG93bnJldi54bWxQ&#10;SwUGAAAAAAQABADzAAAAgQUAAAAA&#10;" o:allowincell="f" filled="f" stroked="f">
              <v:stroke joinstyle="round"/>
              <o:lock v:ext="edit" rotation="t" aspectratio="t" verticies="t" adjusthandles="t" grouping="t" shapetype="t"/>
              <v:textbox>
                <w:txbxContent>
                  <w:p w14:paraId="6BBE2D83" w14:textId="77777777" w:rsidR="008E2CAE" w:rsidRDefault="008E2CAE" w:rsidP="002839EA">
                    <w:pPr>
                      <w:jc w:val="center"/>
                      <w:rPr>
                        <w:rFonts w:cs="Arial"/>
                        <w:color w:val="C0C0C0"/>
                        <w:sz w:val="72"/>
                        <w:szCs w:val="72"/>
                        <w:lang w:val="en-GB"/>
                        <w14:textFill>
                          <w14:solidFill>
                            <w14:srgbClr w14:val="C0C0C0">
                              <w14:alpha w14:val="50000"/>
                            </w14:srgbClr>
                          </w14:solidFill>
                        </w14:textFill>
                      </w:rPr>
                    </w:pPr>
                    <w:r>
                      <w:rPr>
                        <w:rFonts w:cs="Arial"/>
                        <w:color w:val="C0C0C0"/>
                        <w:sz w:val="72"/>
                        <w:szCs w:val="72"/>
                        <w:lang w:val="en-GB"/>
                        <w14:textFill>
                          <w14:solidFill>
                            <w14:srgbClr w14:val="C0C0C0">
                              <w14:alpha w14:val="50000"/>
                            </w14:srgbClr>
                          </w14:solidFill>
                        </w14:textFill>
                      </w:rPr>
                      <w:t>Consultation version</w:t>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5B0AA" w14:textId="77777777" w:rsidR="00613C02" w:rsidRDefault="00613C02">
    <w:pPr>
      <w:pStyle w:val="Header"/>
    </w:pPr>
    <w:r>
      <w:rPr>
        <w:noProof/>
      </w:rPr>
      <mc:AlternateContent>
        <mc:Choice Requires="wps">
          <w:drawing>
            <wp:anchor distT="0" distB="0" distL="114300" distR="114300" simplePos="0" relativeHeight="251660288" behindDoc="1" locked="0" layoutInCell="0" allowOverlap="1" wp14:anchorId="3F1D99EA" wp14:editId="6DA67D39">
              <wp:simplePos x="0" y="0"/>
              <wp:positionH relativeFrom="margin">
                <wp:align>center</wp:align>
              </wp:positionH>
              <wp:positionV relativeFrom="margin">
                <wp:align>center</wp:align>
              </wp:positionV>
              <wp:extent cx="7783830" cy="915670"/>
              <wp:effectExtent l="0" t="0" r="0" b="0"/>
              <wp:wrapNone/>
              <wp:docPr id="699398603" name="PowerPlusWaterMarkObject548049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783830" cy="9156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E6E4AD" w14:textId="77777777" w:rsidR="00613C02" w:rsidRDefault="00613C02" w:rsidP="002839EA">
                          <w:pPr>
                            <w:jc w:val="center"/>
                            <w:rPr>
                              <w:rFonts w:cs="Arial"/>
                              <w:color w:val="C0C0C0"/>
                              <w:sz w:val="72"/>
                              <w:szCs w:val="72"/>
                              <w:lang w:val="en-GB"/>
                              <w14:textFill>
                                <w14:solidFill>
                                  <w14:srgbClr w14:val="C0C0C0">
                                    <w14:alpha w14:val="50000"/>
                                  </w14:srgbClr>
                                </w14:solidFill>
                              </w14:textFill>
                            </w:rPr>
                          </w:pPr>
                          <w:r>
                            <w:rPr>
                              <w:rFonts w:cs="Arial"/>
                              <w:color w:val="C0C0C0"/>
                              <w:sz w:val="72"/>
                              <w:szCs w:val="72"/>
                              <w:lang w:val="en-GB"/>
                              <w14:textFill>
                                <w14:solidFill>
                                  <w14:srgbClr w14:val="C0C0C0">
                                    <w14:alpha w14:val="50000"/>
                                  </w14:srgbClr>
                                </w14:solidFill>
                              </w14:textFill>
                            </w:rPr>
                            <w:t>Consultation version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F1D99EA" id="_x0000_t202" coordsize="21600,21600" o:spt="202" path="m,l,21600r21600,l21600,xe">
              <v:stroke joinstyle="miter"/>
              <v:path gradientshapeok="t" o:connecttype="rect"/>
            </v:shapetype>
            <v:shape id="_x0000_s1028" type="#_x0000_t202" style="position:absolute;margin-left:0;margin-top:0;width:612.9pt;height:72.1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7HwIAACQEAAAOAAAAZHJzL2Uyb0RvYy54bWysU01z0zAQvTPDf9DoTpyk0zb1xOmEFsqh&#10;QIeG6VmR5FjF0gqtEjv8elaK0/BxY/BBI+9Kz++9fZ5f97ZlOx3QgKv4ZDTmTDsJyrhNxb+u3r+Z&#10;cYZROCVacLrie438evH61bzzpZ5CA63SgRGIw7LzFW9i9GVRoGy0FTgCrx01awhWRHoNm0IF0RG6&#10;bYvpeHxRdBCUDyA1IlVvD02+yPh1rWX8XNeoI2srTtxiXkNe12ktFnNRboLwjZEDDfEPLKwwjj76&#10;AnUromDbYP6CskYGQKjjSIItoK6N1FkDqZmM/1Dz2AivsxYyB/2LTfj/YOWn3aN/CCz2b6GnAWYR&#10;6O9BfkPm4C7QTCacdl+AvMu7m0a4jV6iJ3OPTY3mB003998pEx/AuEg0c2GpnrcYP1AIWn2sDSAh&#10;QNdooX4vZ92rvT8irnQfE2rCo4EVncdyIJ4GjSUmCevuIyi6IrYRsoy+DpaFzHt2NU5PLpPpjKRS&#10;GvYvCaAPMEnFy8vZ2eyMWpJ6V5Pzi8sckUKUCSwN2AeMdxosS5uKBzIho4rdPcZE7nRkYJrIHWjG&#10;ft0zoyo+TTIS8TWoPVHvKIAVx+9bETSZvbU3QHkl8+oA9okSvgxZ/JHAqn8SwQ8UIpF/aI8BzDxy&#10;EhVzwiY/1DMB2ZZyvRMtO89GHJgOhwfOB9R018GSTKxNFnTiOQiiKGadw2+Tsv7rez51+rkXPwEA&#10;AP//AwBQSwMEFAAGAAgAAAAhAEKUdfDdAAAABgEAAA8AAABkcnMvZG93bnJldi54bWxMj0FPwkAQ&#10;he8m/ofNmHgxsLUBY0q3REg4yUXk4HHoDm1jd7Z0t1D99Q5e9DKZyXt58718ObpWnakPjWcDj9ME&#10;FHHpbcOVgf37ZvIMKkRki61nMvBFAZbF7U2OmfUXfqPzLlZKQjhkaKCOscu0DmVNDsPUd8SiHX3v&#10;MMrZV9r2eJFw1+o0SZ60w4blQ40drWsqP3eDM1AdP07D6WG7ft3sx5L8dvU9b1bG3N+NLwtQkcb4&#10;Z4YrvqBDIUwHP7ANqjUgReLvvGppOpceB9lmsxR0kev/+MUPAAAA//8DAFBLAQItABQABgAIAAAA&#10;IQC2gziS/gAAAOEBAAATAAAAAAAAAAAAAAAAAAAAAABbQ29udGVudF9UeXBlc10ueG1sUEsBAi0A&#10;FAAGAAgAAAAhADj9If/WAAAAlAEAAAsAAAAAAAAAAAAAAAAALwEAAF9yZWxzLy5yZWxzUEsBAi0A&#10;FAAGAAgAAAAhAP6lmTsfAgAAJAQAAA4AAAAAAAAAAAAAAAAALgIAAGRycy9lMm9Eb2MueG1sUEsB&#10;Ai0AFAAGAAgAAAAhAEKUdfDdAAAABgEAAA8AAAAAAAAAAAAAAAAAeQQAAGRycy9kb3ducmV2Lnht&#10;bFBLBQYAAAAABAAEAPMAAACDBQAAAAA=&#10;" o:allowincell="f" filled="f" stroked="f">
              <v:stroke joinstyle="round"/>
              <o:lock v:ext="edit" rotation="t" aspectratio="t" verticies="t" adjusthandles="t" grouping="t" shapetype="t"/>
              <v:textbox>
                <w:txbxContent>
                  <w:p w14:paraId="04E6E4AD" w14:textId="77777777" w:rsidR="00613C02" w:rsidRDefault="00613C02" w:rsidP="002839EA">
                    <w:pPr>
                      <w:jc w:val="center"/>
                      <w:rPr>
                        <w:rFonts w:cs="Arial"/>
                        <w:color w:val="C0C0C0"/>
                        <w:sz w:val="72"/>
                        <w:szCs w:val="72"/>
                        <w:lang w:val="en-GB"/>
                        <w14:textFill>
                          <w14:solidFill>
                            <w14:srgbClr w14:val="C0C0C0">
                              <w14:alpha w14:val="50000"/>
                            </w14:srgbClr>
                          </w14:solidFill>
                        </w14:textFill>
                      </w:rPr>
                    </w:pPr>
                    <w:r>
                      <w:rPr>
                        <w:rFonts w:cs="Arial"/>
                        <w:color w:val="C0C0C0"/>
                        <w:sz w:val="72"/>
                        <w:szCs w:val="72"/>
                        <w:lang w:val="en-GB"/>
                        <w14:textFill>
                          <w14:solidFill>
                            <w14:srgbClr w14:val="C0C0C0">
                              <w14:alpha w14:val="50000"/>
                            </w14:srgbClr>
                          </w14:solidFill>
                        </w14:textFill>
                      </w:rPr>
                      <w:t>Consultation version</w:t>
                    </w:r>
                  </w:p>
                </w:txbxContent>
              </v:textbox>
              <w10:wrap anchorx="margin" anchory="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B3C97" w14:textId="25546C47" w:rsidR="00613C02" w:rsidRDefault="00613C02" w:rsidP="006F5F40">
    <w:pPr>
      <w:pStyle w:val="Header"/>
      <w:tabs>
        <w:tab w:val="left" w:pos="142"/>
        <w:tab w:val="right" w:pos="8789"/>
        <w:tab w:val="right" w:pos="13608"/>
      </w:tabs>
    </w:pPr>
    <w: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AB127" w14:textId="77777777" w:rsidR="00613C02" w:rsidRDefault="00613C02">
    <w:pPr>
      <w:pStyle w:val="Header"/>
    </w:pPr>
    <w:r>
      <w:rPr>
        <w:noProof/>
      </w:rPr>
      <mc:AlternateContent>
        <mc:Choice Requires="wps">
          <w:drawing>
            <wp:anchor distT="0" distB="0" distL="114300" distR="114300" simplePos="0" relativeHeight="251659264" behindDoc="1" locked="0" layoutInCell="0" allowOverlap="1" wp14:anchorId="271EDE08" wp14:editId="6638A927">
              <wp:simplePos x="0" y="0"/>
              <wp:positionH relativeFrom="margin">
                <wp:align>center</wp:align>
              </wp:positionH>
              <wp:positionV relativeFrom="margin">
                <wp:align>center</wp:align>
              </wp:positionV>
              <wp:extent cx="7783830" cy="915670"/>
              <wp:effectExtent l="0" t="0" r="0" b="0"/>
              <wp:wrapNone/>
              <wp:docPr id="996033478" name="PowerPlusWaterMarkObject548049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783830" cy="9156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3F7FB1" w14:textId="77777777" w:rsidR="00613C02" w:rsidRDefault="00613C02" w:rsidP="002839EA">
                          <w:pPr>
                            <w:jc w:val="center"/>
                            <w:rPr>
                              <w:rFonts w:cs="Arial"/>
                              <w:color w:val="C0C0C0"/>
                              <w:sz w:val="72"/>
                              <w:szCs w:val="72"/>
                              <w:lang w:val="en-GB"/>
                              <w14:textFill>
                                <w14:solidFill>
                                  <w14:srgbClr w14:val="C0C0C0">
                                    <w14:alpha w14:val="50000"/>
                                  </w14:srgbClr>
                                </w14:solidFill>
                              </w14:textFill>
                            </w:rPr>
                          </w:pPr>
                          <w:r>
                            <w:rPr>
                              <w:rFonts w:cs="Arial"/>
                              <w:color w:val="C0C0C0"/>
                              <w:sz w:val="72"/>
                              <w:szCs w:val="72"/>
                              <w:lang w:val="en-GB"/>
                              <w14:textFill>
                                <w14:solidFill>
                                  <w14:srgbClr w14:val="C0C0C0">
                                    <w14:alpha w14:val="50000"/>
                                  </w14:srgbClr>
                                </w14:solidFill>
                              </w14:textFill>
                            </w:rPr>
                            <w:t>Consultation version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71EDE08" id="_x0000_t202" coordsize="21600,21600" o:spt="202" path="m,l,21600r21600,l21600,xe">
              <v:stroke joinstyle="miter"/>
              <v:path gradientshapeok="t" o:connecttype="rect"/>
            </v:shapetype>
            <v:shape id="_x0000_s1029" type="#_x0000_t202" style="position:absolute;margin-left:0;margin-top:0;width:612.9pt;height:72.1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kHwIAACQEAAAOAAAAZHJzL2Uyb0RvYy54bWysU01z0zAQvTPDf9DoTpw00zb1xOmEFsqh&#10;QIeG6VmR5FjF0gqtEjv8elaK0/BxY/BBI+9Kz++9fZ5f97ZlOx3QgKv4ZDTmTDsJyrhNxb+u3r+Z&#10;cYZROCVacLrie438evH61bzzpT6DBlqlAyMQh2XnK97E6MuiQNloK3AEXjtq1hCsiPQaNoUKoiN0&#10;2xZn4/FF0UFQPoDUiFS9PTT5IuPXtZbxc12jjqytOHGLeQ15Xae1WMxFuQnCN0YONMQ/sLDCOPro&#10;C9StiIJtg/kLyhoZAKGOIwm2gLo2UmcNpGYy/kPNYyO8zlrIHPQvNuH/g5Wfdo/+IbDYv4WeBphF&#10;oL8H+Q2Zg7tAM5lw2n0B8i7vbhrhNnqJnsw9NjWaHzTd3H+nTHwA4yLRzIWlet5i/EAhaPWxNoCE&#10;AF2jhfq9nHWv9v6IuNJ9TKgJjwZWdB7LgXgaNJaYJKy7j6DoithGyDL6OlgWMu/Z1Tg9uUymM5JK&#10;adi/JIA+wCQVLy9n09mUWpJ6V5Pzi8sckUKUCSwN2AeMdxosS5uKBzIho4rdPcZE7nRkYJrIHWjG&#10;ft0zoyo+TTIS8TWoPVHvKIAVx+9bETSZvbU3QHkl8+oA9okSvgxZ/JHAqn8SwQ8UIpF/aI8BzDxy&#10;EhVzwiY/1DMB2ZZyvRMtO89GHJgOhwfOB9R018GSTKxNFnTiOQiiKGadw2+Tsv7rez51+rkXPwEA&#10;AP//AwBQSwMEFAAGAAgAAAAhAEKUdfDdAAAABgEAAA8AAABkcnMvZG93bnJldi54bWxMj0FPwkAQ&#10;he8m/ofNmHgxsLUBY0q3REg4yUXk4HHoDm1jd7Z0t1D99Q5e9DKZyXt58718ObpWnakPjWcDj9ME&#10;FHHpbcOVgf37ZvIMKkRki61nMvBFAZbF7U2OmfUXfqPzLlZKQjhkaKCOscu0DmVNDsPUd8SiHX3v&#10;MMrZV9r2eJFw1+o0SZ60w4blQ40drWsqP3eDM1AdP07D6WG7ft3sx5L8dvU9b1bG3N+NLwtQkcb4&#10;Z4YrvqBDIUwHP7ANqjUgReLvvGppOpceB9lmsxR0kev/+MUPAAAA//8DAFBLAQItABQABgAIAAAA&#10;IQC2gziS/gAAAOEBAAATAAAAAAAAAAAAAAAAAAAAAABbQ29udGVudF9UeXBlc10ueG1sUEsBAi0A&#10;FAAGAAgAAAAhADj9If/WAAAAlAEAAAsAAAAAAAAAAAAAAAAALwEAAF9yZWxzLy5yZWxzUEsBAi0A&#10;FAAGAAgAAAAhAGr5WGQfAgAAJAQAAA4AAAAAAAAAAAAAAAAALgIAAGRycy9lMm9Eb2MueG1sUEsB&#10;Ai0AFAAGAAgAAAAhAEKUdfDdAAAABgEAAA8AAAAAAAAAAAAAAAAAeQQAAGRycy9kb3ducmV2Lnht&#10;bFBLBQYAAAAABAAEAPMAAACDBQAAAAA=&#10;" o:allowincell="f" filled="f" stroked="f">
              <v:stroke joinstyle="round"/>
              <o:lock v:ext="edit" rotation="t" aspectratio="t" verticies="t" adjusthandles="t" grouping="t" shapetype="t"/>
              <v:textbox>
                <w:txbxContent>
                  <w:p w14:paraId="1D3F7FB1" w14:textId="77777777" w:rsidR="00613C02" w:rsidRDefault="00613C02" w:rsidP="002839EA">
                    <w:pPr>
                      <w:jc w:val="center"/>
                      <w:rPr>
                        <w:rFonts w:cs="Arial"/>
                        <w:color w:val="C0C0C0"/>
                        <w:sz w:val="72"/>
                        <w:szCs w:val="72"/>
                        <w:lang w:val="en-GB"/>
                        <w14:textFill>
                          <w14:solidFill>
                            <w14:srgbClr w14:val="C0C0C0">
                              <w14:alpha w14:val="50000"/>
                            </w14:srgbClr>
                          </w14:solidFill>
                        </w14:textFill>
                      </w:rPr>
                    </w:pPr>
                    <w:r>
                      <w:rPr>
                        <w:rFonts w:cs="Arial"/>
                        <w:color w:val="C0C0C0"/>
                        <w:sz w:val="72"/>
                        <w:szCs w:val="72"/>
                        <w:lang w:val="en-GB"/>
                        <w14:textFill>
                          <w14:solidFill>
                            <w14:srgbClr w14:val="C0C0C0">
                              <w14:alpha w14:val="50000"/>
                            </w14:srgbClr>
                          </w14:solidFill>
                        </w14:textFill>
                      </w:rPr>
                      <w:t>Consultation version</w:t>
                    </w:r>
                  </w:p>
                </w:txbxContent>
              </v:textbox>
              <w10:wrap anchorx="margin" anchory="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8589" w14:textId="77777777" w:rsidR="00EE552C" w:rsidRDefault="00EE552C">
    <w:pPr>
      <w:pStyle w:val="Header"/>
    </w:pPr>
    <w:r w:rsidRPr="00FB375B">
      <w:rPr>
        <w:rFonts w:eastAsiaTheme="majorEastAsia"/>
        <w:noProof/>
        <w:lang w:val="en-US" w:eastAsia="en-US"/>
      </w:rPr>
      <w:drawing>
        <wp:inline distT="0" distB="0" distL="0" distR="0" wp14:anchorId="57A32E5C" wp14:editId="2A3655BE">
          <wp:extent cx="4307149" cy="543600"/>
          <wp:effectExtent l="0" t="0" r="0" b="2540"/>
          <wp:docPr id="1" name="Picture 1"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34400" cy="547039"/>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70F63" w14:textId="77777777" w:rsidR="00622FFC" w:rsidRPr="002E4B35" w:rsidRDefault="00622FFC" w:rsidP="002E4B35">
    <w:pPr>
      <w:tabs>
        <w:tab w:val="left" w:pos="7062"/>
        <w:tab w:val="right" w:pos="9638"/>
      </w:tabs>
      <w:spacing w:before="0"/>
      <w:ind w:left="-142"/>
    </w:pPr>
    <w:r w:rsidRPr="00FB375B">
      <w:rPr>
        <w:rFonts w:eastAsiaTheme="majorEastAsia"/>
        <w:noProof/>
        <w:lang w:val="en-US" w:eastAsia="en-US"/>
      </w:rPr>
      <w:drawing>
        <wp:inline distT="0" distB="0" distL="0" distR="0" wp14:anchorId="1BC2F8C9" wp14:editId="21CF0253">
          <wp:extent cx="4307149" cy="543600"/>
          <wp:effectExtent l="0" t="0" r="0" b="2540"/>
          <wp:docPr id="11" name="Picture 11"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34400" cy="547039"/>
                  </a:xfrm>
                  <a:prstGeom prst="rect">
                    <a:avLst/>
                  </a:prstGeom>
                  <a:ln>
                    <a:noFill/>
                  </a:ln>
                  <a:extLst>
                    <a:ext uri="{53640926-AAD7-44D8-BBD7-CCE9431645EC}">
                      <a14:shadowObscured xmlns:a14="http://schemas.microsoft.com/office/drawing/2010/main"/>
                    </a:ext>
                  </a:extLst>
                </pic:spPr>
              </pic:pic>
            </a:graphicData>
          </a:graphic>
        </wp:inline>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00232" w14:textId="77777777" w:rsidR="00A12B60" w:rsidRDefault="00A12B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3DC46" w14:textId="77777777" w:rsidR="00A12B60" w:rsidRPr="00EB3985" w:rsidRDefault="00A12B60" w:rsidP="00EB398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63408" w14:textId="77777777" w:rsidR="00A12B60" w:rsidRDefault="00A12B6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1EA5C" w14:textId="77777777" w:rsidR="00673662" w:rsidRDefault="0067366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6A3AF" w14:textId="77777777" w:rsidR="00673662" w:rsidRPr="00EB3985" w:rsidRDefault="00673662" w:rsidP="00EB398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0483E" w14:textId="77777777" w:rsidR="00673662" w:rsidRDefault="0067366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96157" w14:textId="77777777" w:rsidR="008E2CAE" w:rsidRDefault="008E2CAE">
    <w:pPr>
      <w:pStyle w:val="Header"/>
    </w:pPr>
    <w:r>
      <w:rPr>
        <w:noProof/>
      </w:rPr>
      <mc:AlternateContent>
        <mc:Choice Requires="wps">
          <w:drawing>
            <wp:anchor distT="0" distB="0" distL="114300" distR="114300" simplePos="0" relativeHeight="251663360" behindDoc="1" locked="0" layoutInCell="0" allowOverlap="1" wp14:anchorId="52ABD27B" wp14:editId="24B6AACD">
              <wp:simplePos x="0" y="0"/>
              <wp:positionH relativeFrom="margin">
                <wp:align>center</wp:align>
              </wp:positionH>
              <wp:positionV relativeFrom="margin">
                <wp:align>center</wp:align>
              </wp:positionV>
              <wp:extent cx="7783830" cy="915670"/>
              <wp:effectExtent l="0" t="0" r="0" b="0"/>
              <wp:wrapNone/>
              <wp:docPr id="521234676" name="PowerPlusWaterMarkObject548049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783830" cy="9156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C8825E" w14:textId="77777777" w:rsidR="008E2CAE" w:rsidRDefault="008E2CAE" w:rsidP="002839EA">
                          <w:pPr>
                            <w:jc w:val="center"/>
                            <w:rPr>
                              <w:rFonts w:cs="Arial"/>
                              <w:color w:val="C0C0C0"/>
                              <w:sz w:val="72"/>
                              <w:szCs w:val="72"/>
                              <w:lang w:val="en-GB"/>
                              <w14:textFill>
                                <w14:solidFill>
                                  <w14:srgbClr w14:val="C0C0C0">
                                    <w14:alpha w14:val="50000"/>
                                  </w14:srgbClr>
                                </w14:solidFill>
                              </w14:textFill>
                            </w:rPr>
                          </w:pPr>
                          <w:r>
                            <w:rPr>
                              <w:rFonts w:cs="Arial"/>
                              <w:color w:val="C0C0C0"/>
                              <w:sz w:val="72"/>
                              <w:szCs w:val="72"/>
                              <w:lang w:val="en-GB"/>
                              <w14:textFill>
                                <w14:solidFill>
                                  <w14:srgbClr w14:val="C0C0C0">
                                    <w14:alpha w14:val="50000"/>
                                  </w14:srgbClr>
                                </w14:solidFill>
                              </w14:textFill>
                            </w:rPr>
                            <w:t>Consultation version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2ABD27B" id="_x0000_t202" coordsize="21600,21600" o:spt="202" path="m,l,21600r21600,l21600,xe">
              <v:stroke joinstyle="miter"/>
              <v:path gradientshapeok="t" o:connecttype="rect"/>
            </v:shapetype>
            <v:shape id="PowerPlusWaterMarkObject5480497" o:spid="_x0000_s1026" type="#_x0000_t202" style="position:absolute;margin-left:0;margin-top:0;width:612.9pt;height:72.1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MsGwIAAB0EAAAOAAAAZHJzL2Uyb0RvYy54bWysU01z0zAQvTPDf9DoTuy00yb1xOmEFsqh&#10;QIaG6VmR5NjF0oqVEjv8elaKk/BxY/BBI+/KT++9fZ7d9qZlO42+AVvy8SjnTFsJqrGbkn9dvX8z&#10;5cwHYZVoweqS77Xnt/PXr2adK/QF1NAqjYxArC86V/I6BFdkmZe1NsKPwGlLzQrQiECvuMkUio7Q&#10;TZtd5Pl11gEqhyC191S9PzT5POFXlZbhc1V5HVhbcuIW0oppXcc1m89EsUHh6kYONMQ/sDCisXTp&#10;CepeBMG22PwFZRqJ4KEKIwkmg6pqpE4aSM04/0PNUy2cTlrIHO9ONvn/Bys/7Z7cElno30JPA0wi&#10;vHsE+c0zCw9IMxlz2n0B8i7t7mphN3rhHZl7bGrf/KDppv471YQlNDYQzVRYqJetDx8oBK0+1gYQ&#10;ROhqLdTv5aR7tXdHxJXuQ0SNeDSwrHO+GIjHQfvCRwnr7iMo+kRsAyQZfYWGYeI9vcnjk8pkOiOp&#10;lIb9KQF0AZNUnEyml9NLaknq3YyvricpIpkoIlgcsEMfHjQYFjclRzIhoYrdow+R3PnIwDSSO9AM&#10;/bqnI5HxGtSeOHeUvJL771uBmlzemjugoJJrFYJ5pmgvMKk+3rzqnwW64e5ArJftMXmJQIqgYlaY&#10;aIR6ISDTUqB3omVXyYEDxeHwQPaAGr+1sCD3qiYpOfMclFAGk8Dhf4kh//U9nTr/1fOfAAAA//8D&#10;AFBLAwQUAAYACAAAACEAQpR18N0AAAAGAQAADwAAAGRycy9kb3ducmV2LnhtbEyPQU/CQBCF7yb+&#10;h82YeDGwtQFjSrdESDjJReTgcegObWN3tnS3UP31Dl70MpnJe3nzvXw5uladqQ+NZwOP0wQUcelt&#10;w5WB/ftm8gwqRGSLrWcy8EUBlsXtTY6Z9Rd+o/MuVkpCOGRooI6xy7QOZU0Ow9R3xKIdfe8wytlX&#10;2vZ4kXDX6jRJnrTDhuVDjR2tayo/d4MzUB0/TsPpYbt+3ezHkvx29T1vVsbc340vC1CRxvhnhiu+&#10;oEMhTAc/sA2qNSBF4u+8amk6lx4H2WazFHSR6//4xQ8AAAD//wMAUEsBAi0AFAAGAAgAAAAhALaD&#10;OJL+AAAA4QEAABMAAAAAAAAAAAAAAAAAAAAAAFtDb250ZW50X1R5cGVzXS54bWxQSwECLQAUAAYA&#10;CAAAACEAOP0h/9YAAACUAQAACwAAAAAAAAAAAAAAAAAvAQAAX3JlbHMvLnJlbHNQSwECLQAUAAYA&#10;CAAAACEA1zJTLBsCAAAdBAAADgAAAAAAAAAAAAAAAAAuAgAAZHJzL2Uyb0RvYy54bWxQSwECLQAU&#10;AAYACAAAACEAQpR18N0AAAAGAQAADwAAAAAAAAAAAAAAAAB1BAAAZHJzL2Rvd25yZXYueG1sUEsF&#10;BgAAAAAEAAQA8wAAAH8FAAAAAA==&#10;" o:allowincell="f" filled="f" stroked="f">
              <v:stroke joinstyle="round"/>
              <o:lock v:ext="edit" rotation="t" aspectratio="t" verticies="t" adjusthandles="t" grouping="t" shapetype="t"/>
              <v:textbox>
                <w:txbxContent>
                  <w:p w14:paraId="26C8825E" w14:textId="77777777" w:rsidR="008E2CAE" w:rsidRDefault="008E2CAE" w:rsidP="002839EA">
                    <w:pPr>
                      <w:jc w:val="center"/>
                      <w:rPr>
                        <w:rFonts w:cs="Arial"/>
                        <w:color w:val="C0C0C0"/>
                        <w:sz w:val="72"/>
                        <w:szCs w:val="72"/>
                        <w:lang w:val="en-GB"/>
                        <w14:textFill>
                          <w14:solidFill>
                            <w14:srgbClr w14:val="C0C0C0">
                              <w14:alpha w14:val="50000"/>
                            </w14:srgbClr>
                          </w14:solidFill>
                        </w14:textFill>
                      </w:rPr>
                    </w:pPr>
                    <w:r>
                      <w:rPr>
                        <w:rFonts w:cs="Arial"/>
                        <w:color w:val="C0C0C0"/>
                        <w:sz w:val="72"/>
                        <w:szCs w:val="72"/>
                        <w:lang w:val="en-GB"/>
                        <w14:textFill>
                          <w14:solidFill>
                            <w14:srgbClr w14:val="C0C0C0">
                              <w14:alpha w14:val="50000"/>
                            </w14:srgbClr>
                          </w14:solidFill>
                        </w14:textFill>
                      </w:rPr>
                      <w:t>Consultation version</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9AEA5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DE986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706B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F1E75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A78E3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DE1D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92B1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03E9A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EC5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E850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974E8"/>
    <w:multiLevelType w:val="hybridMultilevel"/>
    <w:tmpl w:val="136200F6"/>
    <w:lvl w:ilvl="0" w:tplc="583429A0">
      <w:start w:val="1"/>
      <w:numFmt w:val="decimal"/>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6105138"/>
    <w:multiLevelType w:val="hybridMultilevel"/>
    <w:tmpl w:val="0E8C4BC4"/>
    <w:lvl w:ilvl="0" w:tplc="EC840366">
      <w:start w:val="1"/>
      <w:numFmt w:val="bullet"/>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E9C32EB"/>
    <w:multiLevelType w:val="multilevel"/>
    <w:tmpl w:val="D1DCA2EC"/>
    <w:lvl w:ilvl="0">
      <w:start w:val="1"/>
      <w:numFmt w:val="bulle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0F9F715E"/>
    <w:multiLevelType w:val="hybridMultilevel"/>
    <w:tmpl w:val="057E34DC"/>
    <w:lvl w:ilvl="0" w:tplc="4E6865FC">
      <w:start w:val="1"/>
      <w:numFmt w:val="decimal"/>
      <w:lvlText w:val="%1."/>
      <w:lvlJc w:val="left"/>
      <w:pPr>
        <w:ind w:left="941" w:hanging="36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6BB4224"/>
    <w:multiLevelType w:val="hybridMultilevel"/>
    <w:tmpl w:val="9A809E82"/>
    <w:lvl w:ilvl="0" w:tplc="288E36DA">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ED443B"/>
    <w:multiLevelType w:val="hybridMultilevel"/>
    <w:tmpl w:val="C28038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9F1571C"/>
    <w:multiLevelType w:val="hybridMultilevel"/>
    <w:tmpl w:val="3C0AC4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19FB70A4"/>
    <w:multiLevelType w:val="hybridMultilevel"/>
    <w:tmpl w:val="06FA1C6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1A5E2DC9"/>
    <w:multiLevelType w:val="hybridMultilevel"/>
    <w:tmpl w:val="86E4779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2" w15:restartNumberingAfterBreak="0">
    <w:nsid w:val="2E7E4F75"/>
    <w:multiLevelType w:val="hybridMultilevel"/>
    <w:tmpl w:val="56CEB2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E90D34"/>
    <w:multiLevelType w:val="hybridMultilevel"/>
    <w:tmpl w:val="603C357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6A452C3"/>
    <w:multiLevelType w:val="multilevel"/>
    <w:tmpl w:val="3FEA7ED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AF00C4F"/>
    <w:multiLevelType w:val="hybridMultilevel"/>
    <w:tmpl w:val="B88EC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DF43F38"/>
    <w:multiLevelType w:val="hybridMultilevel"/>
    <w:tmpl w:val="153264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8D51963"/>
    <w:multiLevelType w:val="hybridMultilevel"/>
    <w:tmpl w:val="C28038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D80077"/>
    <w:multiLevelType w:val="hybridMultilevel"/>
    <w:tmpl w:val="04C440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294802"/>
    <w:multiLevelType w:val="hybridMultilevel"/>
    <w:tmpl w:val="5B10FE0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7825717"/>
    <w:multiLevelType w:val="hybridMultilevel"/>
    <w:tmpl w:val="576643CC"/>
    <w:lvl w:ilvl="0" w:tplc="534844E8">
      <w:start w:val="1"/>
      <w:numFmt w:val="decimal"/>
      <w:lvlText w:val="%1."/>
      <w:lvlJc w:val="left"/>
      <w:pPr>
        <w:ind w:left="720" w:hanging="360"/>
      </w:pPr>
      <w:rPr>
        <w:rFonts w:hint="default"/>
      </w:rPr>
    </w:lvl>
    <w:lvl w:ilvl="1" w:tplc="C652C7CE">
      <w:start w:val="1"/>
      <w:numFmt w:val="bullet"/>
      <w:lvlText w:val="o"/>
      <w:lvlJc w:val="left"/>
      <w:pPr>
        <w:ind w:left="1440" w:hanging="360"/>
      </w:pPr>
      <w:rPr>
        <w:rFonts w:ascii="Courier New" w:hAnsi="Courier New" w:hint="default"/>
      </w:rPr>
    </w:lvl>
    <w:lvl w:ilvl="2" w:tplc="ADD68ABC">
      <w:start w:val="1"/>
      <w:numFmt w:val="bullet"/>
      <w:lvlText w:val=""/>
      <w:lvlJc w:val="left"/>
      <w:pPr>
        <w:ind w:left="2160" w:hanging="360"/>
      </w:pPr>
      <w:rPr>
        <w:rFonts w:ascii="Wingdings" w:hAnsi="Wingdings" w:hint="default"/>
      </w:rPr>
    </w:lvl>
    <w:lvl w:ilvl="3" w:tplc="CDC486E2">
      <w:start w:val="1"/>
      <w:numFmt w:val="bullet"/>
      <w:lvlText w:val=""/>
      <w:lvlJc w:val="left"/>
      <w:pPr>
        <w:ind w:left="2880" w:hanging="360"/>
      </w:pPr>
      <w:rPr>
        <w:rFonts w:ascii="Symbol" w:hAnsi="Symbol" w:hint="default"/>
      </w:rPr>
    </w:lvl>
    <w:lvl w:ilvl="4" w:tplc="31B2DD42">
      <w:start w:val="1"/>
      <w:numFmt w:val="bullet"/>
      <w:lvlText w:val="o"/>
      <w:lvlJc w:val="left"/>
      <w:pPr>
        <w:ind w:left="3600" w:hanging="360"/>
      </w:pPr>
      <w:rPr>
        <w:rFonts w:ascii="Courier New" w:hAnsi="Courier New" w:hint="default"/>
      </w:rPr>
    </w:lvl>
    <w:lvl w:ilvl="5" w:tplc="B27E3D0C">
      <w:start w:val="1"/>
      <w:numFmt w:val="bullet"/>
      <w:lvlText w:val=""/>
      <w:lvlJc w:val="left"/>
      <w:pPr>
        <w:ind w:left="4320" w:hanging="360"/>
      </w:pPr>
      <w:rPr>
        <w:rFonts w:ascii="Wingdings" w:hAnsi="Wingdings" w:hint="default"/>
      </w:rPr>
    </w:lvl>
    <w:lvl w:ilvl="6" w:tplc="763A095A">
      <w:start w:val="1"/>
      <w:numFmt w:val="bullet"/>
      <w:lvlText w:val=""/>
      <w:lvlJc w:val="left"/>
      <w:pPr>
        <w:ind w:left="5040" w:hanging="360"/>
      </w:pPr>
      <w:rPr>
        <w:rFonts w:ascii="Symbol" w:hAnsi="Symbol" w:hint="default"/>
      </w:rPr>
    </w:lvl>
    <w:lvl w:ilvl="7" w:tplc="3F0E7ECC">
      <w:start w:val="1"/>
      <w:numFmt w:val="bullet"/>
      <w:lvlText w:val="o"/>
      <w:lvlJc w:val="left"/>
      <w:pPr>
        <w:ind w:left="5760" w:hanging="360"/>
      </w:pPr>
      <w:rPr>
        <w:rFonts w:ascii="Courier New" w:hAnsi="Courier New" w:hint="default"/>
      </w:rPr>
    </w:lvl>
    <w:lvl w:ilvl="8" w:tplc="FE4C515A">
      <w:start w:val="1"/>
      <w:numFmt w:val="bullet"/>
      <w:lvlText w:val=""/>
      <w:lvlJc w:val="left"/>
      <w:pPr>
        <w:ind w:left="6480" w:hanging="360"/>
      </w:pPr>
      <w:rPr>
        <w:rFonts w:ascii="Wingdings" w:hAnsi="Wingdings" w:hint="default"/>
      </w:rPr>
    </w:lvl>
  </w:abstractNum>
  <w:abstractNum w:abstractNumId="32" w15:restartNumberingAfterBreak="0">
    <w:nsid w:val="6977367A"/>
    <w:multiLevelType w:val="hybridMultilevel"/>
    <w:tmpl w:val="C8D6723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72836226"/>
    <w:multiLevelType w:val="hybridMultilevel"/>
    <w:tmpl w:val="092087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4A1112B"/>
    <w:multiLevelType w:val="multilevel"/>
    <w:tmpl w:val="057E34DC"/>
    <w:styleLink w:val="CurrentList1"/>
    <w:lvl w:ilvl="0">
      <w:start w:val="1"/>
      <w:numFmt w:val="decimal"/>
      <w:lvlText w:val="%1."/>
      <w:lvlJc w:val="left"/>
      <w:pPr>
        <w:ind w:left="941" w:hanging="36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4F82BE3"/>
    <w:multiLevelType w:val="hybridMultilevel"/>
    <w:tmpl w:val="BC86D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77D73AC8"/>
    <w:multiLevelType w:val="hybridMultilevel"/>
    <w:tmpl w:val="9192FEC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7B86044F"/>
    <w:multiLevelType w:val="hybridMultilevel"/>
    <w:tmpl w:val="0B02CD5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D2550B7"/>
    <w:multiLevelType w:val="hybridMultilevel"/>
    <w:tmpl w:val="91304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DE3E7A"/>
    <w:multiLevelType w:val="hybridMultilevel"/>
    <w:tmpl w:val="1340B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7264671">
    <w:abstractNumId w:val="11"/>
  </w:num>
  <w:num w:numId="2" w16cid:durableId="151913477">
    <w:abstractNumId w:val="13"/>
  </w:num>
  <w:num w:numId="3" w16cid:durableId="348606052">
    <w:abstractNumId w:val="21"/>
  </w:num>
  <w:num w:numId="4" w16cid:durableId="1235355125">
    <w:abstractNumId w:val="26"/>
  </w:num>
  <w:num w:numId="5" w16cid:durableId="1472750514">
    <w:abstractNumId w:val="24"/>
  </w:num>
  <w:num w:numId="6" w16cid:durableId="614288394">
    <w:abstractNumId w:val="14"/>
  </w:num>
  <w:num w:numId="7" w16cid:durableId="245379576">
    <w:abstractNumId w:val="16"/>
  </w:num>
  <w:num w:numId="8" w16cid:durableId="172110863">
    <w:abstractNumId w:val="12"/>
  </w:num>
  <w:num w:numId="9" w16cid:durableId="58670212">
    <w:abstractNumId w:val="35"/>
  </w:num>
  <w:num w:numId="10" w16cid:durableId="534196612">
    <w:abstractNumId w:val="20"/>
  </w:num>
  <w:num w:numId="11" w16cid:durableId="827283642">
    <w:abstractNumId w:val="18"/>
  </w:num>
  <w:num w:numId="12" w16cid:durableId="1909533196">
    <w:abstractNumId w:val="32"/>
  </w:num>
  <w:num w:numId="13" w16cid:durableId="32389037">
    <w:abstractNumId w:val="19"/>
  </w:num>
  <w:num w:numId="14" w16cid:durableId="600066042">
    <w:abstractNumId w:val="23"/>
  </w:num>
  <w:num w:numId="15" w16cid:durableId="1676572075">
    <w:abstractNumId w:val="36"/>
  </w:num>
  <w:num w:numId="16" w16cid:durableId="1887064147">
    <w:abstractNumId w:val="22"/>
  </w:num>
  <w:num w:numId="17" w16cid:durableId="1194685873">
    <w:abstractNumId w:val="17"/>
  </w:num>
  <w:num w:numId="18" w16cid:durableId="1656180747">
    <w:abstractNumId w:val="28"/>
  </w:num>
  <w:num w:numId="19" w16cid:durableId="507600832">
    <w:abstractNumId w:val="29"/>
  </w:num>
  <w:num w:numId="20" w16cid:durableId="432896054">
    <w:abstractNumId w:val="0"/>
  </w:num>
  <w:num w:numId="21" w16cid:durableId="709962027">
    <w:abstractNumId w:val="1"/>
  </w:num>
  <w:num w:numId="22" w16cid:durableId="127600342">
    <w:abstractNumId w:val="2"/>
  </w:num>
  <w:num w:numId="23" w16cid:durableId="510798662">
    <w:abstractNumId w:val="3"/>
  </w:num>
  <w:num w:numId="24" w16cid:durableId="1460763758">
    <w:abstractNumId w:val="8"/>
  </w:num>
  <w:num w:numId="25" w16cid:durableId="32459187">
    <w:abstractNumId w:val="4"/>
  </w:num>
  <w:num w:numId="26" w16cid:durableId="606155784">
    <w:abstractNumId w:val="5"/>
  </w:num>
  <w:num w:numId="27" w16cid:durableId="1602303292">
    <w:abstractNumId w:val="6"/>
  </w:num>
  <w:num w:numId="28" w16cid:durableId="1497647213">
    <w:abstractNumId w:val="7"/>
  </w:num>
  <w:num w:numId="29" w16cid:durableId="167600216">
    <w:abstractNumId w:val="9"/>
  </w:num>
  <w:num w:numId="30" w16cid:durableId="2039810925">
    <w:abstractNumId w:val="39"/>
  </w:num>
  <w:num w:numId="31" w16cid:durableId="926965475">
    <w:abstractNumId w:val="38"/>
  </w:num>
  <w:num w:numId="32" w16cid:durableId="1812552849">
    <w:abstractNumId w:val="31"/>
  </w:num>
  <w:num w:numId="33" w16cid:durableId="343216556">
    <w:abstractNumId w:val="37"/>
  </w:num>
  <w:num w:numId="34" w16cid:durableId="1902863469">
    <w:abstractNumId w:val="33"/>
  </w:num>
  <w:num w:numId="35" w16cid:durableId="669604592">
    <w:abstractNumId w:val="27"/>
  </w:num>
  <w:num w:numId="36" w16cid:durableId="1611738493">
    <w:abstractNumId w:val="25"/>
  </w:num>
  <w:num w:numId="37" w16cid:durableId="1428620924">
    <w:abstractNumId w:val="30"/>
  </w:num>
  <w:num w:numId="38" w16cid:durableId="712922550">
    <w:abstractNumId w:val="10"/>
  </w:num>
  <w:num w:numId="39" w16cid:durableId="1996102137">
    <w:abstractNumId w:val="15"/>
  </w:num>
  <w:num w:numId="40" w16cid:durableId="1268007621">
    <w:abstractNumId w:val="3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FFC"/>
    <w:rsid w:val="00002668"/>
    <w:rsid w:val="00003743"/>
    <w:rsid w:val="000077FA"/>
    <w:rsid w:val="0001053B"/>
    <w:rsid w:val="00012782"/>
    <w:rsid w:val="00020DBD"/>
    <w:rsid w:val="00025A92"/>
    <w:rsid w:val="0002727B"/>
    <w:rsid w:val="00030183"/>
    <w:rsid w:val="0003162D"/>
    <w:rsid w:val="000319F8"/>
    <w:rsid w:val="00036AB8"/>
    <w:rsid w:val="00036F5E"/>
    <w:rsid w:val="000406F8"/>
    <w:rsid w:val="00043671"/>
    <w:rsid w:val="00045938"/>
    <w:rsid w:val="00050775"/>
    <w:rsid w:val="00054B74"/>
    <w:rsid w:val="00054E14"/>
    <w:rsid w:val="00055CE6"/>
    <w:rsid w:val="00061303"/>
    <w:rsid w:val="00067456"/>
    <w:rsid w:val="00067CE9"/>
    <w:rsid w:val="00070812"/>
    <w:rsid w:val="000720AA"/>
    <w:rsid w:val="00074553"/>
    <w:rsid w:val="0008065C"/>
    <w:rsid w:val="00083CD1"/>
    <w:rsid w:val="0009015F"/>
    <w:rsid w:val="00090EFF"/>
    <w:rsid w:val="00091FC5"/>
    <w:rsid w:val="00092229"/>
    <w:rsid w:val="00092E65"/>
    <w:rsid w:val="00095DA6"/>
    <w:rsid w:val="00095DC5"/>
    <w:rsid w:val="000A3F0D"/>
    <w:rsid w:val="000A4C01"/>
    <w:rsid w:val="000B0274"/>
    <w:rsid w:val="000B0BFE"/>
    <w:rsid w:val="000B4610"/>
    <w:rsid w:val="000B79D3"/>
    <w:rsid w:val="000B7E1D"/>
    <w:rsid w:val="000C1722"/>
    <w:rsid w:val="000C1DD4"/>
    <w:rsid w:val="000C5B0F"/>
    <w:rsid w:val="000C7A69"/>
    <w:rsid w:val="000D017D"/>
    <w:rsid w:val="000D47CA"/>
    <w:rsid w:val="000D6405"/>
    <w:rsid w:val="000E15DA"/>
    <w:rsid w:val="000E2CD2"/>
    <w:rsid w:val="000E2F2E"/>
    <w:rsid w:val="000F0D77"/>
    <w:rsid w:val="000F29C7"/>
    <w:rsid w:val="000F6B39"/>
    <w:rsid w:val="0010673D"/>
    <w:rsid w:val="00106CF5"/>
    <w:rsid w:val="00115403"/>
    <w:rsid w:val="00115E61"/>
    <w:rsid w:val="00120FCB"/>
    <w:rsid w:val="00131E52"/>
    <w:rsid w:val="00140002"/>
    <w:rsid w:val="00143A76"/>
    <w:rsid w:val="00145BE3"/>
    <w:rsid w:val="00146A66"/>
    <w:rsid w:val="001507C6"/>
    <w:rsid w:val="00157B31"/>
    <w:rsid w:val="00160453"/>
    <w:rsid w:val="00163EF9"/>
    <w:rsid w:val="00165115"/>
    <w:rsid w:val="001652A9"/>
    <w:rsid w:val="00174141"/>
    <w:rsid w:val="00174535"/>
    <w:rsid w:val="0017675C"/>
    <w:rsid w:val="00182C0F"/>
    <w:rsid w:val="00183675"/>
    <w:rsid w:val="00184C86"/>
    <w:rsid w:val="001852DE"/>
    <w:rsid w:val="001859B5"/>
    <w:rsid w:val="001860B2"/>
    <w:rsid w:val="001918F7"/>
    <w:rsid w:val="001921ED"/>
    <w:rsid w:val="00195458"/>
    <w:rsid w:val="001962DE"/>
    <w:rsid w:val="00196AC8"/>
    <w:rsid w:val="001A11A5"/>
    <w:rsid w:val="001A1EBD"/>
    <w:rsid w:val="001A4A68"/>
    <w:rsid w:val="001B15D1"/>
    <w:rsid w:val="001B3443"/>
    <w:rsid w:val="001B7C8B"/>
    <w:rsid w:val="001C0F51"/>
    <w:rsid w:val="001C7942"/>
    <w:rsid w:val="001D0D87"/>
    <w:rsid w:val="001D109F"/>
    <w:rsid w:val="001E1042"/>
    <w:rsid w:val="001E38B8"/>
    <w:rsid w:val="001E77C4"/>
    <w:rsid w:val="001F0E1C"/>
    <w:rsid w:val="001F5AD3"/>
    <w:rsid w:val="001F6D10"/>
    <w:rsid w:val="002066B8"/>
    <w:rsid w:val="0021323F"/>
    <w:rsid w:val="002132AE"/>
    <w:rsid w:val="00213CD0"/>
    <w:rsid w:val="002166E4"/>
    <w:rsid w:val="002255F7"/>
    <w:rsid w:val="0023112B"/>
    <w:rsid w:val="0023231A"/>
    <w:rsid w:val="00237ADF"/>
    <w:rsid w:val="00237F1B"/>
    <w:rsid w:val="00245D81"/>
    <w:rsid w:val="0024767D"/>
    <w:rsid w:val="002503C3"/>
    <w:rsid w:val="00251167"/>
    <w:rsid w:val="002550A7"/>
    <w:rsid w:val="00255596"/>
    <w:rsid w:val="00255DCB"/>
    <w:rsid w:val="00261F43"/>
    <w:rsid w:val="00262327"/>
    <w:rsid w:val="002625FB"/>
    <w:rsid w:val="00263A63"/>
    <w:rsid w:val="00264387"/>
    <w:rsid w:val="00264A5A"/>
    <w:rsid w:val="002662B4"/>
    <w:rsid w:val="0026675D"/>
    <w:rsid w:val="002674D8"/>
    <w:rsid w:val="00267635"/>
    <w:rsid w:val="0027527C"/>
    <w:rsid w:val="00277A59"/>
    <w:rsid w:val="0028150E"/>
    <w:rsid w:val="00281FD4"/>
    <w:rsid w:val="002851F2"/>
    <w:rsid w:val="002854C3"/>
    <w:rsid w:val="00291EBD"/>
    <w:rsid w:val="00293CDE"/>
    <w:rsid w:val="00295887"/>
    <w:rsid w:val="00295958"/>
    <w:rsid w:val="002A5442"/>
    <w:rsid w:val="002B07A6"/>
    <w:rsid w:val="002C1CA0"/>
    <w:rsid w:val="002C2D87"/>
    <w:rsid w:val="002C529B"/>
    <w:rsid w:val="002C6AF0"/>
    <w:rsid w:val="002C6E07"/>
    <w:rsid w:val="002D0EB0"/>
    <w:rsid w:val="002D247E"/>
    <w:rsid w:val="002D6935"/>
    <w:rsid w:val="002E195D"/>
    <w:rsid w:val="002E267D"/>
    <w:rsid w:val="002E2DBA"/>
    <w:rsid w:val="002E3986"/>
    <w:rsid w:val="002E4B35"/>
    <w:rsid w:val="002E6A48"/>
    <w:rsid w:val="002E7082"/>
    <w:rsid w:val="002F3AE3"/>
    <w:rsid w:val="002F7E6F"/>
    <w:rsid w:val="0030786C"/>
    <w:rsid w:val="00312A62"/>
    <w:rsid w:val="0031464C"/>
    <w:rsid w:val="00316683"/>
    <w:rsid w:val="00341A36"/>
    <w:rsid w:val="00341BEE"/>
    <w:rsid w:val="00343286"/>
    <w:rsid w:val="0034680F"/>
    <w:rsid w:val="0035066E"/>
    <w:rsid w:val="00350BE1"/>
    <w:rsid w:val="00354BCF"/>
    <w:rsid w:val="003559EA"/>
    <w:rsid w:val="003657DB"/>
    <w:rsid w:val="0036588B"/>
    <w:rsid w:val="00370326"/>
    <w:rsid w:val="00380792"/>
    <w:rsid w:val="003808E4"/>
    <w:rsid w:val="0038248B"/>
    <w:rsid w:val="00382B2D"/>
    <w:rsid w:val="00386683"/>
    <w:rsid w:val="003873C6"/>
    <w:rsid w:val="00392002"/>
    <w:rsid w:val="00392A85"/>
    <w:rsid w:val="00396AFB"/>
    <w:rsid w:val="003A4E56"/>
    <w:rsid w:val="003A70CE"/>
    <w:rsid w:val="003B25F9"/>
    <w:rsid w:val="003B4A36"/>
    <w:rsid w:val="003C0E23"/>
    <w:rsid w:val="003C297A"/>
    <w:rsid w:val="003C540E"/>
    <w:rsid w:val="003C5F0C"/>
    <w:rsid w:val="003D03BA"/>
    <w:rsid w:val="003D17F9"/>
    <w:rsid w:val="003D3806"/>
    <w:rsid w:val="003D437B"/>
    <w:rsid w:val="003D4829"/>
    <w:rsid w:val="003D5004"/>
    <w:rsid w:val="003E197F"/>
    <w:rsid w:val="003E442B"/>
    <w:rsid w:val="003E55DC"/>
    <w:rsid w:val="003E6E73"/>
    <w:rsid w:val="003E76C8"/>
    <w:rsid w:val="003F2D29"/>
    <w:rsid w:val="003F3F0B"/>
    <w:rsid w:val="0040152C"/>
    <w:rsid w:val="00402CBA"/>
    <w:rsid w:val="00411406"/>
    <w:rsid w:val="00412CDD"/>
    <w:rsid w:val="00412E9D"/>
    <w:rsid w:val="00414952"/>
    <w:rsid w:val="00423210"/>
    <w:rsid w:val="00425504"/>
    <w:rsid w:val="0042727E"/>
    <w:rsid w:val="004305D6"/>
    <w:rsid w:val="00431D24"/>
    <w:rsid w:val="004377EE"/>
    <w:rsid w:val="00440CC0"/>
    <w:rsid w:val="00440D73"/>
    <w:rsid w:val="004437F3"/>
    <w:rsid w:val="00447D31"/>
    <w:rsid w:val="00452849"/>
    <w:rsid w:val="00455560"/>
    <w:rsid w:val="00456385"/>
    <w:rsid w:val="00456AD3"/>
    <w:rsid w:val="00457F0A"/>
    <w:rsid w:val="00465AB0"/>
    <w:rsid w:val="00470AB8"/>
    <w:rsid w:val="00477E9B"/>
    <w:rsid w:val="00482ECA"/>
    <w:rsid w:val="00485776"/>
    <w:rsid w:val="00485794"/>
    <w:rsid w:val="004867E2"/>
    <w:rsid w:val="00486826"/>
    <w:rsid w:val="0048784D"/>
    <w:rsid w:val="00490B3A"/>
    <w:rsid w:val="00493AA0"/>
    <w:rsid w:val="004A0670"/>
    <w:rsid w:val="004A299A"/>
    <w:rsid w:val="004A4851"/>
    <w:rsid w:val="004A5C81"/>
    <w:rsid w:val="004B0417"/>
    <w:rsid w:val="004B2999"/>
    <w:rsid w:val="004C04EB"/>
    <w:rsid w:val="004C3069"/>
    <w:rsid w:val="004C3664"/>
    <w:rsid w:val="004C476F"/>
    <w:rsid w:val="004C4927"/>
    <w:rsid w:val="004C6833"/>
    <w:rsid w:val="004C6FBA"/>
    <w:rsid w:val="004D448C"/>
    <w:rsid w:val="004E067A"/>
    <w:rsid w:val="004E179B"/>
    <w:rsid w:val="004E2389"/>
    <w:rsid w:val="004E50C2"/>
    <w:rsid w:val="004E58C1"/>
    <w:rsid w:val="004E6936"/>
    <w:rsid w:val="004F116B"/>
    <w:rsid w:val="004F412D"/>
    <w:rsid w:val="00505824"/>
    <w:rsid w:val="0051563D"/>
    <w:rsid w:val="005179C7"/>
    <w:rsid w:val="0052107C"/>
    <w:rsid w:val="005221B7"/>
    <w:rsid w:val="00530100"/>
    <w:rsid w:val="0053231E"/>
    <w:rsid w:val="00536E0C"/>
    <w:rsid w:val="005408C7"/>
    <w:rsid w:val="00541E15"/>
    <w:rsid w:val="005422E7"/>
    <w:rsid w:val="005437FD"/>
    <w:rsid w:val="00544A4E"/>
    <w:rsid w:val="00546CF1"/>
    <w:rsid w:val="00547B38"/>
    <w:rsid w:val="0055205D"/>
    <w:rsid w:val="00553E33"/>
    <w:rsid w:val="00555C4C"/>
    <w:rsid w:val="00555D6E"/>
    <w:rsid w:val="00562F72"/>
    <w:rsid w:val="0056304B"/>
    <w:rsid w:val="00565356"/>
    <w:rsid w:val="005667DB"/>
    <w:rsid w:val="00566B97"/>
    <w:rsid w:val="00570C6C"/>
    <w:rsid w:val="005733FC"/>
    <w:rsid w:val="00584334"/>
    <w:rsid w:val="00591A14"/>
    <w:rsid w:val="0059380A"/>
    <w:rsid w:val="0059724C"/>
    <w:rsid w:val="005A1AA7"/>
    <w:rsid w:val="005A4D0B"/>
    <w:rsid w:val="005A61B4"/>
    <w:rsid w:val="005A65E0"/>
    <w:rsid w:val="005A735B"/>
    <w:rsid w:val="005B04D8"/>
    <w:rsid w:val="005C1496"/>
    <w:rsid w:val="005C5EF4"/>
    <w:rsid w:val="005C6AAE"/>
    <w:rsid w:val="005D1073"/>
    <w:rsid w:val="005D1804"/>
    <w:rsid w:val="005D2770"/>
    <w:rsid w:val="005D5D06"/>
    <w:rsid w:val="005D62B5"/>
    <w:rsid w:val="005E2614"/>
    <w:rsid w:val="005E2695"/>
    <w:rsid w:val="005E446E"/>
    <w:rsid w:val="005E7144"/>
    <w:rsid w:val="005F1E4A"/>
    <w:rsid w:val="005F738D"/>
    <w:rsid w:val="00607B0B"/>
    <w:rsid w:val="00611870"/>
    <w:rsid w:val="00613C02"/>
    <w:rsid w:val="00614E29"/>
    <w:rsid w:val="0062216A"/>
    <w:rsid w:val="00622FFC"/>
    <w:rsid w:val="0062531C"/>
    <w:rsid w:val="00625634"/>
    <w:rsid w:val="00625EC1"/>
    <w:rsid w:val="00626ACF"/>
    <w:rsid w:val="00626F7D"/>
    <w:rsid w:val="00630199"/>
    <w:rsid w:val="006317C9"/>
    <w:rsid w:val="00632475"/>
    <w:rsid w:val="00632C35"/>
    <w:rsid w:val="006340B0"/>
    <w:rsid w:val="00636395"/>
    <w:rsid w:val="00636BD3"/>
    <w:rsid w:val="00640F14"/>
    <w:rsid w:val="00641773"/>
    <w:rsid w:val="00641CB0"/>
    <w:rsid w:val="0064239F"/>
    <w:rsid w:val="006456F1"/>
    <w:rsid w:val="006501AE"/>
    <w:rsid w:val="00653E73"/>
    <w:rsid w:val="00656A90"/>
    <w:rsid w:val="00657DD2"/>
    <w:rsid w:val="00662E5A"/>
    <w:rsid w:val="00664B6D"/>
    <w:rsid w:val="00664F67"/>
    <w:rsid w:val="006655E2"/>
    <w:rsid w:val="00670F54"/>
    <w:rsid w:val="006728F9"/>
    <w:rsid w:val="00673662"/>
    <w:rsid w:val="006746DA"/>
    <w:rsid w:val="006765C3"/>
    <w:rsid w:val="006767BC"/>
    <w:rsid w:val="006803BA"/>
    <w:rsid w:val="00684FB9"/>
    <w:rsid w:val="006922F5"/>
    <w:rsid w:val="00694113"/>
    <w:rsid w:val="006947D9"/>
    <w:rsid w:val="00695711"/>
    <w:rsid w:val="0069635E"/>
    <w:rsid w:val="006A16DD"/>
    <w:rsid w:val="006A2587"/>
    <w:rsid w:val="006A641D"/>
    <w:rsid w:val="006B2EBD"/>
    <w:rsid w:val="006B3CFC"/>
    <w:rsid w:val="006C0CD8"/>
    <w:rsid w:val="006C45E7"/>
    <w:rsid w:val="006C5AEE"/>
    <w:rsid w:val="006C679A"/>
    <w:rsid w:val="006D09FE"/>
    <w:rsid w:val="006D0C40"/>
    <w:rsid w:val="006D15C1"/>
    <w:rsid w:val="006D2783"/>
    <w:rsid w:val="006D4173"/>
    <w:rsid w:val="006D4CD4"/>
    <w:rsid w:val="006D732F"/>
    <w:rsid w:val="006E110B"/>
    <w:rsid w:val="006E27DA"/>
    <w:rsid w:val="006E4597"/>
    <w:rsid w:val="006E688D"/>
    <w:rsid w:val="006F1432"/>
    <w:rsid w:val="006F18D1"/>
    <w:rsid w:val="006F618A"/>
    <w:rsid w:val="006F7964"/>
    <w:rsid w:val="007028EC"/>
    <w:rsid w:val="007035D8"/>
    <w:rsid w:val="0070703E"/>
    <w:rsid w:val="00707D22"/>
    <w:rsid w:val="007103BE"/>
    <w:rsid w:val="00711E21"/>
    <w:rsid w:val="00712832"/>
    <w:rsid w:val="00713F05"/>
    <w:rsid w:val="00715168"/>
    <w:rsid w:val="0071637F"/>
    <w:rsid w:val="00716597"/>
    <w:rsid w:val="00716FED"/>
    <w:rsid w:val="00722691"/>
    <w:rsid w:val="007238E8"/>
    <w:rsid w:val="0072413F"/>
    <w:rsid w:val="00725FB9"/>
    <w:rsid w:val="00730020"/>
    <w:rsid w:val="007333AD"/>
    <w:rsid w:val="0073551E"/>
    <w:rsid w:val="007360BF"/>
    <w:rsid w:val="00737D4D"/>
    <w:rsid w:val="007406E6"/>
    <w:rsid w:val="007428DF"/>
    <w:rsid w:val="0074407B"/>
    <w:rsid w:val="00746CCD"/>
    <w:rsid w:val="00747CE1"/>
    <w:rsid w:val="007517A6"/>
    <w:rsid w:val="0075442E"/>
    <w:rsid w:val="007545C7"/>
    <w:rsid w:val="0076005C"/>
    <w:rsid w:val="0076111D"/>
    <w:rsid w:val="007635C1"/>
    <w:rsid w:val="00766B42"/>
    <w:rsid w:val="0076731D"/>
    <w:rsid w:val="00767650"/>
    <w:rsid w:val="00767A90"/>
    <w:rsid w:val="00770588"/>
    <w:rsid w:val="00770EDE"/>
    <w:rsid w:val="007717A5"/>
    <w:rsid w:val="0078070C"/>
    <w:rsid w:val="00784541"/>
    <w:rsid w:val="007852DE"/>
    <w:rsid w:val="00787790"/>
    <w:rsid w:val="00787A52"/>
    <w:rsid w:val="00794DF2"/>
    <w:rsid w:val="007968CC"/>
    <w:rsid w:val="00796FB7"/>
    <w:rsid w:val="0079708B"/>
    <w:rsid w:val="007A4FD1"/>
    <w:rsid w:val="007A7784"/>
    <w:rsid w:val="007B04A9"/>
    <w:rsid w:val="007B16AC"/>
    <w:rsid w:val="007B1D5C"/>
    <w:rsid w:val="007B54E0"/>
    <w:rsid w:val="007B5D05"/>
    <w:rsid w:val="007B5D1E"/>
    <w:rsid w:val="007C2217"/>
    <w:rsid w:val="007C265E"/>
    <w:rsid w:val="007C2E29"/>
    <w:rsid w:val="007C471C"/>
    <w:rsid w:val="007C52D3"/>
    <w:rsid w:val="007C570E"/>
    <w:rsid w:val="007D4258"/>
    <w:rsid w:val="007E000D"/>
    <w:rsid w:val="007E175B"/>
    <w:rsid w:val="007E3F8A"/>
    <w:rsid w:val="007F3645"/>
    <w:rsid w:val="007F58DD"/>
    <w:rsid w:val="007F6791"/>
    <w:rsid w:val="00802131"/>
    <w:rsid w:val="00803FFF"/>
    <w:rsid w:val="00804A7A"/>
    <w:rsid w:val="00805E44"/>
    <w:rsid w:val="0081175C"/>
    <w:rsid w:val="00811C26"/>
    <w:rsid w:val="00812A44"/>
    <w:rsid w:val="00820059"/>
    <w:rsid w:val="008264EB"/>
    <w:rsid w:val="00827924"/>
    <w:rsid w:val="00830756"/>
    <w:rsid w:val="00837A90"/>
    <w:rsid w:val="00841984"/>
    <w:rsid w:val="00842876"/>
    <w:rsid w:val="00844BC2"/>
    <w:rsid w:val="0084624A"/>
    <w:rsid w:val="00855A49"/>
    <w:rsid w:val="00856DF5"/>
    <w:rsid w:val="00857E76"/>
    <w:rsid w:val="0086059A"/>
    <w:rsid w:val="00860FD4"/>
    <w:rsid w:val="00865932"/>
    <w:rsid w:val="00872059"/>
    <w:rsid w:val="00873673"/>
    <w:rsid w:val="008803A1"/>
    <w:rsid w:val="0088122A"/>
    <w:rsid w:val="00881CCA"/>
    <w:rsid w:val="008839CD"/>
    <w:rsid w:val="00892AC8"/>
    <w:rsid w:val="00897E5A"/>
    <w:rsid w:val="008A07AF"/>
    <w:rsid w:val="008A30D3"/>
    <w:rsid w:val="008A347C"/>
    <w:rsid w:val="008A355C"/>
    <w:rsid w:val="008A4580"/>
    <w:rsid w:val="008A4AC8"/>
    <w:rsid w:val="008A4E8B"/>
    <w:rsid w:val="008A58F9"/>
    <w:rsid w:val="008B014E"/>
    <w:rsid w:val="008C1853"/>
    <w:rsid w:val="008D0329"/>
    <w:rsid w:val="008D09DE"/>
    <w:rsid w:val="008D5AFD"/>
    <w:rsid w:val="008D7939"/>
    <w:rsid w:val="008E04F7"/>
    <w:rsid w:val="008E2CAE"/>
    <w:rsid w:val="008E3658"/>
    <w:rsid w:val="008E59EB"/>
    <w:rsid w:val="008E5D6A"/>
    <w:rsid w:val="008E7567"/>
    <w:rsid w:val="008F26C0"/>
    <w:rsid w:val="008F4B6F"/>
    <w:rsid w:val="00901462"/>
    <w:rsid w:val="00901D6C"/>
    <w:rsid w:val="00902A76"/>
    <w:rsid w:val="00904474"/>
    <w:rsid w:val="00904D1C"/>
    <w:rsid w:val="00904E09"/>
    <w:rsid w:val="0091137C"/>
    <w:rsid w:val="0091384C"/>
    <w:rsid w:val="0091791A"/>
    <w:rsid w:val="009213F3"/>
    <w:rsid w:val="0092204C"/>
    <w:rsid w:val="00922DEE"/>
    <w:rsid w:val="009238AA"/>
    <w:rsid w:val="009244B8"/>
    <w:rsid w:val="00925748"/>
    <w:rsid w:val="00932407"/>
    <w:rsid w:val="00933B21"/>
    <w:rsid w:val="00933EC2"/>
    <w:rsid w:val="009374DD"/>
    <w:rsid w:val="00941048"/>
    <w:rsid w:val="009424A5"/>
    <w:rsid w:val="00950089"/>
    <w:rsid w:val="00953A07"/>
    <w:rsid w:val="0095539D"/>
    <w:rsid w:val="00957E88"/>
    <w:rsid w:val="00961B39"/>
    <w:rsid w:val="00961FBE"/>
    <w:rsid w:val="00964277"/>
    <w:rsid w:val="00966BFC"/>
    <w:rsid w:val="0097582E"/>
    <w:rsid w:val="00977D26"/>
    <w:rsid w:val="00977E26"/>
    <w:rsid w:val="009805EC"/>
    <w:rsid w:val="00984227"/>
    <w:rsid w:val="009904EA"/>
    <w:rsid w:val="00991AF5"/>
    <w:rsid w:val="0099343F"/>
    <w:rsid w:val="00995094"/>
    <w:rsid w:val="009A007B"/>
    <w:rsid w:val="009A0425"/>
    <w:rsid w:val="009A263C"/>
    <w:rsid w:val="009A7754"/>
    <w:rsid w:val="009B053D"/>
    <w:rsid w:val="009B3E5D"/>
    <w:rsid w:val="009B4C22"/>
    <w:rsid w:val="009B64E3"/>
    <w:rsid w:val="009C3EA5"/>
    <w:rsid w:val="009C5964"/>
    <w:rsid w:val="009C672E"/>
    <w:rsid w:val="009C77A3"/>
    <w:rsid w:val="009D0B90"/>
    <w:rsid w:val="009D1A6C"/>
    <w:rsid w:val="009D3827"/>
    <w:rsid w:val="009D6852"/>
    <w:rsid w:val="009E0725"/>
    <w:rsid w:val="009E0D48"/>
    <w:rsid w:val="009E1F38"/>
    <w:rsid w:val="009E5D18"/>
    <w:rsid w:val="009E5E73"/>
    <w:rsid w:val="009E6B78"/>
    <w:rsid w:val="009E6D37"/>
    <w:rsid w:val="009F1EC9"/>
    <w:rsid w:val="009F33F8"/>
    <w:rsid w:val="009F430A"/>
    <w:rsid w:val="009F4ACF"/>
    <w:rsid w:val="009F53D0"/>
    <w:rsid w:val="009F5557"/>
    <w:rsid w:val="009F6E92"/>
    <w:rsid w:val="00A028AC"/>
    <w:rsid w:val="00A02BFF"/>
    <w:rsid w:val="00A0554C"/>
    <w:rsid w:val="00A1015B"/>
    <w:rsid w:val="00A12B60"/>
    <w:rsid w:val="00A139AB"/>
    <w:rsid w:val="00A14828"/>
    <w:rsid w:val="00A15082"/>
    <w:rsid w:val="00A16AEE"/>
    <w:rsid w:val="00A2022A"/>
    <w:rsid w:val="00A25AF1"/>
    <w:rsid w:val="00A369E8"/>
    <w:rsid w:val="00A4199A"/>
    <w:rsid w:val="00A44515"/>
    <w:rsid w:val="00A4512D"/>
    <w:rsid w:val="00A541E1"/>
    <w:rsid w:val="00A54775"/>
    <w:rsid w:val="00A5502C"/>
    <w:rsid w:val="00A5694A"/>
    <w:rsid w:val="00A62B2E"/>
    <w:rsid w:val="00A6347D"/>
    <w:rsid w:val="00A65795"/>
    <w:rsid w:val="00A6672E"/>
    <w:rsid w:val="00A705AF"/>
    <w:rsid w:val="00A7126D"/>
    <w:rsid w:val="00A73C2F"/>
    <w:rsid w:val="00A75B58"/>
    <w:rsid w:val="00A77349"/>
    <w:rsid w:val="00A81D72"/>
    <w:rsid w:val="00A931E2"/>
    <w:rsid w:val="00A93A18"/>
    <w:rsid w:val="00A964DB"/>
    <w:rsid w:val="00A96DED"/>
    <w:rsid w:val="00AA0055"/>
    <w:rsid w:val="00AA0A90"/>
    <w:rsid w:val="00AA3A3E"/>
    <w:rsid w:val="00AA603A"/>
    <w:rsid w:val="00AA6DC2"/>
    <w:rsid w:val="00AA7781"/>
    <w:rsid w:val="00AA7B58"/>
    <w:rsid w:val="00AB05F5"/>
    <w:rsid w:val="00AB0A6E"/>
    <w:rsid w:val="00AB40AB"/>
    <w:rsid w:val="00AB64E5"/>
    <w:rsid w:val="00AB67C9"/>
    <w:rsid w:val="00AB6E76"/>
    <w:rsid w:val="00AB6ED9"/>
    <w:rsid w:val="00AB6F9B"/>
    <w:rsid w:val="00AC1F54"/>
    <w:rsid w:val="00AC6331"/>
    <w:rsid w:val="00AC637F"/>
    <w:rsid w:val="00AD01B4"/>
    <w:rsid w:val="00AD055C"/>
    <w:rsid w:val="00AD1976"/>
    <w:rsid w:val="00AD52A0"/>
    <w:rsid w:val="00AD5717"/>
    <w:rsid w:val="00AE05BB"/>
    <w:rsid w:val="00AE0BA6"/>
    <w:rsid w:val="00AE3267"/>
    <w:rsid w:val="00AE4469"/>
    <w:rsid w:val="00AF6154"/>
    <w:rsid w:val="00B00182"/>
    <w:rsid w:val="00B00326"/>
    <w:rsid w:val="00B004EB"/>
    <w:rsid w:val="00B07615"/>
    <w:rsid w:val="00B163F6"/>
    <w:rsid w:val="00B17FDF"/>
    <w:rsid w:val="00B20701"/>
    <w:rsid w:val="00B213FD"/>
    <w:rsid w:val="00B2338E"/>
    <w:rsid w:val="00B24DF4"/>
    <w:rsid w:val="00B2665E"/>
    <w:rsid w:val="00B30753"/>
    <w:rsid w:val="00B30DC1"/>
    <w:rsid w:val="00B320DF"/>
    <w:rsid w:val="00B328AF"/>
    <w:rsid w:val="00B32DD1"/>
    <w:rsid w:val="00B37148"/>
    <w:rsid w:val="00B3720C"/>
    <w:rsid w:val="00B37974"/>
    <w:rsid w:val="00B41409"/>
    <w:rsid w:val="00B4251C"/>
    <w:rsid w:val="00B42851"/>
    <w:rsid w:val="00B42EA6"/>
    <w:rsid w:val="00B456E0"/>
    <w:rsid w:val="00B459E9"/>
    <w:rsid w:val="00B47076"/>
    <w:rsid w:val="00B5113E"/>
    <w:rsid w:val="00B55FCC"/>
    <w:rsid w:val="00B56B37"/>
    <w:rsid w:val="00B57759"/>
    <w:rsid w:val="00B60184"/>
    <w:rsid w:val="00B60D44"/>
    <w:rsid w:val="00B60D86"/>
    <w:rsid w:val="00B904EC"/>
    <w:rsid w:val="00B91269"/>
    <w:rsid w:val="00B91454"/>
    <w:rsid w:val="00B929D9"/>
    <w:rsid w:val="00B93CD5"/>
    <w:rsid w:val="00B9432A"/>
    <w:rsid w:val="00B95A67"/>
    <w:rsid w:val="00B96A84"/>
    <w:rsid w:val="00BA0015"/>
    <w:rsid w:val="00BA2A5D"/>
    <w:rsid w:val="00BA2DE8"/>
    <w:rsid w:val="00BA4AEE"/>
    <w:rsid w:val="00BB2D0A"/>
    <w:rsid w:val="00BC07E4"/>
    <w:rsid w:val="00BC4293"/>
    <w:rsid w:val="00BC4D09"/>
    <w:rsid w:val="00BD0B57"/>
    <w:rsid w:val="00BD5F76"/>
    <w:rsid w:val="00BD649D"/>
    <w:rsid w:val="00BD7416"/>
    <w:rsid w:val="00BD741B"/>
    <w:rsid w:val="00BE0DE7"/>
    <w:rsid w:val="00BE6832"/>
    <w:rsid w:val="00BF2561"/>
    <w:rsid w:val="00BF332B"/>
    <w:rsid w:val="00BF5905"/>
    <w:rsid w:val="00BF6152"/>
    <w:rsid w:val="00C025A9"/>
    <w:rsid w:val="00C06314"/>
    <w:rsid w:val="00C10135"/>
    <w:rsid w:val="00C101AE"/>
    <w:rsid w:val="00C112FF"/>
    <w:rsid w:val="00C123DF"/>
    <w:rsid w:val="00C15BEF"/>
    <w:rsid w:val="00C206EE"/>
    <w:rsid w:val="00C23604"/>
    <w:rsid w:val="00C261EA"/>
    <w:rsid w:val="00C308FA"/>
    <w:rsid w:val="00C31839"/>
    <w:rsid w:val="00C31A7F"/>
    <w:rsid w:val="00C32280"/>
    <w:rsid w:val="00C33D29"/>
    <w:rsid w:val="00C35287"/>
    <w:rsid w:val="00C35DEC"/>
    <w:rsid w:val="00C35F32"/>
    <w:rsid w:val="00C436EE"/>
    <w:rsid w:val="00C477AC"/>
    <w:rsid w:val="00C51BE7"/>
    <w:rsid w:val="00C53C65"/>
    <w:rsid w:val="00C565EF"/>
    <w:rsid w:val="00C57614"/>
    <w:rsid w:val="00C618D7"/>
    <w:rsid w:val="00C624CC"/>
    <w:rsid w:val="00C63431"/>
    <w:rsid w:val="00C63C14"/>
    <w:rsid w:val="00C64BBB"/>
    <w:rsid w:val="00C64D00"/>
    <w:rsid w:val="00C6624F"/>
    <w:rsid w:val="00C74935"/>
    <w:rsid w:val="00C7543A"/>
    <w:rsid w:val="00C77617"/>
    <w:rsid w:val="00C82236"/>
    <w:rsid w:val="00C84B06"/>
    <w:rsid w:val="00C85E91"/>
    <w:rsid w:val="00C905A0"/>
    <w:rsid w:val="00C911AD"/>
    <w:rsid w:val="00C929AD"/>
    <w:rsid w:val="00C92E85"/>
    <w:rsid w:val="00CA04C6"/>
    <w:rsid w:val="00CA3CD5"/>
    <w:rsid w:val="00CB0684"/>
    <w:rsid w:val="00CB2190"/>
    <w:rsid w:val="00CB37F4"/>
    <w:rsid w:val="00CB5999"/>
    <w:rsid w:val="00CB5B1A"/>
    <w:rsid w:val="00CB733F"/>
    <w:rsid w:val="00CC36EF"/>
    <w:rsid w:val="00CC4B4F"/>
    <w:rsid w:val="00CC4B8E"/>
    <w:rsid w:val="00CC5CD8"/>
    <w:rsid w:val="00CC697B"/>
    <w:rsid w:val="00CC7207"/>
    <w:rsid w:val="00CE16CC"/>
    <w:rsid w:val="00CE1712"/>
    <w:rsid w:val="00CE3387"/>
    <w:rsid w:val="00CE3A39"/>
    <w:rsid w:val="00CE692B"/>
    <w:rsid w:val="00CE7355"/>
    <w:rsid w:val="00CF34D6"/>
    <w:rsid w:val="00CF4118"/>
    <w:rsid w:val="00CF419C"/>
    <w:rsid w:val="00CF702F"/>
    <w:rsid w:val="00D05CB2"/>
    <w:rsid w:val="00D061AC"/>
    <w:rsid w:val="00D07C0D"/>
    <w:rsid w:val="00D10D90"/>
    <w:rsid w:val="00D116AD"/>
    <w:rsid w:val="00D11C9F"/>
    <w:rsid w:val="00D13C42"/>
    <w:rsid w:val="00D16B25"/>
    <w:rsid w:val="00D20AD1"/>
    <w:rsid w:val="00D23E5C"/>
    <w:rsid w:val="00D24922"/>
    <w:rsid w:val="00D301EA"/>
    <w:rsid w:val="00D31CAC"/>
    <w:rsid w:val="00D31DC2"/>
    <w:rsid w:val="00D41AE5"/>
    <w:rsid w:val="00D429E0"/>
    <w:rsid w:val="00D42B9A"/>
    <w:rsid w:val="00D443A1"/>
    <w:rsid w:val="00D446AF"/>
    <w:rsid w:val="00D469E4"/>
    <w:rsid w:val="00D4728F"/>
    <w:rsid w:val="00D50BCB"/>
    <w:rsid w:val="00D50F47"/>
    <w:rsid w:val="00D5354B"/>
    <w:rsid w:val="00D563D0"/>
    <w:rsid w:val="00D60EAC"/>
    <w:rsid w:val="00D67207"/>
    <w:rsid w:val="00D738DB"/>
    <w:rsid w:val="00D73FE2"/>
    <w:rsid w:val="00D7465B"/>
    <w:rsid w:val="00D77741"/>
    <w:rsid w:val="00D779B8"/>
    <w:rsid w:val="00D77DD1"/>
    <w:rsid w:val="00D81026"/>
    <w:rsid w:val="00D812BD"/>
    <w:rsid w:val="00D84622"/>
    <w:rsid w:val="00D87CBD"/>
    <w:rsid w:val="00D9306A"/>
    <w:rsid w:val="00D944BF"/>
    <w:rsid w:val="00D94E37"/>
    <w:rsid w:val="00D96327"/>
    <w:rsid w:val="00D975CE"/>
    <w:rsid w:val="00DA0094"/>
    <w:rsid w:val="00DB07A4"/>
    <w:rsid w:val="00DB24F9"/>
    <w:rsid w:val="00DB5454"/>
    <w:rsid w:val="00DB5911"/>
    <w:rsid w:val="00DB5D01"/>
    <w:rsid w:val="00DC0477"/>
    <w:rsid w:val="00DC0C05"/>
    <w:rsid w:val="00DC0D24"/>
    <w:rsid w:val="00DD047B"/>
    <w:rsid w:val="00DD5631"/>
    <w:rsid w:val="00DD5D99"/>
    <w:rsid w:val="00DD6F15"/>
    <w:rsid w:val="00DE3C4E"/>
    <w:rsid w:val="00DE5D9E"/>
    <w:rsid w:val="00DE75D8"/>
    <w:rsid w:val="00DF0B12"/>
    <w:rsid w:val="00DF3751"/>
    <w:rsid w:val="00DF515C"/>
    <w:rsid w:val="00DF5695"/>
    <w:rsid w:val="00E015E6"/>
    <w:rsid w:val="00E02BEB"/>
    <w:rsid w:val="00E05B44"/>
    <w:rsid w:val="00E066B4"/>
    <w:rsid w:val="00E10A43"/>
    <w:rsid w:val="00E13C5C"/>
    <w:rsid w:val="00E209BF"/>
    <w:rsid w:val="00E2144C"/>
    <w:rsid w:val="00E236C6"/>
    <w:rsid w:val="00E3115C"/>
    <w:rsid w:val="00E34F33"/>
    <w:rsid w:val="00E35054"/>
    <w:rsid w:val="00E35CBB"/>
    <w:rsid w:val="00E35DC5"/>
    <w:rsid w:val="00E40F95"/>
    <w:rsid w:val="00E41CF8"/>
    <w:rsid w:val="00E4269D"/>
    <w:rsid w:val="00E4312B"/>
    <w:rsid w:val="00E446EB"/>
    <w:rsid w:val="00E5222C"/>
    <w:rsid w:val="00E57576"/>
    <w:rsid w:val="00E604B3"/>
    <w:rsid w:val="00E60650"/>
    <w:rsid w:val="00E60EE1"/>
    <w:rsid w:val="00E6109E"/>
    <w:rsid w:val="00E66C1E"/>
    <w:rsid w:val="00E708F6"/>
    <w:rsid w:val="00E716B4"/>
    <w:rsid w:val="00E7210E"/>
    <w:rsid w:val="00E86B67"/>
    <w:rsid w:val="00E9314D"/>
    <w:rsid w:val="00E95DFC"/>
    <w:rsid w:val="00EA33D5"/>
    <w:rsid w:val="00EA5C37"/>
    <w:rsid w:val="00EA5E02"/>
    <w:rsid w:val="00EA5FD0"/>
    <w:rsid w:val="00EA63B1"/>
    <w:rsid w:val="00EB0020"/>
    <w:rsid w:val="00EB226E"/>
    <w:rsid w:val="00EB3985"/>
    <w:rsid w:val="00EC2EFD"/>
    <w:rsid w:val="00EC7D3F"/>
    <w:rsid w:val="00ED0468"/>
    <w:rsid w:val="00ED0DD3"/>
    <w:rsid w:val="00ED26D0"/>
    <w:rsid w:val="00ED648B"/>
    <w:rsid w:val="00ED711C"/>
    <w:rsid w:val="00EE16DD"/>
    <w:rsid w:val="00EE2AE5"/>
    <w:rsid w:val="00EE31B0"/>
    <w:rsid w:val="00EE356F"/>
    <w:rsid w:val="00EE397E"/>
    <w:rsid w:val="00EE552C"/>
    <w:rsid w:val="00EE65B1"/>
    <w:rsid w:val="00EF1C55"/>
    <w:rsid w:val="00EF1C95"/>
    <w:rsid w:val="00EF23C0"/>
    <w:rsid w:val="00EF2774"/>
    <w:rsid w:val="00EF4059"/>
    <w:rsid w:val="00EF5586"/>
    <w:rsid w:val="00F00403"/>
    <w:rsid w:val="00F067A6"/>
    <w:rsid w:val="00F078B7"/>
    <w:rsid w:val="00F07B77"/>
    <w:rsid w:val="00F100D6"/>
    <w:rsid w:val="00F10B4F"/>
    <w:rsid w:val="00F1278D"/>
    <w:rsid w:val="00F14BFD"/>
    <w:rsid w:val="00F17566"/>
    <w:rsid w:val="00F20F84"/>
    <w:rsid w:val="00F238F2"/>
    <w:rsid w:val="00F307A6"/>
    <w:rsid w:val="00F332B3"/>
    <w:rsid w:val="00F34D63"/>
    <w:rsid w:val="00F35F7A"/>
    <w:rsid w:val="00F41C35"/>
    <w:rsid w:val="00F4438C"/>
    <w:rsid w:val="00F46ED7"/>
    <w:rsid w:val="00F5083B"/>
    <w:rsid w:val="00F549D7"/>
    <w:rsid w:val="00F556DB"/>
    <w:rsid w:val="00F560D5"/>
    <w:rsid w:val="00F56325"/>
    <w:rsid w:val="00F73D95"/>
    <w:rsid w:val="00F7441E"/>
    <w:rsid w:val="00F74539"/>
    <w:rsid w:val="00F77044"/>
    <w:rsid w:val="00F776F9"/>
    <w:rsid w:val="00F8015E"/>
    <w:rsid w:val="00F83598"/>
    <w:rsid w:val="00F85766"/>
    <w:rsid w:val="00F866FA"/>
    <w:rsid w:val="00F87A39"/>
    <w:rsid w:val="00F87AD4"/>
    <w:rsid w:val="00F91869"/>
    <w:rsid w:val="00F91CCA"/>
    <w:rsid w:val="00F931D3"/>
    <w:rsid w:val="00F9524F"/>
    <w:rsid w:val="00F95769"/>
    <w:rsid w:val="00FA289A"/>
    <w:rsid w:val="00FA304B"/>
    <w:rsid w:val="00FA3C5E"/>
    <w:rsid w:val="00FA4197"/>
    <w:rsid w:val="00FB375B"/>
    <w:rsid w:val="00FB6425"/>
    <w:rsid w:val="00FB722E"/>
    <w:rsid w:val="00FB72F8"/>
    <w:rsid w:val="00FC2A80"/>
    <w:rsid w:val="00FC3BB9"/>
    <w:rsid w:val="00FC7F5D"/>
    <w:rsid w:val="00FD1BC7"/>
    <w:rsid w:val="00FD1D84"/>
    <w:rsid w:val="00FD4E9C"/>
    <w:rsid w:val="00FD50A4"/>
    <w:rsid w:val="00FD744A"/>
    <w:rsid w:val="00FE58D5"/>
    <w:rsid w:val="00FE5CA3"/>
    <w:rsid w:val="00FF08C3"/>
    <w:rsid w:val="00FF7C86"/>
    <w:rsid w:val="08CF3DF5"/>
    <w:rsid w:val="0C105EF7"/>
    <w:rsid w:val="0DFBD90E"/>
    <w:rsid w:val="3DE780CB"/>
    <w:rsid w:val="4B6F504D"/>
    <w:rsid w:val="4F51E041"/>
    <w:rsid w:val="50EDB07E"/>
    <w:rsid w:val="518321A3"/>
    <w:rsid w:val="58BD6BA0"/>
    <w:rsid w:val="618DD2D8"/>
    <w:rsid w:val="709F182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76A89E"/>
  <w15:docId w15:val="{75D1FF4E-5005-8043-967A-19543121C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99" w:qFormat="1"/>
    <w:lsdException w:name="heading 2" w:locked="0" w:uiPriority="99" w:qFormat="1"/>
    <w:lsdException w:name="heading 3" w:locked="0" w:semiHidden="1" w:uiPriority="99" w:unhideWhenUsed="1" w:qFormat="1"/>
    <w:lsdException w:name="heading 4" w:locked="0" w:semiHidden="1" w:uiPriority="99" w:unhideWhenUsed="1" w:qFormat="1"/>
    <w:lsdException w:name="heading 5" w:locked="0" w:semiHidden="1" w:uiPriority="99"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99" w:unhideWhenUsed="1"/>
    <w:lsdException w:name="annotation text" w:semiHidden="1" w:uiPriority="0" w:unhideWhenUsed="1"/>
    <w:lsdException w:name="header" w:semiHidden="1" w:uiPriority="99" w:unhideWhenUsed="1"/>
    <w:lsdException w:name="footer" w:locked="0"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99"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iPriority="0" w:unhideWhenUsed="1"/>
    <w:lsdException w:name="Strong" w:locked="0" w:uiPriority="99" w:qFormat="1"/>
    <w:lsdException w:name="Emphasis" w:locked="0" w:uiPriority="0"/>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uiPriority="0"/>
    <w:lsdException w:name="Table Grid"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0"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B37148"/>
    <w:pPr>
      <w:spacing w:before="120" w:after="120"/>
    </w:pPr>
  </w:style>
  <w:style w:type="paragraph" w:styleId="Heading1">
    <w:name w:val="heading 1"/>
    <w:basedOn w:val="Normal"/>
    <w:next w:val="Normal"/>
    <w:link w:val="Heading1Char"/>
    <w:uiPriority w:val="99"/>
    <w:qFormat/>
    <w:rsid w:val="008C1853"/>
    <w:pPr>
      <w:spacing w:before="480" w:after="240"/>
      <w:outlineLvl w:val="0"/>
    </w:pPr>
    <w:rPr>
      <w:rFonts w:cs="Arial"/>
      <w:b/>
      <w:bCs/>
      <w:color w:val="005370" w:themeColor="text2"/>
      <w:kern w:val="28"/>
      <w:sz w:val="40"/>
      <w:szCs w:val="32"/>
    </w:rPr>
  </w:style>
  <w:style w:type="paragraph" w:styleId="Heading2">
    <w:name w:val="heading 2"/>
    <w:basedOn w:val="Heading1"/>
    <w:next w:val="Normal"/>
    <w:link w:val="Heading2Char"/>
    <w:uiPriority w:val="99"/>
    <w:qFormat/>
    <w:rsid w:val="002A5442"/>
    <w:pPr>
      <w:spacing w:before="360"/>
      <w:outlineLvl w:val="1"/>
    </w:pPr>
    <w:rPr>
      <w:bCs w:val="0"/>
      <w:iCs/>
      <w:sz w:val="32"/>
      <w:szCs w:val="28"/>
    </w:rPr>
  </w:style>
  <w:style w:type="paragraph" w:styleId="Heading3">
    <w:name w:val="heading 3"/>
    <w:basedOn w:val="Heading2"/>
    <w:next w:val="Normal"/>
    <w:link w:val="Heading3Char"/>
    <w:uiPriority w:val="99"/>
    <w:qFormat/>
    <w:rsid w:val="00A81D72"/>
    <w:pPr>
      <w:spacing w:before="300" w:after="180"/>
      <w:outlineLvl w:val="2"/>
    </w:pPr>
    <w:rPr>
      <w:bCs/>
      <w:sz w:val="28"/>
      <w:szCs w:val="26"/>
    </w:rPr>
  </w:style>
  <w:style w:type="paragraph" w:styleId="Heading4">
    <w:name w:val="heading 4"/>
    <w:basedOn w:val="Normal"/>
    <w:next w:val="Normal"/>
    <w:link w:val="Heading4Char"/>
    <w:uiPriority w:val="99"/>
    <w:qFormat/>
    <w:rsid w:val="001A1EBD"/>
    <w:pPr>
      <w:keepNext/>
      <w:spacing w:before="240"/>
      <w:outlineLvl w:val="3"/>
    </w:pPr>
    <w:rPr>
      <w:b/>
      <w:bCs/>
      <w:color w:val="000000" w:themeColor="text1"/>
      <w:sz w:val="24"/>
      <w:szCs w:val="26"/>
    </w:rPr>
  </w:style>
  <w:style w:type="paragraph" w:styleId="Heading5">
    <w:name w:val="heading 5"/>
    <w:basedOn w:val="Normal"/>
    <w:next w:val="Normal"/>
    <w:link w:val="Heading5Char"/>
    <w:uiPriority w:val="99"/>
    <w:qFormat/>
    <w:rsid w:val="002A5442"/>
    <w:pPr>
      <w:keepNext/>
      <w:spacing w:before="240"/>
      <w:outlineLvl w:val="4"/>
    </w:pPr>
    <w:rPr>
      <w:b/>
      <w:bCs/>
      <w:iCs/>
      <w:color w:val="000000" w:themeColor="text1"/>
    </w:rPr>
  </w:style>
  <w:style w:type="paragraph" w:styleId="Heading6">
    <w:name w:val="heading 6"/>
    <w:basedOn w:val="Normal"/>
    <w:next w:val="Normal"/>
    <w:uiPriority w:val="98"/>
    <w:locked/>
    <w:rsid w:val="007E3F8A"/>
    <w:pPr>
      <w:keepNext/>
      <w:outlineLvl w:val="5"/>
    </w:pPr>
    <w:rPr>
      <w:bCs/>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uiPriority w:val="99"/>
    <w:qFormat/>
    <w:rsid w:val="00A705AF"/>
    <w:rPr>
      <w:b/>
      <w:bCs/>
    </w:rPr>
  </w:style>
  <w:style w:type="paragraph" w:styleId="Subtitle">
    <w:name w:val="Subtitle"/>
    <w:basedOn w:val="Normal"/>
    <w:next w:val="Normal"/>
    <w:link w:val="SubtitleChar"/>
    <w:uiPriority w:val="1"/>
    <w:qFormat/>
    <w:locked/>
    <w:rsid w:val="00F866FA"/>
    <w:pPr>
      <w:numPr>
        <w:ilvl w:val="1"/>
      </w:numPr>
      <w:spacing w:after="240"/>
      <w:ind w:right="397"/>
    </w:pPr>
    <w:rPr>
      <w:rFonts w:asciiTheme="majorHAnsi" w:eastAsiaTheme="majorEastAsia" w:hAnsiTheme="majorHAnsi" w:cs="Times New Roman (Headings CS)"/>
      <w:b/>
      <w:iCs/>
      <w:color w:val="1178A0" w:themeColor="background2"/>
      <w:sz w:val="40"/>
    </w:rPr>
  </w:style>
  <w:style w:type="character" w:customStyle="1" w:styleId="SubtitleChar">
    <w:name w:val="Subtitle Char"/>
    <w:basedOn w:val="DefaultParagraphFont"/>
    <w:link w:val="Subtitle"/>
    <w:uiPriority w:val="1"/>
    <w:rsid w:val="00F866FA"/>
    <w:rPr>
      <w:rFonts w:asciiTheme="majorHAnsi" w:eastAsiaTheme="majorEastAsia" w:hAnsiTheme="majorHAnsi" w:cs="Times New Roman (Headings CS)"/>
      <w:b/>
      <w:iCs/>
      <w:color w:val="1178A0" w:themeColor="background2"/>
      <w:sz w:val="40"/>
    </w:rPr>
  </w:style>
  <w:style w:type="paragraph" w:styleId="Title">
    <w:name w:val="Title"/>
    <w:basedOn w:val="Normal"/>
    <w:next w:val="Normal"/>
    <w:link w:val="TitleChar"/>
    <w:uiPriority w:val="99"/>
    <w:qFormat/>
    <w:rsid w:val="00D975CE"/>
    <w:pPr>
      <w:spacing w:before="480" w:after="240"/>
      <w:contextualSpacing/>
    </w:pPr>
    <w:rPr>
      <w:rFonts w:asciiTheme="majorHAnsi" w:eastAsiaTheme="majorEastAsia" w:hAnsiTheme="majorHAnsi" w:cs="Times New Roman (Headings CS)"/>
      <w:b/>
      <w:color w:val="005370" w:themeColor="text2"/>
      <w:spacing w:val="-6"/>
      <w:kern w:val="28"/>
      <w:sz w:val="60"/>
      <w:szCs w:val="56"/>
    </w:rPr>
  </w:style>
  <w:style w:type="character" w:customStyle="1" w:styleId="TitleChar">
    <w:name w:val="Title Char"/>
    <w:basedOn w:val="DefaultParagraphFont"/>
    <w:link w:val="Title"/>
    <w:uiPriority w:val="99"/>
    <w:rsid w:val="00D975CE"/>
    <w:rPr>
      <w:rFonts w:asciiTheme="majorHAnsi" w:eastAsiaTheme="majorEastAsia" w:hAnsiTheme="majorHAnsi" w:cs="Times New Roman (Headings CS)"/>
      <w:b/>
      <w:color w:val="005370" w:themeColor="text2"/>
      <w:spacing w:val="-6"/>
      <w:kern w:val="28"/>
      <w:sz w:val="60"/>
      <w:szCs w:val="56"/>
    </w:rPr>
  </w:style>
  <w:style w:type="paragraph" w:customStyle="1" w:styleId="PulloutTextHead">
    <w:name w:val="Pullout Text Head"/>
    <w:basedOn w:val="Heading3"/>
    <w:qFormat/>
    <w:rsid w:val="00036AB8"/>
    <w:pPr>
      <w:pBdr>
        <w:left w:val="single" w:sz="48" w:space="8" w:color="1178A0" w:themeColor="background2"/>
      </w:pBdr>
      <w:spacing w:before="180" w:after="120"/>
      <w:ind w:left="284"/>
    </w:pPr>
    <w:rPr>
      <w:caps/>
      <w:sz w:val="22"/>
      <w:lang w:val="en-GB"/>
    </w:rPr>
  </w:style>
  <w:style w:type="paragraph" w:styleId="TOC1">
    <w:name w:val="toc 1"/>
    <w:basedOn w:val="Normal"/>
    <w:next w:val="Normal"/>
    <w:autoRedefine/>
    <w:uiPriority w:val="39"/>
    <w:qFormat/>
    <w:rsid w:val="008D0329"/>
    <w:pPr>
      <w:tabs>
        <w:tab w:val="left" w:pos="442"/>
        <w:tab w:val="right" w:leader="dot" w:pos="9015"/>
      </w:tabs>
    </w:pPr>
    <w:rPr>
      <w:rFonts w:cstheme="minorHAnsi"/>
      <w:b/>
      <w:bCs/>
      <w:color w:val="005370" w:themeColor="text2"/>
      <w:sz w:val="24"/>
      <w:szCs w:val="20"/>
    </w:rPr>
  </w:style>
  <w:style w:type="paragraph" w:styleId="TOC2">
    <w:name w:val="toc 2"/>
    <w:basedOn w:val="Normal"/>
    <w:next w:val="Normal"/>
    <w:autoRedefine/>
    <w:uiPriority w:val="39"/>
    <w:qFormat/>
    <w:rsid w:val="004C476F"/>
    <w:pPr>
      <w:tabs>
        <w:tab w:val="left" w:pos="442"/>
        <w:tab w:val="right" w:leader="dot" w:pos="9015"/>
      </w:tabs>
      <w:ind w:left="442"/>
    </w:pPr>
    <w:rPr>
      <w:rFonts w:cstheme="minorHAnsi"/>
      <w:noProof/>
      <w:szCs w:val="20"/>
    </w:rPr>
  </w:style>
  <w:style w:type="paragraph" w:styleId="TOC3">
    <w:name w:val="toc 3"/>
    <w:basedOn w:val="Normal"/>
    <w:next w:val="Normal"/>
    <w:autoRedefine/>
    <w:uiPriority w:val="39"/>
    <w:qFormat/>
    <w:rsid w:val="008D0329"/>
    <w:pPr>
      <w:tabs>
        <w:tab w:val="right" w:leader="dot" w:pos="9015"/>
      </w:tabs>
      <w:spacing w:after="0"/>
      <w:ind w:left="442"/>
    </w:pPr>
    <w:rPr>
      <w:rFonts w:cs="Arial (Body)"/>
      <w:i/>
      <w:iCs/>
      <w:noProof/>
      <w:szCs w:val="20"/>
    </w:rPr>
  </w:style>
  <w:style w:type="paragraph" w:customStyle="1" w:styleId="FigureTableTitle">
    <w:name w:val="Figure/Table Title"/>
    <w:basedOn w:val="Normal"/>
    <w:qFormat/>
    <w:rsid w:val="00FD1BC7"/>
    <w:pPr>
      <w:spacing w:before="240" w:after="240"/>
      <w:contextualSpacing/>
    </w:pPr>
    <w:rPr>
      <w:b/>
    </w:rPr>
  </w:style>
  <w:style w:type="paragraph" w:styleId="FootnoteText">
    <w:name w:val="footnote text"/>
    <w:basedOn w:val="Normal"/>
    <w:link w:val="FootnoteTextChar"/>
    <w:uiPriority w:val="99"/>
    <w:rsid w:val="006765C3"/>
    <w:pPr>
      <w:spacing w:before="180" w:after="180"/>
      <w:contextualSpacing/>
    </w:pPr>
    <w:rPr>
      <w:sz w:val="18"/>
      <w:szCs w:val="20"/>
    </w:rPr>
  </w:style>
  <w:style w:type="character" w:customStyle="1" w:styleId="FootnoteTextChar">
    <w:name w:val="Footnote Text Char"/>
    <w:basedOn w:val="DefaultParagraphFont"/>
    <w:link w:val="FootnoteText"/>
    <w:uiPriority w:val="99"/>
    <w:rsid w:val="006765C3"/>
    <w:rPr>
      <w:sz w:val="18"/>
      <w:szCs w:val="20"/>
    </w:rPr>
  </w:style>
  <w:style w:type="character" w:styleId="FootnoteReference">
    <w:name w:val="footnote reference"/>
    <w:basedOn w:val="DefaultParagraphFont"/>
    <w:uiPriority w:val="99"/>
    <w:rsid w:val="00E13C5C"/>
    <w:rPr>
      <w:rFonts w:ascii="Arial" w:hAnsi="Arial"/>
      <w:vertAlign w:val="superscript"/>
    </w:rPr>
  </w:style>
  <w:style w:type="table" w:styleId="TableGrid">
    <w:name w:val="Table Grid"/>
    <w:aliases w:val="Light Heading,Commission"/>
    <w:basedOn w:val="TableNormal"/>
    <w:uiPriority w:val="59"/>
    <w:locked/>
    <w:rsid w:val="00FB722E"/>
    <w:pPr>
      <w:spacing w:before="60" w:after="60"/>
    </w:pPr>
    <w:rPr>
      <w:color w:val="000000" w:themeColor="text1"/>
      <w:sz w:val="20"/>
    </w:rPr>
    <w:tblPr>
      <w:tblBorders>
        <w:top w:val="single" w:sz="4" w:space="0" w:color="005370" w:themeColor="text2"/>
        <w:left w:val="single" w:sz="4" w:space="0" w:color="005370" w:themeColor="text2"/>
        <w:bottom w:val="single" w:sz="4" w:space="0" w:color="005370" w:themeColor="text2"/>
        <w:right w:val="single" w:sz="4" w:space="0" w:color="005370" w:themeColor="text2"/>
        <w:insideH w:val="single" w:sz="4" w:space="0" w:color="005370" w:themeColor="text2"/>
        <w:insideV w:val="single" w:sz="4" w:space="0" w:color="005370" w:themeColor="text2"/>
      </w:tblBorders>
      <w:tblCellMar>
        <w:top w:w="57" w:type="dxa"/>
        <w:left w:w="57" w:type="dxa"/>
        <w:bottom w:w="57" w:type="dxa"/>
        <w:right w:w="57" w:type="dxa"/>
      </w:tblCellMar>
    </w:tblPr>
    <w:tcPr>
      <w:shd w:val="clear" w:color="auto" w:fill="auto"/>
    </w:tcPr>
    <w:tblStylePr w:type="firstRow">
      <w:pPr>
        <w:wordWrap/>
        <w:spacing w:beforeLines="0" w:before="60" w:beforeAutospacing="0" w:afterLines="0" w:after="60" w:afterAutospacing="0" w:line="240" w:lineRule="auto"/>
        <w:jc w:val="left"/>
        <w:outlineLvl w:val="9"/>
      </w:pPr>
      <w:rPr>
        <w:rFonts w:asciiTheme="minorHAnsi" w:hAnsiTheme="minorHAnsi"/>
        <w:b/>
        <w:color w:val="000000" w:themeColor="text1"/>
        <w:sz w:val="20"/>
      </w:rPr>
      <w:tblPr/>
      <w:tcPr>
        <w:shd w:val="clear" w:color="auto" w:fill="E6F1F8" w:themeFill="accent2"/>
      </w:tcPr>
    </w:tblStylePr>
  </w:style>
  <w:style w:type="character" w:customStyle="1" w:styleId="Underline">
    <w:name w:val="Underline"/>
    <w:basedOn w:val="DefaultParagraphFont"/>
    <w:qFormat/>
    <w:rsid w:val="00E13C5C"/>
    <w:rPr>
      <w:u w:val="single"/>
    </w:rPr>
  </w:style>
  <w:style w:type="paragraph" w:styleId="Header">
    <w:name w:val="header"/>
    <w:basedOn w:val="Normal"/>
    <w:link w:val="HeaderChar"/>
    <w:uiPriority w:val="99"/>
    <w:unhideWhenUsed/>
    <w:locked/>
    <w:rsid w:val="00555D6E"/>
    <w:pPr>
      <w:tabs>
        <w:tab w:val="center" w:pos="4513"/>
        <w:tab w:val="right" w:pos="9026"/>
      </w:tabs>
      <w:spacing w:before="0"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9"/>
    <w:rsid w:val="00555D6E"/>
  </w:style>
  <w:style w:type="character" w:styleId="Hyperlink">
    <w:name w:val="Hyperlink"/>
    <w:basedOn w:val="DefaultParagraphFont"/>
    <w:uiPriority w:val="99"/>
    <w:qFormat/>
    <w:rsid w:val="009374DD"/>
    <w:rPr>
      <w:color w:val="005370" w:themeColor="text2"/>
      <w:u w:val="single"/>
    </w:rPr>
  </w:style>
  <w:style w:type="paragraph" w:styleId="Footer">
    <w:name w:val="footer"/>
    <w:basedOn w:val="Normal"/>
    <w:link w:val="FooterChar"/>
    <w:uiPriority w:val="99"/>
    <w:rsid w:val="00D84622"/>
    <w:pPr>
      <w:tabs>
        <w:tab w:val="right" w:pos="9638"/>
      </w:tabs>
      <w:spacing w:after="0"/>
    </w:pPr>
    <w:rPr>
      <w:sz w:val="20"/>
    </w:rPr>
  </w:style>
  <w:style w:type="character" w:customStyle="1" w:styleId="FooterChar">
    <w:name w:val="Footer Char"/>
    <w:basedOn w:val="DefaultParagraphFont"/>
    <w:link w:val="Footer"/>
    <w:uiPriority w:val="99"/>
    <w:rsid w:val="00D84622"/>
    <w:rPr>
      <w:sz w:val="20"/>
    </w:rPr>
  </w:style>
  <w:style w:type="character" w:styleId="FollowedHyperlink">
    <w:name w:val="FollowedHyperlink"/>
    <w:basedOn w:val="DefaultParagraphFont"/>
    <w:rsid w:val="006E4597"/>
    <w:rPr>
      <w:color w:val="1178A0" w:themeColor="background2"/>
      <w:u w:val="single"/>
    </w:rPr>
  </w:style>
  <w:style w:type="paragraph" w:styleId="TOCHeading">
    <w:name w:val="TOC Heading"/>
    <w:basedOn w:val="Heading1"/>
    <w:next w:val="Normal"/>
    <w:unhideWhenUsed/>
    <w:qFormat/>
    <w:rsid w:val="00255596"/>
    <w:pPr>
      <w:spacing w:after="0" w:line="276" w:lineRule="auto"/>
      <w:outlineLvl w:val="9"/>
    </w:pPr>
    <w:rPr>
      <w:rFonts w:asciiTheme="majorHAnsi" w:eastAsiaTheme="majorEastAsia" w:hAnsiTheme="majorHAnsi" w:cstheme="majorBidi"/>
      <w:color w:val="007CAB" w:themeColor="accent1" w:themeShade="BF"/>
      <w:kern w:val="0"/>
      <w:szCs w:val="28"/>
      <w:lang w:val="en-US" w:eastAsia="ja-JP"/>
    </w:rPr>
  </w:style>
  <w:style w:type="paragraph" w:customStyle="1" w:styleId="Captions">
    <w:name w:val="Captions"/>
    <w:basedOn w:val="Normal"/>
    <w:link w:val="CaptionsChar"/>
    <w:qFormat/>
    <w:rsid w:val="00A15082"/>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1"/>
      </w:numPr>
    </w:p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uiPriority w:val="99"/>
    <w:qFormat/>
    <w:rsid w:val="006E110B"/>
    <w:pPr>
      <w:spacing w:before="480" w:after="0"/>
    </w:pPr>
    <w:rPr>
      <w:color w:val="005370" w:themeColor="text2"/>
      <w:sz w:val="32"/>
      <w:szCs w:val="40"/>
    </w:rPr>
  </w:style>
  <w:style w:type="character" w:customStyle="1" w:styleId="PublicationDateChar">
    <w:name w:val="Publication Date Char"/>
    <w:basedOn w:val="DefaultParagraphFont"/>
    <w:link w:val="PublicationDate"/>
    <w:uiPriority w:val="99"/>
    <w:rsid w:val="006E110B"/>
    <w:rPr>
      <w:color w:val="005370" w:themeColor="text2"/>
      <w:sz w:val="32"/>
      <w:szCs w:val="40"/>
    </w:rPr>
  </w:style>
  <w:style w:type="paragraph" w:customStyle="1" w:styleId="Redtext">
    <w:name w:val="Red text"/>
    <w:basedOn w:val="Normal"/>
    <w:qFormat/>
    <w:rsid w:val="00F866FA"/>
    <w:pPr>
      <w:spacing w:after="80"/>
    </w:pPr>
    <w:rPr>
      <w:color w:val="E1241A" w:themeColor="accent6"/>
    </w:rPr>
  </w:style>
  <w:style w:type="paragraph" w:styleId="TOC4">
    <w:name w:val="toc 4"/>
    <w:basedOn w:val="Normal"/>
    <w:next w:val="Normal"/>
    <w:autoRedefine/>
    <w:uiPriority w:val="39"/>
    <w:locked/>
    <w:rsid w:val="002E6A48"/>
    <w:pPr>
      <w:tabs>
        <w:tab w:val="right" w:pos="9016"/>
      </w:tabs>
      <w:spacing w:after="0"/>
      <w:ind w:left="658"/>
    </w:pPr>
  </w:style>
  <w:style w:type="table" w:customStyle="1" w:styleId="DarkHeadingBanded">
    <w:name w:val="Dark Heading Banded"/>
    <w:basedOn w:val="TableNormal"/>
    <w:uiPriority w:val="99"/>
    <w:rsid w:val="00737D4D"/>
    <w:pPr>
      <w:spacing w:after="0"/>
    </w:pPr>
    <w:rPr>
      <w:sz w:val="20"/>
    </w:rPr>
    <w:tblPr>
      <w:tblStyleRowBandSize w:val="1"/>
      <w:tblStyleColBandSize w:val="1"/>
      <w:tblBorders>
        <w:top w:val="single" w:sz="4" w:space="0" w:color="1178A0" w:themeColor="background2"/>
        <w:left w:val="single" w:sz="4" w:space="0" w:color="1178A0" w:themeColor="background2"/>
        <w:bottom w:val="single" w:sz="4" w:space="0" w:color="1178A0" w:themeColor="background2"/>
        <w:right w:val="single" w:sz="4" w:space="0" w:color="1178A0" w:themeColor="background2"/>
        <w:insideH w:val="single" w:sz="4" w:space="0" w:color="1178A0" w:themeColor="background2"/>
        <w:insideV w:val="single" w:sz="4" w:space="0" w:color="1178A0" w:themeColor="background2"/>
      </w:tblBorders>
    </w:tblPr>
    <w:tblStylePr w:type="firstRow">
      <w:pPr>
        <w:jc w:val="left"/>
      </w:pPr>
      <w:rPr>
        <w:b/>
        <w:color w:val="FFFFFF" w:themeColor="background1"/>
      </w:rPr>
      <w:tblPr/>
      <w:tcPr>
        <w:shd w:val="clear" w:color="auto" w:fill="1178A0" w:themeFill="background2"/>
      </w:tcPr>
    </w:tblStylePr>
    <w:tblStylePr w:type="band2Horz">
      <w:tblPr/>
      <w:tcPr>
        <w:shd w:val="clear" w:color="auto" w:fill="F2F2F2" w:themeFill="background1" w:themeFillShade="F2"/>
      </w:tcPr>
    </w:tblStylePr>
  </w:style>
  <w:style w:type="table" w:customStyle="1" w:styleId="DarkHeading">
    <w:name w:val="Dark Heading"/>
    <w:basedOn w:val="TableNormal"/>
    <w:uiPriority w:val="99"/>
    <w:rsid w:val="00737D4D"/>
    <w:pPr>
      <w:spacing w:after="0"/>
    </w:pPr>
    <w:rPr>
      <w:sz w:val="20"/>
      <w:szCs w:val="20"/>
    </w:rPr>
    <w:tblPr>
      <w:tblBorders>
        <w:top w:val="single" w:sz="4" w:space="0" w:color="1178A0" w:themeColor="background2"/>
        <w:left w:val="single" w:sz="4" w:space="0" w:color="1178A0" w:themeColor="background2"/>
        <w:bottom w:val="single" w:sz="4" w:space="0" w:color="1178A0" w:themeColor="background2"/>
        <w:right w:val="single" w:sz="4" w:space="0" w:color="1178A0" w:themeColor="background2"/>
        <w:insideH w:val="single" w:sz="4" w:space="0" w:color="1178A0" w:themeColor="background2"/>
        <w:insideV w:val="single" w:sz="4" w:space="0" w:color="1178A0" w:themeColor="background2"/>
      </w:tblBorders>
    </w:tblPr>
    <w:tblStylePr w:type="firstRow">
      <w:rPr>
        <w:rFonts w:asciiTheme="minorHAnsi" w:hAnsiTheme="minorHAnsi"/>
        <w:b/>
        <w:color w:val="FFFFFF"/>
        <w:sz w:val="20"/>
      </w:rPr>
      <w:tblPr/>
      <w:tcPr>
        <w:shd w:val="clear" w:color="auto" w:fill="1178A0" w:themeFill="background2"/>
      </w:tcPr>
    </w:tblStylePr>
  </w:style>
  <w:style w:type="table" w:customStyle="1" w:styleId="LightHeadingBanded">
    <w:name w:val="Light Heading Banded"/>
    <w:basedOn w:val="TableNormal"/>
    <w:uiPriority w:val="99"/>
    <w:rsid w:val="00737D4D"/>
    <w:pPr>
      <w:spacing w:after="0"/>
    </w:pPr>
    <w:rPr>
      <w:sz w:val="20"/>
    </w:rPr>
    <w:tblPr>
      <w:tblStyleRowBandSize w:val="1"/>
      <w:tblBorders>
        <w:top w:val="single" w:sz="4" w:space="0" w:color="005370" w:themeColor="text2"/>
        <w:left w:val="single" w:sz="4" w:space="0" w:color="005370" w:themeColor="text2"/>
        <w:bottom w:val="single" w:sz="4" w:space="0" w:color="005370" w:themeColor="text2"/>
        <w:right w:val="single" w:sz="4" w:space="0" w:color="005370" w:themeColor="text2"/>
        <w:insideH w:val="single" w:sz="4" w:space="0" w:color="005370" w:themeColor="text2"/>
        <w:insideV w:val="single" w:sz="4" w:space="0" w:color="005370" w:themeColor="text2"/>
      </w:tblBorders>
    </w:tblPr>
    <w:tblStylePr w:type="firstRow">
      <w:rPr>
        <w:rFonts w:asciiTheme="minorHAnsi" w:hAnsiTheme="minorHAnsi"/>
        <w:b/>
        <w:color w:val="000000" w:themeColor="text1"/>
      </w:rPr>
      <w:tblPr/>
      <w:tcPr>
        <w:shd w:val="clear" w:color="auto" w:fill="E6F1F8" w:themeFill="accent2"/>
      </w:tcPr>
    </w:tblStylePr>
    <w:tblStylePr w:type="band2Horz">
      <w:tblPr/>
      <w:tcPr>
        <w:shd w:val="clear" w:color="auto" w:fill="F2F2F2" w:themeFill="background1" w:themeFillShade="F2"/>
      </w:tcPr>
    </w:tblStylePr>
  </w:style>
  <w:style w:type="paragraph" w:customStyle="1" w:styleId="PulloutBoxHeading">
    <w:name w:val="Pullout Box Heading"/>
    <w:basedOn w:val="Heading3"/>
    <w:qFormat/>
    <w:rsid w:val="00036AB8"/>
    <w:pPr>
      <w:spacing w:before="120" w:after="60"/>
    </w:pPr>
  </w:style>
  <w:style w:type="table" w:customStyle="1" w:styleId="PulloutBox">
    <w:name w:val="Pullout Box"/>
    <w:basedOn w:val="TableNormal"/>
    <w:uiPriority w:val="99"/>
    <w:rsid w:val="00F866FA"/>
    <w:pPr>
      <w:spacing w:after="0"/>
    </w:pPr>
    <w:tblPr>
      <w:tblCellMar>
        <w:top w:w="284" w:type="dxa"/>
        <w:left w:w="284" w:type="dxa"/>
        <w:bottom w:w="284" w:type="dxa"/>
        <w:right w:w="284" w:type="dxa"/>
      </w:tblCellMar>
    </w:tblPr>
    <w:tcPr>
      <w:shd w:val="clear" w:color="auto" w:fill="E6F1F8" w:themeFill="accent2"/>
    </w:tcPr>
  </w:style>
  <w:style w:type="paragraph" w:styleId="ListParagraph">
    <w:name w:val="List Paragraph"/>
    <w:aliases w:val="NFP GP Bulleted List,List Paragraph1,Recommendation,Bullet table,Bullet point,CV text,Dot pt,F5 List Paragraph,FooterText,L,List Paragraph11,List Paragraph111,List Paragraph2,Medium Grid 1 - Accent 21,NAST Quote,Numbered Paragraph"/>
    <w:basedOn w:val="Normal"/>
    <w:link w:val="ListParagraphChar"/>
    <w:uiPriority w:val="34"/>
    <w:qFormat/>
    <w:locked/>
    <w:rsid w:val="00A6672E"/>
    <w:pPr>
      <w:ind w:left="720"/>
      <w:contextualSpacing/>
    </w:pPr>
  </w:style>
  <w:style w:type="character" w:customStyle="1" w:styleId="ListParagraphChar">
    <w:name w:val="List Paragraph Char"/>
    <w:aliases w:val="NFP GP Bulleted List Char,List Paragraph1 Char,Recommendation Char,Bullet table Char,Bullet point Char,CV text Char,Dot pt Char,F5 List Paragraph Char,FooterText Char,L Char,List Paragraph11 Char,List Paragraph111 Char"/>
    <w:basedOn w:val="DefaultParagraphFont"/>
    <w:link w:val="ListParagraph"/>
    <w:uiPriority w:val="34"/>
    <w:rsid w:val="00A6672E"/>
  </w:style>
  <w:style w:type="paragraph" w:styleId="EndnoteText">
    <w:name w:val="endnote text"/>
    <w:basedOn w:val="Normal"/>
    <w:link w:val="EndnoteTextChar"/>
    <w:unhideWhenUsed/>
    <w:locked/>
    <w:rsid w:val="00EA63B1"/>
    <w:pPr>
      <w:spacing w:after="0"/>
    </w:pPr>
    <w:rPr>
      <w:rFonts w:ascii="Arial" w:hAnsi="Arial"/>
      <w:sz w:val="20"/>
      <w:szCs w:val="20"/>
      <w:lang w:val="en-GB" w:eastAsia="en-US"/>
    </w:rPr>
  </w:style>
  <w:style w:type="character" w:customStyle="1" w:styleId="EndnoteTextChar">
    <w:name w:val="Endnote Text Char"/>
    <w:basedOn w:val="DefaultParagraphFont"/>
    <w:link w:val="EndnoteText"/>
    <w:rsid w:val="00EA63B1"/>
    <w:rPr>
      <w:rFonts w:ascii="Arial" w:hAnsi="Arial"/>
      <w:sz w:val="20"/>
      <w:szCs w:val="20"/>
      <w:lang w:val="en-GB" w:eastAsia="en-US"/>
    </w:rPr>
  </w:style>
  <w:style w:type="character" w:styleId="EndnoteReference">
    <w:name w:val="endnote reference"/>
    <w:basedOn w:val="DefaultParagraphFont"/>
    <w:unhideWhenUsed/>
    <w:locked/>
    <w:rsid w:val="00EA63B1"/>
    <w:rPr>
      <w:vertAlign w:val="superscript"/>
    </w:rPr>
  </w:style>
  <w:style w:type="paragraph" w:customStyle="1" w:styleId="Default">
    <w:name w:val="Default"/>
    <w:rsid w:val="00632475"/>
    <w:pPr>
      <w:autoSpaceDE w:val="0"/>
      <w:autoSpaceDN w:val="0"/>
      <w:adjustRightInd w:val="0"/>
      <w:spacing w:after="0"/>
    </w:pPr>
    <w:rPr>
      <w:rFonts w:ascii="Gotham Medium" w:hAnsi="Gotham Medium" w:cs="Gotham Medium"/>
      <w:color w:val="000000"/>
      <w:sz w:val="24"/>
      <w:szCs w:val="24"/>
    </w:rPr>
  </w:style>
  <w:style w:type="table" w:customStyle="1" w:styleId="Plain">
    <w:name w:val="Plain"/>
    <w:basedOn w:val="TableNormal"/>
    <w:next w:val="TableGrid"/>
    <w:rsid w:val="00423210"/>
    <w:pPr>
      <w:spacing w:before="60" w:after="60"/>
    </w:pPr>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b/>
      </w:rPr>
      <w:tblPr/>
      <w:trPr>
        <w:cantSplit/>
        <w:tblHeader/>
      </w:trPr>
    </w:tblStylePr>
  </w:style>
  <w:style w:type="paragraph" w:customStyle="1" w:styleId="TRIMnumber">
    <w:name w:val="TRIM number"/>
    <w:basedOn w:val="Normal"/>
    <w:qFormat/>
    <w:rsid w:val="00932407"/>
    <w:pPr>
      <w:spacing w:before="0" w:after="360"/>
      <w:jc w:val="right"/>
    </w:pPr>
  </w:style>
  <w:style w:type="paragraph" w:styleId="Revision">
    <w:name w:val="Revision"/>
    <w:hidden/>
    <w:uiPriority w:val="99"/>
    <w:semiHidden/>
    <w:rsid w:val="00174535"/>
    <w:pPr>
      <w:spacing w:after="0"/>
    </w:pPr>
  </w:style>
  <w:style w:type="character" w:customStyle="1" w:styleId="Superscript">
    <w:name w:val="Superscript"/>
    <w:uiPriority w:val="99"/>
    <w:rsid w:val="00183675"/>
    <w:rPr>
      <w:u w:val="none"/>
      <w:vertAlign w:val="superscript"/>
    </w:rPr>
  </w:style>
  <w:style w:type="paragraph" w:styleId="DocumentMap">
    <w:name w:val="Document Map"/>
    <w:basedOn w:val="Normal"/>
    <w:link w:val="DocumentMapChar"/>
    <w:uiPriority w:val="98"/>
    <w:semiHidden/>
    <w:unhideWhenUsed/>
    <w:locked/>
    <w:rsid w:val="006F7964"/>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8"/>
    <w:semiHidden/>
    <w:rsid w:val="006F7964"/>
    <w:rPr>
      <w:rFonts w:ascii="Lucida Grande" w:hAnsi="Lucida Grande" w:cs="Lucida Grande"/>
      <w:sz w:val="24"/>
      <w:szCs w:val="24"/>
    </w:rPr>
  </w:style>
  <w:style w:type="character" w:customStyle="1" w:styleId="Roman">
    <w:name w:val="Roman"/>
    <w:uiPriority w:val="99"/>
    <w:rsid w:val="00195458"/>
  </w:style>
  <w:style w:type="character" w:customStyle="1" w:styleId="Italic">
    <w:name w:val="Italic"/>
    <w:uiPriority w:val="99"/>
    <w:rsid w:val="0099343F"/>
    <w:rPr>
      <w:i/>
      <w:iCs/>
    </w:rPr>
  </w:style>
  <w:style w:type="character" w:styleId="UnresolvedMention">
    <w:name w:val="Unresolved Mention"/>
    <w:basedOn w:val="DefaultParagraphFont"/>
    <w:uiPriority w:val="99"/>
    <w:semiHidden/>
    <w:unhideWhenUsed/>
    <w:rsid w:val="00AB0A6E"/>
    <w:rPr>
      <w:color w:val="605E5C"/>
      <w:shd w:val="clear" w:color="auto" w:fill="E1DFDD"/>
    </w:rPr>
  </w:style>
  <w:style w:type="paragraph" w:customStyle="1" w:styleId="FactSheetType">
    <w:name w:val="Fact Sheet Type"/>
    <w:basedOn w:val="Normal"/>
    <w:qFormat/>
    <w:rsid w:val="0056304B"/>
    <w:pPr>
      <w:spacing w:before="0" w:after="480"/>
      <w:jc w:val="right"/>
    </w:pPr>
    <w:rPr>
      <w:bCs/>
      <w:sz w:val="28"/>
    </w:rPr>
  </w:style>
  <w:style w:type="paragraph" w:customStyle="1" w:styleId="PulloutTextBody">
    <w:name w:val="Pullout Text Body"/>
    <w:basedOn w:val="Normal"/>
    <w:qFormat/>
    <w:rsid w:val="00036AB8"/>
    <w:pPr>
      <w:pBdr>
        <w:left w:val="single" w:sz="48" w:space="8" w:color="1178A0" w:themeColor="background2"/>
      </w:pBdr>
      <w:spacing w:before="180"/>
      <w:ind w:left="284"/>
    </w:pPr>
    <w:rPr>
      <w:b/>
    </w:rPr>
  </w:style>
  <w:style w:type="table" w:customStyle="1" w:styleId="SurveyQuestions">
    <w:name w:val="Survey Questions"/>
    <w:basedOn w:val="DarkHeading"/>
    <w:uiPriority w:val="99"/>
    <w:rsid w:val="006456F1"/>
    <w:rPr>
      <w:sz w:val="22"/>
    </w:rPr>
    <w:tblPr/>
    <w:tblStylePr w:type="firstRow">
      <w:rPr>
        <w:rFonts w:asciiTheme="minorHAnsi" w:hAnsiTheme="minorHAnsi"/>
        <w:b/>
        <w:color w:val="FFFFFF"/>
        <w:sz w:val="22"/>
      </w:rPr>
      <w:tblPr/>
      <w:tcPr>
        <w:shd w:val="clear" w:color="auto" w:fill="1178A0" w:themeFill="background2"/>
      </w:tcPr>
    </w:tblStylePr>
    <w:tblStylePr w:type="firstCol">
      <w:rPr>
        <w:b/>
      </w:rPr>
      <w:tblPr/>
      <w:tcPr>
        <w:shd w:val="clear" w:color="auto" w:fill="E6F1F8" w:themeFill="accent2"/>
      </w:tcPr>
    </w:tblStylePr>
  </w:style>
  <w:style w:type="paragraph" w:customStyle="1" w:styleId="Heading1a">
    <w:name w:val="Heading 1a"/>
    <w:basedOn w:val="Heading1"/>
    <w:next w:val="Normal"/>
    <w:rsid w:val="008C1853"/>
    <w:pPr>
      <w:spacing w:before="0" w:after="480"/>
      <w:outlineLvl w:val="9"/>
    </w:pPr>
    <w:rPr>
      <w:rFonts w:ascii="Arial" w:hAnsi="Arial"/>
      <w:color w:val="0B6080"/>
      <w:kern w:val="32"/>
      <w:sz w:val="44"/>
    </w:rPr>
  </w:style>
  <w:style w:type="paragraph" w:customStyle="1" w:styleId="ImprintText">
    <w:name w:val="ImprintText"/>
    <w:basedOn w:val="Normal"/>
    <w:rsid w:val="000F6B39"/>
    <w:pPr>
      <w:spacing w:before="0"/>
    </w:pPr>
    <w:rPr>
      <w:rFonts w:ascii="Arial" w:hAnsi="Arial"/>
      <w:color w:val="000000"/>
      <w:szCs w:val="20"/>
    </w:rPr>
  </w:style>
  <w:style w:type="character" w:customStyle="1" w:styleId="DraftingNotesChar">
    <w:name w:val="DraftingNotesChar"/>
    <w:basedOn w:val="DefaultParagraphFont"/>
    <w:uiPriority w:val="1"/>
    <w:rsid w:val="000F6B39"/>
    <w:rPr>
      <w:rFonts w:ascii="Arial" w:hAnsi="Arial"/>
      <w:noProof/>
      <w:color w:val="FF40FF"/>
      <w:sz w:val="22"/>
    </w:rPr>
  </w:style>
  <w:style w:type="paragraph" w:customStyle="1" w:styleId="DraftingNotes">
    <w:name w:val="DraftingNotes"/>
    <w:basedOn w:val="Normal"/>
    <w:rsid w:val="008C1853"/>
    <w:pPr>
      <w:spacing w:before="0" w:after="240"/>
    </w:pPr>
    <w:rPr>
      <w:rFonts w:ascii="Arial" w:hAnsi="Arial"/>
      <w:b/>
      <w:color w:val="FF40FF"/>
      <w:szCs w:val="20"/>
    </w:rPr>
  </w:style>
  <w:style w:type="paragraph" w:customStyle="1" w:styleId="Backpagelogoholder">
    <w:name w:val="Back page logo holder"/>
    <w:basedOn w:val="Normal"/>
    <w:qFormat/>
    <w:rsid w:val="000E15DA"/>
    <w:pPr>
      <w:keepLines/>
      <w:spacing w:before="10920" w:after="240"/>
      <w:ind w:hanging="142"/>
    </w:pPr>
    <w:rPr>
      <w:rFonts w:eastAsiaTheme="majorEastAsia"/>
      <w:noProof/>
    </w:rPr>
  </w:style>
  <w:style w:type="character" w:styleId="LineNumber">
    <w:name w:val="line number"/>
    <w:basedOn w:val="DefaultParagraphFont"/>
    <w:uiPriority w:val="98"/>
    <w:semiHidden/>
    <w:unhideWhenUsed/>
    <w:locked/>
    <w:rsid w:val="006C45E7"/>
  </w:style>
  <w:style w:type="paragraph" w:customStyle="1" w:styleId="SandQwebaddress">
    <w:name w:val="S and Q web address"/>
    <w:basedOn w:val="Normal"/>
    <w:qFormat/>
    <w:rsid w:val="00262327"/>
    <w:pPr>
      <w:spacing w:before="480" w:after="60"/>
    </w:pPr>
  </w:style>
  <w:style w:type="character" w:customStyle="1" w:styleId="Heading1Char">
    <w:name w:val="Heading 1 Char"/>
    <w:basedOn w:val="DefaultParagraphFont"/>
    <w:link w:val="Heading1"/>
    <w:uiPriority w:val="99"/>
    <w:rsid w:val="00622FFC"/>
    <w:rPr>
      <w:rFonts w:cs="Arial"/>
      <w:b/>
      <w:bCs/>
      <w:color w:val="005370" w:themeColor="text2"/>
      <w:kern w:val="28"/>
      <w:sz w:val="40"/>
      <w:szCs w:val="32"/>
    </w:rPr>
  </w:style>
  <w:style w:type="character" w:customStyle="1" w:styleId="Heading2Char">
    <w:name w:val="Heading 2 Char"/>
    <w:basedOn w:val="DefaultParagraphFont"/>
    <w:link w:val="Heading2"/>
    <w:uiPriority w:val="99"/>
    <w:rsid w:val="00622FFC"/>
    <w:rPr>
      <w:rFonts w:cs="Arial"/>
      <w:b/>
      <w:iCs/>
      <w:color w:val="005370" w:themeColor="text2"/>
      <w:kern w:val="28"/>
      <w:sz w:val="32"/>
      <w:szCs w:val="28"/>
    </w:rPr>
  </w:style>
  <w:style w:type="character" w:customStyle="1" w:styleId="Heading3Char">
    <w:name w:val="Heading 3 Char"/>
    <w:basedOn w:val="DefaultParagraphFont"/>
    <w:link w:val="Heading3"/>
    <w:uiPriority w:val="99"/>
    <w:rsid w:val="00622FFC"/>
    <w:rPr>
      <w:rFonts w:cs="Arial"/>
      <w:b/>
      <w:bCs/>
      <w:iCs/>
      <w:color w:val="005370" w:themeColor="text2"/>
      <w:kern w:val="28"/>
      <w:sz w:val="28"/>
      <w:szCs w:val="26"/>
    </w:rPr>
  </w:style>
  <w:style w:type="character" w:customStyle="1" w:styleId="Heading4Char">
    <w:name w:val="Heading 4 Char"/>
    <w:basedOn w:val="DefaultParagraphFont"/>
    <w:link w:val="Heading4"/>
    <w:uiPriority w:val="99"/>
    <w:rsid w:val="00622FFC"/>
    <w:rPr>
      <w:b/>
      <w:bCs/>
      <w:color w:val="000000" w:themeColor="text1"/>
      <w:sz w:val="24"/>
      <w:szCs w:val="26"/>
    </w:rPr>
  </w:style>
  <w:style w:type="character" w:customStyle="1" w:styleId="Heading5Char">
    <w:name w:val="Heading 5 Char"/>
    <w:basedOn w:val="DefaultParagraphFont"/>
    <w:link w:val="Heading5"/>
    <w:uiPriority w:val="99"/>
    <w:rsid w:val="00622FFC"/>
    <w:rPr>
      <w:b/>
      <w:bCs/>
      <w:iCs/>
      <w:color w:val="000000" w:themeColor="text1"/>
    </w:rPr>
  </w:style>
  <w:style w:type="paragraph" w:styleId="BodyText">
    <w:name w:val="Body Text"/>
    <w:basedOn w:val="Normal"/>
    <w:link w:val="BodyTextChar"/>
    <w:uiPriority w:val="99"/>
    <w:locked/>
    <w:rsid w:val="00803FFF"/>
    <w:pPr>
      <w:spacing w:line="276" w:lineRule="auto"/>
    </w:pPr>
    <w:rPr>
      <w:rFonts w:ascii="Arial" w:hAnsi="Arial"/>
    </w:rPr>
  </w:style>
  <w:style w:type="character" w:customStyle="1" w:styleId="BodyTextChar">
    <w:name w:val="Body Text Char"/>
    <w:basedOn w:val="DefaultParagraphFont"/>
    <w:link w:val="BodyText"/>
    <w:uiPriority w:val="99"/>
    <w:rsid w:val="00803FFF"/>
    <w:rPr>
      <w:rFonts w:ascii="Arial" w:hAnsi="Arial"/>
    </w:rPr>
  </w:style>
  <w:style w:type="paragraph" w:styleId="BodyText2">
    <w:name w:val="Body Text 2"/>
    <w:basedOn w:val="Normal"/>
    <w:link w:val="BodyText2Char"/>
    <w:uiPriority w:val="98"/>
    <w:semiHidden/>
    <w:unhideWhenUsed/>
    <w:locked/>
    <w:rsid w:val="00613C02"/>
    <w:pPr>
      <w:spacing w:line="480" w:lineRule="auto"/>
    </w:pPr>
  </w:style>
  <w:style w:type="character" w:customStyle="1" w:styleId="BodyText2Char">
    <w:name w:val="Body Text 2 Char"/>
    <w:basedOn w:val="DefaultParagraphFont"/>
    <w:link w:val="BodyText2"/>
    <w:uiPriority w:val="98"/>
    <w:semiHidden/>
    <w:rsid w:val="00613C02"/>
  </w:style>
  <w:style w:type="paragraph" w:styleId="Caption">
    <w:name w:val="caption"/>
    <w:basedOn w:val="Normal"/>
    <w:next w:val="Normal"/>
    <w:uiPriority w:val="99"/>
    <w:unhideWhenUsed/>
    <w:qFormat/>
    <w:locked/>
    <w:rsid w:val="00613C02"/>
    <w:pPr>
      <w:spacing w:before="0" w:after="200" w:line="276" w:lineRule="auto"/>
    </w:pPr>
    <w:rPr>
      <w:rFonts w:ascii="Arial" w:hAnsi="Arial"/>
      <w:i/>
      <w:iCs/>
      <w:color w:val="005370" w:themeColor="text2"/>
      <w:sz w:val="18"/>
      <w:szCs w:val="18"/>
    </w:rPr>
  </w:style>
  <w:style w:type="character" w:styleId="HTMLAcronym">
    <w:name w:val="HTML Acronym"/>
    <w:basedOn w:val="DefaultParagraphFont"/>
    <w:locked/>
    <w:rsid w:val="00613C02"/>
  </w:style>
  <w:style w:type="character" w:styleId="CommentReference">
    <w:name w:val="annotation reference"/>
    <w:basedOn w:val="DefaultParagraphFont"/>
    <w:semiHidden/>
    <w:unhideWhenUsed/>
    <w:locked/>
    <w:rsid w:val="004C476F"/>
    <w:rPr>
      <w:sz w:val="16"/>
      <w:szCs w:val="16"/>
    </w:rPr>
  </w:style>
  <w:style w:type="paragraph" w:styleId="CommentText">
    <w:name w:val="annotation text"/>
    <w:basedOn w:val="Normal"/>
    <w:link w:val="CommentTextChar"/>
    <w:unhideWhenUsed/>
    <w:locked/>
    <w:rsid w:val="004C476F"/>
    <w:rPr>
      <w:sz w:val="20"/>
      <w:szCs w:val="20"/>
    </w:rPr>
  </w:style>
  <w:style w:type="character" w:customStyle="1" w:styleId="CommentTextChar">
    <w:name w:val="Comment Text Char"/>
    <w:basedOn w:val="DefaultParagraphFont"/>
    <w:link w:val="CommentText"/>
    <w:rsid w:val="004C476F"/>
    <w:rPr>
      <w:sz w:val="20"/>
      <w:szCs w:val="20"/>
    </w:rPr>
  </w:style>
  <w:style w:type="paragraph" w:styleId="CommentSubject">
    <w:name w:val="annotation subject"/>
    <w:basedOn w:val="CommentText"/>
    <w:next w:val="CommentText"/>
    <w:link w:val="CommentSubjectChar"/>
    <w:uiPriority w:val="98"/>
    <w:semiHidden/>
    <w:unhideWhenUsed/>
    <w:locked/>
    <w:rsid w:val="004C476F"/>
    <w:rPr>
      <w:b/>
      <w:bCs/>
    </w:rPr>
  </w:style>
  <w:style w:type="character" w:customStyle="1" w:styleId="CommentSubjectChar">
    <w:name w:val="Comment Subject Char"/>
    <w:basedOn w:val="CommentTextChar"/>
    <w:link w:val="CommentSubject"/>
    <w:uiPriority w:val="98"/>
    <w:semiHidden/>
    <w:rsid w:val="004C476F"/>
    <w:rPr>
      <w:b/>
      <w:bCs/>
      <w:sz w:val="20"/>
      <w:szCs w:val="20"/>
    </w:rPr>
  </w:style>
  <w:style w:type="numbering" w:customStyle="1" w:styleId="CurrentList1">
    <w:name w:val="Current List1"/>
    <w:uiPriority w:val="99"/>
    <w:rsid w:val="004C476F"/>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71472">
      <w:bodyDiv w:val="1"/>
      <w:marLeft w:val="0"/>
      <w:marRight w:val="0"/>
      <w:marTop w:val="0"/>
      <w:marBottom w:val="0"/>
      <w:divBdr>
        <w:top w:val="none" w:sz="0" w:space="0" w:color="auto"/>
        <w:left w:val="none" w:sz="0" w:space="0" w:color="auto"/>
        <w:bottom w:val="none" w:sz="0" w:space="0" w:color="auto"/>
        <w:right w:val="none" w:sz="0" w:space="0" w:color="auto"/>
      </w:divBdr>
      <w:divsChild>
        <w:div w:id="382369097">
          <w:marLeft w:val="0"/>
          <w:marRight w:val="0"/>
          <w:marTop w:val="240"/>
          <w:marBottom w:val="480"/>
          <w:divBdr>
            <w:top w:val="none" w:sz="0" w:space="0" w:color="auto"/>
            <w:left w:val="none" w:sz="0" w:space="0" w:color="auto"/>
            <w:bottom w:val="none" w:sz="0" w:space="0" w:color="auto"/>
            <w:right w:val="none" w:sz="0" w:space="0" w:color="auto"/>
          </w:divBdr>
          <w:divsChild>
            <w:div w:id="87702876">
              <w:marLeft w:val="0"/>
              <w:marRight w:val="0"/>
              <w:marTop w:val="0"/>
              <w:marBottom w:val="0"/>
              <w:divBdr>
                <w:top w:val="none" w:sz="0" w:space="0" w:color="auto"/>
                <w:left w:val="none" w:sz="0" w:space="0" w:color="auto"/>
                <w:bottom w:val="none" w:sz="0" w:space="0" w:color="auto"/>
                <w:right w:val="none" w:sz="0" w:space="0" w:color="auto"/>
              </w:divBdr>
              <w:divsChild>
                <w:div w:id="112749679">
                  <w:marLeft w:val="0"/>
                  <w:marRight w:val="0"/>
                  <w:marTop w:val="0"/>
                  <w:marBottom w:val="0"/>
                  <w:divBdr>
                    <w:top w:val="none" w:sz="0" w:space="0" w:color="auto"/>
                    <w:left w:val="none" w:sz="0" w:space="0" w:color="auto"/>
                    <w:bottom w:val="none" w:sz="0" w:space="0" w:color="auto"/>
                    <w:right w:val="none" w:sz="0" w:space="0" w:color="auto"/>
                  </w:divBdr>
                  <w:divsChild>
                    <w:div w:id="1983850956">
                      <w:marLeft w:val="0"/>
                      <w:marRight w:val="0"/>
                      <w:marTop w:val="0"/>
                      <w:marBottom w:val="0"/>
                      <w:divBdr>
                        <w:top w:val="none" w:sz="0" w:space="0" w:color="auto"/>
                        <w:left w:val="none" w:sz="0" w:space="0" w:color="auto"/>
                        <w:bottom w:val="none" w:sz="0" w:space="0" w:color="auto"/>
                        <w:right w:val="none" w:sz="0" w:space="0" w:color="auto"/>
                      </w:divBdr>
                      <w:divsChild>
                        <w:div w:id="15825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1152867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9452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eader" Target="header4.xml"/><Relationship Id="rId39" Type="http://schemas.openxmlformats.org/officeDocument/2006/relationships/header" Target="header9.xml"/><Relationship Id="rId21" Type="http://schemas.openxmlformats.org/officeDocument/2006/relationships/hyperlink" Target="https://developer.digitalhealth.gov.au/specifications/ehealth-foundations/ep-1544-2014/nehta-1546-2014" TargetMode="External"/><Relationship Id="rId34" Type="http://schemas.openxmlformats.org/officeDocument/2006/relationships/footer" Target="footer6.xml"/><Relationship Id="rId42" Type="http://schemas.openxmlformats.org/officeDocument/2006/relationships/header" Target="header11.xml"/><Relationship Id="rId47" Type="http://schemas.openxmlformats.org/officeDocument/2006/relationships/footer" Target="footer9.xml"/><Relationship Id="rId50" Type="http://schemas.openxmlformats.org/officeDocument/2006/relationships/hyperlink" Target="https://www.safetyandquality.gov.au/publications-and-resources/resource-library/australian-framework-national-clinical-quality-registries-attachment-2-security-compliance-guideline-compliance-checklists" TargetMode="External"/><Relationship Id="rId55" Type="http://schemas.openxmlformats.org/officeDocument/2006/relationships/hyperlink" Target="https://www.digitalhealth.gov.au/healthcare-providers/cyber-security" TargetMode="External"/><Relationship Id="rId63" Type="http://schemas.openxmlformats.org/officeDocument/2006/relationships/hyperlink" Target="https://www.cyber.gov.au/" TargetMode="External"/><Relationship Id="rId68" Type="http://schemas.openxmlformats.org/officeDocument/2006/relationships/hyperlink" Target="https://developer.digitalhealth.gov.au/resources/national-ehealth-security-and-access-framework-v4-0" TargetMode="External"/><Relationship Id="rId76" Type="http://schemas.openxmlformats.org/officeDocument/2006/relationships/header" Target="header15.xml"/><Relationship Id="rId7" Type="http://schemas.openxmlformats.org/officeDocument/2006/relationships/settings" Target="settings.xml"/><Relationship Id="rId71" Type="http://schemas.openxmlformats.org/officeDocument/2006/relationships/hyperlink" Target="file:///Users/aija/Downloads/Standards%20Australia.%20AS%20ISO%2027799:2023%20Health%20informatics%20&#8212;%20Information%20security%20management%20in%20health%20using%20ISO/IEC%2027002.%20Sydney:%20Standards%20Australia%3B%202023.%20https:/store.standards.org.au/product/as-iso-27799-2023" TargetMode="External"/><Relationship Id="rId2" Type="http://schemas.openxmlformats.org/officeDocument/2006/relationships/customXml" Target="../customXml/item2.xml"/><Relationship Id="rId16" Type="http://schemas.openxmlformats.org/officeDocument/2006/relationships/hyperlink" Target="http://www.safetyandquality.gov.au" TargetMode="External"/><Relationship Id="rId29" Type="http://schemas.openxmlformats.org/officeDocument/2006/relationships/header" Target="header5.xml"/><Relationship Id="rId11" Type="http://schemas.openxmlformats.org/officeDocument/2006/relationships/image" Target="media/image1.jpg"/><Relationship Id="rId24" Type="http://schemas.openxmlformats.org/officeDocument/2006/relationships/image" Target="media/image4.jpg"/><Relationship Id="rId32" Type="http://schemas.openxmlformats.org/officeDocument/2006/relationships/header" Target="header7.xml"/><Relationship Id="rId37" Type="http://schemas.openxmlformats.org/officeDocument/2006/relationships/image" Target="media/image5.png"/><Relationship Id="rId40" Type="http://schemas.openxmlformats.org/officeDocument/2006/relationships/header" Target="header10.xml"/><Relationship Id="rId45" Type="http://schemas.openxmlformats.org/officeDocument/2006/relationships/header" Target="header12.xml"/><Relationship Id="rId53" Type="http://schemas.openxmlformats.org/officeDocument/2006/relationships/hyperlink" Target="https://developer.digitalhealth.gov.au/resources/national-ehealth-security-and-access-framework-v4-0" TargetMode="External"/><Relationship Id="rId58" Type="http://schemas.openxmlformats.org/officeDocument/2006/relationships/hyperlink" Target="https://www.oaic.gov.au/privacy/australian-privacy-principles/read-the-australian-privacy-principles" TargetMode="External"/><Relationship Id="rId66" Type="http://schemas.openxmlformats.org/officeDocument/2006/relationships/hyperlink" Target="https://store.standards.org.au/product/as-iso-27799-2023" TargetMode="External"/><Relationship Id="rId74" Type="http://schemas.openxmlformats.org/officeDocument/2006/relationships/hyperlink" Target="http://www.safetyandquality.gov.au/"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safetyandquality.gov.au/our-work/health-and-human-research/national-arrangements-clinical-quality-registries" TargetMode="External"/><Relationship Id="rId10" Type="http://schemas.openxmlformats.org/officeDocument/2006/relationships/endnotes" Target="endnotes.xml"/><Relationship Id="rId19" Type="http://schemas.openxmlformats.org/officeDocument/2006/relationships/hyperlink" Target="mailto:communications@safetyandquality.gov.au?subject=Enquiry" TargetMode="External"/><Relationship Id="rId31" Type="http://schemas.openxmlformats.org/officeDocument/2006/relationships/header" Target="header6.xml"/><Relationship Id="rId44" Type="http://schemas.openxmlformats.org/officeDocument/2006/relationships/image" Target="media/image8.jpg"/><Relationship Id="rId52" Type="http://schemas.openxmlformats.org/officeDocument/2006/relationships/hyperlink" Target="https://www.safetyandquality.gov.au/publications-and-resources/resource-library/australian-framework-national-clinical-quality-registries-2024" TargetMode="External"/><Relationship Id="rId60" Type="http://schemas.openxmlformats.org/officeDocument/2006/relationships/hyperlink" Target="https://www.oaic.gov.au/privacy/privacy-legislation/state-and-territory-privacy-legislation/state-and-territory-privacy-legislation" TargetMode="External"/><Relationship Id="rId65" Type="http://schemas.openxmlformats.org/officeDocument/2006/relationships/hyperlink" Target="https://www.oaic.gov.au/privacy/privacy-guidance-for-organisations-and-government-agencies/preventing-preparing-for-and-responding-to-data-breaches/data-breach-preparation-and-response/part-3-responding-to-data-breaches-four-key-steps" TargetMode="External"/><Relationship Id="rId73" Type="http://schemas.openxmlformats.org/officeDocument/2006/relationships/hyperlink" Target="mailto:mail@safetyandquality.gov.au"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oaic.gov.au/privacy/privacy-legislation/state-and-territory-privacy-legislation/state-and-territory-privacy-legislation" TargetMode="External"/><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header" Target="header8.xml"/><Relationship Id="rId43" Type="http://schemas.openxmlformats.org/officeDocument/2006/relationships/image" Target="media/image7.wmf"/><Relationship Id="rId48" Type="http://schemas.openxmlformats.org/officeDocument/2006/relationships/header" Target="header14.xml"/><Relationship Id="rId56" Type="http://schemas.openxmlformats.org/officeDocument/2006/relationships/hyperlink" Target="https://developer.digitalhealth.gov.au/resources/national-ehealth-security-and-access-framework-v4-0" TargetMode="External"/><Relationship Id="rId64" Type="http://schemas.openxmlformats.org/officeDocument/2006/relationships/hyperlink" Target="https://store.standards.org.au/product/as-iso-27799-2023" TargetMode="External"/><Relationship Id="rId69" Type="http://schemas.openxmlformats.org/officeDocument/2006/relationships/hyperlink" Target="file:///Users/aija/Downloads/Standards%20Australia.%20AS%20ISO%2027799:2023%20Health%20informatics%20&#8212;%20Information%20security%20management%20in%20health%20using%20ISO/IEC%2027002.%20Sydney:%20Standards%20Australia%3B%202023.%20https:/store.standards.org.au/product/as-iso-27799-2023" TargetMode="External"/><Relationship Id="rId77"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hyperlink" Target="https://www.oaic.gov.au/privacy/privacy-guidance-for-organisations-and-government-agencies/preventing-preparing-for-and-responding-to-data-breaches/data-breach-preparation-and-response/part-3-responding-to-data-breaches-four-key-steps" TargetMode="External"/><Relationship Id="rId72" Type="http://schemas.openxmlformats.org/officeDocument/2006/relationships/image" Target="media/image10.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creativecommons.org/licenses/by-nc-nd/4.0/" TargetMode="External"/><Relationship Id="rId25" Type="http://schemas.openxmlformats.org/officeDocument/2006/relationships/header" Target="header3.xml"/><Relationship Id="rId33" Type="http://schemas.openxmlformats.org/officeDocument/2006/relationships/footer" Target="footer5.xml"/><Relationship Id="rId38" Type="http://schemas.openxmlformats.org/officeDocument/2006/relationships/image" Target="media/image6.jpg"/><Relationship Id="rId46" Type="http://schemas.openxmlformats.org/officeDocument/2006/relationships/header" Target="header13.xml"/><Relationship Id="rId59" Type="http://schemas.openxmlformats.org/officeDocument/2006/relationships/hyperlink" Target="https://www.nhmrc.gov.au/about-us/publications/guidelines-under-section-95-privacy-act-1988" TargetMode="External"/><Relationship Id="rId67" Type="http://schemas.openxmlformats.org/officeDocument/2006/relationships/hyperlink" Target="https://www.racgp.org.au/running-a-practice/security/protecting-your-practice-information/information-security-in-general-practice" TargetMode="External"/><Relationship Id="rId20" Type="http://schemas.openxmlformats.org/officeDocument/2006/relationships/hyperlink" Target="https://www.digitalhealth.gov.au/healthcare-providers/cyber-security" TargetMode="External"/><Relationship Id="rId41" Type="http://schemas.openxmlformats.org/officeDocument/2006/relationships/footer" Target="footer8.xml"/><Relationship Id="rId54" Type="http://schemas.openxmlformats.org/officeDocument/2006/relationships/hyperlink" Target="https://developer.digitalhealth.gov.au/resources/national-ehealth-security-and-access-framework-v4-0" TargetMode="External"/><Relationship Id="rId62" Type="http://schemas.openxmlformats.org/officeDocument/2006/relationships/hyperlink" Target="https://developer.digitalhealth.gov.au/resources/national-ehealth-security-and-access-framework-v4-0" TargetMode="External"/><Relationship Id="rId70" Type="http://schemas.openxmlformats.org/officeDocument/2006/relationships/hyperlink" Target="https://www.racgp.org.au/running-a-practice/security/protecting-your-practice-information/information-security-in-general-practice" TargetMode="External"/><Relationship Id="rId75"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ail@safetyandquality.gov.au" TargetMode="External"/><Relationship Id="rId23" Type="http://schemas.openxmlformats.org/officeDocument/2006/relationships/hyperlink" Target="https://www.safetyandquality.gov.au/sites/default/files/2021-12/legislation-and-regulation-of-clinical-quality-registries-final-report-may-2020.pdf" TargetMode="External"/><Relationship Id="rId28" Type="http://schemas.openxmlformats.org/officeDocument/2006/relationships/footer" Target="footer3.xml"/><Relationship Id="rId36" Type="http://schemas.openxmlformats.org/officeDocument/2006/relationships/footer" Target="footer7.xml"/><Relationship Id="rId49" Type="http://schemas.openxmlformats.org/officeDocument/2006/relationships/image" Target="media/image9.jpg"/><Relationship Id="rId57" Type="http://schemas.openxmlformats.org/officeDocument/2006/relationships/hyperlink" Target="https://www.oaic.gov.au/privacy/privacy-legislation/the-privacy-act" TargetMode="External"/></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pen Disclosure">
      <a:dk1>
        <a:srgbClr val="000000"/>
      </a:dk1>
      <a:lt1>
        <a:srgbClr val="FFFFFF"/>
      </a:lt1>
      <a:dk2>
        <a:srgbClr val="005370"/>
      </a:dk2>
      <a:lt2>
        <a:srgbClr val="1178A0"/>
      </a:lt2>
      <a:accent1>
        <a:srgbClr val="00A7E5"/>
      </a:accent1>
      <a:accent2>
        <a:srgbClr val="E6F1F8"/>
      </a:accent2>
      <a:accent3>
        <a:srgbClr val="0065A3"/>
      </a:accent3>
      <a:accent4>
        <a:srgbClr val="00B2CB"/>
      </a:accent4>
      <a:accent5>
        <a:srgbClr val="00B28E"/>
      </a:accent5>
      <a:accent6>
        <a:srgbClr val="E1241A"/>
      </a:accent6>
      <a:hlink>
        <a:srgbClr val="1178A2"/>
      </a:hlink>
      <a:folHlink>
        <a:srgbClr val="1178A1"/>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18" ma:contentTypeDescription="Create a new document." ma:contentTypeScope="" ma:versionID="f2315991d8f1da9559351f72d0e0457d">
  <xsd:schema xmlns:xsd="http://www.w3.org/2001/XMLSchema" xmlns:xs="http://www.w3.org/2001/XMLSchema" xmlns:p="http://schemas.microsoft.com/office/2006/metadata/properties" xmlns:ns2="4498f89d-1eae-456b-90f1-fc78c5fe8b2a" xmlns:ns3="ac66711c-8613-4dde-a928-6bd510ab7da4" targetNamespace="http://schemas.microsoft.com/office/2006/metadata/properties" ma:root="true" ma:fieldsID="9a763c1932d058a543df9faa9858a109" ns2:_="" ns3:_="">
    <xsd:import namespace="4498f89d-1eae-456b-90f1-fc78c5fe8b2a"/>
    <xsd:import namespace="ac66711c-8613-4dde-a928-6bd510ab7d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bf5309-f60c-4adc-92cd-c2ac96d59903}" ma:internalName="TaxCatchAll" ma:showField="CatchAllData" ma:web="4498f89d-1eae-456b-90f1-fc78c5fe8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498f89d-1eae-456b-90f1-fc78c5fe8b2a" xsi:nil="true"/>
    <lcf76f155ced4ddcb4097134ff3c332f xmlns="ac66711c-8613-4dde-a928-6bd510ab7da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54ED53-EB4B-49A4-AD2E-696576FC5B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8f89d-1eae-456b-90f1-fc78c5fe8b2a"/>
    <ds:schemaRef ds:uri="ac66711c-8613-4dde-a928-6bd510ab7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10993F-C032-4EB5-B966-AAD7DBE5B118}">
  <ds:schemaRefs>
    <ds:schemaRef ds:uri="http://schemas.microsoft.com/office/2006/metadata/properties"/>
    <ds:schemaRef ds:uri="http://schemas.microsoft.com/office/infopath/2007/PartnerControls"/>
    <ds:schemaRef ds:uri="4498f89d-1eae-456b-90f1-fc78c5fe8b2a"/>
    <ds:schemaRef ds:uri="ac66711c-8613-4dde-a928-6bd510ab7da4"/>
  </ds:schemaRefs>
</ds:datastoreItem>
</file>

<file path=customXml/itemProps3.xml><?xml version="1.0" encoding="utf-8"?>
<ds:datastoreItem xmlns:ds="http://schemas.openxmlformats.org/officeDocument/2006/customXml" ds:itemID="{3D016665-7C5A-3347-B9F9-71760F4CFFCD}">
  <ds:schemaRefs>
    <ds:schemaRef ds:uri="http://schemas.openxmlformats.org/officeDocument/2006/bibliography"/>
  </ds:schemaRefs>
</ds:datastoreItem>
</file>

<file path=customXml/itemProps4.xml><?xml version="1.0" encoding="utf-8"?>
<ds:datastoreItem xmlns:ds="http://schemas.openxmlformats.org/officeDocument/2006/customXml" ds:itemID="{10E1C3D3-2B3A-4E54-8A75-513EA6A431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26</Pages>
  <Words>6999</Words>
  <Characters>39898</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Manager/>
  <Company>Australian Commission on Safety and Quality in Health Care</Company>
  <LinksUpToDate>false</LinksUpToDate>
  <CharactersWithSpaces>46804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ADAMS, Kass</cp:lastModifiedBy>
  <cp:revision>7</cp:revision>
  <cp:lastPrinted>2020-03-04T03:32:00Z</cp:lastPrinted>
  <dcterms:created xsi:type="dcterms:W3CDTF">2024-08-25T21:25:00Z</dcterms:created>
  <dcterms:modified xsi:type="dcterms:W3CDTF">2024-08-26T02:32:00Z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0x01010028743DCC77DB274DB22D4DDF53FCBF5F</vt:lpwstr>
  </property>
  <property fmtid="{D5CDD505-2E9C-101B-9397-08002B2CF9AE}" pid="3" name="MediaServiceImageTags">
    <vt:lpwstr/>
  </property>
</Properties>
</file>