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535035718"/>
        <w:docPartObj>
          <w:docPartGallery w:val="Cover Pages"/>
          <w:docPartUnique/>
        </w:docPartObj>
      </w:sdtPr>
      <w:sdtEndPr/>
      <w:sdtContent>
        <w:p w14:paraId="29C68001" w14:textId="2B726A45" w:rsidR="0072334C" w:rsidRDefault="00830A7A">
          <w:pPr>
            <w:rPr>
              <w:lang w:val="en-GB"/>
            </w:rPr>
          </w:pPr>
          <w:r>
            <w:rPr>
              <w:noProof/>
              <w:lang w:val="en-GB"/>
            </w:rPr>
            <w:drawing>
              <wp:anchor distT="0" distB="360045" distL="114300" distR="114300" simplePos="0" relativeHeight="251687936" behindDoc="0" locked="1" layoutInCell="1" allowOverlap="1" wp14:anchorId="2B311265" wp14:editId="154371DB">
                <wp:simplePos x="0" y="0"/>
                <wp:positionH relativeFrom="page">
                  <wp:posOffset>647700</wp:posOffset>
                </wp:positionH>
                <wp:positionV relativeFrom="page">
                  <wp:posOffset>647700</wp:posOffset>
                </wp:positionV>
                <wp:extent cx="1781810" cy="615315"/>
                <wp:effectExtent l="0" t="0" r="8890" b="0"/>
                <wp:wrapTopAndBottom/>
                <wp:docPr id="716367196"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13218" name="Picture 21"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810" cy="615315"/>
                        </a:xfrm>
                        <a:prstGeom prst="rect">
                          <a:avLst/>
                        </a:prstGeom>
                      </pic:spPr>
                    </pic:pic>
                  </a:graphicData>
                </a:graphic>
                <wp14:sizeRelH relativeFrom="margin">
                  <wp14:pctWidth>0</wp14:pctWidth>
                </wp14:sizeRelH>
                <wp14:sizeRelV relativeFrom="margin">
                  <wp14:pctHeight>0</wp14:pctHeight>
                </wp14:sizeRelV>
              </wp:anchor>
            </w:drawing>
          </w:r>
          <w:r w:rsidR="0072334C">
            <w:rPr>
              <w:noProof/>
              <w:lang w:val="en-GB"/>
            </w:rPr>
            <w:drawing>
              <wp:anchor distT="0" distB="0" distL="114300" distR="114300" simplePos="0" relativeHeight="251684864" behindDoc="1" locked="1" layoutInCell="1" allowOverlap="1" wp14:anchorId="36692F17" wp14:editId="24E031CB">
                <wp:simplePos x="859809" y="1705970"/>
                <wp:positionH relativeFrom="page">
                  <wp:align>left</wp:align>
                </wp:positionH>
                <wp:positionV relativeFrom="page">
                  <wp:align>top</wp:align>
                </wp:positionV>
                <wp:extent cx="7559675" cy="10693400"/>
                <wp:effectExtent l="0" t="0" r="3175" b="0"/>
                <wp:wrapNone/>
                <wp:docPr id="3096791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9144"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p>
        <w:p w14:paraId="3F2963E1" w14:textId="0895DA3E" w:rsidR="0072334C" w:rsidRDefault="007122A4" w:rsidP="00062BA3">
          <w:pPr>
            <w:pStyle w:val="Date"/>
            <w:framePr w:wrap="around"/>
            <w:rPr>
              <w:lang w:val="en-GB"/>
            </w:rPr>
          </w:pPr>
          <w:sdt>
            <w:sdtPr>
              <w:rPr>
                <w:lang w:val="en-GB"/>
              </w:rPr>
              <w:id w:val="2064452849"/>
              <w:placeholder>
                <w:docPart w:val="5E02C12D3F6F4721BFEAB7745CF07FAB"/>
              </w:placeholder>
              <w:date w:fullDate="2025-08-08T00:00:00Z">
                <w:dateFormat w:val="MMMM yyyy"/>
                <w:lid w:val="en-AU"/>
                <w:storeMappedDataAs w:val="dateTime"/>
                <w:calendar w:val="gregorian"/>
              </w:date>
            </w:sdtPr>
            <w:sdtEndPr/>
            <w:sdtContent>
              <w:r w:rsidR="00830A7A">
                <w:t>August 2025</w:t>
              </w:r>
            </w:sdtContent>
          </w:sdt>
          <w:r w:rsidR="0072334C">
            <w:rPr>
              <w:lang w:val="en-GB"/>
            </w:rPr>
            <w:t xml:space="preserve"> </w:t>
          </w:r>
          <w:r w:rsidR="0072334C">
            <w:rPr>
              <w:lang w:val="en-GB"/>
            </w:rPr>
            <w:tab/>
            <w:t>s</w:t>
          </w:r>
          <w:r w:rsidR="0072334C" w:rsidRPr="00896871">
            <w:rPr>
              <w:lang w:val="en-GB"/>
            </w:rPr>
            <w:t>afetyandquality.gov.au</w:t>
          </w:r>
        </w:p>
        <w:sdt>
          <w:sdtPr>
            <w:rPr>
              <w:color w:val="auto"/>
            </w:rPr>
            <w:id w:val="-919949614"/>
            <w:placeholder>
              <w:docPart w:val="36ED59BEF5824425B17A99743835A76C"/>
            </w:placeholder>
          </w:sdtPr>
          <w:sdtEndPr/>
          <w:sdtContent>
            <w:p w14:paraId="31E98D73" w14:textId="1468E47F" w:rsidR="0072334C" w:rsidRPr="00265B44" w:rsidRDefault="00F1559B" w:rsidP="004525FC">
              <w:pPr>
                <w:pStyle w:val="Title"/>
                <w:framePr w:wrap="around" w:x="1033" w:y="4815"/>
                <w:rPr>
                  <w:color w:val="auto"/>
                </w:rPr>
              </w:pPr>
              <w:r w:rsidRPr="00265B44">
                <w:rPr>
                  <w:i/>
                  <w:iCs/>
                  <w:color w:val="auto"/>
                </w:rPr>
                <w:t>Clostridioides difficile</w:t>
              </w:r>
              <w:r w:rsidRPr="00265B44">
                <w:rPr>
                  <w:color w:val="auto"/>
                </w:rPr>
                <w:t xml:space="preserve"> infection</w:t>
              </w:r>
            </w:p>
          </w:sdtContent>
        </w:sdt>
        <w:sdt>
          <w:sdtPr>
            <w:rPr>
              <w:color w:val="auto"/>
            </w:rPr>
            <w:id w:val="-1419550553"/>
            <w:placeholder>
              <w:docPart w:val="2859766189AB41A8A7D205A2B151B380"/>
            </w:placeholder>
          </w:sdtPr>
          <w:sdtEndPr/>
          <w:sdtContent>
            <w:p w14:paraId="67E43F07" w14:textId="4F12B8BC" w:rsidR="0072334C" w:rsidRPr="00265B44" w:rsidRDefault="00F1559B" w:rsidP="004525FC">
              <w:pPr>
                <w:pStyle w:val="Subtitle"/>
                <w:framePr w:wrap="around" w:x="1033" w:y="4815"/>
                <w:rPr>
                  <w:color w:val="auto"/>
                </w:rPr>
              </w:pPr>
              <w:r w:rsidRPr="00265B44">
                <w:rPr>
                  <w:color w:val="auto"/>
                </w:rPr>
                <w:t>Data snapshot report 2022-23</w:t>
              </w:r>
            </w:p>
          </w:sdtContent>
        </w:sdt>
        <w:p w14:paraId="3A52EFF9" w14:textId="77777777" w:rsidR="0072334C" w:rsidRDefault="0072334C">
          <w:pPr>
            <w:rPr>
              <w:lang w:val="en-GB"/>
            </w:rPr>
          </w:pPr>
        </w:p>
        <w:p w14:paraId="1ACCE3AC" w14:textId="77777777" w:rsidR="0072334C" w:rsidRDefault="0072334C">
          <w:pPr>
            <w:rPr>
              <w:lang w:val="en-GB"/>
            </w:rPr>
          </w:pPr>
          <w:r>
            <w:rPr>
              <w:lang w:val="en-GB"/>
            </w:rPr>
            <w:br w:type="page"/>
          </w:r>
        </w:p>
      </w:sdtContent>
    </w:sdt>
    <w:p w14:paraId="41470A83" w14:textId="77777777" w:rsidR="007F1006" w:rsidRPr="007F1006" w:rsidRDefault="007F1006" w:rsidP="007F1006">
      <w:pPr>
        <w:rPr>
          <w:lang w:val="en-GB"/>
        </w:rPr>
      </w:pPr>
      <w:r w:rsidRPr="007F1006">
        <w:rPr>
          <w:lang w:val="en-GB"/>
        </w:rPr>
        <w:lastRenderedPageBreak/>
        <w:t>Published by the Australian Commission on Safety and Quality in Health Care</w:t>
      </w:r>
    </w:p>
    <w:p w14:paraId="5D6B12F0" w14:textId="77777777" w:rsidR="007F1006" w:rsidRPr="007F1006" w:rsidRDefault="007F1006" w:rsidP="003A5810">
      <w:pPr>
        <w:pStyle w:val="NoSpacing"/>
        <w:rPr>
          <w:lang w:val="en-GB"/>
        </w:rPr>
      </w:pPr>
      <w:r w:rsidRPr="007F1006">
        <w:rPr>
          <w:lang w:val="en-GB"/>
        </w:rPr>
        <w:t>Level 5, 255 Elizabeth Street, Sydney NSW 2000</w:t>
      </w:r>
    </w:p>
    <w:p w14:paraId="6FC268BC" w14:textId="77777777" w:rsidR="007F1006" w:rsidRPr="007F1006" w:rsidRDefault="007F1006" w:rsidP="003A5810">
      <w:pPr>
        <w:pStyle w:val="NoSpacing"/>
        <w:rPr>
          <w:lang w:val="en-GB"/>
        </w:rPr>
      </w:pPr>
      <w:r w:rsidRPr="007F1006">
        <w:rPr>
          <w:lang w:val="en-GB"/>
        </w:rPr>
        <w:t xml:space="preserve">Phone: (02) 9126 3600 </w:t>
      </w:r>
    </w:p>
    <w:p w14:paraId="1038F58D" w14:textId="77777777" w:rsidR="007F1006" w:rsidRPr="007F1006" w:rsidRDefault="007F1006" w:rsidP="003A5810">
      <w:pPr>
        <w:pStyle w:val="NoSpacing"/>
        <w:rPr>
          <w:lang w:val="en-GB"/>
        </w:rPr>
      </w:pPr>
      <w:r w:rsidRPr="007F1006">
        <w:rPr>
          <w:lang w:val="en-GB"/>
        </w:rPr>
        <w:t xml:space="preserve">Email: </w:t>
      </w:r>
      <w:hyperlink r:id="rId10" w:history="1">
        <w:r w:rsidRPr="007F1006">
          <w:rPr>
            <w:rStyle w:val="Hyperlink"/>
            <w:lang w:val="en-GB"/>
          </w:rPr>
          <w:t>mail@safetyandquality.gov.au</w:t>
        </w:r>
      </w:hyperlink>
      <w:r w:rsidRPr="007F1006">
        <w:rPr>
          <w:lang w:val="en-GB"/>
        </w:rPr>
        <w:t xml:space="preserve"> </w:t>
      </w:r>
    </w:p>
    <w:p w14:paraId="7430E26F" w14:textId="77777777" w:rsidR="007F1006" w:rsidRDefault="007F1006" w:rsidP="003A5810">
      <w:pPr>
        <w:pStyle w:val="NoSpacing"/>
        <w:rPr>
          <w:lang w:val="en-GB"/>
        </w:rPr>
      </w:pPr>
      <w:r w:rsidRPr="007F1006">
        <w:rPr>
          <w:lang w:val="en-GB"/>
        </w:rPr>
        <w:t xml:space="preserve">Website: </w:t>
      </w:r>
      <w:hyperlink r:id="rId11" w:history="1">
        <w:r w:rsidRPr="007F1006">
          <w:rPr>
            <w:rStyle w:val="Hyperlink"/>
            <w:lang w:val="en-GB"/>
          </w:rPr>
          <w:t>safetyandquality.gov.au</w:t>
        </w:r>
      </w:hyperlink>
    </w:p>
    <w:p w14:paraId="126BAFB8" w14:textId="54E4D0AE" w:rsidR="007F1006" w:rsidRPr="007F1006" w:rsidRDefault="007F1006" w:rsidP="00175024">
      <w:pPr>
        <w:rPr>
          <w:lang w:val="en-GB"/>
        </w:rPr>
      </w:pPr>
      <w:r w:rsidRPr="007F1006">
        <w:rPr>
          <w:lang w:val="en-GB"/>
        </w:rPr>
        <w:t xml:space="preserve">ISBN: </w:t>
      </w:r>
      <w:r w:rsidR="00F1559B" w:rsidRPr="00DA3961">
        <w:t>978-1-923353-02-2</w:t>
      </w:r>
    </w:p>
    <w:p w14:paraId="4840CED4" w14:textId="3CE05624" w:rsidR="007F1006" w:rsidRPr="007F1006" w:rsidRDefault="007F1006" w:rsidP="007F1006">
      <w:pPr>
        <w:rPr>
          <w:lang w:val="en-GB"/>
        </w:rPr>
      </w:pPr>
      <w:r w:rsidRPr="007F1006">
        <w:rPr>
          <w:lang w:val="en-GB"/>
        </w:rPr>
        <w:t xml:space="preserve">© Australian Commission on Safety and Quality in Health Care </w:t>
      </w:r>
      <w:r w:rsidRPr="00F1559B">
        <w:rPr>
          <w:lang w:val="en-GB"/>
        </w:rPr>
        <w:t>20</w:t>
      </w:r>
      <w:r w:rsidR="00F1559B" w:rsidRPr="00F1559B">
        <w:rPr>
          <w:lang w:val="en-GB"/>
        </w:rPr>
        <w:t>25</w:t>
      </w:r>
    </w:p>
    <w:p w14:paraId="794B8290" w14:textId="77777777" w:rsidR="007F1006" w:rsidRPr="007F1006" w:rsidRDefault="007F1006" w:rsidP="007F1006">
      <w:pPr>
        <w:rPr>
          <w:lang w:val="en-GB"/>
        </w:rPr>
      </w:pPr>
      <w:r w:rsidRPr="007F1006">
        <w:rPr>
          <w:lang w:val="en-GB"/>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60DCCF90" w14:textId="77777777" w:rsidR="007F1006" w:rsidRPr="007F1006" w:rsidRDefault="007F1006" w:rsidP="007F1006">
      <w:pPr>
        <w:rPr>
          <w:lang w:val="en-GB"/>
        </w:rPr>
      </w:pPr>
      <w:r w:rsidRPr="007F1006">
        <w:rPr>
          <w:lang w:val="en-GB"/>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1213ADE4" w14:textId="77777777" w:rsidR="007F1006" w:rsidRPr="007F1006" w:rsidRDefault="007F1006" w:rsidP="007F1006">
      <w:pPr>
        <w:rPr>
          <w:lang w:val="en-GB"/>
        </w:rPr>
      </w:pPr>
      <w:r w:rsidRPr="00C263F4">
        <w:rPr>
          <w:spacing w:val="-2"/>
          <w:lang w:val="en-GB"/>
        </w:rPr>
        <w:t>With the exception of any material protected by a trademark, any content provided by third parties and where otherwise noted, all material presented in this publication is licensed under a</w:t>
      </w:r>
      <w:r w:rsidRPr="007F1006">
        <w:rPr>
          <w:lang w:val="en-GB"/>
        </w:rPr>
        <w:t xml:space="preserve"> </w:t>
      </w:r>
      <w:r w:rsidRPr="007F1006">
        <w:rPr>
          <w:lang w:val="en-GB"/>
        </w:rPr>
        <w:br/>
      </w:r>
      <w:hyperlink r:id="rId12" w:history="1">
        <w:r w:rsidRPr="007F1006">
          <w:rPr>
            <w:rStyle w:val="Hyperlink"/>
            <w:lang w:val="en-GB"/>
          </w:rPr>
          <w:t>Creative Commons Attribution-NonCommercial-NoDerivatives 4.0 International licence</w:t>
        </w:r>
      </w:hyperlink>
      <w:r w:rsidRPr="007F1006">
        <w:rPr>
          <w:lang w:val="en-GB"/>
        </w:rPr>
        <w:t>.</w:t>
      </w:r>
    </w:p>
    <w:p w14:paraId="1802D0DB" w14:textId="77777777" w:rsidR="007F1006" w:rsidRPr="007F1006" w:rsidRDefault="007F1006" w:rsidP="007F1006">
      <w:pPr>
        <w:rPr>
          <w:b/>
          <w:bCs/>
          <w:u w:val="thick"/>
          <w:lang w:val="en-GB"/>
        </w:rPr>
      </w:pPr>
      <w:r>
        <w:rPr>
          <w:b/>
          <w:bCs/>
          <w:noProof/>
          <w:u w:val="thick"/>
          <w:lang w:val="en-GB"/>
        </w:rPr>
        <w:drawing>
          <wp:inline distT="0" distB="0" distL="0" distR="0" wp14:anchorId="1792C3A2" wp14:editId="78295289">
            <wp:extent cx="576073" cy="201168"/>
            <wp:effectExtent l="0" t="0" r="0" b="8890"/>
            <wp:docPr id="142603590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5908" name="Picture 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3" cy="201168"/>
                    </a:xfrm>
                    <a:prstGeom prst="rect">
                      <a:avLst/>
                    </a:prstGeom>
                  </pic:spPr>
                </pic:pic>
              </a:graphicData>
            </a:graphic>
          </wp:inline>
        </w:drawing>
      </w:r>
    </w:p>
    <w:p w14:paraId="3F1330E8" w14:textId="77777777" w:rsidR="007F1006" w:rsidRPr="00C15DB5" w:rsidRDefault="005B6306" w:rsidP="007F1006">
      <w:pPr>
        <w:rPr>
          <w:color w:val="EE0000"/>
          <w:lang w:val="en-GB"/>
        </w:rPr>
      </w:pPr>
      <w:r>
        <w:rPr>
          <w:color w:val="auto"/>
          <w:lang w:val="en-GB"/>
        </w:rPr>
        <w:t xml:space="preserve">If you would like to reproduce all or part of this resource, please complete our online </w:t>
      </w:r>
      <w:r w:rsidR="00F919B9">
        <w:rPr>
          <w:color w:val="auto"/>
          <w:lang w:val="en-GB"/>
        </w:rPr>
        <w:t xml:space="preserve">form </w:t>
      </w:r>
      <w:r w:rsidR="000A6E98" w:rsidRPr="000A6E98">
        <w:rPr>
          <w:color w:val="auto"/>
          <w:lang w:val="en-GB"/>
        </w:rPr>
        <w:t xml:space="preserve">at </w:t>
      </w:r>
      <w:hyperlink r:id="rId14" w:history="1">
        <w:r w:rsidR="000A6E98" w:rsidRPr="000A6E98">
          <w:rPr>
            <w:rStyle w:val="Hyperlink"/>
            <w:lang w:val="en-GB"/>
          </w:rPr>
          <w:t>safetyandquality.gov.au/permission-request</w:t>
        </w:r>
      </w:hyperlink>
      <w:r w:rsidR="000A6E98" w:rsidRPr="000A6E98">
        <w:rPr>
          <w:color w:val="auto"/>
          <w:lang w:val="en-GB"/>
        </w:rPr>
        <w:t>.</w:t>
      </w:r>
    </w:p>
    <w:p w14:paraId="5E481BD5" w14:textId="77777777" w:rsidR="007F1006" w:rsidRPr="007F1006" w:rsidRDefault="007F1006" w:rsidP="007F1006">
      <w:pPr>
        <w:rPr>
          <w:lang w:val="en-GB"/>
        </w:rPr>
      </w:pPr>
      <w:r w:rsidRPr="007F1006">
        <w:rPr>
          <w:lang w:val="en-GB"/>
        </w:rPr>
        <w:t>The Commission’s preference is that you attribute this publication (and any material sourced from it) using the following citation:</w:t>
      </w:r>
    </w:p>
    <w:p w14:paraId="1CCC13E8" w14:textId="77777777" w:rsidR="00F1559B" w:rsidRPr="00F1559B" w:rsidRDefault="00F1559B" w:rsidP="00F1559B">
      <w:pPr>
        <w:widowControl w:val="0"/>
        <w:autoSpaceDE w:val="0"/>
        <w:autoSpaceDN w:val="0"/>
        <w:spacing w:before="192" w:after="0" w:line="240" w:lineRule="auto"/>
        <w:ind w:right="-1"/>
        <w:rPr>
          <w:rFonts w:ascii="Arial" w:eastAsia="Arial" w:hAnsi="Arial" w:cs="Arial"/>
          <w:color w:val="auto"/>
          <w:lang w:val="en-US"/>
        </w:rPr>
      </w:pPr>
      <w:r w:rsidRPr="00F1559B">
        <w:rPr>
          <w:rFonts w:ascii="Arial" w:eastAsia="Arial" w:hAnsi="Arial" w:cs="Arial"/>
          <w:color w:val="auto"/>
          <w:lang w:val="en-US"/>
        </w:rPr>
        <w:t>Australian</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Commission</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on</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Safety</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and</w:t>
      </w:r>
      <w:r w:rsidRPr="00F1559B">
        <w:rPr>
          <w:rFonts w:ascii="Arial" w:eastAsia="Arial" w:hAnsi="Arial" w:cs="Arial"/>
          <w:color w:val="auto"/>
          <w:spacing w:val="-5"/>
          <w:lang w:val="en-US"/>
        </w:rPr>
        <w:t xml:space="preserve"> </w:t>
      </w:r>
      <w:r w:rsidRPr="00F1559B">
        <w:rPr>
          <w:rFonts w:ascii="Arial" w:eastAsia="Arial" w:hAnsi="Arial" w:cs="Arial"/>
          <w:color w:val="auto"/>
          <w:lang w:val="en-US"/>
        </w:rPr>
        <w:t>Quality</w:t>
      </w:r>
      <w:r w:rsidRPr="00F1559B">
        <w:rPr>
          <w:rFonts w:ascii="Arial" w:eastAsia="Arial" w:hAnsi="Arial" w:cs="Arial"/>
          <w:color w:val="auto"/>
          <w:spacing w:val="-5"/>
          <w:lang w:val="en-US"/>
        </w:rPr>
        <w:t xml:space="preserve"> </w:t>
      </w:r>
      <w:r w:rsidRPr="00F1559B">
        <w:rPr>
          <w:rFonts w:ascii="Arial" w:eastAsia="Arial" w:hAnsi="Arial" w:cs="Arial"/>
          <w:color w:val="auto"/>
          <w:lang w:val="en-US"/>
        </w:rPr>
        <w:t>in</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Health</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Care.</w:t>
      </w:r>
      <w:r w:rsidRPr="00F1559B">
        <w:rPr>
          <w:rFonts w:ascii="Arial" w:eastAsia="Arial" w:hAnsi="Arial" w:cs="Arial"/>
          <w:color w:val="auto"/>
          <w:spacing w:val="40"/>
          <w:lang w:val="en-US"/>
        </w:rPr>
        <w:t xml:space="preserve"> </w:t>
      </w:r>
      <w:r w:rsidRPr="00F1559B">
        <w:rPr>
          <w:rFonts w:ascii="Arial" w:eastAsia="Arial" w:hAnsi="Arial" w:cs="Arial"/>
          <w:i/>
          <w:color w:val="auto"/>
          <w:lang w:val="en-US"/>
        </w:rPr>
        <w:t>Clostridioides</w:t>
      </w:r>
      <w:r w:rsidRPr="00F1559B">
        <w:rPr>
          <w:rFonts w:ascii="Arial" w:eastAsia="Arial" w:hAnsi="Arial" w:cs="Arial"/>
          <w:i/>
          <w:color w:val="auto"/>
          <w:spacing w:val="-2"/>
          <w:lang w:val="en-US"/>
        </w:rPr>
        <w:t xml:space="preserve"> </w:t>
      </w:r>
      <w:r w:rsidRPr="00F1559B">
        <w:rPr>
          <w:rFonts w:ascii="Arial" w:eastAsia="Arial" w:hAnsi="Arial" w:cs="Arial"/>
          <w:i/>
          <w:color w:val="auto"/>
          <w:lang w:val="en-US"/>
        </w:rPr>
        <w:t>difficile</w:t>
      </w:r>
      <w:r w:rsidRPr="00F1559B">
        <w:rPr>
          <w:rFonts w:ascii="Arial" w:eastAsia="Arial" w:hAnsi="Arial" w:cs="Arial"/>
          <w:i/>
          <w:color w:val="auto"/>
          <w:spacing w:val="-2"/>
          <w:lang w:val="en-US"/>
        </w:rPr>
        <w:t xml:space="preserve"> </w:t>
      </w:r>
      <w:r w:rsidRPr="00F1559B">
        <w:rPr>
          <w:rFonts w:ascii="Arial" w:eastAsia="Arial" w:hAnsi="Arial" w:cs="Arial"/>
          <w:color w:val="auto"/>
          <w:lang w:val="en-US"/>
        </w:rPr>
        <w:t>infection: Data snapshot report 2022</w:t>
      </w:r>
      <w:r w:rsidRPr="00F1559B">
        <w:rPr>
          <w:rFonts w:ascii="Arial" w:eastAsia="Arial" w:hAnsi="Arial" w:cs="Arial"/>
          <w:color w:val="auto"/>
          <w:lang w:val="en-GB"/>
        </w:rPr>
        <w:t>–</w:t>
      </w:r>
      <w:r w:rsidRPr="00F1559B">
        <w:rPr>
          <w:rFonts w:ascii="Arial" w:eastAsia="Arial" w:hAnsi="Arial" w:cs="Arial"/>
          <w:color w:val="auto"/>
          <w:lang w:val="en-US"/>
        </w:rPr>
        <w:t>2023. Sydney: ACSQHC; 2025</w:t>
      </w:r>
    </w:p>
    <w:p w14:paraId="074B3835" w14:textId="77777777" w:rsidR="007F1006" w:rsidRPr="007F1006" w:rsidRDefault="007F1006" w:rsidP="007F1006">
      <w:pPr>
        <w:rPr>
          <w:b/>
          <w:bCs/>
          <w:lang w:val="en-GB"/>
        </w:rPr>
      </w:pPr>
      <w:r w:rsidRPr="007F1006">
        <w:rPr>
          <w:b/>
          <w:bCs/>
          <w:lang w:val="en-GB"/>
        </w:rPr>
        <w:t>Disclaimer</w:t>
      </w:r>
    </w:p>
    <w:p w14:paraId="6BB80F4F" w14:textId="77777777" w:rsidR="007F1006" w:rsidRPr="007F1006" w:rsidRDefault="007F1006" w:rsidP="007F1006">
      <w:pPr>
        <w:rPr>
          <w:lang w:val="en-GB"/>
        </w:rPr>
      </w:pPr>
      <w:r w:rsidRPr="007F1006">
        <w:rPr>
          <w:lang w:val="en-GB"/>
        </w:rPr>
        <w:t xml:space="preserve">The content of this document is published in good faith by the Commission for information purposes. The document is not intended to provide guidance on particular healthcare choices. You should contact your health care provider for information or advice on particular healthcare choices. </w:t>
      </w:r>
    </w:p>
    <w:p w14:paraId="0F304389" w14:textId="77777777" w:rsidR="007F1006" w:rsidRDefault="007F1006" w:rsidP="00444B74">
      <w:r w:rsidRPr="007F1006">
        <w:rPr>
          <w:lang w:val="en-GB"/>
        </w:rPr>
        <w:t>The Commission does not accept any legal liability for any injury, loss or damage incurred by the use of, or reliance on, this document.</w:t>
      </w:r>
      <w:r w:rsidR="00216854">
        <w:rPr>
          <w:lang w:val="en-GB"/>
        </w:rPr>
        <w:t xml:space="preserve"> </w:t>
      </w:r>
    </w:p>
    <w:p w14:paraId="499B9FBB" w14:textId="77777777" w:rsidR="007F1006" w:rsidRDefault="007F1006" w:rsidP="00444B74">
      <w:pPr>
        <w:sectPr w:rsidR="007F1006" w:rsidSect="00EF7E9B">
          <w:footerReference w:type="default" r:id="rId15"/>
          <w:pgSz w:w="11906" w:h="16838" w:code="9"/>
          <w:pgMar w:top="1361" w:right="1361" w:bottom="1361" w:left="1361" w:header="567" w:footer="567" w:gutter="0"/>
          <w:cols w:space="708"/>
          <w:vAlign w:val="bottom"/>
          <w:titlePg/>
          <w:docGrid w:linePitch="360"/>
        </w:sectPr>
      </w:pPr>
    </w:p>
    <w:sdt>
      <w:sdtPr>
        <w:rPr>
          <w:rFonts w:asciiTheme="minorHAnsi" w:eastAsiaTheme="minorHAnsi" w:hAnsiTheme="minorHAnsi" w:cs="Times New Roman"/>
          <w:bCs w:val="0"/>
          <w:sz w:val="20"/>
          <w:szCs w:val="20"/>
        </w:rPr>
        <w:id w:val="-1516530368"/>
        <w:docPartObj>
          <w:docPartGallery w:val="Table of Contents"/>
          <w:docPartUnique/>
        </w:docPartObj>
      </w:sdtPr>
      <w:sdtEndPr>
        <w:rPr>
          <w:b/>
          <w:noProof/>
          <w:sz w:val="22"/>
          <w:szCs w:val="22"/>
        </w:rPr>
      </w:sdtEndPr>
      <w:sdtContent>
        <w:p w14:paraId="724BB547" w14:textId="77777777" w:rsidR="00444B74" w:rsidRDefault="00444B74">
          <w:pPr>
            <w:pStyle w:val="TOCHeading"/>
          </w:pPr>
          <w:r>
            <w:t>Contents</w:t>
          </w:r>
        </w:p>
        <w:p w14:paraId="7274462E" w14:textId="1E6DAE02" w:rsidR="00EF763F" w:rsidRDefault="005F36C3">
          <w:pPr>
            <w:pStyle w:val="TOC1"/>
            <w:rPr>
              <w:rFonts w:eastAsiaTheme="minorEastAsia" w:cstheme="minorBidi"/>
              <w:b w:val="0"/>
              <w:noProof/>
              <w:color w:val="auto"/>
              <w:kern w:val="2"/>
              <w:sz w:val="24"/>
              <w:szCs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205909356" w:history="1">
            <w:r w:rsidR="00EF763F" w:rsidRPr="003F2809">
              <w:rPr>
                <w:rStyle w:val="Hyperlink"/>
                <w:noProof/>
              </w:rPr>
              <w:t>Summary</w:t>
            </w:r>
            <w:r w:rsidR="00EF763F">
              <w:rPr>
                <w:noProof/>
                <w:webHidden/>
              </w:rPr>
              <w:tab/>
            </w:r>
            <w:r w:rsidR="00EF763F">
              <w:rPr>
                <w:noProof/>
                <w:webHidden/>
              </w:rPr>
              <w:fldChar w:fldCharType="begin"/>
            </w:r>
            <w:r w:rsidR="00EF763F">
              <w:rPr>
                <w:noProof/>
                <w:webHidden/>
              </w:rPr>
              <w:instrText xml:space="preserve"> PAGEREF _Toc205909356 \h </w:instrText>
            </w:r>
            <w:r w:rsidR="00EF763F">
              <w:rPr>
                <w:noProof/>
                <w:webHidden/>
              </w:rPr>
            </w:r>
            <w:r w:rsidR="00EF763F">
              <w:rPr>
                <w:noProof/>
                <w:webHidden/>
              </w:rPr>
              <w:fldChar w:fldCharType="separate"/>
            </w:r>
            <w:r w:rsidR="00EF763F">
              <w:rPr>
                <w:noProof/>
                <w:webHidden/>
              </w:rPr>
              <w:t>4</w:t>
            </w:r>
            <w:r w:rsidR="00EF763F">
              <w:rPr>
                <w:noProof/>
                <w:webHidden/>
              </w:rPr>
              <w:fldChar w:fldCharType="end"/>
            </w:r>
          </w:hyperlink>
        </w:p>
        <w:p w14:paraId="71B5420D" w14:textId="10AB492A" w:rsidR="00EF763F" w:rsidRDefault="00EF763F">
          <w:pPr>
            <w:pStyle w:val="TOC2"/>
            <w:rPr>
              <w:rFonts w:eastAsiaTheme="minorEastAsia" w:cstheme="minorBidi"/>
              <w:color w:val="auto"/>
              <w:kern w:val="2"/>
              <w:sz w:val="24"/>
              <w:szCs w:val="24"/>
              <w:lang w:eastAsia="en-AU"/>
              <w14:ligatures w14:val="standardContextual"/>
            </w:rPr>
          </w:pPr>
          <w:hyperlink w:anchor="_Toc205909357" w:history="1">
            <w:r w:rsidRPr="003F2809">
              <w:rPr>
                <w:rStyle w:val="Hyperlink"/>
              </w:rPr>
              <w:t>Key findings</w:t>
            </w:r>
            <w:r>
              <w:rPr>
                <w:webHidden/>
              </w:rPr>
              <w:tab/>
            </w:r>
            <w:r>
              <w:rPr>
                <w:webHidden/>
              </w:rPr>
              <w:fldChar w:fldCharType="begin"/>
            </w:r>
            <w:r>
              <w:rPr>
                <w:webHidden/>
              </w:rPr>
              <w:instrText xml:space="preserve"> PAGEREF _Toc205909357 \h </w:instrText>
            </w:r>
            <w:r>
              <w:rPr>
                <w:webHidden/>
              </w:rPr>
            </w:r>
            <w:r>
              <w:rPr>
                <w:webHidden/>
              </w:rPr>
              <w:fldChar w:fldCharType="separate"/>
            </w:r>
            <w:r>
              <w:rPr>
                <w:webHidden/>
              </w:rPr>
              <w:t>4</w:t>
            </w:r>
            <w:r>
              <w:rPr>
                <w:webHidden/>
              </w:rPr>
              <w:fldChar w:fldCharType="end"/>
            </w:r>
          </w:hyperlink>
        </w:p>
        <w:p w14:paraId="51B3E9ED" w14:textId="44DF9813" w:rsidR="00EF763F" w:rsidRDefault="00EF763F">
          <w:pPr>
            <w:pStyle w:val="TOC1"/>
            <w:rPr>
              <w:rFonts w:eastAsiaTheme="minorEastAsia" w:cstheme="minorBidi"/>
              <w:b w:val="0"/>
              <w:noProof/>
              <w:color w:val="auto"/>
              <w:kern w:val="2"/>
              <w:sz w:val="24"/>
              <w:szCs w:val="24"/>
              <w:lang w:eastAsia="en-AU"/>
              <w14:ligatures w14:val="standardContextual"/>
            </w:rPr>
          </w:pPr>
          <w:hyperlink w:anchor="_Toc205909358" w:history="1">
            <w:r w:rsidRPr="003F2809">
              <w:rPr>
                <w:rStyle w:val="Hyperlink"/>
                <w:noProof/>
              </w:rPr>
              <w:t>Introduction</w:t>
            </w:r>
            <w:r>
              <w:rPr>
                <w:noProof/>
                <w:webHidden/>
              </w:rPr>
              <w:tab/>
            </w:r>
            <w:r>
              <w:rPr>
                <w:noProof/>
                <w:webHidden/>
              </w:rPr>
              <w:fldChar w:fldCharType="begin"/>
            </w:r>
            <w:r>
              <w:rPr>
                <w:noProof/>
                <w:webHidden/>
              </w:rPr>
              <w:instrText xml:space="preserve"> PAGEREF _Toc205909358 \h </w:instrText>
            </w:r>
            <w:r>
              <w:rPr>
                <w:noProof/>
                <w:webHidden/>
              </w:rPr>
            </w:r>
            <w:r>
              <w:rPr>
                <w:noProof/>
                <w:webHidden/>
              </w:rPr>
              <w:fldChar w:fldCharType="separate"/>
            </w:r>
            <w:r>
              <w:rPr>
                <w:noProof/>
                <w:webHidden/>
              </w:rPr>
              <w:t>5</w:t>
            </w:r>
            <w:r>
              <w:rPr>
                <w:noProof/>
                <w:webHidden/>
              </w:rPr>
              <w:fldChar w:fldCharType="end"/>
            </w:r>
          </w:hyperlink>
        </w:p>
        <w:p w14:paraId="7E221704" w14:textId="50912968" w:rsidR="00EF763F" w:rsidRDefault="00EF763F">
          <w:pPr>
            <w:pStyle w:val="TOC2"/>
            <w:rPr>
              <w:rFonts w:eastAsiaTheme="minorEastAsia" w:cstheme="minorBidi"/>
              <w:color w:val="auto"/>
              <w:kern w:val="2"/>
              <w:sz w:val="24"/>
              <w:szCs w:val="24"/>
              <w:lang w:eastAsia="en-AU"/>
              <w14:ligatures w14:val="standardContextual"/>
            </w:rPr>
          </w:pPr>
          <w:hyperlink w:anchor="_Toc205909359" w:history="1">
            <w:r w:rsidRPr="003F2809">
              <w:rPr>
                <w:rStyle w:val="Hyperlink"/>
                <w:lang w:eastAsia="en-AU"/>
              </w:rPr>
              <w:t>About</w:t>
            </w:r>
            <w:r w:rsidRPr="003F2809">
              <w:rPr>
                <w:rStyle w:val="Hyperlink"/>
                <w:spacing w:val="-12"/>
                <w:lang w:eastAsia="en-AU"/>
              </w:rPr>
              <w:t xml:space="preserve"> </w:t>
            </w:r>
            <w:r w:rsidRPr="003F2809">
              <w:rPr>
                <w:rStyle w:val="Hyperlink"/>
                <w:lang w:eastAsia="en-AU"/>
              </w:rPr>
              <w:t>Clostridioides</w:t>
            </w:r>
            <w:r w:rsidRPr="003F2809">
              <w:rPr>
                <w:rStyle w:val="Hyperlink"/>
                <w:spacing w:val="-12"/>
                <w:lang w:eastAsia="en-AU"/>
              </w:rPr>
              <w:t xml:space="preserve"> </w:t>
            </w:r>
            <w:r w:rsidRPr="003F2809">
              <w:rPr>
                <w:rStyle w:val="Hyperlink"/>
                <w:spacing w:val="-2"/>
                <w:lang w:eastAsia="en-AU"/>
              </w:rPr>
              <w:t>difficile</w:t>
            </w:r>
            <w:r>
              <w:rPr>
                <w:webHidden/>
              </w:rPr>
              <w:tab/>
            </w:r>
            <w:r>
              <w:rPr>
                <w:webHidden/>
              </w:rPr>
              <w:fldChar w:fldCharType="begin"/>
            </w:r>
            <w:r>
              <w:rPr>
                <w:webHidden/>
              </w:rPr>
              <w:instrText xml:space="preserve"> PAGEREF _Toc205909359 \h </w:instrText>
            </w:r>
            <w:r>
              <w:rPr>
                <w:webHidden/>
              </w:rPr>
            </w:r>
            <w:r>
              <w:rPr>
                <w:webHidden/>
              </w:rPr>
              <w:fldChar w:fldCharType="separate"/>
            </w:r>
            <w:r>
              <w:rPr>
                <w:webHidden/>
              </w:rPr>
              <w:t>5</w:t>
            </w:r>
            <w:r>
              <w:rPr>
                <w:webHidden/>
              </w:rPr>
              <w:fldChar w:fldCharType="end"/>
            </w:r>
          </w:hyperlink>
        </w:p>
        <w:p w14:paraId="7CD9E032" w14:textId="303FB44C" w:rsidR="00EF763F" w:rsidRDefault="00EF763F">
          <w:pPr>
            <w:pStyle w:val="TOC2"/>
            <w:rPr>
              <w:rFonts w:eastAsiaTheme="minorEastAsia" w:cstheme="minorBidi"/>
              <w:color w:val="auto"/>
              <w:kern w:val="2"/>
              <w:sz w:val="24"/>
              <w:szCs w:val="24"/>
              <w:lang w:eastAsia="en-AU"/>
              <w14:ligatures w14:val="standardContextual"/>
            </w:rPr>
          </w:pPr>
          <w:hyperlink w:anchor="_Toc205909360" w:history="1">
            <w:r w:rsidRPr="003F2809">
              <w:rPr>
                <w:rStyle w:val="Hyperlink"/>
                <w:lang w:eastAsia="en-AU"/>
              </w:rPr>
              <w:t>About</w:t>
            </w:r>
            <w:r w:rsidRPr="003F2809">
              <w:rPr>
                <w:rStyle w:val="Hyperlink"/>
                <w:spacing w:val="-7"/>
                <w:lang w:eastAsia="en-AU"/>
              </w:rPr>
              <w:t xml:space="preserve"> </w:t>
            </w:r>
            <w:r w:rsidRPr="003F2809">
              <w:rPr>
                <w:rStyle w:val="Hyperlink"/>
                <w:lang w:eastAsia="en-AU"/>
              </w:rPr>
              <w:t>this</w:t>
            </w:r>
            <w:r w:rsidRPr="003F2809">
              <w:rPr>
                <w:rStyle w:val="Hyperlink"/>
                <w:spacing w:val="-6"/>
                <w:lang w:eastAsia="en-AU"/>
              </w:rPr>
              <w:t xml:space="preserve"> </w:t>
            </w:r>
            <w:r w:rsidRPr="003F2809">
              <w:rPr>
                <w:rStyle w:val="Hyperlink"/>
                <w:spacing w:val="-2"/>
                <w:lang w:eastAsia="en-AU"/>
              </w:rPr>
              <w:t>report</w:t>
            </w:r>
            <w:r>
              <w:rPr>
                <w:webHidden/>
              </w:rPr>
              <w:tab/>
            </w:r>
            <w:r>
              <w:rPr>
                <w:webHidden/>
              </w:rPr>
              <w:fldChar w:fldCharType="begin"/>
            </w:r>
            <w:r>
              <w:rPr>
                <w:webHidden/>
              </w:rPr>
              <w:instrText xml:space="preserve"> PAGEREF _Toc205909360 \h </w:instrText>
            </w:r>
            <w:r>
              <w:rPr>
                <w:webHidden/>
              </w:rPr>
            </w:r>
            <w:r>
              <w:rPr>
                <w:webHidden/>
              </w:rPr>
              <w:fldChar w:fldCharType="separate"/>
            </w:r>
            <w:r>
              <w:rPr>
                <w:webHidden/>
              </w:rPr>
              <w:t>5</w:t>
            </w:r>
            <w:r>
              <w:rPr>
                <w:webHidden/>
              </w:rPr>
              <w:fldChar w:fldCharType="end"/>
            </w:r>
          </w:hyperlink>
        </w:p>
        <w:p w14:paraId="4D7AE629" w14:textId="41F9896A" w:rsidR="00EF763F" w:rsidRDefault="00EF763F">
          <w:pPr>
            <w:pStyle w:val="TOC2"/>
            <w:rPr>
              <w:rFonts w:eastAsiaTheme="minorEastAsia" w:cstheme="minorBidi"/>
              <w:color w:val="auto"/>
              <w:kern w:val="2"/>
              <w:sz w:val="24"/>
              <w:szCs w:val="24"/>
              <w:lang w:eastAsia="en-AU"/>
              <w14:ligatures w14:val="standardContextual"/>
            </w:rPr>
          </w:pPr>
          <w:hyperlink w:anchor="_Toc205909361" w:history="1">
            <w:r w:rsidRPr="003F2809">
              <w:rPr>
                <w:rStyle w:val="Hyperlink"/>
                <w:lang w:eastAsia="en-AU"/>
              </w:rPr>
              <w:t>Method</w:t>
            </w:r>
            <w:r>
              <w:rPr>
                <w:webHidden/>
              </w:rPr>
              <w:tab/>
            </w:r>
            <w:r>
              <w:rPr>
                <w:webHidden/>
              </w:rPr>
              <w:fldChar w:fldCharType="begin"/>
            </w:r>
            <w:r>
              <w:rPr>
                <w:webHidden/>
              </w:rPr>
              <w:instrText xml:space="preserve"> PAGEREF _Toc205909361 \h </w:instrText>
            </w:r>
            <w:r>
              <w:rPr>
                <w:webHidden/>
              </w:rPr>
            </w:r>
            <w:r>
              <w:rPr>
                <w:webHidden/>
              </w:rPr>
              <w:fldChar w:fldCharType="separate"/>
            </w:r>
            <w:r>
              <w:rPr>
                <w:webHidden/>
              </w:rPr>
              <w:t>5</w:t>
            </w:r>
            <w:r>
              <w:rPr>
                <w:webHidden/>
              </w:rPr>
              <w:fldChar w:fldCharType="end"/>
            </w:r>
          </w:hyperlink>
        </w:p>
        <w:p w14:paraId="7EDC8071" w14:textId="7741BC77" w:rsidR="00EF763F" w:rsidRDefault="00EF763F">
          <w:pPr>
            <w:pStyle w:val="TOC2"/>
            <w:rPr>
              <w:rFonts w:eastAsiaTheme="minorEastAsia" w:cstheme="minorBidi"/>
              <w:color w:val="auto"/>
              <w:kern w:val="2"/>
              <w:sz w:val="24"/>
              <w:szCs w:val="24"/>
              <w:lang w:eastAsia="en-AU"/>
              <w14:ligatures w14:val="standardContextual"/>
            </w:rPr>
          </w:pPr>
          <w:hyperlink w:anchor="_Toc205909362" w:history="1">
            <w:r w:rsidRPr="003F2809">
              <w:rPr>
                <w:rStyle w:val="Hyperlink"/>
                <w:lang w:eastAsia="en-AU"/>
              </w:rPr>
              <w:t>Limitations</w:t>
            </w:r>
            <w:r w:rsidRPr="003F2809">
              <w:rPr>
                <w:rStyle w:val="Hyperlink"/>
                <w:spacing w:val="-7"/>
                <w:lang w:eastAsia="en-AU"/>
              </w:rPr>
              <w:t xml:space="preserve"> </w:t>
            </w:r>
            <w:r w:rsidRPr="003F2809">
              <w:rPr>
                <w:rStyle w:val="Hyperlink"/>
                <w:lang w:eastAsia="en-AU"/>
              </w:rPr>
              <w:t>and</w:t>
            </w:r>
            <w:r w:rsidRPr="003F2809">
              <w:rPr>
                <w:rStyle w:val="Hyperlink"/>
                <w:spacing w:val="-5"/>
                <w:lang w:eastAsia="en-AU"/>
              </w:rPr>
              <w:t xml:space="preserve"> </w:t>
            </w:r>
            <w:r w:rsidRPr="003F2809">
              <w:rPr>
                <w:rStyle w:val="Hyperlink"/>
                <w:lang w:eastAsia="en-AU"/>
              </w:rPr>
              <w:t>considerations</w:t>
            </w:r>
            <w:r w:rsidRPr="003F2809">
              <w:rPr>
                <w:rStyle w:val="Hyperlink"/>
                <w:spacing w:val="-7"/>
                <w:lang w:eastAsia="en-AU"/>
              </w:rPr>
              <w:t xml:space="preserve"> </w:t>
            </w:r>
            <w:r w:rsidRPr="003F2809">
              <w:rPr>
                <w:rStyle w:val="Hyperlink"/>
                <w:lang w:eastAsia="en-AU"/>
              </w:rPr>
              <w:t>for</w:t>
            </w:r>
            <w:r w:rsidRPr="003F2809">
              <w:rPr>
                <w:rStyle w:val="Hyperlink"/>
                <w:spacing w:val="-6"/>
                <w:lang w:eastAsia="en-AU"/>
              </w:rPr>
              <w:t xml:space="preserve"> </w:t>
            </w:r>
            <w:r w:rsidRPr="003F2809">
              <w:rPr>
                <w:rStyle w:val="Hyperlink"/>
                <w:lang w:eastAsia="en-AU"/>
              </w:rPr>
              <w:t>the</w:t>
            </w:r>
            <w:r w:rsidRPr="003F2809">
              <w:rPr>
                <w:rStyle w:val="Hyperlink"/>
                <w:spacing w:val="-7"/>
                <w:lang w:eastAsia="en-AU"/>
              </w:rPr>
              <w:t xml:space="preserve"> </w:t>
            </w:r>
            <w:r w:rsidRPr="003F2809">
              <w:rPr>
                <w:rStyle w:val="Hyperlink"/>
                <w:lang w:eastAsia="en-AU"/>
              </w:rPr>
              <w:t>interpretation</w:t>
            </w:r>
            <w:r w:rsidRPr="003F2809">
              <w:rPr>
                <w:rStyle w:val="Hyperlink"/>
                <w:spacing w:val="-5"/>
                <w:lang w:eastAsia="en-AU"/>
              </w:rPr>
              <w:t xml:space="preserve"> </w:t>
            </w:r>
            <w:r w:rsidRPr="003F2809">
              <w:rPr>
                <w:rStyle w:val="Hyperlink"/>
                <w:lang w:eastAsia="en-AU"/>
              </w:rPr>
              <w:t>of</w:t>
            </w:r>
            <w:r w:rsidRPr="003F2809">
              <w:rPr>
                <w:rStyle w:val="Hyperlink"/>
                <w:spacing w:val="-3"/>
                <w:lang w:eastAsia="en-AU"/>
              </w:rPr>
              <w:t xml:space="preserve"> </w:t>
            </w:r>
            <w:r w:rsidRPr="003F2809">
              <w:rPr>
                <w:rStyle w:val="Hyperlink"/>
                <w:spacing w:val="-4"/>
                <w:lang w:eastAsia="en-AU"/>
              </w:rPr>
              <w:t>data</w:t>
            </w:r>
            <w:r>
              <w:rPr>
                <w:webHidden/>
              </w:rPr>
              <w:tab/>
            </w:r>
            <w:r>
              <w:rPr>
                <w:webHidden/>
              </w:rPr>
              <w:fldChar w:fldCharType="begin"/>
            </w:r>
            <w:r>
              <w:rPr>
                <w:webHidden/>
              </w:rPr>
              <w:instrText xml:space="preserve"> PAGEREF _Toc205909362 \h </w:instrText>
            </w:r>
            <w:r>
              <w:rPr>
                <w:webHidden/>
              </w:rPr>
            </w:r>
            <w:r>
              <w:rPr>
                <w:webHidden/>
              </w:rPr>
              <w:fldChar w:fldCharType="separate"/>
            </w:r>
            <w:r>
              <w:rPr>
                <w:webHidden/>
              </w:rPr>
              <w:t>6</w:t>
            </w:r>
            <w:r>
              <w:rPr>
                <w:webHidden/>
              </w:rPr>
              <w:fldChar w:fldCharType="end"/>
            </w:r>
          </w:hyperlink>
        </w:p>
        <w:p w14:paraId="6C386F2D" w14:textId="76C1F7CB" w:rsidR="00EF763F" w:rsidRDefault="00EF763F">
          <w:pPr>
            <w:pStyle w:val="TOC1"/>
            <w:rPr>
              <w:rFonts w:eastAsiaTheme="minorEastAsia" w:cstheme="minorBidi"/>
              <w:b w:val="0"/>
              <w:noProof/>
              <w:color w:val="auto"/>
              <w:kern w:val="2"/>
              <w:sz w:val="24"/>
              <w:szCs w:val="24"/>
              <w:lang w:eastAsia="en-AU"/>
              <w14:ligatures w14:val="standardContextual"/>
            </w:rPr>
          </w:pPr>
          <w:hyperlink w:anchor="_Toc205909363" w:history="1">
            <w:r w:rsidRPr="003F2809">
              <w:rPr>
                <w:rStyle w:val="Hyperlink"/>
                <w:noProof/>
              </w:rPr>
              <w:t>Findings</w:t>
            </w:r>
            <w:r>
              <w:rPr>
                <w:noProof/>
                <w:webHidden/>
              </w:rPr>
              <w:tab/>
            </w:r>
            <w:r>
              <w:rPr>
                <w:noProof/>
                <w:webHidden/>
              </w:rPr>
              <w:fldChar w:fldCharType="begin"/>
            </w:r>
            <w:r>
              <w:rPr>
                <w:noProof/>
                <w:webHidden/>
              </w:rPr>
              <w:instrText xml:space="preserve"> PAGEREF _Toc205909363 \h </w:instrText>
            </w:r>
            <w:r>
              <w:rPr>
                <w:noProof/>
                <w:webHidden/>
              </w:rPr>
            </w:r>
            <w:r>
              <w:rPr>
                <w:noProof/>
                <w:webHidden/>
              </w:rPr>
              <w:fldChar w:fldCharType="separate"/>
            </w:r>
            <w:r>
              <w:rPr>
                <w:noProof/>
                <w:webHidden/>
              </w:rPr>
              <w:t>7</w:t>
            </w:r>
            <w:r>
              <w:rPr>
                <w:noProof/>
                <w:webHidden/>
              </w:rPr>
              <w:fldChar w:fldCharType="end"/>
            </w:r>
          </w:hyperlink>
        </w:p>
        <w:p w14:paraId="4C0E0290" w14:textId="2517BA44" w:rsidR="00EF763F" w:rsidRDefault="00EF763F">
          <w:pPr>
            <w:pStyle w:val="TOC2"/>
            <w:rPr>
              <w:rFonts w:eastAsiaTheme="minorEastAsia" w:cstheme="minorBidi"/>
              <w:color w:val="auto"/>
              <w:kern w:val="2"/>
              <w:sz w:val="24"/>
              <w:szCs w:val="24"/>
              <w:lang w:eastAsia="en-AU"/>
              <w14:ligatures w14:val="standardContextual"/>
            </w:rPr>
          </w:pPr>
          <w:hyperlink w:anchor="_Toc205909364" w:history="1">
            <w:r w:rsidRPr="003F2809">
              <w:rPr>
                <w:rStyle w:val="Hyperlink"/>
              </w:rPr>
              <w:t>Overall burden of CDI in Australia</w:t>
            </w:r>
            <w:r>
              <w:rPr>
                <w:webHidden/>
              </w:rPr>
              <w:tab/>
            </w:r>
            <w:r>
              <w:rPr>
                <w:webHidden/>
              </w:rPr>
              <w:fldChar w:fldCharType="begin"/>
            </w:r>
            <w:r>
              <w:rPr>
                <w:webHidden/>
              </w:rPr>
              <w:instrText xml:space="preserve"> PAGEREF _Toc205909364 \h </w:instrText>
            </w:r>
            <w:r>
              <w:rPr>
                <w:webHidden/>
              </w:rPr>
            </w:r>
            <w:r>
              <w:rPr>
                <w:webHidden/>
              </w:rPr>
              <w:fldChar w:fldCharType="separate"/>
            </w:r>
            <w:r>
              <w:rPr>
                <w:webHidden/>
              </w:rPr>
              <w:t>7</w:t>
            </w:r>
            <w:r>
              <w:rPr>
                <w:webHidden/>
              </w:rPr>
              <w:fldChar w:fldCharType="end"/>
            </w:r>
          </w:hyperlink>
        </w:p>
        <w:p w14:paraId="508539D5" w14:textId="46AA80C8" w:rsidR="00EF763F" w:rsidRDefault="00EF763F">
          <w:pPr>
            <w:pStyle w:val="TOC2"/>
            <w:rPr>
              <w:rFonts w:eastAsiaTheme="minorEastAsia" w:cstheme="minorBidi"/>
              <w:color w:val="auto"/>
              <w:kern w:val="2"/>
              <w:sz w:val="24"/>
              <w:szCs w:val="24"/>
              <w:lang w:eastAsia="en-AU"/>
              <w14:ligatures w14:val="standardContextual"/>
            </w:rPr>
          </w:pPr>
          <w:hyperlink w:anchor="_Toc205909365" w:history="1">
            <w:r w:rsidRPr="003F2809">
              <w:rPr>
                <w:rStyle w:val="Hyperlink"/>
              </w:rPr>
              <w:t>Non-principal CDI diagnoses</w:t>
            </w:r>
            <w:r>
              <w:rPr>
                <w:webHidden/>
              </w:rPr>
              <w:tab/>
            </w:r>
            <w:r>
              <w:rPr>
                <w:webHidden/>
              </w:rPr>
              <w:fldChar w:fldCharType="begin"/>
            </w:r>
            <w:r>
              <w:rPr>
                <w:webHidden/>
              </w:rPr>
              <w:instrText xml:space="preserve"> PAGEREF _Toc205909365 \h </w:instrText>
            </w:r>
            <w:r>
              <w:rPr>
                <w:webHidden/>
              </w:rPr>
            </w:r>
            <w:r>
              <w:rPr>
                <w:webHidden/>
              </w:rPr>
              <w:fldChar w:fldCharType="separate"/>
            </w:r>
            <w:r>
              <w:rPr>
                <w:webHidden/>
              </w:rPr>
              <w:t>8</w:t>
            </w:r>
            <w:r>
              <w:rPr>
                <w:webHidden/>
              </w:rPr>
              <w:fldChar w:fldCharType="end"/>
            </w:r>
          </w:hyperlink>
        </w:p>
        <w:p w14:paraId="22089352" w14:textId="31F37B67" w:rsidR="00EF763F" w:rsidRDefault="00EF763F">
          <w:pPr>
            <w:pStyle w:val="TOC2"/>
            <w:rPr>
              <w:rFonts w:eastAsiaTheme="minorEastAsia" w:cstheme="minorBidi"/>
              <w:color w:val="auto"/>
              <w:kern w:val="2"/>
              <w:sz w:val="24"/>
              <w:szCs w:val="24"/>
              <w:lang w:eastAsia="en-AU"/>
              <w14:ligatures w14:val="standardContextual"/>
            </w:rPr>
          </w:pPr>
          <w:hyperlink w:anchor="_Toc205909366" w:history="1">
            <w:r w:rsidRPr="003F2809">
              <w:rPr>
                <w:rStyle w:val="Hyperlink"/>
                <w:lang w:eastAsia="en-AU"/>
              </w:rPr>
              <w:t>Separations in 2022 and 2023</w:t>
            </w:r>
            <w:r>
              <w:rPr>
                <w:webHidden/>
              </w:rPr>
              <w:tab/>
            </w:r>
            <w:r>
              <w:rPr>
                <w:webHidden/>
              </w:rPr>
              <w:fldChar w:fldCharType="begin"/>
            </w:r>
            <w:r>
              <w:rPr>
                <w:webHidden/>
              </w:rPr>
              <w:instrText xml:space="preserve"> PAGEREF _Toc205909366 \h </w:instrText>
            </w:r>
            <w:r>
              <w:rPr>
                <w:webHidden/>
              </w:rPr>
            </w:r>
            <w:r>
              <w:rPr>
                <w:webHidden/>
              </w:rPr>
              <w:fldChar w:fldCharType="separate"/>
            </w:r>
            <w:r>
              <w:rPr>
                <w:webHidden/>
              </w:rPr>
              <w:t>11</w:t>
            </w:r>
            <w:r>
              <w:rPr>
                <w:webHidden/>
              </w:rPr>
              <w:fldChar w:fldCharType="end"/>
            </w:r>
          </w:hyperlink>
        </w:p>
        <w:p w14:paraId="3E087CB1" w14:textId="66366D42" w:rsidR="00EF763F" w:rsidRDefault="00EF763F">
          <w:pPr>
            <w:pStyle w:val="TOC2"/>
            <w:rPr>
              <w:rFonts w:eastAsiaTheme="minorEastAsia" w:cstheme="minorBidi"/>
              <w:color w:val="auto"/>
              <w:kern w:val="2"/>
              <w:sz w:val="24"/>
              <w:szCs w:val="24"/>
              <w:lang w:eastAsia="en-AU"/>
              <w14:ligatures w14:val="standardContextual"/>
            </w:rPr>
          </w:pPr>
          <w:hyperlink w:anchor="_Toc205909367" w:history="1">
            <w:r w:rsidRPr="003F2809">
              <w:rPr>
                <w:rStyle w:val="Hyperlink"/>
              </w:rPr>
              <w:t>Length of stay for patients with CDI diagnoses</w:t>
            </w:r>
            <w:r>
              <w:rPr>
                <w:webHidden/>
              </w:rPr>
              <w:tab/>
            </w:r>
            <w:r>
              <w:rPr>
                <w:webHidden/>
              </w:rPr>
              <w:fldChar w:fldCharType="begin"/>
            </w:r>
            <w:r>
              <w:rPr>
                <w:webHidden/>
              </w:rPr>
              <w:instrText xml:space="preserve"> PAGEREF _Toc205909367 \h </w:instrText>
            </w:r>
            <w:r>
              <w:rPr>
                <w:webHidden/>
              </w:rPr>
            </w:r>
            <w:r>
              <w:rPr>
                <w:webHidden/>
              </w:rPr>
              <w:fldChar w:fldCharType="separate"/>
            </w:r>
            <w:r>
              <w:rPr>
                <w:webHidden/>
              </w:rPr>
              <w:t>12</w:t>
            </w:r>
            <w:r>
              <w:rPr>
                <w:webHidden/>
              </w:rPr>
              <w:fldChar w:fldCharType="end"/>
            </w:r>
          </w:hyperlink>
        </w:p>
        <w:p w14:paraId="66A46C36" w14:textId="18859580" w:rsidR="00EF763F" w:rsidRDefault="00EF763F">
          <w:pPr>
            <w:pStyle w:val="TOC2"/>
            <w:rPr>
              <w:rFonts w:eastAsiaTheme="minorEastAsia" w:cstheme="minorBidi"/>
              <w:color w:val="auto"/>
              <w:kern w:val="2"/>
              <w:sz w:val="24"/>
              <w:szCs w:val="24"/>
              <w:lang w:eastAsia="en-AU"/>
              <w14:ligatures w14:val="standardContextual"/>
            </w:rPr>
          </w:pPr>
          <w:hyperlink w:anchor="_Toc205909368" w:history="1">
            <w:r w:rsidRPr="003F2809">
              <w:rPr>
                <w:rStyle w:val="Hyperlink"/>
                <w:lang w:eastAsia="en-AU"/>
              </w:rPr>
              <w:t>Community-onset CDI</w:t>
            </w:r>
            <w:r>
              <w:rPr>
                <w:webHidden/>
              </w:rPr>
              <w:tab/>
            </w:r>
            <w:r>
              <w:rPr>
                <w:webHidden/>
              </w:rPr>
              <w:fldChar w:fldCharType="begin"/>
            </w:r>
            <w:r>
              <w:rPr>
                <w:webHidden/>
              </w:rPr>
              <w:instrText xml:space="preserve"> PAGEREF _Toc205909368 \h </w:instrText>
            </w:r>
            <w:r>
              <w:rPr>
                <w:webHidden/>
              </w:rPr>
            </w:r>
            <w:r>
              <w:rPr>
                <w:webHidden/>
              </w:rPr>
              <w:fldChar w:fldCharType="separate"/>
            </w:r>
            <w:r>
              <w:rPr>
                <w:webHidden/>
              </w:rPr>
              <w:t>13</w:t>
            </w:r>
            <w:r>
              <w:rPr>
                <w:webHidden/>
              </w:rPr>
              <w:fldChar w:fldCharType="end"/>
            </w:r>
          </w:hyperlink>
        </w:p>
        <w:p w14:paraId="4CD8529F" w14:textId="3E1E0AD3" w:rsidR="00EF763F" w:rsidRDefault="00EF763F">
          <w:pPr>
            <w:pStyle w:val="TOC1"/>
            <w:rPr>
              <w:rFonts w:eastAsiaTheme="minorEastAsia" w:cstheme="minorBidi"/>
              <w:b w:val="0"/>
              <w:noProof/>
              <w:color w:val="auto"/>
              <w:kern w:val="2"/>
              <w:sz w:val="24"/>
              <w:szCs w:val="24"/>
              <w:lang w:eastAsia="en-AU"/>
              <w14:ligatures w14:val="standardContextual"/>
            </w:rPr>
          </w:pPr>
          <w:hyperlink w:anchor="_Toc205909369" w:history="1">
            <w:r w:rsidRPr="003F2809">
              <w:rPr>
                <w:rStyle w:val="Hyperlink"/>
                <w:noProof/>
                <w:lang w:eastAsia="en-AU"/>
              </w:rPr>
              <w:t>Risk factors for community-onset CDI</w:t>
            </w:r>
            <w:r>
              <w:rPr>
                <w:noProof/>
                <w:webHidden/>
              </w:rPr>
              <w:tab/>
            </w:r>
            <w:r>
              <w:rPr>
                <w:noProof/>
                <w:webHidden/>
              </w:rPr>
              <w:fldChar w:fldCharType="begin"/>
            </w:r>
            <w:r>
              <w:rPr>
                <w:noProof/>
                <w:webHidden/>
              </w:rPr>
              <w:instrText xml:space="preserve"> PAGEREF _Toc205909369 \h </w:instrText>
            </w:r>
            <w:r>
              <w:rPr>
                <w:noProof/>
                <w:webHidden/>
              </w:rPr>
            </w:r>
            <w:r>
              <w:rPr>
                <w:noProof/>
                <w:webHidden/>
              </w:rPr>
              <w:fldChar w:fldCharType="separate"/>
            </w:r>
            <w:r>
              <w:rPr>
                <w:noProof/>
                <w:webHidden/>
              </w:rPr>
              <w:t>16</w:t>
            </w:r>
            <w:r>
              <w:rPr>
                <w:noProof/>
                <w:webHidden/>
              </w:rPr>
              <w:fldChar w:fldCharType="end"/>
            </w:r>
          </w:hyperlink>
        </w:p>
        <w:p w14:paraId="21E67308" w14:textId="7EF4EF96" w:rsidR="00EF763F" w:rsidRDefault="00EF763F">
          <w:pPr>
            <w:pStyle w:val="TOC1"/>
            <w:rPr>
              <w:rFonts w:eastAsiaTheme="minorEastAsia" w:cstheme="minorBidi"/>
              <w:b w:val="0"/>
              <w:noProof/>
              <w:color w:val="auto"/>
              <w:kern w:val="2"/>
              <w:sz w:val="24"/>
              <w:szCs w:val="24"/>
              <w:lang w:eastAsia="en-AU"/>
              <w14:ligatures w14:val="standardContextual"/>
            </w:rPr>
          </w:pPr>
          <w:hyperlink w:anchor="_Toc205909370" w:history="1">
            <w:r w:rsidRPr="003F2809">
              <w:rPr>
                <w:rStyle w:val="Hyperlink"/>
                <w:noProof/>
                <w:lang w:eastAsia="en-AU"/>
              </w:rPr>
              <w:t>Conclusion</w:t>
            </w:r>
            <w:r>
              <w:rPr>
                <w:noProof/>
                <w:webHidden/>
              </w:rPr>
              <w:tab/>
            </w:r>
            <w:r>
              <w:rPr>
                <w:noProof/>
                <w:webHidden/>
              </w:rPr>
              <w:fldChar w:fldCharType="begin"/>
            </w:r>
            <w:r>
              <w:rPr>
                <w:noProof/>
                <w:webHidden/>
              </w:rPr>
              <w:instrText xml:space="preserve"> PAGEREF _Toc205909370 \h </w:instrText>
            </w:r>
            <w:r>
              <w:rPr>
                <w:noProof/>
                <w:webHidden/>
              </w:rPr>
            </w:r>
            <w:r>
              <w:rPr>
                <w:noProof/>
                <w:webHidden/>
              </w:rPr>
              <w:fldChar w:fldCharType="separate"/>
            </w:r>
            <w:r>
              <w:rPr>
                <w:noProof/>
                <w:webHidden/>
              </w:rPr>
              <w:t>18</w:t>
            </w:r>
            <w:r>
              <w:rPr>
                <w:noProof/>
                <w:webHidden/>
              </w:rPr>
              <w:fldChar w:fldCharType="end"/>
            </w:r>
          </w:hyperlink>
        </w:p>
        <w:p w14:paraId="20D7C882" w14:textId="0DF5227B" w:rsidR="00EF763F" w:rsidRDefault="00EF763F">
          <w:pPr>
            <w:pStyle w:val="TOC2"/>
            <w:rPr>
              <w:rFonts w:eastAsiaTheme="minorEastAsia" w:cstheme="minorBidi"/>
              <w:color w:val="auto"/>
              <w:kern w:val="2"/>
              <w:sz w:val="24"/>
              <w:szCs w:val="24"/>
              <w:lang w:eastAsia="en-AU"/>
              <w14:ligatures w14:val="standardContextual"/>
            </w:rPr>
          </w:pPr>
          <w:hyperlink w:anchor="_Toc205909371" w:history="1">
            <w:r w:rsidRPr="003F2809">
              <w:rPr>
                <w:rStyle w:val="Hyperlink"/>
                <w:lang w:eastAsia="en-AU"/>
              </w:rPr>
              <w:t>What can be done to reduce the risk of CDI in Australia?</w:t>
            </w:r>
            <w:r>
              <w:rPr>
                <w:webHidden/>
              </w:rPr>
              <w:tab/>
            </w:r>
            <w:r>
              <w:rPr>
                <w:webHidden/>
              </w:rPr>
              <w:fldChar w:fldCharType="begin"/>
            </w:r>
            <w:r>
              <w:rPr>
                <w:webHidden/>
              </w:rPr>
              <w:instrText xml:space="preserve"> PAGEREF _Toc205909371 \h </w:instrText>
            </w:r>
            <w:r>
              <w:rPr>
                <w:webHidden/>
              </w:rPr>
            </w:r>
            <w:r>
              <w:rPr>
                <w:webHidden/>
              </w:rPr>
              <w:fldChar w:fldCharType="separate"/>
            </w:r>
            <w:r>
              <w:rPr>
                <w:webHidden/>
              </w:rPr>
              <w:t>18</w:t>
            </w:r>
            <w:r>
              <w:rPr>
                <w:webHidden/>
              </w:rPr>
              <w:fldChar w:fldCharType="end"/>
            </w:r>
          </w:hyperlink>
        </w:p>
        <w:p w14:paraId="1133EB76" w14:textId="64C6029F" w:rsidR="00EF763F" w:rsidRDefault="00EF763F">
          <w:pPr>
            <w:pStyle w:val="TOC1"/>
            <w:rPr>
              <w:rFonts w:eastAsiaTheme="minorEastAsia" w:cstheme="minorBidi"/>
              <w:b w:val="0"/>
              <w:noProof/>
              <w:color w:val="auto"/>
              <w:kern w:val="2"/>
              <w:sz w:val="24"/>
              <w:szCs w:val="24"/>
              <w:lang w:eastAsia="en-AU"/>
              <w14:ligatures w14:val="standardContextual"/>
            </w:rPr>
          </w:pPr>
          <w:hyperlink w:anchor="_Toc205909372" w:history="1">
            <w:r w:rsidRPr="003F2809">
              <w:rPr>
                <w:rStyle w:val="Hyperlink"/>
                <w:noProof/>
              </w:rPr>
              <w:t>Glossary</w:t>
            </w:r>
            <w:r>
              <w:rPr>
                <w:noProof/>
                <w:webHidden/>
              </w:rPr>
              <w:tab/>
            </w:r>
            <w:r>
              <w:rPr>
                <w:noProof/>
                <w:webHidden/>
              </w:rPr>
              <w:fldChar w:fldCharType="begin"/>
            </w:r>
            <w:r>
              <w:rPr>
                <w:noProof/>
                <w:webHidden/>
              </w:rPr>
              <w:instrText xml:space="preserve"> PAGEREF _Toc205909372 \h </w:instrText>
            </w:r>
            <w:r>
              <w:rPr>
                <w:noProof/>
                <w:webHidden/>
              </w:rPr>
            </w:r>
            <w:r>
              <w:rPr>
                <w:noProof/>
                <w:webHidden/>
              </w:rPr>
              <w:fldChar w:fldCharType="separate"/>
            </w:r>
            <w:r>
              <w:rPr>
                <w:noProof/>
                <w:webHidden/>
              </w:rPr>
              <w:t>20</w:t>
            </w:r>
            <w:r>
              <w:rPr>
                <w:noProof/>
                <w:webHidden/>
              </w:rPr>
              <w:fldChar w:fldCharType="end"/>
            </w:r>
          </w:hyperlink>
        </w:p>
        <w:p w14:paraId="0FDCC53E" w14:textId="38B4127C" w:rsidR="00EF763F" w:rsidRDefault="00EF763F">
          <w:pPr>
            <w:pStyle w:val="TOC1"/>
            <w:rPr>
              <w:rFonts w:eastAsiaTheme="minorEastAsia" w:cstheme="minorBidi"/>
              <w:b w:val="0"/>
              <w:noProof/>
              <w:color w:val="auto"/>
              <w:kern w:val="2"/>
              <w:sz w:val="24"/>
              <w:szCs w:val="24"/>
              <w:lang w:eastAsia="en-AU"/>
              <w14:ligatures w14:val="standardContextual"/>
            </w:rPr>
          </w:pPr>
          <w:hyperlink w:anchor="_Toc205909373" w:history="1">
            <w:r w:rsidRPr="003F2809">
              <w:rPr>
                <w:rStyle w:val="Hyperlink"/>
                <w:noProof/>
                <w:lang w:eastAsia="en-AU"/>
              </w:rPr>
              <w:t>References</w:t>
            </w:r>
            <w:r>
              <w:rPr>
                <w:noProof/>
                <w:webHidden/>
              </w:rPr>
              <w:tab/>
            </w:r>
            <w:r>
              <w:rPr>
                <w:noProof/>
                <w:webHidden/>
              </w:rPr>
              <w:fldChar w:fldCharType="begin"/>
            </w:r>
            <w:r>
              <w:rPr>
                <w:noProof/>
                <w:webHidden/>
              </w:rPr>
              <w:instrText xml:space="preserve"> PAGEREF _Toc205909373 \h </w:instrText>
            </w:r>
            <w:r>
              <w:rPr>
                <w:noProof/>
                <w:webHidden/>
              </w:rPr>
            </w:r>
            <w:r>
              <w:rPr>
                <w:noProof/>
                <w:webHidden/>
              </w:rPr>
              <w:fldChar w:fldCharType="separate"/>
            </w:r>
            <w:r>
              <w:rPr>
                <w:noProof/>
                <w:webHidden/>
              </w:rPr>
              <w:t>22</w:t>
            </w:r>
            <w:r>
              <w:rPr>
                <w:noProof/>
                <w:webHidden/>
              </w:rPr>
              <w:fldChar w:fldCharType="end"/>
            </w:r>
          </w:hyperlink>
        </w:p>
        <w:p w14:paraId="3430C54E" w14:textId="7CC051A6" w:rsidR="00444B74" w:rsidRDefault="005F36C3">
          <w:r>
            <w:rPr>
              <w:b/>
            </w:rPr>
            <w:fldChar w:fldCharType="end"/>
          </w:r>
        </w:p>
      </w:sdtContent>
    </w:sdt>
    <w:p w14:paraId="4E0E0AFD" w14:textId="77777777" w:rsidR="00444B74" w:rsidRPr="00444B74" w:rsidRDefault="00444B74" w:rsidP="00444B74"/>
    <w:p w14:paraId="0BC87AF5" w14:textId="77777777" w:rsidR="00F92885" w:rsidRDefault="00F92885" w:rsidP="00D02F69">
      <w:pPr>
        <w:sectPr w:rsidR="00F92885" w:rsidSect="00444B74">
          <w:headerReference w:type="default" r:id="rId16"/>
          <w:pgSz w:w="11906" w:h="16838" w:code="9"/>
          <w:pgMar w:top="1361" w:right="1361" w:bottom="1361" w:left="1361" w:header="567" w:footer="567" w:gutter="0"/>
          <w:cols w:space="708"/>
          <w:docGrid w:linePitch="360"/>
        </w:sectPr>
      </w:pPr>
      <w:bookmarkStart w:id="0" w:name="_Toc501634887"/>
    </w:p>
    <w:p w14:paraId="62271E47" w14:textId="04C4F076" w:rsidR="00595909" w:rsidRPr="009735E6" w:rsidRDefault="00F1559B" w:rsidP="009735E6">
      <w:pPr>
        <w:pStyle w:val="Heading1"/>
        <w:rPr>
          <w:rFonts w:eastAsia="Times New Roman"/>
        </w:rPr>
      </w:pPr>
      <w:bookmarkStart w:id="1" w:name="_Toc205909356"/>
      <w:bookmarkEnd w:id="0"/>
      <w:r>
        <w:lastRenderedPageBreak/>
        <w:t>Summary</w:t>
      </w:r>
      <w:bookmarkEnd w:id="1"/>
    </w:p>
    <w:p w14:paraId="1F14DFAE" w14:textId="77777777" w:rsidR="00F1559B" w:rsidRPr="00F1559B" w:rsidRDefault="00F1559B" w:rsidP="00F1559B">
      <w:pPr>
        <w:spacing w:before="240" w:line="276" w:lineRule="auto"/>
        <w:rPr>
          <w:rFonts w:ascii="Arial" w:eastAsia="Times New Roman" w:hAnsi="Arial" w:cs="Arial"/>
          <w:color w:val="auto"/>
          <w:lang w:eastAsia="en-AU"/>
        </w:rPr>
      </w:pPr>
      <w:r w:rsidRPr="00F1559B">
        <w:rPr>
          <w:rFonts w:ascii="Arial" w:eastAsia="Times New Roman" w:hAnsi="Arial" w:cs="Arial"/>
          <w:i/>
          <w:color w:val="auto"/>
          <w:lang w:eastAsia="en-AU"/>
        </w:rPr>
        <w:t xml:space="preserve">Clostridioides difficile, </w:t>
      </w:r>
      <w:r w:rsidRPr="00F1559B">
        <w:rPr>
          <w:rFonts w:ascii="Arial" w:eastAsia="Times New Roman" w:hAnsi="Arial" w:cs="Arial"/>
          <w:color w:val="auto"/>
          <w:lang w:eastAsia="en-AU"/>
        </w:rPr>
        <w:t xml:space="preserve">also known as </w:t>
      </w:r>
      <w:r w:rsidRPr="00F1559B">
        <w:rPr>
          <w:rFonts w:ascii="Arial" w:eastAsia="Times New Roman" w:hAnsi="Arial" w:cs="Arial"/>
          <w:i/>
          <w:color w:val="auto"/>
          <w:lang w:eastAsia="en-AU"/>
        </w:rPr>
        <w:t xml:space="preserve">Clostridium difficile, </w:t>
      </w:r>
      <w:r w:rsidRPr="00F1559B">
        <w:rPr>
          <w:rFonts w:ascii="Arial" w:eastAsia="Times New Roman" w:hAnsi="Arial" w:cs="Arial"/>
          <w:color w:val="auto"/>
          <w:lang w:eastAsia="en-AU"/>
        </w:rPr>
        <w:t>is a gram-positive spore-forming bacterium that can cause severe gastrointestinal illness and even lead to death</w:t>
      </w:r>
      <w:r w:rsidRPr="00F1559B">
        <w:rPr>
          <w:rFonts w:ascii="Arial" w:eastAsia="Times New Roman" w:hAnsi="Arial" w:cs="Arial"/>
          <w:color w:val="auto"/>
          <w:sz w:val="18"/>
          <w:szCs w:val="18"/>
          <w:lang w:eastAsia="en-AU"/>
        </w:rPr>
        <w:t>.</w:t>
      </w:r>
      <w:r w:rsidRPr="00F1559B">
        <w:rPr>
          <w:rFonts w:ascii="Arial" w:eastAsia="Times New Roman" w:hAnsi="Arial" w:cs="Arial"/>
          <w:color w:val="auto"/>
          <w:lang w:eastAsia="en-AU"/>
        </w:rPr>
        <w:fldChar w:fldCharType="begin"/>
      </w:r>
      <w:r w:rsidRPr="00F1559B">
        <w:rPr>
          <w:rFonts w:ascii="Arial" w:eastAsia="Times New Roman" w:hAnsi="Arial" w:cs="Arial"/>
          <w:color w:val="auto"/>
          <w:lang w:eastAsia="en-AU"/>
        </w:rPr>
        <w:instrText xml:space="preserve"> ADDIN EN.CITE &lt;EndNote&gt;&lt;Cite&gt;&lt;Author&gt;Knight&lt;/Author&gt;&lt;Year&gt;2019&lt;/Year&gt;&lt;RecNum&gt;17&lt;/RecNum&gt;&lt;DisplayText&gt;&lt;style face="superscript"&gt;1&lt;/style&gt;&lt;/DisplayText&gt;&lt;record&gt;&lt;rec-number&gt;17&lt;/rec-number&gt;&lt;foreign-keys&gt;&lt;key app="EN" db-id="2rp0a5drxdefz3e2e5dptftled295z2r2ve2" timestamp="1587954730"&gt;17&lt;/key&gt;&lt;/foreign-keys&gt;&lt;ref-type name="Journal Article"&gt;17&lt;/ref-type&gt;&lt;contributors&gt;&lt;authors&gt;&lt;author&gt;Knight, D.R.&lt;/author&gt;&lt;author&gt;Riley, T.V.&lt;/author&gt;&lt;/authors&gt;&lt;/contributors&gt;&lt;titles&gt;&lt;title&gt;Genomic Delineation of Zoonotic Orgins of Clostridium difficile&lt;/title&gt;&lt;secondary-title&gt;Frontiers in Public Health&lt;/secondary-title&gt;&lt;/titles&gt;&lt;periodical&gt;&lt;full-title&gt;Frontiers in Public Health&lt;/full-title&gt;&lt;/periodical&gt;&lt;volume&gt;7&lt;/volume&gt;&lt;edition&gt;20 June 2019&lt;/edition&gt;&lt;dates&gt;&lt;year&gt;2019&lt;/year&gt;&lt;/dates&gt;&lt;urls&gt;&lt;/urls&gt;&lt;custom7&gt;164&lt;/custom7&gt;&lt;electronic-resource-num&gt;10.3380/fpubh.2019.00164&lt;/electronic-resource-num&gt;&lt;/record&gt;&lt;/Cite&gt;&lt;/EndNote&gt;</w:instrText>
      </w:r>
      <w:r w:rsidRPr="00F1559B">
        <w:rPr>
          <w:rFonts w:ascii="Arial" w:eastAsia="Times New Roman" w:hAnsi="Arial" w:cs="Arial"/>
          <w:color w:val="auto"/>
          <w:lang w:eastAsia="en-AU"/>
        </w:rPr>
        <w:fldChar w:fldCharType="separate"/>
      </w:r>
      <w:r w:rsidRPr="00F1559B">
        <w:rPr>
          <w:rFonts w:ascii="Arial" w:eastAsia="Times New Roman" w:hAnsi="Arial" w:cs="Arial"/>
          <w:noProof/>
          <w:color w:val="auto"/>
          <w:vertAlign w:val="superscript"/>
          <w:lang w:eastAsia="en-AU"/>
        </w:rPr>
        <w:t>1</w:t>
      </w:r>
      <w:r w:rsidRPr="00F1559B">
        <w:rPr>
          <w:rFonts w:ascii="Arial" w:eastAsia="Times New Roman" w:hAnsi="Arial" w:cs="Arial"/>
          <w:color w:val="auto"/>
          <w:lang w:eastAsia="en-AU"/>
        </w:rPr>
        <w:fldChar w:fldCharType="end"/>
      </w:r>
      <w:r w:rsidRPr="00F1559B">
        <w:rPr>
          <w:rFonts w:ascii="Arial" w:eastAsia="Times New Roman" w:hAnsi="Arial" w:cs="Arial"/>
          <w:color w:val="auto"/>
          <w:vertAlign w:val="superscript"/>
          <w:lang w:eastAsia="en-AU"/>
        </w:rPr>
        <w:t>,</w:t>
      </w:r>
      <w:r w:rsidRPr="00F1559B">
        <w:rPr>
          <w:rFonts w:ascii="Arial" w:eastAsia="Times New Roman" w:hAnsi="Arial" w:cs="Arial"/>
          <w:color w:val="auto"/>
          <w:vertAlign w:val="superscript"/>
          <w:lang w:eastAsia="en-AU"/>
        </w:rPr>
        <w:fldChar w:fldCharType="begin">
          <w:fldData xml:space="preserve">PEVuZE5vdGU+PENpdGU+PEF1dGhvcj5DemVwaWVsPC9BdXRob3I+PFllYXI+MjAxOTwvWWVhcj48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</w:fldData>
        </w:fldChar>
      </w:r>
      <w:r w:rsidRPr="00F1559B">
        <w:rPr>
          <w:rFonts w:ascii="Arial" w:eastAsia="Times New Roman" w:hAnsi="Arial" w:cs="Arial"/>
          <w:color w:val="auto"/>
          <w:vertAlign w:val="superscript"/>
          <w:lang w:eastAsia="en-AU"/>
        </w:rPr>
        <w:instrText xml:space="preserve"> ADDIN EN.CITE </w:instrText>
      </w:r>
      <w:r w:rsidRPr="00F1559B">
        <w:rPr>
          <w:rFonts w:ascii="Arial" w:eastAsia="Times New Roman" w:hAnsi="Arial" w:cs="Arial"/>
          <w:color w:val="auto"/>
          <w:vertAlign w:val="superscript"/>
          <w:lang w:eastAsia="en-AU"/>
        </w:rPr>
        <w:fldChar w:fldCharType="begin">
          <w:fldData xml:space="preserve">PEVuZE5vdGU+PENpdGU+PEF1dGhvcj5DemVwaWVsPC9BdXRob3I+PFllYXI+MjAxOTwvWWVhcj48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</w:fldData>
        </w:fldChar>
      </w:r>
      <w:r w:rsidRPr="00F1559B">
        <w:rPr>
          <w:rFonts w:ascii="Arial" w:eastAsia="Times New Roman" w:hAnsi="Arial" w:cs="Arial"/>
          <w:color w:val="auto"/>
          <w:vertAlign w:val="superscript"/>
          <w:lang w:eastAsia="en-AU"/>
        </w:rPr>
        <w:instrText xml:space="preserve"> ADDIN EN.CITE.DATA </w:instrText>
      </w:r>
      <w:r w:rsidRPr="00F1559B">
        <w:rPr>
          <w:rFonts w:ascii="Arial" w:eastAsia="Times New Roman" w:hAnsi="Arial" w:cs="Arial"/>
          <w:color w:val="auto"/>
          <w:vertAlign w:val="superscript"/>
          <w:lang w:eastAsia="en-AU"/>
        </w:rPr>
      </w:r>
      <w:r w:rsidRPr="00F1559B">
        <w:rPr>
          <w:rFonts w:ascii="Arial" w:eastAsia="Times New Roman" w:hAnsi="Arial" w:cs="Arial"/>
          <w:color w:val="auto"/>
          <w:vertAlign w:val="superscript"/>
          <w:lang w:eastAsia="en-AU"/>
        </w:rPr>
        <w:fldChar w:fldCharType="end"/>
      </w:r>
      <w:r w:rsidRPr="00F1559B">
        <w:rPr>
          <w:rFonts w:ascii="Arial" w:eastAsia="Times New Roman" w:hAnsi="Arial" w:cs="Arial"/>
          <w:color w:val="auto"/>
          <w:vertAlign w:val="superscript"/>
          <w:lang w:eastAsia="en-AU"/>
        </w:rPr>
      </w:r>
      <w:r w:rsidRPr="00F1559B">
        <w:rPr>
          <w:rFonts w:ascii="Arial" w:eastAsia="Times New Roman" w:hAnsi="Arial" w:cs="Arial"/>
          <w:color w:val="auto"/>
          <w:vertAlign w:val="superscript"/>
          <w:lang w:eastAsia="en-AU"/>
        </w:rPr>
        <w:fldChar w:fldCharType="separate"/>
      </w:r>
      <w:r w:rsidRPr="00F1559B">
        <w:rPr>
          <w:rFonts w:ascii="Arial" w:eastAsia="Times New Roman" w:hAnsi="Arial" w:cs="Arial"/>
          <w:noProof/>
          <w:color w:val="auto"/>
          <w:vertAlign w:val="superscript"/>
          <w:lang w:eastAsia="en-AU"/>
        </w:rPr>
        <w:t>2</w:t>
      </w:r>
      <w:r w:rsidRPr="00F1559B">
        <w:rPr>
          <w:rFonts w:ascii="Arial" w:eastAsia="Times New Roman" w:hAnsi="Arial" w:cs="Arial"/>
          <w:color w:val="auto"/>
          <w:vertAlign w:val="superscript"/>
          <w:lang w:eastAsia="en-AU"/>
        </w:rPr>
        <w:fldChar w:fldCharType="end"/>
      </w:r>
      <w:r w:rsidRPr="00F1559B">
        <w:rPr>
          <w:rFonts w:ascii="Arial" w:eastAsia="Times New Roman" w:hAnsi="Arial" w:cs="Arial"/>
          <w:color w:val="auto"/>
          <w:vertAlign w:val="superscript"/>
          <w:lang w:eastAsia="en-AU"/>
        </w:rPr>
        <w:t xml:space="preserve"> </w:t>
      </w:r>
    </w:p>
    <w:p w14:paraId="7ED5E568" w14:textId="77777777" w:rsidR="00F1559B" w:rsidRPr="00F1559B" w:rsidRDefault="00F1559B" w:rsidP="00F1559B">
      <w:pPr>
        <w:spacing w:before="240" w:line="276" w:lineRule="auto"/>
        <w:rPr>
          <w:rFonts w:ascii="Arial" w:eastAsia="Times New Roman" w:hAnsi="Arial" w:cs="Arial"/>
          <w:color w:val="auto"/>
          <w:lang w:eastAsia="en-AU"/>
        </w:rPr>
      </w:pPr>
      <w:r w:rsidRPr="00F1559B">
        <w:rPr>
          <w:rFonts w:ascii="Arial" w:eastAsia="Times New Roman" w:hAnsi="Arial" w:cs="Arial"/>
          <w:color w:val="auto"/>
          <w:lang w:eastAsia="en-AU"/>
        </w:rPr>
        <w:t xml:space="preserve">Exposure to antimicrobials, gastric acid suppression medications (especially proton pump inhibitors) and environmental contamination are modifiable risk factors. Addressing these factors can decrease the risk for the onset and spread of </w:t>
      </w:r>
      <w:r w:rsidRPr="00F1559B">
        <w:rPr>
          <w:rFonts w:ascii="Arial" w:eastAsia="Times New Roman" w:hAnsi="Arial" w:cs="Arial"/>
          <w:i/>
          <w:iCs/>
          <w:color w:val="auto"/>
          <w:lang w:eastAsia="en-AU"/>
        </w:rPr>
        <w:t>Clostridioides difficile</w:t>
      </w:r>
      <w:r w:rsidRPr="00F1559B">
        <w:rPr>
          <w:rFonts w:ascii="Arial" w:eastAsia="Times New Roman" w:hAnsi="Arial" w:cs="Arial"/>
          <w:color w:val="auto"/>
          <w:lang w:eastAsia="en-AU"/>
        </w:rPr>
        <w:t xml:space="preserve"> infection (CDI) in both healthcare settings and the community.</w:t>
      </w:r>
    </w:p>
    <w:p w14:paraId="6ECEC6C2" w14:textId="77777777" w:rsidR="00F1559B" w:rsidRPr="00F1559B" w:rsidRDefault="00F1559B" w:rsidP="00F1559B">
      <w:pPr>
        <w:spacing w:before="240" w:line="276" w:lineRule="auto"/>
        <w:rPr>
          <w:rFonts w:ascii="Arial" w:eastAsia="Times New Roman" w:hAnsi="Arial" w:cs="Arial"/>
          <w:color w:val="auto"/>
          <w:lang w:eastAsia="en-AU"/>
        </w:rPr>
      </w:pPr>
      <w:bookmarkStart w:id="2" w:name="_Hlk203723442"/>
      <w:bookmarkStart w:id="3" w:name="_Hlk204760744"/>
      <w:r w:rsidRPr="00F1559B">
        <w:rPr>
          <w:rFonts w:ascii="Arial" w:eastAsia="Times New Roman" w:hAnsi="Arial" w:cs="Arial"/>
          <w:color w:val="auto"/>
          <w:lang w:eastAsia="en-AU"/>
        </w:rPr>
        <w:t>The rate of CDI in Australia has been increasing in recent years, largely due to an increasing prevalence of community-onset CDI</w:t>
      </w:r>
      <w:bookmarkEnd w:id="2"/>
      <w:r w:rsidRPr="00F1559B">
        <w:rPr>
          <w:rFonts w:ascii="Arial" w:eastAsia="Times New Roman" w:hAnsi="Arial" w:cs="Arial"/>
          <w:color w:val="auto"/>
          <w:lang w:eastAsia="en-AU"/>
        </w:rPr>
        <w:t>.</w:t>
      </w:r>
      <w:r w:rsidRPr="00F1559B">
        <w:rPr>
          <w:rFonts w:ascii="Arial" w:eastAsia="Times New Roman" w:hAnsi="Arial" w:cs="Arial"/>
          <w:color w:val="auto"/>
          <w:lang w:eastAsia="en-AU"/>
        </w:rPr>
        <w:fldChar w:fldCharType="begin">
          <w:fldData xml:space="preserve">PEVuZE5vdGU+PENpdGU+PEF1dGhvcj5BdXN0cmFsaWFuIENvbW1pc3Npb24gb24gU2FmZXR5IGFu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</w:fldData>
        </w:fldChar>
      </w:r>
      <w:r w:rsidRPr="00F1559B">
        <w:rPr>
          <w:rFonts w:ascii="Arial" w:eastAsia="Times New Roman" w:hAnsi="Arial" w:cs="Arial"/>
          <w:color w:val="auto"/>
          <w:lang w:eastAsia="en-AU"/>
        </w:rPr>
        <w:instrText xml:space="preserve"> ADDIN EN.CITE </w:instrText>
      </w:r>
      <w:r w:rsidRPr="00F1559B">
        <w:rPr>
          <w:rFonts w:ascii="Arial" w:eastAsia="Times New Roman" w:hAnsi="Arial" w:cs="Arial"/>
          <w:color w:val="auto"/>
          <w:lang w:eastAsia="en-AU"/>
        </w:rPr>
        <w:fldChar w:fldCharType="begin">
          <w:fldData xml:space="preserve">PEVuZE5vdGU+PENpdGU+PEF1dGhvcj5BdXN0cmFsaWFuIENvbW1pc3Npb24gb24gU2FmZXR5IGFu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</w:fldData>
        </w:fldChar>
      </w:r>
      <w:r w:rsidRPr="00F1559B">
        <w:rPr>
          <w:rFonts w:ascii="Arial" w:eastAsia="Times New Roman" w:hAnsi="Arial" w:cs="Arial"/>
          <w:color w:val="auto"/>
          <w:lang w:eastAsia="en-AU"/>
        </w:rPr>
        <w:instrText xml:space="preserve"> ADDIN EN.CITE.DATA </w:instrText>
      </w:r>
      <w:r w:rsidRPr="00F1559B">
        <w:rPr>
          <w:rFonts w:ascii="Arial" w:eastAsia="Times New Roman" w:hAnsi="Arial" w:cs="Arial"/>
          <w:color w:val="auto"/>
          <w:lang w:eastAsia="en-AU"/>
        </w:rPr>
      </w:r>
      <w:r w:rsidRPr="00F1559B">
        <w:rPr>
          <w:rFonts w:ascii="Arial" w:eastAsia="Times New Roman" w:hAnsi="Arial" w:cs="Arial"/>
          <w:color w:val="auto"/>
          <w:lang w:eastAsia="en-AU"/>
        </w:rPr>
        <w:fldChar w:fldCharType="end"/>
      </w:r>
      <w:r w:rsidRPr="00F1559B">
        <w:rPr>
          <w:rFonts w:ascii="Arial" w:eastAsia="Times New Roman" w:hAnsi="Arial" w:cs="Arial"/>
          <w:color w:val="auto"/>
          <w:lang w:eastAsia="en-AU"/>
        </w:rPr>
      </w:r>
      <w:r w:rsidRPr="00F1559B">
        <w:rPr>
          <w:rFonts w:ascii="Arial" w:eastAsia="Times New Roman" w:hAnsi="Arial" w:cs="Arial"/>
          <w:color w:val="auto"/>
          <w:lang w:eastAsia="en-AU"/>
        </w:rPr>
        <w:fldChar w:fldCharType="separate"/>
      </w:r>
      <w:r w:rsidRPr="00F1559B">
        <w:rPr>
          <w:rFonts w:ascii="Arial" w:eastAsia="Times New Roman" w:hAnsi="Arial" w:cs="Arial"/>
          <w:noProof/>
          <w:color w:val="auto"/>
          <w:vertAlign w:val="superscript"/>
          <w:lang w:eastAsia="en-AU"/>
        </w:rPr>
        <w:t>3, 4</w:t>
      </w:r>
      <w:r w:rsidRPr="00F1559B">
        <w:rPr>
          <w:rFonts w:ascii="Arial" w:eastAsia="Times New Roman" w:hAnsi="Arial" w:cs="Arial"/>
          <w:color w:val="auto"/>
          <w:lang w:eastAsia="en-AU"/>
        </w:rPr>
        <w:fldChar w:fldCharType="end"/>
      </w:r>
      <w:r w:rsidRPr="00F1559B">
        <w:rPr>
          <w:rFonts w:ascii="Arial" w:eastAsia="Times New Roman" w:hAnsi="Arial" w:cs="Arial"/>
          <w:color w:val="auto"/>
          <w:lang w:eastAsia="en-AU"/>
        </w:rPr>
        <w:t xml:space="preserve"> This trend marks a shift in the epidemiology of CDI in Australia and suggests that CDI is a larger community health problem than previously understood.</w:t>
      </w:r>
      <w:r w:rsidRPr="00F1559B">
        <w:rPr>
          <w:rFonts w:ascii="Arial" w:eastAsia="Times New Roman" w:hAnsi="Arial" w:cs="Arial"/>
          <w:color w:val="auto"/>
          <w:vertAlign w:val="superscript"/>
          <w:lang w:eastAsia="en-AU"/>
        </w:rPr>
        <w:fldChar w:fldCharType="begin">
          <w:fldData xml:space="preserve">PEVuZE5vdGU+PENpdGU+PEF1dGhvcj5BdXN0cmFsaWFuIENvbW1pc3Npb24gb24gU2FmZXR5IGFu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==
</w:fldData>
        </w:fldChar>
      </w:r>
      <w:r w:rsidRPr="00F1559B">
        <w:rPr>
          <w:rFonts w:ascii="Arial" w:eastAsia="Times New Roman" w:hAnsi="Arial" w:cs="Arial"/>
          <w:color w:val="auto"/>
          <w:vertAlign w:val="superscript"/>
          <w:lang w:eastAsia="en-AU"/>
        </w:rPr>
        <w:instrText xml:space="preserve"> ADDIN EN.CITE </w:instrText>
      </w:r>
      <w:r w:rsidRPr="00F1559B">
        <w:rPr>
          <w:rFonts w:ascii="Arial" w:eastAsia="Times New Roman" w:hAnsi="Arial" w:cs="Arial"/>
          <w:color w:val="auto"/>
          <w:vertAlign w:val="superscript"/>
          <w:lang w:eastAsia="en-AU"/>
        </w:rPr>
        <w:fldChar w:fldCharType="begin">
          <w:fldData xml:space="preserve">PEVuZE5vdGU+PENpdGU+PEF1dGhvcj5BdXN0cmFsaWFuIENvbW1pc3Npb24gb24gU2FmZXR5IGFu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==
</w:fldData>
        </w:fldChar>
      </w:r>
      <w:r w:rsidRPr="00F1559B">
        <w:rPr>
          <w:rFonts w:ascii="Arial" w:eastAsia="Times New Roman" w:hAnsi="Arial" w:cs="Arial"/>
          <w:color w:val="auto"/>
          <w:vertAlign w:val="superscript"/>
          <w:lang w:eastAsia="en-AU"/>
        </w:rPr>
        <w:instrText xml:space="preserve"> ADDIN EN.CITE.DATA </w:instrText>
      </w:r>
      <w:r w:rsidRPr="00F1559B">
        <w:rPr>
          <w:rFonts w:ascii="Arial" w:eastAsia="Times New Roman" w:hAnsi="Arial" w:cs="Arial"/>
          <w:color w:val="auto"/>
          <w:vertAlign w:val="superscript"/>
          <w:lang w:eastAsia="en-AU"/>
        </w:rPr>
      </w:r>
      <w:r w:rsidRPr="00F1559B">
        <w:rPr>
          <w:rFonts w:ascii="Arial" w:eastAsia="Times New Roman" w:hAnsi="Arial" w:cs="Arial"/>
          <w:color w:val="auto"/>
          <w:vertAlign w:val="superscript"/>
          <w:lang w:eastAsia="en-AU"/>
        </w:rPr>
        <w:fldChar w:fldCharType="end"/>
      </w:r>
      <w:r w:rsidRPr="00F1559B">
        <w:rPr>
          <w:rFonts w:ascii="Arial" w:eastAsia="Times New Roman" w:hAnsi="Arial" w:cs="Arial"/>
          <w:color w:val="auto"/>
          <w:vertAlign w:val="superscript"/>
          <w:lang w:eastAsia="en-AU"/>
        </w:rPr>
      </w:r>
      <w:r w:rsidRPr="00F1559B">
        <w:rPr>
          <w:rFonts w:ascii="Arial" w:eastAsia="Times New Roman" w:hAnsi="Arial" w:cs="Arial"/>
          <w:color w:val="auto"/>
          <w:vertAlign w:val="superscript"/>
          <w:lang w:eastAsia="en-AU"/>
        </w:rPr>
        <w:fldChar w:fldCharType="separate"/>
      </w:r>
      <w:r w:rsidRPr="00F1559B">
        <w:rPr>
          <w:rFonts w:ascii="Arial" w:eastAsia="Times New Roman" w:hAnsi="Arial" w:cs="Arial"/>
          <w:noProof/>
          <w:color w:val="auto"/>
          <w:vertAlign w:val="superscript"/>
          <w:lang w:eastAsia="en-AU"/>
        </w:rPr>
        <w:t>5, 6</w:t>
      </w:r>
      <w:r w:rsidRPr="00F1559B">
        <w:rPr>
          <w:rFonts w:ascii="Arial" w:eastAsia="Times New Roman" w:hAnsi="Arial" w:cs="Arial"/>
          <w:color w:val="auto"/>
          <w:vertAlign w:val="superscript"/>
          <w:lang w:eastAsia="en-AU"/>
        </w:rPr>
        <w:fldChar w:fldCharType="end"/>
      </w:r>
    </w:p>
    <w:bookmarkEnd w:id="3"/>
    <w:p w14:paraId="0DABE39C" w14:textId="77777777" w:rsidR="00F1559B" w:rsidRPr="00F1559B" w:rsidRDefault="00F1559B" w:rsidP="00F1559B">
      <w:pPr>
        <w:widowControl w:val="0"/>
        <w:autoSpaceDE w:val="0"/>
        <w:autoSpaceDN w:val="0"/>
        <w:spacing w:before="201" w:after="0" w:line="276" w:lineRule="auto"/>
        <w:rPr>
          <w:rFonts w:ascii="Arial" w:eastAsia="Arial" w:hAnsi="Arial" w:cs="Arial"/>
          <w:color w:val="auto"/>
          <w:lang w:val="en-US"/>
        </w:rPr>
      </w:pPr>
      <w:r w:rsidRPr="00F1559B">
        <w:rPr>
          <w:rFonts w:ascii="Arial" w:eastAsia="Arial" w:hAnsi="Arial" w:cs="Arial"/>
          <w:color w:val="auto"/>
          <w:lang w:val="en-US"/>
        </w:rPr>
        <w:t xml:space="preserve">While most cases occur in the community, it is in hospital where most cases are detected due to the opportunity to test symptomatic patients. </w:t>
      </w:r>
      <w:bookmarkStart w:id="4" w:name="_Hlk204761276"/>
      <w:r w:rsidRPr="00F1559B">
        <w:rPr>
          <w:rFonts w:ascii="Arial" w:eastAsia="Arial" w:hAnsi="Arial" w:cs="Arial"/>
          <w:color w:val="auto"/>
          <w:lang w:val="en-US"/>
        </w:rPr>
        <w:t>This report examines the burden of CDI in Australian public hospitals in 2022 and 2023.</w:t>
      </w:r>
      <w:bookmarkEnd w:id="4"/>
    </w:p>
    <w:p w14:paraId="11C163B6" w14:textId="6A50917F" w:rsidR="00F53E64" w:rsidRDefault="00F1559B" w:rsidP="00FF4D6B">
      <w:pPr>
        <w:pStyle w:val="Heading2"/>
      </w:pPr>
      <w:bookmarkStart w:id="5" w:name="_Toc205909357"/>
      <w:r>
        <w:t>Key findings</w:t>
      </w:r>
      <w:bookmarkEnd w:id="5"/>
    </w:p>
    <w:p w14:paraId="628FA168" w14:textId="77777777" w:rsidR="00F1559B" w:rsidRPr="00F1559B" w:rsidRDefault="00F1559B" w:rsidP="002F6516">
      <w:pPr>
        <w:pStyle w:val="Heading3"/>
        <w:rPr>
          <w:lang w:eastAsia="en-AU"/>
        </w:rPr>
      </w:pPr>
      <w:bookmarkStart w:id="6" w:name="_Hlk167970179"/>
      <w:r w:rsidRPr="00F1559B">
        <w:rPr>
          <w:lang w:eastAsia="en-AU"/>
        </w:rPr>
        <w:t>What</w:t>
      </w:r>
      <w:r w:rsidRPr="00F1559B">
        <w:rPr>
          <w:spacing w:val="-7"/>
          <w:lang w:eastAsia="en-AU"/>
        </w:rPr>
        <w:t xml:space="preserve"> </w:t>
      </w:r>
      <w:r w:rsidRPr="00F1559B">
        <w:rPr>
          <w:lang w:eastAsia="en-AU"/>
        </w:rPr>
        <w:t>does</w:t>
      </w:r>
      <w:r w:rsidRPr="00F1559B">
        <w:rPr>
          <w:spacing w:val="-7"/>
          <w:lang w:eastAsia="en-AU"/>
        </w:rPr>
        <w:t xml:space="preserve"> </w:t>
      </w:r>
      <w:r w:rsidRPr="00F1559B">
        <w:rPr>
          <w:lang w:eastAsia="en-AU"/>
        </w:rPr>
        <w:t>the</w:t>
      </w:r>
      <w:r w:rsidRPr="00F1559B">
        <w:rPr>
          <w:spacing w:val="-7"/>
          <w:lang w:eastAsia="en-AU"/>
        </w:rPr>
        <w:t xml:space="preserve"> </w:t>
      </w:r>
      <w:r w:rsidRPr="00F1559B">
        <w:rPr>
          <w:lang w:eastAsia="en-AU"/>
        </w:rPr>
        <w:t>analysis</w:t>
      </w:r>
      <w:r w:rsidRPr="00F1559B">
        <w:rPr>
          <w:spacing w:val="-7"/>
          <w:lang w:eastAsia="en-AU"/>
        </w:rPr>
        <w:t xml:space="preserve"> </w:t>
      </w:r>
      <w:r w:rsidRPr="00F1559B">
        <w:rPr>
          <w:lang w:eastAsia="en-AU"/>
        </w:rPr>
        <w:t>show</w:t>
      </w:r>
      <w:r w:rsidRPr="00F1559B">
        <w:rPr>
          <w:spacing w:val="-4"/>
          <w:lang w:eastAsia="en-AU"/>
        </w:rPr>
        <w:t xml:space="preserve"> </w:t>
      </w:r>
      <w:r w:rsidRPr="00F1559B">
        <w:rPr>
          <w:lang w:eastAsia="en-AU"/>
        </w:rPr>
        <w:t>about</w:t>
      </w:r>
      <w:r w:rsidRPr="00F1559B">
        <w:rPr>
          <w:spacing w:val="-4"/>
          <w:lang w:eastAsia="en-AU"/>
        </w:rPr>
        <w:t xml:space="preserve"> </w:t>
      </w:r>
      <w:r w:rsidRPr="00F1559B">
        <w:rPr>
          <w:lang w:eastAsia="en-AU"/>
        </w:rPr>
        <w:t>CDI</w:t>
      </w:r>
      <w:r w:rsidRPr="00F1559B">
        <w:rPr>
          <w:spacing w:val="-4"/>
          <w:lang w:eastAsia="en-AU"/>
        </w:rPr>
        <w:t xml:space="preserve"> </w:t>
      </w:r>
      <w:r w:rsidRPr="00F1559B">
        <w:rPr>
          <w:lang w:eastAsia="en-AU"/>
        </w:rPr>
        <w:t>in</w:t>
      </w:r>
      <w:r w:rsidRPr="00F1559B">
        <w:rPr>
          <w:spacing w:val="-6"/>
          <w:lang w:eastAsia="en-AU"/>
        </w:rPr>
        <w:t xml:space="preserve"> </w:t>
      </w:r>
      <w:r w:rsidRPr="00F1559B">
        <w:rPr>
          <w:lang w:eastAsia="en-AU"/>
        </w:rPr>
        <w:t>Australia in 2022 and 2023?</w:t>
      </w:r>
    </w:p>
    <w:p w14:paraId="3B2FF5D6" w14:textId="77777777" w:rsidR="00F1559B" w:rsidRPr="00F1559B" w:rsidRDefault="00F1559B" w:rsidP="002F6516">
      <w:pPr>
        <w:pStyle w:val="ListBullet"/>
        <w:rPr>
          <w:rFonts w:eastAsia="Arial"/>
          <w:lang w:val="en-US"/>
        </w:rPr>
      </w:pPr>
      <w:bookmarkStart w:id="7" w:name="_Hlk204760789"/>
      <w:r w:rsidRPr="00F1559B">
        <w:t>Separations with a CDI diagnosis decreased between 2022 and 2023 by 6.19%.</w:t>
      </w:r>
    </w:p>
    <w:p w14:paraId="39F6F187" w14:textId="3C847590" w:rsidR="00F1559B" w:rsidRPr="00F1559B" w:rsidRDefault="00F1559B" w:rsidP="002F6516">
      <w:pPr>
        <w:pStyle w:val="ListBullet"/>
        <w:rPr>
          <w:rFonts w:eastAsia="Arial"/>
          <w:lang w:val="en-US"/>
        </w:rPr>
      </w:pPr>
      <w:r w:rsidRPr="00F1559B">
        <w:rPr>
          <w:rFonts w:eastAsia="Arial"/>
          <w:lang w:val="en-US"/>
        </w:rPr>
        <w:t>Community-onset</w:t>
      </w:r>
      <w:r w:rsidRPr="00F1559B">
        <w:rPr>
          <w:rFonts w:eastAsia="Arial"/>
          <w:spacing w:val="-4"/>
          <w:lang w:val="en-US"/>
        </w:rPr>
        <w:t xml:space="preserve"> </w:t>
      </w:r>
      <w:r w:rsidRPr="00F1559B">
        <w:rPr>
          <w:rFonts w:eastAsia="Arial"/>
          <w:lang w:val="en-US"/>
        </w:rPr>
        <w:t>CDI</w:t>
      </w:r>
      <w:r w:rsidRPr="00F1559B">
        <w:rPr>
          <w:rFonts w:eastAsia="Arial"/>
          <w:spacing w:val="-4"/>
          <w:lang w:val="en-US"/>
        </w:rPr>
        <w:t xml:space="preserve"> accounted for </w:t>
      </w:r>
      <w:r w:rsidR="00142D1D">
        <w:rPr>
          <w:rFonts w:eastAsia="Arial"/>
          <w:spacing w:val="-4"/>
          <w:lang w:val="en-US"/>
        </w:rPr>
        <w:t xml:space="preserve">nearly 80% </w:t>
      </w:r>
      <w:r w:rsidRPr="00F1559B">
        <w:rPr>
          <w:rFonts w:eastAsia="Arial"/>
          <w:spacing w:val="-4"/>
          <w:lang w:val="en-US"/>
        </w:rPr>
        <w:t xml:space="preserve">of all separations with a CDI diagnosis. </w:t>
      </w:r>
    </w:p>
    <w:p w14:paraId="519C9944" w14:textId="77777777" w:rsidR="00F1559B" w:rsidRPr="00F1559B" w:rsidRDefault="00F1559B" w:rsidP="002F6516">
      <w:pPr>
        <w:pStyle w:val="ListBullet"/>
        <w:rPr>
          <w:rFonts w:eastAsia="Arial"/>
          <w:lang w:val="en-US"/>
        </w:rPr>
      </w:pPr>
      <w:r w:rsidRPr="00F1559B">
        <w:rPr>
          <w:rFonts w:eastAsia="Arial"/>
          <w:spacing w:val="-2"/>
          <w:lang w:val="en-US"/>
        </w:rPr>
        <w:t>More than half of all individuals with community-onset CDI were female (56.51%), and 62.30% were in individuals aged over 65 years.</w:t>
      </w:r>
      <w:bookmarkEnd w:id="7"/>
    </w:p>
    <w:p w14:paraId="508F3AA8" w14:textId="159255E2" w:rsidR="00E53F6A" w:rsidRPr="00830A7A" w:rsidRDefault="00F1559B" w:rsidP="002F6516">
      <w:pPr>
        <w:pStyle w:val="ListBullet"/>
        <w:rPr>
          <w:rFonts w:ascii="Arial" w:hAnsi="Arial"/>
          <w:b/>
          <w:bCs/>
          <w:sz w:val="24"/>
          <w:szCs w:val="24"/>
        </w:rPr>
      </w:pPr>
      <w:r w:rsidRPr="00F1559B">
        <w:rPr>
          <w:rFonts w:eastAsia="Arial"/>
          <w:color w:val="000000"/>
          <w:spacing w:val="-2"/>
          <w:lang w:val="en-US"/>
        </w:rPr>
        <w:t xml:space="preserve">Two-thirds of separations with a community-onset CDI diagnosis were in a major city (2022: 66.98%; 2023: 66.45%). </w:t>
      </w:r>
      <w:bookmarkStart w:id="8" w:name="What_do_these_findings_mean_and_why_are_"/>
      <w:bookmarkEnd w:id="8"/>
    </w:p>
    <w:p w14:paraId="354FEFE5" w14:textId="2958D925" w:rsidR="00F1559B" w:rsidRPr="00F1559B" w:rsidRDefault="00F1559B" w:rsidP="002F6516">
      <w:pPr>
        <w:pStyle w:val="Heading3"/>
        <w:rPr>
          <w:lang w:eastAsia="en-AU"/>
        </w:rPr>
      </w:pPr>
      <w:r w:rsidRPr="00F1559B">
        <w:rPr>
          <w:lang w:eastAsia="en-AU"/>
        </w:rPr>
        <w:t>What</w:t>
      </w:r>
      <w:r w:rsidRPr="00F1559B">
        <w:rPr>
          <w:spacing w:val="-8"/>
          <w:lang w:eastAsia="en-AU"/>
        </w:rPr>
        <w:t xml:space="preserve"> </w:t>
      </w:r>
      <w:r w:rsidRPr="00F1559B">
        <w:rPr>
          <w:lang w:eastAsia="en-AU"/>
        </w:rPr>
        <w:t>do</w:t>
      </w:r>
      <w:r w:rsidRPr="00F1559B">
        <w:rPr>
          <w:spacing w:val="-8"/>
          <w:lang w:eastAsia="en-AU"/>
        </w:rPr>
        <w:t xml:space="preserve"> </w:t>
      </w:r>
      <w:r w:rsidRPr="00F1559B">
        <w:rPr>
          <w:lang w:eastAsia="en-AU"/>
        </w:rPr>
        <w:t>these</w:t>
      </w:r>
      <w:r w:rsidRPr="00F1559B">
        <w:rPr>
          <w:spacing w:val="-5"/>
          <w:lang w:eastAsia="en-AU"/>
        </w:rPr>
        <w:t xml:space="preserve"> </w:t>
      </w:r>
      <w:r w:rsidRPr="00F1559B">
        <w:rPr>
          <w:lang w:eastAsia="en-AU"/>
        </w:rPr>
        <w:t>findings</w:t>
      </w:r>
      <w:r w:rsidRPr="00F1559B">
        <w:rPr>
          <w:spacing w:val="-7"/>
          <w:lang w:eastAsia="en-AU"/>
        </w:rPr>
        <w:t xml:space="preserve"> </w:t>
      </w:r>
      <w:r w:rsidRPr="00F1559B">
        <w:rPr>
          <w:lang w:eastAsia="en-AU"/>
        </w:rPr>
        <w:t>mean</w:t>
      </w:r>
      <w:r w:rsidRPr="00F1559B">
        <w:rPr>
          <w:spacing w:val="-8"/>
          <w:lang w:eastAsia="en-AU"/>
        </w:rPr>
        <w:t xml:space="preserve"> </w:t>
      </w:r>
      <w:r w:rsidRPr="00F1559B">
        <w:rPr>
          <w:lang w:eastAsia="en-AU"/>
        </w:rPr>
        <w:t>and</w:t>
      </w:r>
      <w:r w:rsidRPr="00F1559B">
        <w:rPr>
          <w:spacing w:val="-5"/>
          <w:lang w:eastAsia="en-AU"/>
        </w:rPr>
        <w:t xml:space="preserve"> </w:t>
      </w:r>
      <w:r w:rsidRPr="00F1559B">
        <w:rPr>
          <w:lang w:eastAsia="en-AU"/>
        </w:rPr>
        <w:t>why</w:t>
      </w:r>
      <w:r w:rsidRPr="00F1559B">
        <w:rPr>
          <w:spacing w:val="-4"/>
          <w:lang w:eastAsia="en-AU"/>
        </w:rPr>
        <w:t xml:space="preserve"> </w:t>
      </w:r>
      <w:r w:rsidRPr="00F1559B">
        <w:rPr>
          <w:lang w:eastAsia="en-AU"/>
        </w:rPr>
        <w:t>are</w:t>
      </w:r>
      <w:r w:rsidRPr="00F1559B">
        <w:rPr>
          <w:spacing w:val="-8"/>
          <w:lang w:eastAsia="en-AU"/>
        </w:rPr>
        <w:t xml:space="preserve"> </w:t>
      </w:r>
      <w:r w:rsidRPr="00F1559B">
        <w:rPr>
          <w:lang w:eastAsia="en-AU"/>
        </w:rPr>
        <w:t>they</w:t>
      </w:r>
      <w:r w:rsidRPr="00F1559B">
        <w:rPr>
          <w:spacing w:val="-8"/>
          <w:lang w:eastAsia="en-AU"/>
        </w:rPr>
        <w:t xml:space="preserve"> </w:t>
      </w:r>
      <w:r w:rsidRPr="00F1559B">
        <w:rPr>
          <w:spacing w:val="-2"/>
          <w:lang w:eastAsia="en-AU"/>
        </w:rPr>
        <w:t>important?</w:t>
      </w:r>
    </w:p>
    <w:p w14:paraId="56B2EDD8" w14:textId="77777777" w:rsidR="00F1559B" w:rsidRPr="00F1559B" w:rsidRDefault="00F1559B" w:rsidP="00F1559B">
      <w:pPr>
        <w:widowControl w:val="0"/>
        <w:autoSpaceDE w:val="0"/>
        <w:autoSpaceDN w:val="0"/>
        <w:spacing w:before="58" w:after="0" w:line="276" w:lineRule="auto"/>
        <w:rPr>
          <w:rFonts w:ascii="Arial" w:eastAsia="Arial" w:hAnsi="Arial" w:cs="Arial"/>
          <w:color w:val="auto"/>
          <w:lang w:val="en-US"/>
        </w:rPr>
      </w:pPr>
      <w:bookmarkStart w:id="9" w:name="_Hlk204760836"/>
      <w:r w:rsidRPr="00F1559B">
        <w:rPr>
          <w:rFonts w:ascii="Arial" w:eastAsia="Arial" w:hAnsi="Arial" w:cs="Arial"/>
          <w:color w:val="auto"/>
          <w:lang w:val="en-US"/>
        </w:rPr>
        <w:t>These findings suggest that hospital-based</w:t>
      </w:r>
      <w:r w:rsidRPr="00F1559B">
        <w:rPr>
          <w:rFonts w:ascii="Arial" w:eastAsia="Arial" w:hAnsi="Arial" w:cs="Arial"/>
          <w:color w:val="auto"/>
          <w:spacing w:val="-10"/>
          <w:lang w:val="en-US"/>
        </w:rPr>
        <w:t xml:space="preserve"> prevention and control </w:t>
      </w:r>
      <w:r w:rsidRPr="00F1559B">
        <w:rPr>
          <w:rFonts w:ascii="Arial" w:eastAsia="Arial" w:hAnsi="Arial" w:cs="Arial"/>
          <w:color w:val="auto"/>
          <w:lang w:val="en-US"/>
        </w:rPr>
        <w:t>strategies</w:t>
      </w:r>
      <w:r w:rsidRPr="00F1559B">
        <w:rPr>
          <w:rFonts w:ascii="Arial" w:eastAsia="Arial" w:hAnsi="Arial" w:cs="Arial"/>
          <w:color w:val="auto"/>
          <w:spacing w:val="-9"/>
          <w:lang w:val="en-US"/>
        </w:rPr>
        <w:t xml:space="preserve"> </w:t>
      </w:r>
      <w:r w:rsidRPr="00F1559B">
        <w:rPr>
          <w:rFonts w:ascii="Arial" w:eastAsia="Arial" w:hAnsi="Arial" w:cs="Arial"/>
          <w:color w:val="auto"/>
          <w:lang w:val="en-US"/>
        </w:rPr>
        <w:t>are</w:t>
      </w:r>
      <w:r w:rsidRPr="00F1559B">
        <w:rPr>
          <w:rFonts w:ascii="Arial" w:eastAsia="Arial" w:hAnsi="Arial" w:cs="Arial"/>
          <w:color w:val="auto"/>
          <w:spacing w:val="-9"/>
          <w:lang w:val="en-US"/>
        </w:rPr>
        <w:t xml:space="preserve"> </w:t>
      </w:r>
      <w:r w:rsidRPr="00F1559B">
        <w:rPr>
          <w:rFonts w:ascii="Arial" w:eastAsia="Arial" w:hAnsi="Arial" w:cs="Arial"/>
          <w:color w:val="auto"/>
          <w:spacing w:val="-2"/>
          <w:lang w:val="en-US"/>
        </w:rPr>
        <w:t>effective in limiting the spread and onset of CDI in hospitals. The</w:t>
      </w:r>
      <w:r w:rsidRPr="00F1559B">
        <w:rPr>
          <w:rFonts w:ascii="Arial" w:eastAsia="Arial" w:hAnsi="Arial" w:cs="Arial"/>
          <w:color w:val="auto"/>
          <w:lang w:val="en-US"/>
        </w:rPr>
        <w:t xml:space="preserve"> increasing burden of community-onset</w:t>
      </w:r>
      <w:r w:rsidRPr="00F1559B">
        <w:rPr>
          <w:rFonts w:ascii="Arial" w:eastAsia="Arial" w:hAnsi="Arial" w:cs="Arial"/>
          <w:color w:val="auto"/>
          <w:spacing w:val="-8"/>
          <w:lang w:val="en-US"/>
        </w:rPr>
        <w:t xml:space="preserve"> </w:t>
      </w:r>
      <w:r w:rsidRPr="00F1559B">
        <w:rPr>
          <w:rFonts w:ascii="Arial" w:eastAsia="Arial" w:hAnsi="Arial" w:cs="Arial"/>
          <w:color w:val="auto"/>
          <w:lang w:val="en-US"/>
        </w:rPr>
        <w:t>CDI</w:t>
      </w:r>
      <w:r w:rsidRPr="00F1559B">
        <w:rPr>
          <w:rFonts w:ascii="Arial" w:eastAsia="Arial" w:hAnsi="Arial" w:cs="Arial"/>
          <w:color w:val="auto"/>
          <w:spacing w:val="-3"/>
          <w:lang w:val="en-US"/>
        </w:rPr>
        <w:t xml:space="preserve"> </w:t>
      </w:r>
      <w:r w:rsidRPr="00F1559B">
        <w:rPr>
          <w:rFonts w:ascii="Arial" w:eastAsia="Arial" w:hAnsi="Arial" w:cs="Arial"/>
          <w:color w:val="auto"/>
          <w:spacing w:val="-2"/>
          <w:lang w:val="en-US"/>
        </w:rPr>
        <w:t>creates risks for the continuing effectiveness of infection prevention and control in the acute care sector.</w:t>
      </w:r>
    </w:p>
    <w:p w14:paraId="295B6684" w14:textId="77777777" w:rsidR="00F1559B" w:rsidRPr="00F1559B" w:rsidRDefault="00F1559B" w:rsidP="00F1559B">
      <w:pPr>
        <w:widowControl w:val="0"/>
        <w:autoSpaceDE w:val="0"/>
        <w:autoSpaceDN w:val="0"/>
        <w:spacing w:before="58" w:after="0" w:line="276" w:lineRule="auto"/>
        <w:rPr>
          <w:rFonts w:ascii="Arial" w:eastAsia="Arial" w:hAnsi="Arial" w:cs="Arial"/>
          <w:color w:val="auto"/>
          <w:lang w:val="en-US"/>
        </w:rPr>
      </w:pPr>
      <w:r w:rsidRPr="00F1559B">
        <w:rPr>
          <w:rFonts w:ascii="Arial" w:eastAsia="Arial" w:hAnsi="Arial" w:cs="Arial"/>
          <w:color w:val="auto"/>
          <w:lang w:val="en-US"/>
        </w:rPr>
        <w:t>The changing epidemiology of</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 xml:space="preserve">CDI in </w:t>
      </w:r>
      <w:r w:rsidRPr="00F1559B">
        <w:rPr>
          <w:rFonts w:ascii="Arial" w:eastAsia="Arial" w:hAnsi="Arial" w:cs="Arial"/>
          <w:color w:val="auto"/>
          <w:spacing w:val="-4"/>
          <w:lang w:val="en-US"/>
        </w:rPr>
        <w:t xml:space="preserve">Australia should be considered in the </w:t>
      </w:r>
      <w:r w:rsidRPr="00F1559B">
        <w:rPr>
          <w:rFonts w:ascii="Arial" w:eastAsia="Arial" w:hAnsi="Arial" w:cs="Arial"/>
          <w:color w:val="auto"/>
          <w:lang w:val="en-US"/>
        </w:rPr>
        <w:t>development and promotion of interventions, such as antimicrobial stewardship programs in primary and community care settings, and hospital infection prevention and control programs.</w:t>
      </w:r>
    </w:p>
    <w:bookmarkEnd w:id="6"/>
    <w:bookmarkEnd w:id="9"/>
    <w:p w14:paraId="4F938B37" w14:textId="77777777" w:rsidR="00F1559B" w:rsidRDefault="00F1559B" w:rsidP="00F1559B"/>
    <w:p w14:paraId="56AC0E5F" w14:textId="77777777" w:rsidR="00F1559B" w:rsidRDefault="00F1559B" w:rsidP="00F1559B"/>
    <w:p w14:paraId="0190889E" w14:textId="77777777" w:rsidR="00F1559B" w:rsidRPr="00F1559B" w:rsidRDefault="00F1559B" w:rsidP="00F1559B"/>
    <w:p w14:paraId="5FE3B02B" w14:textId="77777777" w:rsidR="00830A7A" w:rsidRDefault="00830A7A">
      <w:pPr>
        <w:rPr>
          <w:rFonts w:asciiTheme="majorHAnsi" w:hAnsiTheme="majorHAnsi"/>
          <w:sz w:val="52"/>
          <w:szCs w:val="44"/>
        </w:rPr>
      </w:pPr>
      <w:r>
        <w:br w:type="page"/>
      </w:r>
    </w:p>
    <w:p w14:paraId="6B595F63" w14:textId="17137106" w:rsidR="00F1559B" w:rsidRDefault="00F1559B" w:rsidP="00F1559B">
      <w:pPr>
        <w:pStyle w:val="Heading1"/>
      </w:pPr>
      <w:bookmarkStart w:id="10" w:name="_Toc205909358"/>
      <w:r>
        <w:lastRenderedPageBreak/>
        <w:t>Introduction</w:t>
      </w:r>
      <w:bookmarkEnd w:id="10"/>
    </w:p>
    <w:p w14:paraId="7588D3A6" w14:textId="77777777" w:rsidR="00F1559B" w:rsidRPr="00F1559B" w:rsidRDefault="00F1559B" w:rsidP="002F6516">
      <w:pPr>
        <w:pStyle w:val="Heading2"/>
        <w:rPr>
          <w:lang w:eastAsia="en-AU"/>
        </w:rPr>
      </w:pPr>
      <w:bookmarkStart w:id="11" w:name="_Toc205909359"/>
      <w:r w:rsidRPr="00F1559B">
        <w:rPr>
          <w:lang w:eastAsia="en-AU"/>
        </w:rPr>
        <w:t>About</w:t>
      </w:r>
      <w:r w:rsidRPr="00F1559B">
        <w:rPr>
          <w:spacing w:val="-12"/>
          <w:lang w:eastAsia="en-AU"/>
        </w:rPr>
        <w:t xml:space="preserve"> </w:t>
      </w:r>
      <w:r w:rsidRPr="00F1559B">
        <w:rPr>
          <w:lang w:eastAsia="en-AU"/>
        </w:rPr>
        <w:t>Clostridioides</w:t>
      </w:r>
      <w:r w:rsidRPr="00F1559B">
        <w:rPr>
          <w:spacing w:val="-12"/>
          <w:lang w:eastAsia="en-AU"/>
        </w:rPr>
        <w:t xml:space="preserve"> </w:t>
      </w:r>
      <w:r w:rsidRPr="00F1559B">
        <w:rPr>
          <w:spacing w:val="-2"/>
          <w:lang w:eastAsia="en-AU"/>
        </w:rPr>
        <w:t>difficile</w:t>
      </w:r>
      <w:bookmarkEnd w:id="11"/>
    </w:p>
    <w:p w14:paraId="1D2C6B7C" w14:textId="77777777" w:rsidR="00F1559B" w:rsidRPr="00F1559B" w:rsidRDefault="00F1559B" w:rsidP="00F1559B">
      <w:pPr>
        <w:widowControl w:val="0"/>
        <w:autoSpaceDE w:val="0"/>
        <w:autoSpaceDN w:val="0"/>
        <w:spacing w:before="61" w:after="240" w:line="276" w:lineRule="auto"/>
        <w:rPr>
          <w:rFonts w:ascii="Arial" w:eastAsia="Arial" w:hAnsi="Arial" w:cs="Arial"/>
          <w:color w:val="auto"/>
          <w:spacing w:val="-1"/>
          <w:lang w:val="en-US"/>
        </w:rPr>
      </w:pPr>
      <w:r w:rsidRPr="00F1559B">
        <w:rPr>
          <w:rFonts w:ascii="Arial" w:eastAsia="Arial" w:hAnsi="Arial" w:cs="Arial"/>
          <w:i/>
          <w:color w:val="auto"/>
          <w:lang w:val="en-US"/>
        </w:rPr>
        <w:t>Clostridioides difficile (C. difficile)</w:t>
      </w:r>
      <w:r w:rsidRPr="00F1559B">
        <w:rPr>
          <w:rFonts w:ascii="Arial" w:eastAsia="Arial" w:hAnsi="Arial" w:cs="Arial"/>
          <w:i/>
          <w:color w:val="auto"/>
          <w:spacing w:val="-1"/>
          <w:lang w:val="en-US"/>
        </w:rPr>
        <w:t xml:space="preserve"> </w:t>
      </w:r>
      <w:r w:rsidRPr="00F1559B">
        <w:rPr>
          <w:rFonts w:ascii="Arial" w:eastAsia="Arial" w:hAnsi="Arial" w:cs="Arial"/>
          <w:color w:val="auto"/>
          <w:spacing w:val="-1"/>
          <w:lang w:val="en-US"/>
        </w:rPr>
        <w:t xml:space="preserve">spreads </w:t>
      </w:r>
      <w:r w:rsidRPr="00F1559B">
        <w:rPr>
          <w:rFonts w:ascii="Arial" w:eastAsia="Arial" w:hAnsi="Arial" w:cs="Arial"/>
          <w:color w:val="auto"/>
          <w:lang w:val="en-US"/>
        </w:rPr>
        <w:t>via the oral-faecal route and through contamination of and survival on environmental surfaces and in food</w:t>
      </w:r>
      <w:r w:rsidRPr="00F1559B">
        <w:rPr>
          <w:rFonts w:ascii="Arial" w:eastAsia="Arial" w:hAnsi="Arial" w:cs="Arial"/>
          <w:color w:val="auto"/>
          <w:spacing w:val="-1"/>
          <w:lang w:val="en-US"/>
        </w:rPr>
        <w:t>.</w:t>
      </w:r>
      <w:r w:rsidRPr="00F1559B">
        <w:rPr>
          <w:rFonts w:ascii="Arial" w:eastAsia="Arial" w:hAnsi="Arial" w:cs="Arial"/>
          <w:color w:val="auto"/>
          <w:spacing w:val="-1"/>
          <w:lang w:val="en-US"/>
        </w:rPr>
        <w:fldChar w:fldCharType="begin">
          <w:fldData xml:space="preserve">PEVuZE5vdGU+PENpdGU+PEF1dGhvcj5MYXJjb21iZTwvQXV0aG9yPjxZZWFyPjIwMjM8L1llYXI+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</w:fldData>
        </w:fldChar>
      </w:r>
      <w:r w:rsidRPr="00F1559B">
        <w:rPr>
          <w:rFonts w:ascii="Arial" w:eastAsia="Arial" w:hAnsi="Arial" w:cs="Arial"/>
          <w:color w:val="auto"/>
          <w:spacing w:val="-1"/>
          <w:lang w:val="en-US"/>
        </w:rPr>
        <w:instrText xml:space="preserve"> ADDIN EN.CITE </w:instrText>
      </w:r>
      <w:r w:rsidRPr="00F1559B">
        <w:rPr>
          <w:rFonts w:ascii="Arial" w:eastAsia="Arial" w:hAnsi="Arial" w:cs="Arial"/>
          <w:color w:val="auto"/>
          <w:spacing w:val="-1"/>
          <w:lang w:val="en-US"/>
        </w:rPr>
        <w:fldChar w:fldCharType="begin">
          <w:fldData xml:space="preserve">PEVuZE5vdGU+PENpdGU+PEF1dGhvcj5MYXJjb21iZTwvQXV0aG9yPjxZZWFyPjIwMjM8L1llYXI+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</w:fldData>
        </w:fldChar>
      </w:r>
      <w:r w:rsidRPr="00F1559B">
        <w:rPr>
          <w:rFonts w:ascii="Arial" w:eastAsia="Arial" w:hAnsi="Arial" w:cs="Arial"/>
          <w:color w:val="auto"/>
          <w:spacing w:val="-1"/>
          <w:lang w:val="en-US"/>
        </w:rPr>
        <w:instrText xml:space="preserve"> ADDIN EN.CITE.DATA </w:instrText>
      </w:r>
      <w:r w:rsidRPr="00F1559B">
        <w:rPr>
          <w:rFonts w:ascii="Arial" w:eastAsia="Arial" w:hAnsi="Arial" w:cs="Arial"/>
          <w:color w:val="auto"/>
          <w:spacing w:val="-1"/>
          <w:lang w:val="en-US"/>
        </w:rPr>
      </w:r>
      <w:r w:rsidRPr="00F1559B">
        <w:rPr>
          <w:rFonts w:ascii="Arial" w:eastAsia="Arial" w:hAnsi="Arial" w:cs="Arial"/>
          <w:color w:val="auto"/>
          <w:spacing w:val="-1"/>
          <w:lang w:val="en-US"/>
        </w:rPr>
        <w:fldChar w:fldCharType="end"/>
      </w:r>
      <w:r w:rsidRPr="00F1559B">
        <w:rPr>
          <w:rFonts w:ascii="Arial" w:eastAsia="Arial" w:hAnsi="Arial" w:cs="Arial"/>
          <w:color w:val="auto"/>
          <w:spacing w:val="-1"/>
          <w:lang w:val="en-US"/>
        </w:rPr>
      </w:r>
      <w:r w:rsidRPr="00F1559B">
        <w:rPr>
          <w:rFonts w:ascii="Arial" w:eastAsia="Arial" w:hAnsi="Arial" w:cs="Arial"/>
          <w:color w:val="auto"/>
          <w:spacing w:val="-1"/>
          <w:lang w:val="en-US"/>
        </w:rPr>
        <w:fldChar w:fldCharType="separate"/>
      </w:r>
      <w:r w:rsidRPr="00F1559B">
        <w:rPr>
          <w:rFonts w:ascii="Arial" w:eastAsia="Arial" w:hAnsi="Arial" w:cs="Arial"/>
          <w:noProof/>
          <w:color w:val="auto"/>
          <w:spacing w:val="-1"/>
          <w:vertAlign w:val="superscript"/>
          <w:lang w:val="en-US"/>
        </w:rPr>
        <w:t>6-8</w:t>
      </w:r>
      <w:r w:rsidRPr="00F1559B">
        <w:rPr>
          <w:rFonts w:ascii="Arial" w:eastAsia="Arial" w:hAnsi="Arial" w:cs="Arial"/>
          <w:color w:val="auto"/>
          <w:spacing w:val="-1"/>
          <w:lang w:val="en-US"/>
        </w:rPr>
        <w:fldChar w:fldCharType="end"/>
      </w:r>
      <w:r w:rsidRPr="00F1559B">
        <w:rPr>
          <w:rFonts w:ascii="Arial" w:eastAsia="Arial" w:hAnsi="Arial" w:cs="Arial"/>
          <w:color w:val="auto"/>
          <w:spacing w:val="-1"/>
          <w:lang w:val="en-US"/>
        </w:rPr>
        <w:t xml:space="preserve"> Infection prevention and control and antimicrobial stewardship (AMS) interventions have been highly successful in reducing the transmission of </w:t>
      </w:r>
      <w:r w:rsidRPr="00F1559B">
        <w:rPr>
          <w:rFonts w:ascii="Arial" w:eastAsia="Arial" w:hAnsi="Arial" w:cs="Arial"/>
          <w:i/>
          <w:iCs/>
          <w:color w:val="auto"/>
          <w:spacing w:val="-1"/>
          <w:lang w:val="en-US"/>
        </w:rPr>
        <w:t>C. difficile</w:t>
      </w:r>
      <w:r w:rsidRPr="00F1559B">
        <w:rPr>
          <w:rFonts w:ascii="Arial" w:eastAsia="Arial" w:hAnsi="Arial" w:cs="Arial"/>
          <w:color w:val="auto"/>
          <w:spacing w:val="-1"/>
          <w:lang w:val="en-US"/>
        </w:rPr>
        <w:t xml:space="preserve"> within healthcare settings.</w:t>
      </w:r>
      <w:r w:rsidRPr="00F1559B">
        <w:rPr>
          <w:rFonts w:ascii="Arial" w:eastAsia="Arial" w:hAnsi="Arial" w:cs="Arial"/>
          <w:color w:val="auto"/>
          <w:spacing w:val="-1"/>
          <w:lang w:val="en-US"/>
        </w:rPr>
        <w:fldChar w:fldCharType="begin">
          <w:fldData xml:space="preserve">PEVuZE5vdGU+PENpdGU+PEF1dGhvcj5MYXJjb21iZTwvQXV0aG9yPjxZZWFyPjIwMjM8L1llYXI+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</w:fldData>
        </w:fldChar>
      </w:r>
      <w:r w:rsidRPr="00F1559B">
        <w:rPr>
          <w:rFonts w:ascii="Arial" w:eastAsia="Arial" w:hAnsi="Arial" w:cs="Arial"/>
          <w:color w:val="auto"/>
          <w:spacing w:val="-1"/>
          <w:lang w:val="en-US"/>
        </w:rPr>
        <w:instrText xml:space="preserve"> ADDIN EN.CITE </w:instrText>
      </w:r>
      <w:r w:rsidRPr="00F1559B">
        <w:rPr>
          <w:rFonts w:ascii="Arial" w:eastAsia="Arial" w:hAnsi="Arial" w:cs="Arial"/>
          <w:color w:val="auto"/>
          <w:spacing w:val="-1"/>
          <w:lang w:val="en-US"/>
        </w:rPr>
        <w:fldChar w:fldCharType="begin">
          <w:fldData xml:space="preserve">PEVuZE5vdGU+PENpdGU+PEF1dGhvcj5MYXJjb21iZTwvQXV0aG9yPjxZZWFyPjIwMjM8L1llYXI+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</w:fldData>
        </w:fldChar>
      </w:r>
      <w:r w:rsidRPr="00F1559B">
        <w:rPr>
          <w:rFonts w:ascii="Arial" w:eastAsia="Arial" w:hAnsi="Arial" w:cs="Arial"/>
          <w:color w:val="auto"/>
          <w:spacing w:val="-1"/>
          <w:lang w:val="en-US"/>
        </w:rPr>
        <w:instrText xml:space="preserve"> ADDIN EN.CITE.DATA </w:instrText>
      </w:r>
      <w:r w:rsidRPr="00F1559B">
        <w:rPr>
          <w:rFonts w:ascii="Arial" w:eastAsia="Arial" w:hAnsi="Arial" w:cs="Arial"/>
          <w:color w:val="auto"/>
          <w:spacing w:val="-1"/>
          <w:lang w:val="en-US"/>
        </w:rPr>
      </w:r>
      <w:r w:rsidRPr="00F1559B">
        <w:rPr>
          <w:rFonts w:ascii="Arial" w:eastAsia="Arial" w:hAnsi="Arial" w:cs="Arial"/>
          <w:color w:val="auto"/>
          <w:spacing w:val="-1"/>
          <w:lang w:val="en-US"/>
        </w:rPr>
        <w:fldChar w:fldCharType="end"/>
      </w:r>
      <w:r w:rsidRPr="00F1559B">
        <w:rPr>
          <w:rFonts w:ascii="Arial" w:eastAsia="Arial" w:hAnsi="Arial" w:cs="Arial"/>
          <w:color w:val="auto"/>
          <w:spacing w:val="-1"/>
          <w:lang w:val="en-US"/>
        </w:rPr>
      </w:r>
      <w:r w:rsidRPr="00F1559B">
        <w:rPr>
          <w:rFonts w:ascii="Arial" w:eastAsia="Arial" w:hAnsi="Arial" w:cs="Arial"/>
          <w:color w:val="auto"/>
          <w:spacing w:val="-1"/>
          <w:lang w:val="en-US"/>
        </w:rPr>
        <w:fldChar w:fldCharType="separate"/>
      </w:r>
      <w:r w:rsidRPr="00F1559B">
        <w:rPr>
          <w:rFonts w:ascii="Arial" w:eastAsia="Arial" w:hAnsi="Arial" w:cs="Arial"/>
          <w:noProof/>
          <w:color w:val="auto"/>
          <w:spacing w:val="-1"/>
          <w:vertAlign w:val="superscript"/>
          <w:lang w:val="en-US"/>
        </w:rPr>
        <w:t>6</w:t>
      </w:r>
      <w:r w:rsidRPr="00F1559B">
        <w:rPr>
          <w:rFonts w:ascii="Arial" w:eastAsia="Arial" w:hAnsi="Arial" w:cs="Arial"/>
          <w:color w:val="auto"/>
          <w:spacing w:val="-1"/>
          <w:lang w:val="en-US"/>
        </w:rPr>
        <w:fldChar w:fldCharType="end"/>
      </w:r>
      <w:r w:rsidRPr="00F1559B">
        <w:rPr>
          <w:rFonts w:ascii="Arial" w:eastAsia="Arial" w:hAnsi="Arial" w:cs="Arial"/>
          <w:color w:val="auto"/>
          <w:spacing w:val="-1"/>
          <w:lang w:val="en-US"/>
        </w:rPr>
        <w:t xml:space="preserve"> </w:t>
      </w:r>
    </w:p>
    <w:p w14:paraId="4C244857" w14:textId="77777777" w:rsidR="00F1559B" w:rsidRPr="00F1559B" w:rsidRDefault="00F1559B" w:rsidP="00F1559B">
      <w:pPr>
        <w:widowControl w:val="0"/>
        <w:autoSpaceDE w:val="0"/>
        <w:autoSpaceDN w:val="0"/>
        <w:spacing w:before="61" w:after="240" w:line="276" w:lineRule="auto"/>
        <w:rPr>
          <w:rFonts w:ascii="Arial" w:eastAsia="Arial" w:hAnsi="Arial" w:cs="Arial"/>
          <w:color w:val="auto"/>
          <w:lang w:val="en-US"/>
        </w:rPr>
      </w:pPr>
      <w:r w:rsidRPr="00F1559B">
        <w:rPr>
          <w:rFonts w:ascii="Arial" w:eastAsia="Arial" w:hAnsi="Arial" w:cs="Arial"/>
          <w:color w:val="auto"/>
          <w:lang w:val="en-US"/>
        </w:rPr>
        <w:t xml:space="preserve">Symptomatic </w:t>
      </w:r>
      <w:r w:rsidRPr="00F1559B">
        <w:rPr>
          <w:rFonts w:ascii="Arial" w:eastAsia="Arial" w:hAnsi="Arial" w:cs="Arial"/>
          <w:i/>
          <w:iCs/>
          <w:color w:val="auto"/>
          <w:lang w:val="en-US"/>
        </w:rPr>
        <w:t>C. difficile</w:t>
      </w:r>
      <w:r w:rsidRPr="00F1559B">
        <w:rPr>
          <w:rFonts w:ascii="Arial" w:eastAsia="Arial" w:hAnsi="Arial" w:cs="Arial"/>
          <w:color w:val="auto"/>
          <w:lang w:val="en-US"/>
        </w:rPr>
        <w:t xml:space="preserve"> infection (CDI) results in fever, abdominal pain, nausea, vomiting,</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and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diarrhoea.</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Infections</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range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from</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mild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to</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severe,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and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can</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cause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colitis,</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toxic megacolon, pseudomembranous colitis and death.</w:t>
      </w:r>
      <w:r w:rsidRPr="00F1559B">
        <w:rPr>
          <w:rFonts w:ascii="Arial" w:eastAsia="Arial" w:hAnsi="Arial" w:cs="Arial"/>
          <w:color w:val="auto"/>
          <w:vertAlign w:val="superscript"/>
          <w:lang w:val="en-US"/>
        </w:rPr>
        <w:t xml:space="preserve">2,7 </w:t>
      </w:r>
    </w:p>
    <w:p w14:paraId="26F818B5" w14:textId="77777777" w:rsidR="00F1559B" w:rsidRPr="00F1559B" w:rsidRDefault="00F1559B" w:rsidP="00F1559B">
      <w:pPr>
        <w:widowControl w:val="0"/>
        <w:autoSpaceDE w:val="0"/>
        <w:autoSpaceDN w:val="0"/>
        <w:spacing w:before="61" w:after="240" w:line="276" w:lineRule="auto"/>
        <w:rPr>
          <w:rFonts w:ascii="Arial" w:eastAsia="Arial" w:hAnsi="Arial" w:cs="Arial"/>
          <w:color w:val="auto"/>
          <w:lang w:val="en-US"/>
        </w:rPr>
      </w:pPr>
      <w:r w:rsidRPr="00F1559B">
        <w:rPr>
          <w:rFonts w:ascii="Arial" w:eastAsia="Arial" w:hAnsi="Arial" w:cs="Arial"/>
          <w:color w:val="auto"/>
          <w:lang w:val="en-US"/>
        </w:rPr>
        <w:t>CDI is an important infection for the economic sustainability of Australian primary and acute healthcare services.</w:t>
      </w:r>
      <w:r w:rsidRPr="00F1559B">
        <w:rPr>
          <w:rFonts w:ascii="Arial" w:eastAsia="Arial" w:hAnsi="Arial" w:cs="Arial"/>
          <w:color w:val="auto"/>
          <w:lang w:val="en-US"/>
        </w:rPr>
        <w:fldChar w:fldCharType="begin">
          <w:fldData xml:space="preserve">PEVuZE5vdGU+PENpdGU+PEF1dGhvcj5CcmFpbjwvQXV0aG9yPjxZZWFyPjIwMTg8L1llYXI+PFJl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</w:fldData>
        </w:fldChar>
      </w:r>
      <w:r w:rsidRPr="00F1559B">
        <w:rPr>
          <w:rFonts w:ascii="Arial" w:eastAsia="Arial" w:hAnsi="Arial" w:cs="Arial"/>
          <w:color w:val="auto"/>
          <w:lang w:val="en-US"/>
        </w:rPr>
        <w:instrText xml:space="preserve"> ADDIN EN.CITE </w:instrText>
      </w:r>
      <w:r w:rsidRPr="00F1559B">
        <w:rPr>
          <w:rFonts w:ascii="Arial" w:eastAsia="Arial" w:hAnsi="Arial" w:cs="Arial"/>
          <w:color w:val="auto"/>
          <w:lang w:val="en-US"/>
        </w:rPr>
        <w:fldChar w:fldCharType="begin">
          <w:fldData xml:space="preserve">PEVuZE5vdGU+PENpdGU+PEF1dGhvcj5CcmFpbjwvQXV0aG9yPjxZZWFyPjIwMTg8L1llYXI+PFJl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</w:fldData>
        </w:fldChar>
      </w:r>
      <w:r w:rsidRPr="00F1559B">
        <w:rPr>
          <w:rFonts w:ascii="Arial" w:eastAsia="Arial" w:hAnsi="Arial" w:cs="Arial"/>
          <w:color w:val="auto"/>
          <w:lang w:val="en-US"/>
        </w:rPr>
        <w:instrText xml:space="preserve"> ADDIN EN.CITE.DATA </w:instrText>
      </w:r>
      <w:r w:rsidRPr="00F1559B">
        <w:rPr>
          <w:rFonts w:ascii="Arial" w:eastAsia="Arial" w:hAnsi="Arial" w:cs="Arial"/>
          <w:color w:val="auto"/>
          <w:lang w:val="en-US"/>
        </w:rPr>
      </w:r>
      <w:r w:rsidRPr="00F1559B">
        <w:rPr>
          <w:rFonts w:ascii="Arial" w:eastAsia="Arial" w:hAnsi="Arial" w:cs="Arial"/>
          <w:color w:val="auto"/>
          <w:lang w:val="en-US"/>
        </w:rPr>
        <w:fldChar w:fldCharType="end"/>
      </w:r>
      <w:r w:rsidRPr="00F1559B">
        <w:rPr>
          <w:rFonts w:ascii="Arial" w:eastAsia="Arial" w:hAnsi="Arial" w:cs="Arial"/>
          <w:color w:val="auto"/>
          <w:lang w:val="en-US"/>
        </w:rPr>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8, 9</w:t>
      </w:r>
      <w:r w:rsidRPr="00F1559B">
        <w:rPr>
          <w:rFonts w:ascii="Arial" w:eastAsia="Arial" w:hAnsi="Arial" w:cs="Arial"/>
          <w:color w:val="auto"/>
          <w:lang w:val="en-US"/>
        </w:rPr>
        <w:fldChar w:fldCharType="end"/>
      </w:r>
      <w:r w:rsidRPr="00F1559B">
        <w:rPr>
          <w:rFonts w:ascii="Arial" w:eastAsia="Arial" w:hAnsi="Arial" w:cs="Arial"/>
          <w:color w:val="auto"/>
          <w:lang w:val="en-US"/>
        </w:rPr>
        <w:t xml:space="preserve"> </w:t>
      </w:r>
    </w:p>
    <w:p w14:paraId="16D8AF33" w14:textId="77777777" w:rsidR="00F1559B" w:rsidRPr="00F1559B" w:rsidRDefault="00F1559B" w:rsidP="002F6516">
      <w:pPr>
        <w:pStyle w:val="Heading2"/>
        <w:rPr>
          <w:lang w:eastAsia="en-AU"/>
        </w:rPr>
      </w:pPr>
      <w:bookmarkStart w:id="12" w:name="About_this_report"/>
      <w:bookmarkStart w:id="13" w:name="_Toc205909360"/>
      <w:bookmarkEnd w:id="12"/>
      <w:r w:rsidRPr="00F1559B">
        <w:rPr>
          <w:lang w:eastAsia="en-AU"/>
        </w:rPr>
        <w:t>About</w:t>
      </w:r>
      <w:r w:rsidRPr="00F1559B">
        <w:rPr>
          <w:spacing w:val="-7"/>
          <w:lang w:eastAsia="en-AU"/>
        </w:rPr>
        <w:t xml:space="preserve"> </w:t>
      </w:r>
      <w:r w:rsidRPr="00F1559B">
        <w:rPr>
          <w:lang w:eastAsia="en-AU"/>
        </w:rPr>
        <w:t>this</w:t>
      </w:r>
      <w:r w:rsidRPr="00F1559B">
        <w:rPr>
          <w:spacing w:val="-6"/>
          <w:lang w:eastAsia="en-AU"/>
        </w:rPr>
        <w:t xml:space="preserve"> </w:t>
      </w:r>
      <w:r w:rsidRPr="00F1559B">
        <w:rPr>
          <w:spacing w:val="-2"/>
          <w:lang w:eastAsia="en-AU"/>
        </w:rPr>
        <w:t>report</w:t>
      </w:r>
      <w:bookmarkEnd w:id="13"/>
    </w:p>
    <w:p w14:paraId="11C5EA08" w14:textId="61F54255" w:rsidR="00F1559B" w:rsidRPr="00F1559B" w:rsidRDefault="00F1559B" w:rsidP="00F1559B">
      <w:pPr>
        <w:widowControl w:val="0"/>
        <w:autoSpaceDE w:val="0"/>
        <w:autoSpaceDN w:val="0"/>
        <w:spacing w:before="60" w:after="240" w:line="276" w:lineRule="auto"/>
        <w:rPr>
          <w:rFonts w:ascii="Arial" w:eastAsia="Arial" w:hAnsi="Arial" w:cs="Arial"/>
          <w:color w:val="auto"/>
          <w:lang w:val="en-US"/>
        </w:rPr>
      </w:pPr>
      <w:bookmarkStart w:id="14" w:name="_Hlk204761032"/>
      <w:r w:rsidRPr="00F1559B">
        <w:rPr>
          <w:rFonts w:ascii="Arial" w:eastAsia="Arial" w:hAnsi="Arial" w:cs="Arial"/>
          <w:color w:val="auto"/>
          <w:lang w:val="en-US"/>
        </w:rPr>
        <w:t>Data utilised for this report were extracted from the Admitted Patient Care National Minimum Data Set (APC NMDS), which provides information on patient diagnoses and the care provided during a patient’s admission to an Australian public hospital.</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&lt;EndNote&gt;&lt;Cite&gt;&lt;Author&gt;Australian Institute of Health and Welfare.&lt;/Author&gt;&lt;Year&gt;2023&lt;/Year&gt;&lt;RecNum&gt;225&lt;/RecNum&gt;&lt;DisplayText&gt;&lt;style face="superscript"&gt;10&lt;/style&gt;&lt;/DisplayText&gt;&lt;record&gt;&lt;rec-number&gt;225&lt;/rec-number&gt;&lt;foreign-keys&gt;&lt;key app="EN" db-id="2rp0a5drxdefz3e2e5dptftled295z2r2ve2" timestamp="1719807451"&gt;225&lt;/key&gt;&lt;/foreign-keys&gt;&lt;ref-type name="Generic"&gt;13&lt;/ref-type&gt;&lt;contributors&gt;&lt;authors&gt;&lt;author&gt;Australian Institute of Health and Welfare.,&lt;/author&gt;&lt;/authors&gt;&lt;/contributors&gt;&lt;titles&gt;&lt;title&gt;Admitted patient care NMDS 2024-25 &lt;/title&gt;&lt;/titles&gt;&lt;volume&gt;2024&lt;/volume&gt;&lt;number&gt;1 July 2024&lt;/number&gt;&lt;dates&gt;&lt;year&gt;2023&lt;/year&gt;&lt;/dates&gt;&lt;pub-location&gt;Sydney &lt;/pub-location&gt;&lt;publisher&gt;AIHW&lt;/publisher&gt;&lt;urls&gt;&lt;related-urls&gt;&lt;url&gt;https://meteor.aihw.gov.au/content/775630&lt;/url&gt;&lt;/related-urls&gt;&lt;/urls&gt;&lt;/record&gt;&lt;/Cite&gt;&lt;/EndNote&gt;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10</w:t>
      </w:r>
      <w:r w:rsidRPr="00F1559B">
        <w:rPr>
          <w:rFonts w:ascii="Arial" w:eastAsia="Arial" w:hAnsi="Arial" w:cs="Arial"/>
          <w:color w:val="auto"/>
          <w:lang w:val="en-US"/>
        </w:rPr>
        <w:fldChar w:fldCharType="end"/>
      </w:r>
      <w:r w:rsidRPr="00F1559B">
        <w:rPr>
          <w:rFonts w:ascii="Arial" w:eastAsia="Arial" w:hAnsi="Arial" w:cs="Arial"/>
          <w:color w:val="auto"/>
          <w:lang w:val="en-US"/>
        </w:rPr>
        <w:t xml:space="preserve"> </w:t>
      </w:r>
      <w:bookmarkEnd w:id="14"/>
      <w:r w:rsidRPr="00F1559B">
        <w:rPr>
          <w:rFonts w:ascii="Arial" w:eastAsia="Arial" w:hAnsi="Arial" w:cs="Arial"/>
          <w:color w:val="auto"/>
          <w:lang w:val="en-US"/>
        </w:rPr>
        <w:t xml:space="preserve">Patient diagnoses are assigned a diagnostic ICD-10 code. The diagnostic code A04.7 </w:t>
      </w:r>
      <w:r w:rsidRPr="00F1559B">
        <w:rPr>
          <w:rFonts w:ascii="Arial" w:eastAsia="Arial" w:hAnsi="Arial" w:cs="Arial"/>
          <w:i/>
          <w:iCs/>
          <w:color w:val="auto"/>
          <w:lang w:val="en-US"/>
        </w:rPr>
        <w:t>Enterocolitis due to Clostridium difficile</w:t>
      </w:r>
      <w:r w:rsidRPr="00F1559B">
        <w:rPr>
          <w:rFonts w:ascii="Arial" w:eastAsia="Arial" w:hAnsi="Arial" w:cs="Arial"/>
          <w:color w:val="auto"/>
          <w:lang w:val="en-US"/>
        </w:rPr>
        <w:t xml:space="preserve"> is</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used</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to</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identify</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separations</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affected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by</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CDI</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&lt;EndNote&gt;&lt;Cite&gt;&lt;Author&gt;Australian Institute of Health and Welfare&lt;/Author&gt;&lt;Year&gt;2023&lt;/Year&gt;&lt;RecNum&gt;10&lt;/RecNum&gt;&lt;DisplayText&gt;&lt;style face="superscript"&gt;11&lt;/style&gt;&lt;/DisplayText&gt;&lt;record&gt;&lt;rec-number&gt;10&lt;/rec-number&gt;&lt;foreign-keys&gt;&lt;key app="EN" db-id="2rp0a5drxdefz3e2e5dptftled295z2r2ve2" timestamp="1586237390"&gt;10&lt;/key&gt;&lt;/foreign-keys&gt;&lt;ref-type name="Electronic Article"&gt;43&lt;/ref-type&gt;&lt;contributors&gt;&lt;authors&gt;&lt;author&gt;Australian Institute of Health and Welfare,&lt;/author&gt;&lt;/authors&gt;&lt;/contributors&gt;&lt;titles&gt;&lt;title&gt;Principal diagnosis data cubes. &lt;/title&gt;&lt;/titles&gt;&lt;dates&gt;&lt;year&gt;2023&lt;/year&gt;&lt;pub-dates&gt;&lt;date&gt;12 April 2024&lt;/date&gt;&lt;/pub-dates&gt;&lt;/dates&gt;&lt;urls&gt;&lt;related-urls&gt;&lt;url&gt;http://www.aihw.gov.au/hospitals-data/principal-diagnosis-data-cubes/&lt;/url&gt;&lt;/related-urls&gt;&lt;/urls&gt;&lt;access-date&gt;[cited 5 August 2019]&lt;/access-date&gt;&lt;/record&gt;&lt;/Cite&gt;&lt;/EndNote&gt;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11</w:t>
      </w:r>
      <w:r w:rsidRPr="00F1559B">
        <w:rPr>
          <w:rFonts w:ascii="Arial" w:eastAsia="Arial" w:hAnsi="Arial" w:cs="Arial"/>
          <w:color w:val="auto"/>
          <w:lang w:val="en-US"/>
        </w:rPr>
        <w:fldChar w:fldCharType="end"/>
      </w:r>
      <w:r w:rsidRPr="00F1559B">
        <w:rPr>
          <w:rFonts w:ascii="Arial" w:eastAsia="Arial" w:hAnsi="Arial" w:cs="Arial"/>
          <w:color w:val="auto"/>
          <w:lang w:val="en-US"/>
        </w:rPr>
        <w:t xml:space="preserve"> and</w:t>
      </w:r>
      <w:r w:rsidRPr="00F1559B">
        <w:rPr>
          <w:rFonts w:ascii="Arial" w:eastAsia="Arial" w:hAnsi="Arial" w:cs="Arial"/>
          <w:color w:val="auto"/>
          <w:spacing w:val="-4"/>
          <w:lang w:val="en-US"/>
        </w:rPr>
        <w:t xml:space="preserve"> is </w:t>
      </w:r>
      <w:r w:rsidRPr="00F1559B">
        <w:rPr>
          <w:rFonts w:ascii="Arial" w:eastAsia="Arial" w:hAnsi="Arial" w:cs="Arial"/>
          <w:color w:val="auto"/>
          <w:lang w:val="en-US"/>
        </w:rPr>
        <w:t>referred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to</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in</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this</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report</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as</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a CDI diagnosis. Patient administrative data from the 2021</w:t>
      </w:r>
      <w:r w:rsidR="00B1658A">
        <w:rPr>
          <w:rFonts w:ascii="Arial" w:eastAsia="Arial" w:hAnsi="Arial" w:cs="Arial"/>
          <w:color w:val="auto"/>
          <w:lang w:val="en-US"/>
        </w:rPr>
        <w:t>−</w:t>
      </w:r>
      <w:r w:rsidRPr="00F1559B">
        <w:rPr>
          <w:rFonts w:ascii="Arial" w:eastAsia="Arial" w:hAnsi="Arial" w:cs="Arial"/>
          <w:color w:val="auto"/>
          <w:lang w:val="en-US"/>
        </w:rPr>
        <w:t>2022, 2022</w:t>
      </w:r>
      <w:r w:rsidR="00B1658A">
        <w:rPr>
          <w:rFonts w:ascii="Arial" w:eastAsia="Arial" w:hAnsi="Arial" w:cs="Arial"/>
          <w:color w:val="auto"/>
          <w:lang w:val="en-US"/>
        </w:rPr>
        <w:t>−</w:t>
      </w:r>
      <w:r w:rsidRPr="00F1559B">
        <w:rPr>
          <w:rFonts w:ascii="Arial" w:eastAsia="Arial" w:hAnsi="Arial" w:cs="Arial"/>
          <w:color w:val="auto"/>
          <w:lang w:val="en-US"/>
        </w:rPr>
        <w:t>2023, and 2023</w:t>
      </w:r>
      <w:r w:rsidR="00B1658A">
        <w:rPr>
          <w:rFonts w:ascii="Arial" w:eastAsia="Arial" w:hAnsi="Arial" w:cs="Arial"/>
          <w:color w:val="auto"/>
          <w:lang w:val="en-US"/>
        </w:rPr>
        <w:t>−</w:t>
      </w:r>
      <w:r w:rsidRPr="00F1559B">
        <w:rPr>
          <w:rFonts w:ascii="Arial" w:eastAsia="Arial" w:hAnsi="Arial" w:cs="Arial"/>
          <w:color w:val="auto"/>
          <w:lang w:val="en-US"/>
        </w:rPr>
        <w:t>2024 APC NMDS have been analysed to estimate the rate of CDI in Australian public hospitals.</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&lt;EndNote&gt;&lt;Cite&gt;&lt;Author&gt;Australian institue of Health and Welfare.&lt;/Author&gt;&lt;Year&gt;2022&lt;/Year&gt;&lt;RecNum&gt;115&lt;/RecNum&gt;&lt;DisplayText&gt;&lt;style face="superscript"&gt;12&lt;/style&gt;&lt;/DisplayText&gt;&lt;record&gt;&lt;rec-number&gt;115&lt;/rec-number&gt;&lt;foreign-keys&gt;&lt;key app="EN" db-id="2rp0a5drxdefz3e2e5dptftled295z2r2ve2" timestamp="1623907505"&gt;115&lt;/key&gt;&lt;/foreign-keys&gt;&lt;ref-type name="Generic"&gt;13&lt;/ref-type&gt;&lt;contributors&gt;&lt;authors&gt;&lt;author&gt;Australian institue of Health and Welfare.,&lt;/author&gt;&lt;/authors&gt;&lt;/contributors&gt;&lt;titles&gt;&lt;title&gt;Admitted patient activity 2022-23&lt;/title&gt;&lt;/titles&gt;&lt;number&gt;12 April 2024&lt;/number&gt;&lt;dates&gt;&lt;year&gt;2022&lt;/year&gt;&lt;/dates&gt;&lt;pub-location&gt;Sydney&lt;/pub-location&gt;&lt;publisher&gt;AIHW&lt;/publisher&gt;&lt;urls&gt;&lt;related-urls&gt;&lt;url&gt;https://www.aihw.gov.au/reports-data/myhospitals/intersection/activity/apc&lt;/url&gt;&lt;/related-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12</w:t>
      </w:r>
      <w:r w:rsidRPr="00F1559B">
        <w:rPr>
          <w:rFonts w:ascii="Arial" w:eastAsia="Arial" w:hAnsi="Arial" w:cs="Arial"/>
          <w:color w:val="auto"/>
          <w:lang w:val="en-US"/>
        </w:rPr>
        <w:fldChar w:fldCharType="end"/>
      </w:r>
      <w:r w:rsidRPr="00F1559B">
        <w:rPr>
          <w:rFonts w:ascii="Arial" w:eastAsia="Arial" w:hAnsi="Arial" w:cs="Arial"/>
          <w:color w:val="auto"/>
          <w:lang w:val="en-US"/>
        </w:rPr>
        <w:t xml:space="preserve"> Data from January 2022 to December 2023 are included in this report.</w:t>
      </w:r>
    </w:p>
    <w:p w14:paraId="70AFF8B7" w14:textId="77777777" w:rsidR="00F1559B" w:rsidRPr="00F1559B" w:rsidRDefault="00F1559B" w:rsidP="00F1559B">
      <w:pPr>
        <w:widowControl w:val="0"/>
        <w:autoSpaceDE w:val="0"/>
        <w:autoSpaceDN w:val="0"/>
        <w:spacing w:after="240" w:line="276" w:lineRule="auto"/>
        <w:rPr>
          <w:rFonts w:ascii="Arial" w:eastAsia="Arial" w:hAnsi="Arial" w:cs="Arial"/>
          <w:color w:val="auto"/>
          <w:vertAlign w:val="superscript"/>
          <w:lang w:val="en-US"/>
        </w:rPr>
      </w:pPr>
      <w:r w:rsidRPr="00F1559B">
        <w:rPr>
          <w:rFonts w:ascii="Arial" w:eastAsia="Arial" w:hAnsi="Arial" w:cs="Arial"/>
          <w:color w:val="auto"/>
          <w:lang w:val="en-US"/>
        </w:rPr>
        <w:t>Use of the APC NMDS for monitoring national CDI rates</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by the Australian Commission on Safety and Quality in Health Care (the Commission) commenced in 2016.</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Patient</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administrative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data for CDI are comparable to surveillance data collected for hospital-identified CDI (HI-CDI).</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&lt;EndNote&gt;&lt;Cite&gt;&lt;Author&gt;Daveson&lt;/Author&gt;&lt;Year&gt;2019&lt;/Year&gt;&lt;RecNum&gt;37&lt;/RecNum&gt;&lt;DisplayText&gt;&lt;style face="superscript"&gt;13, 14&lt;/style&gt;&lt;/DisplayText&gt;&lt;record&gt;&lt;rec-number&gt;37&lt;/rec-number&gt;&lt;foreign-keys&gt;&lt;key app="EN" db-id="2rp0a5drxdefz3e2e5dptftled295z2r2ve2" timestamp="1599795137"&gt;37&lt;/key&gt;&lt;/foreign-keys&gt;&lt;ref-type name="Conference Paper"&gt;47&lt;/ref-type&gt;&lt;contributors&gt;&lt;authors&gt;&lt;author&gt;Daveson, K. &lt;/author&gt;&lt;author&gt;Kennedy, K.   &lt;/author&gt;&lt;/authors&gt;&lt;/contributors&gt;&lt;titles&gt;&lt;title&gt;Hospital-acquired complications and Clostridium difficile surveillance in the Australian context.&lt;/title&gt;&lt;secondary-title&gt;Poster session at the Antimicrobial Society Australia conference&lt;/secondary-title&gt;&lt;/titles&gt;&lt;dates&gt;&lt;year&gt;2019&lt;/year&gt;&lt;pub-dates&gt;&lt;date&gt;February 2019&lt;/date&gt;&lt;/pub-dates&gt;&lt;/dates&gt;&lt;pub-location&gt;Sydney&lt;/pub-location&gt;&lt;urls&gt;&lt;/urls&gt;&lt;/record&gt;&lt;/Cite&gt;&lt;Cite&gt;&lt;Author&gt;Public Health Services&lt;/Author&gt;&lt;Year&gt;2019&lt;/Year&gt;&lt;RecNum&gt;36&lt;/RecNum&gt;&lt;record&gt;&lt;rec-number&gt;36&lt;/rec-number&gt;&lt;foreign-keys&gt;&lt;key app="EN" db-id="2rp0a5drxdefz3e2e5dptftled295z2r2ve2" timestamp="1599794845"&gt;36&lt;/key&gt;&lt;/foreign-keys&gt;&lt;ref-type name="Conference Paper"&gt;47&lt;/ref-type&gt;&lt;contributors&gt;&lt;authors&gt;&lt;author&gt;Public Health Services,&lt;/author&gt;&lt;author&gt;Department of Health and Human Services,&lt;/author&gt;&lt;/authors&gt;&lt;/contributors&gt;&lt;titles&gt;&lt;title&gt;Clostridium difficile infection (CDI) surveillance. The sensitivity and PPV of administrative data sets&lt;/title&gt;&lt;secondary-title&gt;Presentation at Healthcare-Associated Infections Advisory Committee meeting, ACSQHC,&lt;/secondary-title&gt;&lt;/titles&gt;&lt;dates&gt;&lt;year&gt;2019&lt;/year&gt;&lt;pub-dates&gt;&lt;date&gt;November 2019&lt;/date&gt;&lt;/pub-dates&gt;&lt;/dates&gt;&lt;pub-location&gt;Sydney,&lt;/pub-location&gt;&lt;urls&gt;&lt;/urls&gt;&lt;/record&gt;&lt;/Cite&gt;&lt;/EndNote&gt;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13, 14</w:t>
      </w:r>
      <w:r w:rsidRPr="00F1559B">
        <w:rPr>
          <w:rFonts w:ascii="Arial" w:eastAsia="Arial" w:hAnsi="Arial" w:cs="Arial"/>
          <w:color w:val="auto"/>
          <w:lang w:val="en-US"/>
        </w:rPr>
        <w:fldChar w:fldCharType="end"/>
      </w:r>
      <w:r w:rsidRPr="00F1559B">
        <w:rPr>
          <w:rFonts w:ascii="Arial" w:eastAsia="Arial" w:hAnsi="Arial" w:cs="Arial"/>
          <w:color w:val="auto"/>
          <w:lang w:val="en-US"/>
        </w:rPr>
        <w:t xml:space="preserve"> As such, traditional CDI case exposure classifications, including healthcare-associated healthcare-facility (HCA-HCF) onset CDI, healthcare-associated community-onset CDI (HCA community-onset), and community-associated CDI (CA-CDI), can be applied to CDI diagnostic code categories.</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&lt;EndNote&gt;&lt;Cite&gt;&lt;Author&gt;Australian Commission on Safety and Quality in Health Care&lt;/Author&gt;&lt;Year&gt;2021&lt;/Year&gt;&lt;RecNum&gt;112&lt;/RecNum&gt;&lt;DisplayText&gt;&lt;style face="superscript"&gt;3&lt;/style&gt;&lt;/DisplayText&gt;&lt;record&gt;&lt;rec-number&gt;112&lt;/rec-number&gt;&lt;foreign-keys&gt;&lt;key app="EN" db-id="2rp0a5drxdefz3e2e5dptftled295z2r2ve2" timestamp="1623820778"&gt;112&lt;/key&gt;&lt;/foreign-keys&gt;&lt;ref-type name="Report"&gt;27&lt;/ref-type&gt;&lt;contributors&gt;&lt;authors&gt;&lt;author&gt;Australian Commission on Safety and Quality in Health Care,&lt;/author&gt;&lt;/authors&gt;&lt;tertiary-authors&gt;&lt;author&gt;ACSQHC&lt;/author&gt;&lt;/tertiary-authors&gt;&lt;/contributors&gt;&lt;titles&gt;&lt;title&gt;Technical report: Monitoring the national burden of Clostridioides difficile infection in Australian public hospitals: 2016 to 2018&lt;/title&gt;&lt;/titles&gt;&lt;dates&gt;&lt;year&gt;2021&lt;/year&gt;&lt;/dates&gt;&lt;pub-location&gt;Sydney&lt;/pub-location&gt;&lt;urls&gt;&lt;/urls&gt;&lt;/record&gt;&lt;/Cite&gt;&lt;/EndNote&gt;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3</w:t>
      </w:r>
      <w:r w:rsidRPr="00F1559B">
        <w:rPr>
          <w:rFonts w:ascii="Arial" w:eastAsia="Arial" w:hAnsi="Arial" w:cs="Arial"/>
          <w:color w:val="auto"/>
          <w:lang w:val="en-US"/>
        </w:rPr>
        <w:fldChar w:fldCharType="end"/>
      </w:r>
    </w:p>
    <w:p w14:paraId="29E56D15" w14:textId="77777777" w:rsidR="00F1559B" w:rsidRPr="00F1559B" w:rsidRDefault="00F1559B" w:rsidP="002F6516">
      <w:pPr>
        <w:pStyle w:val="Heading2"/>
        <w:rPr>
          <w:lang w:eastAsia="en-AU"/>
        </w:rPr>
      </w:pPr>
      <w:bookmarkStart w:id="15" w:name="_Toc205909361"/>
      <w:r w:rsidRPr="00F1559B">
        <w:rPr>
          <w:lang w:eastAsia="en-AU"/>
        </w:rPr>
        <w:t>Method</w:t>
      </w:r>
      <w:bookmarkEnd w:id="15"/>
    </w:p>
    <w:p w14:paraId="619687FB" w14:textId="77777777" w:rsidR="00F1559B" w:rsidRPr="00F1559B" w:rsidRDefault="00F1559B" w:rsidP="00F1559B">
      <w:pPr>
        <w:widowControl w:val="0"/>
        <w:autoSpaceDE w:val="0"/>
        <w:autoSpaceDN w:val="0"/>
        <w:spacing w:before="58" w:after="240" w:line="276" w:lineRule="auto"/>
        <w:rPr>
          <w:rFonts w:ascii="Arial" w:eastAsia="Arial" w:hAnsi="Arial" w:cs="Arial"/>
          <w:color w:val="auto"/>
          <w:lang w:val="en-US"/>
        </w:rPr>
      </w:pPr>
      <w:r w:rsidRPr="00F1559B">
        <w:rPr>
          <w:rFonts w:ascii="Arial" w:eastAsia="Arial" w:hAnsi="Arial" w:cs="Arial"/>
          <w:color w:val="auto"/>
          <w:lang w:val="en-US"/>
        </w:rPr>
        <w:t>Exclusion and filtering criteria have not been applied to the APC NMDS. Patient bed days were extracted from the APC NMDS and are defined as the total number of days for all patients who were</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admitted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for an</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episode</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of</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care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and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who</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separated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during</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specific</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reference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period.</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&lt;EndNote&gt;&lt;Cite&gt;&lt;Author&gt;Australian institue of Health and Welfare.&lt;/Author&gt;&lt;Year&gt;2022&lt;/Year&gt;&lt;RecNum&gt;115&lt;/RecNum&gt;&lt;DisplayText&gt;&lt;style face="superscript"&gt;12&lt;/style&gt;&lt;/DisplayText&gt;&lt;record&gt;&lt;rec-number&gt;115&lt;/rec-number&gt;&lt;foreign-keys&gt;&lt;key app="EN" db-id="2rp0a5drxdefz3e2e5dptftled295z2r2ve2" timestamp="1623907505"&gt;115&lt;/key&gt;&lt;/foreign-keys&gt;&lt;ref-type name="Generic"&gt;13&lt;/ref-type&gt;&lt;contributors&gt;&lt;authors&gt;&lt;author&gt;Australian institue of Health and Welfare.,&lt;/author&gt;&lt;/authors&gt;&lt;/contributors&gt;&lt;titles&gt;&lt;title&gt;Admitted patient activity 2022-23&lt;/title&gt;&lt;/titles&gt;&lt;number&gt;12 April 2024&lt;/number&gt;&lt;dates&gt;&lt;year&gt;2022&lt;/year&gt;&lt;/dates&gt;&lt;pub-location&gt;Sydney&lt;/pub-location&gt;&lt;publisher&gt;AIHW&lt;/publisher&gt;&lt;urls&gt;&lt;related-urls&gt;&lt;url&gt;https://www.aihw.gov.au/reports-data/myhospitals/intersection/activity/apc&lt;/url&gt;&lt;/related-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12</w:t>
      </w:r>
      <w:r w:rsidRPr="00F1559B">
        <w:rPr>
          <w:rFonts w:ascii="Arial" w:eastAsia="Arial" w:hAnsi="Arial" w:cs="Arial"/>
          <w:color w:val="auto"/>
          <w:lang w:val="en-US"/>
        </w:rPr>
        <w:fldChar w:fldCharType="end"/>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This includes a total hospital stay (from admission to separation), or a portion of a hospital stay that begins or ends with a change in the type of care provided to a patient.</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&lt;EndNote&gt;&lt;Cite&gt;&lt;Author&gt;Australian Institute of Health and Welfare.&lt;/Author&gt;&lt;Year&gt;2023&lt;/Year&gt;&lt;RecNum&gt;225&lt;/RecNum&gt;&lt;DisplayText&gt;&lt;style face="superscript"&gt;10&lt;/style&gt;&lt;/DisplayText&gt;&lt;record&gt;&lt;rec-number&gt;225&lt;/rec-number&gt;&lt;foreign-keys&gt;&lt;key app="EN" db-id="2rp0a5drxdefz3e2e5dptftled295z2r2ve2" timestamp="1719807451"&gt;225&lt;/key&gt;&lt;/foreign-keys&gt;&lt;ref-type name="Generic"&gt;13&lt;/ref-type&gt;&lt;contributors&gt;&lt;authors&gt;&lt;author&gt;Australian Institute of Health and Welfare.,&lt;/author&gt;&lt;/authors&gt;&lt;/contributors&gt;&lt;titles&gt;&lt;title&gt;Admitted patient care NMDS 2024-25 &lt;/title&gt;&lt;/titles&gt;&lt;volume&gt;2024&lt;/volume&gt;&lt;number&gt;1 July 2024&lt;/number&gt;&lt;dates&gt;&lt;year&gt;2023&lt;/year&gt;&lt;/dates&gt;&lt;pub-location&gt;Sydney &lt;/pub-location&gt;&lt;publisher&gt;AIHW&lt;/publisher&gt;&lt;urls&gt;&lt;related-urls&gt;&lt;url&gt;https://meteor.aihw.gov.au/content/775630&lt;/url&gt;&lt;/related-urls&gt;&lt;/urls&gt;&lt;/record&gt;&lt;/Cite&gt;&lt;/EndNote&gt;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10</w:t>
      </w:r>
      <w:r w:rsidRPr="00F1559B">
        <w:rPr>
          <w:rFonts w:ascii="Arial" w:eastAsia="Arial" w:hAnsi="Arial" w:cs="Arial"/>
          <w:color w:val="auto"/>
          <w:lang w:val="en-US"/>
        </w:rPr>
        <w:fldChar w:fldCharType="end"/>
      </w:r>
      <w:r w:rsidRPr="00F1559B">
        <w:rPr>
          <w:rFonts w:ascii="Arial" w:eastAsia="Arial" w:hAnsi="Arial" w:cs="Arial"/>
          <w:color w:val="auto"/>
          <w:lang w:val="en-US"/>
        </w:rPr>
        <w:t xml:space="preserve"> </w:t>
      </w:r>
    </w:p>
    <w:p w14:paraId="66EBA1B7" w14:textId="77777777" w:rsidR="00F1559B" w:rsidRPr="00F1559B" w:rsidRDefault="00F1559B" w:rsidP="00F1559B">
      <w:pPr>
        <w:widowControl w:val="0"/>
        <w:autoSpaceDE w:val="0"/>
        <w:autoSpaceDN w:val="0"/>
        <w:spacing w:after="0" w:line="276" w:lineRule="auto"/>
        <w:rPr>
          <w:rFonts w:ascii="Arial" w:eastAsia="Arial" w:hAnsi="Arial" w:cs="Arial"/>
          <w:color w:val="auto"/>
          <w:lang w:val="en-US"/>
        </w:rPr>
      </w:pPr>
      <w:bookmarkStart w:id="16" w:name="_Hlk204761110"/>
      <w:r w:rsidRPr="00F1559B">
        <w:rPr>
          <w:rFonts w:ascii="Arial" w:eastAsia="Arial" w:hAnsi="Arial" w:cs="Arial"/>
          <w:color w:val="auto"/>
          <w:lang w:val="en-US"/>
        </w:rPr>
        <w:t>CDI</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diagnoses</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are</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categorised</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as</w:t>
      </w:r>
      <w:r w:rsidRPr="00F1559B">
        <w:rPr>
          <w:rFonts w:ascii="Arial" w:eastAsia="Arial" w:hAnsi="Arial" w:cs="Arial"/>
          <w:color w:val="auto"/>
          <w:spacing w:val="-5"/>
          <w:lang w:val="en-US"/>
        </w:rPr>
        <w:t xml:space="preserve"> </w:t>
      </w:r>
      <w:r w:rsidRPr="00F1559B">
        <w:rPr>
          <w:rFonts w:ascii="Arial" w:eastAsia="Arial" w:hAnsi="Arial" w:cs="Arial"/>
          <w:color w:val="auto"/>
          <w:lang w:val="en-US"/>
        </w:rPr>
        <w:t>either</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a</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principal</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diagnosis</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or</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a</w:t>
      </w:r>
      <w:r w:rsidRPr="00F1559B">
        <w:rPr>
          <w:rFonts w:ascii="Arial" w:eastAsia="Arial" w:hAnsi="Arial" w:cs="Arial"/>
          <w:color w:val="auto"/>
          <w:spacing w:val="-5"/>
          <w:lang w:val="en-US"/>
        </w:rPr>
        <w:t xml:space="preserve"> </w:t>
      </w:r>
      <w:r w:rsidRPr="00F1559B">
        <w:rPr>
          <w:rFonts w:ascii="Arial" w:eastAsia="Arial" w:hAnsi="Arial" w:cs="Arial"/>
          <w:color w:val="auto"/>
          <w:lang w:val="en-US"/>
        </w:rPr>
        <w:t>non-principal</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diagnosis.</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A</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non-principal diagnosis is further classified by Condition Onset Flags (COFs).</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&lt;EndNote&gt;&lt;Cite&gt;&lt;Author&gt;Australian Institute of Health and Welfare&lt;/Author&gt;&lt;Year&gt;2015&lt;/Year&gt;&lt;RecNum&gt;22&lt;/RecNum&gt;&lt;DisplayText&gt;&lt;style face="superscript"&gt;12, 15&lt;/style&gt;&lt;/DisplayText&gt;&lt;record&gt;&lt;rec-number&gt;22&lt;/rec-number&gt;&lt;foreign-keys&gt;&lt;key app="EN" db-id="2rp0a5drxdefz3e2e5dptftled295z2r2ve2" timestamp="1597038637"&gt;22&lt;/key&gt;&lt;/foreign-keys&gt;&lt;ref-type name="Report"&gt;27&lt;/ref-type&gt;&lt;contributors&gt;&lt;authors&gt;&lt;author&gt;Australian Institute of Health and Welfare,&lt;/author&gt;&lt;/authors&gt;&lt;/contributors&gt;&lt;titles&gt;&lt;title&gt;National Health Data Dictionary; version 16.2.&lt;/title&gt;&lt;/titles&gt;&lt;volume&gt;Version 16.2 Cat. No.HWI 131.&lt;/volume&gt;&lt;dates&gt;&lt;year&gt;2015&lt;/year&gt;&lt;/dates&gt;&lt;pub-location&gt;Canberra&lt;/pub-location&gt;&lt;publisher&gt;AIHW&lt;/publisher&gt;&lt;urls&gt;&lt;related-urls&gt;&lt;url&gt;https://www.aihw.gov.au/reports/technical-report/national-health-data-dictionary-version-16-2/summary&lt;/url&gt;&lt;/related-urls&gt;&lt;/urls&gt;&lt;access-date&gt;12 April 2024&lt;/access-date&gt;&lt;/record&gt;&lt;/Cite&gt;&lt;Cite&gt;&lt;Author&gt;Australian institue of Health and Welfare.&lt;/Author&gt;&lt;Year&gt;2022&lt;/Year&gt;&lt;RecNum&gt;115&lt;/RecNum&gt;&lt;record&gt;&lt;rec-number&gt;115&lt;/rec-number&gt;&lt;foreign-keys&gt;&lt;key app="EN" db-id="2rp0a5drxdefz3e2e5dptftled295z2r2ve2" timestamp="1623907505"&gt;115&lt;/key&gt;&lt;/foreign-keys&gt;&lt;ref-type name="Generic"&gt;13&lt;/ref-type&gt;&lt;contributors&gt;&lt;authors&gt;&lt;author&gt;Australian institue of Health and Welfare.,&lt;/author&gt;&lt;/authors&gt;&lt;/contributors&gt;&lt;titles&gt;&lt;title&gt;Admitted patient activity 2022-23&lt;/title&gt;&lt;/titles&gt;&lt;number&gt;12 April 2024&lt;/number&gt;&lt;dates&gt;&lt;year&gt;2022&lt;/year&gt;&lt;/dates&gt;&lt;pub-location&gt;Sydney&lt;/pub-location&gt;&lt;publisher&gt;AIHW&lt;/publisher&gt;&lt;urls&gt;&lt;related-urls&gt;&lt;url&gt;https://www.aihw.gov.au/reports-data/myhospitals/intersection/activity/apc&lt;/url&gt;&lt;/related-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12, 15</w:t>
      </w:r>
      <w:r w:rsidRPr="00F1559B">
        <w:rPr>
          <w:rFonts w:ascii="Arial" w:eastAsia="Arial" w:hAnsi="Arial" w:cs="Arial"/>
          <w:color w:val="auto"/>
          <w:lang w:val="en-US"/>
        </w:rPr>
        <w:fldChar w:fldCharType="end"/>
      </w:r>
      <w:r w:rsidRPr="00F1559B">
        <w:rPr>
          <w:rFonts w:ascii="Arial" w:eastAsia="Arial" w:hAnsi="Arial" w:cs="Arial"/>
          <w:color w:val="auto"/>
          <w:lang w:val="en-US"/>
        </w:rPr>
        <w:t xml:space="preserve"> </w:t>
      </w:r>
      <w:bookmarkEnd w:id="16"/>
      <w:r w:rsidRPr="00F1559B">
        <w:rPr>
          <w:rFonts w:ascii="Arial" w:eastAsia="Arial" w:hAnsi="Arial" w:cs="Arial"/>
          <w:color w:val="auto"/>
          <w:lang w:val="en-US"/>
        </w:rPr>
        <w:t xml:space="preserve">Complete </w:t>
      </w:r>
      <w:r w:rsidRPr="00F1559B">
        <w:rPr>
          <w:rFonts w:ascii="Arial" w:eastAsia="Arial" w:hAnsi="Arial" w:cs="Arial"/>
          <w:color w:val="auto"/>
          <w:lang w:val="en-US"/>
        </w:rPr>
        <w:lastRenderedPageBreak/>
        <w:t xml:space="preserve">definitions for these terms are included in the </w:t>
      </w:r>
      <w:hyperlink w:anchor="_Glossary" w:history="1">
        <w:r w:rsidRPr="00265B44">
          <w:rPr>
            <w:rFonts w:ascii="Arial" w:eastAsia="Arial" w:hAnsi="Arial" w:cs="Arial"/>
            <w:color w:val="002060"/>
            <w:u w:val="single"/>
            <w:lang w:val="en-US"/>
          </w:rPr>
          <w:t>glossary</w:t>
        </w:r>
      </w:hyperlink>
      <w:r w:rsidRPr="00F1559B">
        <w:rPr>
          <w:rFonts w:ascii="Arial" w:eastAsia="Arial" w:hAnsi="Arial" w:cs="Arial"/>
          <w:color w:val="auto"/>
          <w:lang w:val="en-US"/>
        </w:rPr>
        <w:t xml:space="preserve"> of this report.</w:t>
      </w:r>
    </w:p>
    <w:p w14:paraId="78A7DB25" w14:textId="77777777" w:rsidR="00F1559B" w:rsidRPr="00F1559B" w:rsidRDefault="00F1559B" w:rsidP="00F1559B">
      <w:pPr>
        <w:widowControl w:val="0"/>
        <w:autoSpaceDE w:val="0"/>
        <w:autoSpaceDN w:val="0"/>
        <w:spacing w:before="240" w:after="0" w:line="276" w:lineRule="auto"/>
        <w:rPr>
          <w:rFonts w:ascii="Arial" w:eastAsia="Arial" w:hAnsi="Arial" w:cs="Arial"/>
          <w:iCs/>
          <w:color w:val="auto"/>
          <w:lang w:val="en-US"/>
        </w:rPr>
      </w:pPr>
      <w:bookmarkStart w:id="17" w:name="_Hlk204761126"/>
      <w:r w:rsidRPr="00F1559B">
        <w:rPr>
          <w:rFonts w:ascii="Arial" w:eastAsia="Arial" w:hAnsi="Arial" w:cs="Arial"/>
          <w:color w:val="auto"/>
          <w:lang w:val="en-US"/>
        </w:rPr>
        <w:t xml:space="preserve">Further analysis of data for separations with pre-existing CDI symptoms was undertaken to better understand the factors that may be associated with community-onset CDI in Australia. </w:t>
      </w:r>
      <w:bookmarkStart w:id="18" w:name="_Hlk204761156"/>
      <w:bookmarkEnd w:id="17"/>
      <w:r w:rsidRPr="00F1559B">
        <w:rPr>
          <w:rFonts w:ascii="Arial" w:eastAsia="Arial" w:hAnsi="Arial" w:cs="Arial"/>
          <w:color w:val="auto"/>
          <w:lang w:val="en-US"/>
        </w:rPr>
        <w:t xml:space="preserve">These data relate to where the CDI diagnosis was made, rather than where the individual usually resided. Factors considered included patient demographics, admissions </w:t>
      </w:r>
      <w:r w:rsidRPr="00F1559B">
        <w:rPr>
          <w:rFonts w:ascii="Arial" w:eastAsia="Arial" w:hAnsi="Arial" w:cs="Arial"/>
          <w:iCs/>
          <w:color w:val="auto"/>
          <w:lang w:val="en-US"/>
        </w:rPr>
        <w:t>from residential aged care homes (RACHs), and incidence of readmission within 28 days of a previous separation</w:t>
      </w:r>
      <w:bookmarkEnd w:id="18"/>
      <w:r w:rsidRPr="00F1559B">
        <w:rPr>
          <w:rFonts w:ascii="Arial" w:eastAsia="Arial" w:hAnsi="Arial" w:cs="Arial"/>
          <w:iCs/>
          <w:color w:val="auto"/>
          <w:lang w:val="en-US"/>
        </w:rPr>
        <w:t xml:space="preserve">. </w:t>
      </w:r>
    </w:p>
    <w:p w14:paraId="5A8F0955" w14:textId="77777777" w:rsidR="00F1559B" w:rsidRPr="00F1559B" w:rsidRDefault="00F1559B" w:rsidP="00F1559B">
      <w:pPr>
        <w:widowControl w:val="0"/>
        <w:autoSpaceDE w:val="0"/>
        <w:autoSpaceDN w:val="0"/>
        <w:spacing w:before="240" w:after="240" w:line="276" w:lineRule="auto"/>
        <w:rPr>
          <w:rFonts w:ascii="Arial" w:eastAsia="Arial" w:hAnsi="Arial" w:cs="Arial"/>
          <w:color w:val="auto"/>
          <w:lang w:val="en-US"/>
        </w:rPr>
      </w:pPr>
      <w:r w:rsidRPr="00F1559B">
        <w:rPr>
          <w:rFonts w:ascii="Arial" w:eastAsia="Arial" w:hAnsi="Arial" w:cs="Arial"/>
          <w:color w:val="auto"/>
          <w:lang w:val="en-US"/>
        </w:rPr>
        <w:t>Data for proton pump inhibitor (PPI) medicine prescribing was sourced from the Services Australia prescription database.</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&lt;EndNote&gt;&lt;Cite&gt;&lt;Author&gt;Drug utilisation sub-committee&lt;/Author&gt;&lt;Year&gt;2022&lt;/Year&gt;&lt;RecNum&gt;224&lt;/RecNum&gt;&lt;DisplayText&gt;&lt;style face="superscript"&gt;16&lt;/style&gt;&lt;/DisplayText&gt;&lt;record&gt;&lt;rec-number&gt;224&lt;/rec-number&gt;&lt;foreign-keys&gt;&lt;key app="EN" db-id="2rp0a5drxdefz3e2e5dptftled295z2r2ve2" timestamp="1718159508"&gt;224&lt;/key&gt;&lt;/foreign-keys&gt;&lt;ref-type name="Generic"&gt;13&lt;/ref-type&gt;&lt;contributors&gt;&lt;authors&gt;&lt;author&gt;Drug utilisation sub-committee,&lt;/author&gt;&lt;author&gt;(DUSC),&lt;/author&gt;&lt;/authors&gt;&lt;subsidiary-authors&gt;&lt;author&gt;The Pharmaceutical Benefits Scheme&lt;/author&gt;&lt;/subsidiary-authors&gt;&lt;/contributors&gt;&lt;titles&gt;&lt;title&gt;Analysis of proton pump inhibitor (PPI) medicines used in the management of gastrointestinal acid related disorders.&lt;/title&gt;&lt;/titles&gt;&lt;dates&gt;&lt;year&gt;2022&lt;/year&gt;&lt;pub-dates&gt;&lt;date&gt;June 2022&lt;/date&gt;&lt;/pub-dates&gt;&lt;/dates&gt;&lt;urls&gt;&lt;related-urls&gt;&lt;url&gt;https://www.pbs.gov.au/info/industry/listing/participants/public-release-docs/2022-06/proton-pump-inhibitor-ppi-medicines-used-in-management-of-gastrointestinal-acid&lt;/url&gt;&lt;/related-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16</w:t>
      </w:r>
      <w:r w:rsidRPr="00F1559B">
        <w:rPr>
          <w:rFonts w:ascii="Arial" w:eastAsia="Arial" w:hAnsi="Arial" w:cs="Arial"/>
          <w:color w:val="auto"/>
          <w:lang w:val="en-US"/>
        </w:rPr>
        <w:fldChar w:fldCharType="end"/>
      </w:r>
      <w:r w:rsidRPr="00F1559B">
        <w:rPr>
          <w:rFonts w:ascii="Arial" w:eastAsia="Arial" w:hAnsi="Arial" w:cs="Arial"/>
          <w:color w:val="auto"/>
          <w:lang w:val="en-US"/>
        </w:rPr>
        <w:t xml:space="preserve"> Data on antimicrobial prescribing was extracted from the Australian Pharmaceutical Benefits Scheme (PBS) and the Repatriation Pharmaceutical Benefits Scheme (RPBS).</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&lt;EndNote&gt;&lt;Cite&gt;&lt;Author&gt;Gadzhanova&lt;/Author&gt;&lt;Year&gt;2023&lt;/Year&gt;&lt;RecNum&gt;236&lt;/RecNum&gt;&lt;DisplayText&gt;&lt;style face="superscript"&gt;17&lt;/style&gt;&lt;/DisplayText&gt;&lt;record&gt;&lt;rec-number&gt;236&lt;/rec-number&gt;&lt;foreign-keys&gt;&lt;key app="EN" db-id="2rp0a5drxdefz3e2e5dptftled295z2r2ve2" timestamp="1740716367"&gt;236&lt;/key&gt;&lt;/foreign-keys&gt;&lt;ref-type name="Generic"&gt;13&lt;/ref-type&gt;&lt;contributors&gt;&lt;authors&gt;&lt;author&gt;Gadzhanova, S. &lt;/author&gt;&lt;author&gt;Roughead, E. &lt;/author&gt;&lt;/authors&gt;&lt;/contributors&gt;&lt;titles&gt;&lt;title&gt;on behalf of the Australian Commission on Safety and Quality in &amp;#xD;Health Care. Analysis of 2015–2022 PBS and RPBS antimicrobial dispensing data. &amp;#xD;&amp;#xD;&lt;/title&gt;&lt;/titles&gt;&lt;dates&gt;&lt;year&gt;2023&lt;/year&gt;&lt;/dates&gt;&lt;pub-location&gt;Sydney&lt;/pub-location&gt;&lt;publisher&gt;ACSQHC&lt;/publisher&gt;&lt;urls&gt;&lt;/urls&gt;&lt;/record&gt;&lt;/Cite&gt;&lt;/EndNote&gt;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17</w:t>
      </w:r>
      <w:r w:rsidRPr="00F1559B">
        <w:rPr>
          <w:rFonts w:ascii="Arial" w:eastAsia="Arial" w:hAnsi="Arial" w:cs="Arial"/>
          <w:color w:val="auto"/>
          <w:lang w:val="en-US"/>
        </w:rPr>
        <w:fldChar w:fldCharType="end"/>
      </w:r>
      <w:r w:rsidRPr="00F1559B">
        <w:rPr>
          <w:rFonts w:ascii="Arial" w:eastAsia="Arial" w:hAnsi="Arial" w:cs="Arial"/>
          <w:color w:val="auto"/>
          <w:lang w:val="en-US"/>
        </w:rPr>
        <w:t xml:space="preserve"> </w:t>
      </w:r>
    </w:p>
    <w:p w14:paraId="3C65FB7D" w14:textId="77777777" w:rsidR="00F1559B" w:rsidRPr="00F1559B" w:rsidRDefault="00F1559B" w:rsidP="002F6516">
      <w:pPr>
        <w:pStyle w:val="Heading2"/>
        <w:rPr>
          <w:lang w:eastAsia="en-AU"/>
        </w:rPr>
      </w:pPr>
      <w:bookmarkStart w:id="19" w:name="_Toc205909362"/>
      <w:r w:rsidRPr="00F1559B">
        <w:rPr>
          <w:lang w:eastAsia="en-AU"/>
        </w:rPr>
        <w:t>Limitations</w:t>
      </w:r>
      <w:r w:rsidRPr="00F1559B">
        <w:rPr>
          <w:spacing w:val="-7"/>
          <w:lang w:eastAsia="en-AU"/>
        </w:rPr>
        <w:t xml:space="preserve"> </w:t>
      </w:r>
      <w:r w:rsidRPr="00F1559B">
        <w:rPr>
          <w:lang w:eastAsia="en-AU"/>
        </w:rPr>
        <w:t>and</w:t>
      </w:r>
      <w:r w:rsidRPr="00F1559B">
        <w:rPr>
          <w:spacing w:val="-5"/>
          <w:lang w:eastAsia="en-AU"/>
        </w:rPr>
        <w:t xml:space="preserve"> </w:t>
      </w:r>
      <w:r w:rsidRPr="00F1559B">
        <w:rPr>
          <w:lang w:eastAsia="en-AU"/>
        </w:rPr>
        <w:t>considerations</w:t>
      </w:r>
      <w:r w:rsidRPr="00F1559B">
        <w:rPr>
          <w:spacing w:val="-7"/>
          <w:lang w:eastAsia="en-AU"/>
        </w:rPr>
        <w:t xml:space="preserve"> </w:t>
      </w:r>
      <w:r w:rsidRPr="00F1559B">
        <w:rPr>
          <w:lang w:eastAsia="en-AU"/>
        </w:rPr>
        <w:t>for</w:t>
      </w:r>
      <w:r w:rsidRPr="00F1559B">
        <w:rPr>
          <w:spacing w:val="-6"/>
          <w:lang w:eastAsia="en-AU"/>
        </w:rPr>
        <w:t xml:space="preserve"> </w:t>
      </w:r>
      <w:r w:rsidRPr="00F1559B">
        <w:rPr>
          <w:lang w:eastAsia="en-AU"/>
        </w:rPr>
        <w:t>the</w:t>
      </w:r>
      <w:r w:rsidRPr="00F1559B">
        <w:rPr>
          <w:spacing w:val="-7"/>
          <w:lang w:eastAsia="en-AU"/>
        </w:rPr>
        <w:t xml:space="preserve"> </w:t>
      </w:r>
      <w:r w:rsidRPr="00F1559B">
        <w:rPr>
          <w:lang w:eastAsia="en-AU"/>
        </w:rPr>
        <w:t>interpretation</w:t>
      </w:r>
      <w:r w:rsidRPr="00F1559B">
        <w:rPr>
          <w:spacing w:val="-5"/>
          <w:lang w:eastAsia="en-AU"/>
        </w:rPr>
        <w:t xml:space="preserve"> </w:t>
      </w:r>
      <w:r w:rsidRPr="00F1559B">
        <w:rPr>
          <w:lang w:eastAsia="en-AU"/>
        </w:rPr>
        <w:t>of</w:t>
      </w:r>
      <w:r w:rsidRPr="00F1559B">
        <w:rPr>
          <w:spacing w:val="-3"/>
          <w:lang w:eastAsia="en-AU"/>
        </w:rPr>
        <w:t xml:space="preserve"> </w:t>
      </w:r>
      <w:r w:rsidRPr="00F1559B">
        <w:rPr>
          <w:spacing w:val="-4"/>
          <w:lang w:eastAsia="en-AU"/>
        </w:rPr>
        <w:t>data</w:t>
      </w:r>
      <w:bookmarkEnd w:id="19"/>
    </w:p>
    <w:p w14:paraId="2F6DBCAF" w14:textId="77777777" w:rsidR="00F1559B" w:rsidRPr="00F1559B" w:rsidRDefault="00F1559B" w:rsidP="00F1559B">
      <w:pPr>
        <w:widowControl w:val="0"/>
        <w:autoSpaceDE w:val="0"/>
        <w:autoSpaceDN w:val="0"/>
        <w:spacing w:before="37" w:after="240" w:line="276" w:lineRule="auto"/>
        <w:rPr>
          <w:rFonts w:ascii="Arial" w:eastAsia="Arial" w:hAnsi="Arial" w:cs="Arial"/>
          <w:color w:val="auto"/>
          <w:lang w:val="en-US"/>
        </w:rPr>
      </w:pPr>
      <w:r w:rsidRPr="00F1559B">
        <w:rPr>
          <w:rFonts w:ascii="Arial" w:eastAsia="Arial" w:hAnsi="Arial" w:cs="Arial"/>
          <w:color w:val="auto"/>
          <w:lang w:val="en-US"/>
        </w:rPr>
        <w:t>Access</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to</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information</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in</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the</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APC</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NMDS</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is</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dependent on</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the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submission</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of hospital-level</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data</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by the states and territories and subsequent validation of these data. Currently there is a 14- to 18-month delay between documentation of diagnosis at the hospital and availability of the APC NMDS to the Commission.</w:t>
      </w:r>
    </w:p>
    <w:p w14:paraId="1FEC49FC" w14:textId="77777777" w:rsidR="00F1559B" w:rsidRPr="00F1559B" w:rsidRDefault="00F1559B" w:rsidP="00F1559B">
      <w:pPr>
        <w:widowControl w:val="0"/>
        <w:autoSpaceDE w:val="0"/>
        <w:autoSpaceDN w:val="0"/>
        <w:spacing w:after="240" w:line="276" w:lineRule="auto"/>
        <w:rPr>
          <w:rFonts w:ascii="Arial" w:eastAsia="Arial" w:hAnsi="Arial" w:cs="Arial"/>
          <w:color w:val="auto"/>
          <w:lang w:val="en-US"/>
        </w:rPr>
      </w:pPr>
      <w:bookmarkStart w:id="20" w:name="_Hlk204761205"/>
      <w:r w:rsidRPr="00F1559B">
        <w:rPr>
          <w:rFonts w:ascii="Arial" w:eastAsia="Arial" w:hAnsi="Arial" w:cs="Arial"/>
          <w:color w:val="auto"/>
          <w:lang w:val="en-US"/>
        </w:rPr>
        <w:t>Patient administrative data are not sufficiently</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sensitive to</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link comorbidities to</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the</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COF</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codes</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or identify severity of disease, and the effects of these elements are not adjusted for in the methodology. This</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data</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cannot</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be</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adjusted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to</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account</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for</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or</w:t>
      </w:r>
      <w:r w:rsidRPr="00F1559B">
        <w:rPr>
          <w:rFonts w:ascii="Arial" w:eastAsia="Arial" w:hAnsi="Arial" w:cs="Arial"/>
          <w:color w:val="auto"/>
          <w:spacing w:val="-5"/>
          <w:lang w:val="en-US"/>
        </w:rPr>
        <w:t xml:space="preserve"> </w:t>
      </w:r>
      <w:r w:rsidRPr="00F1559B">
        <w:rPr>
          <w:rFonts w:ascii="Arial" w:eastAsia="Arial" w:hAnsi="Arial" w:cs="Arial"/>
          <w:color w:val="auto"/>
          <w:lang w:val="en-US"/>
        </w:rPr>
        <w:t>measure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the</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impact of changes</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in CDI testing</w:t>
      </w:r>
      <w:bookmarkEnd w:id="20"/>
      <w:r w:rsidRPr="00F1559B">
        <w:rPr>
          <w:rFonts w:ascii="Arial" w:eastAsia="Arial" w:hAnsi="Arial" w:cs="Arial"/>
          <w:color w:val="auto"/>
          <w:lang w:val="en-US"/>
        </w:rPr>
        <w:t>.</w:t>
      </w:r>
    </w:p>
    <w:p w14:paraId="46DF1C2B" w14:textId="77777777" w:rsidR="00F1559B" w:rsidRPr="00F1559B" w:rsidRDefault="00F1559B" w:rsidP="00F1559B">
      <w:pPr>
        <w:widowControl w:val="0"/>
        <w:autoSpaceDE w:val="0"/>
        <w:autoSpaceDN w:val="0"/>
        <w:spacing w:before="1" w:after="240" w:line="276" w:lineRule="auto"/>
        <w:rPr>
          <w:rFonts w:ascii="Arial" w:eastAsia="Arial" w:hAnsi="Arial" w:cs="Arial"/>
          <w:color w:val="auto"/>
          <w:lang w:val="en-US"/>
        </w:rPr>
      </w:pPr>
      <w:r w:rsidRPr="00F1559B">
        <w:rPr>
          <w:rFonts w:ascii="Arial" w:eastAsia="Arial" w:hAnsi="Arial" w:cs="Arial"/>
          <w:color w:val="auto"/>
          <w:lang w:val="en-US"/>
        </w:rPr>
        <w:t>Unlike established healthcare-associated infection (HAI) surveillance by case exposure classification, the definition for a COF does not include a timeframe for when the onset of a condition is considered to have arisen during</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an</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episode</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of</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care.</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It</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is assumed</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that</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the</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48-hour</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threshold</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for</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the</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onset</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of</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symptoms</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after admission used in hospital-based CDI surveillance programs can be applied to COF coding. However,</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this</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may</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limit</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the</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accuracy</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of applying</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CDI case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exposure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classifications</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to</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data</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from the APC NMDS. For example, separation with a CDI diagnosis identified as community-onset will likely include CDI acquired in the community, CDI acquired from a previous healthcare admission and separations where the onset is defined as  indeterminate.</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&lt;EndNote&gt;&lt;Cite&gt;&lt;Author&gt;Australian Commission on Safety and Quality in Health Care&lt;/Author&gt;&lt;Year&gt;2020&lt;/Year&gt;&lt;RecNum&gt;34&lt;/RecNum&gt;&lt;DisplayText&gt;&lt;style face="superscript"&gt;18&lt;/style&gt;&lt;/DisplayText&gt;&lt;record&gt;&lt;rec-number&gt;34&lt;/rec-number&gt;&lt;foreign-keys&gt;&lt;key app="EN" db-id="2rp0a5drxdefz3e2e5dptftled295z2r2ve2" timestamp="1599706141"&gt;34&lt;/key&gt;&lt;/foreign-keys&gt;&lt;ref-type name="Report"&gt;27&lt;/ref-type&gt;&lt;contributors&gt;&lt;authors&gt;&lt;author&gt;Australian Commission on Safety and Quality in Health Care,&lt;/author&gt;&lt;/authors&gt;&lt;tertiary-authors&gt;&lt;author&gt;ACSQHC&lt;/author&gt;&lt;/tertiary-authors&gt;&lt;/contributors&gt;&lt;titles&gt;&lt;title&gt;Implementation guide for the Surveillance of Clostridioides difficile Infection. &lt;/title&gt;&lt;/titles&gt;&lt;dates&gt;&lt;year&gt;2020&lt;/year&gt;&lt;/dates&gt;&lt;pub-location&gt;Sydney&lt;/pub-location&gt;&lt;urls&gt;&lt;/urls&gt;&lt;/record&gt;&lt;/Cite&gt;&lt;/EndNote&gt;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18</w:t>
      </w:r>
      <w:r w:rsidRPr="00F1559B">
        <w:rPr>
          <w:rFonts w:ascii="Arial" w:eastAsia="Arial" w:hAnsi="Arial" w:cs="Arial"/>
          <w:color w:val="auto"/>
          <w:lang w:val="en-US"/>
        </w:rPr>
        <w:fldChar w:fldCharType="end"/>
      </w:r>
    </w:p>
    <w:p w14:paraId="78486C5E" w14:textId="77777777" w:rsidR="00F1559B" w:rsidRPr="00F1559B" w:rsidRDefault="00F1559B" w:rsidP="00F1559B">
      <w:pPr>
        <w:widowControl w:val="0"/>
        <w:autoSpaceDE w:val="0"/>
        <w:autoSpaceDN w:val="0"/>
        <w:spacing w:before="1" w:after="0" w:line="276" w:lineRule="auto"/>
        <w:rPr>
          <w:rFonts w:ascii="Arial" w:eastAsia="Arial" w:hAnsi="Arial" w:cs="Arial"/>
          <w:color w:val="auto"/>
          <w:lang w:val="en-US"/>
        </w:rPr>
      </w:pPr>
      <w:r w:rsidRPr="00F1559B">
        <w:rPr>
          <w:rFonts w:ascii="Arial" w:eastAsia="Arial" w:hAnsi="Arial" w:cs="Arial"/>
          <w:color w:val="auto"/>
          <w:lang w:val="en-US"/>
        </w:rPr>
        <w:t xml:space="preserve">Data included in this report are only applicable to Australian public hospitals and do not account for cases identified in private hospitals or community or residential aged care facilities where there was no admission to a public hospital. </w:t>
      </w:r>
    </w:p>
    <w:p w14:paraId="0D724EAF" w14:textId="77777777" w:rsidR="00F1559B" w:rsidRPr="00F1559B" w:rsidRDefault="00F1559B" w:rsidP="00F1559B">
      <w:pPr>
        <w:autoSpaceDE w:val="0"/>
        <w:autoSpaceDN w:val="0"/>
        <w:adjustRightInd w:val="0"/>
        <w:spacing w:after="0" w:line="276" w:lineRule="auto"/>
        <w:rPr>
          <w:rFonts w:ascii="Arial" w:eastAsia="Times New Roman" w:hAnsi="Arial"/>
          <w:color w:val="auto"/>
          <w:lang w:eastAsia="en-AU"/>
        </w:rPr>
      </w:pPr>
    </w:p>
    <w:p w14:paraId="75413EDA" w14:textId="77777777" w:rsidR="00F1559B" w:rsidRPr="00F1559B" w:rsidRDefault="00F1559B" w:rsidP="00F1559B">
      <w:pPr>
        <w:autoSpaceDE w:val="0"/>
        <w:autoSpaceDN w:val="0"/>
        <w:adjustRightInd w:val="0"/>
        <w:spacing w:after="0" w:line="276" w:lineRule="auto"/>
        <w:rPr>
          <w:rFonts w:ascii="Times New Roman" w:eastAsia="Times New Roman" w:hAnsi="Times New Roman"/>
          <w:color w:val="auto"/>
          <w:sz w:val="23"/>
          <w:szCs w:val="23"/>
          <w:lang w:eastAsia="en-AU"/>
        </w:rPr>
      </w:pPr>
      <w:r w:rsidRPr="00F1559B">
        <w:rPr>
          <w:rFonts w:ascii="Arial" w:eastAsia="Times New Roman" w:hAnsi="Arial"/>
          <w:color w:val="auto"/>
          <w:lang w:eastAsia="en-AU"/>
        </w:rPr>
        <w:t>Data collected on separations with a CDI diagnosis used for this report does not include history of either antimicrobial use or PPI use. Caution is required when interpreting community antimicrobial use and PPI use and CDI rates. These limitations are also acknowledged in literature on the use of coding data for the use of surveillance.</w:t>
      </w:r>
      <w:r w:rsidRPr="00F1559B">
        <w:rPr>
          <w:rFonts w:ascii="Arial" w:eastAsia="Times New Roman" w:hAnsi="Arial"/>
          <w:color w:val="auto"/>
          <w:lang w:eastAsia="en-AU"/>
        </w:rPr>
        <w:fldChar w:fldCharType="begin">
          <w:fldData xml:space="preserve">PEVuZE5vdGU+PENpdGU+PEF1dGhvcj5QZmlzdGVyPC9BdXRob3I+PFllYXI+MjAyMDwvWWVhcj48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==
</w:fldData>
        </w:fldChar>
      </w:r>
      <w:r w:rsidRPr="00F1559B">
        <w:rPr>
          <w:rFonts w:ascii="Arial" w:eastAsia="Times New Roman" w:hAnsi="Arial"/>
          <w:color w:val="auto"/>
          <w:lang w:eastAsia="en-AU"/>
        </w:rPr>
        <w:instrText xml:space="preserve"> ADDIN EN.CITE </w:instrText>
      </w:r>
      <w:r w:rsidRPr="00F1559B">
        <w:rPr>
          <w:rFonts w:ascii="Arial" w:eastAsia="Times New Roman" w:hAnsi="Arial"/>
          <w:color w:val="auto"/>
          <w:lang w:eastAsia="en-AU"/>
        </w:rPr>
        <w:fldChar w:fldCharType="begin">
          <w:fldData xml:space="preserve">PEVuZE5vdGU+PENpdGU+PEF1dGhvcj5QZmlzdGVyPC9BdXRob3I+PFllYXI+MjAyMDwvWWVhcj48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==
</w:fldData>
        </w:fldChar>
      </w:r>
      <w:r w:rsidRPr="00F1559B">
        <w:rPr>
          <w:rFonts w:ascii="Arial" w:eastAsia="Times New Roman" w:hAnsi="Arial"/>
          <w:color w:val="auto"/>
          <w:lang w:eastAsia="en-AU"/>
        </w:rPr>
        <w:instrText xml:space="preserve"> ADDIN EN.CITE.DATA </w:instrText>
      </w:r>
      <w:r w:rsidRPr="00F1559B">
        <w:rPr>
          <w:rFonts w:ascii="Arial" w:eastAsia="Times New Roman" w:hAnsi="Arial"/>
          <w:color w:val="auto"/>
          <w:lang w:eastAsia="en-AU"/>
        </w:rPr>
      </w:r>
      <w:r w:rsidRPr="00F1559B">
        <w:rPr>
          <w:rFonts w:ascii="Arial" w:eastAsia="Times New Roman" w:hAnsi="Arial"/>
          <w:color w:val="auto"/>
          <w:lang w:eastAsia="en-AU"/>
        </w:rPr>
        <w:fldChar w:fldCharType="end"/>
      </w:r>
      <w:r w:rsidRPr="00F1559B">
        <w:rPr>
          <w:rFonts w:ascii="Arial" w:eastAsia="Times New Roman" w:hAnsi="Arial"/>
          <w:color w:val="auto"/>
          <w:lang w:eastAsia="en-AU"/>
        </w:rPr>
      </w:r>
      <w:r w:rsidRPr="00F1559B">
        <w:rPr>
          <w:rFonts w:ascii="Arial" w:eastAsia="Times New Roman" w:hAnsi="Arial"/>
          <w:color w:val="auto"/>
          <w:lang w:eastAsia="en-AU"/>
        </w:rPr>
        <w:fldChar w:fldCharType="separate"/>
      </w:r>
      <w:r w:rsidRPr="00F1559B">
        <w:rPr>
          <w:rFonts w:ascii="Arial" w:eastAsia="Times New Roman" w:hAnsi="Arial"/>
          <w:noProof/>
          <w:color w:val="auto"/>
          <w:vertAlign w:val="superscript"/>
          <w:lang w:eastAsia="en-AU"/>
        </w:rPr>
        <w:t>19</w:t>
      </w:r>
      <w:r w:rsidRPr="00F1559B">
        <w:rPr>
          <w:rFonts w:ascii="Arial" w:eastAsia="Times New Roman" w:hAnsi="Arial"/>
          <w:color w:val="auto"/>
          <w:lang w:eastAsia="en-AU"/>
        </w:rPr>
        <w:fldChar w:fldCharType="end"/>
      </w:r>
    </w:p>
    <w:p w14:paraId="3CDEA15B" w14:textId="167903EF" w:rsidR="00F1559B" w:rsidRPr="00F1559B" w:rsidRDefault="00F1559B" w:rsidP="00215E97">
      <w:pPr>
        <w:widowControl w:val="0"/>
        <w:autoSpaceDE w:val="0"/>
        <w:autoSpaceDN w:val="0"/>
        <w:spacing w:before="188" w:after="0" w:line="276" w:lineRule="auto"/>
        <w:rPr>
          <w:rFonts w:ascii="Arial" w:eastAsia="Times New Roman" w:hAnsi="Arial"/>
          <w:color w:val="auto"/>
          <w:lang w:eastAsia="en-AU"/>
        </w:rPr>
      </w:pPr>
      <w:r w:rsidRPr="00F1559B">
        <w:rPr>
          <w:rFonts w:ascii="Arial" w:eastAsia="Arial" w:hAnsi="Arial" w:cs="Arial"/>
          <w:color w:val="auto"/>
          <w:lang w:val="en-US"/>
        </w:rPr>
        <w:t>Any association between length of stay and CDI should be interpreted with care. Length of stay may be impacted by many factors, such as underlying comorbidities, severity of disease and treatment</w:t>
      </w:r>
      <w:r w:rsidRPr="00F1559B">
        <w:rPr>
          <w:rFonts w:ascii="Arial" w:eastAsia="Arial" w:hAnsi="Arial" w:cs="Arial"/>
          <w:color w:val="auto"/>
          <w:spacing w:val="-3"/>
          <w:lang w:val="en-US"/>
        </w:rPr>
        <w:t xml:space="preserve"> </w:t>
      </w:r>
      <w:r w:rsidRPr="00F1559B">
        <w:rPr>
          <w:rFonts w:ascii="Arial" w:eastAsia="Arial" w:hAnsi="Arial" w:cs="Arial"/>
          <w:color w:val="auto"/>
          <w:lang w:val="en-US"/>
        </w:rPr>
        <w:t>modalities. As</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such, a</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prolonged length of stay cannot</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solely</w:t>
      </w:r>
      <w:r w:rsidRPr="00F1559B">
        <w:rPr>
          <w:rFonts w:ascii="Arial" w:eastAsia="Arial" w:hAnsi="Arial" w:cs="Arial"/>
          <w:color w:val="auto"/>
          <w:spacing w:val="-1"/>
          <w:lang w:val="en-US"/>
        </w:rPr>
        <w:t xml:space="preserve"> </w:t>
      </w:r>
      <w:r w:rsidRPr="00F1559B">
        <w:rPr>
          <w:rFonts w:ascii="Arial" w:eastAsia="Arial" w:hAnsi="Arial" w:cs="Arial"/>
          <w:color w:val="auto"/>
          <w:lang w:val="en-US"/>
        </w:rPr>
        <w:t>be</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attributed</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to</w:t>
      </w:r>
      <w:r w:rsidRPr="00F1559B">
        <w:rPr>
          <w:rFonts w:ascii="Arial" w:eastAsia="Arial" w:hAnsi="Arial" w:cs="Arial"/>
          <w:color w:val="auto"/>
          <w:spacing w:val="-4"/>
          <w:lang w:val="en-US"/>
        </w:rPr>
        <w:t xml:space="preserve"> </w:t>
      </w:r>
      <w:r w:rsidRPr="00F1559B">
        <w:rPr>
          <w:rFonts w:ascii="Arial" w:eastAsia="Arial" w:hAnsi="Arial" w:cs="Arial"/>
          <w:color w:val="auto"/>
          <w:lang w:val="en-US"/>
        </w:rPr>
        <w:t>the</w:t>
      </w:r>
      <w:r w:rsidRPr="00F1559B">
        <w:rPr>
          <w:rFonts w:ascii="Arial" w:eastAsia="Arial" w:hAnsi="Arial" w:cs="Arial"/>
          <w:color w:val="auto"/>
          <w:spacing w:val="-2"/>
          <w:lang w:val="en-US"/>
        </w:rPr>
        <w:t xml:space="preserve"> </w:t>
      </w:r>
      <w:r w:rsidRPr="00F1559B">
        <w:rPr>
          <w:rFonts w:ascii="Arial" w:eastAsia="Arial" w:hAnsi="Arial" w:cs="Arial"/>
          <w:color w:val="auto"/>
          <w:lang w:val="en-US"/>
        </w:rPr>
        <w:t>acquisition of CDI.</w:t>
      </w:r>
      <w:r w:rsidRPr="00F1559B">
        <w:rPr>
          <w:rFonts w:ascii="Arial" w:eastAsia="Arial" w:hAnsi="Arial" w:cs="Arial"/>
          <w:color w:val="auto"/>
          <w:lang w:val="en-US"/>
        </w:rPr>
        <w:fldChar w:fldCharType="begin"/>
      </w:r>
      <w:r w:rsidRPr="00F1559B">
        <w:rPr>
          <w:rFonts w:ascii="Arial" w:eastAsia="Arial" w:hAnsi="Arial" w:cs="Arial"/>
          <w:color w:val="auto"/>
          <w:lang w:val="en-US"/>
        </w:rPr>
        <w:instrText xml:space="preserve"> ADDIN EN.CITE &lt;EndNote&gt;&lt;Cite&gt;&lt;Author&gt;Jeon&lt;/Author&gt;&lt;Year&gt;2012&lt;/Year&gt;&lt;RecNum&gt;25&lt;/RecNum&gt;&lt;DisplayText&gt;&lt;style face="superscript"&gt;20&lt;/style&gt;&lt;/DisplayText&gt;&lt;record&gt;&lt;rec-number&gt;25&lt;/rec-number&gt;&lt;foreign-keys&gt;&lt;key app="EN" db-id="2rp0a5drxdefz3e2e5dptftled295z2r2ve2" timestamp="1597041008"&gt;25&lt;/key&gt;&lt;/foreign-keys&gt;&lt;ref-type name="Journal Article"&gt;17&lt;/ref-type&gt;&lt;contributors&gt;&lt;authors&gt;&lt;author&gt;Jeon,C.Y&lt;/author&gt;&lt;author&gt;Neidell, M&lt;/author&gt;&lt;author&gt;Jia, H&lt;/author&gt;&lt;author&gt;Sinisi, M &lt;/author&gt;&lt;author&gt;Larson, E.  &lt;/author&gt;&lt;/authors&gt;&lt;/contributors&gt;&lt;titles&gt;&lt;title&gt;On the role of length of stay in Healthcare-Associated  Bloodstream Infection&lt;/title&gt;&lt;secondary-title&gt;Infection Control and Hospital Epideminology.&lt;/secondary-title&gt;&lt;/titles&gt;&lt;periodical&gt;&lt;full-title&gt;Infection Control and Hospital Epideminology.&lt;/full-title&gt;&lt;/periodical&gt;&lt;pages&gt;1213-1218&lt;/pages&gt;&lt;volume&gt;33&lt;/volume&gt;&lt;number&gt;12&lt;/number&gt;&lt;dates&gt;&lt;year&gt;2012&lt;/year&gt;&lt;/dates&gt;&lt;urls&gt;&lt;/urls&gt;&lt;electronic-resource-num&gt;10.1086/668422&lt;/electronic-resource-num&gt;&lt;/record&gt;&lt;/Cite&gt;&lt;/EndNote&gt;</w:instrText>
      </w:r>
      <w:r w:rsidRPr="00F1559B">
        <w:rPr>
          <w:rFonts w:ascii="Arial" w:eastAsia="Arial" w:hAnsi="Arial" w:cs="Arial"/>
          <w:color w:val="auto"/>
          <w:lang w:val="en-US"/>
        </w:rPr>
        <w:fldChar w:fldCharType="separate"/>
      </w:r>
      <w:r w:rsidRPr="00F1559B">
        <w:rPr>
          <w:rFonts w:ascii="Arial" w:eastAsia="Arial" w:hAnsi="Arial" w:cs="Arial"/>
          <w:noProof/>
          <w:color w:val="auto"/>
          <w:vertAlign w:val="superscript"/>
          <w:lang w:val="en-US"/>
        </w:rPr>
        <w:t>20</w:t>
      </w:r>
      <w:r w:rsidRPr="00F1559B">
        <w:rPr>
          <w:rFonts w:ascii="Arial" w:eastAsia="Arial" w:hAnsi="Arial" w:cs="Arial"/>
          <w:color w:val="auto"/>
          <w:lang w:val="en-US"/>
        </w:rPr>
        <w:fldChar w:fldCharType="end"/>
      </w:r>
    </w:p>
    <w:p w14:paraId="3A11E614" w14:textId="662C3923" w:rsidR="00F1559B" w:rsidRDefault="00F1559B" w:rsidP="00F1559B">
      <w:pPr>
        <w:pStyle w:val="Heading1"/>
      </w:pPr>
      <w:bookmarkStart w:id="21" w:name="_Toc205909363"/>
      <w:r>
        <w:lastRenderedPageBreak/>
        <w:t>Findings</w:t>
      </w:r>
      <w:bookmarkEnd w:id="21"/>
    </w:p>
    <w:p w14:paraId="0A97A750" w14:textId="4B52CA67" w:rsidR="00F1559B" w:rsidRDefault="00F1559B" w:rsidP="001F523A">
      <w:pPr>
        <w:pStyle w:val="Heading2"/>
      </w:pPr>
      <w:bookmarkStart w:id="22" w:name="_Toc205909364"/>
      <w:r>
        <w:t>Overall burden of CDI in Australia</w:t>
      </w:r>
      <w:bookmarkEnd w:id="22"/>
    </w:p>
    <w:p w14:paraId="54C1B915" w14:textId="01EF4036" w:rsidR="00F1559B" w:rsidRPr="00F1559B" w:rsidRDefault="00F1559B" w:rsidP="00F1559B">
      <w:pPr>
        <w:widowControl w:val="0"/>
        <w:autoSpaceDE w:val="0"/>
        <w:autoSpaceDN w:val="0"/>
        <w:spacing w:before="241" w:after="240" w:line="276" w:lineRule="auto"/>
        <w:rPr>
          <w:rFonts w:ascii="Arial" w:eastAsia="Arial" w:hAnsi="Arial" w:cs="Arial"/>
          <w:color w:val="auto"/>
          <w:lang w:val="en-US"/>
        </w:rPr>
      </w:pPr>
      <w:r w:rsidRPr="00F1559B">
        <w:rPr>
          <w:rFonts w:ascii="Arial" w:eastAsia="Arial" w:hAnsi="Arial" w:cs="Arial"/>
          <w:color w:val="auto"/>
          <w:spacing w:val="-4"/>
          <w:lang w:val="en-US"/>
        </w:rPr>
        <w:t xml:space="preserve">In 2022 and 2023, there were </w:t>
      </w:r>
      <w:r w:rsidRPr="00F1559B">
        <w:rPr>
          <w:rFonts w:ascii="Arial" w:eastAsia="Arial" w:hAnsi="Arial" w:cs="Arial"/>
          <w:color w:val="auto"/>
          <w:lang w:val="en-US"/>
        </w:rPr>
        <w:t>11</w:t>
      </w:r>
      <w:r w:rsidR="00B1658A">
        <w:rPr>
          <w:rFonts w:ascii="Arial" w:eastAsia="Arial" w:hAnsi="Arial" w:cs="Arial"/>
          <w:color w:val="auto"/>
          <w:lang w:val="en-US"/>
        </w:rPr>
        <w:t>,</w:t>
      </w:r>
      <w:r w:rsidRPr="00F1559B">
        <w:rPr>
          <w:rFonts w:ascii="Arial" w:eastAsia="Arial" w:hAnsi="Arial" w:cs="Arial"/>
          <w:color w:val="auto"/>
          <w:lang w:val="en-US"/>
        </w:rPr>
        <w:t>942</w:t>
      </w:r>
      <w:r w:rsidRPr="00F1559B">
        <w:rPr>
          <w:rFonts w:ascii="Arial" w:eastAsia="Arial" w:hAnsi="Arial" w:cs="Arial"/>
          <w:color w:val="auto"/>
          <w:spacing w:val="-4"/>
          <w:lang w:val="en-US"/>
        </w:rPr>
        <w:t xml:space="preserve"> and 11,202 separations with a CDI diagnosis respectively. </w:t>
      </w:r>
      <w:r w:rsidRPr="00F1559B">
        <w:rPr>
          <w:rFonts w:ascii="Arial" w:eastAsia="Arial" w:hAnsi="Arial" w:cs="Arial"/>
          <w:color w:val="000000"/>
          <w:lang w:val="en-US"/>
        </w:rPr>
        <w:t xml:space="preserve">Principal CDI diagnoses accounted for 30.93% of all CDI diagnoses in 2022 and 30.25% of all CDI diagnoses in 2023. Non-principal CDI diagnoses accounted for 69.07% of all CDI diagnoses in 2022 and 69.75% of all CDI diagnoses in 2023. </w:t>
      </w:r>
    </w:p>
    <w:p w14:paraId="26E6336C" w14:textId="77777777" w:rsidR="00F1559B" w:rsidRPr="00F1559B" w:rsidRDefault="00F1559B" w:rsidP="00F1559B">
      <w:pPr>
        <w:widowControl w:val="0"/>
        <w:autoSpaceDE w:val="0"/>
        <w:autoSpaceDN w:val="0"/>
        <w:spacing w:before="240" w:after="0" w:line="276" w:lineRule="auto"/>
        <w:rPr>
          <w:rFonts w:ascii="Arial" w:eastAsia="Arial" w:hAnsi="Arial" w:cs="Arial"/>
          <w:color w:val="auto"/>
          <w:lang w:val="en-US"/>
        </w:rPr>
      </w:pPr>
      <w:r w:rsidRPr="00F1559B">
        <w:rPr>
          <w:rFonts w:ascii="Arial" w:eastAsia="Times New Roman" w:hAnsi="Arial" w:cs="Arial"/>
          <w:color w:val="000000"/>
          <w:lang w:eastAsia="en-AU"/>
        </w:rPr>
        <w:t xml:space="preserve">The average rate of all CDI diagnoses in 2022 was 5.24 diagnoses per 10,000 patient bed days. In 2023, the average rate of all CDI diagnoses decreased to 4.78 diagnoses per 10,000 patient bed days. </w:t>
      </w:r>
      <w:r w:rsidRPr="00F1559B">
        <w:rPr>
          <w:rFonts w:ascii="Arial" w:eastAsia="Arial" w:hAnsi="Arial" w:cs="Arial"/>
          <w:color w:val="auto"/>
          <w:spacing w:val="-2"/>
          <w:lang w:val="en-US"/>
        </w:rPr>
        <w:t>Figure 1 shows the average national quarterly rates of CDI diagnoses</w:t>
      </w:r>
      <w:r w:rsidRPr="00F1559B">
        <w:rPr>
          <w:rFonts w:ascii="Arial" w:eastAsia="Arial" w:hAnsi="Arial" w:cs="Arial"/>
          <w:color w:val="auto"/>
          <w:lang w:val="en-US"/>
        </w:rPr>
        <w:t xml:space="preserve">. </w:t>
      </w:r>
    </w:p>
    <w:p w14:paraId="684F7313" w14:textId="7B73F867" w:rsidR="00F1559B" w:rsidRPr="00F1559B" w:rsidRDefault="00F1559B" w:rsidP="007744C9">
      <w:pPr>
        <w:pStyle w:val="Caption"/>
        <w:numPr>
          <w:ilvl w:val="0"/>
          <w:numId w:val="0"/>
        </w:numPr>
        <w:rPr>
          <w:lang w:val="en-US"/>
        </w:rPr>
      </w:pPr>
      <w:r w:rsidRPr="00F1559B">
        <w:rPr>
          <w:b/>
          <w:lang w:val="en-US"/>
        </w:rPr>
        <w:t>Figure</w:t>
      </w:r>
      <w:r w:rsidRPr="00F1559B">
        <w:rPr>
          <w:b/>
          <w:spacing w:val="-3"/>
          <w:lang w:val="en-US"/>
        </w:rPr>
        <w:t xml:space="preserve"> </w:t>
      </w:r>
      <w:r w:rsidRPr="00F1559B">
        <w:rPr>
          <w:b/>
          <w:lang w:val="en-US"/>
        </w:rPr>
        <w:t>1</w:t>
      </w:r>
      <w:r w:rsidR="00830A7A">
        <w:rPr>
          <w:b/>
          <w:lang w:val="en-US"/>
        </w:rPr>
        <w:t>.</w:t>
      </w:r>
      <w:r w:rsidR="00830A7A" w:rsidRPr="00F1559B">
        <w:rPr>
          <w:b/>
          <w:spacing w:val="-2"/>
          <w:lang w:val="en-US"/>
        </w:rPr>
        <w:t xml:space="preserve"> </w:t>
      </w:r>
      <w:r w:rsidRPr="00F1559B">
        <w:rPr>
          <w:bCs/>
          <w:spacing w:val="-2"/>
          <w:lang w:val="en-US"/>
        </w:rPr>
        <w:t xml:space="preserve">Quarterly </w:t>
      </w:r>
      <w:r w:rsidRPr="00F1559B">
        <w:rPr>
          <w:lang w:val="en-US"/>
        </w:rPr>
        <w:t>rate</w:t>
      </w:r>
      <w:r w:rsidRPr="00F1559B">
        <w:rPr>
          <w:spacing w:val="-3"/>
          <w:lang w:val="en-US"/>
        </w:rPr>
        <w:t xml:space="preserve"> </w:t>
      </w:r>
      <w:r w:rsidRPr="00F1559B">
        <w:rPr>
          <w:lang w:val="en-US"/>
        </w:rPr>
        <w:t>of</w:t>
      </w:r>
      <w:r w:rsidRPr="00F1559B">
        <w:rPr>
          <w:spacing w:val="-2"/>
          <w:lang w:val="en-US"/>
        </w:rPr>
        <w:t xml:space="preserve"> </w:t>
      </w:r>
      <w:r w:rsidRPr="00F1559B">
        <w:rPr>
          <w:lang w:val="en-US"/>
        </w:rPr>
        <w:t>CDI (A04.7) diagnoses*</w:t>
      </w:r>
      <w:r w:rsidRPr="00F1559B">
        <w:rPr>
          <w:spacing w:val="-2"/>
          <w:lang w:val="en-US"/>
        </w:rPr>
        <w:t xml:space="preserve"> </w:t>
      </w:r>
      <w:r w:rsidRPr="00F1559B">
        <w:rPr>
          <w:lang w:val="en-US"/>
        </w:rPr>
        <w:t>in</w:t>
      </w:r>
      <w:r w:rsidRPr="00F1559B">
        <w:rPr>
          <w:spacing w:val="-3"/>
          <w:lang w:val="en-US"/>
        </w:rPr>
        <w:t xml:space="preserve"> </w:t>
      </w:r>
      <w:r w:rsidRPr="00F1559B">
        <w:rPr>
          <w:lang w:val="en-US"/>
        </w:rPr>
        <w:t>Australian</w:t>
      </w:r>
      <w:r w:rsidRPr="00F1559B">
        <w:rPr>
          <w:spacing w:val="-3"/>
          <w:lang w:val="en-US"/>
        </w:rPr>
        <w:t xml:space="preserve"> </w:t>
      </w:r>
      <w:r w:rsidRPr="00F1559B">
        <w:rPr>
          <w:lang w:val="en-US"/>
        </w:rPr>
        <w:t>public</w:t>
      </w:r>
      <w:r w:rsidRPr="00F1559B">
        <w:rPr>
          <w:spacing w:val="-2"/>
          <w:lang w:val="en-US"/>
        </w:rPr>
        <w:t xml:space="preserve"> </w:t>
      </w:r>
      <w:r w:rsidRPr="00F1559B">
        <w:rPr>
          <w:lang w:val="en-US"/>
        </w:rPr>
        <w:t>hospitals</w:t>
      </w:r>
      <w:r w:rsidRPr="00F1559B">
        <w:rPr>
          <w:spacing w:val="-2"/>
          <w:lang w:val="en-US"/>
        </w:rPr>
        <w:t xml:space="preserve"> </w:t>
      </w:r>
      <w:r w:rsidRPr="00F1559B">
        <w:rPr>
          <w:lang w:val="en-US"/>
        </w:rPr>
        <w:t>per</w:t>
      </w:r>
      <w:r w:rsidRPr="00F1559B">
        <w:rPr>
          <w:spacing w:val="-4"/>
          <w:lang w:val="en-US"/>
        </w:rPr>
        <w:t xml:space="preserve"> </w:t>
      </w:r>
      <w:r w:rsidRPr="00F1559B">
        <w:rPr>
          <w:lang w:val="en-US"/>
        </w:rPr>
        <w:t>10,000</w:t>
      </w:r>
      <w:r w:rsidRPr="00F1559B">
        <w:rPr>
          <w:spacing w:val="-5"/>
          <w:lang w:val="en-US"/>
        </w:rPr>
        <w:t xml:space="preserve"> </w:t>
      </w:r>
      <w:r w:rsidRPr="00F1559B">
        <w:rPr>
          <w:lang w:val="en-US"/>
        </w:rPr>
        <w:t>patient bed days, 2022 and 2023</w:t>
      </w:r>
    </w:p>
    <w:p w14:paraId="200B1803" w14:textId="34A2DC6A" w:rsidR="00F1559B" w:rsidRPr="00F1559B" w:rsidRDefault="00EA5A2C" w:rsidP="00F1559B">
      <w:r>
        <w:rPr>
          <w:noProof/>
        </w:rPr>
        <w:drawing>
          <wp:inline distT="0" distB="0" distL="0" distR="0" wp14:anchorId="66EEA799" wp14:editId="0BF51C11">
            <wp:extent cx="5831840" cy="3317240"/>
            <wp:effectExtent l="0" t="0" r="0" b="0"/>
            <wp:docPr id="1344261506" name="Chart 1">
              <a:extLst xmlns:a="http://schemas.openxmlformats.org/drawingml/2006/main">
                <a:ext uri="{FF2B5EF4-FFF2-40B4-BE49-F238E27FC236}">
                  <a16:creationId xmlns:a16="http://schemas.microsoft.com/office/drawing/2014/main" id="{4EE97FBC-21EE-95B9-9542-0399C54E4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77D83C" w14:textId="77777777" w:rsidR="005B6022" w:rsidRPr="005B6022" w:rsidRDefault="005B6022" w:rsidP="005B6022">
      <w:pPr>
        <w:spacing w:after="0" w:line="240" w:lineRule="auto"/>
        <w:ind w:right="521"/>
        <w:rPr>
          <w:rFonts w:ascii="Arial" w:eastAsia="Times New Roman" w:hAnsi="Arial"/>
          <w:color w:val="auto"/>
          <w:sz w:val="18"/>
          <w:szCs w:val="18"/>
          <w:lang w:eastAsia="en-AU"/>
        </w:rPr>
      </w:pPr>
      <w:r w:rsidRPr="005B6022">
        <w:rPr>
          <w:rFonts w:ascii="Arial" w:eastAsia="Times New Roman" w:hAnsi="Arial"/>
          <w:color w:val="auto"/>
          <w:lang w:eastAsia="en-AU"/>
        </w:rPr>
        <w:t>*</w:t>
      </w:r>
      <w:r w:rsidRPr="005B6022">
        <w:rPr>
          <w:rFonts w:ascii="Arial" w:eastAsia="Times New Roman" w:hAnsi="Arial"/>
          <w:color w:val="auto"/>
          <w:sz w:val="18"/>
          <w:szCs w:val="18"/>
          <w:lang w:eastAsia="en-AU"/>
        </w:rPr>
        <w:t>Diagnostic code A04.7 (</w:t>
      </w:r>
      <w:r w:rsidRPr="005B6022">
        <w:rPr>
          <w:rFonts w:ascii="Arial" w:eastAsia="Times New Roman" w:hAnsi="Arial"/>
          <w:i/>
          <w:iCs/>
          <w:color w:val="auto"/>
          <w:sz w:val="18"/>
          <w:szCs w:val="18"/>
          <w:lang w:eastAsia="en-AU"/>
        </w:rPr>
        <w:t>enterocolitis due to Clostridium difficile infection</w:t>
      </w:r>
      <w:r w:rsidRPr="005B6022">
        <w:rPr>
          <w:rFonts w:ascii="Arial" w:eastAsia="Times New Roman" w:hAnsi="Arial"/>
          <w:color w:val="auto"/>
          <w:sz w:val="18"/>
          <w:szCs w:val="18"/>
          <w:lang w:eastAsia="en-AU"/>
        </w:rPr>
        <w:t xml:space="preserve">) </w:t>
      </w:r>
    </w:p>
    <w:p w14:paraId="64AF7014" w14:textId="77777777" w:rsidR="005B6022" w:rsidRPr="005B6022" w:rsidRDefault="005B6022" w:rsidP="005B6022">
      <w:pPr>
        <w:spacing w:after="0" w:line="240" w:lineRule="auto"/>
        <w:ind w:right="521"/>
        <w:rPr>
          <w:rFonts w:ascii="Arial" w:eastAsia="Times New Roman" w:hAnsi="Arial"/>
          <w:color w:val="auto"/>
          <w:sz w:val="18"/>
          <w:szCs w:val="18"/>
          <w:lang w:eastAsia="en-AU"/>
        </w:rPr>
      </w:pPr>
      <w:r w:rsidRPr="005B6022">
        <w:rPr>
          <w:rFonts w:ascii="Arial" w:eastAsia="Times New Roman" w:hAnsi="Arial"/>
          <w:color w:val="auto"/>
          <w:sz w:val="18"/>
          <w:szCs w:val="18"/>
          <w:lang w:eastAsia="en-AU"/>
        </w:rPr>
        <w:t xml:space="preserve">  Notes: Number of Australian public hospitals, 2022, </w:t>
      </w:r>
      <w:r w:rsidRPr="005B6022">
        <w:rPr>
          <w:rFonts w:ascii="Arial" w:eastAsia="Times New Roman" w:hAnsi="Arial"/>
          <w:i/>
          <w:iCs/>
          <w:color w:val="auto"/>
          <w:sz w:val="18"/>
          <w:szCs w:val="18"/>
          <w:lang w:eastAsia="en-AU"/>
        </w:rPr>
        <w:t>n =</w:t>
      </w:r>
      <w:r w:rsidRPr="005B6022">
        <w:rPr>
          <w:rFonts w:ascii="Arial" w:eastAsia="Times New Roman" w:hAnsi="Arial"/>
          <w:color w:val="auto"/>
          <w:sz w:val="18"/>
          <w:szCs w:val="18"/>
          <w:lang w:eastAsia="en-AU"/>
        </w:rPr>
        <w:t xml:space="preserve"> 683, 2023, </w:t>
      </w:r>
      <w:r w:rsidRPr="005B6022">
        <w:rPr>
          <w:rFonts w:ascii="Arial" w:eastAsia="Times New Roman" w:hAnsi="Arial"/>
          <w:i/>
          <w:iCs/>
          <w:color w:val="auto"/>
          <w:sz w:val="18"/>
          <w:szCs w:val="18"/>
          <w:lang w:eastAsia="en-AU"/>
        </w:rPr>
        <w:t>n =</w:t>
      </w:r>
      <w:r w:rsidRPr="005B6022">
        <w:rPr>
          <w:rFonts w:ascii="Arial" w:eastAsia="Times New Roman" w:hAnsi="Arial"/>
          <w:color w:val="auto"/>
          <w:sz w:val="18"/>
          <w:szCs w:val="18"/>
          <w:lang w:eastAsia="en-AU"/>
        </w:rPr>
        <w:t xml:space="preserve"> 687</w:t>
      </w:r>
    </w:p>
    <w:p w14:paraId="396B99E4" w14:textId="1365833E" w:rsidR="005B6022" w:rsidRPr="005B6022" w:rsidRDefault="005B6022" w:rsidP="005B6022">
      <w:pPr>
        <w:spacing w:after="0" w:line="240" w:lineRule="auto"/>
        <w:ind w:right="521"/>
        <w:rPr>
          <w:rFonts w:ascii="Arial" w:eastAsia="Times New Roman" w:hAnsi="Arial"/>
          <w:color w:val="auto"/>
          <w:sz w:val="18"/>
          <w:szCs w:val="18"/>
          <w:lang w:eastAsia="en-AU"/>
        </w:rPr>
      </w:pPr>
      <w:r w:rsidRPr="005B6022">
        <w:rPr>
          <w:rFonts w:ascii="Arial" w:eastAsia="Times New Roman" w:hAnsi="Arial"/>
          <w:color w:val="auto"/>
          <w:sz w:val="18"/>
          <w:szCs w:val="18"/>
          <w:lang w:eastAsia="en-AU"/>
        </w:rPr>
        <w:t xml:space="preserve">             Total hospital separations, 2022</w:t>
      </w:r>
      <w:r w:rsidRPr="005B6022">
        <w:rPr>
          <w:rFonts w:ascii="Arial" w:eastAsia="Times New Roman" w:hAnsi="Arial"/>
          <w:i/>
          <w:iCs/>
          <w:color w:val="auto"/>
          <w:sz w:val="18"/>
          <w:szCs w:val="18"/>
          <w:lang w:eastAsia="en-AU"/>
        </w:rPr>
        <w:t>, n =</w:t>
      </w:r>
      <w:r w:rsidRPr="005B6022">
        <w:rPr>
          <w:rFonts w:ascii="Arial" w:eastAsia="Times New Roman" w:hAnsi="Arial"/>
          <w:color w:val="auto"/>
          <w:sz w:val="18"/>
          <w:szCs w:val="18"/>
          <w:lang w:eastAsia="en-AU"/>
        </w:rPr>
        <w:t xml:space="preserve"> 7,395,209</w:t>
      </w:r>
      <w:r w:rsidR="00E53F6A">
        <w:rPr>
          <w:rFonts w:ascii="Arial" w:eastAsia="Times New Roman" w:hAnsi="Arial"/>
          <w:color w:val="auto"/>
          <w:sz w:val="18"/>
          <w:szCs w:val="18"/>
          <w:lang w:eastAsia="en-AU"/>
        </w:rPr>
        <w:t>;</w:t>
      </w:r>
      <w:r w:rsidRPr="005B6022">
        <w:rPr>
          <w:rFonts w:ascii="Arial" w:eastAsia="Times New Roman" w:hAnsi="Arial"/>
          <w:color w:val="auto"/>
          <w:sz w:val="18"/>
          <w:szCs w:val="18"/>
          <w:lang w:eastAsia="en-AU"/>
        </w:rPr>
        <w:t xml:space="preserve"> 2023, </w:t>
      </w:r>
      <w:r w:rsidRPr="005B6022">
        <w:rPr>
          <w:rFonts w:ascii="Arial" w:eastAsia="Times New Roman" w:hAnsi="Arial"/>
          <w:i/>
          <w:iCs/>
          <w:color w:val="auto"/>
          <w:sz w:val="18"/>
          <w:szCs w:val="18"/>
          <w:lang w:eastAsia="en-AU"/>
        </w:rPr>
        <w:t>n =</w:t>
      </w:r>
      <w:r w:rsidRPr="005B6022">
        <w:rPr>
          <w:rFonts w:ascii="Arial" w:eastAsia="Times New Roman" w:hAnsi="Arial"/>
          <w:color w:val="auto"/>
          <w:sz w:val="18"/>
          <w:szCs w:val="18"/>
          <w:lang w:eastAsia="en-AU"/>
        </w:rPr>
        <w:t xml:space="preserve"> 7,828,236</w:t>
      </w:r>
    </w:p>
    <w:p w14:paraId="6FFB8582" w14:textId="77777777" w:rsidR="005B6022" w:rsidRPr="005B6022" w:rsidRDefault="005B6022" w:rsidP="005B6022">
      <w:pPr>
        <w:spacing w:after="0" w:line="240" w:lineRule="auto"/>
        <w:ind w:right="521"/>
        <w:rPr>
          <w:rFonts w:ascii="Arial" w:eastAsia="Times New Roman" w:hAnsi="Arial"/>
          <w:color w:val="auto"/>
          <w:sz w:val="18"/>
          <w:szCs w:val="18"/>
          <w:lang w:eastAsia="en-AU"/>
        </w:rPr>
      </w:pPr>
    </w:p>
    <w:p w14:paraId="1F3DC995" w14:textId="77777777" w:rsidR="005B6022" w:rsidRPr="005B6022" w:rsidRDefault="005B6022" w:rsidP="005B6022">
      <w:pPr>
        <w:widowControl w:val="0"/>
        <w:autoSpaceDE w:val="0"/>
        <w:autoSpaceDN w:val="0"/>
        <w:spacing w:after="0" w:line="278" w:lineRule="auto"/>
        <w:rPr>
          <w:rFonts w:ascii="Arial" w:eastAsia="Arial" w:hAnsi="Arial" w:cs="Arial"/>
          <w:color w:val="auto"/>
          <w:lang w:val="en-US"/>
        </w:rPr>
      </w:pPr>
      <w:r w:rsidRPr="005B6022">
        <w:rPr>
          <w:rFonts w:ascii="Arial" w:eastAsia="Arial" w:hAnsi="Arial" w:cs="Arial"/>
          <w:color w:val="auto"/>
          <w:lang w:val="en-US"/>
        </w:rPr>
        <w:t>The quarterly rate of CDI diagnoses from 2016 to 2023 is presented in Figure 2. The use of a quarterly</w:t>
      </w:r>
      <w:r w:rsidRPr="005B6022">
        <w:rPr>
          <w:rFonts w:ascii="Arial" w:eastAsia="Arial" w:hAnsi="Arial" w:cs="Arial"/>
          <w:color w:val="auto"/>
          <w:spacing w:val="-1"/>
          <w:lang w:val="en-US"/>
        </w:rPr>
        <w:t xml:space="preserve"> </w:t>
      </w:r>
      <w:r w:rsidRPr="005B6022">
        <w:rPr>
          <w:rFonts w:ascii="Arial" w:eastAsia="Arial" w:hAnsi="Arial" w:cs="Arial"/>
          <w:color w:val="auto"/>
          <w:lang w:val="en-US"/>
        </w:rPr>
        <w:t>data</w:t>
      </w:r>
      <w:r w:rsidRPr="005B6022">
        <w:rPr>
          <w:rFonts w:ascii="Arial" w:eastAsia="Arial" w:hAnsi="Arial" w:cs="Arial"/>
          <w:color w:val="auto"/>
          <w:spacing w:val="-4"/>
          <w:lang w:val="en-US"/>
        </w:rPr>
        <w:t xml:space="preserve"> </w:t>
      </w:r>
      <w:r w:rsidRPr="005B6022">
        <w:rPr>
          <w:rFonts w:ascii="Arial" w:eastAsia="Arial" w:hAnsi="Arial" w:cs="Arial"/>
          <w:color w:val="auto"/>
          <w:lang w:val="en-US"/>
        </w:rPr>
        <w:t>interval</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is</w:t>
      </w:r>
      <w:r w:rsidRPr="005B6022">
        <w:rPr>
          <w:rFonts w:ascii="Arial" w:eastAsia="Arial" w:hAnsi="Arial" w:cs="Arial"/>
          <w:color w:val="auto"/>
          <w:spacing w:val="-4"/>
          <w:lang w:val="en-US"/>
        </w:rPr>
        <w:t xml:space="preserve"> </w:t>
      </w:r>
      <w:r w:rsidRPr="005B6022">
        <w:rPr>
          <w:rFonts w:ascii="Arial" w:eastAsia="Arial" w:hAnsi="Arial" w:cs="Arial"/>
          <w:color w:val="auto"/>
          <w:lang w:val="en-US"/>
        </w:rPr>
        <w:t>sensitive</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enough</w:t>
      </w:r>
      <w:r w:rsidRPr="005B6022">
        <w:rPr>
          <w:rFonts w:ascii="Arial" w:eastAsia="Arial" w:hAnsi="Arial" w:cs="Arial"/>
          <w:color w:val="auto"/>
          <w:spacing w:val="-4"/>
          <w:lang w:val="en-US"/>
        </w:rPr>
        <w:t xml:space="preserve"> </w:t>
      </w:r>
      <w:r w:rsidRPr="005B6022">
        <w:rPr>
          <w:rFonts w:ascii="Arial" w:eastAsia="Arial" w:hAnsi="Arial" w:cs="Arial"/>
          <w:color w:val="auto"/>
          <w:lang w:val="en-US"/>
        </w:rPr>
        <w:t>to</w:t>
      </w:r>
      <w:r w:rsidRPr="005B6022">
        <w:rPr>
          <w:rFonts w:ascii="Arial" w:eastAsia="Arial" w:hAnsi="Arial" w:cs="Arial"/>
          <w:color w:val="auto"/>
          <w:spacing w:val="-4"/>
          <w:lang w:val="en-US"/>
        </w:rPr>
        <w:t xml:space="preserve"> </w:t>
      </w:r>
      <w:r w:rsidRPr="005B6022">
        <w:rPr>
          <w:rFonts w:ascii="Arial" w:eastAsia="Arial" w:hAnsi="Arial" w:cs="Arial"/>
          <w:color w:val="auto"/>
          <w:lang w:val="en-US"/>
        </w:rPr>
        <w:t>identify</w:t>
      </w:r>
      <w:r w:rsidRPr="005B6022">
        <w:rPr>
          <w:rFonts w:ascii="Arial" w:eastAsia="Arial" w:hAnsi="Arial" w:cs="Arial"/>
          <w:color w:val="auto"/>
          <w:spacing w:val="-1"/>
          <w:lang w:val="en-US"/>
        </w:rPr>
        <w:t xml:space="preserve"> </w:t>
      </w:r>
      <w:r w:rsidRPr="005B6022">
        <w:rPr>
          <w:rFonts w:ascii="Arial" w:eastAsia="Arial" w:hAnsi="Arial" w:cs="Arial"/>
          <w:color w:val="auto"/>
          <w:lang w:val="en-US"/>
        </w:rPr>
        <w:t>sustained</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changes</w:t>
      </w:r>
      <w:r w:rsidRPr="005B6022">
        <w:rPr>
          <w:rFonts w:ascii="Arial" w:eastAsia="Arial" w:hAnsi="Arial" w:cs="Arial"/>
          <w:color w:val="auto"/>
          <w:spacing w:val="-4"/>
          <w:lang w:val="en-US"/>
        </w:rPr>
        <w:t xml:space="preserve"> </w:t>
      </w:r>
      <w:r w:rsidRPr="005B6022">
        <w:rPr>
          <w:rFonts w:ascii="Arial" w:eastAsia="Arial" w:hAnsi="Arial" w:cs="Arial"/>
          <w:color w:val="auto"/>
          <w:lang w:val="en-US"/>
        </w:rPr>
        <w:t>in</w:t>
      </w:r>
      <w:r w:rsidRPr="005B6022">
        <w:rPr>
          <w:rFonts w:ascii="Arial" w:eastAsia="Arial" w:hAnsi="Arial" w:cs="Arial"/>
          <w:color w:val="auto"/>
          <w:spacing w:val="-4"/>
          <w:lang w:val="en-US"/>
        </w:rPr>
        <w:t xml:space="preserve"> </w:t>
      </w:r>
      <w:r w:rsidRPr="005B6022">
        <w:rPr>
          <w:rFonts w:ascii="Arial" w:eastAsia="Arial" w:hAnsi="Arial" w:cs="Arial"/>
          <w:color w:val="auto"/>
          <w:lang w:val="en-US"/>
        </w:rPr>
        <w:t>the</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epidemiology</w:t>
      </w:r>
      <w:r w:rsidRPr="005B6022">
        <w:rPr>
          <w:rFonts w:ascii="Arial" w:eastAsia="Arial" w:hAnsi="Arial" w:cs="Arial"/>
          <w:color w:val="auto"/>
          <w:spacing w:val="-1"/>
          <w:lang w:val="en-US"/>
        </w:rPr>
        <w:t xml:space="preserve"> </w:t>
      </w:r>
      <w:r w:rsidRPr="005B6022">
        <w:rPr>
          <w:rFonts w:ascii="Arial" w:eastAsia="Arial" w:hAnsi="Arial" w:cs="Arial"/>
          <w:color w:val="auto"/>
          <w:lang w:val="en-US"/>
        </w:rPr>
        <w:t>of</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CDI over several years and is robust enough to filter out single-point events.</w:t>
      </w:r>
      <w:r w:rsidRPr="005B6022">
        <w:rPr>
          <w:rFonts w:ascii="Arial" w:eastAsia="Arial" w:hAnsi="Arial" w:cs="Arial"/>
          <w:color w:val="auto"/>
          <w:lang w:val="en-US"/>
        </w:rPr>
        <w:fldChar w:fldCharType="begin"/>
      </w:r>
      <w:r w:rsidRPr="005B6022">
        <w:rPr>
          <w:rFonts w:ascii="Arial" w:eastAsia="Arial" w:hAnsi="Arial" w:cs="Arial"/>
          <w:color w:val="auto"/>
          <w:lang w:val="en-US"/>
        </w:rPr>
        <w:instrText xml:space="preserve"> ADDIN EN.CITE &lt;EndNote&gt;&lt;Cite&gt;&lt;Author&gt;Australian Commission on Safety and Quality in Health Care&lt;/Author&gt;&lt;Year&gt;2021&lt;/Year&gt;&lt;RecNum&gt;112&lt;/RecNum&gt;&lt;DisplayText&gt;&lt;style face="superscript"&gt;3&lt;/style&gt;&lt;/DisplayText&gt;&lt;record&gt;&lt;rec-number&gt;112&lt;/rec-number&gt;&lt;foreign-keys&gt;&lt;key app="EN" db-id="2rp0a5drxdefz3e2e5dptftled295z2r2ve2" timestamp="1623820778"&gt;112&lt;/key&gt;&lt;/foreign-keys&gt;&lt;ref-type name="Report"&gt;27&lt;/ref-type&gt;&lt;contributors&gt;&lt;authors&gt;&lt;author&gt;Australian Commission on Safety and Quality in Health Care,&lt;/author&gt;&lt;/authors&gt;&lt;tertiary-authors&gt;&lt;author&gt;ACSQHC&lt;/author&gt;&lt;/tertiary-authors&gt;&lt;/contributors&gt;&lt;titles&gt;&lt;title&gt;Technical report: Monitoring the national burden of Clostridioides difficile infection in Australian public hospitals: 2016 to 2018&lt;/title&gt;&lt;/titles&gt;&lt;dates&gt;&lt;year&gt;2021&lt;/year&gt;&lt;/dates&gt;&lt;pub-location&gt;Sydney&lt;/pub-location&gt;&lt;urls&gt;&lt;/urls&gt;&lt;/record&gt;&lt;/Cite&gt;&lt;/EndNote&gt;</w:instrText>
      </w:r>
      <w:r w:rsidRPr="005B6022">
        <w:rPr>
          <w:rFonts w:ascii="Arial" w:eastAsia="Arial" w:hAnsi="Arial" w:cs="Arial"/>
          <w:color w:val="auto"/>
          <w:lang w:val="en-US"/>
        </w:rPr>
        <w:fldChar w:fldCharType="separate"/>
      </w:r>
      <w:r w:rsidRPr="005B6022">
        <w:rPr>
          <w:rFonts w:ascii="Arial" w:eastAsia="Arial" w:hAnsi="Arial" w:cs="Arial"/>
          <w:noProof/>
          <w:color w:val="auto"/>
          <w:vertAlign w:val="superscript"/>
          <w:lang w:val="en-US"/>
        </w:rPr>
        <w:t>3</w:t>
      </w:r>
      <w:r w:rsidRPr="005B6022">
        <w:rPr>
          <w:rFonts w:ascii="Arial" w:eastAsia="Arial" w:hAnsi="Arial" w:cs="Arial"/>
          <w:color w:val="auto"/>
          <w:lang w:val="en-US"/>
        </w:rPr>
        <w:fldChar w:fldCharType="end"/>
      </w:r>
      <w:r w:rsidRPr="005B6022">
        <w:rPr>
          <w:rFonts w:ascii="Arial" w:eastAsia="Arial" w:hAnsi="Arial" w:cs="Arial"/>
          <w:color w:val="auto"/>
          <w:lang w:val="en-US"/>
        </w:rPr>
        <w:t xml:space="preserve"> </w:t>
      </w:r>
    </w:p>
    <w:p w14:paraId="206B2EA0" w14:textId="77777777" w:rsidR="005B6022" w:rsidRPr="005B6022" w:rsidRDefault="005B6022" w:rsidP="005B6022">
      <w:pPr>
        <w:widowControl w:val="0"/>
        <w:autoSpaceDE w:val="0"/>
        <w:autoSpaceDN w:val="0"/>
        <w:spacing w:before="240" w:after="0" w:line="278" w:lineRule="auto"/>
        <w:rPr>
          <w:rFonts w:ascii="Arial" w:eastAsia="Arial" w:hAnsi="Arial" w:cs="Arial"/>
          <w:color w:val="auto"/>
          <w:sz w:val="20"/>
          <w:lang w:val="en-US"/>
        </w:rPr>
      </w:pPr>
      <w:r w:rsidRPr="005B6022">
        <w:rPr>
          <w:rFonts w:ascii="Arial" w:eastAsia="Arial" w:hAnsi="Arial" w:cs="Arial"/>
          <w:color w:val="auto"/>
          <w:lang w:val="en-US"/>
        </w:rPr>
        <w:t>There is no national benchmark for rates of CDI, therefore the average quarterly rate of CDI diagnosis does not represent a benchmark. The upper and lower control limits displayed in Figure 2 are set at two and three standard deviations, based on the average quarterly rate of CDI for the 7-year</w:t>
      </w:r>
      <w:r w:rsidRPr="005B6022">
        <w:rPr>
          <w:rFonts w:ascii="Arial" w:eastAsia="Arial" w:hAnsi="Arial" w:cs="Arial"/>
          <w:color w:val="auto"/>
          <w:spacing w:val="-1"/>
          <w:lang w:val="en-US"/>
        </w:rPr>
        <w:t xml:space="preserve"> </w:t>
      </w:r>
      <w:r w:rsidRPr="005B6022">
        <w:rPr>
          <w:rFonts w:ascii="Arial" w:eastAsia="Arial" w:hAnsi="Arial" w:cs="Arial"/>
          <w:color w:val="auto"/>
          <w:lang w:val="en-US"/>
        </w:rPr>
        <w:t>period. The</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average and</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the</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control limits are calculated</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from</w:t>
      </w:r>
      <w:r w:rsidRPr="005B6022">
        <w:rPr>
          <w:rFonts w:ascii="Arial" w:eastAsia="Arial" w:hAnsi="Arial" w:cs="Arial"/>
          <w:color w:val="auto"/>
          <w:spacing w:val="-1"/>
          <w:lang w:val="en-US"/>
        </w:rPr>
        <w:t xml:space="preserve"> </w:t>
      </w:r>
      <w:r w:rsidRPr="005B6022">
        <w:rPr>
          <w:rFonts w:ascii="Arial" w:eastAsia="Arial" w:hAnsi="Arial" w:cs="Arial"/>
          <w:color w:val="auto"/>
          <w:lang w:val="en-US"/>
        </w:rPr>
        <w:t>the</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first quarter of 2016 through</w:t>
      </w:r>
      <w:r w:rsidRPr="005B6022">
        <w:rPr>
          <w:rFonts w:ascii="Arial" w:eastAsia="Arial" w:hAnsi="Arial" w:cs="Arial"/>
          <w:color w:val="auto"/>
          <w:spacing w:val="-4"/>
          <w:lang w:val="en-US"/>
        </w:rPr>
        <w:t xml:space="preserve"> </w:t>
      </w:r>
      <w:r w:rsidRPr="005B6022">
        <w:rPr>
          <w:rFonts w:ascii="Arial" w:eastAsia="Arial" w:hAnsi="Arial" w:cs="Arial"/>
          <w:color w:val="auto"/>
          <w:lang w:val="en-US"/>
        </w:rPr>
        <w:t>to</w:t>
      </w:r>
      <w:r w:rsidRPr="005B6022">
        <w:rPr>
          <w:rFonts w:ascii="Arial" w:eastAsia="Arial" w:hAnsi="Arial" w:cs="Arial"/>
          <w:color w:val="auto"/>
          <w:spacing w:val="-4"/>
          <w:lang w:val="en-US"/>
        </w:rPr>
        <w:t xml:space="preserve"> </w:t>
      </w:r>
      <w:r w:rsidRPr="005B6022">
        <w:rPr>
          <w:rFonts w:ascii="Arial" w:eastAsia="Arial" w:hAnsi="Arial" w:cs="Arial"/>
          <w:color w:val="auto"/>
          <w:lang w:val="en-US"/>
        </w:rPr>
        <w:t>the</w:t>
      </w:r>
      <w:r w:rsidRPr="005B6022">
        <w:rPr>
          <w:rFonts w:ascii="Arial" w:eastAsia="Arial" w:hAnsi="Arial" w:cs="Arial"/>
          <w:color w:val="auto"/>
          <w:spacing w:val="-4"/>
          <w:lang w:val="en-US"/>
        </w:rPr>
        <w:t xml:space="preserve"> </w:t>
      </w:r>
      <w:r w:rsidRPr="005B6022">
        <w:rPr>
          <w:rFonts w:ascii="Arial" w:eastAsia="Arial" w:hAnsi="Arial" w:cs="Arial"/>
          <w:color w:val="auto"/>
          <w:lang w:val="en-US"/>
        </w:rPr>
        <w:t>last</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quarter of 2023. The</w:t>
      </w:r>
      <w:r w:rsidRPr="005B6022">
        <w:rPr>
          <w:rFonts w:ascii="Arial" w:eastAsia="Arial" w:hAnsi="Arial" w:cs="Arial"/>
          <w:color w:val="auto"/>
          <w:spacing w:val="-4"/>
          <w:lang w:val="en-US"/>
        </w:rPr>
        <w:t xml:space="preserve"> application of the </w:t>
      </w:r>
      <w:r w:rsidRPr="005B6022">
        <w:rPr>
          <w:rFonts w:ascii="Arial" w:eastAsia="Arial" w:hAnsi="Arial" w:cs="Arial"/>
          <w:color w:val="auto"/>
          <w:lang w:val="en-US"/>
        </w:rPr>
        <w:t>control</w:t>
      </w:r>
      <w:r w:rsidRPr="005B6022">
        <w:rPr>
          <w:rFonts w:ascii="Arial" w:eastAsia="Arial" w:hAnsi="Arial" w:cs="Arial"/>
          <w:color w:val="auto"/>
          <w:spacing w:val="-2"/>
          <w:lang w:val="en-US"/>
        </w:rPr>
        <w:t xml:space="preserve"> </w:t>
      </w:r>
      <w:r w:rsidRPr="005B6022">
        <w:rPr>
          <w:rFonts w:ascii="Arial" w:eastAsia="Arial" w:hAnsi="Arial" w:cs="Arial"/>
          <w:color w:val="auto"/>
          <w:lang w:val="en-US"/>
        </w:rPr>
        <w:t>limits</w:t>
      </w:r>
      <w:r w:rsidRPr="005B6022">
        <w:rPr>
          <w:rFonts w:ascii="Arial" w:eastAsia="Arial" w:hAnsi="Arial" w:cs="Arial"/>
          <w:color w:val="auto"/>
          <w:spacing w:val="-1"/>
          <w:lang w:val="en-US"/>
        </w:rPr>
        <w:t xml:space="preserve"> </w:t>
      </w:r>
      <w:r w:rsidRPr="005B6022">
        <w:rPr>
          <w:rFonts w:ascii="Arial" w:eastAsia="Arial" w:hAnsi="Arial" w:cs="Arial"/>
          <w:color w:val="auto"/>
          <w:lang w:val="en-US"/>
        </w:rPr>
        <w:t>helps to identify changes in rates and seasonal patterns of CDI diagnosis</w:t>
      </w:r>
      <w:r w:rsidRPr="005B6022">
        <w:rPr>
          <w:rFonts w:ascii="Arial" w:eastAsia="Arial" w:hAnsi="Arial" w:cs="Arial"/>
          <w:color w:val="auto"/>
          <w:sz w:val="20"/>
          <w:lang w:val="en-US"/>
        </w:rPr>
        <w:t>.</w:t>
      </w:r>
    </w:p>
    <w:p w14:paraId="3F0A94BB" w14:textId="77777777" w:rsidR="005B6022" w:rsidRPr="005B6022" w:rsidRDefault="005B6022" w:rsidP="005B6022">
      <w:pPr>
        <w:widowControl w:val="0"/>
        <w:autoSpaceDE w:val="0"/>
        <w:autoSpaceDN w:val="0"/>
        <w:spacing w:before="240" w:after="0" w:line="276" w:lineRule="auto"/>
        <w:rPr>
          <w:rFonts w:ascii="Arial" w:eastAsia="Arial" w:hAnsi="Arial" w:cs="Arial"/>
          <w:color w:val="auto"/>
          <w:lang w:val="en-US"/>
        </w:rPr>
      </w:pPr>
      <w:r w:rsidRPr="005B6022">
        <w:rPr>
          <w:rFonts w:ascii="Arial" w:eastAsia="Arial" w:hAnsi="Arial" w:cs="Arial"/>
          <w:color w:val="auto"/>
          <w:lang w:val="en-US"/>
        </w:rPr>
        <w:lastRenderedPageBreak/>
        <w:t xml:space="preserve">Since the last quarter of 2019, there has been wide variation in the quarterly rate of CDI. Quarterly </w:t>
      </w:r>
      <w:r w:rsidRPr="005B6022">
        <w:rPr>
          <w:rFonts w:ascii="Arial" w:eastAsia="Arial" w:hAnsi="Arial" w:cs="Arial"/>
          <w:color w:val="auto"/>
          <w:spacing w:val="-1"/>
          <w:lang w:val="en-US"/>
        </w:rPr>
        <w:t>CDI rates began increasing during the second half of 2021 and have remained higher than previous years</w:t>
      </w:r>
      <w:r w:rsidRPr="005B6022">
        <w:rPr>
          <w:rFonts w:ascii="Arial" w:eastAsia="Arial" w:hAnsi="Arial" w:cs="Arial"/>
          <w:color w:val="auto"/>
          <w:lang w:val="en-US"/>
        </w:rPr>
        <w:t>. The highest rate of CDI (5.59 CDI diagnoses per 10,000 patient bed days) was observed during the second quarter of 2022, indicating a significant increase in CDI diagnoses in Australian public hospitals in early 2022.</w:t>
      </w:r>
    </w:p>
    <w:p w14:paraId="13F89205" w14:textId="77777777" w:rsidR="005B6022" w:rsidRPr="005B6022" w:rsidRDefault="005B6022" w:rsidP="005B6022">
      <w:pPr>
        <w:widowControl w:val="0"/>
        <w:autoSpaceDE w:val="0"/>
        <w:autoSpaceDN w:val="0"/>
        <w:spacing w:before="240" w:after="0" w:line="276" w:lineRule="auto"/>
        <w:rPr>
          <w:rFonts w:ascii="Arial" w:eastAsia="Arial" w:hAnsi="Arial" w:cs="Arial"/>
          <w:color w:val="auto"/>
          <w:lang w:val="en-US"/>
        </w:rPr>
      </w:pPr>
      <w:r w:rsidRPr="005B6022">
        <w:rPr>
          <w:rFonts w:ascii="Arial" w:eastAsia="Arial" w:hAnsi="Arial" w:cs="Arial"/>
          <w:color w:val="auto"/>
          <w:lang w:val="en-US"/>
        </w:rPr>
        <w:t>The sharp increase in the rates of CDI separations from mid-2021 aligns with the reintroduction of elective surgery and relaxing of COVID-19 restrictions</w:t>
      </w:r>
      <w:r w:rsidRPr="005B6022">
        <w:rPr>
          <w:rFonts w:ascii="Arial" w:eastAsia="Arial" w:hAnsi="Arial" w:cs="Arial"/>
          <w:color w:val="auto"/>
          <w:lang w:val="en-US"/>
        </w:rPr>
        <w:fldChar w:fldCharType="begin">
          <w:fldData xml:space="preserve">PEVuZE5vdGU+PENpdGU+PEF1dGhvcj5TaW5lPC9BdXRob3I+PFllYXI+MjAyMjwvWWVhcj48UmVj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</w:fldData>
        </w:fldChar>
      </w:r>
      <w:r w:rsidRPr="005B6022">
        <w:rPr>
          <w:rFonts w:ascii="Arial" w:eastAsia="Arial" w:hAnsi="Arial" w:cs="Arial"/>
          <w:color w:val="auto"/>
          <w:lang w:val="en-US"/>
        </w:rPr>
        <w:instrText xml:space="preserve"> ADDIN EN.CITE </w:instrText>
      </w:r>
      <w:r w:rsidRPr="005B6022">
        <w:rPr>
          <w:rFonts w:ascii="Arial" w:eastAsia="Arial" w:hAnsi="Arial" w:cs="Arial"/>
          <w:color w:val="auto"/>
          <w:lang w:val="en-US"/>
        </w:rPr>
        <w:fldChar w:fldCharType="begin">
          <w:fldData xml:space="preserve">PEVuZE5vdGU+PENpdGU+PEF1dGhvcj5TaW5lPC9BdXRob3I+PFllYXI+MjAyMjwvWWVhcj48UmVj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</w:fldData>
        </w:fldChar>
      </w:r>
      <w:r w:rsidRPr="005B6022">
        <w:rPr>
          <w:rFonts w:ascii="Arial" w:eastAsia="Arial" w:hAnsi="Arial" w:cs="Arial"/>
          <w:color w:val="auto"/>
          <w:lang w:val="en-US"/>
        </w:rPr>
        <w:instrText xml:space="preserve"> ADDIN EN.CITE.DATA </w:instrText>
      </w:r>
      <w:r w:rsidRPr="005B6022">
        <w:rPr>
          <w:rFonts w:ascii="Arial" w:eastAsia="Arial" w:hAnsi="Arial" w:cs="Arial"/>
          <w:color w:val="auto"/>
          <w:lang w:val="en-US"/>
        </w:rPr>
      </w:r>
      <w:r w:rsidRPr="005B6022">
        <w:rPr>
          <w:rFonts w:ascii="Arial" w:eastAsia="Arial" w:hAnsi="Arial" w:cs="Arial"/>
          <w:color w:val="auto"/>
          <w:lang w:val="en-US"/>
        </w:rPr>
        <w:fldChar w:fldCharType="end"/>
      </w:r>
      <w:r w:rsidRPr="005B6022">
        <w:rPr>
          <w:rFonts w:ascii="Arial" w:eastAsia="Arial" w:hAnsi="Arial" w:cs="Arial"/>
          <w:color w:val="auto"/>
          <w:lang w:val="en-US"/>
        </w:rPr>
      </w:r>
      <w:r w:rsidRPr="005B6022">
        <w:rPr>
          <w:rFonts w:ascii="Arial" w:eastAsia="Arial" w:hAnsi="Arial" w:cs="Arial"/>
          <w:color w:val="auto"/>
          <w:lang w:val="en-US"/>
        </w:rPr>
        <w:fldChar w:fldCharType="separate"/>
      </w:r>
      <w:r w:rsidRPr="005B6022">
        <w:rPr>
          <w:rFonts w:ascii="Arial" w:eastAsia="Arial" w:hAnsi="Arial" w:cs="Arial"/>
          <w:noProof/>
          <w:color w:val="auto"/>
          <w:vertAlign w:val="superscript"/>
          <w:lang w:val="en-US"/>
        </w:rPr>
        <w:t>21</w:t>
      </w:r>
      <w:r w:rsidRPr="005B6022">
        <w:rPr>
          <w:rFonts w:ascii="Arial" w:eastAsia="Arial" w:hAnsi="Arial" w:cs="Arial"/>
          <w:color w:val="auto"/>
          <w:lang w:val="en-US"/>
        </w:rPr>
        <w:fldChar w:fldCharType="end"/>
      </w:r>
      <w:r w:rsidRPr="005B6022">
        <w:rPr>
          <w:rFonts w:ascii="Arial" w:eastAsia="Arial" w:hAnsi="Arial" w:cs="Arial"/>
          <w:color w:val="auto"/>
          <w:lang w:val="en-US"/>
        </w:rPr>
        <w:t xml:space="preserve"> and known variation in antimicrobial use.</w:t>
      </w:r>
      <w:r w:rsidRPr="005B6022">
        <w:rPr>
          <w:rFonts w:ascii="Arial" w:eastAsia="Arial" w:hAnsi="Arial" w:cs="Arial"/>
          <w:color w:val="auto"/>
          <w:lang w:val="en-US"/>
        </w:rPr>
        <w:fldChar w:fldCharType="begin">
          <w:fldData xml:space="preserve">PEVuZE5vdGU+PENpdGU+PEF1dGhvcj5TcGlnYWdsaWE8L0F1dGhvcj48WWVhcj4yMDIyPC9ZZWFy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</w:fldData>
        </w:fldChar>
      </w:r>
      <w:r w:rsidRPr="005B6022">
        <w:rPr>
          <w:rFonts w:ascii="Arial" w:eastAsia="Arial" w:hAnsi="Arial" w:cs="Arial"/>
          <w:color w:val="auto"/>
          <w:lang w:val="en-US"/>
        </w:rPr>
        <w:instrText xml:space="preserve"> ADDIN EN.CITE </w:instrText>
      </w:r>
      <w:r w:rsidRPr="005B6022">
        <w:rPr>
          <w:rFonts w:ascii="Arial" w:eastAsia="Arial" w:hAnsi="Arial" w:cs="Arial"/>
          <w:color w:val="auto"/>
          <w:lang w:val="en-US"/>
        </w:rPr>
        <w:fldChar w:fldCharType="begin">
          <w:fldData xml:space="preserve">PEVuZE5vdGU+PENpdGU+PEF1dGhvcj5TcGlnYWdsaWE8L0F1dGhvcj48WWVhcj4yMDIyPC9ZZWFy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</w:fldData>
        </w:fldChar>
      </w:r>
      <w:r w:rsidRPr="005B6022">
        <w:rPr>
          <w:rFonts w:ascii="Arial" w:eastAsia="Arial" w:hAnsi="Arial" w:cs="Arial"/>
          <w:color w:val="auto"/>
          <w:lang w:val="en-US"/>
        </w:rPr>
        <w:instrText xml:space="preserve"> ADDIN EN.CITE.DATA </w:instrText>
      </w:r>
      <w:r w:rsidRPr="005B6022">
        <w:rPr>
          <w:rFonts w:ascii="Arial" w:eastAsia="Arial" w:hAnsi="Arial" w:cs="Arial"/>
          <w:color w:val="auto"/>
          <w:lang w:val="en-US"/>
        </w:rPr>
      </w:r>
      <w:r w:rsidRPr="005B6022">
        <w:rPr>
          <w:rFonts w:ascii="Arial" w:eastAsia="Arial" w:hAnsi="Arial" w:cs="Arial"/>
          <w:color w:val="auto"/>
          <w:lang w:val="en-US"/>
        </w:rPr>
        <w:fldChar w:fldCharType="end"/>
      </w:r>
      <w:r w:rsidRPr="005B6022">
        <w:rPr>
          <w:rFonts w:ascii="Arial" w:eastAsia="Arial" w:hAnsi="Arial" w:cs="Arial"/>
          <w:color w:val="auto"/>
          <w:lang w:val="en-US"/>
        </w:rPr>
      </w:r>
      <w:r w:rsidRPr="005B6022">
        <w:rPr>
          <w:rFonts w:ascii="Arial" w:eastAsia="Arial" w:hAnsi="Arial" w:cs="Arial"/>
          <w:color w:val="auto"/>
          <w:lang w:val="en-US"/>
        </w:rPr>
        <w:fldChar w:fldCharType="separate"/>
      </w:r>
      <w:r w:rsidRPr="005B6022">
        <w:rPr>
          <w:rFonts w:ascii="Arial" w:eastAsia="Arial" w:hAnsi="Arial" w:cs="Arial"/>
          <w:noProof/>
          <w:color w:val="auto"/>
          <w:vertAlign w:val="superscript"/>
          <w:lang w:val="en-US"/>
        </w:rPr>
        <w:t>22</w:t>
      </w:r>
      <w:r w:rsidRPr="005B6022">
        <w:rPr>
          <w:rFonts w:ascii="Arial" w:eastAsia="Arial" w:hAnsi="Arial" w:cs="Arial"/>
          <w:color w:val="auto"/>
          <w:lang w:val="en-US"/>
        </w:rPr>
        <w:fldChar w:fldCharType="end"/>
      </w:r>
      <w:r w:rsidRPr="005B6022">
        <w:rPr>
          <w:rFonts w:ascii="Arial" w:eastAsia="Arial" w:hAnsi="Arial" w:cs="Arial"/>
          <w:color w:val="auto"/>
          <w:lang w:val="en-US"/>
        </w:rPr>
        <w:t xml:space="preserve"> International data on the rates of CDI during the COVID-19 pandemic vary. </w:t>
      </w:r>
      <w:r w:rsidRPr="005B6022">
        <w:rPr>
          <w:rFonts w:ascii="Arial" w:eastAsia="Arial" w:hAnsi="Arial" w:cs="Arial"/>
          <w:color w:val="auto"/>
          <w:lang w:val="en-US"/>
        </w:rPr>
        <w:fldChar w:fldCharType="begin">
          <w:fldData xml:space="preserve">PEVuZE5vdGU+PENpdGU+PEF1dGhvcj5ab3VyaWRpczwvQXV0aG9yPjxZZWFyPjIwMjM8L1llYXI+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=
</w:fldData>
        </w:fldChar>
      </w:r>
      <w:r w:rsidRPr="005B6022">
        <w:rPr>
          <w:rFonts w:ascii="Arial" w:eastAsia="Arial" w:hAnsi="Arial" w:cs="Arial"/>
          <w:color w:val="auto"/>
          <w:lang w:val="en-US"/>
        </w:rPr>
        <w:instrText xml:space="preserve"> ADDIN EN.CITE </w:instrText>
      </w:r>
      <w:r w:rsidRPr="005B6022">
        <w:rPr>
          <w:rFonts w:ascii="Arial" w:eastAsia="Arial" w:hAnsi="Arial" w:cs="Arial"/>
          <w:color w:val="auto"/>
          <w:lang w:val="en-US"/>
        </w:rPr>
        <w:fldChar w:fldCharType="begin">
          <w:fldData xml:space="preserve">PEVuZE5vdGU+PENpdGU+PEF1dGhvcj5ab3VyaWRpczwvQXV0aG9yPjxZZWFyPjIwMjM8L1llYXI+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=
</w:fldData>
        </w:fldChar>
      </w:r>
      <w:r w:rsidRPr="005B6022">
        <w:rPr>
          <w:rFonts w:ascii="Arial" w:eastAsia="Arial" w:hAnsi="Arial" w:cs="Arial"/>
          <w:color w:val="auto"/>
          <w:lang w:val="en-US"/>
        </w:rPr>
        <w:instrText xml:space="preserve"> ADDIN EN.CITE.DATA </w:instrText>
      </w:r>
      <w:r w:rsidRPr="005B6022">
        <w:rPr>
          <w:rFonts w:ascii="Arial" w:eastAsia="Arial" w:hAnsi="Arial" w:cs="Arial"/>
          <w:color w:val="auto"/>
          <w:lang w:val="en-US"/>
        </w:rPr>
      </w:r>
      <w:r w:rsidRPr="005B6022">
        <w:rPr>
          <w:rFonts w:ascii="Arial" w:eastAsia="Arial" w:hAnsi="Arial" w:cs="Arial"/>
          <w:color w:val="auto"/>
          <w:lang w:val="en-US"/>
        </w:rPr>
        <w:fldChar w:fldCharType="end"/>
      </w:r>
      <w:r w:rsidRPr="005B6022">
        <w:rPr>
          <w:rFonts w:ascii="Arial" w:eastAsia="Arial" w:hAnsi="Arial" w:cs="Arial"/>
          <w:color w:val="auto"/>
          <w:lang w:val="en-US"/>
        </w:rPr>
      </w:r>
      <w:r w:rsidRPr="005B6022">
        <w:rPr>
          <w:rFonts w:ascii="Arial" w:eastAsia="Arial" w:hAnsi="Arial" w:cs="Arial"/>
          <w:color w:val="auto"/>
          <w:lang w:val="en-US"/>
        </w:rPr>
        <w:fldChar w:fldCharType="separate"/>
      </w:r>
      <w:r w:rsidRPr="005B6022">
        <w:rPr>
          <w:rFonts w:ascii="Arial" w:eastAsia="Arial" w:hAnsi="Arial" w:cs="Arial"/>
          <w:noProof/>
          <w:color w:val="auto"/>
          <w:vertAlign w:val="superscript"/>
          <w:lang w:val="en-US"/>
        </w:rPr>
        <w:t>22, 23</w:t>
      </w:r>
      <w:r w:rsidRPr="005B6022">
        <w:rPr>
          <w:rFonts w:ascii="Arial" w:eastAsia="Arial" w:hAnsi="Arial" w:cs="Arial"/>
          <w:color w:val="auto"/>
          <w:lang w:val="en-US"/>
        </w:rPr>
        <w:fldChar w:fldCharType="end"/>
      </w:r>
      <w:r w:rsidRPr="005B6022">
        <w:rPr>
          <w:rFonts w:ascii="Arial" w:eastAsia="Arial" w:hAnsi="Arial" w:cs="Arial"/>
          <w:color w:val="auto"/>
          <w:lang w:val="en-US"/>
        </w:rPr>
        <w:t xml:space="preserve"> In Australia, increases in the rate of CDI occurred later than in the northern hemisphere.</w:t>
      </w:r>
      <w:r w:rsidRPr="005B6022">
        <w:rPr>
          <w:rFonts w:ascii="Arial" w:eastAsia="Arial" w:hAnsi="Arial" w:cs="Arial"/>
          <w:color w:val="auto"/>
          <w:lang w:val="en-US"/>
        </w:rPr>
        <w:fldChar w:fldCharType="begin"/>
      </w:r>
      <w:r w:rsidRPr="005B6022">
        <w:rPr>
          <w:rFonts w:ascii="Arial" w:eastAsia="Arial" w:hAnsi="Arial" w:cs="Arial"/>
          <w:color w:val="auto"/>
          <w:lang w:val="en-US"/>
        </w:rPr>
        <w:instrText xml:space="preserve"> ADDIN EN.CITE &lt;EndNote&gt;&lt;Cite&gt;&lt;Author&gt;Zouridis&lt;/Author&gt;&lt;Year&gt;2023&lt;/Year&gt;&lt;RecNum&gt;239&lt;/RecNum&gt;&lt;DisplayText&gt;&lt;style face="superscript"&gt;23&lt;/style&gt;&lt;/DisplayText&gt;&lt;record&gt;&lt;rec-number&gt;239&lt;/rec-number&gt;&lt;foreign-keys&gt;&lt;key app="EN" db-id="2rp0a5drxdefz3e2e5dptftled295z2r2ve2" timestamp="1744683078"&gt;239&lt;/key&gt;&lt;/foreign-keys&gt;&lt;ref-type name="Journal Article"&gt;17&lt;/ref-type&gt;&lt;contributors&gt;&lt;authors&gt;&lt;author&gt;Zouridis, S.&lt;/author&gt;&lt;author&gt;Sangha, M.&lt;/author&gt;&lt;author&gt;Feustel, P.&lt;/author&gt;&lt;author&gt;Richter, S.&lt;/author&gt;&lt;/authors&gt;&lt;/contributors&gt;&lt;auth-address&gt;Medicine, Albany Medical Center, Albany, USA.&amp;#xD;Gastroenterology and Hepatology, Albany Medical Center, Albany, USA.&amp;#xD;Neuroscience and Experimental Therapeutics, Albany Medical College, Albany, USA.&lt;/auth-address&gt;&lt;titles&gt;&lt;title&gt;Clostridium difficile infection rates during the pandemic in New York Capital area: A single-center study&lt;/title&gt;&lt;secondary-title&gt;Cureus&lt;/secondary-title&gt;&lt;/titles&gt;&lt;periodical&gt;&lt;full-title&gt;Cureus&lt;/full-title&gt;&lt;/periodical&gt;&lt;pages&gt;e37576&lt;/pages&gt;&lt;volume&gt;15&lt;/volume&gt;&lt;number&gt;4&lt;/number&gt;&lt;edition&gt;2023/05/17&lt;/edition&gt;&lt;keywords&gt;&lt;keyword&gt;c. diff colitis&lt;/keyword&gt;&lt;keyword&gt;clostridium difficle infection&lt;/keyword&gt;&lt;keyword&gt;clostridium dificle&lt;/keyword&gt;&lt;keyword&gt;coronavirus pandemic&lt;/keyword&gt;&lt;keyword&gt;covid 19&lt;/keyword&gt;&lt;/keywords&gt;&lt;dates&gt;&lt;year&gt;2023&lt;/year&gt;&lt;pub-dates&gt;&lt;date&gt;Apr&lt;/date&gt;&lt;/pub-dates&gt;&lt;/dates&gt;&lt;isbn&gt;2168-8184 (Print)&amp;#xD;2168-8184&lt;/isbn&gt;&lt;accession-num&gt;37193428&lt;/accession-num&gt;&lt;urls&gt;&lt;/urls&gt;&lt;custom2&gt;PMC10183223&lt;/custom2&gt;&lt;electronic-resource-num&gt;10.7759/cureus.37576&lt;/electronic-resource-num&gt;&lt;remote-database-provider&gt;NLM&lt;/remote-database-provider&gt;&lt;language&gt;eng&lt;/language&gt;&lt;/record&gt;&lt;/Cite&gt;&lt;/EndNote&gt;</w:instrText>
      </w:r>
      <w:r w:rsidRPr="005B6022">
        <w:rPr>
          <w:rFonts w:ascii="Arial" w:eastAsia="Arial" w:hAnsi="Arial" w:cs="Arial"/>
          <w:color w:val="auto"/>
          <w:lang w:val="en-US"/>
        </w:rPr>
        <w:fldChar w:fldCharType="separate"/>
      </w:r>
      <w:r w:rsidRPr="005B6022">
        <w:rPr>
          <w:rFonts w:ascii="Arial" w:eastAsia="Arial" w:hAnsi="Arial" w:cs="Arial"/>
          <w:noProof/>
          <w:color w:val="auto"/>
          <w:vertAlign w:val="superscript"/>
          <w:lang w:val="en-US"/>
        </w:rPr>
        <w:t>23</w:t>
      </w:r>
      <w:r w:rsidRPr="005B6022">
        <w:rPr>
          <w:rFonts w:ascii="Arial" w:eastAsia="Arial" w:hAnsi="Arial" w:cs="Arial"/>
          <w:color w:val="auto"/>
          <w:lang w:val="en-US"/>
        </w:rPr>
        <w:fldChar w:fldCharType="end"/>
      </w:r>
      <w:r w:rsidRPr="005B6022">
        <w:rPr>
          <w:rFonts w:ascii="Arial" w:eastAsia="Arial" w:hAnsi="Arial" w:cs="Arial"/>
          <w:color w:val="auto"/>
          <w:lang w:val="en-US"/>
        </w:rPr>
        <w:t xml:space="preserve">   </w:t>
      </w:r>
    </w:p>
    <w:p w14:paraId="04892611" w14:textId="1F7DCF12" w:rsidR="00F1559B" w:rsidRPr="009159D1" w:rsidRDefault="005B6022" w:rsidP="009159D1">
      <w:pPr>
        <w:pStyle w:val="Caption"/>
        <w:numPr>
          <w:ilvl w:val="0"/>
          <w:numId w:val="0"/>
        </w:numPr>
        <w:rPr>
          <w:lang w:val="en-US"/>
        </w:rPr>
      </w:pPr>
      <w:r w:rsidRPr="005B6022">
        <w:rPr>
          <w:b/>
          <w:lang w:val="en-US"/>
        </w:rPr>
        <w:t>Figure</w:t>
      </w:r>
      <w:r w:rsidRPr="005B6022">
        <w:rPr>
          <w:b/>
          <w:spacing w:val="-3"/>
          <w:lang w:val="en-US"/>
        </w:rPr>
        <w:t xml:space="preserve"> </w:t>
      </w:r>
      <w:r w:rsidRPr="005B6022">
        <w:rPr>
          <w:b/>
          <w:lang w:val="en-US"/>
        </w:rPr>
        <w:t>2</w:t>
      </w:r>
      <w:r w:rsidR="00830A7A">
        <w:rPr>
          <w:b/>
          <w:lang w:val="en-US"/>
        </w:rPr>
        <w:t>.</w:t>
      </w:r>
      <w:r w:rsidRPr="005B6022">
        <w:rPr>
          <w:b/>
          <w:spacing w:val="-1"/>
          <w:lang w:val="en-US"/>
        </w:rPr>
        <w:t xml:space="preserve"> </w:t>
      </w:r>
      <w:r w:rsidRPr="005B6022">
        <w:rPr>
          <w:lang w:val="en-US"/>
        </w:rPr>
        <w:t>Statistical</w:t>
      </w:r>
      <w:r w:rsidRPr="005B6022">
        <w:rPr>
          <w:spacing w:val="-3"/>
          <w:lang w:val="en-US"/>
        </w:rPr>
        <w:t xml:space="preserve"> </w:t>
      </w:r>
      <w:r w:rsidRPr="005B6022">
        <w:rPr>
          <w:lang w:val="en-US"/>
        </w:rPr>
        <w:t>process</w:t>
      </w:r>
      <w:r w:rsidRPr="005B6022">
        <w:rPr>
          <w:spacing w:val="-2"/>
          <w:lang w:val="en-US"/>
        </w:rPr>
        <w:t xml:space="preserve"> </w:t>
      </w:r>
      <w:r w:rsidRPr="005B6022">
        <w:rPr>
          <w:lang w:val="en-US"/>
        </w:rPr>
        <w:t>control</w:t>
      </w:r>
      <w:r w:rsidRPr="005B6022">
        <w:rPr>
          <w:spacing w:val="-3"/>
          <w:lang w:val="en-US"/>
        </w:rPr>
        <w:t xml:space="preserve"> </w:t>
      </w:r>
      <w:r w:rsidRPr="005B6022">
        <w:rPr>
          <w:lang w:val="en-US"/>
        </w:rPr>
        <w:t>chart</w:t>
      </w:r>
      <w:r w:rsidRPr="005B6022">
        <w:rPr>
          <w:spacing w:val="-6"/>
          <w:lang w:val="en-US"/>
        </w:rPr>
        <w:t xml:space="preserve"> </w:t>
      </w:r>
      <w:r w:rsidRPr="005B6022">
        <w:rPr>
          <w:lang w:val="en-US"/>
        </w:rPr>
        <w:t>for</w:t>
      </w:r>
      <w:r w:rsidRPr="005B6022">
        <w:rPr>
          <w:spacing w:val="-4"/>
          <w:lang w:val="en-US"/>
        </w:rPr>
        <w:t xml:space="preserve"> </w:t>
      </w:r>
      <w:r w:rsidRPr="005B6022">
        <w:rPr>
          <w:lang w:val="en-US"/>
        </w:rPr>
        <w:t>CDI</w:t>
      </w:r>
      <w:r w:rsidRPr="005B6022">
        <w:rPr>
          <w:spacing w:val="-4"/>
          <w:lang w:val="en-US"/>
        </w:rPr>
        <w:t xml:space="preserve"> </w:t>
      </w:r>
      <w:r w:rsidRPr="005B6022">
        <w:rPr>
          <w:lang w:val="en-US"/>
        </w:rPr>
        <w:t>(A04.7)</w:t>
      </w:r>
      <w:r w:rsidRPr="005B6022">
        <w:rPr>
          <w:spacing w:val="-4"/>
          <w:lang w:val="en-US"/>
        </w:rPr>
        <w:t xml:space="preserve"> </w:t>
      </w:r>
      <w:r w:rsidRPr="005B6022">
        <w:rPr>
          <w:lang w:val="en-US"/>
        </w:rPr>
        <w:t>diagnoses</w:t>
      </w:r>
      <w:r w:rsidRPr="005B6022">
        <w:rPr>
          <w:spacing w:val="-2"/>
          <w:lang w:val="en-US"/>
        </w:rPr>
        <w:t xml:space="preserve"> </w:t>
      </w:r>
      <w:r w:rsidRPr="005B6022">
        <w:rPr>
          <w:lang w:val="en-US"/>
        </w:rPr>
        <w:t>in</w:t>
      </w:r>
      <w:r w:rsidRPr="005B6022">
        <w:rPr>
          <w:spacing w:val="-5"/>
          <w:lang w:val="en-US"/>
        </w:rPr>
        <w:t xml:space="preserve"> </w:t>
      </w:r>
      <w:r w:rsidRPr="005B6022">
        <w:rPr>
          <w:lang w:val="en-US"/>
        </w:rPr>
        <w:t>Australian</w:t>
      </w:r>
      <w:r w:rsidRPr="005B6022">
        <w:rPr>
          <w:spacing w:val="-3"/>
          <w:lang w:val="en-US"/>
        </w:rPr>
        <w:t xml:space="preserve"> </w:t>
      </w:r>
      <w:r w:rsidRPr="005B6022">
        <w:rPr>
          <w:lang w:val="en-US"/>
        </w:rPr>
        <w:t>public</w:t>
      </w:r>
      <w:r w:rsidRPr="005B6022">
        <w:rPr>
          <w:spacing w:val="-2"/>
          <w:lang w:val="en-US"/>
        </w:rPr>
        <w:t xml:space="preserve"> </w:t>
      </w:r>
      <w:r w:rsidRPr="005B6022">
        <w:rPr>
          <w:lang w:val="en-US"/>
        </w:rPr>
        <w:t>hospitals,</w:t>
      </w:r>
      <w:r w:rsidRPr="005B6022">
        <w:rPr>
          <w:spacing w:val="-2"/>
          <w:lang w:val="en-US"/>
        </w:rPr>
        <w:t>2016–2023</w:t>
      </w:r>
    </w:p>
    <w:p w14:paraId="2765A58F" w14:textId="79A2DC53" w:rsidR="00CC61A9" w:rsidRDefault="009159D1" w:rsidP="00CC61A9">
      <w:pPr>
        <w:pStyle w:val="Heading3"/>
      </w:pPr>
      <w:r>
        <w:rPr>
          <w:noProof/>
        </w:rPr>
        <w:drawing>
          <wp:inline distT="0" distB="0" distL="0" distR="0" wp14:anchorId="58D9E2FA" wp14:editId="4ED265A1">
            <wp:extent cx="5831840" cy="3876675"/>
            <wp:effectExtent l="0" t="0" r="0" b="0"/>
            <wp:docPr id="1491884819" name="Chart 1">
              <a:extLst xmlns:a="http://schemas.openxmlformats.org/drawingml/2006/main">
                <a:ext uri="{FF2B5EF4-FFF2-40B4-BE49-F238E27FC236}">
                  <a16:creationId xmlns:a16="http://schemas.microsoft.com/office/drawing/2014/main" id="{A2ED3AC8-5D3C-4C9B-AFE0-1E2ED09C0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D089C6" w14:textId="4CE4D135" w:rsidR="007744C9" w:rsidRPr="007744C9" w:rsidRDefault="007744C9" w:rsidP="001F523A">
      <w:pPr>
        <w:pStyle w:val="Heading2"/>
      </w:pPr>
      <w:bookmarkStart w:id="23" w:name="_Toc205909365"/>
      <w:r>
        <w:t>Non-principal CDI diagnoses</w:t>
      </w:r>
      <w:bookmarkEnd w:id="23"/>
    </w:p>
    <w:p w14:paraId="0C653251" w14:textId="77777777" w:rsidR="007744C9" w:rsidRPr="007744C9" w:rsidRDefault="007744C9" w:rsidP="007744C9">
      <w:pPr>
        <w:widowControl w:val="0"/>
        <w:autoSpaceDE w:val="0"/>
        <w:autoSpaceDN w:val="0"/>
        <w:spacing w:after="0" w:line="276" w:lineRule="auto"/>
        <w:rPr>
          <w:rFonts w:ascii="Arial" w:eastAsia="Arial" w:hAnsi="Arial" w:cs="Arial"/>
          <w:color w:val="auto"/>
          <w:lang w:val="en-US"/>
        </w:rPr>
      </w:pPr>
      <w:r w:rsidRPr="007744C9">
        <w:rPr>
          <w:rFonts w:ascii="Arial" w:eastAsia="Arial" w:hAnsi="Arial" w:cs="Arial"/>
          <w:color w:val="auto"/>
          <w:lang w:val="en-US"/>
        </w:rPr>
        <w:t>Data</w:t>
      </w:r>
      <w:r w:rsidRPr="007744C9">
        <w:rPr>
          <w:rFonts w:ascii="Arial" w:eastAsia="Arial" w:hAnsi="Arial" w:cs="Arial"/>
          <w:color w:val="auto"/>
          <w:spacing w:val="-3"/>
          <w:lang w:val="en-US"/>
        </w:rPr>
        <w:t xml:space="preserve"> </w:t>
      </w:r>
      <w:r w:rsidRPr="007744C9">
        <w:rPr>
          <w:rFonts w:ascii="Arial" w:eastAsia="Arial" w:hAnsi="Arial" w:cs="Arial"/>
          <w:color w:val="auto"/>
          <w:lang w:val="en-US"/>
        </w:rPr>
        <w:t>presented</w:t>
      </w:r>
      <w:r w:rsidRPr="007744C9">
        <w:rPr>
          <w:rFonts w:ascii="Arial" w:eastAsia="Arial" w:hAnsi="Arial" w:cs="Arial"/>
          <w:color w:val="auto"/>
          <w:spacing w:val="-1"/>
          <w:lang w:val="en-US"/>
        </w:rPr>
        <w:t xml:space="preserve"> </w:t>
      </w:r>
      <w:r w:rsidRPr="007744C9">
        <w:rPr>
          <w:rFonts w:ascii="Arial" w:eastAsia="Arial" w:hAnsi="Arial" w:cs="Arial"/>
          <w:color w:val="auto"/>
          <w:lang w:val="en-US"/>
        </w:rPr>
        <w:t>in</w:t>
      </w:r>
      <w:r w:rsidRPr="007744C9">
        <w:rPr>
          <w:rFonts w:ascii="Arial" w:eastAsia="Arial" w:hAnsi="Arial" w:cs="Arial"/>
          <w:color w:val="auto"/>
          <w:spacing w:val="-3"/>
          <w:lang w:val="en-US"/>
        </w:rPr>
        <w:t xml:space="preserve"> </w:t>
      </w:r>
      <w:r w:rsidRPr="007744C9">
        <w:rPr>
          <w:rFonts w:ascii="Arial" w:eastAsia="Arial" w:hAnsi="Arial" w:cs="Arial"/>
          <w:color w:val="auto"/>
          <w:lang w:val="en-US"/>
        </w:rPr>
        <w:t>Figure</w:t>
      </w:r>
      <w:r w:rsidRPr="007744C9">
        <w:rPr>
          <w:rFonts w:ascii="Arial" w:eastAsia="Arial" w:hAnsi="Arial" w:cs="Arial"/>
          <w:color w:val="auto"/>
          <w:spacing w:val="-1"/>
          <w:lang w:val="en-US"/>
        </w:rPr>
        <w:t xml:space="preserve"> </w:t>
      </w:r>
      <w:r w:rsidRPr="007744C9">
        <w:rPr>
          <w:rFonts w:ascii="Arial" w:eastAsia="Arial" w:hAnsi="Arial" w:cs="Arial"/>
          <w:color w:val="auto"/>
          <w:lang w:val="en-US"/>
        </w:rPr>
        <w:t>3</w:t>
      </w:r>
      <w:r w:rsidRPr="007744C9">
        <w:rPr>
          <w:rFonts w:ascii="Arial" w:eastAsia="Arial" w:hAnsi="Arial" w:cs="Arial"/>
          <w:color w:val="auto"/>
          <w:spacing w:val="-3"/>
          <w:lang w:val="en-US"/>
        </w:rPr>
        <w:t xml:space="preserve"> </w:t>
      </w:r>
      <w:r w:rsidRPr="007744C9">
        <w:rPr>
          <w:rFonts w:ascii="Arial" w:eastAsia="Arial" w:hAnsi="Arial" w:cs="Arial"/>
          <w:color w:val="auto"/>
          <w:lang w:val="en-US"/>
        </w:rPr>
        <w:t>and</w:t>
      </w:r>
      <w:r w:rsidRPr="007744C9">
        <w:rPr>
          <w:rFonts w:ascii="Arial" w:eastAsia="Arial" w:hAnsi="Arial" w:cs="Arial"/>
          <w:color w:val="auto"/>
          <w:spacing w:val="-1"/>
          <w:lang w:val="en-US"/>
        </w:rPr>
        <w:t xml:space="preserve"> </w:t>
      </w:r>
      <w:r w:rsidRPr="007744C9">
        <w:rPr>
          <w:rFonts w:ascii="Arial" w:eastAsia="Arial" w:hAnsi="Arial" w:cs="Arial"/>
          <w:color w:val="auto"/>
          <w:lang w:val="en-US"/>
        </w:rPr>
        <w:t>Figure</w:t>
      </w:r>
      <w:r w:rsidRPr="007744C9">
        <w:rPr>
          <w:rFonts w:ascii="Arial" w:eastAsia="Arial" w:hAnsi="Arial" w:cs="Arial"/>
          <w:color w:val="auto"/>
          <w:spacing w:val="-3"/>
          <w:lang w:val="en-US"/>
        </w:rPr>
        <w:t xml:space="preserve"> </w:t>
      </w:r>
      <w:r w:rsidRPr="007744C9">
        <w:rPr>
          <w:rFonts w:ascii="Arial" w:eastAsia="Arial" w:hAnsi="Arial" w:cs="Arial"/>
          <w:color w:val="auto"/>
          <w:lang w:val="en-US"/>
        </w:rPr>
        <w:t>4</w:t>
      </w:r>
      <w:r w:rsidRPr="007744C9">
        <w:rPr>
          <w:rFonts w:ascii="Arial" w:eastAsia="Arial" w:hAnsi="Arial" w:cs="Arial"/>
          <w:color w:val="auto"/>
          <w:spacing w:val="-1"/>
          <w:lang w:val="en-US"/>
        </w:rPr>
        <w:t xml:space="preserve"> </w:t>
      </w:r>
      <w:r w:rsidRPr="007744C9">
        <w:rPr>
          <w:rFonts w:ascii="Arial" w:eastAsia="Arial" w:hAnsi="Arial" w:cs="Arial"/>
          <w:color w:val="auto"/>
          <w:lang w:val="en-US"/>
        </w:rPr>
        <w:t>include rates of separations with COF coding from 2020 to 2023 to allow comparison of each category of CDI separations over four years. Data are</w:t>
      </w:r>
      <w:r w:rsidRPr="007744C9">
        <w:rPr>
          <w:rFonts w:ascii="Arial" w:eastAsia="Arial" w:hAnsi="Arial" w:cs="Arial"/>
          <w:color w:val="auto"/>
          <w:spacing w:val="-3"/>
          <w:lang w:val="en-US"/>
        </w:rPr>
        <w:t xml:space="preserve"> </w:t>
      </w:r>
      <w:r w:rsidRPr="007744C9">
        <w:rPr>
          <w:rFonts w:ascii="Arial" w:eastAsia="Arial" w:hAnsi="Arial" w:cs="Arial"/>
          <w:color w:val="auto"/>
          <w:lang w:val="en-US"/>
        </w:rPr>
        <w:t>drawn</w:t>
      </w:r>
      <w:r w:rsidRPr="007744C9">
        <w:rPr>
          <w:rFonts w:ascii="Arial" w:eastAsia="Arial" w:hAnsi="Arial" w:cs="Arial"/>
          <w:color w:val="auto"/>
          <w:spacing w:val="-1"/>
          <w:lang w:val="en-US"/>
        </w:rPr>
        <w:t xml:space="preserve"> </w:t>
      </w:r>
      <w:r w:rsidRPr="007744C9">
        <w:rPr>
          <w:rFonts w:ascii="Arial" w:eastAsia="Arial" w:hAnsi="Arial" w:cs="Arial"/>
          <w:color w:val="auto"/>
          <w:lang w:val="en-US"/>
        </w:rPr>
        <w:t>from</w:t>
      </w:r>
      <w:r w:rsidRPr="007744C9">
        <w:rPr>
          <w:rFonts w:ascii="Arial" w:eastAsia="Arial" w:hAnsi="Arial" w:cs="Arial"/>
          <w:color w:val="auto"/>
          <w:spacing w:val="-2"/>
          <w:lang w:val="en-US"/>
        </w:rPr>
        <w:t xml:space="preserve"> </w:t>
      </w:r>
      <w:r w:rsidRPr="007744C9">
        <w:rPr>
          <w:rFonts w:ascii="Arial" w:eastAsia="Arial" w:hAnsi="Arial" w:cs="Arial"/>
          <w:color w:val="auto"/>
          <w:lang w:val="en-US"/>
        </w:rPr>
        <w:t>hospitals</w:t>
      </w:r>
      <w:r w:rsidRPr="007744C9">
        <w:rPr>
          <w:rFonts w:ascii="Arial" w:eastAsia="Arial" w:hAnsi="Arial" w:cs="Arial"/>
          <w:color w:val="auto"/>
          <w:spacing w:val="-3"/>
          <w:lang w:val="en-US"/>
        </w:rPr>
        <w:t xml:space="preserve"> </w:t>
      </w:r>
      <w:r w:rsidRPr="007744C9">
        <w:rPr>
          <w:rFonts w:ascii="Arial" w:eastAsia="Arial" w:hAnsi="Arial" w:cs="Arial"/>
          <w:color w:val="auto"/>
          <w:lang w:val="en-US"/>
        </w:rPr>
        <w:t>that</w:t>
      </w:r>
      <w:r w:rsidRPr="007744C9">
        <w:rPr>
          <w:rFonts w:ascii="Arial" w:eastAsia="Arial" w:hAnsi="Arial" w:cs="Arial"/>
          <w:color w:val="auto"/>
          <w:spacing w:val="-2"/>
          <w:lang w:val="en-US"/>
        </w:rPr>
        <w:t xml:space="preserve"> </w:t>
      </w:r>
      <w:r w:rsidRPr="007744C9">
        <w:rPr>
          <w:rFonts w:ascii="Arial" w:eastAsia="Arial" w:hAnsi="Arial" w:cs="Arial"/>
          <w:color w:val="auto"/>
          <w:lang w:val="en-US"/>
        </w:rPr>
        <w:t>reliably assign</w:t>
      </w:r>
      <w:r w:rsidRPr="007744C9">
        <w:rPr>
          <w:rFonts w:ascii="Arial" w:eastAsia="Arial" w:hAnsi="Arial" w:cs="Arial"/>
          <w:color w:val="auto"/>
          <w:spacing w:val="-1"/>
          <w:lang w:val="en-US"/>
        </w:rPr>
        <w:t xml:space="preserve"> </w:t>
      </w:r>
      <w:r w:rsidRPr="007744C9">
        <w:rPr>
          <w:rFonts w:ascii="Arial" w:eastAsia="Arial" w:hAnsi="Arial" w:cs="Arial"/>
          <w:color w:val="auto"/>
          <w:lang w:val="en-US"/>
        </w:rPr>
        <w:t>COFs for cases of CDI. This dataset excludes:</w:t>
      </w:r>
    </w:p>
    <w:p w14:paraId="21480FAA" w14:textId="77777777" w:rsidR="007744C9" w:rsidRPr="007744C9" w:rsidRDefault="007744C9" w:rsidP="002F6516">
      <w:pPr>
        <w:pStyle w:val="ListBullet"/>
      </w:pPr>
      <w:r w:rsidRPr="007744C9">
        <w:t>hospitals</w:t>
      </w:r>
      <w:r w:rsidRPr="007744C9">
        <w:rPr>
          <w:spacing w:val="-5"/>
        </w:rPr>
        <w:t xml:space="preserve"> </w:t>
      </w:r>
      <w:r w:rsidRPr="007744C9">
        <w:t>with</w:t>
      </w:r>
      <w:r w:rsidRPr="007744C9">
        <w:rPr>
          <w:spacing w:val="-4"/>
        </w:rPr>
        <w:t xml:space="preserve"> </w:t>
      </w:r>
      <w:r w:rsidRPr="007744C9">
        <w:t>an</w:t>
      </w:r>
      <w:r w:rsidRPr="007744C9">
        <w:rPr>
          <w:spacing w:val="-6"/>
        </w:rPr>
        <w:t xml:space="preserve"> </w:t>
      </w:r>
      <w:r w:rsidRPr="007744C9">
        <w:t>overall</w:t>
      </w:r>
      <w:r w:rsidRPr="007744C9">
        <w:rPr>
          <w:spacing w:val="-6"/>
        </w:rPr>
        <w:t xml:space="preserve"> </w:t>
      </w:r>
      <w:r w:rsidRPr="007744C9">
        <w:t>low</w:t>
      </w:r>
      <w:r w:rsidRPr="007744C9">
        <w:rPr>
          <w:spacing w:val="-4"/>
        </w:rPr>
        <w:t xml:space="preserve"> </w:t>
      </w:r>
      <w:r w:rsidRPr="007744C9">
        <w:t>volume</w:t>
      </w:r>
      <w:r w:rsidRPr="007744C9">
        <w:rPr>
          <w:spacing w:val="-4"/>
        </w:rPr>
        <w:t xml:space="preserve"> </w:t>
      </w:r>
      <w:r w:rsidRPr="007744C9">
        <w:t>of</w:t>
      </w:r>
      <w:r w:rsidRPr="007744C9">
        <w:rPr>
          <w:spacing w:val="-2"/>
        </w:rPr>
        <w:t xml:space="preserve"> </w:t>
      </w:r>
      <w:r w:rsidRPr="007744C9">
        <w:t>activity</w:t>
      </w:r>
      <w:r w:rsidRPr="007744C9">
        <w:rPr>
          <w:spacing w:val="-5"/>
        </w:rPr>
        <w:t xml:space="preserve"> </w:t>
      </w:r>
      <w:r w:rsidRPr="007744C9">
        <w:t>(less</w:t>
      </w:r>
      <w:r w:rsidRPr="007744C9">
        <w:rPr>
          <w:spacing w:val="-3"/>
        </w:rPr>
        <w:t xml:space="preserve"> </w:t>
      </w:r>
      <w:r w:rsidRPr="007744C9">
        <w:t>than</w:t>
      </w:r>
      <w:r w:rsidRPr="007744C9">
        <w:rPr>
          <w:spacing w:val="-6"/>
        </w:rPr>
        <w:t xml:space="preserve"> </w:t>
      </w:r>
      <w:r w:rsidRPr="007744C9">
        <w:t>100</w:t>
      </w:r>
      <w:r w:rsidRPr="007744C9">
        <w:rPr>
          <w:spacing w:val="-5"/>
        </w:rPr>
        <w:t xml:space="preserve"> </w:t>
      </w:r>
      <w:r w:rsidRPr="007744C9">
        <w:t>episodes</w:t>
      </w:r>
      <w:r w:rsidRPr="007744C9">
        <w:rPr>
          <w:spacing w:val="-3"/>
        </w:rPr>
        <w:t xml:space="preserve"> </w:t>
      </w:r>
      <w:r w:rsidRPr="007744C9">
        <w:t>of</w:t>
      </w:r>
      <w:r w:rsidRPr="007744C9">
        <w:rPr>
          <w:spacing w:val="-5"/>
        </w:rPr>
        <w:t xml:space="preserve"> </w:t>
      </w:r>
      <w:r w:rsidRPr="007744C9">
        <w:t>care</w:t>
      </w:r>
      <w:r w:rsidRPr="007744C9">
        <w:rPr>
          <w:spacing w:val="-4"/>
        </w:rPr>
        <w:t xml:space="preserve"> </w:t>
      </w:r>
      <w:r w:rsidRPr="007744C9">
        <w:t>per</w:t>
      </w:r>
      <w:r w:rsidRPr="007744C9">
        <w:rPr>
          <w:spacing w:val="-4"/>
        </w:rPr>
        <w:t xml:space="preserve"> </w:t>
      </w:r>
      <w:r w:rsidRPr="007744C9">
        <w:rPr>
          <w:spacing w:val="-2"/>
        </w:rPr>
        <w:t>month)</w:t>
      </w:r>
    </w:p>
    <w:p w14:paraId="648DB61C" w14:textId="77777777" w:rsidR="007744C9" w:rsidRPr="007744C9" w:rsidRDefault="007744C9" w:rsidP="002F6516">
      <w:pPr>
        <w:pStyle w:val="ListBullet"/>
      </w:pPr>
      <w:r w:rsidRPr="007744C9">
        <w:t>hospitals</w:t>
      </w:r>
      <w:r w:rsidRPr="007744C9">
        <w:rPr>
          <w:spacing w:val="-1"/>
        </w:rPr>
        <w:t xml:space="preserve"> </w:t>
      </w:r>
      <w:r w:rsidRPr="007744C9">
        <w:t>where</w:t>
      </w:r>
      <w:r w:rsidRPr="007744C9">
        <w:rPr>
          <w:spacing w:val="-2"/>
        </w:rPr>
        <w:t xml:space="preserve"> </w:t>
      </w:r>
      <w:r w:rsidRPr="007744C9">
        <w:t>COF</w:t>
      </w:r>
      <w:r w:rsidRPr="007744C9">
        <w:rPr>
          <w:spacing w:val="-4"/>
        </w:rPr>
        <w:t xml:space="preserve"> </w:t>
      </w:r>
      <w:r w:rsidRPr="007744C9">
        <w:t>coding</w:t>
      </w:r>
      <w:r w:rsidRPr="007744C9">
        <w:rPr>
          <w:spacing w:val="-2"/>
        </w:rPr>
        <w:t xml:space="preserve"> </w:t>
      </w:r>
      <w:r w:rsidRPr="007744C9">
        <w:t>was</w:t>
      </w:r>
      <w:r w:rsidRPr="007744C9">
        <w:rPr>
          <w:spacing w:val="-1"/>
        </w:rPr>
        <w:t xml:space="preserve"> </w:t>
      </w:r>
      <w:r w:rsidRPr="007744C9">
        <w:t>very</w:t>
      </w:r>
      <w:r w:rsidRPr="007744C9">
        <w:rPr>
          <w:spacing w:val="-1"/>
        </w:rPr>
        <w:t xml:space="preserve"> </w:t>
      </w:r>
      <w:r w:rsidRPr="007744C9">
        <w:t>low</w:t>
      </w:r>
      <w:r w:rsidRPr="007744C9">
        <w:rPr>
          <w:spacing w:val="-5"/>
        </w:rPr>
        <w:t xml:space="preserve"> </w:t>
      </w:r>
      <w:r w:rsidRPr="007744C9">
        <w:t>(less</w:t>
      </w:r>
      <w:r w:rsidRPr="007744C9">
        <w:rPr>
          <w:spacing w:val="-4"/>
        </w:rPr>
        <w:t xml:space="preserve"> </w:t>
      </w:r>
      <w:r w:rsidRPr="007744C9">
        <w:t>than</w:t>
      </w:r>
      <w:r w:rsidRPr="007744C9">
        <w:rPr>
          <w:spacing w:val="-2"/>
        </w:rPr>
        <w:t xml:space="preserve"> </w:t>
      </w:r>
      <w:r w:rsidRPr="007744C9">
        <w:t>1%)</w:t>
      </w:r>
      <w:r w:rsidRPr="007744C9">
        <w:rPr>
          <w:spacing w:val="-3"/>
        </w:rPr>
        <w:t xml:space="preserve"> </w:t>
      </w:r>
      <w:r w:rsidRPr="007744C9">
        <w:t>for</w:t>
      </w:r>
      <w:r w:rsidRPr="007744C9">
        <w:rPr>
          <w:spacing w:val="-3"/>
        </w:rPr>
        <w:t xml:space="preserve"> </w:t>
      </w:r>
      <w:r w:rsidRPr="007744C9">
        <w:t>any</w:t>
      </w:r>
      <w:r w:rsidRPr="007744C9">
        <w:rPr>
          <w:spacing w:val="-4"/>
        </w:rPr>
        <w:t xml:space="preserve"> </w:t>
      </w:r>
      <w:r w:rsidRPr="007744C9">
        <w:t>condition</w:t>
      </w:r>
      <w:r w:rsidRPr="007744C9">
        <w:rPr>
          <w:spacing w:val="-2"/>
        </w:rPr>
        <w:t xml:space="preserve"> </w:t>
      </w:r>
      <w:r w:rsidRPr="007744C9">
        <w:t>arising</w:t>
      </w:r>
      <w:r w:rsidRPr="007744C9">
        <w:rPr>
          <w:spacing w:val="-2"/>
        </w:rPr>
        <w:t xml:space="preserve"> </w:t>
      </w:r>
      <w:r w:rsidRPr="007744C9">
        <w:t>during an episode of care</w:t>
      </w:r>
    </w:p>
    <w:p w14:paraId="2B9049B5" w14:textId="77777777" w:rsidR="007744C9" w:rsidRPr="007744C9" w:rsidRDefault="007744C9" w:rsidP="002F6516">
      <w:pPr>
        <w:pStyle w:val="ListBullet"/>
      </w:pPr>
      <w:r w:rsidRPr="007744C9">
        <w:t>hospitals</w:t>
      </w:r>
      <w:r w:rsidRPr="007744C9">
        <w:rPr>
          <w:spacing w:val="-2"/>
        </w:rPr>
        <w:t xml:space="preserve"> </w:t>
      </w:r>
      <w:r w:rsidRPr="007744C9">
        <w:t>where</w:t>
      </w:r>
      <w:r w:rsidRPr="007744C9">
        <w:rPr>
          <w:spacing w:val="-5"/>
        </w:rPr>
        <w:t xml:space="preserve"> </w:t>
      </w:r>
      <w:r w:rsidRPr="007744C9">
        <w:t>the</w:t>
      </w:r>
      <w:r w:rsidRPr="007744C9">
        <w:rPr>
          <w:spacing w:val="-3"/>
        </w:rPr>
        <w:t xml:space="preserve"> </w:t>
      </w:r>
      <w:r w:rsidRPr="007744C9">
        <w:t>COF</w:t>
      </w:r>
      <w:r w:rsidRPr="007744C9">
        <w:rPr>
          <w:spacing w:val="-3"/>
        </w:rPr>
        <w:t xml:space="preserve"> </w:t>
      </w:r>
      <w:r w:rsidRPr="007744C9">
        <w:t>was</w:t>
      </w:r>
      <w:r w:rsidRPr="007744C9">
        <w:rPr>
          <w:spacing w:val="-2"/>
        </w:rPr>
        <w:t xml:space="preserve"> </w:t>
      </w:r>
      <w:r w:rsidRPr="007744C9">
        <w:t>coded</w:t>
      </w:r>
      <w:r w:rsidRPr="007744C9">
        <w:rPr>
          <w:spacing w:val="-5"/>
        </w:rPr>
        <w:t xml:space="preserve"> </w:t>
      </w:r>
      <w:r w:rsidRPr="007744C9">
        <w:t>as</w:t>
      </w:r>
      <w:r w:rsidRPr="007744C9">
        <w:rPr>
          <w:spacing w:val="-5"/>
        </w:rPr>
        <w:t xml:space="preserve"> ‘</w:t>
      </w:r>
      <w:r w:rsidRPr="007744C9">
        <w:t>unknown</w:t>
      </w:r>
      <w:r w:rsidRPr="007744C9">
        <w:rPr>
          <w:spacing w:val="-3"/>
        </w:rPr>
        <w:t xml:space="preserve"> </w:t>
      </w:r>
      <w:r w:rsidRPr="007744C9">
        <w:t>onset’</w:t>
      </w:r>
      <w:r w:rsidRPr="007744C9">
        <w:rPr>
          <w:spacing w:val="-3"/>
        </w:rPr>
        <w:t xml:space="preserve"> </w:t>
      </w:r>
      <w:r w:rsidRPr="007744C9">
        <w:t>for</w:t>
      </w:r>
      <w:r w:rsidRPr="007744C9">
        <w:rPr>
          <w:spacing w:val="-1"/>
        </w:rPr>
        <w:t xml:space="preserve"> </w:t>
      </w:r>
      <w:r w:rsidRPr="007744C9">
        <w:t>any</w:t>
      </w:r>
      <w:r w:rsidRPr="007744C9">
        <w:rPr>
          <w:spacing w:val="-2"/>
        </w:rPr>
        <w:t xml:space="preserve"> </w:t>
      </w:r>
      <w:r w:rsidRPr="007744C9">
        <w:t>diagnoses</w:t>
      </w:r>
      <w:r w:rsidRPr="007744C9">
        <w:rPr>
          <w:spacing w:val="-2"/>
        </w:rPr>
        <w:t xml:space="preserve"> </w:t>
      </w:r>
      <w:r w:rsidRPr="007744C9">
        <w:t>in</w:t>
      </w:r>
      <w:r w:rsidRPr="007744C9">
        <w:rPr>
          <w:spacing w:val="-5"/>
        </w:rPr>
        <w:t xml:space="preserve"> </w:t>
      </w:r>
      <w:r w:rsidRPr="007744C9">
        <w:t>more</w:t>
      </w:r>
      <w:r w:rsidRPr="007744C9">
        <w:rPr>
          <w:spacing w:val="-5"/>
        </w:rPr>
        <w:t xml:space="preserve"> </w:t>
      </w:r>
      <w:r w:rsidRPr="007744C9">
        <w:t>than 10% of patient records.</w:t>
      </w:r>
      <w:r w:rsidRPr="007744C9">
        <w:fldChar w:fldCharType="begin"/>
      </w:r>
      <w:r w:rsidRPr="007744C9">
        <w:instrText xml:space="preserve"> ADDIN EN.CITE &lt;EndNote&gt;&lt;Cite&gt;&lt;Author&gt;Pricing and Funding for Safety and Quality&lt;/Author&gt;&lt;Year&gt;2019&lt;/Year&gt;&lt;RecNum&gt;26&lt;/RecNum&gt;&lt;DisplayText&gt;&lt;style face="superscript"&gt;24&lt;/style&gt;&lt;/DisplayText&gt;&lt;record&gt;&lt;rec-number&gt;26&lt;/rec-number&gt;&lt;foreign-keys&gt;&lt;key app="EN" db-id="2rp0a5drxdefz3e2e5dptftled295z2r2ve2" timestamp="1597104042"&gt;26&lt;/key&gt;&lt;/foreign-keys&gt;&lt;ref-type name="Report"&gt;27&lt;/ref-type&gt;&lt;contributors&gt;&lt;authors&gt;&lt;author&gt;Pricing and Funding for Safety and Quality,&lt;/author&gt;&lt;/authors&gt;&lt;/contributors&gt;&lt;titles&gt;&lt;title&gt;Risk Adjustment Model for Hospital Acquired Complications – March 2019&lt;/title&gt;&lt;/titles&gt;&lt;dates&gt;&lt;year&gt;2019&lt;/year&gt;&lt;/dates&gt;&lt;urls&gt;&lt;related-urls&gt;&lt;url&gt;https://www.ihpa.gov.au/sites/default/files/publications/pricing_and_funding_for_safety_and_quality_-_risk_adjustment_model_for_hospital_acquired_complications_2019-20.pdf&lt;/url&gt;&lt;/related-urls&gt;&lt;/urls&gt;&lt;access-date&gt;16 June 2021&lt;/access-date&gt;&lt;/record&gt;&lt;/Cite&gt;&lt;/EndNote&gt;</w:instrText>
      </w:r>
      <w:r w:rsidRPr="007744C9">
        <w:fldChar w:fldCharType="separate"/>
      </w:r>
      <w:r w:rsidRPr="007744C9">
        <w:rPr>
          <w:noProof/>
          <w:vertAlign w:val="superscript"/>
        </w:rPr>
        <w:t>24</w:t>
      </w:r>
      <w:r w:rsidRPr="007744C9">
        <w:fldChar w:fldCharType="end"/>
      </w:r>
    </w:p>
    <w:p w14:paraId="5968700E" w14:textId="013AC7AF" w:rsidR="007744C9" w:rsidRPr="007744C9" w:rsidRDefault="007744C9" w:rsidP="007744C9">
      <w:pPr>
        <w:widowControl w:val="0"/>
        <w:autoSpaceDE w:val="0"/>
        <w:autoSpaceDN w:val="0"/>
        <w:spacing w:before="240" w:after="240" w:line="276" w:lineRule="auto"/>
        <w:rPr>
          <w:rFonts w:ascii="Arial" w:eastAsia="Arial" w:hAnsi="Arial" w:cs="Arial"/>
          <w:color w:val="auto"/>
          <w:lang w:val="en-US"/>
        </w:rPr>
      </w:pPr>
      <w:r w:rsidRPr="007744C9">
        <w:rPr>
          <w:rFonts w:ascii="Arial" w:eastAsia="Arial" w:hAnsi="Arial" w:cs="Arial"/>
          <w:color w:val="auto"/>
          <w:lang w:val="en-US"/>
        </w:rPr>
        <w:lastRenderedPageBreak/>
        <w:t xml:space="preserve">The number of hospitals considered to have highly reliable COF coding has increased year-on-year since 2020 (2020 </w:t>
      </w:r>
      <w:r w:rsidRPr="007744C9">
        <w:rPr>
          <w:rFonts w:ascii="Arial" w:eastAsia="Arial" w:hAnsi="Arial" w:cs="Arial"/>
          <w:i/>
          <w:iCs/>
          <w:color w:val="auto"/>
          <w:lang w:val="en-US"/>
        </w:rPr>
        <w:t>n</w:t>
      </w:r>
      <w:r w:rsidRPr="007744C9">
        <w:rPr>
          <w:rFonts w:ascii="Arial" w:eastAsia="Arial" w:hAnsi="Arial" w:cs="Arial"/>
          <w:color w:val="auto"/>
          <w:lang w:val="en-US"/>
        </w:rPr>
        <w:t xml:space="preserve"> = 502, 2021 </w:t>
      </w:r>
      <w:r w:rsidRPr="007744C9">
        <w:rPr>
          <w:rFonts w:ascii="Arial" w:eastAsia="Arial" w:hAnsi="Arial" w:cs="Arial"/>
          <w:i/>
          <w:iCs/>
          <w:color w:val="auto"/>
          <w:lang w:val="en-US"/>
        </w:rPr>
        <w:t>n</w:t>
      </w:r>
      <w:r w:rsidRPr="007744C9">
        <w:rPr>
          <w:rFonts w:ascii="Arial" w:eastAsia="Arial" w:hAnsi="Arial" w:cs="Arial"/>
          <w:color w:val="auto"/>
          <w:lang w:val="en-US"/>
        </w:rPr>
        <w:t xml:space="preserve"> = 519, 2022 </w:t>
      </w:r>
      <w:r w:rsidRPr="007744C9">
        <w:rPr>
          <w:rFonts w:ascii="Arial" w:eastAsia="Arial" w:hAnsi="Arial" w:cs="Arial"/>
          <w:i/>
          <w:iCs/>
          <w:color w:val="auto"/>
          <w:lang w:val="en-US"/>
        </w:rPr>
        <w:t>n</w:t>
      </w:r>
      <w:r w:rsidRPr="007744C9">
        <w:rPr>
          <w:rFonts w:ascii="Arial" w:eastAsia="Arial" w:hAnsi="Arial" w:cs="Arial"/>
          <w:color w:val="auto"/>
          <w:lang w:val="en-US"/>
        </w:rPr>
        <w:t xml:space="preserve"> = 524 and 2023 </w:t>
      </w:r>
      <w:r w:rsidRPr="007744C9">
        <w:rPr>
          <w:rFonts w:ascii="Arial" w:eastAsia="Arial" w:hAnsi="Arial" w:cs="Arial"/>
          <w:i/>
          <w:iCs/>
          <w:color w:val="auto"/>
          <w:lang w:val="en-US"/>
        </w:rPr>
        <w:t>n</w:t>
      </w:r>
      <w:r w:rsidRPr="007744C9">
        <w:rPr>
          <w:rFonts w:ascii="Arial" w:eastAsia="Arial" w:hAnsi="Arial" w:cs="Arial"/>
          <w:color w:val="auto"/>
          <w:lang w:val="en-US"/>
        </w:rPr>
        <w:t xml:space="preserve"> = 525 hospitals). </w:t>
      </w:r>
    </w:p>
    <w:p w14:paraId="169FB7FC" w14:textId="0A451C81" w:rsidR="007744C9" w:rsidRPr="007744C9" w:rsidRDefault="007744C9" w:rsidP="007744C9">
      <w:pPr>
        <w:widowControl w:val="0"/>
        <w:autoSpaceDE w:val="0"/>
        <w:autoSpaceDN w:val="0"/>
        <w:spacing w:after="240" w:line="276" w:lineRule="auto"/>
        <w:rPr>
          <w:rFonts w:ascii="Arial" w:eastAsia="Arial" w:hAnsi="Arial" w:cs="Arial"/>
          <w:color w:val="auto"/>
          <w:lang w:val="en-US"/>
        </w:rPr>
      </w:pPr>
      <w:r w:rsidRPr="007744C9">
        <w:rPr>
          <w:rFonts w:ascii="Arial" w:eastAsia="Arial" w:hAnsi="Arial" w:cs="Arial"/>
          <w:color w:val="auto"/>
          <w:lang w:val="en-US"/>
        </w:rPr>
        <w:t xml:space="preserve">In 2022 and 2023, there were 8,248 and 7,813 separations respectively with a non-principal CDI diagnosis. This increased compared with </w:t>
      </w:r>
      <w:r w:rsidRPr="007744C9">
        <w:rPr>
          <w:rFonts w:ascii="Arial" w:eastAsia="Arial" w:hAnsi="Arial" w:cs="Arial"/>
          <w:color w:val="000000"/>
          <w:lang w:val="en-US"/>
        </w:rPr>
        <w:t>2020 and 2021, when there were 5,357 separations and 6,783 separations respectively.</w:t>
      </w:r>
      <w:r w:rsidRPr="007744C9">
        <w:rPr>
          <w:rFonts w:ascii="Arial" w:eastAsia="Arial" w:hAnsi="Arial" w:cs="Arial"/>
          <w:color w:val="000000"/>
          <w:lang w:val="en-US"/>
        </w:rPr>
        <w:fldChar w:fldCharType="begin"/>
      </w:r>
      <w:r w:rsidRPr="007744C9">
        <w:rPr>
          <w:rFonts w:ascii="Arial" w:eastAsia="Arial" w:hAnsi="Arial" w:cs="Arial"/>
          <w:color w:val="000000"/>
          <w:lang w:val="en-US"/>
        </w:rPr>
        <w:instrText xml:space="preserve"> ADDIN EN.CITE &lt;EndNote&gt;&lt;Cite&gt;&lt;Author&gt;Australian Commission on Safety and Quality in Health Care&lt;/Author&gt;&lt;Year&gt;2023&lt;/Year&gt;&lt;RecNum&gt;168&lt;/RecNum&gt;&lt;DisplayText&gt;&lt;style face="superscript"&gt;5&lt;/style&gt;&lt;/DisplayText&gt;&lt;record&gt;&lt;rec-number&gt;168&lt;/rec-number&gt;&lt;foreign-keys&gt;&lt;key app="EN" db-id="2rp0a5drxdefz3e2e5dptftled295z2r2ve2" timestamp="1695191173"&gt;168&lt;/key&gt;&lt;/foreign-keys&gt;&lt;ref-type name="Generic"&gt;13&lt;/ref-type&gt;&lt;contributors&gt;&lt;authors&gt;&lt;author&gt;Australian Commission on Safety and Quality in Health Care, &lt;/author&gt;&lt;/authors&gt;&lt;/contributors&gt;&lt;titles&gt;&lt;title&gt;Clostridioides difficile infection: Data snapshot report 2020−2021&lt;/title&gt;&lt;/titles&gt;&lt;dates&gt;&lt;year&gt;2023&lt;/year&gt;&lt;/dates&gt;&lt;pub-location&gt;Sydney &lt;/pub-location&gt;&lt;publisher&gt;ACSQHC&lt;/publisher&gt;&lt;urls&gt;&lt;/urls&gt;&lt;/record&gt;&lt;/Cite&gt;&lt;/EndNote&gt;</w:instrText>
      </w:r>
      <w:r w:rsidRPr="007744C9">
        <w:rPr>
          <w:rFonts w:ascii="Arial" w:eastAsia="Arial" w:hAnsi="Arial" w:cs="Arial"/>
          <w:color w:val="000000"/>
          <w:lang w:val="en-US"/>
        </w:rPr>
        <w:fldChar w:fldCharType="separate"/>
      </w:r>
      <w:r w:rsidRPr="007744C9">
        <w:rPr>
          <w:rFonts w:ascii="Arial" w:eastAsia="Arial" w:hAnsi="Arial" w:cs="Arial"/>
          <w:noProof/>
          <w:color w:val="000000"/>
          <w:vertAlign w:val="superscript"/>
          <w:lang w:val="en-US"/>
        </w:rPr>
        <w:t>5</w:t>
      </w:r>
      <w:r w:rsidRPr="007744C9">
        <w:rPr>
          <w:rFonts w:ascii="Arial" w:eastAsia="Arial" w:hAnsi="Arial" w:cs="Arial"/>
          <w:color w:val="000000"/>
          <w:lang w:val="en-US"/>
        </w:rPr>
        <w:fldChar w:fldCharType="end"/>
      </w:r>
      <w:r w:rsidRPr="007744C9">
        <w:rPr>
          <w:rFonts w:ascii="Arial" w:eastAsia="Arial" w:hAnsi="Arial" w:cs="Arial"/>
          <w:color w:val="000000"/>
          <w:lang w:val="en-US"/>
        </w:rPr>
        <w:t xml:space="preserve"> </w:t>
      </w:r>
      <w:r w:rsidRPr="007744C9">
        <w:rPr>
          <w:rFonts w:ascii="Arial" w:eastAsia="Arial" w:hAnsi="Arial" w:cs="Arial"/>
          <w:color w:val="auto"/>
          <w:lang w:val="en-US"/>
        </w:rPr>
        <w:t>The quarterly rate of all non-principal CDI diagnoses has been trending up since 2020 and varied widely across 2022 and 2023. The highest quarterly rate was observed in Q2 2022 (3.83 separations per 10,000 patient bed days).</w:t>
      </w:r>
    </w:p>
    <w:p w14:paraId="0861EB6F" w14:textId="77777777" w:rsidR="007744C9" w:rsidRPr="007744C9" w:rsidRDefault="007744C9" w:rsidP="007744C9">
      <w:pPr>
        <w:widowControl w:val="0"/>
        <w:autoSpaceDE w:val="0"/>
        <w:autoSpaceDN w:val="0"/>
        <w:spacing w:before="241" w:after="0" w:line="276" w:lineRule="auto"/>
        <w:rPr>
          <w:rFonts w:ascii="Arial" w:eastAsia="Times New Roman" w:hAnsi="Arial" w:cs="Arial"/>
          <w:color w:val="auto"/>
          <w:lang w:eastAsia="en-AU"/>
        </w:rPr>
      </w:pPr>
      <w:r w:rsidRPr="007744C9">
        <w:rPr>
          <w:rFonts w:ascii="Arial" w:eastAsia="Arial" w:hAnsi="Arial" w:cs="Arial"/>
          <w:color w:val="auto"/>
          <w:lang w:val="en-US"/>
        </w:rPr>
        <w:t>A COF2 code</w:t>
      </w:r>
      <w:r w:rsidRPr="007744C9">
        <w:rPr>
          <w:rFonts w:ascii="Arial" w:eastAsia="Arial" w:hAnsi="Arial" w:cs="Arial"/>
          <w:i/>
          <w:iCs/>
          <w:color w:val="auto"/>
          <w:lang w:val="en-US"/>
        </w:rPr>
        <w:t xml:space="preserve"> </w:t>
      </w:r>
      <w:r w:rsidRPr="007744C9">
        <w:rPr>
          <w:rFonts w:ascii="Arial" w:eastAsia="Times New Roman" w:hAnsi="Arial" w:cs="Arial"/>
          <w:color w:val="auto"/>
          <w:lang w:eastAsia="en-AU"/>
        </w:rPr>
        <w:t>refers to a condition previously existing or suspected on admission that is not the primary reason for admission to hospital.</w:t>
      </w:r>
      <w:r w:rsidRPr="007744C9">
        <w:rPr>
          <w:rFonts w:ascii="Arial" w:eastAsia="Times New Roman" w:hAnsi="Arial" w:cs="Arial"/>
          <w:color w:val="auto"/>
          <w:lang w:eastAsia="en-AU"/>
        </w:rPr>
        <w:fldChar w:fldCharType="begin"/>
      </w:r>
      <w:r w:rsidRPr="007744C9">
        <w:rPr>
          <w:rFonts w:ascii="Arial" w:eastAsia="Times New Roman" w:hAnsi="Arial" w:cs="Arial"/>
          <w:color w:val="auto"/>
          <w:lang w:eastAsia="en-AU"/>
        </w:rPr>
        <w:instrText xml:space="preserve"> ADDIN EN.CITE &lt;EndNote&gt;&lt;Cite&gt;&lt;Author&gt;Australian Institute of Health and Welfare&lt;/Author&gt;&lt;Year&gt;2024&lt;/Year&gt;&lt;RecNum&gt;230&lt;/RecNum&gt;&lt;DisplayText&gt;&lt;style face="superscript"&gt;25&lt;/style&gt;&lt;/DisplayText&gt;&lt;record&gt;&lt;rec-number&gt;230&lt;/rec-number&gt;&lt;foreign-keys&gt;&lt;key app="EN" db-id="2rp0a5drxdefz3e2e5dptftled295z2r2ve2" timestamp="1728537393"&gt;230&lt;/key&gt;&lt;/foreign-keys&gt;&lt;ref-type name="Generic"&gt;13&lt;/ref-type&gt;&lt;contributors&gt;&lt;authors&gt;&lt;author&gt;Australian Institute of Health and Welfare,&lt;/author&gt;&lt;/authors&gt;&lt;/contributors&gt;&lt;titles&gt;&lt;title&gt;METEOR Metadata online registry.&amp;#xD;Episode of admitted patient care—condition onset flag, code N&lt;/title&gt;&lt;/titles&gt;&lt;number&gt;10 October 2024&lt;/number&gt;&lt;dates&gt;&lt;year&gt;2024&lt;/year&gt;&lt;/dates&gt;&lt;work-type&gt;web page&lt;/work-type&gt;&lt;urls&gt;&lt;related-urls&gt;&lt;url&gt;https://meteor.aihw.gov.au/content/354816&lt;/url&gt;&lt;/related-urls&gt;&lt;/urls&gt;&lt;custom2&gt;10 October 2024&lt;/custom2&gt;&lt;/record&gt;&lt;/Cite&gt;&lt;/EndNote&gt;</w:instrText>
      </w:r>
      <w:r w:rsidRPr="007744C9">
        <w:rPr>
          <w:rFonts w:ascii="Arial" w:eastAsia="Times New Roman" w:hAnsi="Arial" w:cs="Arial"/>
          <w:color w:val="auto"/>
          <w:lang w:eastAsia="en-AU"/>
        </w:rPr>
        <w:fldChar w:fldCharType="separate"/>
      </w:r>
      <w:r w:rsidRPr="007744C9">
        <w:rPr>
          <w:rFonts w:ascii="Arial" w:eastAsia="Times New Roman" w:hAnsi="Arial" w:cs="Arial"/>
          <w:noProof/>
          <w:color w:val="auto"/>
          <w:vertAlign w:val="superscript"/>
          <w:lang w:eastAsia="en-AU"/>
        </w:rPr>
        <w:t>25</w:t>
      </w:r>
      <w:r w:rsidRPr="007744C9">
        <w:rPr>
          <w:rFonts w:ascii="Arial" w:eastAsia="Times New Roman" w:hAnsi="Arial" w:cs="Arial"/>
          <w:color w:val="auto"/>
          <w:lang w:eastAsia="en-AU"/>
        </w:rPr>
        <w:fldChar w:fldCharType="end"/>
      </w:r>
      <w:r w:rsidRPr="007744C9">
        <w:rPr>
          <w:rFonts w:ascii="Arial" w:eastAsia="Times New Roman" w:hAnsi="Arial" w:cs="Arial"/>
          <w:color w:val="auto"/>
          <w:lang w:eastAsia="en-AU"/>
        </w:rPr>
        <w:t xml:space="preserve"> Separations coded as a </w:t>
      </w:r>
      <w:r w:rsidRPr="007744C9">
        <w:rPr>
          <w:rFonts w:ascii="Arial" w:eastAsia="Arial" w:hAnsi="Arial" w:cs="Arial"/>
          <w:color w:val="auto"/>
          <w:lang w:val="en-US"/>
        </w:rPr>
        <w:t xml:space="preserve">non-principal CDI COF2 account for over 70% of all separations with a CDI diagnoses. </w:t>
      </w:r>
      <w:r w:rsidRPr="007744C9">
        <w:rPr>
          <w:rFonts w:ascii="Arial" w:eastAsia="Times New Roman" w:hAnsi="Arial" w:cs="Arial"/>
          <w:color w:val="auto"/>
          <w:lang w:eastAsia="en-AU"/>
        </w:rPr>
        <w:t xml:space="preserve">In 2022 and 2023, </w:t>
      </w:r>
      <w:r w:rsidRPr="007744C9">
        <w:rPr>
          <w:rFonts w:ascii="Arial" w:eastAsia="Arial" w:hAnsi="Arial" w:cs="Arial"/>
          <w:color w:val="auto"/>
          <w:lang w:val="en-US"/>
        </w:rPr>
        <w:t>non-principal CDI separations coded as a COF2 accounted for 73.49% (</w:t>
      </w:r>
      <w:r w:rsidRPr="007744C9">
        <w:rPr>
          <w:rFonts w:ascii="Arial" w:eastAsia="Arial" w:hAnsi="Arial" w:cs="Arial"/>
          <w:i/>
          <w:iCs/>
          <w:color w:val="auto"/>
          <w:lang w:val="en-US"/>
        </w:rPr>
        <w:t xml:space="preserve">n = </w:t>
      </w:r>
      <w:r w:rsidRPr="007744C9">
        <w:rPr>
          <w:rFonts w:ascii="Arial" w:eastAsia="Arial" w:hAnsi="Arial" w:cs="Arial"/>
          <w:color w:val="auto"/>
          <w:lang w:val="en-US"/>
        </w:rPr>
        <w:t>5,895) and 72.81% (</w:t>
      </w:r>
      <w:r w:rsidRPr="007744C9">
        <w:rPr>
          <w:rFonts w:ascii="Arial" w:eastAsia="Arial" w:hAnsi="Arial" w:cs="Arial"/>
          <w:i/>
          <w:iCs/>
          <w:color w:val="auto"/>
          <w:lang w:val="en-US"/>
        </w:rPr>
        <w:t xml:space="preserve">n = </w:t>
      </w:r>
      <w:r w:rsidRPr="007744C9">
        <w:rPr>
          <w:rFonts w:ascii="Arial" w:eastAsia="Arial" w:hAnsi="Arial" w:cs="Arial"/>
          <w:color w:val="auto"/>
          <w:lang w:val="en-US"/>
        </w:rPr>
        <w:t>5,432) of all non-principal CDI diagnoses respectively.</w:t>
      </w:r>
    </w:p>
    <w:p w14:paraId="2F91AD3C" w14:textId="18F5DEF1" w:rsidR="007744C9" w:rsidRPr="007744C9" w:rsidRDefault="007744C9" w:rsidP="007744C9">
      <w:pPr>
        <w:widowControl w:val="0"/>
        <w:autoSpaceDE w:val="0"/>
        <w:autoSpaceDN w:val="0"/>
        <w:spacing w:before="240" w:after="240" w:line="276" w:lineRule="auto"/>
        <w:rPr>
          <w:rFonts w:ascii="Arial" w:eastAsia="Arial" w:hAnsi="Arial" w:cs="Arial"/>
          <w:color w:val="auto"/>
          <w:lang w:val="en-US"/>
        </w:rPr>
      </w:pPr>
      <w:r w:rsidRPr="007744C9">
        <w:rPr>
          <w:rFonts w:ascii="Arial" w:eastAsia="Arial" w:hAnsi="Arial" w:cs="Arial"/>
          <w:color w:val="auto"/>
          <w:lang w:val="en-US"/>
        </w:rPr>
        <w:t>A COF1 code refers to a condition that arose during an inpatient admission, and may be considered directly related to the health care provided for the separation for which the CDI diagnosis was assigned.</w:t>
      </w:r>
      <w:r w:rsidRPr="007744C9">
        <w:rPr>
          <w:rFonts w:ascii="Arial" w:eastAsia="Arial" w:hAnsi="Arial" w:cs="Arial"/>
          <w:color w:val="auto"/>
          <w:lang w:val="en-US"/>
        </w:rPr>
        <w:fldChar w:fldCharType="begin"/>
      </w:r>
      <w:r w:rsidRPr="007744C9">
        <w:rPr>
          <w:rFonts w:ascii="Arial" w:eastAsia="Arial" w:hAnsi="Arial" w:cs="Arial"/>
          <w:color w:val="auto"/>
          <w:lang w:val="en-US"/>
        </w:rPr>
        <w:instrText xml:space="preserve"> ADDIN EN.CITE &lt;EndNote&gt;&lt;Cite&gt;&lt;Author&gt;Australian Institute of Health and Welfare&lt;/Author&gt;&lt;Year&gt;2024&lt;/Year&gt;&lt;RecNum&gt;230&lt;/RecNum&gt;&lt;DisplayText&gt;&lt;style face="superscript"&gt;25&lt;/style&gt;&lt;/DisplayText&gt;&lt;record&gt;&lt;rec-number&gt;230&lt;/rec-number&gt;&lt;foreign-keys&gt;&lt;key app="EN" db-id="2rp0a5drxdefz3e2e5dptftled295z2r2ve2" timestamp="1728537393"&gt;230&lt;/key&gt;&lt;/foreign-keys&gt;&lt;ref-type name="Generic"&gt;13&lt;/ref-type&gt;&lt;contributors&gt;&lt;authors&gt;&lt;author&gt;Australian Institute of Health and Welfare,&lt;/author&gt;&lt;/authors&gt;&lt;/contributors&gt;&lt;titles&gt;&lt;title&gt;METEOR Metadata online registry.&amp;#xD;Episode of admitted patient care—condition onset flag, code N&lt;/title&gt;&lt;/titles&gt;&lt;number&gt;10 October 2024&lt;/number&gt;&lt;dates&gt;&lt;year&gt;2024&lt;/year&gt;&lt;/dates&gt;&lt;work-type&gt;web page&lt;/work-type&gt;&lt;urls&gt;&lt;related-urls&gt;&lt;url&gt;https://meteor.aihw.gov.au/content/354816&lt;/url&gt;&lt;/related-urls&gt;&lt;/urls&gt;&lt;custom2&gt;10 October 2024&lt;/custom2&gt;&lt;/record&gt;&lt;/Cite&gt;&lt;/EndNote&gt;</w:instrText>
      </w:r>
      <w:r w:rsidRPr="007744C9">
        <w:rPr>
          <w:rFonts w:ascii="Arial" w:eastAsia="Arial" w:hAnsi="Arial" w:cs="Arial"/>
          <w:color w:val="auto"/>
          <w:lang w:val="en-US"/>
        </w:rPr>
        <w:fldChar w:fldCharType="separate"/>
      </w:r>
      <w:r w:rsidRPr="007744C9">
        <w:rPr>
          <w:rFonts w:ascii="Arial" w:eastAsia="Arial" w:hAnsi="Arial" w:cs="Arial"/>
          <w:noProof/>
          <w:color w:val="auto"/>
          <w:vertAlign w:val="superscript"/>
          <w:lang w:val="en-US"/>
        </w:rPr>
        <w:t>25</w:t>
      </w:r>
      <w:r w:rsidRPr="007744C9">
        <w:rPr>
          <w:rFonts w:ascii="Arial" w:eastAsia="Arial" w:hAnsi="Arial" w:cs="Arial"/>
          <w:color w:val="auto"/>
          <w:lang w:val="en-US"/>
        </w:rPr>
        <w:fldChar w:fldCharType="end"/>
      </w:r>
      <w:r w:rsidRPr="007744C9">
        <w:rPr>
          <w:rFonts w:ascii="Arial" w:eastAsia="Arial" w:hAnsi="Arial" w:cs="Arial"/>
          <w:color w:val="auto"/>
          <w:lang w:val="en-US"/>
        </w:rPr>
        <w:t xml:space="preserve">  Although the number of separations with a non-principal CDI diagnosis with COF1 has increased year-on-year since 2020, (</w:t>
      </w:r>
      <w:r w:rsidRPr="007744C9">
        <w:rPr>
          <w:rFonts w:ascii="Arial" w:eastAsia="Arial" w:hAnsi="Arial" w:cs="Arial"/>
          <w:i/>
          <w:iCs/>
          <w:color w:val="000000"/>
          <w:lang w:val="en-US"/>
        </w:rPr>
        <w:t>n =</w:t>
      </w:r>
      <w:r w:rsidRPr="007744C9">
        <w:rPr>
          <w:rFonts w:ascii="Arial" w:eastAsia="Arial" w:hAnsi="Arial" w:cs="Arial"/>
          <w:color w:val="000000"/>
          <w:lang w:val="en-US"/>
        </w:rPr>
        <w:t xml:space="preserve"> 1,371 in 2020, </w:t>
      </w:r>
      <w:r w:rsidRPr="007744C9">
        <w:rPr>
          <w:rFonts w:ascii="Arial" w:eastAsia="Arial" w:hAnsi="Arial" w:cs="Arial"/>
          <w:i/>
          <w:iCs/>
          <w:color w:val="000000"/>
          <w:lang w:val="en-US"/>
        </w:rPr>
        <w:t>n =</w:t>
      </w:r>
      <w:r w:rsidRPr="007744C9">
        <w:rPr>
          <w:rFonts w:ascii="Arial" w:eastAsia="Arial" w:hAnsi="Arial" w:cs="Arial"/>
          <w:color w:val="000000"/>
          <w:lang w:val="en-US"/>
        </w:rPr>
        <w:t xml:space="preserve"> 1,835 in 2021, </w:t>
      </w:r>
      <w:r w:rsidRPr="007744C9">
        <w:rPr>
          <w:rFonts w:ascii="Arial" w:eastAsia="Arial" w:hAnsi="Arial" w:cs="Arial"/>
          <w:i/>
          <w:iCs/>
          <w:color w:val="auto"/>
          <w:lang w:val="en-US"/>
        </w:rPr>
        <w:t xml:space="preserve">n = </w:t>
      </w:r>
      <w:r w:rsidRPr="007744C9">
        <w:rPr>
          <w:rFonts w:ascii="Arial" w:eastAsia="Arial" w:hAnsi="Arial" w:cs="Arial"/>
          <w:color w:val="auto"/>
          <w:lang w:val="en-US"/>
        </w:rPr>
        <w:t>2,134</w:t>
      </w:r>
      <w:r w:rsidRPr="007744C9">
        <w:rPr>
          <w:rFonts w:ascii="Arial" w:eastAsia="Arial" w:hAnsi="Arial" w:cs="Arial"/>
          <w:i/>
          <w:iCs/>
          <w:color w:val="auto"/>
          <w:lang w:val="en-US"/>
        </w:rPr>
        <w:t xml:space="preserve"> </w:t>
      </w:r>
      <w:r w:rsidRPr="007744C9">
        <w:rPr>
          <w:rFonts w:ascii="Arial" w:eastAsia="Arial" w:hAnsi="Arial" w:cs="Arial"/>
          <w:color w:val="auto"/>
          <w:lang w:val="en-US"/>
        </w:rPr>
        <w:t xml:space="preserve">in 2022 and </w:t>
      </w:r>
      <w:r w:rsidRPr="007744C9">
        <w:rPr>
          <w:rFonts w:ascii="Arial" w:eastAsia="Arial" w:hAnsi="Arial" w:cs="Arial"/>
          <w:i/>
          <w:iCs/>
          <w:color w:val="auto"/>
          <w:lang w:val="en-US"/>
        </w:rPr>
        <w:t xml:space="preserve">n = </w:t>
      </w:r>
      <w:r w:rsidRPr="007744C9">
        <w:rPr>
          <w:rFonts w:ascii="Arial" w:eastAsia="Arial" w:hAnsi="Arial" w:cs="Arial"/>
          <w:color w:val="auto"/>
          <w:lang w:val="en-US"/>
        </w:rPr>
        <w:t>2,029 in 2023), this category of CDI diagnosis continues to account for less than 20% of all CDI diagnoses in Australian public hospitals.</w:t>
      </w:r>
    </w:p>
    <w:p w14:paraId="657B581F" w14:textId="77777777" w:rsidR="007744C9" w:rsidRPr="007744C9" w:rsidRDefault="007744C9" w:rsidP="007744C9">
      <w:pPr>
        <w:pStyle w:val="Caption"/>
        <w:numPr>
          <w:ilvl w:val="0"/>
          <w:numId w:val="0"/>
        </w:numPr>
        <w:rPr>
          <w:lang w:val="en-US"/>
        </w:rPr>
      </w:pPr>
      <w:r w:rsidRPr="007744C9">
        <w:rPr>
          <w:b/>
          <w:lang w:val="en-US"/>
        </w:rPr>
        <w:t>Figure</w:t>
      </w:r>
      <w:r w:rsidRPr="007744C9">
        <w:rPr>
          <w:b/>
          <w:spacing w:val="-3"/>
          <w:lang w:val="en-US"/>
        </w:rPr>
        <w:t xml:space="preserve"> </w:t>
      </w:r>
      <w:r w:rsidRPr="007744C9">
        <w:rPr>
          <w:b/>
          <w:lang w:val="en-US"/>
        </w:rPr>
        <w:t>3:</w:t>
      </w:r>
      <w:r w:rsidRPr="007744C9">
        <w:rPr>
          <w:b/>
          <w:spacing w:val="-1"/>
          <w:lang w:val="en-US"/>
        </w:rPr>
        <w:t xml:space="preserve"> </w:t>
      </w:r>
      <w:r w:rsidRPr="007744C9">
        <w:rPr>
          <w:lang w:val="en-US"/>
        </w:rPr>
        <w:t>Quarterly rate</w:t>
      </w:r>
      <w:r w:rsidRPr="007744C9">
        <w:rPr>
          <w:spacing w:val="-3"/>
          <w:lang w:val="en-US"/>
        </w:rPr>
        <w:t xml:space="preserve"> </w:t>
      </w:r>
      <w:r w:rsidRPr="007744C9">
        <w:rPr>
          <w:lang w:val="en-US"/>
        </w:rPr>
        <w:t>of</w:t>
      </w:r>
      <w:r w:rsidRPr="007744C9">
        <w:rPr>
          <w:spacing w:val="-1"/>
          <w:lang w:val="en-US"/>
        </w:rPr>
        <w:t xml:space="preserve"> </w:t>
      </w:r>
      <w:r w:rsidRPr="007744C9">
        <w:rPr>
          <w:lang w:val="en-US"/>
        </w:rPr>
        <w:t>CDI</w:t>
      </w:r>
      <w:r w:rsidRPr="007744C9">
        <w:rPr>
          <w:spacing w:val="-4"/>
          <w:lang w:val="en-US"/>
        </w:rPr>
        <w:t xml:space="preserve"> </w:t>
      </w:r>
      <w:r w:rsidRPr="007744C9">
        <w:rPr>
          <w:lang w:val="en-US"/>
        </w:rPr>
        <w:t>(A04.7)</w:t>
      </w:r>
      <w:r w:rsidRPr="007744C9">
        <w:rPr>
          <w:spacing w:val="-4"/>
          <w:lang w:val="en-US"/>
        </w:rPr>
        <w:t xml:space="preserve"> </w:t>
      </w:r>
      <w:r w:rsidRPr="007744C9">
        <w:rPr>
          <w:lang w:val="en-US"/>
        </w:rPr>
        <w:t>non-principal</w:t>
      </w:r>
      <w:r w:rsidRPr="007744C9">
        <w:rPr>
          <w:spacing w:val="-3"/>
          <w:lang w:val="en-US"/>
        </w:rPr>
        <w:t xml:space="preserve"> </w:t>
      </w:r>
      <w:r w:rsidRPr="007744C9">
        <w:rPr>
          <w:lang w:val="en-US"/>
        </w:rPr>
        <w:t>diagnoses</w:t>
      </w:r>
      <w:r w:rsidRPr="007744C9">
        <w:rPr>
          <w:spacing w:val="-2"/>
          <w:lang w:val="en-US"/>
        </w:rPr>
        <w:t xml:space="preserve"> </w:t>
      </w:r>
      <w:r w:rsidRPr="007744C9">
        <w:rPr>
          <w:lang w:val="en-US"/>
        </w:rPr>
        <w:t>by</w:t>
      </w:r>
      <w:r w:rsidRPr="007744C9">
        <w:rPr>
          <w:spacing w:val="-5"/>
          <w:lang w:val="en-US"/>
        </w:rPr>
        <w:t xml:space="preserve"> </w:t>
      </w:r>
      <w:r w:rsidRPr="007744C9">
        <w:rPr>
          <w:lang w:val="en-US"/>
        </w:rPr>
        <w:t>Condition Onset</w:t>
      </w:r>
      <w:r w:rsidRPr="007744C9">
        <w:rPr>
          <w:spacing w:val="-1"/>
          <w:lang w:val="en-US"/>
        </w:rPr>
        <w:t xml:space="preserve"> </w:t>
      </w:r>
      <w:r w:rsidRPr="007744C9">
        <w:rPr>
          <w:lang w:val="en-US"/>
        </w:rPr>
        <w:t>Flag</w:t>
      </w:r>
      <w:r w:rsidRPr="007744C9">
        <w:rPr>
          <w:spacing w:val="-5"/>
          <w:lang w:val="en-US"/>
        </w:rPr>
        <w:t xml:space="preserve"> </w:t>
      </w:r>
      <w:r w:rsidRPr="007744C9">
        <w:rPr>
          <w:lang w:val="en-US"/>
        </w:rPr>
        <w:t>(COF)</w:t>
      </w:r>
      <w:r w:rsidRPr="007744C9">
        <w:rPr>
          <w:spacing w:val="-1"/>
          <w:lang w:val="en-US"/>
        </w:rPr>
        <w:t xml:space="preserve"> </w:t>
      </w:r>
      <w:r w:rsidRPr="007744C9">
        <w:rPr>
          <w:lang w:val="en-US"/>
        </w:rPr>
        <w:t>in Australian public hospitals, 2020 to 2023*</w:t>
      </w:r>
    </w:p>
    <w:p w14:paraId="0DB021EE" w14:textId="4664C536" w:rsidR="007744C9" w:rsidRPr="00825D18" w:rsidRDefault="006710AF" w:rsidP="007744C9">
      <w:pPr>
        <w:rPr>
          <w:sz w:val="18"/>
          <w:szCs w:val="18"/>
        </w:rPr>
      </w:pPr>
      <w:r>
        <w:rPr>
          <w:noProof/>
        </w:rPr>
        <w:drawing>
          <wp:inline distT="0" distB="0" distL="0" distR="0" wp14:anchorId="22EE80A9" wp14:editId="7EB25B34">
            <wp:extent cx="6019800" cy="3238500"/>
            <wp:effectExtent l="0" t="0" r="0" b="0"/>
            <wp:docPr id="841639374" name="Chart 1">
              <a:extLst xmlns:a="http://schemas.openxmlformats.org/drawingml/2006/main">
                <a:ext uri="{FF2B5EF4-FFF2-40B4-BE49-F238E27FC236}">
                  <a16:creationId xmlns:a16="http://schemas.microsoft.com/office/drawing/2014/main" id="{E0DBE2B9-8AFB-D213-D613-893D7645F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32EEB9" w14:textId="678E1B13" w:rsidR="00CE0CC0" w:rsidRPr="00CE0CC0" w:rsidRDefault="00CE0CC0" w:rsidP="00CE0CC0">
      <w:pPr>
        <w:widowControl w:val="0"/>
        <w:autoSpaceDE w:val="0"/>
        <w:autoSpaceDN w:val="0"/>
        <w:spacing w:after="0" w:line="276" w:lineRule="auto"/>
        <w:ind w:right="-1"/>
        <w:rPr>
          <w:rFonts w:ascii="Arial" w:eastAsia="Arial" w:hAnsi="Arial" w:cs="Arial"/>
          <w:b/>
          <w:bCs/>
          <w:color w:val="auto"/>
          <w:sz w:val="18"/>
          <w:szCs w:val="18"/>
          <w:lang w:val="en-US"/>
        </w:rPr>
      </w:pPr>
      <w:bookmarkStart w:id="24" w:name="_Hlk204766953"/>
      <w:r w:rsidRPr="00CE0CC0">
        <w:rPr>
          <w:rFonts w:ascii="Arial" w:eastAsia="Arial" w:hAnsi="Arial" w:cs="Arial"/>
          <w:color w:val="auto"/>
          <w:sz w:val="18"/>
          <w:szCs w:val="18"/>
          <w:lang w:val="en-US"/>
        </w:rPr>
        <w:t>*Based on Australian public hospitals with highly reliable COF</w:t>
      </w:r>
      <w:r w:rsidR="004E445F">
        <w:rPr>
          <w:rFonts w:ascii="Arial" w:eastAsia="Arial" w:hAnsi="Arial" w:cs="Arial"/>
          <w:color w:val="auto"/>
          <w:sz w:val="18"/>
          <w:szCs w:val="18"/>
          <w:lang w:val="en-US"/>
        </w:rPr>
        <w:t xml:space="preserve"> </w:t>
      </w:r>
      <w:r w:rsidRPr="00CE0CC0">
        <w:rPr>
          <w:rFonts w:ascii="Arial" w:eastAsia="Arial" w:hAnsi="Arial" w:cs="Arial"/>
          <w:color w:val="auto"/>
          <w:sz w:val="18"/>
          <w:szCs w:val="18"/>
          <w:lang w:val="en-US"/>
        </w:rPr>
        <w:t xml:space="preserve">coding only (2020 </w:t>
      </w:r>
      <w:r w:rsidRPr="00CE0CC0">
        <w:rPr>
          <w:rFonts w:ascii="Arial" w:eastAsia="Arial" w:hAnsi="Arial" w:cs="Arial"/>
          <w:i/>
          <w:iCs/>
          <w:color w:val="auto"/>
          <w:sz w:val="18"/>
          <w:szCs w:val="18"/>
          <w:lang w:val="en-US"/>
        </w:rPr>
        <w:t>n</w:t>
      </w:r>
      <w:r w:rsidRPr="00CE0CC0">
        <w:rPr>
          <w:rFonts w:ascii="Arial" w:eastAsia="Arial" w:hAnsi="Arial" w:cs="Arial"/>
          <w:color w:val="auto"/>
          <w:sz w:val="18"/>
          <w:szCs w:val="18"/>
          <w:lang w:val="en-US"/>
        </w:rPr>
        <w:t xml:space="preserve"> = 502, 2021 </w:t>
      </w:r>
      <w:r w:rsidRPr="00CE0CC0">
        <w:rPr>
          <w:rFonts w:ascii="Arial" w:eastAsia="Arial" w:hAnsi="Arial" w:cs="Arial"/>
          <w:i/>
          <w:iCs/>
          <w:color w:val="auto"/>
          <w:sz w:val="18"/>
          <w:szCs w:val="18"/>
          <w:lang w:val="en-US"/>
        </w:rPr>
        <w:t>n</w:t>
      </w:r>
      <w:r w:rsidRPr="00CE0CC0">
        <w:rPr>
          <w:rFonts w:ascii="Arial" w:eastAsia="Arial" w:hAnsi="Arial" w:cs="Arial"/>
          <w:color w:val="auto"/>
          <w:sz w:val="18"/>
          <w:szCs w:val="18"/>
          <w:lang w:val="en-US"/>
        </w:rPr>
        <w:t xml:space="preserve"> = 519, 2022 </w:t>
      </w:r>
      <w:r w:rsidRPr="00CE0CC0">
        <w:rPr>
          <w:rFonts w:ascii="Arial" w:eastAsia="Arial" w:hAnsi="Arial" w:cs="Arial"/>
          <w:i/>
          <w:iCs/>
          <w:color w:val="auto"/>
          <w:sz w:val="18"/>
          <w:szCs w:val="18"/>
          <w:lang w:val="en-US"/>
        </w:rPr>
        <w:t>n =</w:t>
      </w:r>
      <w:r w:rsidRPr="00CE0CC0">
        <w:rPr>
          <w:rFonts w:ascii="Arial" w:eastAsia="Arial" w:hAnsi="Arial" w:cs="Arial"/>
          <w:color w:val="auto"/>
          <w:sz w:val="18"/>
          <w:szCs w:val="18"/>
          <w:lang w:val="en-US"/>
        </w:rPr>
        <w:t xml:space="preserve"> 524, 2023 </w:t>
      </w:r>
      <w:r w:rsidRPr="00CE0CC0">
        <w:rPr>
          <w:rFonts w:ascii="Arial" w:eastAsia="Arial" w:hAnsi="Arial" w:cs="Arial"/>
          <w:i/>
          <w:iCs/>
          <w:color w:val="auto"/>
          <w:sz w:val="18"/>
          <w:szCs w:val="18"/>
          <w:lang w:val="en-US"/>
        </w:rPr>
        <w:t>n =</w:t>
      </w:r>
      <w:r w:rsidRPr="00CE0CC0">
        <w:rPr>
          <w:rFonts w:ascii="Arial" w:eastAsia="Arial" w:hAnsi="Arial" w:cs="Arial"/>
          <w:color w:val="auto"/>
          <w:sz w:val="18"/>
          <w:szCs w:val="18"/>
          <w:lang w:val="en-US"/>
        </w:rPr>
        <w:t xml:space="preserve"> 525)</w:t>
      </w:r>
    </w:p>
    <w:p w14:paraId="3DFD2D50" w14:textId="77777777" w:rsidR="00CE0CC0" w:rsidRPr="00CE0CC0" w:rsidRDefault="00CE0CC0" w:rsidP="00CE0CC0">
      <w:pPr>
        <w:widowControl w:val="0"/>
        <w:autoSpaceDE w:val="0"/>
        <w:autoSpaceDN w:val="0"/>
        <w:spacing w:after="0" w:line="276" w:lineRule="auto"/>
        <w:ind w:left="567" w:right="-1" w:hanging="567"/>
        <w:rPr>
          <w:rFonts w:ascii="Arial" w:eastAsia="Arial" w:hAnsi="Arial" w:cs="Arial"/>
          <w:color w:val="auto"/>
          <w:sz w:val="18"/>
          <w:szCs w:val="18"/>
          <w:lang w:val="en-US"/>
        </w:rPr>
      </w:pPr>
      <w:r w:rsidRPr="00CE0CC0">
        <w:rPr>
          <w:rFonts w:ascii="Arial" w:eastAsia="Arial" w:hAnsi="Arial" w:cs="Arial"/>
          <w:color w:val="auto"/>
          <w:sz w:val="18"/>
          <w:szCs w:val="18"/>
          <w:lang w:val="en-US"/>
        </w:rPr>
        <w:t>Notes</w:t>
      </w:r>
      <w:r w:rsidRPr="00CE0CC0">
        <w:rPr>
          <w:rFonts w:ascii="Arial" w:eastAsia="Arial" w:hAnsi="Arial" w:cs="Arial"/>
          <w:b/>
          <w:bCs/>
          <w:color w:val="auto"/>
          <w:sz w:val="18"/>
          <w:szCs w:val="18"/>
          <w:lang w:val="en-US"/>
        </w:rPr>
        <w:t>:</w:t>
      </w:r>
      <w:r w:rsidRPr="00CE0CC0">
        <w:rPr>
          <w:rFonts w:ascii="Arial" w:eastAsia="Arial" w:hAnsi="Arial" w:cs="Arial"/>
          <w:color w:val="auto"/>
          <w:lang w:val="en-US"/>
        </w:rPr>
        <w:t xml:space="preserve"> </w:t>
      </w:r>
      <w:r w:rsidRPr="00CE0CC0">
        <w:rPr>
          <w:rFonts w:ascii="Arial" w:eastAsia="Arial" w:hAnsi="Arial" w:cs="Arial"/>
          <w:color w:val="auto"/>
          <w:sz w:val="18"/>
          <w:szCs w:val="18"/>
          <w:lang w:val="en-US"/>
        </w:rPr>
        <w:t>Non-principal diagnosis COF1: A condition that has arisen during the episode of admitted care that would not have been present or suspected on admission.</w:t>
      </w:r>
      <w:r w:rsidRPr="00CE0CC0">
        <w:rPr>
          <w:rFonts w:ascii="Arial" w:eastAsia="Arial" w:hAnsi="Arial" w:cs="Arial"/>
          <w:color w:val="auto"/>
          <w:sz w:val="18"/>
          <w:szCs w:val="18"/>
          <w:lang w:val="en-US"/>
        </w:rPr>
        <w:fldChar w:fldCharType="begin"/>
      </w:r>
      <w:r w:rsidRPr="00CE0CC0">
        <w:rPr>
          <w:rFonts w:ascii="Arial" w:eastAsia="Arial" w:hAnsi="Arial" w:cs="Arial"/>
          <w:color w:val="auto"/>
          <w:sz w:val="18"/>
          <w:szCs w:val="18"/>
          <w:lang w:val="en-US"/>
        </w:rPr>
        <w:instrText xml:space="preserve"> ADDIN EN.CITE &lt;EndNote&gt;&lt;Cite&gt;&lt;Author&gt;Australian Institute of Health and Welfare&lt;/Author&gt;&lt;Year&gt;2024&lt;/Year&gt;&lt;RecNum&gt;230&lt;/RecNum&gt;&lt;DisplayText&gt;&lt;style face="superscript"&gt;25&lt;/style&gt;&lt;/DisplayText&gt;&lt;record&gt;&lt;rec-number&gt;230&lt;/rec-number&gt;&lt;foreign-keys&gt;&lt;key app="EN" db-id="2rp0a5drxdefz3e2e5dptftled295z2r2ve2" timestamp="1728537393"&gt;230&lt;/key&gt;&lt;/foreign-keys&gt;&lt;ref-type name="Generic"&gt;13&lt;/ref-type&gt;&lt;contributors&gt;&lt;authors&gt;&lt;author&gt;Australian Institute of Health and Welfare,&lt;/author&gt;&lt;/authors&gt;&lt;/contributors&gt;&lt;titles&gt;&lt;title&gt;METEOR Metadata online registry.&amp;#xD;Episode of admitted patient care—condition onset flag, code N&lt;/title&gt;&lt;/titles&gt;&lt;number&gt;10 October 2024&lt;/number&gt;&lt;dates&gt;&lt;year&gt;2024&lt;/year&gt;&lt;/dates&gt;&lt;work-type&gt;web page&lt;/work-type&gt;&lt;urls&gt;&lt;related-urls&gt;&lt;url&gt;https://meteor.aihw.gov.au/content/354816&lt;/url&gt;&lt;/related-urls&gt;&lt;/urls&gt;&lt;custom2&gt;10 October 2024&lt;/custom2&gt;&lt;/record&gt;&lt;/Cite&gt;&lt;/EndNote&gt;</w:instrText>
      </w:r>
      <w:r w:rsidRPr="00CE0CC0">
        <w:rPr>
          <w:rFonts w:ascii="Arial" w:eastAsia="Arial" w:hAnsi="Arial" w:cs="Arial"/>
          <w:color w:val="auto"/>
          <w:sz w:val="18"/>
          <w:szCs w:val="18"/>
          <w:lang w:val="en-US"/>
        </w:rPr>
        <w:fldChar w:fldCharType="separate"/>
      </w:r>
      <w:r w:rsidRPr="00CE0CC0">
        <w:rPr>
          <w:rFonts w:ascii="Arial" w:eastAsia="Arial" w:hAnsi="Arial" w:cs="Arial"/>
          <w:noProof/>
          <w:color w:val="auto"/>
          <w:sz w:val="18"/>
          <w:szCs w:val="18"/>
          <w:vertAlign w:val="superscript"/>
          <w:lang w:val="en-US"/>
        </w:rPr>
        <w:t>25</w:t>
      </w:r>
      <w:r w:rsidRPr="00CE0CC0">
        <w:rPr>
          <w:rFonts w:ascii="Arial" w:eastAsia="Arial" w:hAnsi="Arial" w:cs="Arial"/>
          <w:color w:val="auto"/>
          <w:sz w:val="18"/>
          <w:szCs w:val="18"/>
          <w:lang w:val="en-US"/>
        </w:rPr>
        <w:fldChar w:fldCharType="end"/>
      </w:r>
      <w:r w:rsidRPr="00CE0CC0">
        <w:rPr>
          <w:rFonts w:ascii="Arial" w:eastAsia="Arial" w:hAnsi="Arial" w:cs="Arial"/>
          <w:color w:val="auto"/>
          <w:sz w:val="18"/>
          <w:szCs w:val="18"/>
          <w:vertAlign w:val="superscript"/>
          <w:lang w:val="en-US"/>
        </w:rPr>
        <w:t xml:space="preserve"> </w:t>
      </w:r>
    </w:p>
    <w:p w14:paraId="34C02483" w14:textId="77777777" w:rsidR="00CE0CC0" w:rsidRPr="00CE0CC0" w:rsidRDefault="00CE0CC0" w:rsidP="00CE0CC0">
      <w:pPr>
        <w:widowControl w:val="0"/>
        <w:autoSpaceDE w:val="0"/>
        <w:autoSpaceDN w:val="0"/>
        <w:spacing w:after="240" w:line="276" w:lineRule="auto"/>
        <w:ind w:left="567" w:right="-1"/>
        <w:rPr>
          <w:rFonts w:ascii="Arial" w:eastAsia="Arial" w:hAnsi="Arial" w:cs="Arial"/>
          <w:color w:val="auto"/>
          <w:sz w:val="18"/>
          <w:szCs w:val="18"/>
          <w:lang w:val="en-US"/>
        </w:rPr>
      </w:pPr>
      <w:r w:rsidRPr="00CE0CC0">
        <w:rPr>
          <w:rFonts w:ascii="Arial" w:eastAsia="Arial" w:hAnsi="Arial" w:cs="Arial"/>
          <w:color w:val="auto"/>
          <w:sz w:val="18"/>
          <w:szCs w:val="18"/>
          <w:lang w:val="en-US"/>
        </w:rPr>
        <w:t>Non-principal diagnosis COF2: A condition previously existing or suspected on admission such as the presenting problem, a comorbidity or chronic disease.</w:t>
      </w:r>
      <w:r w:rsidRPr="00CE0CC0">
        <w:rPr>
          <w:rFonts w:ascii="Arial" w:eastAsia="Arial" w:hAnsi="Arial" w:cs="Arial"/>
          <w:color w:val="auto"/>
          <w:sz w:val="18"/>
          <w:szCs w:val="18"/>
          <w:lang w:val="en-US"/>
        </w:rPr>
        <w:fldChar w:fldCharType="begin"/>
      </w:r>
      <w:r w:rsidRPr="00CE0CC0">
        <w:rPr>
          <w:rFonts w:ascii="Arial" w:eastAsia="Arial" w:hAnsi="Arial" w:cs="Arial"/>
          <w:color w:val="auto"/>
          <w:sz w:val="18"/>
          <w:szCs w:val="18"/>
          <w:lang w:val="en-US"/>
        </w:rPr>
        <w:instrText xml:space="preserve"> ADDIN EN.CITE &lt;EndNote&gt;&lt;Cite&gt;&lt;Author&gt;Australian Institute of Health and Welfare&lt;/Author&gt;&lt;Year&gt;2024&lt;/Year&gt;&lt;RecNum&gt;230&lt;/RecNum&gt;&lt;DisplayText&gt;&lt;style face="superscript"&gt;25&lt;/style&gt;&lt;/DisplayText&gt;&lt;record&gt;&lt;rec-number&gt;230&lt;/rec-number&gt;&lt;foreign-keys&gt;&lt;key app="EN" db-id="2rp0a5drxdefz3e2e5dptftled295z2r2ve2" timestamp="1728537393"&gt;230&lt;/key&gt;&lt;/foreign-keys&gt;&lt;ref-type name="Generic"&gt;13&lt;/ref-type&gt;&lt;contributors&gt;&lt;authors&gt;&lt;author&gt;Australian Institute of Health and Welfare,&lt;/author&gt;&lt;/authors&gt;&lt;/contributors&gt;&lt;titles&gt;&lt;title&gt;METEOR Metadata online registry.&amp;#xD;Episode of admitted patient care—condition onset flag, code N&lt;/title&gt;&lt;/titles&gt;&lt;number&gt;10 October 2024&lt;/number&gt;&lt;dates&gt;&lt;year&gt;2024&lt;/year&gt;&lt;/dates&gt;&lt;work-type&gt;web page&lt;/work-type&gt;&lt;urls&gt;&lt;related-urls&gt;&lt;url&gt;https://meteor.aihw.gov.au/content/354816&lt;/url&gt;&lt;/related-urls&gt;&lt;/urls&gt;&lt;custom2&gt;10 October 2024&lt;/custom2&gt;&lt;/record&gt;&lt;/Cite&gt;&lt;/EndNote&gt;</w:instrText>
      </w:r>
      <w:r w:rsidRPr="00CE0CC0">
        <w:rPr>
          <w:rFonts w:ascii="Arial" w:eastAsia="Arial" w:hAnsi="Arial" w:cs="Arial"/>
          <w:color w:val="auto"/>
          <w:sz w:val="18"/>
          <w:szCs w:val="18"/>
          <w:lang w:val="en-US"/>
        </w:rPr>
        <w:fldChar w:fldCharType="separate"/>
      </w:r>
      <w:r w:rsidRPr="00CE0CC0">
        <w:rPr>
          <w:rFonts w:ascii="Arial" w:eastAsia="Arial" w:hAnsi="Arial" w:cs="Arial"/>
          <w:noProof/>
          <w:color w:val="auto"/>
          <w:sz w:val="18"/>
          <w:szCs w:val="18"/>
          <w:vertAlign w:val="superscript"/>
          <w:lang w:val="en-US"/>
        </w:rPr>
        <w:t>25</w:t>
      </w:r>
      <w:r w:rsidRPr="00CE0CC0">
        <w:rPr>
          <w:rFonts w:ascii="Arial" w:eastAsia="Arial" w:hAnsi="Arial" w:cs="Arial"/>
          <w:color w:val="auto"/>
          <w:sz w:val="18"/>
          <w:szCs w:val="18"/>
          <w:lang w:val="en-US"/>
        </w:rPr>
        <w:fldChar w:fldCharType="end"/>
      </w:r>
      <w:r w:rsidRPr="00CE0CC0">
        <w:rPr>
          <w:rFonts w:ascii="Arial" w:eastAsia="Arial" w:hAnsi="Arial" w:cs="Arial"/>
          <w:color w:val="auto"/>
          <w:sz w:val="18"/>
          <w:szCs w:val="18"/>
          <w:lang w:val="en-US"/>
        </w:rPr>
        <w:t xml:space="preserve"> </w:t>
      </w:r>
    </w:p>
    <w:bookmarkEnd w:id="24"/>
    <w:p w14:paraId="4A45963F" w14:textId="77777777" w:rsidR="00CE0CC0" w:rsidRPr="00CE0CC0" w:rsidRDefault="00CE0CC0" w:rsidP="00CE0CC0">
      <w:pPr>
        <w:widowControl w:val="0"/>
        <w:autoSpaceDE w:val="0"/>
        <w:autoSpaceDN w:val="0"/>
        <w:spacing w:before="240" w:after="240" w:line="276" w:lineRule="auto"/>
        <w:rPr>
          <w:rFonts w:ascii="Arial" w:eastAsia="Arial" w:hAnsi="Arial" w:cs="Arial"/>
          <w:color w:val="auto"/>
          <w:spacing w:val="-4"/>
          <w:lang w:val="en-US"/>
        </w:rPr>
      </w:pPr>
      <w:r w:rsidRPr="00CE0CC0">
        <w:rPr>
          <w:rFonts w:ascii="Arial" w:eastAsia="Arial" w:hAnsi="Arial" w:cs="Arial"/>
          <w:color w:val="auto"/>
          <w:lang w:val="en-US"/>
        </w:rPr>
        <w:lastRenderedPageBreak/>
        <w:t>Figure 4 shows the estimated quarterly rates of patients admitted to Australian public hospitals with pre-existing CDI symptoms in 2022 and 2023. This patient cohort includes individuals with a principal CDI diagnosis, and those with a non-principal CDI diagnosis with a COF2 (i.e. CDI is acquired either in the community or during a previous healthcare admission [HCA-community-onset,</w:t>
      </w:r>
      <w:r w:rsidRPr="00CE0CC0">
        <w:rPr>
          <w:rFonts w:ascii="Arial" w:eastAsia="Arial" w:hAnsi="Arial" w:cs="Arial"/>
          <w:color w:val="auto"/>
          <w:spacing w:val="-5"/>
          <w:lang w:val="en-US"/>
        </w:rPr>
        <w:t xml:space="preserve"> </w:t>
      </w:r>
      <w:r w:rsidRPr="00CE0CC0">
        <w:rPr>
          <w:rFonts w:ascii="Arial" w:eastAsia="Arial" w:hAnsi="Arial" w:cs="Arial"/>
          <w:color w:val="auto"/>
          <w:lang w:val="en-US"/>
        </w:rPr>
        <w:t>CA-CDI,</w:t>
      </w:r>
      <w:r w:rsidRPr="00CE0CC0">
        <w:rPr>
          <w:rFonts w:ascii="Arial" w:eastAsia="Arial" w:hAnsi="Arial" w:cs="Arial"/>
          <w:color w:val="auto"/>
          <w:spacing w:val="-2"/>
          <w:lang w:val="en-US"/>
        </w:rPr>
        <w:t xml:space="preserve"> </w:t>
      </w:r>
      <w:r w:rsidRPr="00CE0CC0">
        <w:rPr>
          <w:rFonts w:ascii="Arial" w:eastAsia="Arial" w:hAnsi="Arial" w:cs="Arial"/>
          <w:color w:val="auto"/>
          <w:lang w:val="en-US"/>
        </w:rPr>
        <w:t>or</w:t>
      </w:r>
      <w:r w:rsidRPr="00CE0CC0">
        <w:rPr>
          <w:rFonts w:ascii="Arial" w:eastAsia="Arial" w:hAnsi="Arial" w:cs="Arial"/>
          <w:color w:val="auto"/>
          <w:spacing w:val="-2"/>
          <w:lang w:val="en-US"/>
        </w:rPr>
        <w:t xml:space="preserve"> </w:t>
      </w:r>
      <w:r w:rsidRPr="00CE0CC0">
        <w:rPr>
          <w:rFonts w:ascii="Arial" w:eastAsia="Arial" w:hAnsi="Arial" w:cs="Arial"/>
          <w:color w:val="auto"/>
          <w:lang w:val="en-US"/>
        </w:rPr>
        <w:t>indeterminate</w:t>
      </w:r>
      <w:r w:rsidRPr="00CE0CC0">
        <w:rPr>
          <w:rFonts w:ascii="Arial" w:eastAsia="Arial" w:hAnsi="Arial" w:cs="Arial"/>
          <w:color w:val="auto"/>
          <w:spacing w:val="-4"/>
          <w:lang w:val="en-US"/>
        </w:rPr>
        <w:t xml:space="preserve"> </w:t>
      </w:r>
      <w:r w:rsidRPr="00CE0CC0">
        <w:rPr>
          <w:rFonts w:ascii="Arial" w:eastAsia="Arial" w:hAnsi="Arial" w:cs="Arial"/>
          <w:color w:val="auto"/>
          <w:lang w:val="en-US"/>
        </w:rPr>
        <w:t>CDI</w:t>
      </w:r>
      <w:r w:rsidRPr="00CE0CC0">
        <w:rPr>
          <w:rFonts w:ascii="Arial" w:eastAsia="Arial" w:hAnsi="Arial" w:cs="Arial"/>
          <w:color w:val="auto"/>
          <w:spacing w:val="-4"/>
          <w:lang w:val="en-US"/>
        </w:rPr>
        <w:t>-</w:t>
      </w:r>
      <w:r w:rsidRPr="00CE0CC0">
        <w:rPr>
          <w:rFonts w:ascii="Arial" w:eastAsia="Arial" w:hAnsi="Arial" w:cs="Arial"/>
          <w:color w:val="auto"/>
          <w:lang w:val="en-US"/>
        </w:rPr>
        <w:t xml:space="preserve">onset]). </w:t>
      </w:r>
    </w:p>
    <w:p w14:paraId="6AA1D4DD" w14:textId="2E696E87" w:rsidR="00CE0CC0" w:rsidRDefault="00CE0CC0" w:rsidP="00CE0CC0">
      <w:pPr>
        <w:widowControl w:val="0"/>
        <w:autoSpaceDE w:val="0"/>
        <w:autoSpaceDN w:val="0"/>
        <w:spacing w:after="0" w:line="276" w:lineRule="auto"/>
        <w:rPr>
          <w:rFonts w:ascii="Arial" w:eastAsia="Arial" w:hAnsi="Arial" w:cs="Arial"/>
          <w:color w:val="auto"/>
          <w:lang w:val="en-US"/>
        </w:rPr>
      </w:pPr>
      <w:r w:rsidRPr="00CE0CC0">
        <w:rPr>
          <w:rFonts w:ascii="Arial" w:eastAsia="Arial" w:hAnsi="Arial" w:cs="Arial"/>
          <w:color w:val="auto"/>
          <w:spacing w:val="-4"/>
          <w:lang w:val="en-US"/>
        </w:rPr>
        <w:t xml:space="preserve">In both 2022 and 2023, </w:t>
      </w:r>
      <w:r w:rsidR="00142D1D">
        <w:rPr>
          <w:rFonts w:ascii="Arial" w:eastAsia="Arial" w:hAnsi="Arial" w:cs="Arial"/>
          <w:color w:val="auto"/>
          <w:spacing w:val="-4"/>
          <w:lang w:val="en-US"/>
        </w:rPr>
        <w:t xml:space="preserve">the majority of patients admitted to Australian public hospitals with a CDI diagnosis presented </w:t>
      </w:r>
      <w:r w:rsidRPr="00CE0CC0">
        <w:rPr>
          <w:rFonts w:ascii="Arial" w:eastAsia="Arial" w:hAnsi="Arial" w:cs="Arial"/>
          <w:color w:val="auto"/>
          <w:lang w:val="en-US"/>
        </w:rPr>
        <w:t>with</w:t>
      </w:r>
      <w:r w:rsidRPr="00CE0CC0">
        <w:rPr>
          <w:rFonts w:ascii="Arial" w:eastAsia="Arial" w:hAnsi="Arial" w:cs="Arial"/>
          <w:color w:val="auto"/>
          <w:spacing w:val="-6"/>
          <w:lang w:val="en-US"/>
        </w:rPr>
        <w:t xml:space="preserve"> </w:t>
      </w:r>
      <w:r w:rsidRPr="00CE0CC0">
        <w:rPr>
          <w:rFonts w:ascii="Arial" w:eastAsia="Arial" w:hAnsi="Arial" w:cs="Arial"/>
          <w:color w:val="auto"/>
          <w:lang w:val="en-US"/>
        </w:rPr>
        <w:t>pre-existing CDI symptoms; this is consistent with 2020 and 2021.</w:t>
      </w:r>
      <w:r w:rsidRPr="00CE0CC0">
        <w:rPr>
          <w:rFonts w:ascii="Arial" w:eastAsia="Arial" w:hAnsi="Arial" w:cs="Arial"/>
          <w:color w:val="auto"/>
          <w:lang w:val="en-US"/>
        </w:rPr>
        <w:fldChar w:fldCharType="begin"/>
      </w:r>
      <w:r w:rsidRPr="00CE0CC0">
        <w:rPr>
          <w:rFonts w:ascii="Arial" w:eastAsia="Arial" w:hAnsi="Arial" w:cs="Arial"/>
          <w:color w:val="auto"/>
          <w:lang w:val="en-US"/>
        </w:rPr>
        <w:instrText xml:space="preserve"> ADDIN EN.CITE &lt;EndNote&gt;&lt;Cite&gt;&lt;Author&gt;Australian Commission on Safety and Quality in Health Care&lt;/Author&gt;&lt;Year&gt;2023&lt;/Year&gt;&lt;RecNum&gt;168&lt;/RecNum&gt;&lt;DisplayText&gt;&lt;style face="superscript"&gt;5&lt;/style&gt;&lt;/DisplayText&gt;&lt;record&gt;&lt;rec-number&gt;168&lt;/rec-number&gt;&lt;foreign-keys&gt;&lt;key app="EN" db-id="2rp0a5drxdefz3e2e5dptftled295z2r2ve2" timestamp="1695191173"&gt;168&lt;/key&gt;&lt;/foreign-keys&gt;&lt;ref-type name="Generic"&gt;13&lt;/ref-type&gt;&lt;contributors&gt;&lt;authors&gt;&lt;author&gt;Australian Commission on Safety and Quality in Health Care, &lt;/author&gt;&lt;/authors&gt;&lt;/contributors&gt;&lt;titles&gt;&lt;title&gt;Clostridioides difficile infection: Data snapshot report 2020−2021&lt;/title&gt;&lt;/titles&gt;&lt;dates&gt;&lt;year&gt;2023&lt;/year&gt;&lt;/dates&gt;&lt;pub-location&gt;Sydney &lt;/pub-location&gt;&lt;publisher&gt;ACSQHC&lt;/publisher&gt;&lt;urls&gt;&lt;/urls&gt;&lt;/record&gt;&lt;/Cite&gt;&lt;/EndNote&gt;</w:instrText>
      </w:r>
      <w:r w:rsidRPr="00CE0CC0">
        <w:rPr>
          <w:rFonts w:ascii="Arial" w:eastAsia="Arial" w:hAnsi="Arial" w:cs="Arial"/>
          <w:color w:val="auto"/>
          <w:lang w:val="en-US"/>
        </w:rPr>
        <w:fldChar w:fldCharType="separate"/>
      </w:r>
      <w:r w:rsidRPr="00CE0CC0">
        <w:rPr>
          <w:rFonts w:ascii="Arial" w:eastAsia="Arial" w:hAnsi="Arial" w:cs="Arial"/>
          <w:noProof/>
          <w:color w:val="auto"/>
          <w:vertAlign w:val="superscript"/>
          <w:lang w:val="en-US"/>
        </w:rPr>
        <w:t>5</w:t>
      </w:r>
      <w:r w:rsidRPr="00CE0CC0">
        <w:rPr>
          <w:rFonts w:ascii="Arial" w:eastAsia="Arial" w:hAnsi="Arial" w:cs="Arial"/>
          <w:color w:val="auto"/>
          <w:lang w:val="en-US"/>
        </w:rPr>
        <w:fldChar w:fldCharType="end"/>
      </w:r>
      <w:r w:rsidRPr="00CE0CC0">
        <w:rPr>
          <w:rFonts w:ascii="Arial" w:eastAsia="Arial" w:hAnsi="Arial" w:cs="Arial"/>
          <w:color w:val="auto"/>
          <w:lang w:val="en-US"/>
        </w:rPr>
        <w:t xml:space="preserve"> In 2022, there were 9,589 (80.29%) separations with pre-existing CDI symptoms; this decreased to 8,821 (78.74%) separations in 2023.</w:t>
      </w:r>
    </w:p>
    <w:p w14:paraId="5DB1F389" w14:textId="77777777" w:rsidR="00CE0CC0" w:rsidRPr="00CE0CC0" w:rsidRDefault="00CE0CC0" w:rsidP="00CE0CC0">
      <w:pPr>
        <w:pStyle w:val="Caption"/>
        <w:numPr>
          <w:ilvl w:val="0"/>
          <w:numId w:val="0"/>
        </w:numPr>
        <w:rPr>
          <w:spacing w:val="-2"/>
          <w:lang w:val="en-US"/>
        </w:rPr>
      </w:pPr>
      <w:bookmarkStart w:id="25" w:name="_Hlk204767119"/>
      <w:r w:rsidRPr="00CE0CC0">
        <w:rPr>
          <w:b/>
          <w:lang w:val="en-US"/>
        </w:rPr>
        <w:t>Figure</w:t>
      </w:r>
      <w:r w:rsidRPr="00CE0CC0">
        <w:rPr>
          <w:b/>
          <w:spacing w:val="-3"/>
          <w:lang w:val="en-US"/>
        </w:rPr>
        <w:t xml:space="preserve"> </w:t>
      </w:r>
      <w:r w:rsidRPr="00CE0CC0">
        <w:rPr>
          <w:b/>
          <w:lang w:val="en-US"/>
        </w:rPr>
        <w:t>4:</w:t>
      </w:r>
      <w:r w:rsidRPr="00CE0CC0">
        <w:rPr>
          <w:b/>
          <w:spacing w:val="-1"/>
          <w:lang w:val="en-US"/>
        </w:rPr>
        <w:t xml:space="preserve"> </w:t>
      </w:r>
      <w:r w:rsidRPr="00CE0CC0">
        <w:rPr>
          <w:lang w:val="en-US"/>
        </w:rPr>
        <w:t>Estimated</w:t>
      </w:r>
      <w:r w:rsidRPr="00CE0CC0">
        <w:rPr>
          <w:spacing w:val="-5"/>
          <w:lang w:val="en-US"/>
        </w:rPr>
        <w:t xml:space="preserve"> quarterly </w:t>
      </w:r>
      <w:r w:rsidRPr="00CE0CC0">
        <w:rPr>
          <w:lang w:val="en-US"/>
        </w:rPr>
        <w:t>rates</w:t>
      </w:r>
      <w:r w:rsidRPr="00CE0CC0">
        <w:rPr>
          <w:spacing w:val="-2"/>
          <w:lang w:val="en-US"/>
        </w:rPr>
        <w:t xml:space="preserve"> </w:t>
      </w:r>
      <w:r w:rsidRPr="00CE0CC0">
        <w:rPr>
          <w:lang w:val="en-US"/>
        </w:rPr>
        <w:t>of</w:t>
      </w:r>
      <w:r w:rsidRPr="00CE0CC0">
        <w:rPr>
          <w:spacing w:val="-3"/>
          <w:lang w:val="en-US"/>
        </w:rPr>
        <w:t xml:space="preserve"> </w:t>
      </w:r>
      <w:r w:rsidRPr="00CE0CC0">
        <w:rPr>
          <w:lang w:val="en-US"/>
        </w:rPr>
        <w:t>pre-existing</w:t>
      </w:r>
      <w:r w:rsidRPr="00CE0CC0">
        <w:rPr>
          <w:spacing w:val="-3"/>
          <w:lang w:val="en-US"/>
        </w:rPr>
        <w:t xml:space="preserve"> </w:t>
      </w:r>
      <w:r w:rsidRPr="00CE0CC0">
        <w:rPr>
          <w:lang w:val="en-US"/>
        </w:rPr>
        <w:t>CDI</w:t>
      </w:r>
      <w:r w:rsidRPr="00CE0CC0">
        <w:rPr>
          <w:spacing w:val="-4"/>
          <w:lang w:val="en-US"/>
        </w:rPr>
        <w:t xml:space="preserve"> symptoms </w:t>
      </w:r>
      <w:r w:rsidRPr="00CE0CC0">
        <w:rPr>
          <w:lang w:val="en-US"/>
        </w:rPr>
        <w:t>(A04.7)</w:t>
      </w:r>
      <w:r w:rsidRPr="00CE0CC0">
        <w:rPr>
          <w:spacing w:val="-4"/>
          <w:lang w:val="en-US"/>
        </w:rPr>
        <w:t xml:space="preserve"> </w:t>
      </w:r>
      <w:r w:rsidRPr="00CE0CC0">
        <w:rPr>
          <w:lang w:val="en-US"/>
        </w:rPr>
        <w:t>presenting</w:t>
      </w:r>
      <w:r w:rsidRPr="00CE0CC0">
        <w:rPr>
          <w:spacing w:val="-5"/>
          <w:lang w:val="en-US"/>
        </w:rPr>
        <w:t xml:space="preserve"> </w:t>
      </w:r>
      <w:r w:rsidRPr="00CE0CC0">
        <w:rPr>
          <w:lang w:val="en-US"/>
        </w:rPr>
        <w:t>to</w:t>
      </w:r>
      <w:r w:rsidRPr="00CE0CC0">
        <w:rPr>
          <w:spacing w:val="-2"/>
          <w:lang w:val="en-US"/>
        </w:rPr>
        <w:t xml:space="preserve"> </w:t>
      </w:r>
      <w:r w:rsidRPr="00CE0CC0">
        <w:rPr>
          <w:lang w:val="en-US"/>
        </w:rPr>
        <w:t>Australian</w:t>
      </w:r>
      <w:r w:rsidRPr="00CE0CC0">
        <w:rPr>
          <w:spacing w:val="-3"/>
          <w:lang w:val="en-US"/>
        </w:rPr>
        <w:t xml:space="preserve"> </w:t>
      </w:r>
      <w:r w:rsidRPr="00CE0CC0">
        <w:rPr>
          <w:lang w:val="en-US"/>
        </w:rPr>
        <w:t>public</w:t>
      </w:r>
      <w:r w:rsidRPr="00CE0CC0">
        <w:rPr>
          <w:spacing w:val="-2"/>
          <w:lang w:val="en-US"/>
        </w:rPr>
        <w:t xml:space="preserve"> </w:t>
      </w:r>
      <w:r w:rsidRPr="00CE0CC0">
        <w:rPr>
          <w:lang w:val="en-US"/>
        </w:rPr>
        <w:t xml:space="preserve">hospitals, 2020, 2021, </w:t>
      </w:r>
      <w:r w:rsidRPr="00CE0CC0">
        <w:rPr>
          <w:spacing w:val="-2"/>
          <w:lang w:val="en-US"/>
        </w:rPr>
        <w:t>2022 and 2023*</w:t>
      </w:r>
    </w:p>
    <w:bookmarkEnd w:id="25"/>
    <w:p w14:paraId="2BB66FC7" w14:textId="3F0022A0" w:rsidR="00CE0CC0" w:rsidRPr="00CE0CC0" w:rsidRDefault="007E07A9" w:rsidP="00CE0CC0">
      <w:pPr>
        <w:widowControl w:val="0"/>
        <w:autoSpaceDE w:val="0"/>
        <w:autoSpaceDN w:val="0"/>
        <w:spacing w:after="0" w:line="276" w:lineRule="auto"/>
        <w:rPr>
          <w:rFonts w:ascii="Arial" w:eastAsia="Arial" w:hAnsi="Arial" w:cs="Arial"/>
          <w:color w:val="auto"/>
          <w:lang w:val="en-US"/>
        </w:rPr>
      </w:pPr>
      <w:r>
        <w:rPr>
          <w:noProof/>
        </w:rPr>
        <w:drawing>
          <wp:inline distT="0" distB="0" distL="0" distR="0" wp14:anchorId="033D32B0" wp14:editId="038A3246">
            <wp:extent cx="5831840" cy="3476625"/>
            <wp:effectExtent l="0" t="0" r="0" b="0"/>
            <wp:docPr id="1368396181" name="Chart 1">
              <a:extLst xmlns:a="http://schemas.openxmlformats.org/drawingml/2006/main">
                <a:ext uri="{FF2B5EF4-FFF2-40B4-BE49-F238E27FC236}">
                  <a16:creationId xmlns:a16="http://schemas.microsoft.com/office/drawing/2014/main" id="{F7F33911-982A-0AB8-103B-EEBCFED5D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6BF31A" w14:textId="77777777" w:rsidR="00CE0CC0" w:rsidRPr="00CE0CC0" w:rsidRDefault="00CE0CC0" w:rsidP="00CE0CC0">
      <w:pPr>
        <w:spacing w:after="0" w:line="240" w:lineRule="auto"/>
        <w:rPr>
          <w:rFonts w:ascii="Arial" w:eastAsia="Times New Roman" w:hAnsi="Arial"/>
          <w:color w:val="auto"/>
          <w:lang w:eastAsia="en-AU"/>
        </w:rPr>
      </w:pPr>
      <w:r w:rsidRPr="00CE0CC0">
        <w:rPr>
          <w:rFonts w:ascii="Arial" w:eastAsia="Times New Roman" w:hAnsi="Arial"/>
          <w:color w:val="auto"/>
          <w:sz w:val="18"/>
          <w:szCs w:val="18"/>
          <w:lang w:eastAsia="en-AU"/>
        </w:rPr>
        <w:t xml:space="preserve">*Based on Australian public hospitals with highly reliable COF coding only (2020 </w:t>
      </w:r>
      <w:r w:rsidRPr="00CE0CC0">
        <w:rPr>
          <w:rFonts w:ascii="Arial" w:eastAsia="Times New Roman" w:hAnsi="Arial"/>
          <w:i/>
          <w:iCs/>
          <w:color w:val="auto"/>
          <w:sz w:val="18"/>
          <w:szCs w:val="18"/>
          <w:lang w:eastAsia="en-AU"/>
        </w:rPr>
        <w:t>n</w:t>
      </w:r>
      <w:r w:rsidRPr="00CE0CC0">
        <w:rPr>
          <w:rFonts w:ascii="Arial" w:eastAsia="Times New Roman" w:hAnsi="Arial"/>
          <w:color w:val="auto"/>
          <w:sz w:val="18"/>
          <w:szCs w:val="18"/>
          <w:lang w:eastAsia="en-AU"/>
        </w:rPr>
        <w:t xml:space="preserve"> = 502, 2021 </w:t>
      </w:r>
      <w:r w:rsidRPr="00CE0CC0">
        <w:rPr>
          <w:rFonts w:ascii="Arial" w:eastAsia="Times New Roman" w:hAnsi="Arial"/>
          <w:i/>
          <w:iCs/>
          <w:color w:val="auto"/>
          <w:sz w:val="18"/>
          <w:szCs w:val="18"/>
          <w:lang w:eastAsia="en-AU"/>
        </w:rPr>
        <w:t>n</w:t>
      </w:r>
      <w:r w:rsidRPr="00CE0CC0">
        <w:rPr>
          <w:rFonts w:ascii="Arial" w:eastAsia="Times New Roman" w:hAnsi="Arial"/>
          <w:color w:val="auto"/>
          <w:sz w:val="18"/>
          <w:szCs w:val="18"/>
          <w:lang w:eastAsia="en-AU"/>
        </w:rPr>
        <w:t xml:space="preserve"> = 519, 2022 </w:t>
      </w:r>
      <w:r w:rsidRPr="00CE0CC0">
        <w:rPr>
          <w:rFonts w:ascii="Arial" w:eastAsia="Times New Roman" w:hAnsi="Arial"/>
          <w:i/>
          <w:iCs/>
          <w:color w:val="auto"/>
          <w:sz w:val="18"/>
          <w:szCs w:val="18"/>
          <w:lang w:eastAsia="en-AU"/>
        </w:rPr>
        <w:t>n =</w:t>
      </w:r>
      <w:r w:rsidRPr="00CE0CC0">
        <w:rPr>
          <w:rFonts w:ascii="Arial" w:eastAsia="Times New Roman" w:hAnsi="Arial"/>
          <w:color w:val="auto"/>
          <w:sz w:val="18"/>
          <w:szCs w:val="18"/>
          <w:lang w:eastAsia="en-AU"/>
        </w:rPr>
        <w:t xml:space="preserve"> 524, 2023 </w:t>
      </w:r>
      <w:r w:rsidRPr="00CE0CC0">
        <w:rPr>
          <w:rFonts w:ascii="Arial" w:eastAsia="Times New Roman" w:hAnsi="Arial"/>
          <w:i/>
          <w:iCs/>
          <w:color w:val="auto"/>
          <w:sz w:val="18"/>
          <w:szCs w:val="18"/>
          <w:lang w:eastAsia="en-AU"/>
        </w:rPr>
        <w:t>n =</w:t>
      </w:r>
      <w:r w:rsidRPr="00CE0CC0">
        <w:rPr>
          <w:rFonts w:ascii="Arial" w:eastAsia="Times New Roman" w:hAnsi="Arial"/>
          <w:color w:val="auto"/>
          <w:sz w:val="18"/>
          <w:szCs w:val="18"/>
          <w:lang w:eastAsia="en-AU"/>
        </w:rPr>
        <w:t xml:space="preserve"> 525)</w:t>
      </w:r>
    </w:p>
    <w:p w14:paraId="6BC8E0FE" w14:textId="357D19BC" w:rsidR="00146F42" w:rsidRDefault="00CE0CC0" w:rsidP="00146F42">
      <w:pPr>
        <w:widowControl w:val="0"/>
        <w:autoSpaceDE w:val="0"/>
        <w:autoSpaceDN w:val="0"/>
        <w:spacing w:after="0" w:line="276" w:lineRule="auto"/>
        <w:ind w:right="-1"/>
        <w:rPr>
          <w:rFonts w:ascii="Arial" w:eastAsia="Arial" w:hAnsi="Arial" w:cs="Arial"/>
          <w:color w:val="auto"/>
          <w:sz w:val="18"/>
          <w:szCs w:val="18"/>
          <w:lang w:val="en-US"/>
        </w:rPr>
      </w:pPr>
      <w:r w:rsidRPr="00CE0CC0">
        <w:rPr>
          <w:rFonts w:ascii="Arial" w:eastAsia="Arial" w:hAnsi="Arial" w:cs="Arial"/>
          <w:color w:val="auto"/>
          <w:sz w:val="18"/>
          <w:szCs w:val="18"/>
          <w:lang w:val="en-US"/>
        </w:rPr>
        <w:t>Notes</w:t>
      </w:r>
      <w:r w:rsidRPr="00CE0CC0">
        <w:rPr>
          <w:rFonts w:ascii="Arial" w:eastAsia="Arial" w:hAnsi="Arial" w:cs="Arial"/>
          <w:b/>
          <w:bCs/>
          <w:color w:val="auto"/>
          <w:sz w:val="18"/>
          <w:szCs w:val="18"/>
          <w:lang w:val="en-US"/>
        </w:rPr>
        <w:t>:</w:t>
      </w:r>
      <w:r w:rsidRPr="00CE0CC0">
        <w:rPr>
          <w:rFonts w:ascii="Arial" w:eastAsia="Arial" w:hAnsi="Arial" w:cs="Arial"/>
          <w:color w:val="auto"/>
          <w:lang w:val="en-US"/>
        </w:rPr>
        <w:t xml:space="preserve"> </w:t>
      </w:r>
      <w:r w:rsidRPr="00CE0CC0">
        <w:rPr>
          <w:rFonts w:ascii="Arial" w:eastAsia="Arial" w:hAnsi="Arial" w:cs="Arial"/>
          <w:color w:val="auto"/>
          <w:sz w:val="18"/>
          <w:szCs w:val="18"/>
          <w:lang w:val="en-US"/>
        </w:rPr>
        <w:t>Non-principal diagnosis COF1: A condition that has arisen during the episode of admitted care that woul</w:t>
      </w:r>
      <w:r w:rsidR="00146F42">
        <w:rPr>
          <w:rFonts w:ascii="Arial" w:eastAsia="Arial" w:hAnsi="Arial" w:cs="Arial"/>
          <w:color w:val="auto"/>
          <w:sz w:val="18"/>
          <w:szCs w:val="18"/>
          <w:lang w:val="en-US"/>
        </w:rPr>
        <w:t>d</w:t>
      </w:r>
    </w:p>
    <w:p w14:paraId="5F25F666" w14:textId="3831DBC5" w:rsidR="00CE0CC0" w:rsidRPr="00CE0CC0" w:rsidRDefault="00CE0CC0" w:rsidP="00146F42">
      <w:pPr>
        <w:widowControl w:val="0"/>
        <w:autoSpaceDE w:val="0"/>
        <w:autoSpaceDN w:val="0"/>
        <w:spacing w:after="0" w:line="276" w:lineRule="auto"/>
        <w:ind w:left="454" w:right="-1" w:firstLine="227"/>
        <w:rPr>
          <w:rFonts w:ascii="Arial" w:eastAsia="Arial" w:hAnsi="Arial" w:cs="Arial"/>
          <w:color w:val="auto"/>
          <w:sz w:val="18"/>
          <w:szCs w:val="18"/>
          <w:lang w:val="en-US"/>
        </w:rPr>
      </w:pPr>
      <w:r w:rsidRPr="00CE0CC0">
        <w:rPr>
          <w:rFonts w:ascii="Arial" w:eastAsia="Arial" w:hAnsi="Arial" w:cs="Arial"/>
          <w:color w:val="auto"/>
          <w:sz w:val="18"/>
          <w:szCs w:val="18"/>
          <w:lang w:val="en-US"/>
        </w:rPr>
        <w:t>not have been present or suspected on admission.</w:t>
      </w:r>
      <w:r w:rsidRPr="00CE0CC0">
        <w:rPr>
          <w:rFonts w:ascii="Arial" w:eastAsia="Arial" w:hAnsi="Arial" w:cs="Arial"/>
          <w:color w:val="auto"/>
          <w:sz w:val="18"/>
          <w:szCs w:val="18"/>
          <w:lang w:val="en-US"/>
        </w:rPr>
        <w:fldChar w:fldCharType="begin"/>
      </w:r>
      <w:r w:rsidRPr="00CE0CC0">
        <w:rPr>
          <w:rFonts w:ascii="Arial" w:eastAsia="Arial" w:hAnsi="Arial" w:cs="Arial"/>
          <w:color w:val="auto"/>
          <w:sz w:val="18"/>
          <w:szCs w:val="18"/>
          <w:lang w:val="en-US"/>
        </w:rPr>
        <w:instrText xml:space="preserve"> ADDIN EN.CITE &lt;EndNote&gt;&lt;Cite&gt;&lt;Author&gt;Australian Institute of Health and Welfare&lt;/Author&gt;&lt;Year&gt;2024&lt;/Year&gt;&lt;RecNum&gt;230&lt;/RecNum&gt;&lt;DisplayText&gt;&lt;style face="superscript"&gt;25&lt;/style&gt;&lt;/DisplayText&gt;&lt;record&gt;&lt;rec-number&gt;230&lt;/rec-number&gt;&lt;foreign-keys&gt;&lt;key app="EN" db-id="2rp0a5drxdefz3e2e5dptftled295z2r2ve2" timestamp="1728537393"&gt;230&lt;/key&gt;&lt;/foreign-keys&gt;&lt;ref-type name="Generic"&gt;13&lt;/ref-type&gt;&lt;contributors&gt;&lt;authors&gt;&lt;author&gt;Australian Institute of Health and Welfare,&lt;/author&gt;&lt;/authors&gt;&lt;/contributors&gt;&lt;titles&gt;&lt;title&gt;METEOR Metadata online registry.&amp;#xD;Episode of admitted patient care—condition onset flag, code N&lt;/title&gt;&lt;/titles&gt;&lt;number&gt;10 October 2024&lt;/number&gt;&lt;dates&gt;&lt;year&gt;2024&lt;/year&gt;&lt;/dates&gt;&lt;work-type&gt;web page&lt;/work-type&gt;&lt;urls&gt;&lt;related-urls&gt;&lt;url&gt;https://meteor.aihw.gov.au/content/354816&lt;/url&gt;&lt;/related-urls&gt;&lt;/urls&gt;&lt;custom2&gt;10 October 2024&lt;/custom2&gt;&lt;/record&gt;&lt;/Cite&gt;&lt;/EndNote&gt;</w:instrText>
      </w:r>
      <w:r w:rsidRPr="00CE0CC0">
        <w:rPr>
          <w:rFonts w:ascii="Arial" w:eastAsia="Arial" w:hAnsi="Arial" w:cs="Arial"/>
          <w:color w:val="auto"/>
          <w:sz w:val="18"/>
          <w:szCs w:val="18"/>
          <w:lang w:val="en-US"/>
        </w:rPr>
        <w:fldChar w:fldCharType="separate"/>
      </w:r>
      <w:r w:rsidRPr="00CE0CC0">
        <w:rPr>
          <w:rFonts w:ascii="Arial" w:eastAsia="Arial" w:hAnsi="Arial" w:cs="Arial"/>
          <w:noProof/>
          <w:color w:val="auto"/>
          <w:sz w:val="18"/>
          <w:szCs w:val="18"/>
          <w:vertAlign w:val="superscript"/>
          <w:lang w:val="en-US"/>
        </w:rPr>
        <w:t>25</w:t>
      </w:r>
      <w:r w:rsidRPr="00CE0CC0">
        <w:rPr>
          <w:rFonts w:ascii="Arial" w:eastAsia="Arial" w:hAnsi="Arial" w:cs="Arial"/>
          <w:color w:val="auto"/>
          <w:sz w:val="18"/>
          <w:szCs w:val="18"/>
          <w:lang w:val="en-US"/>
        </w:rPr>
        <w:fldChar w:fldCharType="end"/>
      </w:r>
      <w:r w:rsidRPr="00CE0CC0">
        <w:rPr>
          <w:rFonts w:ascii="Arial" w:eastAsia="Arial" w:hAnsi="Arial" w:cs="Arial"/>
          <w:color w:val="auto"/>
          <w:sz w:val="18"/>
          <w:szCs w:val="18"/>
          <w:vertAlign w:val="superscript"/>
          <w:lang w:val="en-US"/>
        </w:rPr>
        <w:t xml:space="preserve"> </w:t>
      </w:r>
    </w:p>
    <w:p w14:paraId="4E6A8696" w14:textId="77777777" w:rsidR="00CE0CC0" w:rsidRPr="00CE0CC0" w:rsidRDefault="00CE0CC0" w:rsidP="00146F42">
      <w:pPr>
        <w:widowControl w:val="0"/>
        <w:autoSpaceDE w:val="0"/>
        <w:autoSpaceDN w:val="0"/>
        <w:spacing w:after="240" w:line="276" w:lineRule="auto"/>
        <w:ind w:left="681" w:right="-1"/>
        <w:rPr>
          <w:rFonts w:ascii="Arial" w:eastAsia="Arial" w:hAnsi="Arial" w:cs="Arial"/>
          <w:color w:val="auto"/>
          <w:sz w:val="18"/>
          <w:szCs w:val="18"/>
          <w:lang w:val="en-US"/>
        </w:rPr>
      </w:pPr>
      <w:r w:rsidRPr="00CE0CC0">
        <w:rPr>
          <w:rFonts w:ascii="Arial" w:eastAsia="Arial" w:hAnsi="Arial" w:cs="Arial"/>
          <w:color w:val="auto"/>
          <w:sz w:val="18"/>
          <w:szCs w:val="18"/>
          <w:lang w:val="en-US"/>
        </w:rPr>
        <w:t>Non-principal diagnosis COF2: A condition previously existing or suspected on admission such as the presenting problem, a comorbidity or chronic disease.</w:t>
      </w:r>
      <w:r w:rsidRPr="00CE0CC0">
        <w:rPr>
          <w:rFonts w:ascii="Arial" w:eastAsia="Arial" w:hAnsi="Arial" w:cs="Arial"/>
          <w:color w:val="auto"/>
          <w:sz w:val="18"/>
          <w:szCs w:val="18"/>
          <w:lang w:val="en-US"/>
        </w:rPr>
        <w:fldChar w:fldCharType="begin"/>
      </w:r>
      <w:r w:rsidRPr="00CE0CC0">
        <w:rPr>
          <w:rFonts w:ascii="Arial" w:eastAsia="Arial" w:hAnsi="Arial" w:cs="Arial"/>
          <w:color w:val="auto"/>
          <w:sz w:val="18"/>
          <w:szCs w:val="18"/>
          <w:lang w:val="en-US"/>
        </w:rPr>
        <w:instrText xml:space="preserve"> ADDIN EN.CITE &lt;EndNote&gt;&lt;Cite&gt;&lt;Author&gt;Australian Institute of Health and Welfare&lt;/Author&gt;&lt;Year&gt;2024&lt;/Year&gt;&lt;RecNum&gt;230&lt;/RecNum&gt;&lt;DisplayText&gt;&lt;style face="superscript"&gt;25&lt;/style&gt;&lt;/DisplayText&gt;&lt;record&gt;&lt;rec-number&gt;230&lt;/rec-number&gt;&lt;foreign-keys&gt;&lt;key app="EN" db-id="2rp0a5drxdefz3e2e5dptftled295z2r2ve2" timestamp="1728537393"&gt;230&lt;/key&gt;&lt;/foreign-keys&gt;&lt;ref-type name="Generic"&gt;13&lt;/ref-type&gt;&lt;contributors&gt;&lt;authors&gt;&lt;author&gt;Australian Institute of Health and Welfare,&lt;/author&gt;&lt;/authors&gt;&lt;/contributors&gt;&lt;titles&gt;&lt;title&gt;METEOR Metadata online registry.&amp;#xD;Episode of admitted patient care—condition onset flag, code N&lt;/title&gt;&lt;/titles&gt;&lt;number&gt;10 October 2024&lt;/number&gt;&lt;dates&gt;&lt;year&gt;2024&lt;/year&gt;&lt;/dates&gt;&lt;work-type&gt;web page&lt;/work-type&gt;&lt;urls&gt;&lt;related-urls&gt;&lt;url&gt;https://meteor.aihw.gov.au/content/354816&lt;/url&gt;&lt;/related-urls&gt;&lt;/urls&gt;&lt;custom2&gt;10 October 2024&lt;/custom2&gt;&lt;/record&gt;&lt;/Cite&gt;&lt;/EndNote&gt;</w:instrText>
      </w:r>
      <w:r w:rsidRPr="00CE0CC0">
        <w:rPr>
          <w:rFonts w:ascii="Arial" w:eastAsia="Arial" w:hAnsi="Arial" w:cs="Arial"/>
          <w:color w:val="auto"/>
          <w:sz w:val="18"/>
          <w:szCs w:val="18"/>
          <w:lang w:val="en-US"/>
        </w:rPr>
        <w:fldChar w:fldCharType="separate"/>
      </w:r>
      <w:r w:rsidRPr="00CE0CC0">
        <w:rPr>
          <w:rFonts w:ascii="Arial" w:eastAsia="Arial" w:hAnsi="Arial" w:cs="Arial"/>
          <w:noProof/>
          <w:color w:val="auto"/>
          <w:sz w:val="18"/>
          <w:szCs w:val="18"/>
          <w:vertAlign w:val="superscript"/>
          <w:lang w:val="en-US"/>
        </w:rPr>
        <w:t>25</w:t>
      </w:r>
      <w:r w:rsidRPr="00CE0CC0">
        <w:rPr>
          <w:rFonts w:ascii="Arial" w:eastAsia="Arial" w:hAnsi="Arial" w:cs="Arial"/>
          <w:color w:val="auto"/>
          <w:sz w:val="18"/>
          <w:szCs w:val="18"/>
          <w:lang w:val="en-US"/>
        </w:rPr>
        <w:fldChar w:fldCharType="end"/>
      </w:r>
      <w:r w:rsidRPr="00CE0CC0">
        <w:rPr>
          <w:rFonts w:ascii="Arial" w:eastAsia="Arial" w:hAnsi="Arial" w:cs="Arial"/>
          <w:color w:val="auto"/>
          <w:sz w:val="18"/>
          <w:szCs w:val="18"/>
          <w:lang w:val="en-US"/>
        </w:rPr>
        <w:t xml:space="preserve"> </w:t>
      </w:r>
    </w:p>
    <w:p w14:paraId="67E1F278" w14:textId="77777777" w:rsidR="00CC61A9" w:rsidRDefault="00CC61A9" w:rsidP="002F6516">
      <w:pPr>
        <w:rPr>
          <w:lang w:eastAsia="en-AU"/>
        </w:rPr>
      </w:pPr>
    </w:p>
    <w:p w14:paraId="0E9FFA08" w14:textId="2DECF03B" w:rsidR="007744C9" w:rsidRDefault="00CE0CC0" w:rsidP="00CC61A9">
      <w:pPr>
        <w:pStyle w:val="Heading3"/>
        <w:spacing w:line="276" w:lineRule="auto"/>
        <w:rPr>
          <w:rFonts w:ascii="Arial" w:eastAsia="Times New Roman" w:hAnsi="Arial"/>
          <w:b w:val="0"/>
          <w:sz w:val="22"/>
          <w:lang w:eastAsia="en-AU"/>
        </w:rPr>
      </w:pPr>
      <w:r w:rsidRPr="002F6516">
        <w:rPr>
          <w:rFonts w:ascii="Arial" w:eastAsia="Times New Roman" w:hAnsi="Arial"/>
          <w:bCs/>
          <w:sz w:val="22"/>
          <w:lang w:eastAsia="en-AU"/>
        </w:rPr>
        <w:t>Table 1</w:t>
      </w:r>
      <w:r w:rsidRPr="00CE0CC0">
        <w:rPr>
          <w:rFonts w:ascii="Arial" w:eastAsia="Times New Roman" w:hAnsi="Arial"/>
          <w:b w:val="0"/>
          <w:sz w:val="22"/>
          <w:lang w:eastAsia="en-AU"/>
        </w:rPr>
        <w:t xml:space="preserve"> shows the average yearly rate of separations with pre-existing CDI symptoms since 2016. There was little change in the number of separations with pre-existing CDI symptoms from 2017 to 2020. Separations with pre-existing CDI symptoms increased by 12.83% from 2021 to 2022 and decreased by 8.01% from 2022 to 2023</w:t>
      </w:r>
      <w:r>
        <w:rPr>
          <w:rFonts w:ascii="Arial" w:eastAsia="Times New Roman" w:hAnsi="Arial"/>
          <w:b w:val="0"/>
          <w:sz w:val="22"/>
          <w:lang w:eastAsia="en-AU"/>
        </w:rPr>
        <w:t>.</w:t>
      </w:r>
    </w:p>
    <w:p w14:paraId="7D0C8336" w14:textId="77777777" w:rsidR="00CC61A9" w:rsidRDefault="00CC61A9" w:rsidP="00CC61A9">
      <w:pPr>
        <w:rPr>
          <w:lang w:eastAsia="en-AU"/>
        </w:rPr>
      </w:pPr>
    </w:p>
    <w:p w14:paraId="3B7343EB" w14:textId="77777777" w:rsidR="00CC61A9" w:rsidRDefault="00CC61A9" w:rsidP="00CC61A9">
      <w:pPr>
        <w:rPr>
          <w:lang w:eastAsia="en-AU"/>
        </w:rPr>
      </w:pPr>
    </w:p>
    <w:p w14:paraId="6A6B0598" w14:textId="77777777" w:rsidR="00CC61A9" w:rsidRPr="00CC61A9" w:rsidRDefault="00CC61A9" w:rsidP="00CC61A9">
      <w:pPr>
        <w:rPr>
          <w:lang w:eastAsia="en-AU"/>
        </w:rPr>
      </w:pPr>
    </w:p>
    <w:p w14:paraId="625C8432" w14:textId="465FC6C3" w:rsidR="00146F42" w:rsidRPr="00146F42" w:rsidRDefault="00146F42" w:rsidP="002F6516">
      <w:pPr>
        <w:pStyle w:val="Tablecaption"/>
        <w:ind w:left="0"/>
        <w:rPr>
          <w:szCs w:val="24"/>
          <w:lang w:eastAsia="en-AU"/>
        </w:rPr>
      </w:pPr>
      <w:r w:rsidRPr="00146F42">
        <w:rPr>
          <w:b/>
          <w:bCs/>
          <w:lang w:eastAsia="en-AU"/>
        </w:rPr>
        <w:lastRenderedPageBreak/>
        <w:t>Table 1</w:t>
      </w:r>
      <w:r w:rsidR="00830A7A">
        <w:rPr>
          <w:b/>
          <w:bCs/>
          <w:lang w:eastAsia="en-AU"/>
        </w:rPr>
        <w:t>.</w:t>
      </w:r>
      <w:r w:rsidRPr="00146F42">
        <w:rPr>
          <w:lang w:eastAsia="en-AU"/>
        </w:rPr>
        <w:t xml:space="preserve"> Average yearly rate of separations with pre-existing CDI (A04.7), 2016</w:t>
      </w:r>
      <w:r w:rsidRPr="00146F42">
        <w:rPr>
          <w:rFonts w:cs="Arial"/>
          <w:lang w:eastAsia="en-AU"/>
        </w:rPr>
        <w:t>−</w:t>
      </w:r>
      <w:r w:rsidRPr="00146F42">
        <w:rPr>
          <w:lang w:eastAsia="en-AU"/>
        </w:rPr>
        <w:t xml:space="preserve">2023 </w:t>
      </w:r>
    </w:p>
    <w:tbl>
      <w:tblPr>
        <w:tblStyle w:val="SQHTable"/>
        <w:tblW w:w="9356" w:type="dxa"/>
        <w:tblLook w:val="04A0" w:firstRow="1" w:lastRow="0" w:firstColumn="1" w:lastColumn="0" w:noHBand="0" w:noVBand="1"/>
      </w:tblPr>
      <w:tblGrid>
        <w:gridCol w:w="3236"/>
        <w:gridCol w:w="6120"/>
      </w:tblGrid>
      <w:tr w:rsidR="00146F42" w:rsidRPr="00146F42" w14:paraId="14A84824" w14:textId="77777777" w:rsidTr="002F6516">
        <w:trPr>
          <w:cnfStyle w:val="100000000000" w:firstRow="1" w:lastRow="0" w:firstColumn="0" w:lastColumn="0" w:oddVBand="0" w:evenVBand="0" w:oddHBand="0" w:evenHBand="0" w:firstRowFirstColumn="0" w:firstRowLastColumn="0" w:lastRowFirstColumn="0" w:lastRowLastColumn="0"/>
          <w:trHeight w:val="567"/>
        </w:trPr>
        <w:tc>
          <w:tcPr>
            <w:tcW w:w="0" w:type="dxa"/>
            <w:vAlign w:val="center"/>
          </w:tcPr>
          <w:p w14:paraId="1D9EBC02" w14:textId="7C788406" w:rsidR="00146F42" w:rsidRPr="00146F42" w:rsidRDefault="00146F42" w:rsidP="00830A7A">
            <w:pPr>
              <w:rPr>
                <w:szCs w:val="20"/>
                <w:lang w:eastAsia="en-AU"/>
              </w:rPr>
            </w:pPr>
            <w:r w:rsidRPr="00146F42">
              <w:rPr>
                <w:szCs w:val="20"/>
                <w:lang w:eastAsia="en-AU"/>
              </w:rPr>
              <w:t>Year</w:t>
            </w:r>
          </w:p>
        </w:tc>
        <w:tc>
          <w:tcPr>
            <w:tcW w:w="0" w:type="dxa"/>
            <w:vAlign w:val="center"/>
          </w:tcPr>
          <w:p w14:paraId="6D9F55B7" w14:textId="66464B82" w:rsidR="00146F42" w:rsidRPr="00146F42" w:rsidRDefault="00146F42" w:rsidP="00830A7A">
            <w:pPr>
              <w:rPr>
                <w:szCs w:val="20"/>
                <w:lang w:eastAsia="en-AU"/>
              </w:rPr>
            </w:pPr>
            <w:r w:rsidRPr="00146F42">
              <w:rPr>
                <w:szCs w:val="20"/>
                <w:lang w:eastAsia="en-AU"/>
              </w:rPr>
              <w:t>Average rate of CDI per 10,000 patient bed days</w:t>
            </w:r>
          </w:p>
        </w:tc>
      </w:tr>
      <w:tr w:rsidR="00146F42" w:rsidRPr="00146F42" w14:paraId="6F9BB2E7" w14:textId="77777777" w:rsidTr="002F6516">
        <w:trPr>
          <w:trHeight w:val="397"/>
        </w:trPr>
        <w:tc>
          <w:tcPr>
            <w:tcW w:w="0" w:type="dxa"/>
            <w:vAlign w:val="center"/>
          </w:tcPr>
          <w:p w14:paraId="16E44DE5" w14:textId="0958BBC9" w:rsidR="00146F42" w:rsidRPr="00146F42" w:rsidRDefault="00146F42" w:rsidP="00CC61A9">
            <w:pPr>
              <w:rPr>
                <w:szCs w:val="20"/>
                <w:lang w:eastAsia="en-AU"/>
              </w:rPr>
            </w:pPr>
            <w:r w:rsidRPr="00146F42">
              <w:rPr>
                <w:szCs w:val="20"/>
                <w:lang w:eastAsia="en-AU"/>
              </w:rPr>
              <w:t>2016</w:t>
            </w:r>
          </w:p>
        </w:tc>
        <w:tc>
          <w:tcPr>
            <w:tcW w:w="0" w:type="dxa"/>
            <w:vAlign w:val="center"/>
          </w:tcPr>
          <w:p w14:paraId="4F8D023D" w14:textId="35069A9E" w:rsidR="00146F42" w:rsidRPr="00146F42" w:rsidRDefault="00146F42" w:rsidP="00CC61A9">
            <w:pPr>
              <w:rPr>
                <w:szCs w:val="20"/>
                <w:lang w:eastAsia="en-AU"/>
              </w:rPr>
            </w:pPr>
            <w:r w:rsidRPr="00146F42">
              <w:rPr>
                <w:szCs w:val="20"/>
              </w:rPr>
              <w:t>2.92 separations per 10,000 patient bed days (</w:t>
            </w:r>
            <w:r w:rsidRPr="00146F42">
              <w:rPr>
                <w:i/>
                <w:iCs/>
                <w:szCs w:val="20"/>
              </w:rPr>
              <w:t>n =</w:t>
            </w:r>
            <w:r w:rsidRPr="00146F42">
              <w:rPr>
                <w:szCs w:val="20"/>
              </w:rPr>
              <w:t xml:space="preserve"> 5,243)</w:t>
            </w:r>
          </w:p>
        </w:tc>
      </w:tr>
      <w:tr w:rsidR="00146F42" w:rsidRPr="00146F42" w14:paraId="73B8458D" w14:textId="77777777" w:rsidTr="002F6516">
        <w:trPr>
          <w:cnfStyle w:val="000000010000" w:firstRow="0" w:lastRow="0" w:firstColumn="0" w:lastColumn="0" w:oddVBand="0" w:evenVBand="0" w:oddHBand="0" w:evenHBand="1" w:firstRowFirstColumn="0" w:firstRowLastColumn="0" w:lastRowFirstColumn="0" w:lastRowLastColumn="0"/>
          <w:trHeight w:val="397"/>
        </w:trPr>
        <w:tc>
          <w:tcPr>
            <w:tcW w:w="0" w:type="dxa"/>
            <w:vAlign w:val="center"/>
          </w:tcPr>
          <w:p w14:paraId="432B3277" w14:textId="2CC43ABB" w:rsidR="00146F42" w:rsidRPr="00146F42" w:rsidRDefault="00146F42" w:rsidP="00CC61A9">
            <w:pPr>
              <w:rPr>
                <w:szCs w:val="20"/>
                <w:lang w:eastAsia="en-AU"/>
              </w:rPr>
            </w:pPr>
            <w:r w:rsidRPr="00146F42">
              <w:rPr>
                <w:szCs w:val="20"/>
                <w:lang w:eastAsia="en-AU"/>
              </w:rPr>
              <w:t>2017</w:t>
            </w:r>
          </w:p>
        </w:tc>
        <w:tc>
          <w:tcPr>
            <w:tcW w:w="0" w:type="dxa"/>
            <w:vAlign w:val="center"/>
          </w:tcPr>
          <w:p w14:paraId="6B3BE475" w14:textId="7ABBA161" w:rsidR="00146F42" w:rsidRPr="00146F42" w:rsidRDefault="00146F42" w:rsidP="00CC61A9">
            <w:pPr>
              <w:rPr>
                <w:szCs w:val="20"/>
                <w:lang w:eastAsia="en-AU"/>
              </w:rPr>
            </w:pPr>
            <w:r w:rsidRPr="00146F42">
              <w:rPr>
                <w:szCs w:val="20"/>
              </w:rPr>
              <w:t>2.95 separations per 10,000 patient bed days (</w:t>
            </w:r>
            <w:r w:rsidRPr="00146F42">
              <w:rPr>
                <w:i/>
                <w:iCs/>
                <w:szCs w:val="20"/>
              </w:rPr>
              <w:t>n =</w:t>
            </w:r>
            <w:r w:rsidRPr="00146F42">
              <w:rPr>
                <w:szCs w:val="20"/>
              </w:rPr>
              <w:t xml:space="preserve"> 6,094</w:t>
            </w:r>
          </w:p>
        </w:tc>
      </w:tr>
      <w:tr w:rsidR="00146F42" w:rsidRPr="00146F42" w14:paraId="67D65835" w14:textId="77777777" w:rsidTr="002F6516">
        <w:trPr>
          <w:trHeight w:val="397"/>
        </w:trPr>
        <w:tc>
          <w:tcPr>
            <w:tcW w:w="0" w:type="dxa"/>
            <w:vAlign w:val="center"/>
          </w:tcPr>
          <w:p w14:paraId="7F512589" w14:textId="04DFB179" w:rsidR="00146F42" w:rsidRPr="00146F42" w:rsidRDefault="00146F42" w:rsidP="00CC61A9">
            <w:pPr>
              <w:rPr>
                <w:szCs w:val="20"/>
                <w:lang w:eastAsia="en-AU"/>
              </w:rPr>
            </w:pPr>
            <w:r w:rsidRPr="00146F42">
              <w:rPr>
                <w:szCs w:val="20"/>
                <w:lang w:eastAsia="en-AU"/>
              </w:rPr>
              <w:t>2018</w:t>
            </w:r>
          </w:p>
        </w:tc>
        <w:tc>
          <w:tcPr>
            <w:tcW w:w="0" w:type="dxa"/>
            <w:vAlign w:val="center"/>
          </w:tcPr>
          <w:p w14:paraId="6719E796" w14:textId="13E9EF38" w:rsidR="00146F42" w:rsidRPr="00146F42" w:rsidRDefault="00146F42" w:rsidP="00CC61A9">
            <w:pPr>
              <w:rPr>
                <w:szCs w:val="20"/>
                <w:lang w:eastAsia="en-AU"/>
              </w:rPr>
            </w:pPr>
            <w:r w:rsidRPr="00146F42">
              <w:rPr>
                <w:szCs w:val="20"/>
              </w:rPr>
              <w:t>3.18 separations per 10,000 patient bed days (</w:t>
            </w:r>
            <w:r w:rsidRPr="00146F42">
              <w:rPr>
                <w:i/>
                <w:iCs/>
                <w:szCs w:val="20"/>
              </w:rPr>
              <w:t xml:space="preserve">n = </w:t>
            </w:r>
            <w:r w:rsidRPr="00146F42">
              <w:rPr>
                <w:szCs w:val="20"/>
              </w:rPr>
              <w:t>6,664)</w:t>
            </w:r>
          </w:p>
        </w:tc>
      </w:tr>
      <w:tr w:rsidR="00146F42" w:rsidRPr="00146F42" w14:paraId="34DDE394" w14:textId="77777777" w:rsidTr="002F6516">
        <w:trPr>
          <w:cnfStyle w:val="000000010000" w:firstRow="0" w:lastRow="0" w:firstColumn="0" w:lastColumn="0" w:oddVBand="0" w:evenVBand="0" w:oddHBand="0" w:evenHBand="1" w:firstRowFirstColumn="0" w:firstRowLastColumn="0" w:lastRowFirstColumn="0" w:lastRowLastColumn="0"/>
          <w:trHeight w:val="397"/>
        </w:trPr>
        <w:tc>
          <w:tcPr>
            <w:tcW w:w="0" w:type="dxa"/>
            <w:vAlign w:val="center"/>
          </w:tcPr>
          <w:p w14:paraId="2502C69E" w14:textId="44506AE1" w:rsidR="00146F42" w:rsidRPr="00146F42" w:rsidRDefault="00146F42" w:rsidP="00CC61A9">
            <w:pPr>
              <w:rPr>
                <w:szCs w:val="20"/>
                <w:lang w:eastAsia="en-AU"/>
              </w:rPr>
            </w:pPr>
            <w:r w:rsidRPr="00146F42">
              <w:rPr>
                <w:szCs w:val="20"/>
                <w:lang w:eastAsia="en-AU"/>
              </w:rPr>
              <w:t>2019</w:t>
            </w:r>
          </w:p>
        </w:tc>
        <w:tc>
          <w:tcPr>
            <w:tcW w:w="0" w:type="dxa"/>
            <w:vAlign w:val="center"/>
          </w:tcPr>
          <w:p w14:paraId="768A5B4F" w14:textId="7309B041" w:rsidR="00146F42" w:rsidRPr="00146F42" w:rsidRDefault="00146F42" w:rsidP="00CC61A9">
            <w:pPr>
              <w:rPr>
                <w:szCs w:val="20"/>
                <w:lang w:eastAsia="en-AU"/>
              </w:rPr>
            </w:pPr>
            <w:r w:rsidRPr="00146F42">
              <w:rPr>
                <w:szCs w:val="20"/>
              </w:rPr>
              <w:t>3.19 separations per 10,000 patient bed days (</w:t>
            </w:r>
            <w:r w:rsidRPr="00146F42">
              <w:rPr>
                <w:i/>
                <w:iCs/>
                <w:szCs w:val="20"/>
              </w:rPr>
              <w:t>n =</w:t>
            </w:r>
            <w:r w:rsidRPr="00146F42">
              <w:rPr>
                <w:szCs w:val="20"/>
              </w:rPr>
              <w:t xml:space="preserve"> 6,887)</w:t>
            </w:r>
          </w:p>
        </w:tc>
      </w:tr>
      <w:tr w:rsidR="00146F42" w:rsidRPr="00146F42" w14:paraId="18709D1F" w14:textId="77777777" w:rsidTr="002F6516">
        <w:trPr>
          <w:trHeight w:val="397"/>
        </w:trPr>
        <w:tc>
          <w:tcPr>
            <w:tcW w:w="0" w:type="dxa"/>
            <w:vAlign w:val="center"/>
          </w:tcPr>
          <w:p w14:paraId="78505C67" w14:textId="5920AAF7" w:rsidR="00146F42" w:rsidRPr="00146F42" w:rsidRDefault="00146F42" w:rsidP="00CC61A9">
            <w:pPr>
              <w:rPr>
                <w:szCs w:val="20"/>
                <w:lang w:eastAsia="en-AU"/>
              </w:rPr>
            </w:pPr>
            <w:r w:rsidRPr="00146F42">
              <w:rPr>
                <w:szCs w:val="20"/>
                <w:lang w:eastAsia="en-AU"/>
              </w:rPr>
              <w:t>2020</w:t>
            </w:r>
          </w:p>
        </w:tc>
        <w:tc>
          <w:tcPr>
            <w:tcW w:w="0" w:type="dxa"/>
            <w:vAlign w:val="center"/>
          </w:tcPr>
          <w:p w14:paraId="3DF5C418" w14:textId="20846BF9" w:rsidR="00146F42" w:rsidRPr="00146F42" w:rsidRDefault="00146F42" w:rsidP="00CC61A9">
            <w:pPr>
              <w:rPr>
                <w:szCs w:val="20"/>
                <w:lang w:eastAsia="en-AU"/>
              </w:rPr>
            </w:pPr>
            <w:r w:rsidRPr="00146F42">
              <w:rPr>
                <w:szCs w:val="20"/>
              </w:rPr>
              <w:t>3.22 separations per 10,000 patient bed days (</w:t>
            </w:r>
            <w:r w:rsidRPr="00146F42">
              <w:rPr>
                <w:i/>
                <w:iCs/>
                <w:szCs w:val="20"/>
              </w:rPr>
              <w:t>n =</w:t>
            </w:r>
            <w:r w:rsidRPr="00146F42">
              <w:rPr>
                <w:szCs w:val="20"/>
              </w:rPr>
              <w:t xml:space="preserve"> 6,630)</w:t>
            </w:r>
          </w:p>
        </w:tc>
      </w:tr>
      <w:tr w:rsidR="00146F42" w:rsidRPr="00146F42" w14:paraId="19D9FCEC" w14:textId="77777777" w:rsidTr="002F6516">
        <w:trPr>
          <w:cnfStyle w:val="000000010000" w:firstRow="0" w:lastRow="0" w:firstColumn="0" w:lastColumn="0" w:oddVBand="0" w:evenVBand="0" w:oddHBand="0" w:evenHBand="1" w:firstRowFirstColumn="0" w:firstRowLastColumn="0" w:lastRowFirstColumn="0" w:lastRowLastColumn="0"/>
          <w:trHeight w:val="397"/>
        </w:trPr>
        <w:tc>
          <w:tcPr>
            <w:tcW w:w="0" w:type="dxa"/>
            <w:vAlign w:val="center"/>
          </w:tcPr>
          <w:p w14:paraId="2ECDBAD9" w14:textId="08C6F1A4" w:rsidR="00146F42" w:rsidRPr="00146F42" w:rsidRDefault="00146F42" w:rsidP="00CC61A9">
            <w:pPr>
              <w:rPr>
                <w:szCs w:val="20"/>
                <w:lang w:eastAsia="en-AU"/>
              </w:rPr>
            </w:pPr>
            <w:r w:rsidRPr="00146F42">
              <w:rPr>
                <w:szCs w:val="20"/>
                <w:lang w:eastAsia="en-AU"/>
              </w:rPr>
              <w:t>2021</w:t>
            </w:r>
          </w:p>
        </w:tc>
        <w:tc>
          <w:tcPr>
            <w:tcW w:w="0" w:type="dxa"/>
            <w:vAlign w:val="center"/>
          </w:tcPr>
          <w:p w14:paraId="2585D21A" w14:textId="4B950F64" w:rsidR="00146F42" w:rsidRPr="00146F42" w:rsidRDefault="00146F42" w:rsidP="00CC61A9">
            <w:pPr>
              <w:rPr>
                <w:szCs w:val="20"/>
                <w:lang w:eastAsia="en-AU"/>
              </w:rPr>
            </w:pPr>
            <w:r w:rsidRPr="00146F42">
              <w:rPr>
                <w:szCs w:val="20"/>
              </w:rPr>
              <w:t>3.89 separations per 10,000 patient bed days (</w:t>
            </w:r>
            <w:r w:rsidRPr="00146F42">
              <w:rPr>
                <w:i/>
                <w:iCs/>
                <w:szCs w:val="20"/>
              </w:rPr>
              <w:t>n =</w:t>
            </w:r>
            <w:r w:rsidRPr="00146F42">
              <w:rPr>
                <w:szCs w:val="20"/>
              </w:rPr>
              <w:t xml:space="preserve"> 8,499)</w:t>
            </w:r>
          </w:p>
        </w:tc>
      </w:tr>
      <w:tr w:rsidR="00146F42" w:rsidRPr="00146F42" w14:paraId="19BD0A07" w14:textId="77777777" w:rsidTr="002F6516">
        <w:trPr>
          <w:trHeight w:val="397"/>
        </w:trPr>
        <w:tc>
          <w:tcPr>
            <w:tcW w:w="0" w:type="dxa"/>
            <w:vAlign w:val="center"/>
          </w:tcPr>
          <w:p w14:paraId="21ABC092" w14:textId="3C2ECB02" w:rsidR="00146F42" w:rsidRPr="00146F42" w:rsidRDefault="00146F42" w:rsidP="00CC61A9">
            <w:pPr>
              <w:rPr>
                <w:szCs w:val="20"/>
                <w:lang w:eastAsia="en-AU"/>
              </w:rPr>
            </w:pPr>
            <w:r w:rsidRPr="00146F42">
              <w:rPr>
                <w:szCs w:val="20"/>
                <w:lang w:eastAsia="en-AU"/>
              </w:rPr>
              <w:t>2022</w:t>
            </w:r>
          </w:p>
        </w:tc>
        <w:tc>
          <w:tcPr>
            <w:tcW w:w="0" w:type="dxa"/>
            <w:vAlign w:val="center"/>
          </w:tcPr>
          <w:p w14:paraId="55077269" w14:textId="2E0C65E5" w:rsidR="00146F42" w:rsidRPr="00146F42" w:rsidRDefault="00146F42" w:rsidP="00CC61A9">
            <w:pPr>
              <w:rPr>
                <w:szCs w:val="20"/>
                <w:lang w:eastAsia="en-AU"/>
              </w:rPr>
            </w:pPr>
            <w:r w:rsidRPr="00146F42">
              <w:rPr>
                <w:spacing w:val="-4"/>
                <w:szCs w:val="20"/>
              </w:rPr>
              <w:t xml:space="preserve">4.26 </w:t>
            </w:r>
            <w:r w:rsidRPr="00146F42">
              <w:rPr>
                <w:szCs w:val="20"/>
              </w:rPr>
              <w:t>separations per 10,000</w:t>
            </w:r>
            <w:r w:rsidRPr="00146F42">
              <w:rPr>
                <w:spacing w:val="-2"/>
                <w:szCs w:val="20"/>
              </w:rPr>
              <w:t xml:space="preserve"> patient </w:t>
            </w:r>
            <w:r w:rsidRPr="00146F42">
              <w:rPr>
                <w:szCs w:val="20"/>
              </w:rPr>
              <w:t>bed</w:t>
            </w:r>
            <w:r w:rsidRPr="00146F42">
              <w:rPr>
                <w:spacing w:val="-2"/>
                <w:szCs w:val="20"/>
              </w:rPr>
              <w:t xml:space="preserve"> </w:t>
            </w:r>
            <w:r w:rsidRPr="00146F42">
              <w:rPr>
                <w:szCs w:val="20"/>
              </w:rPr>
              <w:t>days (</w:t>
            </w:r>
            <w:r w:rsidRPr="00146F42">
              <w:rPr>
                <w:i/>
                <w:iCs/>
                <w:szCs w:val="20"/>
              </w:rPr>
              <w:t>n</w:t>
            </w:r>
            <w:r w:rsidRPr="00146F42">
              <w:rPr>
                <w:szCs w:val="20"/>
              </w:rPr>
              <w:t xml:space="preserve"> = 9,589)</w:t>
            </w:r>
          </w:p>
        </w:tc>
      </w:tr>
      <w:tr w:rsidR="00146F42" w:rsidRPr="00146F42" w14:paraId="14D46616" w14:textId="77777777" w:rsidTr="002F6516">
        <w:trPr>
          <w:cnfStyle w:val="000000010000" w:firstRow="0" w:lastRow="0" w:firstColumn="0" w:lastColumn="0" w:oddVBand="0" w:evenVBand="0" w:oddHBand="0" w:evenHBand="1" w:firstRowFirstColumn="0" w:firstRowLastColumn="0" w:lastRowFirstColumn="0" w:lastRowLastColumn="0"/>
          <w:trHeight w:val="397"/>
        </w:trPr>
        <w:tc>
          <w:tcPr>
            <w:tcW w:w="0" w:type="dxa"/>
            <w:vAlign w:val="center"/>
          </w:tcPr>
          <w:p w14:paraId="413719E8" w14:textId="2A7565CD" w:rsidR="00146F42" w:rsidRPr="00146F42" w:rsidRDefault="00146F42" w:rsidP="00CC61A9">
            <w:pPr>
              <w:rPr>
                <w:szCs w:val="20"/>
                <w:lang w:eastAsia="en-AU"/>
              </w:rPr>
            </w:pPr>
            <w:r w:rsidRPr="00146F42">
              <w:rPr>
                <w:szCs w:val="20"/>
                <w:lang w:eastAsia="en-AU"/>
              </w:rPr>
              <w:t>2023</w:t>
            </w:r>
          </w:p>
        </w:tc>
        <w:tc>
          <w:tcPr>
            <w:tcW w:w="0" w:type="dxa"/>
            <w:vAlign w:val="center"/>
          </w:tcPr>
          <w:p w14:paraId="79E9AE66" w14:textId="5EAED5A6" w:rsidR="00146F42" w:rsidRPr="00146F42" w:rsidRDefault="00146F42" w:rsidP="00CC61A9">
            <w:pPr>
              <w:rPr>
                <w:szCs w:val="20"/>
                <w:lang w:eastAsia="en-AU"/>
              </w:rPr>
            </w:pPr>
            <w:r w:rsidRPr="00146F42">
              <w:rPr>
                <w:spacing w:val="-4"/>
                <w:szCs w:val="20"/>
              </w:rPr>
              <w:t>3</w:t>
            </w:r>
            <w:r w:rsidRPr="00146F42">
              <w:rPr>
                <w:szCs w:val="20"/>
              </w:rPr>
              <w:t>.77 separations per 10,000 patient bed days (</w:t>
            </w:r>
            <w:r w:rsidRPr="00146F42">
              <w:rPr>
                <w:i/>
                <w:iCs/>
                <w:szCs w:val="20"/>
              </w:rPr>
              <w:t xml:space="preserve">n </w:t>
            </w:r>
            <w:r w:rsidRPr="00146F42">
              <w:rPr>
                <w:szCs w:val="20"/>
              </w:rPr>
              <w:t>= 8,821)</w:t>
            </w:r>
          </w:p>
        </w:tc>
      </w:tr>
    </w:tbl>
    <w:p w14:paraId="7ED7DEEE" w14:textId="070D084A" w:rsidR="00CE0CC0" w:rsidRPr="00CE0CC0" w:rsidRDefault="00146F42" w:rsidP="001F523A">
      <w:pPr>
        <w:pStyle w:val="Heading2"/>
        <w:rPr>
          <w:lang w:eastAsia="en-AU"/>
        </w:rPr>
      </w:pPr>
      <w:bookmarkStart w:id="26" w:name="_Toc205909366"/>
      <w:r w:rsidRPr="007E07A9">
        <w:rPr>
          <w:lang w:eastAsia="en-AU"/>
        </w:rPr>
        <w:t>Separations in 2022 and 2023</w:t>
      </w:r>
      <w:bookmarkEnd w:id="26"/>
    </w:p>
    <w:p w14:paraId="13E4D7E2" w14:textId="77777777" w:rsidR="00146F42" w:rsidRPr="00146F42" w:rsidRDefault="00146F42" w:rsidP="00146F42">
      <w:pPr>
        <w:widowControl w:val="0"/>
        <w:autoSpaceDE w:val="0"/>
        <w:autoSpaceDN w:val="0"/>
        <w:spacing w:after="0" w:line="276" w:lineRule="auto"/>
        <w:rPr>
          <w:rFonts w:ascii="Arial" w:eastAsia="Arial" w:hAnsi="Arial" w:cs="Arial"/>
          <w:color w:val="auto"/>
          <w:lang w:val="en-US"/>
        </w:rPr>
      </w:pPr>
      <w:r w:rsidRPr="00146F42">
        <w:rPr>
          <w:rFonts w:ascii="Arial" w:eastAsia="Arial" w:hAnsi="Arial" w:cs="Arial"/>
          <w:color w:val="auto"/>
          <w:lang w:val="en-US"/>
        </w:rPr>
        <w:t>The total number of all separations from Australian public hospitals declined between 2021 (</w:t>
      </w:r>
      <w:r w:rsidRPr="00146F42">
        <w:rPr>
          <w:rFonts w:ascii="Arial" w:eastAsia="Arial" w:hAnsi="Arial" w:cs="Arial"/>
          <w:i/>
          <w:iCs/>
          <w:color w:val="auto"/>
          <w:lang w:val="en-US"/>
        </w:rPr>
        <w:t>n =</w:t>
      </w:r>
      <w:r w:rsidRPr="00146F42">
        <w:rPr>
          <w:rFonts w:ascii="Arial" w:eastAsia="Arial" w:hAnsi="Arial" w:cs="Arial"/>
          <w:color w:val="auto"/>
          <w:lang w:val="en-US"/>
        </w:rPr>
        <w:t xml:space="preserve"> 7,580,271) and 2022 (</w:t>
      </w:r>
      <w:r w:rsidRPr="00146F42">
        <w:rPr>
          <w:rFonts w:ascii="Arial" w:eastAsia="Arial" w:hAnsi="Arial" w:cs="Arial"/>
          <w:i/>
          <w:color w:val="auto"/>
          <w:lang w:val="en-US"/>
        </w:rPr>
        <w:t xml:space="preserve">n = </w:t>
      </w:r>
      <w:r w:rsidRPr="00146F42">
        <w:rPr>
          <w:rFonts w:ascii="Arial" w:eastAsia="Arial" w:hAnsi="Arial" w:cs="Arial"/>
          <w:color w:val="auto"/>
          <w:szCs w:val="24"/>
          <w:lang w:val="en-US"/>
        </w:rPr>
        <w:t xml:space="preserve">7,395,209) by 2.44%, but separations with a CDI diagnosis increased during this period (Table 2). By contrast, the total number of separations </w:t>
      </w:r>
      <w:r w:rsidRPr="00146F42">
        <w:rPr>
          <w:rFonts w:ascii="Arial" w:eastAsia="Arial" w:hAnsi="Arial" w:cs="Arial"/>
          <w:color w:val="auto"/>
          <w:lang w:val="en-US"/>
        </w:rPr>
        <w:t>increased by 5.85% from 2022 to 2023 (</w:t>
      </w:r>
      <w:r w:rsidRPr="00146F42">
        <w:rPr>
          <w:rFonts w:ascii="Arial" w:eastAsia="Arial" w:hAnsi="Arial" w:cs="Arial"/>
          <w:i/>
          <w:iCs/>
          <w:color w:val="auto"/>
          <w:lang w:val="en-US"/>
        </w:rPr>
        <w:t>n =</w:t>
      </w:r>
      <w:r w:rsidRPr="00146F42">
        <w:rPr>
          <w:rFonts w:ascii="Arial" w:eastAsia="Arial" w:hAnsi="Arial" w:cs="Arial"/>
          <w:color w:val="auto"/>
          <w:lang w:val="en-US"/>
        </w:rPr>
        <w:t xml:space="preserve"> 7,828,236) and separations with a CDI diagnosis decreased between 2022 and 2023. Table 2 provides a comparison of categories of separations with a CDI diagnosis between 2021, 2022 and 2023. </w:t>
      </w:r>
    </w:p>
    <w:p w14:paraId="14BD4168" w14:textId="77777777" w:rsidR="00D603E6" w:rsidRDefault="00D603E6" w:rsidP="005F02B6">
      <w:pPr>
        <w:pStyle w:val="Tablecaption"/>
        <w:rPr>
          <w:b/>
          <w:bCs/>
          <w:lang w:eastAsia="en-AU"/>
        </w:rPr>
      </w:pPr>
    </w:p>
    <w:p w14:paraId="3C6304DD" w14:textId="2CDC16EF" w:rsidR="00146F42" w:rsidRDefault="00146F42" w:rsidP="005F02B6">
      <w:pPr>
        <w:pStyle w:val="Tablecaption"/>
        <w:rPr>
          <w:spacing w:val="-2"/>
          <w:lang w:eastAsia="en-AU"/>
        </w:rPr>
      </w:pPr>
      <w:r w:rsidRPr="005A759C">
        <w:rPr>
          <w:b/>
          <w:bCs/>
          <w:lang w:eastAsia="en-AU"/>
        </w:rPr>
        <w:t>Table</w:t>
      </w:r>
      <w:r w:rsidRPr="005A759C">
        <w:rPr>
          <w:b/>
          <w:bCs/>
          <w:spacing w:val="-6"/>
          <w:lang w:eastAsia="en-AU"/>
        </w:rPr>
        <w:t xml:space="preserve"> </w:t>
      </w:r>
      <w:r w:rsidRPr="005A759C">
        <w:rPr>
          <w:b/>
          <w:bCs/>
          <w:lang w:eastAsia="en-AU"/>
        </w:rPr>
        <w:t>2</w:t>
      </w:r>
      <w:r w:rsidR="00830A7A" w:rsidRPr="002F6516">
        <w:rPr>
          <w:b/>
          <w:bCs/>
          <w:lang w:eastAsia="en-AU"/>
        </w:rPr>
        <w:t>.</w:t>
      </w:r>
      <w:r w:rsidRPr="00146F42">
        <w:rPr>
          <w:spacing w:val="-4"/>
          <w:lang w:eastAsia="en-AU"/>
        </w:rPr>
        <w:t xml:space="preserve"> </w:t>
      </w:r>
      <w:r w:rsidRPr="00146F42">
        <w:rPr>
          <w:lang w:eastAsia="en-AU"/>
        </w:rPr>
        <w:t>Number</w:t>
      </w:r>
      <w:r w:rsidRPr="00146F42">
        <w:rPr>
          <w:spacing w:val="-6"/>
          <w:lang w:eastAsia="en-AU"/>
        </w:rPr>
        <w:t xml:space="preserve"> </w:t>
      </w:r>
      <w:r w:rsidRPr="00146F42">
        <w:rPr>
          <w:lang w:eastAsia="en-AU"/>
        </w:rPr>
        <w:t>of</w:t>
      </w:r>
      <w:r w:rsidRPr="00146F42">
        <w:rPr>
          <w:spacing w:val="-6"/>
          <w:lang w:eastAsia="en-AU"/>
        </w:rPr>
        <w:t xml:space="preserve"> </w:t>
      </w:r>
      <w:r w:rsidRPr="00146F42">
        <w:rPr>
          <w:lang w:eastAsia="en-AU"/>
        </w:rPr>
        <w:t>CDI-related</w:t>
      </w:r>
      <w:r w:rsidRPr="00146F42">
        <w:rPr>
          <w:spacing w:val="-5"/>
          <w:lang w:eastAsia="en-AU"/>
        </w:rPr>
        <w:t xml:space="preserve"> </w:t>
      </w:r>
      <w:r w:rsidRPr="00146F42">
        <w:rPr>
          <w:lang w:eastAsia="en-AU"/>
        </w:rPr>
        <w:t>separations</w:t>
      </w:r>
      <w:r w:rsidRPr="00146F42">
        <w:rPr>
          <w:spacing w:val="-8"/>
          <w:lang w:eastAsia="en-AU"/>
        </w:rPr>
        <w:t xml:space="preserve"> </w:t>
      </w:r>
      <w:r w:rsidRPr="00146F42">
        <w:rPr>
          <w:lang w:eastAsia="en-AU"/>
        </w:rPr>
        <w:t>(A04.7)</w:t>
      </w:r>
      <w:r w:rsidRPr="00146F42">
        <w:rPr>
          <w:spacing w:val="-6"/>
          <w:lang w:eastAsia="en-AU"/>
        </w:rPr>
        <w:t xml:space="preserve"> </w:t>
      </w:r>
      <w:r w:rsidRPr="00146F42">
        <w:rPr>
          <w:lang w:eastAsia="en-AU"/>
        </w:rPr>
        <w:t>in</w:t>
      </w:r>
      <w:r w:rsidRPr="00146F42">
        <w:rPr>
          <w:spacing w:val="-6"/>
          <w:lang w:eastAsia="en-AU"/>
        </w:rPr>
        <w:t xml:space="preserve"> </w:t>
      </w:r>
      <w:r w:rsidRPr="00146F42">
        <w:rPr>
          <w:lang w:eastAsia="en-AU"/>
        </w:rPr>
        <w:t>Australian</w:t>
      </w:r>
      <w:r w:rsidRPr="00146F42">
        <w:rPr>
          <w:spacing w:val="-5"/>
          <w:lang w:eastAsia="en-AU"/>
        </w:rPr>
        <w:t xml:space="preserve"> </w:t>
      </w:r>
      <w:r w:rsidRPr="00146F42">
        <w:rPr>
          <w:lang w:eastAsia="en-AU"/>
        </w:rPr>
        <w:t>public</w:t>
      </w:r>
      <w:r w:rsidRPr="00146F42">
        <w:rPr>
          <w:spacing w:val="-5"/>
          <w:lang w:eastAsia="en-AU"/>
        </w:rPr>
        <w:t xml:space="preserve"> </w:t>
      </w:r>
      <w:r w:rsidRPr="00146F42">
        <w:rPr>
          <w:lang w:eastAsia="en-AU"/>
        </w:rPr>
        <w:t>hospitals</w:t>
      </w:r>
      <w:r w:rsidRPr="00146F42">
        <w:rPr>
          <w:spacing w:val="-5"/>
          <w:lang w:eastAsia="en-AU"/>
        </w:rPr>
        <w:t xml:space="preserve"> </w:t>
      </w:r>
      <w:r w:rsidRPr="00146F42">
        <w:rPr>
          <w:lang w:eastAsia="en-AU"/>
        </w:rPr>
        <w:t>in</w:t>
      </w:r>
      <w:r w:rsidRPr="00146F42">
        <w:rPr>
          <w:spacing w:val="-4"/>
          <w:lang w:eastAsia="en-AU"/>
        </w:rPr>
        <w:t xml:space="preserve"> 2021, </w:t>
      </w:r>
      <w:r w:rsidRPr="00146F42">
        <w:rPr>
          <w:spacing w:val="-2"/>
          <w:lang w:eastAsia="en-AU"/>
        </w:rPr>
        <w:t>2022 and 2023*</w:t>
      </w:r>
    </w:p>
    <w:p w14:paraId="3A0CD9E7" w14:textId="77777777" w:rsidR="00830A7A" w:rsidRDefault="00830A7A" w:rsidP="005F02B6">
      <w:pPr>
        <w:pStyle w:val="Tablecaption"/>
        <w:rPr>
          <w:spacing w:val="-2"/>
          <w:lang w:eastAsia="en-AU"/>
        </w:rPr>
      </w:pPr>
    </w:p>
    <w:tbl>
      <w:tblPr>
        <w:tblStyle w:val="SQHTable"/>
        <w:tblW w:w="5000" w:type="pct"/>
        <w:tblLook w:val="04A0" w:firstRow="1" w:lastRow="0" w:firstColumn="1" w:lastColumn="0" w:noHBand="0" w:noVBand="1"/>
      </w:tblPr>
      <w:tblGrid>
        <w:gridCol w:w="1977"/>
        <w:gridCol w:w="1833"/>
        <w:gridCol w:w="1832"/>
        <w:gridCol w:w="1832"/>
        <w:gridCol w:w="1710"/>
      </w:tblGrid>
      <w:tr w:rsidR="00096638" w:rsidRPr="00146F42" w14:paraId="48270C08" w14:textId="20CC89BB" w:rsidTr="00215E97">
        <w:trPr>
          <w:cnfStyle w:val="100000000000" w:firstRow="1" w:lastRow="0" w:firstColumn="0" w:lastColumn="0" w:oddVBand="0" w:evenVBand="0" w:oddHBand="0" w:evenHBand="0" w:firstRowFirstColumn="0" w:firstRowLastColumn="0" w:lastRowFirstColumn="0" w:lastRowLastColumn="0"/>
          <w:trHeight w:val="1025"/>
        </w:trPr>
        <w:tc>
          <w:tcPr>
            <w:tcW w:w="0" w:type="pct"/>
            <w:vAlign w:val="center"/>
          </w:tcPr>
          <w:p w14:paraId="7F6B0836" w14:textId="7A5D15BD" w:rsidR="00830A7A" w:rsidRPr="00146F42" w:rsidRDefault="00830A7A" w:rsidP="00096638">
            <w:pPr>
              <w:rPr>
                <w:szCs w:val="20"/>
                <w:lang w:eastAsia="en-AU"/>
              </w:rPr>
            </w:pPr>
            <w:r>
              <w:rPr>
                <w:lang w:eastAsia="en-AU"/>
              </w:rPr>
              <w:t>Separation</w:t>
            </w:r>
          </w:p>
        </w:tc>
        <w:tc>
          <w:tcPr>
            <w:tcW w:w="0" w:type="pct"/>
            <w:vAlign w:val="center"/>
          </w:tcPr>
          <w:p w14:paraId="27CF2C01" w14:textId="6017DDD5" w:rsidR="00830A7A" w:rsidRPr="00146F42" w:rsidRDefault="00830A7A" w:rsidP="00096638">
            <w:pPr>
              <w:rPr>
                <w:szCs w:val="20"/>
                <w:lang w:eastAsia="en-AU"/>
              </w:rPr>
            </w:pPr>
            <w:r>
              <w:rPr>
                <w:lang w:eastAsia="en-AU"/>
              </w:rPr>
              <w:t>2021</w:t>
            </w:r>
          </w:p>
        </w:tc>
        <w:tc>
          <w:tcPr>
            <w:tcW w:w="0" w:type="pct"/>
            <w:vAlign w:val="center"/>
          </w:tcPr>
          <w:p w14:paraId="65A69293" w14:textId="0EA61D0F" w:rsidR="00830A7A" w:rsidRPr="00146F42" w:rsidRDefault="00830A7A" w:rsidP="00096638">
            <w:pPr>
              <w:rPr>
                <w:szCs w:val="20"/>
                <w:lang w:eastAsia="en-AU"/>
              </w:rPr>
            </w:pPr>
            <w:r>
              <w:rPr>
                <w:lang w:eastAsia="en-AU"/>
              </w:rPr>
              <w:t>2022</w:t>
            </w:r>
          </w:p>
        </w:tc>
        <w:tc>
          <w:tcPr>
            <w:tcW w:w="0" w:type="pct"/>
            <w:vAlign w:val="center"/>
          </w:tcPr>
          <w:p w14:paraId="4D2EE704" w14:textId="15B57269" w:rsidR="00830A7A" w:rsidRPr="00146F42" w:rsidRDefault="00830A7A" w:rsidP="00096638">
            <w:pPr>
              <w:rPr>
                <w:szCs w:val="20"/>
                <w:lang w:eastAsia="en-AU"/>
              </w:rPr>
            </w:pPr>
            <w:r>
              <w:rPr>
                <w:lang w:eastAsia="en-AU"/>
              </w:rPr>
              <w:t>2023</w:t>
            </w:r>
          </w:p>
        </w:tc>
        <w:tc>
          <w:tcPr>
            <w:tcW w:w="0" w:type="pct"/>
            <w:vAlign w:val="center"/>
          </w:tcPr>
          <w:p w14:paraId="61CC92F0" w14:textId="6CF2F531" w:rsidR="00830A7A" w:rsidRPr="00146F42" w:rsidRDefault="00830A7A" w:rsidP="00096638">
            <w:pPr>
              <w:rPr>
                <w:szCs w:val="20"/>
                <w:lang w:eastAsia="en-AU"/>
              </w:rPr>
            </w:pPr>
            <w:r>
              <w:rPr>
                <w:lang w:eastAsia="en-AU"/>
              </w:rPr>
              <w:t>Relative change year on year</w:t>
            </w:r>
          </w:p>
        </w:tc>
      </w:tr>
      <w:tr w:rsidR="00096638" w:rsidRPr="00146F42" w14:paraId="5F062F88" w14:textId="002DF063" w:rsidTr="00215E97">
        <w:trPr>
          <w:trHeight w:val="680"/>
        </w:trPr>
        <w:tc>
          <w:tcPr>
            <w:tcW w:w="0" w:type="pct"/>
            <w:vAlign w:val="center"/>
          </w:tcPr>
          <w:p w14:paraId="75DA9EAC" w14:textId="0F21B6BD" w:rsidR="00830A7A" w:rsidRPr="00146F42" w:rsidRDefault="00830A7A" w:rsidP="00096638">
            <w:pPr>
              <w:rPr>
                <w:szCs w:val="20"/>
                <w:lang w:eastAsia="en-AU"/>
              </w:rPr>
            </w:pPr>
            <w:r>
              <w:rPr>
                <w:lang w:eastAsia="en-AU"/>
              </w:rPr>
              <w:t>Number of separations in Australian public hospitals</w:t>
            </w:r>
          </w:p>
        </w:tc>
        <w:tc>
          <w:tcPr>
            <w:tcW w:w="0" w:type="pct"/>
            <w:vAlign w:val="center"/>
          </w:tcPr>
          <w:p w14:paraId="65A58C0D" w14:textId="1B6C3479" w:rsidR="00830A7A" w:rsidRPr="00146F42" w:rsidRDefault="00830A7A" w:rsidP="00096638">
            <w:pPr>
              <w:rPr>
                <w:szCs w:val="20"/>
              </w:rPr>
            </w:pPr>
            <w:r>
              <w:rPr>
                <w:lang w:eastAsia="en-AU"/>
              </w:rPr>
              <w:t>7,580,271</w:t>
            </w:r>
          </w:p>
        </w:tc>
        <w:tc>
          <w:tcPr>
            <w:tcW w:w="0" w:type="pct"/>
            <w:vAlign w:val="center"/>
          </w:tcPr>
          <w:p w14:paraId="5C27B648" w14:textId="2125C832" w:rsidR="00830A7A" w:rsidRPr="00146F42" w:rsidRDefault="00830A7A" w:rsidP="00096638">
            <w:pPr>
              <w:rPr>
                <w:szCs w:val="20"/>
              </w:rPr>
            </w:pPr>
            <w:r>
              <w:rPr>
                <w:lang w:eastAsia="en-AU"/>
              </w:rPr>
              <w:t>7,395,209</w:t>
            </w:r>
          </w:p>
        </w:tc>
        <w:tc>
          <w:tcPr>
            <w:tcW w:w="0" w:type="pct"/>
            <w:vAlign w:val="center"/>
          </w:tcPr>
          <w:p w14:paraId="0353DEF0" w14:textId="417DEF85" w:rsidR="00830A7A" w:rsidRPr="00146F42" w:rsidRDefault="00830A7A" w:rsidP="00096638">
            <w:pPr>
              <w:rPr>
                <w:szCs w:val="20"/>
              </w:rPr>
            </w:pPr>
            <w:r>
              <w:rPr>
                <w:lang w:eastAsia="en-AU"/>
              </w:rPr>
              <w:t>7,828,236</w:t>
            </w:r>
          </w:p>
        </w:tc>
        <w:tc>
          <w:tcPr>
            <w:tcW w:w="0" w:type="pct"/>
            <w:vAlign w:val="center"/>
          </w:tcPr>
          <w:p w14:paraId="1192009A" w14:textId="77777777" w:rsidR="00830A7A" w:rsidRDefault="00830A7A" w:rsidP="00096638">
            <w:pPr>
              <w:pStyle w:val="Tablecaption"/>
              <w:rPr>
                <w:lang w:eastAsia="en-AU"/>
              </w:rPr>
            </w:pPr>
            <w:r>
              <w:rPr>
                <w:lang w:eastAsia="en-AU"/>
              </w:rPr>
              <w:t xml:space="preserve">2021 </w:t>
            </w:r>
            <w:r>
              <w:rPr>
                <w:rFonts w:cstheme="minorHAnsi"/>
                <w:lang w:eastAsia="en-AU"/>
              </w:rPr>
              <w:t>−</w:t>
            </w:r>
            <w:r>
              <w:rPr>
                <w:lang w:eastAsia="en-AU"/>
              </w:rPr>
              <w:t xml:space="preserve"> 2022 </w:t>
            </w:r>
            <w:r>
              <w:rPr>
                <w:rFonts w:cstheme="minorHAnsi"/>
                <w:lang w:eastAsia="en-AU"/>
              </w:rPr>
              <w:t xml:space="preserve">↓ </w:t>
            </w:r>
            <w:r>
              <w:rPr>
                <w:lang w:eastAsia="en-AU"/>
              </w:rPr>
              <w:t>2.44%</w:t>
            </w:r>
          </w:p>
          <w:p w14:paraId="7D6BA85A" w14:textId="3496A057" w:rsidR="00830A7A" w:rsidRPr="002F6516" w:rsidRDefault="00830A7A" w:rsidP="00096638">
            <w:pPr>
              <w:pStyle w:val="Tablecaption"/>
              <w:rPr>
                <w:lang w:eastAsia="en-AU"/>
              </w:rPr>
            </w:pPr>
            <w:r>
              <w:rPr>
                <w:lang w:eastAsia="en-AU"/>
              </w:rPr>
              <w:t xml:space="preserve">2022 </w:t>
            </w:r>
            <w:r>
              <w:rPr>
                <w:rFonts w:cstheme="minorHAnsi"/>
                <w:lang w:eastAsia="en-AU"/>
              </w:rPr>
              <w:t>−</w:t>
            </w:r>
            <w:r>
              <w:rPr>
                <w:lang w:eastAsia="en-AU"/>
              </w:rPr>
              <w:t xml:space="preserve"> 2023 </w:t>
            </w:r>
            <w:r w:rsidRPr="00706773">
              <w:rPr>
                <w:rFonts w:cstheme="minorHAnsi"/>
                <w:color w:val="FF0000"/>
                <w:lang w:eastAsia="en-AU"/>
              </w:rPr>
              <w:t>↑</w:t>
            </w:r>
            <w:r>
              <w:rPr>
                <w:rFonts w:cstheme="minorHAnsi"/>
                <w:color w:val="FF0000"/>
                <w:lang w:eastAsia="en-AU"/>
              </w:rPr>
              <w:t xml:space="preserve"> </w:t>
            </w:r>
            <w:r>
              <w:rPr>
                <w:lang w:eastAsia="en-AU"/>
              </w:rPr>
              <w:t>5.85%</w:t>
            </w:r>
          </w:p>
        </w:tc>
      </w:tr>
      <w:tr w:rsidR="00096638" w:rsidRPr="00146F42" w14:paraId="04DFECA3" w14:textId="26269336" w:rsidTr="00215E97">
        <w:trPr>
          <w:cnfStyle w:val="000000010000" w:firstRow="0" w:lastRow="0" w:firstColumn="0" w:lastColumn="0" w:oddVBand="0" w:evenVBand="0" w:oddHBand="0" w:evenHBand="1" w:firstRowFirstColumn="0" w:firstRowLastColumn="0" w:lastRowFirstColumn="0" w:lastRowLastColumn="0"/>
          <w:trHeight w:val="680"/>
        </w:trPr>
        <w:tc>
          <w:tcPr>
            <w:tcW w:w="0" w:type="pct"/>
            <w:vAlign w:val="center"/>
          </w:tcPr>
          <w:p w14:paraId="26722AC7" w14:textId="44E21703" w:rsidR="00830A7A" w:rsidRPr="00146F42" w:rsidRDefault="00830A7A" w:rsidP="00096638">
            <w:pPr>
              <w:rPr>
                <w:szCs w:val="20"/>
                <w:lang w:eastAsia="en-AU"/>
              </w:rPr>
            </w:pPr>
            <w:r>
              <w:rPr>
                <w:lang w:eastAsia="en-AU"/>
              </w:rPr>
              <w:t>Number of separations with a CDI diagnosis</w:t>
            </w:r>
          </w:p>
        </w:tc>
        <w:tc>
          <w:tcPr>
            <w:tcW w:w="0" w:type="pct"/>
            <w:vAlign w:val="center"/>
          </w:tcPr>
          <w:p w14:paraId="223D5325" w14:textId="3099A156" w:rsidR="00830A7A" w:rsidRPr="00146F42" w:rsidRDefault="00830A7A" w:rsidP="00096638">
            <w:pPr>
              <w:rPr>
                <w:szCs w:val="20"/>
              </w:rPr>
            </w:pPr>
            <w:r>
              <w:rPr>
                <w:lang w:eastAsia="en-AU"/>
              </w:rPr>
              <w:t>10,512</w:t>
            </w:r>
          </w:p>
        </w:tc>
        <w:tc>
          <w:tcPr>
            <w:tcW w:w="0" w:type="pct"/>
            <w:vAlign w:val="center"/>
          </w:tcPr>
          <w:p w14:paraId="6AFD2B84" w14:textId="10CF3284" w:rsidR="00830A7A" w:rsidRPr="00146F42" w:rsidRDefault="00830A7A" w:rsidP="00096638">
            <w:pPr>
              <w:rPr>
                <w:szCs w:val="20"/>
              </w:rPr>
            </w:pPr>
            <w:r>
              <w:rPr>
                <w:lang w:eastAsia="en-AU"/>
              </w:rPr>
              <w:t>11,942</w:t>
            </w:r>
          </w:p>
        </w:tc>
        <w:tc>
          <w:tcPr>
            <w:tcW w:w="0" w:type="pct"/>
            <w:vAlign w:val="center"/>
          </w:tcPr>
          <w:p w14:paraId="5D3CED89" w14:textId="77D1B65C" w:rsidR="00830A7A" w:rsidRPr="00146F42" w:rsidRDefault="00830A7A" w:rsidP="00096638">
            <w:pPr>
              <w:rPr>
                <w:szCs w:val="20"/>
              </w:rPr>
            </w:pPr>
            <w:r>
              <w:rPr>
                <w:lang w:eastAsia="en-AU"/>
              </w:rPr>
              <w:t>11,202</w:t>
            </w:r>
          </w:p>
        </w:tc>
        <w:tc>
          <w:tcPr>
            <w:tcW w:w="0" w:type="pct"/>
            <w:vAlign w:val="center"/>
          </w:tcPr>
          <w:p w14:paraId="1EB120D4" w14:textId="77777777" w:rsidR="00830A7A" w:rsidRDefault="00830A7A" w:rsidP="00096638">
            <w:pPr>
              <w:pStyle w:val="Tablecaption"/>
              <w:rPr>
                <w:lang w:eastAsia="en-AU"/>
              </w:rPr>
            </w:pPr>
            <w:r>
              <w:rPr>
                <w:lang w:eastAsia="en-AU"/>
              </w:rPr>
              <w:t xml:space="preserve">2021 </w:t>
            </w:r>
            <w:r>
              <w:rPr>
                <w:rFonts w:cstheme="minorHAnsi"/>
                <w:lang w:eastAsia="en-AU"/>
              </w:rPr>
              <w:t>−</w:t>
            </w:r>
            <w:r>
              <w:rPr>
                <w:lang w:eastAsia="en-AU"/>
              </w:rPr>
              <w:t xml:space="preserve"> 2022 </w:t>
            </w:r>
            <w:r w:rsidRPr="00BD4C3F">
              <w:rPr>
                <w:rFonts w:cstheme="minorHAnsi"/>
                <w:color w:val="FF0000"/>
                <w:lang w:eastAsia="en-AU"/>
              </w:rPr>
              <w:t>↑</w:t>
            </w:r>
            <w:r>
              <w:rPr>
                <w:lang w:eastAsia="en-AU"/>
              </w:rPr>
              <w:t xml:space="preserve"> 13.60%</w:t>
            </w:r>
          </w:p>
          <w:p w14:paraId="30EA52EA" w14:textId="6E78786F" w:rsidR="00830A7A" w:rsidRPr="002F6516" w:rsidRDefault="00830A7A" w:rsidP="00096638">
            <w:pPr>
              <w:pStyle w:val="Tablecaption"/>
              <w:rPr>
                <w:lang w:eastAsia="en-AU"/>
              </w:rPr>
            </w:pPr>
            <w:r>
              <w:rPr>
                <w:lang w:eastAsia="en-AU"/>
              </w:rPr>
              <w:t xml:space="preserve">2022 – 2023 </w:t>
            </w:r>
            <w:r>
              <w:rPr>
                <w:rFonts w:cstheme="minorHAnsi"/>
                <w:lang w:eastAsia="en-AU"/>
              </w:rPr>
              <w:t>↓</w:t>
            </w:r>
            <w:r>
              <w:rPr>
                <w:lang w:eastAsia="en-AU"/>
              </w:rPr>
              <w:t xml:space="preserve"> 6.19%</w:t>
            </w:r>
          </w:p>
        </w:tc>
      </w:tr>
      <w:tr w:rsidR="00096638" w:rsidRPr="00146F42" w14:paraId="7CA72E35" w14:textId="287B9BBF" w:rsidTr="00215E97">
        <w:trPr>
          <w:trHeight w:val="680"/>
        </w:trPr>
        <w:tc>
          <w:tcPr>
            <w:tcW w:w="0" w:type="pct"/>
            <w:vAlign w:val="center"/>
          </w:tcPr>
          <w:p w14:paraId="345359C2" w14:textId="618C3492" w:rsidR="00830A7A" w:rsidRPr="00146F42" w:rsidRDefault="00830A7A" w:rsidP="00096638">
            <w:pPr>
              <w:rPr>
                <w:szCs w:val="20"/>
                <w:lang w:eastAsia="en-AU"/>
              </w:rPr>
            </w:pPr>
            <w:r>
              <w:rPr>
                <w:lang w:eastAsia="en-AU"/>
              </w:rPr>
              <w:t>Number of separations with a principal CDI diagnosis</w:t>
            </w:r>
          </w:p>
        </w:tc>
        <w:tc>
          <w:tcPr>
            <w:tcW w:w="0" w:type="pct"/>
            <w:vAlign w:val="center"/>
          </w:tcPr>
          <w:p w14:paraId="3C1592AC" w14:textId="5AC9C0E5" w:rsidR="00830A7A" w:rsidRPr="00146F42" w:rsidRDefault="00830A7A" w:rsidP="00096638">
            <w:pPr>
              <w:rPr>
                <w:szCs w:val="20"/>
              </w:rPr>
            </w:pPr>
            <w:r>
              <w:rPr>
                <w:lang w:eastAsia="en-AU"/>
              </w:rPr>
              <w:t>3,551</w:t>
            </w:r>
          </w:p>
        </w:tc>
        <w:tc>
          <w:tcPr>
            <w:tcW w:w="0" w:type="pct"/>
            <w:vAlign w:val="center"/>
          </w:tcPr>
          <w:p w14:paraId="4D4BF3AA" w14:textId="08F9F4B3" w:rsidR="00830A7A" w:rsidRPr="00146F42" w:rsidRDefault="00830A7A" w:rsidP="00096638">
            <w:pPr>
              <w:rPr>
                <w:szCs w:val="20"/>
              </w:rPr>
            </w:pPr>
            <w:r>
              <w:rPr>
                <w:lang w:eastAsia="en-AU"/>
              </w:rPr>
              <w:t>3,694</w:t>
            </w:r>
          </w:p>
        </w:tc>
        <w:tc>
          <w:tcPr>
            <w:tcW w:w="0" w:type="pct"/>
            <w:vAlign w:val="center"/>
          </w:tcPr>
          <w:p w14:paraId="71143AD4" w14:textId="782D32E4" w:rsidR="00830A7A" w:rsidRPr="00146F42" w:rsidRDefault="00830A7A" w:rsidP="00096638">
            <w:pPr>
              <w:rPr>
                <w:szCs w:val="20"/>
              </w:rPr>
            </w:pPr>
            <w:r>
              <w:rPr>
                <w:lang w:eastAsia="en-AU"/>
              </w:rPr>
              <w:t>3,389</w:t>
            </w:r>
          </w:p>
        </w:tc>
        <w:tc>
          <w:tcPr>
            <w:tcW w:w="0" w:type="pct"/>
            <w:vAlign w:val="center"/>
          </w:tcPr>
          <w:p w14:paraId="34292852" w14:textId="77777777" w:rsidR="00830A7A" w:rsidRDefault="00830A7A" w:rsidP="00096638">
            <w:pPr>
              <w:pStyle w:val="Tablecaption"/>
              <w:rPr>
                <w:lang w:eastAsia="en-AU"/>
              </w:rPr>
            </w:pPr>
            <w:r>
              <w:rPr>
                <w:lang w:eastAsia="en-AU"/>
              </w:rPr>
              <w:t xml:space="preserve">2021 </w:t>
            </w:r>
            <w:r>
              <w:rPr>
                <w:rFonts w:cstheme="minorHAnsi"/>
                <w:lang w:eastAsia="en-AU"/>
              </w:rPr>
              <w:t>−</w:t>
            </w:r>
            <w:r>
              <w:rPr>
                <w:lang w:eastAsia="en-AU"/>
              </w:rPr>
              <w:t xml:space="preserve"> 2022 </w:t>
            </w:r>
            <w:r w:rsidRPr="00D94B1E">
              <w:rPr>
                <w:rFonts w:cstheme="minorHAnsi"/>
                <w:color w:val="FF0000"/>
                <w:lang w:eastAsia="en-AU"/>
              </w:rPr>
              <w:t>↑</w:t>
            </w:r>
            <w:r>
              <w:rPr>
                <w:lang w:eastAsia="en-AU"/>
              </w:rPr>
              <w:t xml:space="preserve"> 4.03%</w:t>
            </w:r>
          </w:p>
          <w:p w14:paraId="2912C5D4" w14:textId="13941CFF" w:rsidR="00830A7A" w:rsidRPr="002F6516" w:rsidRDefault="00830A7A" w:rsidP="00096638">
            <w:pPr>
              <w:pStyle w:val="Tablecaption"/>
              <w:rPr>
                <w:lang w:eastAsia="en-AU"/>
              </w:rPr>
            </w:pPr>
            <w:r>
              <w:rPr>
                <w:lang w:eastAsia="en-AU"/>
              </w:rPr>
              <w:t xml:space="preserve">2022 </w:t>
            </w:r>
            <w:r>
              <w:rPr>
                <w:rFonts w:cstheme="minorHAnsi"/>
                <w:lang w:eastAsia="en-AU"/>
              </w:rPr>
              <w:t>−</w:t>
            </w:r>
            <w:r>
              <w:rPr>
                <w:lang w:eastAsia="en-AU"/>
              </w:rPr>
              <w:t xml:space="preserve"> 2023 </w:t>
            </w:r>
            <w:r>
              <w:rPr>
                <w:rFonts w:cstheme="minorHAnsi"/>
                <w:lang w:eastAsia="en-AU"/>
              </w:rPr>
              <w:t>↓</w:t>
            </w:r>
            <w:r>
              <w:rPr>
                <w:lang w:eastAsia="en-AU"/>
              </w:rPr>
              <w:t xml:space="preserve"> 8.25%</w:t>
            </w:r>
          </w:p>
        </w:tc>
      </w:tr>
      <w:tr w:rsidR="00096638" w:rsidRPr="00146F42" w14:paraId="493AC659" w14:textId="503C2EE1" w:rsidTr="00215E97">
        <w:trPr>
          <w:cnfStyle w:val="000000010000" w:firstRow="0" w:lastRow="0" w:firstColumn="0" w:lastColumn="0" w:oddVBand="0" w:evenVBand="0" w:oddHBand="0" w:evenHBand="1" w:firstRowFirstColumn="0" w:firstRowLastColumn="0" w:lastRowFirstColumn="0" w:lastRowLastColumn="0"/>
          <w:trHeight w:val="680"/>
        </w:trPr>
        <w:tc>
          <w:tcPr>
            <w:tcW w:w="0" w:type="pct"/>
            <w:vAlign w:val="center"/>
          </w:tcPr>
          <w:p w14:paraId="28AB286E" w14:textId="7DFFAEA4" w:rsidR="00830A7A" w:rsidRPr="00146F42" w:rsidRDefault="00830A7A" w:rsidP="00096638">
            <w:pPr>
              <w:rPr>
                <w:szCs w:val="20"/>
                <w:lang w:eastAsia="en-AU"/>
              </w:rPr>
            </w:pPr>
            <w:r>
              <w:rPr>
                <w:lang w:eastAsia="en-AU"/>
              </w:rPr>
              <w:t>Number of separations with a non-principal CDI diagnosis</w:t>
            </w:r>
          </w:p>
        </w:tc>
        <w:tc>
          <w:tcPr>
            <w:tcW w:w="0" w:type="pct"/>
            <w:vAlign w:val="center"/>
          </w:tcPr>
          <w:p w14:paraId="3AD4ACC0" w14:textId="54DBD5FE" w:rsidR="00830A7A" w:rsidRPr="00146F42" w:rsidRDefault="00830A7A" w:rsidP="00096638">
            <w:pPr>
              <w:rPr>
                <w:szCs w:val="20"/>
              </w:rPr>
            </w:pPr>
            <w:r>
              <w:rPr>
                <w:lang w:eastAsia="en-AU"/>
              </w:rPr>
              <w:t>6,961</w:t>
            </w:r>
          </w:p>
        </w:tc>
        <w:tc>
          <w:tcPr>
            <w:tcW w:w="0" w:type="pct"/>
            <w:vAlign w:val="center"/>
          </w:tcPr>
          <w:p w14:paraId="387350DE" w14:textId="10AD5A67" w:rsidR="00830A7A" w:rsidRPr="00146F42" w:rsidRDefault="00830A7A" w:rsidP="00096638">
            <w:pPr>
              <w:rPr>
                <w:szCs w:val="20"/>
              </w:rPr>
            </w:pPr>
            <w:r>
              <w:rPr>
                <w:lang w:eastAsia="en-AU"/>
              </w:rPr>
              <w:t>8,248</w:t>
            </w:r>
          </w:p>
        </w:tc>
        <w:tc>
          <w:tcPr>
            <w:tcW w:w="0" w:type="pct"/>
            <w:vAlign w:val="center"/>
          </w:tcPr>
          <w:p w14:paraId="1A7311E3" w14:textId="6571CED3" w:rsidR="00830A7A" w:rsidRPr="00146F42" w:rsidRDefault="00830A7A" w:rsidP="00096638">
            <w:pPr>
              <w:rPr>
                <w:szCs w:val="20"/>
              </w:rPr>
            </w:pPr>
            <w:r>
              <w:rPr>
                <w:lang w:eastAsia="en-AU"/>
              </w:rPr>
              <w:t>7,813</w:t>
            </w:r>
          </w:p>
        </w:tc>
        <w:tc>
          <w:tcPr>
            <w:tcW w:w="0" w:type="pct"/>
            <w:vAlign w:val="center"/>
          </w:tcPr>
          <w:p w14:paraId="48D489E9" w14:textId="77777777" w:rsidR="00830A7A" w:rsidRDefault="00830A7A" w:rsidP="00096638">
            <w:pPr>
              <w:pStyle w:val="Tablecaption"/>
              <w:rPr>
                <w:lang w:eastAsia="en-AU"/>
              </w:rPr>
            </w:pPr>
            <w:r>
              <w:rPr>
                <w:lang w:eastAsia="en-AU"/>
              </w:rPr>
              <w:t xml:space="preserve">2021 </w:t>
            </w:r>
            <w:r>
              <w:rPr>
                <w:rFonts w:cstheme="minorHAnsi"/>
                <w:lang w:eastAsia="en-AU"/>
              </w:rPr>
              <w:t>–</w:t>
            </w:r>
            <w:r>
              <w:rPr>
                <w:lang w:eastAsia="en-AU"/>
              </w:rPr>
              <w:t xml:space="preserve"> 2022 </w:t>
            </w:r>
            <w:r w:rsidRPr="00316BFF">
              <w:rPr>
                <w:rFonts w:cstheme="minorHAnsi"/>
                <w:color w:val="FF0000"/>
                <w:lang w:eastAsia="en-AU"/>
              </w:rPr>
              <w:t>↑</w:t>
            </w:r>
            <w:r>
              <w:rPr>
                <w:lang w:eastAsia="en-AU"/>
              </w:rPr>
              <w:t xml:space="preserve"> 18.48%</w:t>
            </w:r>
          </w:p>
          <w:p w14:paraId="2FDF57EA" w14:textId="7763C048" w:rsidR="00830A7A" w:rsidRPr="002F6516" w:rsidRDefault="00830A7A" w:rsidP="00096638">
            <w:pPr>
              <w:pStyle w:val="Tablecaption"/>
              <w:rPr>
                <w:lang w:eastAsia="en-AU"/>
              </w:rPr>
            </w:pPr>
            <w:r>
              <w:rPr>
                <w:lang w:eastAsia="en-AU"/>
              </w:rPr>
              <w:t xml:space="preserve">2022 </w:t>
            </w:r>
            <w:r>
              <w:rPr>
                <w:rFonts w:cstheme="minorHAnsi"/>
                <w:lang w:eastAsia="en-AU"/>
              </w:rPr>
              <w:t>–</w:t>
            </w:r>
            <w:r>
              <w:rPr>
                <w:lang w:eastAsia="en-AU"/>
              </w:rPr>
              <w:t xml:space="preserve"> 2023 </w:t>
            </w:r>
            <w:r>
              <w:rPr>
                <w:rFonts w:cstheme="minorHAnsi"/>
                <w:lang w:eastAsia="en-AU"/>
              </w:rPr>
              <w:t xml:space="preserve">↓ </w:t>
            </w:r>
            <w:r>
              <w:rPr>
                <w:lang w:eastAsia="en-AU"/>
              </w:rPr>
              <w:t>5.27%</w:t>
            </w:r>
          </w:p>
        </w:tc>
      </w:tr>
      <w:tr w:rsidR="00096638" w:rsidRPr="00146F42" w14:paraId="2544A924" w14:textId="263C6E3F" w:rsidTr="00215E97">
        <w:trPr>
          <w:trHeight w:val="680"/>
        </w:trPr>
        <w:tc>
          <w:tcPr>
            <w:tcW w:w="0" w:type="pct"/>
            <w:vAlign w:val="center"/>
          </w:tcPr>
          <w:p w14:paraId="73A8940D" w14:textId="6952EBA6" w:rsidR="00830A7A" w:rsidRPr="00146F42" w:rsidRDefault="00830A7A" w:rsidP="00096638">
            <w:pPr>
              <w:rPr>
                <w:szCs w:val="20"/>
                <w:lang w:eastAsia="en-AU"/>
              </w:rPr>
            </w:pPr>
            <w:r>
              <w:rPr>
                <w:lang w:eastAsia="en-AU"/>
              </w:rPr>
              <w:lastRenderedPageBreak/>
              <w:t>Number of separations with a non-principal diagnosis, with COF1*</w:t>
            </w:r>
          </w:p>
        </w:tc>
        <w:tc>
          <w:tcPr>
            <w:tcW w:w="0" w:type="pct"/>
            <w:vAlign w:val="center"/>
          </w:tcPr>
          <w:p w14:paraId="2B60C93B" w14:textId="2D271BD8" w:rsidR="00830A7A" w:rsidRPr="00146F42" w:rsidRDefault="00830A7A" w:rsidP="00096638">
            <w:pPr>
              <w:rPr>
                <w:szCs w:val="20"/>
              </w:rPr>
            </w:pPr>
            <w:r>
              <w:rPr>
                <w:lang w:eastAsia="en-AU"/>
              </w:rPr>
              <w:t>1,835</w:t>
            </w:r>
          </w:p>
        </w:tc>
        <w:tc>
          <w:tcPr>
            <w:tcW w:w="0" w:type="pct"/>
            <w:vAlign w:val="center"/>
          </w:tcPr>
          <w:p w14:paraId="76059910" w14:textId="5063ED75" w:rsidR="00830A7A" w:rsidRPr="00146F42" w:rsidRDefault="00830A7A" w:rsidP="00096638">
            <w:pPr>
              <w:rPr>
                <w:szCs w:val="20"/>
              </w:rPr>
            </w:pPr>
            <w:r>
              <w:rPr>
                <w:lang w:eastAsia="en-AU"/>
              </w:rPr>
              <w:t>2,134</w:t>
            </w:r>
          </w:p>
        </w:tc>
        <w:tc>
          <w:tcPr>
            <w:tcW w:w="0" w:type="pct"/>
            <w:vAlign w:val="center"/>
          </w:tcPr>
          <w:p w14:paraId="5443C02D" w14:textId="24997FFE" w:rsidR="00830A7A" w:rsidRPr="00146F42" w:rsidRDefault="00830A7A" w:rsidP="00096638">
            <w:pPr>
              <w:rPr>
                <w:szCs w:val="20"/>
              </w:rPr>
            </w:pPr>
            <w:r>
              <w:rPr>
                <w:lang w:eastAsia="en-AU"/>
              </w:rPr>
              <w:t>2,029</w:t>
            </w:r>
          </w:p>
        </w:tc>
        <w:tc>
          <w:tcPr>
            <w:tcW w:w="0" w:type="pct"/>
            <w:vAlign w:val="center"/>
          </w:tcPr>
          <w:p w14:paraId="2FCFE8A0" w14:textId="77777777" w:rsidR="00830A7A" w:rsidRDefault="00830A7A" w:rsidP="00096638">
            <w:pPr>
              <w:pStyle w:val="Tablecaption"/>
              <w:rPr>
                <w:lang w:eastAsia="en-AU"/>
              </w:rPr>
            </w:pPr>
          </w:p>
          <w:p w14:paraId="561C0230" w14:textId="77777777" w:rsidR="00830A7A" w:rsidRDefault="00830A7A" w:rsidP="00096638">
            <w:pPr>
              <w:pStyle w:val="Tablecaption"/>
              <w:rPr>
                <w:lang w:eastAsia="en-AU"/>
              </w:rPr>
            </w:pPr>
            <w:r>
              <w:rPr>
                <w:lang w:eastAsia="en-AU"/>
              </w:rPr>
              <w:t xml:space="preserve">2021 </w:t>
            </w:r>
            <w:r>
              <w:rPr>
                <w:rFonts w:cstheme="minorHAnsi"/>
                <w:lang w:eastAsia="en-AU"/>
              </w:rPr>
              <w:t>–</w:t>
            </w:r>
            <w:r>
              <w:rPr>
                <w:lang w:eastAsia="en-AU"/>
              </w:rPr>
              <w:t xml:space="preserve"> 2022 </w:t>
            </w:r>
            <w:r w:rsidRPr="00CA1567">
              <w:rPr>
                <w:rFonts w:cstheme="minorHAnsi"/>
                <w:color w:val="FF0000"/>
                <w:lang w:eastAsia="en-AU"/>
              </w:rPr>
              <w:t>↑</w:t>
            </w:r>
            <w:r>
              <w:rPr>
                <w:rFonts w:cstheme="minorHAnsi"/>
                <w:color w:val="FF0000"/>
                <w:lang w:eastAsia="en-AU"/>
              </w:rPr>
              <w:t xml:space="preserve"> </w:t>
            </w:r>
            <w:r w:rsidRPr="0065750F">
              <w:rPr>
                <w:rFonts w:cstheme="minorHAnsi"/>
                <w:lang w:eastAsia="en-AU"/>
              </w:rPr>
              <w:t>16.29</w:t>
            </w:r>
            <w:r>
              <w:rPr>
                <w:lang w:eastAsia="en-AU"/>
              </w:rPr>
              <w:t>%</w:t>
            </w:r>
          </w:p>
          <w:p w14:paraId="775E303D" w14:textId="460EFA44" w:rsidR="00830A7A" w:rsidRPr="00146F42" w:rsidRDefault="00830A7A" w:rsidP="00215E97">
            <w:pPr>
              <w:pStyle w:val="Tablecaption"/>
            </w:pPr>
            <w:r>
              <w:rPr>
                <w:lang w:eastAsia="en-AU"/>
              </w:rPr>
              <w:t xml:space="preserve">2022 </w:t>
            </w:r>
            <w:r>
              <w:rPr>
                <w:rFonts w:cstheme="minorHAnsi"/>
                <w:lang w:eastAsia="en-AU"/>
              </w:rPr>
              <w:t>–</w:t>
            </w:r>
            <w:r>
              <w:rPr>
                <w:lang w:eastAsia="en-AU"/>
              </w:rPr>
              <w:t xml:space="preserve"> 2023 </w:t>
            </w:r>
            <w:r>
              <w:rPr>
                <w:rFonts w:cstheme="minorHAnsi"/>
                <w:lang w:eastAsia="en-AU"/>
              </w:rPr>
              <w:t xml:space="preserve">↓ </w:t>
            </w:r>
            <w:r>
              <w:rPr>
                <w:lang w:eastAsia="en-AU"/>
              </w:rPr>
              <w:t>4.92%</w:t>
            </w:r>
          </w:p>
        </w:tc>
      </w:tr>
      <w:tr w:rsidR="00096638" w:rsidRPr="00146F42" w14:paraId="3031BAD0" w14:textId="736D8DB1" w:rsidTr="00215E97">
        <w:trPr>
          <w:cnfStyle w:val="000000010000" w:firstRow="0" w:lastRow="0" w:firstColumn="0" w:lastColumn="0" w:oddVBand="0" w:evenVBand="0" w:oddHBand="0" w:evenHBand="1" w:firstRowFirstColumn="0" w:firstRowLastColumn="0" w:lastRowFirstColumn="0" w:lastRowLastColumn="0"/>
          <w:trHeight w:val="680"/>
        </w:trPr>
        <w:tc>
          <w:tcPr>
            <w:tcW w:w="0" w:type="pct"/>
            <w:vAlign w:val="center"/>
          </w:tcPr>
          <w:p w14:paraId="2D0EE9F2" w14:textId="3436926C" w:rsidR="00830A7A" w:rsidRPr="00146F42" w:rsidRDefault="00830A7A" w:rsidP="00096638">
            <w:pPr>
              <w:rPr>
                <w:szCs w:val="20"/>
                <w:lang w:eastAsia="en-AU"/>
              </w:rPr>
            </w:pPr>
            <w:r>
              <w:rPr>
                <w:lang w:eastAsia="en-AU"/>
              </w:rPr>
              <w:t>Number of separations with a non-principal CDI diagnosis, with COF2*</w:t>
            </w:r>
          </w:p>
        </w:tc>
        <w:tc>
          <w:tcPr>
            <w:tcW w:w="0" w:type="pct"/>
            <w:vAlign w:val="center"/>
          </w:tcPr>
          <w:p w14:paraId="24708F4D" w14:textId="2C9BF9AD" w:rsidR="00830A7A" w:rsidRPr="00146F42" w:rsidRDefault="00830A7A" w:rsidP="00096638">
            <w:pPr>
              <w:rPr>
                <w:szCs w:val="20"/>
              </w:rPr>
            </w:pPr>
            <w:r>
              <w:rPr>
                <w:lang w:eastAsia="en-AU"/>
              </w:rPr>
              <w:t>4,948</w:t>
            </w:r>
          </w:p>
        </w:tc>
        <w:tc>
          <w:tcPr>
            <w:tcW w:w="0" w:type="pct"/>
            <w:vAlign w:val="center"/>
          </w:tcPr>
          <w:p w14:paraId="2D9389A6" w14:textId="76C61D6A" w:rsidR="00830A7A" w:rsidRPr="00146F42" w:rsidRDefault="00830A7A" w:rsidP="00096638">
            <w:pPr>
              <w:rPr>
                <w:szCs w:val="20"/>
              </w:rPr>
            </w:pPr>
            <w:r>
              <w:rPr>
                <w:lang w:eastAsia="en-AU"/>
              </w:rPr>
              <w:t>5,895</w:t>
            </w:r>
          </w:p>
        </w:tc>
        <w:tc>
          <w:tcPr>
            <w:tcW w:w="0" w:type="pct"/>
            <w:vAlign w:val="center"/>
          </w:tcPr>
          <w:p w14:paraId="46FEE342" w14:textId="296354DC" w:rsidR="00830A7A" w:rsidRPr="00146F42" w:rsidRDefault="00830A7A" w:rsidP="00096638">
            <w:pPr>
              <w:rPr>
                <w:szCs w:val="20"/>
              </w:rPr>
            </w:pPr>
            <w:r>
              <w:rPr>
                <w:lang w:eastAsia="en-AU"/>
              </w:rPr>
              <w:t>5,432</w:t>
            </w:r>
          </w:p>
        </w:tc>
        <w:tc>
          <w:tcPr>
            <w:tcW w:w="0" w:type="pct"/>
            <w:vAlign w:val="center"/>
          </w:tcPr>
          <w:p w14:paraId="69AB59E0" w14:textId="6D7E6D23" w:rsidR="00096638" w:rsidRDefault="00830A7A" w:rsidP="00096638">
            <w:pPr>
              <w:pStyle w:val="Tablecaption"/>
              <w:rPr>
                <w:lang w:eastAsia="en-AU"/>
              </w:rPr>
            </w:pPr>
            <w:r>
              <w:rPr>
                <w:lang w:eastAsia="en-AU"/>
              </w:rPr>
              <w:t xml:space="preserve">2021 </w:t>
            </w:r>
            <w:r>
              <w:rPr>
                <w:rFonts w:cstheme="minorHAnsi"/>
                <w:lang w:eastAsia="en-AU"/>
              </w:rPr>
              <w:t>–</w:t>
            </w:r>
            <w:r>
              <w:rPr>
                <w:lang w:eastAsia="en-AU"/>
              </w:rPr>
              <w:t xml:space="preserve"> 2022 </w:t>
            </w:r>
            <w:r w:rsidRPr="003B5D55">
              <w:rPr>
                <w:rFonts w:cstheme="minorHAnsi"/>
                <w:color w:val="FF0000"/>
                <w:lang w:eastAsia="en-AU"/>
              </w:rPr>
              <w:t>↑</w:t>
            </w:r>
            <w:r>
              <w:rPr>
                <w:lang w:eastAsia="en-AU"/>
              </w:rPr>
              <w:t xml:space="preserve"> 19.14%</w:t>
            </w:r>
          </w:p>
          <w:p w14:paraId="4CE1B11E" w14:textId="445513DD" w:rsidR="00830A7A" w:rsidRPr="00146F42" w:rsidRDefault="00830A7A" w:rsidP="00215E97">
            <w:pPr>
              <w:pStyle w:val="Tablecaption"/>
              <w:rPr>
                <w:szCs w:val="20"/>
              </w:rPr>
            </w:pPr>
            <w:r>
              <w:rPr>
                <w:lang w:eastAsia="en-AU"/>
              </w:rPr>
              <w:t xml:space="preserve">2022 </w:t>
            </w:r>
            <w:r>
              <w:rPr>
                <w:rFonts w:cstheme="minorHAnsi"/>
                <w:lang w:eastAsia="en-AU"/>
              </w:rPr>
              <w:t>–</w:t>
            </w:r>
            <w:r>
              <w:rPr>
                <w:lang w:eastAsia="en-AU"/>
              </w:rPr>
              <w:t xml:space="preserve"> 2023 </w:t>
            </w:r>
            <w:r>
              <w:rPr>
                <w:rFonts w:cstheme="minorHAnsi"/>
                <w:lang w:eastAsia="en-AU"/>
              </w:rPr>
              <w:t xml:space="preserve">↓ </w:t>
            </w:r>
            <w:r>
              <w:rPr>
                <w:lang w:eastAsia="en-AU"/>
              </w:rPr>
              <w:t>7.85%</w:t>
            </w:r>
          </w:p>
        </w:tc>
      </w:tr>
      <w:tr w:rsidR="00096638" w:rsidRPr="00146F42" w14:paraId="5AC69BF3" w14:textId="0954A272" w:rsidTr="00215E97">
        <w:trPr>
          <w:trHeight w:val="680"/>
        </w:trPr>
        <w:tc>
          <w:tcPr>
            <w:tcW w:w="0" w:type="pct"/>
            <w:vAlign w:val="center"/>
          </w:tcPr>
          <w:p w14:paraId="53861AFF" w14:textId="0EE7CC19" w:rsidR="00830A7A" w:rsidRPr="00146F42" w:rsidRDefault="00830A7A" w:rsidP="00096638">
            <w:pPr>
              <w:rPr>
                <w:szCs w:val="20"/>
                <w:lang w:eastAsia="en-AU"/>
              </w:rPr>
            </w:pPr>
            <w:r>
              <w:rPr>
                <w:lang w:eastAsia="en-AU"/>
              </w:rPr>
              <w:t>Estimated pre-existing burden (Principal CDI + non-principal CDI, COF2*)</w:t>
            </w:r>
          </w:p>
        </w:tc>
        <w:tc>
          <w:tcPr>
            <w:tcW w:w="0" w:type="pct"/>
            <w:vAlign w:val="center"/>
          </w:tcPr>
          <w:p w14:paraId="779C2784" w14:textId="6D8D8125" w:rsidR="00830A7A" w:rsidRPr="00146F42" w:rsidRDefault="00830A7A" w:rsidP="00096638">
            <w:pPr>
              <w:rPr>
                <w:spacing w:val="-4"/>
                <w:szCs w:val="20"/>
              </w:rPr>
            </w:pPr>
            <w:r>
              <w:rPr>
                <w:lang w:eastAsia="en-AU"/>
              </w:rPr>
              <w:t>8,499</w:t>
            </w:r>
          </w:p>
        </w:tc>
        <w:tc>
          <w:tcPr>
            <w:tcW w:w="0" w:type="pct"/>
            <w:vAlign w:val="center"/>
          </w:tcPr>
          <w:p w14:paraId="7A08C685" w14:textId="68A04CC5" w:rsidR="00830A7A" w:rsidRPr="00146F42" w:rsidRDefault="00830A7A" w:rsidP="00096638">
            <w:pPr>
              <w:rPr>
                <w:spacing w:val="-4"/>
                <w:szCs w:val="20"/>
              </w:rPr>
            </w:pPr>
            <w:r>
              <w:rPr>
                <w:lang w:eastAsia="en-AU"/>
              </w:rPr>
              <w:t>9,589</w:t>
            </w:r>
          </w:p>
        </w:tc>
        <w:tc>
          <w:tcPr>
            <w:tcW w:w="0" w:type="pct"/>
            <w:vAlign w:val="center"/>
          </w:tcPr>
          <w:p w14:paraId="19CCB7C4" w14:textId="68AE03CC" w:rsidR="00830A7A" w:rsidRPr="00146F42" w:rsidRDefault="00830A7A" w:rsidP="00096638">
            <w:pPr>
              <w:rPr>
                <w:spacing w:val="-4"/>
                <w:szCs w:val="20"/>
              </w:rPr>
            </w:pPr>
            <w:r>
              <w:rPr>
                <w:lang w:eastAsia="en-AU"/>
              </w:rPr>
              <w:t>8,821</w:t>
            </w:r>
          </w:p>
        </w:tc>
        <w:tc>
          <w:tcPr>
            <w:tcW w:w="0" w:type="pct"/>
            <w:vAlign w:val="center"/>
          </w:tcPr>
          <w:p w14:paraId="36D48292" w14:textId="0B3FD516" w:rsidR="00096638" w:rsidRDefault="00830A7A" w:rsidP="00096638">
            <w:pPr>
              <w:pStyle w:val="Tablecaption"/>
              <w:rPr>
                <w:lang w:eastAsia="en-AU"/>
              </w:rPr>
            </w:pPr>
            <w:r>
              <w:rPr>
                <w:lang w:eastAsia="en-AU"/>
              </w:rPr>
              <w:t xml:space="preserve">2021 – 2022 </w:t>
            </w:r>
            <w:r w:rsidRPr="00366AB9">
              <w:rPr>
                <w:rFonts w:cstheme="minorHAnsi"/>
                <w:color w:val="FF0000"/>
                <w:lang w:eastAsia="en-AU"/>
              </w:rPr>
              <w:t>↑</w:t>
            </w:r>
            <w:r>
              <w:rPr>
                <w:lang w:eastAsia="en-AU"/>
              </w:rPr>
              <w:t xml:space="preserve"> 12.83%</w:t>
            </w:r>
          </w:p>
          <w:p w14:paraId="0EE89B07" w14:textId="52710D49" w:rsidR="00830A7A" w:rsidRPr="00146F42" w:rsidRDefault="00830A7A" w:rsidP="00215E97">
            <w:pPr>
              <w:pStyle w:val="Tablecaption"/>
              <w:rPr>
                <w:spacing w:val="-4"/>
                <w:szCs w:val="20"/>
              </w:rPr>
            </w:pPr>
            <w:r>
              <w:rPr>
                <w:lang w:eastAsia="en-AU"/>
              </w:rPr>
              <w:t xml:space="preserve">2022 – 2023 </w:t>
            </w:r>
            <w:r>
              <w:rPr>
                <w:rFonts w:cstheme="minorHAnsi"/>
                <w:lang w:eastAsia="en-AU"/>
              </w:rPr>
              <w:t>↓</w:t>
            </w:r>
            <w:r>
              <w:rPr>
                <w:lang w:eastAsia="en-AU"/>
              </w:rPr>
              <w:t xml:space="preserve"> 8.01%</w:t>
            </w:r>
          </w:p>
        </w:tc>
      </w:tr>
    </w:tbl>
    <w:p w14:paraId="7B9C5AFB" w14:textId="77777777" w:rsidR="00830A7A" w:rsidRDefault="00830A7A" w:rsidP="005F02B6">
      <w:pPr>
        <w:pStyle w:val="Tablecaption"/>
        <w:rPr>
          <w:spacing w:val="-2"/>
          <w:lang w:eastAsia="en-AU"/>
        </w:rPr>
      </w:pPr>
    </w:p>
    <w:p w14:paraId="6B9F70CE" w14:textId="6F063C9E" w:rsidR="00CC61A9" w:rsidRPr="00CC61A9" w:rsidRDefault="007B2A00" w:rsidP="00CC61A9">
      <w:pPr>
        <w:spacing w:after="240" w:line="240" w:lineRule="auto"/>
        <w:contextualSpacing/>
        <w:rPr>
          <w:rFonts w:ascii="Arial" w:eastAsia="Times New Roman" w:hAnsi="Arial"/>
          <w:bCs/>
          <w:color w:val="auto"/>
          <w:sz w:val="18"/>
          <w:szCs w:val="18"/>
          <w:lang w:eastAsia="en-AU"/>
        </w:rPr>
      </w:pPr>
      <w:r w:rsidRPr="007B2A00">
        <w:rPr>
          <w:rFonts w:ascii="Arial" w:eastAsia="Times New Roman" w:hAnsi="Arial"/>
          <w:b/>
          <w:color w:val="auto"/>
          <w:sz w:val="18"/>
          <w:szCs w:val="18"/>
          <w:lang w:eastAsia="en-AU"/>
        </w:rPr>
        <w:t>*</w:t>
      </w:r>
      <w:r w:rsidRPr="007B2A00">
        <w:rPr>
          <w:rFonts w:ascii="Arial" w:eastAsia="Times New Roman" w:hAnsi="Arial"/>
          <w:bCs/>
          <w:color w:val="auto"/>
          <w:sz w:val="18"/>
          <w:szCs w:val="18"/>
          <w:lang w:eastAsia="en-AU"/>
        </w:rPr>
        <w:t xml:space="preserve">Australian public hospitals with highly reliable COF coding only (2021 </w:t>
      </w:r>
      <w:r w:rsidRPr="007B2A00">
        <w:rPr>
          <w:rFonts w:ascii="Arial" w:eastAsia="Times New Roman" w:hAnsi="Arial"/>
          <w:bCs/>
          <w:i/>
          <w:iCs/>
          <w:color w:val="auto"/>
          <w:sz w:val="18"/>
          <w:szCs w:val="18"/>
          <w:lang w:eastAsia="en-AU"/>
        </w:rPr>
        <w:t>n</w:t>
      </w:r>
      <w:r w:rsidRPr="007B2A00">
        <w:rPr>
          <w:rFonts w:ascii="Arial" w:eastAsia="Times New Roman" w:hAnsi="Arial"/>
          <w:bCs/>
          <w:color w:val="auto"/>
          <w:sz w:val="18"/>
          <w:szCs w:val="18"/>
          <w:lang w:eastAsia="en-AU"/>
        </w:rPr>
        <w:t xml:space="preserve"> = 519,</w:t>
      </w:r>
      <w:r w:rsidRPr="007B2A00">
        <w:rPr>
          <w:rFonts w:ascii="Arial" w:eastAsia="Times New Roman" w:hAnsi="Arial"/>
          <w:b/>
          <w:color w:val="auto"/>
          <w:sz w:val="18"/>
          <w:szCs w:val="18"/>
          <w:lang w:eastAsia="en-AU"/>
        </w:rPr>
        <w:t xml:space="preserve"> </w:t>
      </w:r>
      <w:r w:rsidRPr="007B2A00">
        <w:rPr>
          <w:rFonts w:ascii="Arial" w:eastAsia="Times New Roman" w:hAnsi="Arial"/>
          <w:bCs/>
          <w:color w:val="auto"/>
          <w:sz w:val="18"/>
          <w:szCs w:val="18"/>
          <w:lang w:eastAsia="en-AU"/>
        </w:rPr>
        <w:t xml:space="preserve">2022 </w:t>
      </w:r>
      <w:r w:rsidRPr="007B2A00">
        <w:rPr>
          <w:rFonts w:ascii="Arial" w:eastAsia="Times New Roman" w:hAnsi="Arial"/>
          <w:bCs/>
          <w:i/>
          <w:iCs/>
          <w:color w:val="auto"/>
          <w:sz w:val="18"/>
          <w:szCs w:val="18"/>
          <w:lang w:eastAsia="en-AU"/>
        </w:rPr>
        <w:t>n =</w:t>
      </w:r>
      <w:r w:rsidRPr="007B2A00">
        <w:rPr>
          <w:rFonts w:ascii="Arial" w:eastAsia="Times New Roman" w:hAnsi="Arial"/>
          <w:bCs/>
          <w:color w:val="auto"/>
          <w:sz w:val="18"/>
          <w:szCs w:val="18"/>
          <w:lang w:eastAsia="en-AU"/>
        </w:rPr>
        <w:t xml:space="preserve"> 524, 2023 </w:t>
      </w:r>
      <w:r w:rsidRPr="007B2A00">
        <w:rPr>
          <w:rFonts w:ascii="Arial" w:eastAsia="Times New Roman" w:hAnsi="Arial"/>
          <w:bCs/>
          <w:i/>
          <w:iCs/>
          <w:color w:val="auto"/>
          <w:sz w:val="18"/>
          <w:szCs w:val="18"/>
          <w:lang w:eastAsia="en-AU"/>
        </w:rPr>
        <w:t>n =</w:t>
      </w:r>
      <w:r w:rsidRPr="007B2A00">
        <w:rPr>
          <w:rFonts w:ascii="Arial" w:eastAsia="Times New Roman" w:hAnsi="Arial"/>
          <w:bCs/>
          <w:color w:val="auto"/>
          <w:sz w:val="18"/>
          <w:szCs w:val="18"/>
          <w:lang w:eastAsia="en-AU"/>
        </w:rPr>
        <w:t xml:space="preserve"> 525)</w:t>
      </w:r>
    </w:p>
    <w:p w14:paraId="7AFD0A1B" w14:textId="46D1491C" w:rsidR="007B2A00" w:rsidRPr="00CC61A9" w:rsidRDefault="007B2A00" w:rsidP="001F523A">
      <w:pPr>
        <w:pStyle w:val="Heading2"/>
      </w:pPr>
      <w:bookmarkStart w:id="27" w:name="_Toc205909367"/>
      <w:r w:rsidRPr="00CC61A9">
        <w:t>Length of stay for patients with CDI diagnoses</w:t>
      </w:r>
      <w:bookmarkEnd w:id="27"/>
    </w:p>
    <w:p w14:paraId="5879AE02" w14:textId="77777777" w:rsidR="007B2A00" w:rsidRPr="007B2A00" w:rsidRDefault="007B2A00" w:rsidP="007B2A00">
      <w:pPr>
        <w:widowControl w:val="0"/>
        <w:autoSpaceDE w:val="0"/>
        <w:autoSpaceDN w:val="0"/>
        <w:spacing w:after="0" w:line="276" w:lineRule="auto"/>
        <w:rPr>
          <w:rFonts w:ascii="Arial" w:eastAsia="Arial" w:hAnsi="Arial" w:cs="Arial"/>
          <w:color w:val="auto"/>
          <w:lang w:val="en-US"/>
        </w:rPr>
      </w:pPr>
      <w:r w:rsidRPr="007B2A00">
        <w:rPr>
          <w:rFonts w:ascii="Arial" w:eastAsia="Arial" w:hAnsi="Arial" w:cs="Arial"/>
          <w:color w:val="auto"/>
          <w:lang w:val="en-US"/>
        </w:rPr>
        <w:t>Table 3 shows the change in the length of stay each year since 2016 for patients admitted</w:t>
      </w:r>
      <w:r w:rsidRPr="007B2A00">
        <w:rPr>
          <w:rFonts w:ascii="Arial" w:eastAsia="Arial" w:hAnsi="Arial" w:cs="Arial"/>
          <w:color w:val="auto"/>
          <w:spacing w:val="-4"/>
          <w:lang w:val="en-US"/>
        </w:rPr>
        <w:t xml:space="preserve"> </w:t>
      </w:r>
      <w:r w:rsidRPr="007B2A00">
        <w:rPr>
          <w:rFonts w:ascii="Arial" w:eastAsia="Arial" w:hAnsi="Arial" w:cs="Arial"/>
          <w:color w:val="auto"/>
          <w:lang w:val="en-US"/>
        </w:rPr>
        <w:t>to</w:t>
      </w:r>
      <w:r w:rsidRPr="007B2A00">
        <w:rPr>
          <w:rFonts w:ascii="Arial" w:eastAsia="Arial" w:hAnsi="Arial" w:cs="Arial"/>
          <w:color w:val="auto"/>
          <w:spacing w:val="-4"/>
          <w:lang w:val="en-US"/>
        </w:rPr>
        <w:t xml:space="preserve"> </w:t>
      </w:r>
      <w:r w:rsidRPr="007B2A00">
        <w:rPr>
          <w:rFonts w:ascii="Arial" w:eastAsia="Arial" w:hAnsi="Arial" w:cs="Arial"/>
          <w:color w:val="auto"/>
          <w:lang w:val="en-US"/>
        </w:rPr>
        <w:t>Australian</w:t>
      </w:r>
      <w:r w:rsidRPr="007B2A00">
        <w:rPr>
          <w:rFonts w:ascii="Arial" w:eastAsia="Arial" w:hAnsi="Arial" w:cs="Arial"/>
          <w:color w:val="auto"/>
          <w:spacing w:val="-2"/>
          <w:lang w:val="en-US"/>
        </w:rPr>
        <w:t xml:space="preserve"> </w:t>
      </w:r>
      <w:r w:rsidRPr="007B2A00">
        <w:rPr>
          <w:rFonts w:ascii="Arial" w:eastAsia="Arial" w:hAnsi="Arial" w:cs="Arial"/>
          <w:color w:val="auto"/>
          <w:lang w:val="en-US"/>
        </w:rPr>
        <w:t>public</w:t>
      </w:r>
      <w:r w:rsidRPr="007B2A00">
        <w:rPr>
          <w:rFonts w:ascii="Arial" w:eastAsia="Arial" w:hAnsi="Arial" w:cs="Arial"/>
          <w:color w:val="auto"/>
          <w:spacing w:val="-1"/>
          <w:lang w:val="en-US"/>
        </w:rPr>
        <w:t xml:space="preserve"> </w:t>
      </w:r>
      <w:r w:rsidRPr="007B2A00">
        <w:rPr>
          <w:rFonts w:ascii="Arial" w:eastAsia="Arial" w:hAnsi="Arial" w:cs="Arial"/>
          <w:color w:val="auto"/>
          <w:lang w:val="en-US"/>
        </w:rPr>
        <w:t>hospitals</w:t>
      </w:r>
      <w:r w:rsidRPr="007B2A00">
        <w:rPr>
          <w:rFonts w:ascii="Arial" w:eastAsia="Arial" w:hAnsi="Arial" w:cs="Arial"/>
          <w:color w:val="auto"/>
          <w:spacing w:val="-1"/>
          <w:lang w:val="en-US"/>
        </w:rPr>
        <w:t xml:space="preserve"> </w:t>
      </w:r>
      <w:r w:rsidRPr="007B2A00">
        <w:rPr>
          <w:rFonts w:ascii="Arial" w:eastAsia="Arial" w:hAnsi="Arial" w:cs="Arial"/>
          <w:color w:val="auto"/>
          <w:lang w:val="en-US"/>
        </w:rPr>
        <w:t>with</w:t>
      </w:r>
      <w:r w:rsidRPr="007B2A00">
        <w:rPr>
          <w:rFonts w:ascii="Arial" w:eastAsia="Arial" w:hAnsi="Arial" w:cs="Arial"/>
          <w:color w:val="auto"/>
          <w:spacing w:val="-2"/>
          <w:lang w:val="en-US"/>
        </w:rPr>
        <w:t xml:space="preserve"> </w:t>
      </w:r>
      <w:r w:rsidRPr="007B2A00">
        <w:rPr>
          <w:rFonts w:ascii="Arial" w:eastAsia="Arial" w:hAnsi="Arial" w:cs="Arial"/>
          <w:color w:val="auto"/>
          <w:lang w:val="en-US"/>
        </w:rPr>
        <w:t>a</w:t>
      </w:r>
      <w:r w:rsidRPr="007B2A00">
        <w:rPr>
          <w:rFonts w:ascii="Arial" w:eastAsia="Arial" w:hAnsi="Arial" w:cs="Arial"/>
          <w:color w:val="auto"/>
          <w:spacing w:val="-4"/>
          <w:lang w:val="en-US"/>
        </w:rPr>
        <w:t xml:space="preserve"> CDI </w:t>
      </w:r>
      <w:r w:rsidRPr="007B2A00">
        <w:rPr>
          <w:rFonts w:ascii="Arial" w:eastAsia="Arial" w:hAnsi="Arial" w:cs="Arial"/>
          <w:color w:val="auto"/>
          <w:lang w:val="en-US"/>
        </w:rPr>
        <w:t>diagnosis. Data from the Australian Institute of Health and Welfare (AIHW) indicate that the average length of stay for all public hospital admissions was 2.70 days, and has remained steady since 2019.</w:t>
      </w:r>
      <w:r w:rsidRPr="007B2A00">
        <w:rPr>
          <w:rFonts w:ascii="Arial" w:eastAsia="Arial" w:hAnsi="Arial" w:cs="Arial"/>
          <w:color w:val="auto"/>
          <w:lang w:val="en-US"/>
        </w:rPr>
        <w:fldChar w:fldCharType="begin"/>
      </w:r>
      <w:r w:rsidRPr="007B2A00">
        <w:rPr>
          <w:rFonts w:ascii="Arial" w:eastAsia="Arial" w:hAnsi="Arial" w:cs="Arial"/>
          <w:color w:val="auto"/>
          <w:lang w:val="en-US"/>
        </w:rPr>
        <w:instrText xml:space="preserve"> ADDIN EN.CITE &lt;EndNote&gt;&lt;Cite&gt;&lt;Author&gt;Australian institue of Health and Welfare.&lt;/Author&gt;&lt;Year&gt;2022&lt;/Year&gt;&lt;RecNum&gt;115&lt;/RecNum&gt;&lt;DisplayText&gt;&lt;style face="superscript"&gt;12&lt;/style&gt;&lt;/DisplayText&gt;&lt;record&gt;&lt;rec-number&gt;115&lt;/rec-number&gt;&lt;foreign-keys&gt;&lt;key app="EN" db-id="2rp0a5drxdefz3e2e5dptftled295z2r2ve2" timestamp="1623907505"&gt;115&lt;/key&gt;&lt;/foreign-keys&gt;&lt;ref-type name="Generic"&gt;13&lt;/ref-type&gt;&lt;contributors&gt;&lt;authors&gt;&lt;author&gt;Australian institue of Health and Welfare.,&lt;/author&gt;&lt;/authors&gt;&lt;/contributors&gt;&lt;titles&gt;&lt;title&gt;Admitted patient activity 2022-23&lt;/title&gt;&lt;/titles&gt;&lt;number&gt;12 April 2024&lt;/number&gt;&lt;dates&gt;&lt;year&gt;2022&lt;/year&gt;&lt;/dates&gt;&lt;pub-location&gt;Sydney&lt;/pub-location&gt;&lt;publisher&gt;AIHW&lt;/publisher&gt;&lt;urls&gt;&lt;related-urls&gt;&lt;url&gt;https://www.aihw.gov.au/reports-data/myhospitals/intersection/activity/apc&lt;/url&gt;&lt;/related-urls&gt;&lt;/urls&gt;&lt;/record&gt;&lt;/Cite&gt;&lt;/EndNote&gt;</w:instrText>
      </w:r>
      <w:r w:rsidRPr="007B2A00">
        <w:rPr>
          <w:rFonts w:ascii="Arial" w:eastAsia="Arial" w:hAnsi="Arial" w:cs="Arial"/>
          <w:color w:val="auto"/>
          <w:lang w:val="en-US"/>
        </w:rPr>
        <w:fldChar w:fldCharType="separate"/>
      </w:r>
      <w:r w:rsidRPr="007B2A00">
        <w:rPr>
          <w:rFonts w:ascii="Arial" w:eastAsia="Arial" w:hAnsi="Arial" w:cs="Arial"/>
          <w:noProof/>
          <w:color w:val="auto"/>
          <w:vertAlign w:val="superscript"/>
          <w:lang w:val="en-US"/>
        </w:rPr>
        <w:t>12</w:t>
      </w:r>
      <w:r w:rsidRPr="007B2A00">
        <w:rPr>
          <w:rFonts w:ascii="Arial" w:eastAsia="Arial" w:hAnsi="Arial" w:cs="Arial"/>
          <w:color w:val="auto"/>
          <w:lang w:val="en-US"/>
        </w:rPr>
        <w:fldChar w:fldCharType="end"/>
      </w:r>
      <w:r w:rsidRPr="007B2A00">
        <w:rPr>
          <w:rFonts w:ascii="Arial" w:eastAsia="Arial" w:hAnsi="Arial" w:cs="Arial"/>
          <w:color w:val="auto"/>
          <w:lang w:val="en-US"/>
        </w:rPr>
        <w:t xml:space="preserve"> </w:t>
      </w:r>
    </w:p>
    <w:p w14:paraId="4F157AD6" w14:textId="77777777" w:rsidR="007B2A00" w:rsidRPr="007B2A00" w:rsidRDefault="007B2A00" w:rsidP="007B2A00">
      <w:pPr>
        <w:spacing w:before="65" w:line="276" w:lineRule="auto"/>
        <w:rPr>
          <w:rFonts w:ascii="Arial" w:eastAsia="Times New Roman" w:hAnsi="Arial"/>
          <w:b/>
          <w:color w:val="auto"/>
          <w:lang w:eastAsia="en-AU"/>
        </w:rPr>
      </w:pPr>
      <w:r w:rsidRPr="007B2A00">
        <w:rPr>
          <w:rFonts w:ascii="Arial" w:eastAsia="Times New Roman" w:hAnsi="Arial"/>
          <w:color w:val="auto"/>
          <w:lang w:eastAsia="en-AU"/>
        </w:rPr>
        <w:t>Table 3 shows the length of stay for patients with a CDI diagnosis since 2016. Overall, the average length of stay for patients with a CDI diagnosis has remained steady since 2016 and is more than five times longer (16.06 days) than the average length of stay.</w:t>
      </w:r>
    </w:p>
    <w:p w14:paraId="38685A21" w14:textId="51A55BB7" w:rsidR="002D3345" w:rsidRPr="002D3345" w:rsidRDefault="007B2A00" w:rsidP="002D3345">
      <w:pPr>
        <w:pStyle w:val="BodyText"/>
        <w:spacing w:line="276" w:lineRule="auto"/>
        <w:rPr>
          <w:rFonts w:ascii="Arial" w:eastAsia="Arial" w:hAnsi="Arial" w:cs="Arial"/>
          <w:color w:val="auto"/>
          <w:lang w:val="en-US"/>
        </w:rPr>
      </w:pPr>
      <w:r w:rsidRPr="007B2A00">
        <w:rPr>
          <w:rFonts w:ascii="Arial" w:eastAsia="Times New Roman" w:hAnsi="Arial"/>
          <w:bCs/>
          <w:color w:val="auto"/>
          <w:lang w:eastAsia="en-AU"/>
        </w:rPr>
        <w:t xml:space="preserve">An extended length of stay is often associated with vulnerable patients (more comorbidities, older age) and can increase the cost of health care for these patients. It is estimated that an initial infection with CDI can cost up to $18,795.00 AUD for admission and treatment of infection </w:t>
      </w:r>
      <w:r w:rsidRPr="007B2A00">
        <w:rPr>
          <w:rFonts w:ascii="Arial" w:eastAsia="Times New Roman" w:hAnsi="Arial"/>
          <w:color w:val="auto"/>
          <w:lang w:eastAsia="en-AU"/>
        </w:rPr>
        <w:t>per</w:t>
      </w:r>
      <w:r w:rsidR="002D3345" w:rsidRPr="002D3345">
        <w:rPr>
          <w:rFonts w:ascii="Arial" w:eastAsia="Arial" w:hAnsi="Arial" w:cs="Arial"/>
          <w:color w:val="auto"/>
          <w:lang w:val="en-US"/>
        </w:rPr>
        <w:t xml:space="preserve"> separation</w:t>
      </w:r>
      <w:r w:rsidR="002D3345" w:rsidRPr="002D3345">
        <w:rPr>
          <w:rFonts w:ascii="Arial" w:eastAsia="Arial" w:hAnsi="Arial" w:cs="Arial"/>
          <w:color w:val="auto"/>
          <w:lang w:val="en-US"/>
        </w:rPr>
        <w:fldChar w:fldCharType="begin"/>
      </w:r>
      <w:r w:rsidR="002D3345" w:rsidRPr="002D3345">
        <w:rPr>
          <w:rFonts w:ascii="Arial" w:eastAsia="Arial" w:hAnsi="Arial" w:cs="Arial"/>
          <w:color w:val="auto"/>
          <w:lang w:val="en-US"/>
        </w:rPr>
        <w:instrText xml:space="preserve"> ADDIN EN.CITE &lt;EndNote&gt;&lt;Cite&gt;&lt;Author&gt;Brain&lt;/Author&gt;&lt;Year&gt;2018&lt;/Year&gt;&lt;RecNum&gt;203&lt;/RecNum&gt;&lt;DisplayText&gt;&lt;style face="superscript"&gt;8&lt;/style&gt;&lt;/DisplayText&gt;&lt;record&gt;&lt;rec-number&gt;203&lt;/rec-number&gt;&lt;foreign-keys&gt;&lt;key app="EN" db-id="2rp0a5drxdefz3e2e5dptftled295z2r2ve2" timestamp="1713500153"&gt;203&lt;/key&gt;&lt;/foreign-keys&gt;&lt;ref-type name="Journal Article"&gt;17&lt;/ref-type&gt;&lt;contributors&gt;&lt;authors&gt;&lt;author&gt;Brain, D.&lt;/author&gt;&lt;author&gt;Yakob, L.&lt;/author&gt;&lt;author&gt;Barnett, A.&lt;/author&gt;&lt;author&gt;Riley, T.&lt;/author&gt;&lt;author&gt;Clements, A.&lt;/author&gt;&lt;author&gt;Halton, K.&lt;/author&gt;&lt;author&gt;Graves, N.&lt;/author&gt;&lt;/authors&gt;&lt;/contributors&gt;&lt;auth-address&gt;Queensland University of Technology, Institute of Health and Biomedical Innovation, Brisbane, Queensland, Australia.&amp;#xD;London School of Hygiene and Tropical Medicine, Faculty of Infectious and Tropical Diseases, London, United Kingdom.&amp;#xD;University of Western Australia, Pathology and Laboratory Medicine, Perth, Western Australia, Australia.&amp;#xD;Australian National University, Research School of Population Health, Canberra, Australian Capital Territory, Australia.&lt;/auth-address&gt;&lt;titles&gt;&lt;title&gt;Economic evaluation of interventions designed to reduce Clostridium difficile infection&lt;/title&gt;&lt;secondary-title&gt;PLoS One&lt;/secondary-title&gt;&lt;/titles&gt;&lt;periodical&gt;&lt;full-title&gt;PLOS ONE&lt;/full-title&gt;&lt;/periodical&gt;&lt;pages&gt;e0190093&lt;/pages&gt;&lt;volume&gt;13&lt;/volume&gt;&lt;number&gt;1&lt;/number&gt;&lt;edition&gt;2018/01/04&lt;/edition&gt;&lt;keywords&gt;&lt;keyword&gt;Clostridioides difficile/*isolation &amp;amp; purification&lt;/keyword&gt;&lt;keyword&gt;Clostridium Infections/economics/*prevention &amp;amp; control&lt;/keyword&gt;&lt;keyword&gt;*Cost-Benefit Analysis&lt;/keyword&gt;&lt;keyword&gt;Humans&lt;/keyword&gt;&lt;keyword&gt;Probability&lt;/keyword&gt;&lt;/keywords&gt;&lt;dates&gt;&lt;year&gt;2018&lt;/year&gt;&lt;/dates&gt;&lt;isbn&gt;1932-6203&lt;/isbn&gt;&lt;accession-num&gt;29298322&lt;/accession-num&gt;&lt;urls&gt;&lt;/urls&gt;&lt;custom2&gt;PMC5752026&lt;/custom2&gt;&lt;electronic-resource-num&gt;10.1371/journal.pone.0190093&lt;/electronic-resource-num&gt;&lt;remote-database-provider&gt;NLM&lt;/remote-database-provider&gt;&lt;language&gt;eng&lt;/language&gt;&lt;/record&gt;&lt;/Cite&gt;&lt;/EndNote&gt;</w:instrText>
      </w:r>
      <w:r w:rsidR="002D3345" w:rsidRPr="002D3345">
        <w:rPr>
          <w:rFonts w:ascii="Arial" w:eastAsia="Arial" w:hAnsi="Arial" w:cs="Arial"/>
          <w:color w:val="auto"/>
          <w:lang w:val="en-US"/>
        </w:rPr>
        <w:fldChar w:fldCharType="separate"/>
      </w:r>
      <w:r w:rsidR="002D3345" w:rsidRPr="002D3345">
        <w:rPr>
          <w:rFonts w:ascii="Arial" w:eastAsia="Arial" w:hAnsi="Arial" w:cs="Arial"/>
          <w:noProof/>
          <w:color w:val="auto"/>
          <w:vertAlign w:val="superscript"/>
          <w:lang w:val="en-US"/>
        </w:rPr>
        <w:t>8</w:t>
      </w:r>
      <w:r w:rsidR="002D3345" w:rsidRPr="002D3345">
        <w:rPr>
          <w:rFonts w:ascii="Arial" w:eastAsia="Arial" w:hAnsi="Arial" w:cs="Arial"/>
          <w:color w:val="auto"/>
          <w:lang w:val="en-US"/>
        </w:rPr>
        <w:fldChar w:fldCharType="end"/>
      </w:r>
      <w:r w:rsidR="002D3345" w:rsidRPr="002D3345">
        <w:rPr>
          <w:rFonts w:ascii="Arial" w:eastAsia="Arial" w:hAnsi="Arial" w:cs="Arial"/>
          <w:color w:val="auto"/>
          <w:lang w:val="en-US"/>
        </w:rPr>
        <w:t>. In addition, the affected individual will incur social and health costs, such as loss of income and the potential for recurrent infection.</w:t>
      </w:r>
    </w:p>
    <w:p w14:paraId="07E0CA03" w14:textId="77777777" w:rsidR="00E53F6A" w:rsidRDefault="00E53F6A" w:rsidP="00BC33E3">
      <w:pPr>
        <w:pStyle w:val="Tablecaption"/>
        <w:rPr>
          <w:b/>
          <w:lang w:eastAsia="en-AU"/>
        </w:rPr>
      </w:pPr>
    </w:p>
    <w:p w14:paraId="2D69229C" w14:textId="77777777" w:rsidR="00096638" w:rsidRDefault="00096638">
      <w:pPr>
        <w:rPr>
          <w:b/>
          <w:iCs/>
          <w:sz w:val="20"/>
          <w:lang w:eastAsia="en-AU"/>
        </w:rPr>
      </w:pPr>
      <w:r>
        <w:rPr>
          <w:b/>
          <w:lang w:eastAsia="en-AU"/>
        </w:rPr>
        <w:br w:type="page"/>
      </w:r>
    </w:p>
    <w:p w14:paraId="16566F25" w14:textId="00BEA914" w:rsidR="002D3345" w:rsidRDefault="002D3345" w:rsidP="00BC33E3">
      <w:pPr>
        <w:pStyle w:val="Tablecaption"/>
        <w:rPr>
          <w:lang w:eastAsia="en-AU"/>
        </w:rPr>
      </w:pPr>
      <w:r w:rsidRPr="002D3345">
        <w:rPr>
          <w:b/>
          <w:lang w:eastAsia="en-AU"/>
        </w:rPr>
        <w:lastRenderedPageBreak/>
        <w:t>Table</w:t>
      </w:r>
      <w:r w:rsidRPr="002D3345">
        <w:rPr>
          <w:b/>
          <w:spacing w:val="-3"/>
          <w:lang w:eastAsia="en-AU"/>
        </w:rPr>
        <w:t xml:space="preserve"> </w:t>
      </w:r>
      <w:r w:rsidRPr="002D3345">
        <w:rPr>
          <w:b/>
          <w:lang w:eastAsia="en-AU"/>
        </w:rPr>
        <w:t>3</w:t>
      </w:r>
      <w:r w:rsidR="00830A7A">
        <w:rPr>
          <w:b/>
          <w:lang w:eastAsia="en-AU"/>
        </w:rPr>
        <w:t>.</w:t>
      </w:r>
      <w:r w:rsidRPr="002D3345">
        <w:rPr>
          <w:b/>
          <w:spacing w:val="-1"/>
          <w:lang w:eastAsia="en-AU"/>
        </w:rPr>
        <w:t xml:space="preserve"> </w:t>
      </w:r>
      <w:r w:rsidRPr="002D3345">
        <w:rPr>
          <w:lang w:eastAsia="en-AU"/>
        </w:rPr>
        <w:t>Average</w:t>
      </w:r>
      <w:r w:rsidRPr="002D3345">
        <w:rPr>
          <w:spacing w:val="-3"/>
          <w:lang w:eastAsia="en-AU"/>
        </w:rPr>
        <w:t xml:space="preserve"> </w:t>
      </w:r>
      <w:r w:rsidRPr="002D3345">
        <w:rPr>
          <w:lang w:eastAsia="en-AU"/>
        </w:rPr>
        <w:t>length</w:t>
      </w:r>
      <w:r w:rsidRPr="002D3345">
        <w:rPr>
          <w:spacing w:val="-7"/>
          <w:lang w:eastAsia="en-AU"/>
        </w:rPr>
        <w:t xml:space="preserve"> </w:t>
      </w:r>
      <w:r w:rsidRPr="002D3345">
        <w:rPr>
          <w:lang w:eastAsia="en-AU"/>
        </w:rPr>
        <w:t>of</w:t>
      </w:r>
      <w:r w:rsidRPr="002D3345">
        <w:rPr>
          <w:spacing w:val="-1"/>
          <w:lang w:eastAsia="en-AU"/>
        </w:rPr>
        <w:t xml:space="preserve"> </w:t>
      </w:r>
      <w:r w:rsidRPr="002D3345">
        <w:rPr>
          <w:lang w:eastAsia="en-AU"/>
        </w:rPr>
        <w:t>stay</w:t>
      </w:r>
      <w:r w:rsidRPr="002D3345">
        <w:rPr>
          <w:spacing w:val="-5"/>
          <w:lang w:eastAsia="en-AU"/>
        </w:rPr>
        <w:t xml:space="preserve"> </w:t>
      </w:r>
      <w:r w:rsidRPr="002D3345">
        <w:rPr>
          <w:lang w:eastAsia="en-AU"/>
        </w:rPr>
        <w:t>for</w:t>
      </w:r>
      <w:r w:rsidRPr="002D3345">
        <w:rPr>
          <w:spacing w:val="-4"/>
          <w:lang w:eastAsia="en-AU"/>
        </w:rPr>
        <w:t xml:space="preserve"> </w:t>
      </w:r>
      <w:r w:rsidRPr="002D3345">
        <w:rPr>
          <w:lang w:eastAsia="en-AU"/>
        </w:rPr>
        <w:t>patients</w:t>
      </w:r>
      <w:r w:rsidRPr="002D3345">
        <w:rPr>
          <w:spacing w:val="-2"/>
          <w:lang w:eastAsia="en-AU"/>
        </w:rPr>
        <w:t xml:space="preserve"> </w:t>
      </w:r>
      <w:r w:rsidRPr="002D3345">
        <w:rPr>
          <w:lang w:eastAsia="en-AU"/>
        </w:rPr>
        <w:t>with</w:t>
      </w:r>
      <w:r w:rsidRPr="002D3345">
        <w:rPr>
          <w:spacing w:val="-3"/>
          <w:lang w:eastAsia="en-AU"/>
        </w:rPr>
        <w:t xml:space="preserve"> </w:t>
      </w:r>
      <w:r w:rsidRPr="002D3345">
        <w:rPr>
          <w:lang w:eastAsia="en-AU"/>
        </w:rPr>
        <w:t>a</w:t>
      </w:r>
      <w:r w:rsidRPr="002D3345">
        <w:rPr>
          <w:spacing w:val="-5"/>
          <w:lang w:eastAsia="en-AU"/>
        </w:rPr>
        <w:t xml:space="preserve"> CDI </w:t>
      </w:r>
      <w:r w:rsidRPr="002D3345">
        <w:rPr>
          <w:lang w:eastAsia="en-AU"/>
        </w:rPr>
        <w:t>diagnosis</w:t>
      </w:r>
      <w:r w:rsidRPr="002D3345">
        <w:rPr>
          <w:spacing w:val="-2"/>
          <w:lang w:eastAsia="en-AU"/>
        </w:rPr>
        <w:t xml:space="preserve"> </w:t>
      </w:r>
      <w:r w:rsidRPr="002D3345">
        <w:rPr>
          <w:lang w:eastAsia="en-AU"/>
        </w:rPr>
        <w:t>in Australian public hospitals, 2016–2023</w:t>
      </w:r>
    </w:p>
    <w:tbl>
      <w:tblPr>
        <w:tblStyle w:val="SQHTable"/>
        <w:tblW w:w="0" w:type="auto"/>
        <w:tblInd w:w="-105" w:type="dxa"/>
        <w:tblLook w:val="01E0" w:firstRow="1" w:lastRow="1" w:firstColumn="1" w:lastColumn="1" w:noHBand="0" w:noVBand="0"/>
      </w:tblPr>
      <w:tblGrid>
        <w:gridCol w:w="1381"/>
        <w:gridCol w:w="3119"/>
        <w:gridCol w:w="2126"/>
        <w:gridCol w:w="2663"/>
      </w:tblGrid>
      <w:tr w:rsidR="000A7696" w:rsidRPr="00751078" w14:paraId="6E4C8A75" w14:textId="77777777" w:rsidTr="002F6516">
        <w:trPr>
          <w:cnfStyle w:val="100000000000" w:firstRow="1" w:lastRow="0" w:firstColumn="0" w:lastColumn="0" w:oddVBand="0" w:evenVBand="0" w:oddHBand="0" w:evenHBand="0" w:firstRowFirstColumn="0" w:firstRowLastColumn="0" w:lastRowFirstColumn="0" w:lastRowLastColumn="0"/>
          <w:trHeight w:val="397"/>
        </w:trPr>
        <w:tc>
          <w:tcPr>
            <w:tcW w:w="1381" w:type="dxa"/>
            <w:vMerge w:val="restart"/>
          </w:tcPr>
          <w:p w14:paraId="276C0E0D" w14:textId="77777777" w:rsidR="000A7696" w:rsidRPr="00751078" w:rsidRDefault="000A7696" w:rsidP="00367673">
            <w:pPr>
              <w:pStyle w:val="TableParagraph"/>
              <w:spacing w:before="149"/>
              <w:ind w:left="0"/>
              <w:rPr>
                <w:rFonts w:asciiTheme="minorHAnsi" w:hAnsiTheme="minorHAnsi" w:cstheme="minorHAnsi"/>
              </w:rPr>
            </w:pPr>
          </w:p>
          <w:p w14:paraId="7763D320" w14:textId="77777777" w:rsidR="000A7696" w:rsidRPr="00751078" w:rsidRDefault="000A7696" w:rsidP="00367673">
            <w:pPr>
              <w:pStyle w:val="TableParagraph"/>
              <w:spacing w:before="1"/>
              <w:ind w:left="16"/>
              <w:jc w:val="center"/>
              <w:rPr>
                <w:rFonts w:asciiTheme="minorHAnsi" w:hAnsiTheme="minorHAnsi" w:cstheme="minorHAnsi"/>
                <w:b w:val="0"/>
              </w:rPr>
            </w:pPr>
            <w:r w:rsidRPr="00751078">
              <w:rPr>
                <w:rFonts w:asciiTheme="minorHAnsi" w:hAnsiTheme="minorHAnsi" w:cstheme="minorHAnsi"/>
                <w:color w:val="FFFFFF"/>
                <w:spacing w:val="-4"/>
              </w:rPr>
              <w:t>Year</w:t>
            </w:r>
          </w:p>
        </w:tc>
        <w:tc>
          <w:tcPr>
            <w:tcW w:w="7908" w:type="dxa"/>
            <w:gridSpan w:val="3"/>
          </w:tcPr>
          <w:p w14:paraId="4BA75AA0" w14:textId="77777777" w:rsidR="000A7696" w:rsidRPr="00751078" w:rsidRDefault="000A7696" w:rsidP="00367673">
            <w:pPr>
              <w:pStyle w:val="TableParagraph"/>
              <w:spacing w:before="134"/>
              <w:ind w:left="1917"/>
              <w:rPr>
                <w:rFonts w:asciiTheme="minorHAnsi" w:hAnsiTheme="minorHAnsi" w:cstheme="minorHAnsi"/>
                <w:b w:val="0"/>
              </w:rPr>
            </w:pPr>
            <w:r w:rsidRPr="00751078">
              <w:rPr>
                <w:rFonts w:asciiTheme="minorHAnsi" w:hAnsiTheme="minorHAnsi" w:cstheme="minorHAnsi"/>
                <w:color w:val="FFFFFF"/>
              </w:rPr>
              <w:t>Length</w:t>
            </w:r>
            <w:r w:rsidRPr="00751078">
              <w:rPr>
                <w:rFonts w:asciiTheme="minorHAnsi" w:hAnsiTheme="minorHAnsi" w:cstheme="minorHAnsi"/>
                <w:color w:val="FFFFFF"/>
                <w:spacing w:val="-3"/>
              </w:rPr>
              <w:t xml:space="preserve"> </w:t>
            </w:r>
            <w:r w:rsidRPr="00751078">
              <w:rPr>
                <w:rFonts w:asciiTheme="minorHAnsi" w:hAnsiTheme="minorHAnsi" w:cstheme="minorHAnsi"/>
                <w:color w:val="FFFFFF"/>
              </w:rPr>
              <w:t>of</w:t>
            </w:r>
            <w:r w:rsidRPr="00751078">
              <w:rPr>
                <w:rFonts w:asciiTheme="minorHAnsi" w:hAnsiTheme="minorHAnsi" w:cstheme="minorHAnsi"/>
                <w:color w:val="FFFFFF"/>
                <w:spacing w:val="-3"/>
              </w:rPr>
              <w:t xml:space="preserve"> </w:t>
            </w:r>
            <w:r w:rsidRPr="00751078">
              <w:rPr>
                <w:rFonts w:asciiTheme="minorHAnsi" w:hAnsiTheme="minorHAnsi" w:cstheme="minorHAnsi"/>
                <w:color w:val="FFFFFF"/>
              </w:rPr>
              <w:t>stay</w:t>
            </w:r>
            <w:r>
              <w:rPr>
                <w:rFonts w:asciiTheme="minorHAnsi" w:hAnsiTheme="minorHAnsi" w:cstheme="minorHAnsi"/>
                <w:color w:val="FFFFFF"/>
              </w:rPr>
              <w:t xml:space="preserve"> </w:t>
            </w:r>
            <w:r w:rsidRPr="00751078">
              <w:rPr>
                <w:rFonts w:asciiTheme="minorHAnsi" w:hAnsiTheme="minorHAnsi" w:cstheme="minorHAnsi"/>
                <w:color w:val="FFFFFF"/>
              </w:rPr>
              <w:t>in</w:t>
            </w:r>
            <w:r w:rsidRPr="00751078">
              <w:rPr>
                <w:rFonts w:asciiTheme="minorHAnsi" w:hAnsiTheme="minorHAnsi" w:cstheme="minorHAnsi"/>
                <w:color w:val="FFFFFF"/>
                <w:spacing w:val="-2"/>
              </w:rPr>
              <w:t xml:space="preserve"> </w:t>
            </w:r>
            <w:r w:rsidRPr="00751078">
              <w:rPr>
                <w:rFonts w:asciiTheme="minorHAnsi" w:hAnsiTheme="minorHAnsi" w:cstheme="minorHAnsi"/>
                <w:color w:val="FFFFFF"/>
                <w:spacing w:val="-4"/>
              </w:rPr>
              <w:t>days</w:t>
            </w:r>
          </w:p>
        </w:tc>
      </w:tr>
      <w:tr w:rsidR="000A7696" w:rsidRPr="00751078" w14:paraId="7007AD76" w14:textId="77777777" w:rsidTr="002F6516">
        <w:trPr>
          <w:trHeight w:val="397"/>
        </w:trPr>
        <w:tc>
          <w:tcPr>
            <w:tcW w:w="1381" w:type="dxa"/>
            <w:vMerge/>
            <w:shd w:val="clear" w:color="auto" w:fill="8C1E00" w:themeFill="accent1"/>
          </w:tcPr>
          <w:p w14:paraId="09689EA5" w14:textId="77777777" w:rsidR="000A7696" w:rsidRPr="00751078" w:rsidRDefault="000A7696" w:rsidP="00367673">
            <w:pPr>
              <w:rPr>
                <w:rFonts w:cstheme="minorHAnsi"/>
              </w:rPr>
            </w:pPr>
          </w:p>
        </w:tc>
        <w:tc>
          <w:tcPr>
            <w:tcW w:w="3119" w:type="dxa"/>
            <w:shd w:val="clear" w:color="auto" w:fill="8C1E00" w:themeFill="accent1"/>
          </w:tcPr>
          <w:p w14:paraId="0D9AE867" w14:textId="77777777" w:rsidR="000A7696" w:rsidRPr="00751078" w:rsidRDefault="000A7696" w:rsidP="00367673">
            <w:pPr>
              <w:pStyle w:val="TableParagraph"/>
              <w:spacing w:before="0" w:line="252" w:lineRule="exact"/>
              <w:ind w:left="511" w:hanging="171"/>
              <w:rPr>
                <w:rFonts w:asciiTheme="minorHAnsi" w:hAnsiTheme="minorHAnsi" w:cstheme="minorHAnsi"/>
                <w:b/>
              </w:rPr>
            </w:pPr>
            <w:r w:rsidRPr="00751078">
              <w:rPr>
                <w:rFonts w:asciiTheme="minorHAnsi" w:hAnsiTheme="minorHAnsi" w:cstheme="minorHAnsi"/>
                <w:b/>
                <w:color w:val="FFFFFF"/>
              </w:rPr>
              <w:t>Principal</w:t>
            </w:r>
            <w:r w:rsidRPr="00751078">
              <w:rPr>
                <w:rFonts w:asciiTheme="minorHAnsi" w:hAnsiTheme="minorHAnsi" w:cstheme="minorHAnsi"/>
                <w:b/>
                <w:color w:val="FFFFFF"/>
                <w:spacing w:val="-16"/>
              </w:rPr>
              <w:t xml:space="preserve"> </w:t>
            </w:r>
            <w:r w:rsidRPr="00751078">
              <w:rPr>
                <w:rFonts w:asciiTheme="minorHAnsi" w:hAnsiTheme="minorHAnsi" w:cstheme="minorHAnsi"/>
                <w:b/>
                <w:color w:val="FFFFFF"/>
              </w:rPr>
              <w:t xml:space="preserve">CDI </w:t>
            </w:r>
            <w:r w:rsidRPr="00751078">
              <w:rPr>
                <w:rFonts w:asciiTheme="minorHAnsi" w:hAnsiTheme="minorHAnsi" w:cstheme="minorHAnsi"/>
                <w:b/>
                <w:color w:val="FFFFFF"/>
                <w:spacing w:val="-2"/>
              </w:rPr>
              <w:t>diagnosis</w:t>
            </w:r>
          </w:p>
        </w:tc>
        <w:tc>
          <w:tcPr>
            <w:tcW w:w="2126" w:type="dxa"/>
            <w:shd w:val="clear" w:color="auto" w:fill="8C1E00" w:themeFill="accent1"/>
          </w:tcPr>
          <w:p w14:paraId="0AD25D56" w14:textId="77777777" w:rsidR="000A7696" w:rsidRPr="00751078" w:rsidRDefault="000A7696" w:rsidP="00367673">
            <w:pPr>
              <w:pStyle w:val="TableParagraph"/>
              <w:spacing w:before="0" w:line="252" w:lineRule="exact"/>
              <w:ind w:left="292" w:firstLine="24"/>
              <w:rPr>
                <w:rFonts w:asciiTheme="minorHAnsi" w:hAnsiTheme="minorHAnsi" w:cstheme="minorHAnsi"/>
                <w:b/>
              </w:rPr>
            </w:pPr>
            <w:r w:rsidRPr="00751078">
              <w:rPr>
                <w:rFonts w:asciiTheme="minorHAnsi" w:hAnsiTheme="minorHAnsi" w:cstheme="minorHAnsi"/>
                <w:b/>
                <w:color w:val="FFFFFF"/>
                <w:spacing w:val="-2"/>
              </w:rPr>
              <w:t xml:space="preserve">Non-principal </w:t>
            </w:r>
            <w:r w:rsidRPr="00751078">
              <w:rPr>
                <w:rFonts w:asciiTheme="minorHAnsi" w:hAnsiTheme="minorHAnsi" w:cstheme="minorHAnsi"/>
                <w:b/>
                <w:color w:val="FFFFFF"/>
              </w:rPr>
              <w:t>CDI</w:t>
            </w:r>
            <w:r w:rsidRPr="00751078">
              <w:rPr>
                <w:rFonts w:asciiTheme="minorHAnsi" w:hAnsiTheme="minorHAnsi" w:cstheme="minorHAnsi"/>
                <w:b/>
                <w:color w:val="FFFFFF"/>
                <w:spacing w:val="-2"/>
              </w:rPr>
              <w:t xml:space="preserve"> diagnosis</w:t>
            </w:r>
          </w:p>
        </w:tc>
        <w:tc>
          <w:tcPr>
            <w:tcW w:w="2663" w:type="dxa"/>
            <w:shd w:val="clear" w:color="auto" w:fill="8C1E00" w:themeFill="accent1"/>
          </w:tcPr>
          <w:p w14:paraId="43535C45" w14:textId="77777777" w:rsidR="000A7696" w:rsidRPr="00751078" w:rsidRDefault="000A7696" w:rsidP="00367673">
            <w:pPr>
              <w:pStyle w:val="TableParagraph"/>
              <w:spacing w:before="0" w:line="252" w:lineRule="exact"/>
              <w:ind w:left="511" w:firstLine="86"/>
              <w:rPr>
                <w:rFonts w:asciiTheme="minorHAnsi" w:hAnsiTheme="minorHAnsi" w:cstheme="minorHAnsi"/>
                <w:b/>
              </w:rPr>
            </w:pPr>
            <w:r w:rsidRPr="00751078">
              <w:rPr>
                <w:rFonts w:asciiTheme="minorHAnsi" w:hAnsiTheme="minorHAnsi" w:cstheme="minorHAnsi"/>
                <w:b/>
                <w:color w:val="FFFFFF"/>
              </w:rPr>
              <w:t xml:space="preserve">Any CDI </w:t>
            </w:r>
            <w:r w:rsidRPr="00751078">
              <w:rPr>
                <w:rFonts w:asciiTheme="minorHAnsi" w:hAnsiTheme="minorHAnsi" w:cstheme="minorHAnsi"/>
                <w:b/>
                <w:color w:val="FFFFFF"/>
                <w:spacing w:val="-2"/>
              </w:rPr>
              <w:t>diagnosis</w:t>
            </w:r>
          </w:p>
        </w:tc>
      </w:tr>
      <w:tr w:rsidR="000A7696" w:rsidRPr="00751078" w14:paraId="2B2D1434" w14:textId="77777777" w:rsidTr="002F6516">
        <w:trPr>
          <w:cnfStyle w:val="000000010000" w:firstRow="0" w:lastRow="0" w:firstColumn="0" w:lastColumn="0" w:oddVBand="0" w:evenVBand="0" w:oddHBand="0" w:evenHBand="1" w:firstRowFirstColumn="0" w:firstRowLastColumn="0" w:lastRowFirstColumn="0" w:lastRowLastColumn="0"/>
          <w:trHeight w:val="397"/>
        </w:trPr>
        <w:tc>
          <w:tcPr>
            <w:tcW w:w="1381" w:type="dxa"/>
          </w:tcPr>
          <w:p w14:paraId="7196855F" w14:textId="77777777" w:rsidR="000A7696" w:rsidRPr="00751078" w:rsidRDefault="000A7696" w:rsidP="00367673">
            <w:pPr>
              <w:pStyle w:val="TableParagraph"/>
              <w:ind w:left="20" w:right="6"/>
              <w:jc w:val="center"/>
              <w:rPr>
                <w:rFonts w:asciiTheme="minorHAnsi" w:hAnsiTheme="minorHAnsi" w:cstheme="minorHAnsi"/>
                <w:spacing w:val="-4"/>
              </w:rPr>
            </w:pPr>
            <w:r>
              <w:rPr>
                <w:rFonts w:asciiTheme="minorHAnsi" w:hAnsiTheme="minorHAnsi" w:cstheme="minorHAnsi"/>
                <w:spacing w:val="-4"/>
              </w:rPr>
              <w:t>2016</w:t>
            </w:r>
          </w:p>
        </w:tc>
        <w:tc>
          <w:tcPr>
            <w:tcW w:w="3119" w:type="dxa"/>
          </w:tcPr>
          <w:p w14:paraId="368770F1" w14:textId="77777777" w:rsidR="000A7696" w:rsidRPr="00751078" w:rsidRDefault="000A7696" w:rsidP="00367673">
            <w:pPr>
              <w:pStyle w:val="TableParagraph"/>
              <w:ind w:left="22" w:right="3"/>
              <w:jc w:val="center"/>
              <w:rPr>
                <w:rFonts w:asciiTheme="minorHAnsi" w:hAnsiTheme="minorHAnsi" w:cstheme="minorHAnsi"/>
                <w:spacing w:val="-4"/>
              </w:rPr>
            </w:pPr>
            <w:r>
              <w:rPr>
                <w:rFonts w:asciiTheme="minorHAnsi" w:hAnsiTheme="minorHAnsi" w:cstheme="minorHAnsi"/>
                <w:spacing w:val="-4"/>
              </w:rPr>
              <w:t>7.38</w:t>
            </w:r>
          </w:p>
        </w:tc>
        <w:tc>
          <w:tcPr>
            <w:tcW w:w="2126" w:type="dxa"/>
          </w:tcPr>
          <w:p w14:paraId="0504A8E4" w14:textId="77777777" w:rsidR="000A7696" w:rsidRPr="00751078" w:rsidRDefault="000A7696" w:rsidP="00367673">
            <w:pPr>
              <w:pStyle w:val="TableParagraph"/>
              <w:ind w:left="22"/>
              <w:jc w:val="center"/>
              <w:rPr>
                <w:rFonts w:asciiTheme="minorHAnsi" w:hAnsiTheme="minorHAnsi" w:cstheme="minorHAnsi"/>
                <w:spacing w:val="-2"/>
              </w:rPr>
            </w:pPr>
            <w:r>
              <w:rPr>
                <w:rFonts w:asciiTheme="minorHAnsi" w:hAnsiTheme="minorHAnsi" w:cstheme="minorHAnsi"/>
                <w:spacing w:val="-2"/>
              </w:rPr>
              <w:t>19.78</w:t>
            </w:r>
          </w:p>
        </w:tc>
        <w:tc>
          <w:tcPr>
            <w:tcW w:w="2663" w:type="dxa"/>
          </w:tcPr>
          <w:p w14:paraId="1ECFF66A" w14:textId="77777777" w:rsidR="000A7696" w:rsidRPr="00751078" w:rsidRDefault="000A7696" w:rsidP="00367673">
            <w:pPr>
              <w:pStyle w:val="TableParagraph"/>
              <w:ind w:left="20"/>
              <w:jc w:val="center"/>
              <w:rPr>
                <w:rFonts w:asciiTheme="minorHAnsi" w:hAnsiTheme="minorHAnsi" w:cstheme="minorHAnsi"/>
                <w:spacing w:val="-2"/>
              </w:rPr>
            </w:pPr>
            <w:r>
              <w:rPr>
                <w:rFonts w:asciiTheme="minorHAnsi" w:hAnsiTheme="minorHAnsi" w:cstheme="minorHAnsi"/>
                <w:spacing w:val="-2"/>
              </w:rPr>
              <w:t>16.08</w:t>
            </w:r>
          </w:p>
        </w:tc>
      </w:tr>
      <w:tr w:rsidR="000A7696" w:rsidRPr="00751078" w14:paraId="3479B0F6" w14:textId="77777777" w:rsidTr="002F6516">
        <w:trPr>
          <w:trHeight w:val="397"/>
        </w:trPr>
        <w:tc>
          <w:tcPr>
            <w:tcW w:w="1381" w:type="dxa"/>
          </w:tcPr>
          <w:p w14:paraId="7B6CE49B" w14:textId="77777777" w:rsidR="000A7696" w:rsidRPr="00751078" w:rsidRDefault="000A7696" w:rsidP="00367673">
            <w:pPr>
              <w:pStyle w:val="TableParagraph"/>
              <w:ind w:left="20" w:right="6"/>
              <w:jc w:val="center"/>
              <w:rPr>
                <w:rFonts w:asciiTheme="minorHAnsi" w:hAnsiTheme="minorHAnsi" w:cstheme="minorHAnsi"/>
              </w:rPr>
            </w:pPr>
            <w:r w:rsidRPr="00751078">
              <w:rPr>
                <w:rFonts w:asciiTheme="minorHAnsi" w:hAnsiTheme="minorHAnsi" w:cstheme="minorHAnsi"/>
                <w:spacing w:val="-4"/>
              </w:rPr>
              <w:t>2017</w:t>
            </w:r>
          </w:p>
        </w:tc>
        <w:tc>
          <w:tcPr>
            <w:tcW w:w="3119" w:type="dxa"/>
          </w:tcPr>
          <w:p w14:paraId="1B8B06B9" w14:textId="77777777" w:rsidR="000A7696" w:rsidRPr="00751078" w:rsidRDefault="000A7696" w:rsidP="00367673">
            <w:pPr>
              <w:pStyle w:val="TableParagraph"/>
              <w:ind w:left="22" w:right="3"/>
              <w:jc w:val="center"/>
              <w:rPr>
                <w:rFonts w:asciiTheme="minorHAnsi" w:hAnsiTheme="minorHAnsi" w:cstheme="minorHAnsi"/>
              </w:rPr>
            </w:pPr>
            <w:r w:rsidRPr="00751078">
              <w:rPr>
                <w:rFonts w:asciiTheme="minorHAnsi" w:hAnsiTheme="minorHAnsi" w:cstheme="minorHAnsi"/>
                <w:spacing w:val="-4"/>
              </w:rPr>
              <w:t>7.76</w:t>
            </w:r>
          </w:p>
        </w:tc>
        <w:tc>
          <w:tcPr>
            <w:tcW w:w="2126" w:type="dxa"/>
          </w:tcPr>
          <w:p w14:paraId="3F8D96C9" w14:textId="77777777" w:rsidR="000A7696" w:rsidRPr="00751078" w:rsidRDefault="000A7696" w:rsidP="00367673">
            <w:pPr>
              <w:pStyle w:val="TableParagraph"/>
              <w:ind w:left="22"/>
              <w:jc w:val="center"/>
              <w:rPr>
                <w:rFonts w:asciiTheme="minorHAnsi" w:hAnsiTheme="minorHAnsi" w:cstheme="minorHAnsi"/>
              </w:rPr>
            </w:pPr>
            <w:r w:rsidRPr="00751078">
              <w:rPr>
                <w:rFonts w:asciiTheme="minorHAnsi" w:hAnsiTheme="minorHAnsi" w:cstheme="minorHAnsi"/>
                <w:spacing w:val="-2"/>
              </w:rPr>
              <w:t>19.99</w:t>
            </w:r>
          </w:p>
        </w:tc>
        <w:tc>
          <w:tcPr>
            <w:tcW w:w="2663" w:type="dxa"/>
          </w:tcPr>
          <w:p w14:paraId="35DE83F9" w14:textId="77777777" w:rsidR="000A7696" w:rsidRPr="00751078" w:rsidRDefault="000A7696" w:rsidP="00367673">
            <w:pPr>
              <w:pStyle w:val="TableParagraph"/>
              <w:ind w:left="20"/>
              <w:jc w:val="center"/>
              <w:rPr>
                <w:rFonts w:asciiTheme="minorHAnsi" w:hAnsiTheme="minorHAnsi" w:cstheme="minorHAnsi"/>
              </w:rPr>
            </w:pPr>
            <w:r w:rsidRPr="00751078">
              <w:rPr>
                <w:rFonts w:asciiTheme="minorHAnsi" w:hAnsiTheme="minorHAnsi" w:cstheme="minorHAnsi"/>
                <w:spacing w:val="-2"/>
              </w:rPr>
              <w:t>16.16</w:t>
            </w:r>
          </w:p>
        </w:tc>
      </w:tr>
      <w:tr w:rsidR="000A7696" w:rsidRPr="00751078" w14:paraId="629ABEC2" w14:textId="77777777" w:rsidTr="002F6516">
        <w:trPr>
          <w:cnfStyle w:val="000000010000" w:firstRow="0" w:lastRow="0" w:firstColumn="0" w:lastColumn="0" w:oddVBand="0" w:evenVBand="0" w:oddHBand="0" w:evenHBand="1" w:firstRowFirstColumn="0" w:firstRowLastColumn="0" w:lastRowFirstColumn="0" w:lastRowLastColumn="0"/>
          <w:trHeight w:val="397"/>
        </w:trPr>
        <w:tc>
          <w:tcPr>
            <w:tcW w:w="1381" w:type="dxa"/>
          </w:tcPr>
          <w:p w14:paraId="3B86AE7A" w14:textId="77777777" w:rsidR="000A7696" w:rsidRPr="00751078" w:rsidRDefault="000A7696" w:rsidP="00367673">
            <w:pPr>
              <w:pStyle w:val="TableParagraph"/>
              <w:ind w:left="20" w:right="6"/>
              <w:jc w:val="center"/>
              <w:rPr>
                <w:rFonts w:asciiTheme="minorHAnsi" w:hAnsiTheme="minorHAnsi" w:cstheme="minorHAnsi"/>
              </w:rPr>
            </w:pPr>
            <w:r w:rsidRPr="00751078">
              <w:rPr>
                <w:rFonts w:asciiTheme="minorHAnsi" w:hAnsiTheme="minorHAnsi" w:cstheme="minorHAnsi"/>
                <w:spacing w:val="-4"/>
              </w:rPr>
              <w:t>2018</w:t>
            </w:r>
          </w:p>
        </w:tc>
        <w:tc>
          <w:tcPr>
            <w:tcW w:w="3119" w:type="dxa"/>
          </w:tcPr>
          <w:p w14:paraId="38E04162" w14:textId="77777777" w:rsidR="000A7696" w:rsidRPr="00751078" w:rsidRDefault="000A7696" w:rsidP="00367673">
            <w:pPr>
              <w:pStyle w:val="TableParagraph"/>
              <w:ind w:left="22" w:right="3"/>
              <w:jc w:val="center"/>
              <w:rPr>
                <w:rFonts w:asciiTheme="minorHAnsi" w:hAnsiTheme="minorHAnsi" w:cstheme="minorHAnsi"/>
              </w:rPr>
            </w:pPr>
            <w:r w:rsidRPr="00751078">
              <w:rPr>
                <w:rFonts w:asciiTheme="minorHAnsi" w:hAnsiTheme="minorHAnsi" w:cstheme="minorHAnsi"/>
                <w:spacing w:val="-4"/>
              </w:rPr>
              <w:t>7.01</w:t>
            </w:r>
          </w:p>
        </w:tc>
        <w:tc>
          <w:tcPr>
            <w:tcW w:w="2126" w:type="dxa"/>
          </w:tcPr>
          <w:p w14:paraId="0E3915E3" w14:textId="77777777" w:rsidR="000A7696" w:rsidRPr="00751078" w:rsidRDefault="000A7696" w:rsidP="00367673">
            <w:pPr>
              <w:pStyle w:val="TableParagraph"/>
              <w:ind w:left="22"/>
              <w:jc w:val="center"/>
              <w:rPr>
                <w:rFonts w:asciiTheme="minorHAnsi" w:hAnsiTheme="minorHAnsi" w:cstheme="minorHAnsi"/>
              </w:rPr>
            </w:pPr>
            <w:r w:rsidRPr="00751078">
              <w:rPr>
                <w:rFonts w:asciiTheme="minorHAnsi" w:hAnsiTheme="minorHAnsi" w:cstheme="minorHAnsi"/>
                <w:spacing w:val="-2"/>
              </w:rPr>
              <w:t>19.56</w:t>
            </w:r>
          </w:p>
        </w:tc>
        <w:tc>
          <w:tcPr>
            <w:tcW w:w="2663" w:type="dxa"/>
          </w:tcPr>
          <w:p w14:paraId="3F094B4E" w14:textId="77777777" w:rsidR="000A7696" w:rsidRPr="00751078" w:rsidRDefault="000A7696" w:rsidP="00367673">
            <w:pPr>
              <w:pStyle w:val="TableParagraph"/>
              <w:ind w:left="20"/>
              <w:jc w:val="center"/>
              <w:rPr>
                <w:rFonts w:asciiTheme="minorHAnsi" w:hAnsiTheme="minorHAnsi" w:cstheme="minorHAnsi"/>
              </w:rPr>
            </w:pPr>
            <w:r w:rsidRPr="00751078">
              <w:rPr>
                <w:rFonts w:asciiTheme="minorHAnsi" w:hAnsiTheme="minorHAnsi" w:cstheme="minorHAnsi"/>
                <w:spacing w:val="-2"/>
              </w:rPr>
              <w:t>15.64</w:t>
            </w:r>
          </w:p>
        </w:tc>
      </w:tr>
      <w:tr w:rsidR="000A7696" w:rsidRPr="00751078" w14:paraId="2C74EBAC" w14:textId="77777777" w:rsidTr="002F6516">
        <w:trPr>
          <w:trHeight w:val="397"/>
        </w:trPr>
        <w:tc>
          <w:tcPr>
            <w:tcW w:w="1381" w:type="dxa"/>
          </w:tcPr>
          <w:p w14:paraId="659506FE" w14:textId="77777777" w:rsidR="000A7696" w:rsidRPr="00751078" w:rsidRDefault="000A7696" w:rsidP="00367673">
            <w:pPr>
              <w:pStyle w:val="TableParagraph"/>
              <w:ind w:left="20" w:right="6"/>
              <w:jc w:val="center"/>
              <w:rPr>
                <w:rFonts w:asciiTheme="minorHAnsi" w:hAnsiTheme="minorHAnsi" w:cstheme="minorHAnsi"/>
              </w:rPr>
            </w:pPr>
            <w:r w:rsidRPr="00751078">
              <w:rPr>
                <w:rFonts w:asciiTheme="minorHAnsi" w:hAnsiTheme="minorHAnsi" w:cstheme="minorHAnsi"/>
                <w:spacing w:val="-4"/>
              </w:rPr>
              <w:t>2019</w:t>
            </w:r>
          </w:p>
        </w:tc>
        <w:tc>
          <w:tcPr>
            <w:tcW w:w="3119" w:type="dxa"/>
          </w:tcPr>
          <w:p w14:paraId="213A3B68" w14:textId="77777777" w:rsidR="000A7696" w:rsidRPr="00751078" w:rsidRDefault="000A7696" w:rsidP="00367673">
            <w:pPr>
              <w:pStyle w:val="TableParagraph"/>
              <w:spacing w:before="67" w:line="232" w:lineRule="exact"/>
              <w:ind w:left="22" w:right="3"/>
              <w:jc w:val="center"/>
              <w:rPr>
                <w:rFonts w:asciiTheme="minorHAnsi" w:hAnsiTheme="minorHAnsi" w:cstheme="minorHAnsi"/>
              </w:rPr>
            </w:pPr>
            <w:r w:rsidRPr="00751078">
              <w:rPr>
                <w:rFonts w:asciiTheme="minorHAnsi" w:hAnsiTheme="minorHAnsi" w:cstheme="minorHAnsi"/>
                <w:spacing w:val="-4"/>
              </w:rPr>
              <w:t>6.94</w:t>
            </w:r>
          </w:p>
        </w:tc>
        <w:tc>
          <w:tcPr>
            <w:tcW w:w="2126" w:type="dxa"/>
          </w:tcPr>
          <w:p w14:paraId="5205C54B" w14:textId="77777777" w:rsidR="000A7696" w:rsidRPr="00751078" w:rsidRDefault="000A7696" w:rsidP="00367673">
            <w:pPr>
              <w:pStyle w:val="TableParagraph"/>
              <w:spacing w:before="67" w:line="232" w:lineRule="exact"/>
              <w:ind w:left="22"/>
              <w:jc w:val="center"/>
              <w:rPr>
                <w:rFonts w:asciiTheme="minorHAnsi" w:hAnsiTheme="minorHAnsi" w:cstheme="minorHAnsi"/>
              </w:rPr>
            </w:pPr>
            <w:r w:rsidRPr="00751078">
              <w:rPr>
                <w:rFonts w:asciiTheme="minorHAnsi" w:hAnsiTheme="minorHAnsi" w:cstheme="minorHAnsi"/>
                <w:spacing w:val="-2"/>
              </w:rPr>
              <w:t>20.11</w:t>
            </w:r>
          </w:p>
        </w:tc>
        <w:tc>
          <w:tcPr>
            <w:tcW w:w="2663" w:type="dxa"/>
          </w:tcPr>
          <w:p w14:paraId="426EB725" w14:textId="77777777" w:rsidR="000A7696" w:rsidRPr="00751078" w:rsidRDefault="000A7696" w:rsidP="00367673">
            <w:pPr>
              <w:pStyle w:val="TableParagraph"/>
              <w:spacing w:before="67" w:line="232" w:lineRule="exact"/>
              <w:ind w:left="20"/>
              <w:jc w:val="center"/>
              <w:rPr>
                <w:rFonts w:asciiTheme="minorHAnsi" w:hAnsiTheme="minorHAnsi" w:cstheme="minorHAnsi"/>
              </w:rPr>
            </w:pPr>
            <w:r w:rsidRPr="00751078">
              <w:rPr>
                <w:rFonts w:asciiTheme="minorHAnsi" w:hAnsiTheme="minorHAnsi" w:cstheme="minorHAnsi"/>
                <w:spacing w:val="-2"/>
              </w:rPr>
              <w:t>15.97</w:t>
            </w:r>
          </w:p>
        </w:tc>
      </w:tr>
      <w:tr w:rsidR="000A7696" w:rsidRPr="00751078" w14:paraId="0FEC3171" w14:textId="77777777" w:rsidTr="002F6516">
        <w:trPr>
          <w:cnfStyle w:val="000000010000" w:firstRow="0" w:lastRow="0" w:firstColumn="0" w:lastColumn="0" w:oddVBand="0" w:evenVBand="0" w:oddHBand="0" w:evenHBand="1" w:firstRowFirstColumn="0" w:firstRowLastColumn="0" w:lastRowFirstColumn="0" w:lastRowLastColumn="0"/>
          <w:trHeight w:val="397"/>
        </w:trPr>
        <w:tc>
          <w:tcPr>
            <w:tcW w:w="1381" w:type="dxa"/>
          </w:tcPr>
          <w:p w14:paraId="1C81E82C" w14:textId="77777777" w:rsidR="000A7696" w:rsidRPr="00751078" w:rsidRDefault="000A7696" w:rsidP="00367673">
            <w:pPr>
              <w:pStyle w:val="TableParagraph"/>
              <w:ind w:left="20" w:right="6"/>
              <w:jc w:val="center"/>
              <w:rPr>
                <w:rFonts w:asciiTheme="minorHAnsi" w:hAnsiTheme="minorHAnsi" w:cstheme="minorHAnsi"/>
              </w:rPr>
            </w:pPr>
            <w:r w:rsidRPr="00751078">
              <w:rPr>
                <w:rFonts w:asciiTheme="minorHAnsi" w:hAnsiTheme="minorHAnsi" w:cstheme="minorHAnsi"/>
                <w:spacing w:val="-4"/>
              </w:rPr>
              <w:t>2020</w:t>
            </w:r>
          </w:p>
        </w:tc>
        <w:tc>
          <w:tcPr>
            <w:tcW w:w="3119" w:type="dxa"/>
          </w:tcPr>
          <w:p w14:paraId="3EB4ACC9" w14:textId="77777777" w:rsidR="000A7696" w:rsidRPr="00751078" w:rsidRDefault="000A7696" w:rsidP="00367673">
            <w:pPr>
              <w:pStyle w:val="TableParagraph"/>
              <w:ind w:left="22" w:right="3"/>
              <w:jc w:val="center"/>
              <w:rPr>
                <w:rFonts w:asciiTheme="minorHAnsi" w:hAnsiTheme="minorHAnsi" w:cstheme="minorHAnsi"/>
              </w:rPr>
            </w:pPr>
            <w:r w:rsidRPr="00751078">
              <w:rPr>
                <w:rFonts w:asciiTheme="minorHAnsi" w:hAnsiTheme="minorHAnsi" w:cstheme="minorHAnsi"/>
                <w:spacing w:val="-4"/>
              </w:rPr>
              <w:t>7.30</w:t>
            </w:r>
          </w:p>
        </w:tc>
        <w:tc>
          <w:tcPr>
            <w:tcW w:w="2126" w:type="dxa"/>
          </w:tcPr>
          <w:p w14:paraId="34557BD4" w14:textId="77777777" w:rsidR="000A7696" w:rsidRPr="00751078" w:rsidRDefault="000A7696" w:rsidP="00367673">
            <w:pPr>
              <w:pStyle w:val="TableParagraph"/>
              <w:ind w:left="22"/>
              <w:jc w:val="center"/>
              <w:rPr>
                <w:rFonts w:asciiTheme="minorHAnsi" w:hAnsiTheme="minorHAnsi" w:cstheme="minorHAnsi"/>
              </w:rPr>
            </w:pPr>
            <w:r w:rsidRPr="00751078">
              <w:rPr>
                <w:rFonts w:asciiTheme="minorHAnsi" w:hAnsiTheme="minorHAnsi" w:cstheme="minorHAnsi"/>
                <w:spacing w:val="-2"/>
              </w:rPr>
              <w:t>19.39</w:t>
            </w:r>
          </w:p>
        </w:tc>
        <w:tc>
          <w:tcPr>
            <w:tcW w:w="2663" w:type="dxa"/>
          </w:tcPr>
          <w:p w14:paraId="4E7C4191" w14:textId="77777777" w:rsidR="000A7696" w:rsidRPr="00751078" w:rsidRDefault="000A7696" w:rsidP="00367673">
            <w:pPr>
              <w:pStyle w:val="TableParagraph"/>
              <w:ind w:left="20"/>
              <w:jc w:val="center"/>
              <w:rPr>
                <w:rFonts w:asciiTheme="minorHAnsi" w:hAnsiTheme="minorHAnsi" w:cstheme="minorHAnsi"/>
              </w:rPr>
            </w:pPr>
            <w:r w:rsidRPr="00751078">
              <w:rPr>
                <w:rFonts w:asciiTheme="minorHAnsi" w:hAnsiTheme="minorHAnsi" w:cstheme="minorHAnsi"/>
                <w:spacing w:val="-2"/>
              </w:rPr>
              <w:t>15.46</w:t>
            </w:r>
          </w:p>
        </w:tc>
      </w:tr>
      <w:tr w:rsidR="000A7696" w:rsidRPr="00751078" w14:paraId="72B4794C" w14:textId="77777777" w:rsidTr="002F6516">
        <w:trPr>
          <w:trHeight w:val="397"/>
        </w:trPr>
        <w:tc>
          <w:tcPr>
            <w:tcW w:w="1381" w:type="dxa"/>
          </w:tcPr>
          <w:p w14:paraId="733186C0" w14:textId="77777777" w:rsidR="000A7696" w:rsidRPr="00751078" w:rsidRDefault="000A7696" w:rsidP="00367673">
            <w:pPr>
              <w:pStyle w:val="TableParagraph"/>
              <w:ind w:left="20" w:right="6"/>
              <w:jc w:val="center"/>
              <w:rPr>
                <w:rFonts w:asciiTheme="minorHAnsi" w:hAnsiTheme="minorHAnsi" w:cstheme="minorHAnsi"/>
              </w:rPr>
            </w:pPr>
            <w:r w:rsidRPr="00751078">
              <w:rPr>
                <w:rFonts w:asciiTheme="minorHAnsi" w:hAnsiTheme="minorHAnsi" w:cstheme="minorHAnsi"/>
                <w:spacing w:val="-4"/>
              </w:rPr>
              <w:t>2021</w:t>
            </w:r>
          </w:p>
        </w:tc>
        <w:tc>
          <w:tcPr>
            <w:tcW w:w="3119" w:type="dxa"/>
          </w:tcPr>
          <w:p w14:paraId="4E0B77A0" w14:textId="77777777" w:rsidR="000A7696" w:rsidRPr="00751078" w:rsidRDefault="000A7696" w:rsidP="00367673">
            <w:pPr>
              <w:pStyle w:val="TableParagraph"/>
              <w:spacing w:before="67" w:line="234" w:lineRule="exact"/>
              <w:ind w:left="22" w:right="3"/>
              <w:jc w:val="center"/>
              <w:rPr>
                <w:rFonts w:asciiTheme="minorHAnsi" w:hAnsiTheme="minorHAnsi" w:cstheme="minorHAnsi"/>
              </w:rPr>
            </w:pPr>
            <w:r w:rsidRPr="00751078">
              <w:rPr>
                <w:rFonts w:asciiTheme="minorHAnsi" w:hAnsiTheme="minorHAnsi" w:cstheme="minorHAnsi"/>
                <w:spacing w:val="-4"/>
              </w:rPr>
              <w:t>7.45</w:t>
            </w:r>
          </w:p>
        </w:tc>
        <w:tc>
          <w:tcPr>
            <w:tcW w:w="2126" w:type="dxa"/>
          </w:tcPr>
          <w:p w14:paraId="28F902FA" w14:textId="77777777" w:rsidR="000A7696" w:rsidRPr="00751078" w:rsidRDefault="000A7696" w:rsidP="00367673">
            <w:pPr>
              <w:pStyle w:val="TableParagraph"/>
              <w:spacing w:before="67" w:line="234" w:lineRule="exact"/>
              <w:ind w:left="22"/>
              <w:jc w:val="center"/>
              <w:rPr>
                <w:rFonts w:asciiTheme="minorHAnsi" w:hAnsiTheme="minorHAnsi" w:cstheme="minorHAnsi"/>
              </w:rPr>
            </w:pPr>
            <w:r w:rsidRPr="00751078">
              <w:rPr>
                <w:rFonts w:asciiTheme="minorHAnsi" w:hAnsiTheme="minorHAnsi" w:cstheme="minorHAnsi"/>
                <w:spacing w:val="-2"/>
              </w:rPr>
              <w:t>19.89</w:t>
            </w:r>
          </w:p>
        </w:tc>
        <w:tc>
          <w:tcPr>
            <w:tcW w:w="2663" w:type="dxa"/>
          </w:tcPr>
          <w:p w14:paraId="73F40017" w14:textId="77777777" w:rsidR="000A7696" w:rsidRPr="00751078" w:rsidRDefault="000A7696" w:rsidP="00367673">
            <w:pPr>
              <w:pStyle w:val="TableParagraph"/>
              <w:spacing w:before="67" w:line="234" w:lineRule="exact"/>
              <w:ind w:left="20"/>
              <w:jc w:val="center"/>
              <w:rPr>
                <w:rFonts w:asciiTheme="minorHAnsi" w:hAnsiTheme="minorHAnsi" w:cstheme="minorHAnsi"/>
              </w:rPr>
            </w:pPr>
            <w:r w:rsidRPr="00751078">
              <w:rPr>
                <w:rFonts w:asciiTheme="minorHAnsi" w:hAnsiTheme="minorHAnsi" w:cstheme="minorHAnsi"/>
                <w:spacing w:val="-2"/>
              </w:rPr>
              <w:t>15.69</w:t>
            </w:r>
          </w:p>
        </w:tc>
      </w:tr>
      <w:tr w:rsidR="000A7696" w:rsidRPr="00751078" w14:paraId="3C9DB48B" w14:textId="77777777" w:rsidTr="002F6516">
        <w:trPr>
          <w:cnfStyle w:val="000000010000" w:firstRow="0" w:lastRow="0" w:firstColumn="0" w:lastColumn="0" w:oddVBand="0" w:evenVBand="0" w:oddHBand="0" w:evenHBand="1" w:firstRowFirstColumn="0" w:firstRowLastColumn="0" w:lastRowFirstColumn="0" w:lastRowLastColumn="0"/>
          <w:trHeight w:val="397"/>
        </w:trPr>
        <w:tc>
          <w:tcPr>
            <w:tcW w:w="1381" w:type="dxa"/>
          </w:tcPr>
          <w:p w14:paraId="109E5E0F" w14:textId="77777777" w:rsidR="000A7696" w:rsidRPr="00751078" w:rsidRDefault="000A7696" w:rsidP="00367673">
            <w:pPr>
              <w:pStyle w:val="TableParagraph"/>
              <w:ind w:left="20" w:right="6"/>
              <w:jc w:val="center"/>
              <w:rPr>
                <w:rFonts w:asciiTheme="minorHAnsi" w:hAnsiTheme="minorHAnsi" w:cstheme="minorHAnsi"/>
                <w:spacing w:val="-4"/>
              </w:rPr>
            </w:pPr>
            <w:r w:rsidRPr="00751078">
              <w:rPr>
                <w:rFonts w:asciiTheme="minorHAnsi" w:hAnsiTheme="minorHAnsi" w:cstheme="minorHAnsi"/>
                <w:spacing w:val="-4"/>
              </w:rPr>
              <w:t>2022</w:t>
            </w:r>
          </w:p>
        </w:tc>
        <w:tc>
          <w:tcPr>
            <w:tcW w:w="3119" w:type="dxa"/>
          </w:tcPr>
          <w:p w14:paraId="268B2C42" w14:textId="77777777" w:rsidR="000A7696" w:rsidRPr="00751078" w:rsidRDefault="000A7696" w:rsidP="00367673">
            <w:pPr>
              <w:pStyle w:val="TableParagraph"/>
              <w:spacing w:before="67" w:line="234" w:lineRule="exact"/>
              <w:ind w:left="22" w:right="3"/>
              <w:jc w:val="center"/>
              <w:rPr>
                <w:rFonts w:asciiTheme="minorHAnsi" w:hAnsiTheme="minorHAnsi" w:cstheme="minorHAnsi"/>
                <w:spacing w:val="-4"/>
              </w:rPr>
            </w:pPr>
            <w:r w:rsidRPr="00751078">
              <w:rPr>
                <w:rFonts w:asciiTheme="minorHAnsi" w:hAnsiTheme="minorHAnsi" w:cstheme="minorHAnsi"/>
              </w:rPr>
              <w:t>7.56</w:t>
            </w:r>
          </w:p>
        </w:tc>
        <w:tc>
          <w:tcPr>
            <w:tcW w:w="2126" w:type="dxa"/>
          </w:tcPr>
          <w:p w14:paraId="442DAC67" w14:textId="77777777" w:rsidR="000A7696" w:rsidRPr="00751078" w:rsidRDefault="000A7696" w:rsidP="00367673">
            <w:pPr>
              <w:pStyle w:val="TableParagraph"/>
              <w:spacing w:before="67" w:line="234" w:lineRule="exact"/>
              <w:ind w:left="22"/>
              <w:jc w:val="center"/>
              <w:rPr>
                <w:rFonts w:asciiTheme="minorHAnsi" w:hAnsiTheme="minorHAnsi" w:cstheme="minorHAnsi"/>
                <w:spacing w:val="-2"/>
              </w:rPr>
            </w:pPr>
            <w:r w:rsidRPr="00751078">
              <w:rPr>
                <w:rFonts w:asciiTheme="minorHAnsi" w:hAnsiTheme="minorHAnsi" w:cstheme="minorHAnsi"/>
              </w:rPr>
              <w:t>21.24</w:t>
            </w:r>
          </w:p>
        </w:tc>
        <w:tc>
          <w:tcPr>
            <w:tcW w:w="2663" w:type="dxa"/>
          </w:tcPr>
          <w:p w14:paraId="273BCFC0" w14:textId="77777777" w:rsidR="000A7696" w:rsidRPr="00751078" w:rsidRDefault="000A7696" w:rsidP="00367673">
            <w:pPr>
              <w:pStyle w:val="TableParagraph"/>
              <w:spacing w:before="67" w:line="234" w:lineRule="exact"/>
              <w:ind w:left="20"/>
              <w:jc w:val="center"/>
              <w:rPr>
                <w:rFonts w:asciiTheme="minorHAnsi" w:hAnsiTheme="minorHAnsi" w:cstheme="minorHAnsi"/>
                <w:spacing w:val="-2"/>
              </w:rPr>
            </w:pPr>
            <w:r w:rsidRPr="00751078">
              <w:rPr>
                <w:rFonts w:asciiTheme="minorHAnsi" w:hAnsiTheme="minorHAnsi" w:cstheme="minorHAnsi"/>
              </w:rPr>
              <w:t>17.01</w:t>
            </w:r>
          </w:p>
        </w:tc>
      </w:tr>
      <w:tr w:rsidR="000A7696" w:rsidRPr="00751078" w14:paraId="73920150" w14:textId="77777777" w:rsidTr="002F6516">
        <w:trPr>
          <w:trHeight w:val="397"/>
        </w:trPr>
        <w:tc>
          <w:tcPr>
            <w:tcW w:w="1381" w:type="dxa"/>
          </w:tcPr>
          <w:p w14:paraId="09241064" w14:textId="77777777" w:rsidR="000A7696" w:rsidRPr="00751078" w:rsidRDefault="000A7696" w:rsidP="00367673">
            <w:pPr>
              <w:pStyle w:val="TableParagraph"/>
              <w:ind w:left="20" w:right="6"/>
              <w:jc w:val="center"/>
              <w:rPr>
                <w:rFonts w:asciiTheme="minorHAnsi" w:hAnsiTheme="minorHAnsi" w:cstheme="minorHAnsi"/>
                <w:spacing w:val="-4"/>
              </w:rPr>
            </w:pPr>
            <w:r>
              <w:rPr>
                <w:rFonts w:asciiTheme="minorHAnsi" w:hAnsiTheme="minorHAnsi" w:cstheme="minorHAnsi"/>
                <w:spacing w:val="-4"/>
              </w:rPr>
              <w:t>2023</w:t>
            </w:r>
          </w:p>
        </w:tc>
        <w:tc>
          <w:tcPr>
            <w:tcW w:w="3119" w:type="dxa"/>
          </w:tcPr>
          <w:p w14:paraId="47958247" w14:textId="77777777" w:rsidR="000A7696" w:rsidRPr="00751078" w:rsidRDefault="000A7696" w:rsidP="00367673">
            <w:pPr>
              <w:pStyle w:val="TableParagraph"/>
              <w:spacing w:before="67" w:line="234" w:lineRule="exact"/>
              <w:ind w:left="22" w:right="3"/>
              <w:jc w:val="center"/>
              <w:rPr>
                <w:rFonts w:asciiTheme="minorHAnsi" w:hAnsiTheme="minorHAnsi" w:cstheme="minorHAnsi"/>
              </w:rPr>
            </w:pPr>
            <w:r>
              <w:rPr>
                <w:rFonts w:asciiTheme="minorHAnsi" w:hAnsiTheme="minorHAnsi" w:cstheme="minorHAnsi"/>
              </w:rPr>
              <w:t>7.43</w:t>
            </w:r>
          </w:p>
        </w:tc>
        <w:tc>
          <w:tcPr>
            <w:tcW w:w="2126" w:type="dxa"/>
          </w:tcPr>
          <w:p w14:paraId="4DB3AF3D" w14:textId="77777777" w:rsidR="000A7696" w:rsidRPr="00751078" w:rsidRDefault="000A7696" w:rsidP="00367673">
            <w:pPr>
              <w:pStyle w:val="TableParagraph"/>
              <w:spacing w:before="67" w:line="234" w:lineRule="exact"/>
              <w:ind w:left="22"/>
              <w:jc w:val="center"/>
              <w:rPr>
                <w:rFonts w:asciiTheme="minorHAnsi" w:hAnsiTheme="minorHAnsi" w:cstheme="minorHAnsi"/>
              </w:rPr>
            </w:pPr>
            <w:r>
              <w:rPr>
                <w:rFonts w:asciiTheme="minorHAnsi" w:hAnsiTheme="minorHAnsi" w:cstheme="minorHAnsi"/>
              </w:rPr>
              <w:t>20.41</w:t>
            </w:r>
          </w:p>
        </w:tc>
        <w:tc>
          <w:tcPr>
            <w:tcW w:w="2663" w:type="dxa"/>
          </w:tcPr>
          <w:p w14:paraId="0156A203" w14:textId="77777777" w:rsidR="000A7696" w:rsidRPr="00751078" w:rsidRDefault="000A7696" w:rsidP="00367673">
            <w:pPr>
              <w:pStyle w:val="TableParagraph"/>
              <w:spacing w:before="67" w:line="234" w:lineRule="exact"/>
              <w:ind w:left="20"/>
              <w:jc w:val="center"/>
              <w:rPr>
                <w:rFonts w:asciiTheme="minorHAnsi" w:hAnsiTheme="minorHAnsi" w:cstheme="minorHAnsi"/>
              </w:rPr>
            </w:pPr>
            <w:r>
              <w:rPr>
                <w:rFonts w:asciiTheme="minorHAnsi" w:hAnsiTheme="minorHAnsi" w:cstheme="minorHAnsi"/>
              </w:rPr>
              <w:t>16.48</w:t>
            </w:r>
          </w:p>
        </w:tc>
      </w:tr>
    </w:tbl>
    <w:p w14:paraId="0B81A8B1" w14:textId="77777777" w:rsidR="00BC33E3" w:rsidRPr="002D3345" w:rsidRDefault="00BC33E3" w:rsidP="00BC33E3">
      <w:pPr>
        <w:pStyle w:val="Tablecaption"/>
        <w:rPr>
          <w:lang w:eastAsia="en-AU"/>
        </w:rPr>
      </w:pPr>
    </w:p>
    <w:p w14:paraId="15F3B824" w14:textId="7A165739" w:rsidR="00146F42" w:rsidRDefault="00271B27" w:rsidP="00E536C7">
      <w:pPr>
        <w:widowControl w:val="0"/>
        <w:autoSpaceDE w:val="0"/>
        <w:autoSpaceDN w:val="0"/>
        <w:spacing w:after="0" w:line="276" w:lineRule="auto"/>
        <w:rPr>
          <w:rFonts w:ascii="Arial" w:eastAsia="Arial" w:hAnsi="Arial" w:cs="Arial"/>
          <w:color w:val="auto"/>
          <w:lang w:val="en-US"/>
        </w:rPr>
      </w:pPr>
      <w:r w:rsidRPr="00271B27">
        <w:rPr>
          <w:rFonts w:ascii="Arial" w:eastAsia="Arial" w:hAnsi="Arial" w:cs="Arial"/>
          <w:color w:val="auto"/>
          <w:lang w:val="en-US"/>
        </w:rPr>
        <w:t>A lengthy hospital stay can compromise patient outcomes and is a burden on healthcare resources.</w:t>
      </w:r>
      <w:r w:rsidRPr="00271B27">
        <w:rPr>
          <w:rFonts w:ascii="Arial" w:eastAsia="Arial" w:hAnsi="Arial" w:cs="Arial"/>
          <w:color w:val="auto"/>
          <w:lang w:val="en-US"/>
        </w:rPr>
        <w:fldChar w:fldCharType="begin">
          <w:fldData xml:space="preserve">PEVuZE5vdGU+PENpdGU+PEF1dGhvcj5GaW5uPC9BdXRob3I+PFllYXI+MjAyMTwvWWVhcj48UmVj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</w:fldData>
        </w:fldChar>
      </w:r>
      <w:r w:rsidRPr="00271B27">
        <w:rPr>
          <w:rFonts w:ascii="Arial" w:eastAsia="Arial" w:hAnsi="Arial" w:cs="Arial"/>
          <w:color w:val="auto"/>
          <w:lang w:val="en-US"/>
        </w:rPr>
        <w:instrText xml:space="preserve"> ADDIN EN.CITE </w:instrText>
      </w:r>
      <w:r w:rsidRPr="00271B27">
        <w:rPr>
          <w:rFonts w:ascii="Arial" w:eastAsia="Arial" w:hAnsi="Arial" w:cs="Arial"/>
          <w:color w:val="auto"/>
          <w:lang w:val="en-US"/>
        </w:rPr>
        <w:fldChar w:fldCharType="begin">
          <w:fldData xml:space="preserve">PEVuZE5vdGU+PENpdGU+PEF1dGhvcj5GaW5uPC9BdXRob3I+PFllYXI+MjAyMTwvWWVhcj48UmVj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</w:fldData>
        </w:fldChar>
      </w:r>
      <w:r w:rsidRPr="00271B27">
        <w:rPr>
          <w:rFonts w:ascii="Arial" w:eastAsia="Arial" w:hAnsi="Arial" w:cs="Arial"/>
          <w:color w:val="auto"/>
          <w:lang w:val="en-US"/>
        </w:rPr>
        <w:instrText xml:space="preserve"> ADDIN EN.CITE.DATA </w:instrText>
      </w:r>
      <w:r w:rsidRPr="00271B27">
        <w:rPr>
          <w:rFonts w:ascii="Arial" w:eastAsia="Arial" w:hAnsi="Arial" w:cs="Arial"/>
          <w:color w:val="auto"/>
          <w:lang w:val="en-US"/>
        </w:rPr>
      </w:r>
      <w:r w:rsidRPr="00271B27">
        <w:rPr>
          <w:rFonts w:ascii="Arial" w:eastAsia="Arial" w:hAnsi="Arial" w:cs="Arial"/>
          <w:color w:val="auto"/>
          <w:lang w:val="en-US"/>
        </w:rPr>
        <w:fldChar w:fldCharType="end"/>
      </w:r>
      <w:r w:rsidRPr="00271B27">
        <w:rPr>
          <w:rFonts w:ascii="Arial" w:eastAsia="Arial" w:hAnsi="Arial" w:cs="Arial"/>
          <w:color w:val="auto"/>
          <w:lang w:val="en-US"/>
        </w:rPr>
      </w:r>
      <w:r w:rsidRPr="00271B27">
        <w:rPr>
          <w:rFonts w:ascii="Arial" w:eastAsia="Arial" w:hAnsi="Arial" w:cs="Arial"/>
          <w:color w:val="auto"/>
          <w:lang w:val="en-US"/>
        </w:rPr>
        <w:fldChar w:fldCharType="separate"/>
      </w:r>
      <w:r w:rsidRPr="00271B27">
        <w:rPr>
          <w:rFonts w:ascii="Arial" w:eastAsia="Arial" w:hAnsi="Arial" w:cs="Arial"/>
          <w:noProof/>
          <w:color w:val="auto"/>
          <w:vertAlign w:val="superscript"/>
          <w:lang w:val="en-US"/>
        </w:rPr>
        <w:t>26</w:t>
      </w:r>
      <w:r w:rsidRPr="00271B27">
        <w:rPr>
          <w:rFonts w:ascii="Arial" w:eastAsia="Arial" w:hAnsi="Arial" w:cs="Arial"/>
          <w:color w:val="auto"/>
          <w:lang w:val="en-US"/>
        </w:rPr>
        <w:fldChar w:fldCharType="end"/>
      </w:r>
      <w:r w:rsidRPr="00271B27">
        <w:rPr>
          <w:rFonts w:ascii="Arial" w:eastAsia="Arial" w:hAnsi="Arial" w:cs="Arial"/>
          <w:color w:val="auto"/>
          <w:lang w:val="en-US"/>
        </w:rPr>
        <w:t xml:space="preserve"> Patients who have an extended length of stay generally require invasive treatments and interventions, are</w:t>
      </w:r>
      <w:r w:rsidRPr="00271B27">
        <w:rPr>
          <w:rFonts w:ascii="Arial" w:eastAsia="Arial" w:hAnsi="Arial" w:cs="Arial"/>
          <w:color w:val="auto"/>
          <w:spacing w:val="-2"/>
          <w:lang w:val="en-US"/>
        </w:rPr>
        <w:t xml:space="preserve"> </w:t>
      </w:r>
      <w:r w:rsidRPr="00271B27">
        <w:rPr>
          <w:rFonts w:ascii="Arial" w:eastAsia="Arial" w:hAnsi="Arial" w:cs="Arial"/>
          <w:color w:val="auto"/>
          <w:lang w:val="en-US"/>
        </w:rPr>
        <w:t>often</w:t>
      </w:r>
      <w:r w:rsidRPr="00271B27">
        <w:rPr>
          <w:rFonts w:ascii="Arial" w:eastAsia="Arial" w:hAnsi="Arial" w:cs="Arial"/>
          <w:color w:val="auto"/>
          <w:spacing w:val="-4"/>
          <w:lang w:val="en-US"/>
        </w:rPr>
        <w:t xml:space="preserve"> </w:t>
      </w:r>
      <w:r w:rsidRPr="00271B27">
        <w:rPr>
          <w:rFonts w:ascii="Arial" w:eastAsia="Arial" w:hAnsi="Arial" w:cs="Arial"/>
          <w:color w:val="auto"/>
          <w:lang w:val="en-US"/>
        </w:rPr>
        <w:t>elderly, have</w:t>
      </w:r>
      <w:r w:rsidRPr="00271B27">
        <w:rPr>
          <w:rFonts w:ascii="Arial" w:eastAsia="Arial" w:hAnsi="Arial" w:cs="Arial"/>
          <w:color w:val="auto"/>
          <w:spacing w:val="-4"/>
          <w:lang w:val="en-US"/>
        </w:rPr>
        <w:t xml:space="preserve"> </w:t>
      </w:r>
      <w:r w:rsidRPr="00271B27">
        <w:rPr>
          <w:rFonts w:ascii="Arial" w:eastAsia="Arial" w:hAnsi="Arial" w:cs="Arial"/>
          <w:color w:val="auto"/>
          <w:lang w:val="en-US"/>
        </w:rPr>
        <w:t>chronic</w:t>
      </w:r>
      <w:r w:rsidRPr="00271B27">
        <w:rPr>
          <w:rFonts w:ascii="Arial" w:eastAsia="Arial" w:hAnsi="Arial" w:cs="Arial"/>
          <w:color w:val="auto"/>
          <w:spacing w:val="-4"/>
          <w:lang w:val="en-US"/>
        </w:rPr>
        <w:t xml:space="preserve"> </w:t>
      </w:r>
      <w:r w:rsidRPr="00271B27">
        <w:rPr>
          <w:rFonts w:ascii="Arial" w:eastAsia="Arial" w:hAnsi="Arial" w:cs="Arial"/>
          <w:color w:val="auto"/>
          <w:lang w:val="en-US"/>
        </w:rPr>
        <w:t>underlying</w:t>
      </w:r>
      <w:r w:rsidRPr="00271B27">
        <w:rPr>
          <w:rFonts w:ascii="Arial" w:eastAsia="Arial" w:hAnsi="Arial" w:cs="Arial"/>
          <w:color w:val="auto"/>
          <w:spacing w:val="-2"/>
          <w:lang w:val="en-US"/>
        </w:rPr>
        <w:t xml:space="preserve"> </w:t>
      </w:r>
      <w:r w:rsidRPr="00271B27">
        <w:rPr>
          <w:rFonts w:ascii="Arial" w:eastAsia="Arial" w:hAnsi="Arial" w:cs="Arial"/>
          <w:color w:val="auto"/>
          <w:lang w:val="en-US"/>
        </w:rPr>
        <w:t>comorbidities,</w:t>
      </w:r>
      <w:r w:rsidRPr="00271B27">
        <w:rPr>
          <w:rFonts w:ascii="Arial" w:eastAsia="Arial" w:hAnsi="Arial" w:cs="Arial"/>
          <w:color w:val="auto"/>
          <w:spacing w:val="-1"/>
          <w:lang w:val="en-US"/>
        </w:rPr>
        <w:t xml:space="preserve"> </w:t>
      </w:r>
      <w:r w:rsidRPr="00271B27">
        <w:rPr>
          <w:rFonts w:ascii="Arial" w:eastAsia="Arial" w:hAnsi="Arial" w:cs="Arial"/>
          <w:color w:val="auto"/>
          <w:lang w:val="en-US"/>
        </w:rPr>
        <w:t>and</w:t>
      </w:r>
      <w:r w:rsidRPr="00271B27">
        <w:rPr>
          <w:rFonts w:ascii="Arial" w:eastAsia="Arial" w:hAnsi="Arial" w:cs="Arial"/>
          <w:color w:val="auto"/>
          <w:spacing w:val="-6"/>
          <w:lang w:val="en-US"/>
        </w:rPr>
        <w:t xml:space="preserve"> </w:t>
      </w:r>
      <w:r w:rsidRPr="00271B27">
        <w:rPr>
          <w:rFonts w:ascii="Arial" w:eastAsia="Arial" w:hAnsi="Arial" w:cs="Arial"/>
          <w:color w:val="auto"/>
          <w:lang w:val="en-US"/>
        </w:rPr>
        <w:t>have</w:t>
      </w:r>
      <w:r w:rsidRPr="00271B27">
        <w:rPr>
          <w:rFonts w:ascii="Arial" w:eastAsia="Arial" w:hAnsi="Arial" w:cs="Arial"/>
          <w:color w:val="auto"/>
          <w:spacing w:val="-2"/>
          <w:lang w:val="en-US"/>
        </w:rPr>
        <w:t xml:space="preserve"> </w:t>
      </w:r>
      <w:r w:rsidRPr="00271B27">
        <w:rPr>
          <w:rFonts w:ascii="Arial" w:eastAsia="Arial" w:hAnsi="Arial" w:cs="Arial"/>
          <w:color w:val="auto"/>
          <w:lang w:val="en-US"/>
        </w:rPr>
        <w:t>a</w:t>
      </w:r>
      <w:r w:rsidRPr="00271B27">
        <w:rPr>
          <w:rFonts w:ascii="Arial" w:eastAsia="Arial" w:hAnsi="Arial" w:cs="Arial"/>
          <w:color w:val="auto"/>
          <w:spacing w:val="-2"/>
          <w:lang w:val="en-US"/>
        </w:rPr>
        <w:t xml:space="preserve"> </w:t>
      </w:r>
      <w:r w:rsidRPr="00271B27">
        <w:rPr>
          <w:rFonts w:ascii="Arial" w:eastAsia="Arial" w:hAnsi="Arial" w:cs="Arial"/>
          <w:color w:val="auto"/>
          <w:lang w:val="en-US"/>
        </w:rPr>
        <w:t>higher</w:t>
      </w:r>
      <w:r w:rsidRPr="00271B27">
        <w:rPr>
          <w:rFonts w:ascii="Arial" w:eastAsia="Arial" w:hAnsi="Arial" w:cs="Arial"/>
          <w:color w:val="auto"/>
          <w:spacing w:val="-3"/>
          <w:lang w:val="en-US"/>
        </w:rPr>
        <w:t xml:space="preserve"> </w:t>
      </w:r>
      <w:r w:rsidRPr="00271B27">
        <w:rPr>
          <w:rFonts w:ascii="Arial" w:eastAsia="Arial" w:hAnsi="Arial" w:cs="Arial"/>
          <w:color w:val="auto"/>
          <w:lang w:val="en-US"/>
        </w:rPr>
        <w:t>risk</w:t>
      </w:r>
      <w:r w:rsidRPr="00271B27">
        <w:rPr>
          <w:rFonts w:ascii="Arial" w:eastAsia="Arial" w:hAnsi="Arial" w:cs="Arial"/>
          <w:color w:val="auto"/>
          <w:spacing w:val="-4"/>
          <w:lang w:val="en-US"/>
        </w:rPr>
        <w:t xml:space="preserve"> </w:t>
      </w:r>
      <w:r w:rsidRPr="00271B27">
        <w:rPr>
          <w:rFonts w:ascii="Arial" w:eastAsia="Arial" w:hAnsi="Arial" w:cs="Arial"/>
          <w:color w:val="auto"/>
          <w:lang w:val="en-US"/>
        </w:rPr>
        <w:t>of acquiring infections.</w:t>
      </w:r>
      <w:r w:rsidRPr="00271B27">
        <w:rPr>
          <w:rFonts w:ascii="Arial" w:eastAsia="Arial" w:hAnsi="Arial" w:cs="Arial"/>
          <w:color w:val="auto"/>
          <w:lang w:val="en-US"/>
        </w:rPr>
        <w:fldChar w:fldCharType="begin">
          <w:fldData xml:space="preserve">PEVuZE5vdGU+PENpdGU+PEF1dGhvcj5GaW5uPC9BdXRob3I+PFllYXI+MjAyMTwvWWVhcj48UmVj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</w:fldData>
        </w:fldChar>
      </w:r>
      <w:r w:rsidRPr="00271B27">
        <w:rPr>
          <w:rFonts w:ascii="Arial" w:eastAsia="Arial" w:hAnsi="Arial" w:cs="Arial"/>
          <w:color w:val="auto"/>
          <w:lang w:val="en-US"/>
        </w:rPr>
        <w:instrText xml:space="preserve"> ADDIN EN.CITE </w:instrText>
      </w:r>
      <w:r w:rsidRPr="00271B27">
        <w:rPr>
          <w:rFonts w:ascii="Arial" w:eastAsia="Arial" w:hAnsi="Arial" w:cs="Arial"/>
          <w:color w:val="auto"/>
          <w:lang w:val="en-US"/>
        </w:rPr>
        <w:fldChar w:fldCharType="begin">
          <w:fldData xml:space="preserve">PEVuZE5vdGU+PENpdGU+PEF1dGhvcj5GaW5uPC9BdXRob3I+PFllYXI+MjAyMTwvWWVhcj48UmVj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</w:fldData>
        </w:fldChar>
      </w:r>
      <w:r w:rsidRPr="00271B27">
        <w:rPr>
          <w:rFonts w:ascii="Arial" w:eastAsia="Arial" w:hAnsi="Arial" w:cs="Arial"/>
          <w:color w:val="auto"/>
          <w:lang w:val="en-US"/>
        </w:rPr>
        <w:instrText xml:space="preserve"> ADDIN EN.CITE.DATA </w:instrText>
      </w:r>
      <w:r w:rsidRPr="00271B27">
        <w:rPr>
          <w:rFonts w:ascii="Arial" w:eastAsia="Arial" w:hAnsi="Arial" w:cs="Arial"/>
          <w:color w:val="auto"/>
          <w:lang w:val="en-US"/>
        </w:rPr>
      </w:r>
      <w:r w:rsidRPr="00271B27">
        <w:rPr>
          <w:rFonts w:ascii="Arial" w:eastAsia="Arial" w:hAnsi="Arial" w:cs="Arial"/>
          <w:color w:val="auto"/>
          <w:lang w:val="en-US"/>
        </w:rPr>
        <w:fldChar w:fldCharType="end"/>
      </w:r>
      <w:r w:rsidRPr="00271B27">
        <w:rPr>
          <w:rFonts w:ascii="Arial" w:eastAsia="Arial" w:hAnsi="Arial" w:cs="Arial"/>
          <w:color w:val="auto"/>
          <w:lang w:val="en-US"/>
        </w:rPr>
      </w:r>
      <w:r w:rsidRPr="00271B27">
        <w:rPr>
          <w:rFonts w:ascii="Arial" w:eastAsia="Arial" w:hAnsi="Arial" w:cs="Arial"/>
          <w:color w:val="auto"/>
          <w:lang w:val="en-US"/>
        </w:rPr>
        <w:fldChar w:fldCharType="separate"/>
      </w:r>
      <w:r w:rsidRPr="00271B27">
        <w:rPr>
          <w:rFonts w:ascii="Arial" w:eastAsia="Arial" w:hAnsi="Arial" w:cs="Arial"/>
          <w:noProof/>
          <w:color w:val="auto"/>
          <w:vertAlign w:val="superscript"/>
          <w:lang w:val="en-US"/>
        </w:rPr>
        <w:t>26</w:t>
      </w:r>
      <w:r w:rsidRPr="00271B27">
        <w:rPr>
          <w:rFonts w:ascii="Arial" w:eastAsia="Arial" w:hAnsi="Arial" w:cs="Arial"/>
          <w:color w:val="auto"/>
          <w:lang w:val="en-US"/>
        </w:rPr>
        <w:fldChar w:fldCharType="end"/>
      </w:r>
      <w:r w:rsidRPr="00271B27">
        <w:rPr>
          <w:rFonts w:ascii="Arial" w:eastAsia="Arial" w:hAnsi="Arial" w:cs="Arial"/>
          <w:color w:val="auto"/>
          <w:lang w:val="en-US"/>
        </w:rPr>
        <w:t xml:space="preserve"> These are generally the same factors that increase the risk for CDI.</w:t>
      </w:r>
      <w:r w:rsidRPr="00271B27">
        <w:rPr>
          <w:rFonts w:ascii="Arial" w:eastAsia="Arial" w:hAnsi="Arial" w:cs="Arial"/>
          <w:color w:val="auto"/>
          <w:lang w:val="en-US"/>
        </w:rPr>
        <w:fldChar w:fldCharType="begin">
          <w:fldData xml:space="preserve">PEVuZE5vdGU+PENpdGU+PEF1dGhvcj5TdGV3YXJ0PC9BdXRob3I+PFllYXI+MjAyMzwvWWVhcj48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</w:fldData>
        </w:fldChar>
      </w:r>
      <w:r w:rsidRPr="00271B27">
        <w:rPr>
          <w:rFonts w:ascii="Arial" w:eastAsia="Arial" w:hAnsi="Arial" w:cs="Arial"/>
          <w:color w:val="auto"/>
          <w:lang w:val="en-US"/>
        </w:rPr>
        <w:instrText xml:space="preserve"> ADDIN EN.CITE </w:instrText>
      </w:r>
      <w:r w:rsidRPr="00271B27">
        <w:rPr>
          <w:rFonts w:ascii="Arial" w:eastAsia="Arial" w:hAnsi="Arial" w:cs="Arial"/>
          <w:color w:val="auto"/>
          <w:lang w:val="en-US"/>
        </w:rPr>
        <w:fldChar w:fldCharType="begin">
          <w:fldData xml:space="preserve">PEVuZE5vdGU+PENpdGU+PEF1dGhvcj5TdGV3YXJ0PC9BdXRob3I+PFllYXI+MjAyMzwvWWVhcj48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</w:fldData>
        </w:fldChar>
      </w:r>
      <w:r w:rsidRPr="00271B27">
        <w:rPr>
          <w:rFonts w:ascii="Arial" w:eastAsia="Arial" w:hAnsi="Arial" w:cs="Arial"/>
          <w:color w:val="auto"/>
          <w:lang w:val="en-US"/>
        </w:rPr>
        <w:instrText xml:space="preserve"> ADDIN EN.CITE.DATA </w:instrText>
      </w:r>
      <w:r w:rsidRPr="00271B27">
        <w:rPr>
          <w:rFonts w:ascii="Arial" w:eastAsia="Arial" w:hAnsi="Arial" w:cs="Arial"/>
          <w:color w:val="auto"/>
          <w:lang w:val="en-US"/>
        </w:rPr>
      </w:r>
      <w:r w:rsidRPr="00271B27">
        <w:rPr>
          <w:rFonts w:ascii="Arial" w:eastAsia="Arial" w:hAnsi="Arial" w:cs="Arial"/>
          <w:color w:val="auto"/>
          <w:lang w:val="en-US"/>
        </w:rPr>
        <w:fldChar w:fldCharType="end"/>
      </w:r>
      <w:r w:rsidRPr="00271B27">
        <w:rPr>
          <w:rFonts w:ascii="Arial" w:eastAsia="Arial" w:hAnsi="Arial" w:cs="Arial"/>
          <w:color w:val="auto"/>
          <w:lang w:val="en-US"/>
        </w:rPr>
      </w:r>
      <w:r w:rsidRPr="00271B27">
        <w:rPr>
          <w:rFonts w:ascii="Arial" w:eastAsia="Arial" w:hAnsi="Arial" w:cs="Arial"/>
          <w:color w:val="auto"/>
          <w:lang w:val="en-US"/>
        </w:rPr>
        <w:fldChar w:fldCharType="separate"/>
      </w:r>
      <w:r w:rsidRPr="00271B27">
        <w:rPr>
          <w:rFonts w:ascii="Arial" w:eastAsia="Arial" w:hAnsi="Arial" w:cs="Arial"/>
          <w:noProof/>
          <w:color w:val="auto"/>
          <w:vertAlign w:val="superscript"/>
          <w:lang w:val="en-US"/>
        </w:rPr>
        <w:t>27</w:t>
      </w:r>
      <w:r w:rsidRPr="00271B27">
        <w:rPr>
          <w:rFonts w:ascii="Arial" w:eastAsia="Arial" w:hAnsi="Arial" w:cs="Arial"/>
          <w:color w:val="auto"/>
          <w:lang w:val="en-US"/>
        </w:rPr>
        <w:fldChar w:fldCharType="end"/>
      </w:r>
    </w:p>
    <w:p w14:paraId="76455C36" w14:textId="77777777" w:rsidR="00401938" w:rsidRDefault="00401938" w:rsidP="00E536C7">
      <w:pPr>
        <w:widowControl w:val="0"/>
        <w:autoSpaceDE w:val="0"/>
        <w:autoSpaceDN w:val="0"/>
        <w:spacing w:after="0" w:line="276" w:lineRule="auto"/>
        <w:rPr>
          <w:rFonts w:ascii="Arial" w:eastAsia="Arial" w:hAnsi="Arial" w:cs="Arial"/>
          <w:color w:val="auto"/>
          <w:lang w:val="en-US"/>
        </w:rPr>
      </w:pPr>
    </w:p>
    <w:p w14:paraId="3BFEE1F3" w14:textId="7A165739" w:rsidR="00E536C7" w:rsidRPr="00E536C7" w:rsidRDefault="00E536C7" w:rsidP="00E536C7">
      <w:pPr>
        <w:pStyle w:val="Heading2"/>
        <w:rPr>
          <w:lang w:eastAsia="en-AU"/>
        </w:rPr>
      </w:pPr>
      <w:bookmarkStart w:id="28" w:name="_Toc203723841"/>
      <w:bookmarkStart w:id="29" w:name="_Toc205909368"/>
      <w:r w:rsidRPr="00E536C7">
        <w:rPr>
          <w:lang w:eastAsia="en-AU"/>
        </w:rPr>
        <w:t>Community-onset CDI</w:t>
      </w:r>
      <w:bookmarkEnd w:id="28"/>
      <w:bookmarkEnd w:id="29"/>
    </w:p>
    <w:p w14:paraId="3C2EFBA6" w14:textId="77777777" w:rsidR="00E536C7" w:rsidRPr="00E536C7" w:rsidRDefault="00E536C7" w:rsidP="00E536C7">
      <w:pPr>
        <w:widowControl w:val="0"/>
        <w:autoSpaceDE w:val="0"/>
        <w:autoSpaceDN w:val="0"/>
        <w:spacing w:after="240" w:line="276" w:lineRule="auto"/>
        <w:rPr>
          <w:rFonts w:ascii="Arial" w:eastAsia="Arial" w:hAnsi="Arial" w:cs="Arial"/>
          <w:color w:val="auto"/>
          <w:lang w:val="en-US"/>
        </w:rPr>
      </w:pPr>
      <w:r w:rsidRPr="00E536C7">
        <w:rPr>
          <w:rFonts w:ascii="Arial" w:eastAsia="Arial" w:hAnsi="Arial" w:cs="Arial"/>
          <w:color w:val="auto"/>
          <w:lang w:val="en-US"/>
        </w:rPr>
        <w:t>Almost 80% of all separations assigned a CDI diagnosis were estimated to have pre-existing CDI symptoms on admission in 2022 (80.29%) and 2023 (78.74%).</w:t>
      </w:r>
    </w:p>
    <w:p w14:paraId="7178D702" w14:textId="77777777" w:rsidR="00E536C7" w:rsidRPr="00E536C7" w:rsidRDefault="00E536C7" w:rsidP="00E536C7">
      <w:pPr>
        <w:widowControl w:val="0"/>
        <w:autoSpaceDE w:val="0"/>
        <w:autoSpaceDN w:val="0"/>
        <w:spacing w:after="240" w:line="276" w:lineRule="auto"/>
        <w:rPr>
          <w:rFonts w:ascii="Arial" w:eastAsia="Arial" w:hAnsi="Arial" w:cs="Arial"/>
          <w:color w:val="auto"/>
          <w:lang w:val="en-US"/>
        </w:rPr>
      </w:pPr>
      <w:r w:rsidRPr="00E536C7">
        <w:rPr>
          <w:rFonts w:ascii="Arial" w:eastAsia="Arial" w:hAnsi="Arial" w:cs="Arial"/>
          <w:color w:val="auto"/>
          <w:lang w:val="en-US"/>
        </w:rPr>
        <w:t xml:space="preserve">To better understand the factors associated with community-onset CDI in Australia, further analysis was performed for separations with pre-existing CDI symptoms. Data were analysed by age, gender, geographic location at time of diagnosis, whether the individual was admitted from a RACH, and history of previous hospital admission (readmitted within 28 days) prior to the onset of CDI symptoms. </w:t>
      </w:r>
    </w:p>
    <w:p w14:paraId="43DD6169" w14:textId="77777777" w:rsidR="00E536C7" w:rsidRPr="00E536C7" w:rsidRDefault="00E536C7" w:rsidP="00E536C7">
      <w:pPr>
        <w:widowControl w:val="0"/>
        <w:autoSpaceDE w:val="0"/>
        <w:autoSpaceDN w:val="0"/>
        <w:spacing w:after="0" w:line="276" w:lineRule="auto"/>
        <w:rPr>
          <w:rFonts w:ascii="Arial" w:eastAsia="Arial" w:hAnsi="Arial" w:cs="Arial"/>
          <w:b/>
          <w:bCs/>
          <w:color w:val="auto"/>
          <w:lang w:val="en-US"/>
        </w:rPr>
      </w:pPr>
      <w:r w:rsidRPr="00E536C7">
        <w:rPr>
          <w:rFonts w:ascii="Arial" w:eastAsia="Arial" w:hAnsi="Arial" w:cs="Arial"/>
          <w:b/>
          <w:bCs/>
          <w:color w:val="auto"/>
          <w:lang w:val="en-US"/>
        </w:rPr>
        <w:t>Demographic information: age and gender</w:t>
      </w:r>
    </w:p>
    <w:p w14:paraId="20B4C0B5" w14:textId="4E93385E" w:rsidR="00401938" w:rsidRDefault="00E536C7" w:rsidP="00401938">
      <w:pPr>
        <w:widowControl w:val="0"/>
        <w:autoSpaceDE w:val="0"/>
        <w:autoSpaceDN w:val="0"/>
        <w:spacing w:after="0" w:line="276" w:lineRule="auto"/>
        <w:rPr>
          <w:rFonts w:ascii="Arial" w:eastAsia="Arial" w:hAnsi="Arial" w:cs="Arial"/>
          <w:color w:val="auto"/>
          <w:lang w:val="en-US"/>
        </w:rPr>
      </w:pPr>
      <w:r w:rsidRPr="00E536C7">
        <w:rPr>
          <w:rFonts w:ascii="Arial" w:eastAsia="Arial" w:hAnsi="Arial" w:cs="Arial"/>
          <w:color w:val="auto"/>
          <w:lang w:val="en-US"/>
        </w:rPr>
        <w:t xml:space="preserve">Figure 5 shows the rate of CDI diagnosis with pre-existing symptoms by age group for 2022 and 2023. Individuals aged 65 years or older accounted for 62.30% of all patients admitted to Australian public hospitals with pre-existing CDI symptoms for 2022 and 2023. Individuals aged 85 years or older were the largest cohort in this group (2022 </w:t>
      </w:r>
      <w:r w:rsidRPr="00E536C7">
        <w:rPr>
          <w:rFonts w:ascii="Arial" w:eastAsia="Arial" w:hAnsi="Arial" w:cs="Arial"/>
          <w:i/>
          <w:iCs/>
          <w:color w:val="auto"/>
          <w:lang w:val="en-US"/>
        </w:rPr>
        <w:t>n =</w:t>
      </w:r>
      <w:r w:rsidRPr="00E536C7">
        <w:rPr>
          <w:rFonts w:ascii="Arial" w:eastAsia="Arial" w:hAnsi="Arial" w:cs="Arial"/>
          <w:color w:val="auto"/>
          <w:lang w:val="en-US"/>
        </w:rPr>
        <w:t xml:space="preserve"> 1,776 and 2023 </w:t>
      </w:r>
      <w:r w:rsidRPr="00E536C7">
        <w:rPr>
          <w:rFonts w:ascii="Arial" w:eastAsia="Arial" w:hAnsi="Arial" w:cs="Arial"/>
          <w:i/>
          <w:iCs/>
          <w:color w:val="auto"/>
          <w:lang w:val="en-US"/>
        </w:rPr>
        <w:t>n =</w:t>
      </w:r>
      <w:r w:rsidRPr="00E536C7">
        <w:rPr>
          <w:rFonts w:ascii="Arial" w:eastAsia="Arial" w:hAnsi="Arial" w:cs="Arial"/>
          <w:color w:val="auto"/>
          <w:lang w:val="en-US"/>
        </w:rPr>
        <w:t xml:space="preserve"> 1,605). Females accounted for more than half of all separations with pre-existing CDI symptoms in both 2022 and 2023 (2022 </w:t>
      </w:r>
      <w:r w:rsidRPr="00E536C7">
        <w:rPr>
          <w:rFonts w:ascii="Arial" w:eastAsia="Arial" w:hAnsi="Arial" w:cs="Arial"/>
          <w:i/>
          <w:iCs/>
          <w:color w:val="auto"/>
          <w:lang w:val="en-US"/>
        </w:rPr>
        <w:t>n =</w:t>
      </w:r>
      <w:r w:rsidRPr="00E536C7">
        <w:rPr>
          <w:rFonts w:ascii="Arial" w:eastAsia="Arial" w:hAnsi="Arial" w:cs="Arial"/>
          <w:color w:val="auto"/>
          <w:lang w:val="en-US"/>
        </w:rPr>
        <w:t xml:space="preserve"> 5,482 and 2023 </w:t>
      </w:r>
      <w:r w:rsidRPr="00E536C7">
        <w:rPr>
          <w:rFonts w:ascii="Arial" w:eastAsia="Arial" w:hAnsi="Arial" w:cs="Arial"/>
          <w:i/>
          <w:iCs/>
          <w:color w:val="auto"/>
          <w:lang w:val="en-US"/>
        </w:rPr>
        <w:t>n =</w:t>
      </w:r>
      <w:r w:rsidRPr="00E536C7">
        <w:rPr>
          <w:rFonts w:ascii="Arial" w:eastAsia="Arial" w:hAnsi="Arial" w:cs="Arial"/>
          <w:color w:val="auto"/>
          <w:lang w:val="en-US"/>
        </w:rPr>
        <w:t xml:space="preserve"> 5,165). These characteristics are consistent with demographic data from studies of patients with community-onset CDI.</w:t>
      </w:r>
      <w:r w:rsidRPr="00E536C7">
        <w:rPr>
          <w:rFonts w:ascii="Arial" w:eastAsia="Arial" w:hAnsi="Arial" w:cs="Arial"/>
          <w:color w:val="auto"/>
          <w:lang w:val="en-US"/>
        </w:rPr>
        <w:fldChar w:fldCharType="begin">
          <w:fldData xml:space="preserve">PEVuZE5vdGU+PENpdGU+PEF1dGhvcj5DbG9oZXNzeTwvQXV0aG9yPjxZZWFyPjIwMTQ8L1llYXI+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</w:fldData>
        </w:fldChar>
      </w:r>
      <w:r w:rsidRPr="00E536C7">
        <w:rPr>
          <w:rFonts w:ascii="Arial" w:eastAsia="Arial" w:hAnsi="Arial" w:cs="Arial"/>
          <w:color w:val="auto"/>
          <w:lang w:val="en-US"/>
        </w:rPr>
        <w:instrText xml:space="preserve"> ADDIN EN.CITE </w:instrText>
      </w:r>
      <w:r w:rsidRPr="00E536C7">
        <w:rPr>
          <w:rFonts w:ascii="Arial" w:eastAsia="Arial" w:hAnsi="Arial" w:cs="Arial"/>
          <w:color w:val="auto"/>
          <w:lang w:val="en-US"/>
        </w:rPr>
        <w:fldChar w:fldCharType="begin">
          <w:fldData xml:space="preserve">PEVuZE5vdGU+PENpdGU+PEF1dGhvcj5DbG9oZXNzeTwvQXV0aG9yPjxZZWFyPjIwMTQ8L1llYXI+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</w:fldData>
        </w:fldChar>
      </w:r>
      <w:r w:rsidRPr="00E536C7">
        <w:rPr>
          <w:rFonts w:ascii="Arial" w:eastAsia="Arial" w:hAnsi="Arial" w:cs="Arial"/>
          <w:color w:val="auto"/>
          <w:lang w:val="en-US"/>
        </w:rPr>
        <w:instrText xml:space="preserve"> ADDIN EN.CITE.DATA </w:instrText>
      </w:r>
      <w:r w:rsidRPr="00E536C7">
        <w:rPr>
          <w:rFonts w:ascii="Arial" w:eastAsia="Arial" w:hAnsi="Arial" w:cs="Arial"/>
          <w:color w:val="auto"/>
          <w:lang w:val="en-US"/>
        </w:rPr>
      </w:r>
      <w:r w:rsidRPr="00E536C7">
        <w:rPr>
          <w:rFonts w:ascii="Arial" w:eastAsia="Arial" w:hAnsi="Arial" w:cs="Arial"/>
          <w:color w:val="auto"/>
          <w:lang w:val="en-US"/>
        </w:rPr>
        <w:fldChar w:fldCharType="end"/>
      </w:r>
      <w:r w:rsidRPr="00E536C7">
        <w:rPr>
          <w:rFonts w:ascii="Arial" w:eastAsia="Arial" w:hAnsi="Arial" w:cs="Arial"/>
          <w:color w:val="auto"/>
          <w:lang w:val="en-US"/>
        </w:rPr>
      </w:r>
      <w:r w:rsidRPr="00E536C7">
        <w:rPr>
          <w:rFonts w:ascii="Arial" w:eastAsia="Arial" w:hAnsi="Arial" w:cs="Arial"/>
          <w:color w:val="auto"/>
          <w:lang w:val="en-US"/>
        </w:rPr>
        <w:fldChar w:fldCharType="separate"/>
      </w:r>
      <w:r w:rsidRPr="00E536C7">
        <w:rPr>
          <w:rFonts w:ascii="Arial" w:eastAsia="Arial" w:hAnsi="Arial" w:cs="Arial"/>
          <w:noProof/>
          <w:color w:val="auto"/>
          <w:vertAlign w:val="superscript"/>
          <w:lang w:val="en-US"/>
        </w:rPr>
        <w:t>26, 28-30</w:t>
      </w:r>
      <w:r w:rsidRPr="00E536C7">
        <w:rPr>
          <w:rFonts w:ascii="Arial" w:eastAsia="Arial" w:hAnsi="Arial" w:cs="Arial"/>
          <w:color w:val="auto"/>
          <w:lang w:val="en-US"/>
        </w:rPr>
        <w:fldChar w:fldCharType="end"/>
      </w:r>
    </w:p>
    <w:p w14:paraId="6C49EED1" w14:textId="6CC0234E" w:rsidR="007E70EE" w:rsidRPr="00401938" w:rsidRDefault="007E70EE" w:rsidP="00401938">
      <w:pPr>
        <w:pStyle w:val="Caption"/>
        <w:numPr>
          <w:ilvl w:val="0"/>
          <w:numId w:val="0"/>
        </w:numPr>
        <w:ind w:left="360" w:hanging="360"/>
        <w:rPr>
          <w:rFonts w:ascii="Arial" w:eastAsia="Arial" w:hAnsi="Arial" w:cs="Arial"/>
          <w:color w:val="auto"/>
          <w:lang w:val="en-US"/>
        </w:rPr>
      </w:pPr>
      <w:r w:rsidRPr="007E70EE">
        <w:rPr>
          <w:b/>
          <w:bCs/>
          <w:lang w:eastAsia="en-AU"/>
        </w:rPr>
        <w:lastRenderedPageBreak/>
        <w:t>Figure 5</w:t>
      </w:r>
      <w:r w:rsidR="00505471">
        <w:rPr>
          <w:b/>
          <w:bCs/>
          <w:lang w:eastAsia="en-AU"/>
        </w:rPr>
        <w:t>.</w:t>
      </w:r>
      <w:r w:rsidRPr="007E70EE">
        <w:rPr>
          <w:b/>
          <w:bCs/>
          <w:lang w:eastAsia="en-AU"/>
        </w:rPr>
        <w:t xml:space="preserve"> </w:t>
      </w:r>
      <w:r w:rsidRPr="007E70EE">
        <w:rPr>
          <w:lang w:eastAsia="en-AU"/>
        </w:rPr>
        <w:t>Separations with pre-existing CDI symptoms by age group, 2022 and 2023</w:t>
      </w:r>
    </w:p>
    <w:p w14:paraId="526B7318" w14:textId="77777777" w:rsidR="00133AA0" w:rsidRDefault="007E70EE" w:rsidP="007E70EE">
      <w:pPr>
        <w:pStyle w:val="Heading3"/>
      </w:pPr>
      <w:r w:rsidRPr="007E70EE">
        <w:rPr>
          <w:rFonts w:ascii="Arial" w:eastAsia="Times New Roman" w:hAnsi="Arial"/>
          <w:b w:val="0"/>
          <w:noProof/>
          <w:sz w:val="22"/>
          <w:lang w:eastAsia="en-AU"/>
        </w:rPr>
        <w:drawing>
          <wp:inline distT="0" distB="0" distL="0" distR="0" wp14:anchorId="39088388" wp14:editId="40713063">
            <wp:extent cx="6120765" cy="3268134"/>
            <wp:effectExtent l="0" t="0" r="0" b="8890"/>
            <wp:docPr id="131045840" name="Chart 1">
              <a:extLst xmlns:a="http://schemas.openxmlformats.org/drawingml/2006/main">
                <a:ext uri="{FF2B5EF4-FFF2-40B4-BE49-F238E27FC236}">
                  <a16:creationId xmlns:a16="http://schemas.microsoft.com/office/drawing/2014/main" id="{ABF04142-40AF-BB02-CBC3-1DCFECBCD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F5471E" w14:textId="77777777" w:rsidR="00133AA0" w:rsidRPr="00133AA0" w:rsidRDefault="00133AA0" w:rsidP="00133AA0">
      <w:pPr>
        <w:widowControl w:val="0"/>
        <w:autoSpaceDE w:val="0"/>
        <w:autoSpaceDN w:val="0"/>
        <w:spacing w:before="240" w:after="240" w:line="276" w:lineRule="auto"/>
        <w:rPr>
          <w:rFonts w:ascii="Arial" w:eastAsia="Arial" w:hAnsi="Arial" w:cs="Arial"/>
          <w:color w:val="auto"/>
          <w:lang w:val="en-US"/>
        </w:rPr>
      </w:pPr>
      <w:r w:rsidRPr="00133AA0">
        <w:rPr>
          <w:rFonts w:ascii="Arial" w:eastAsia="Arial" w:hAnsi="Arial" w:cs="Arial"/>
          <w:color w:val="auto"/>
          <w:lang w:val="en-US"/>
        </w:rPr>
        <w:t xml:space="preserve">It should be noted that due to asymptomatic carriage of </w:t>
      </w:r>
      <w:r w:rsidRPr="00133AA0">
        <w:rPr>
          <w:rFonts w:ascii="Arial" w:eastAsia="Arial" w:hAnsi="Arial" w:cs="Arial"/>
          <w:i/>
          <w:iCs/>
          <w:color w:val="auto"/>
          <w:lang w:val="en-US"/>
        </w:rPr>
        <w:t xml:space="preserve">C. difficile </w:t>
      </w:r>
      <w:r w:rsidRPr="00133AA0">
        <w:rPr>
          <w:rFonts w:ascii="Arial" w:eastAsia="Arial" w:hAnsi="Arial" w:cs="Arial"/>
          <w:color w:val="auto"/>
          <w:lang w:val="en-US"/>
        </w:rPr>
        <w:t>in children 2 years and under, routine testing for CDI is not recommended.</w:t>
      </w:r>
      <w:r w:rsidRPr="00133AA0">
        <w:rPr>
          <w:rFonts w:ascii="Arial" w:eastAsia="Arial" w:hAnsi="Arial" w:cs="Arial"/>
          <w:color w:val="auto"/>
          <w:lang w:val="en-US"/>
        </w:rPr>
        <w:fldChar w:fldCharType="begin">
          <w:fldData xml:space="preserve">PEVuZE5vdGU+PENpdGU+PEF1dGhvcj5TdHVhcnQ8L0F1dGhvcj48WWVhcj4yMDE5PC9ZZWFyPjxS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</w:fldData>
        </w:fldChar>
      </w:r>
      <w:r w:rsidRPr="00133AA0">
        <w:rPr>
          <w:rFonts w:ascii="Arial" w:eastAsia="Arial" w:hAnsi="Arial" w:cs="Arial"/>
          <w:color w:val="auto"/>
          <w:lang w:val="en-US"/>
        </w:rPr>
        <w:instrText xml:space="preserve"> ADDIN EN.CITE </w:instrText>
      </w:r>
      <w:r w:rsidRPr="00133AA0">
        <w:rPr>
          <w:rFonts w:ascii="Arial" w:eastAsia="Arial" w:hAnsi="Arial" w:cs="Arial"/>
          <w:color w:val="auto"/>
          <w:lang w:val="en-US"/>
        </w:rPr>
        <w:fldChar w:fldCharType="begin">
          <w:fldData xml:space="preserve">PEVuZE5vdGU+PENpdGU+PEF1dGhvcj5TdHVhcnQ8L0F1dGhvcj48WWVhcj4yMDE5PC9ZZWFyPjxS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</w:fldData>
        </w:fldChar>
      </w:r>
      <w:r w:rsidRPr="00133AA0">
        <w:rPr>
          <w:rFonts w:ascii="Arial" w:eastAsia="Arial" w:hAnsi="Arial" w:cs="Arial"/>
          <w:color w:val="auto"/>
          <w:lang w:val="en-US"/>
        </w:rPr>
        <w:instrText xml:space="preserve"> ADDIN EN.CITE.DATA </w:instrText>
      </w:r>
      <w:r w:rsidRPr="00133AA0">
        <w:rPr>
          <w:rFonts w:ascii="Arial" w:eastAsia="Arial" w:hAnsi="Arial" w:cs="Arial"/>
          <w:color w:val="auto"/>
          <w:lang w:val="en-US"/>
        </w:rPr>
      </w:r>
      <w:r w:rsidRPr="00133AA0">
        <w:rPr>
          <w:rFonts w:ascii="Arial" w:eastAsia="Arial" w:hAnsi="Arial" w:cs="Arial"/>
          <w:color w:val="auto"/>
          <w:lang w:val="en-US"/>
        </w:rPr>
        <w:fldChar w:fldCharType="end"/>
      </w:r>
      <w:r w:rsidRPr="00133AA0">
        <w:rPr>
          <w:rFonts w:ascii="Arial" w:eastAsia="Arial" w:hAnsi="Arial" w:cs="Arial"/>
          <w:color w:val="auto"/>
          <w:lang w:val="en-US"/>
        </w:rPr>
      </w:r>
      <w:r w:rsidRPr="00133AA0">
        <w:rPr>
          <w:rFonts w:ascii="Arial" w:eastAsia="Arial" w:hAnsi="Arial" w:cs="Arial"/>
          <w:color w:val="auto"/>
          <w:lang w:val="en-US"/>
        </w:rPr>
        <w:fldChar w:fldCharType="separate"/>
      </w:r>
      <w:r w:rsidRPr="00133AA0">
        <w:rPr>
          <w:rFonts w:ascii="Arial" w:eastAsia="Arial" w:hAnsi="Arial" w:cs="Arial"/>
          <w:noProof/>
          <w:color w:val="auto"/>
          <w:vertAlign w:val="superscript"/>
          <w:lang w:val="en-US"/>
        </w:rPr>
        <w:t>31, 32</w:t>
      </w:r>
      <w:r w:rsidRPr="00133AA0">
        <w:rPr>
          <w:rFonts w:ascii="Arial" w:eastAsia="Arial" w:hAnsi="Arial" w:cs="Arial"/>
          <w:color w:val="auto"/>
          <w:lang w:val="en-US"/>
        </w:rPr>
        <w:fldChar w:fldCharType="end"/>
      </w:r>
      <w:r w:rsidRPr="00133AA0">
        <w:rPr>
          <w:rFonts w:ascii="Arial" w:eastAsia="Arial" w:hAnsi="Arial" w:cs="Arial"/>
          <w:color w:val="auto"/>
          <w:lang w:val="en-US"/>
        </w:rPr>
        <w:t xml:space="preserve"> </w:t>
      </w:r>
    </w:p>
    <w:p w14:paraId="5FB63485" w14:textId="22150A07" w:rsidR="00133AA0" w:rsidRPr="00133AA0" w:rsidRDefault="00133AA0" w:rsidP="00133AA0">
      <w:pPr>
        <w:widowControl w:val="0"/>
        <w:autoSpaceDE w:val="0"/>
        <w:autoSpaceDN w:val="0"/>
        <w:spacing w:after="0" w:line="276" w:lineRule="auto"/>
        <w:ind w:right="-1"/>
        <w:rPr>
          <w:rFonts w:ascii="Arial" w:eastAsia="Arial" w:hAnsi="Arial" w:cs="Arial"/>
          <w:b/>
          <w:bCs/>
          <w:color w:val="auto"/>
          <w:lang w:val="en-US"/>
        </w:rPr>
      </w:pPr>
      <w:r w:rsidRPr="00133AA0">
        <w:rPr>
          <w:rFonts w:ascii="Arial" w:eastAsia="Arial" w:hAnsi="Arial" w:cs="Arial"/>
          <w:b/>
          <w:bCs/>
          <w:color w:val="auto"/>
          <w:lang w:val="en-US"/>
        </w:rPr>
        <w:t>Demographic information: geographic location</w:t>
      </w:r>
    </w:p>
    <w:p w14:paraId="6C09BE5C" w14:textId="77777777" w:rsidR="00133AA0" w:rsidRPr="00133AA0" w:rsidRDefault="00133AA0" w:rsidP="00133AA0">
      <w:pPr>
        <w:widowControl w:val="0"/>
        <w:autoSpaceDE w:val="0"/>
        <w:autoSpaceDN w:val="0"/>
        <w:spacing w:after="0" w:line="276" w:lineRule="auto"/>
        <w:ind w:right="-1"/>
        <w:rPr>
          <w:rFonts w:ascii="Arial" w:eastAsia="Arial" w:hAnsi="Arial" w:cs="Arial"/>
          <w:color w:val="auto"/>
          <w:lang w:val="en-US"/>
        </w:rPr>
      </w:pPr>
      <w:r w:rsidRPr="00133AA0">
        <w:rPr>
          <w:rFonts w:ascii="Arial" w:eastAsia="Arial" w:hAnsi="Arial" w:cs="Arial"/>
          <w:color w:val="auto"/>
          <w:lang w:val="en-US"/>
        </w:rPr>
        <w:t xml:space="preserve">Two-thirds of separations where there were pre-existing CDI symptoms were in major cities (2022 </w:t>
      </w:r>
      <w:r w:rsidRPr="00133AA0">
        <w:rPr>
          <w:rFonts w:ascii="Arial" w:eastAsia="Arial" w:hAnsi="Arial" w:cs="Arial"/>
          <w:i/>
          <w:iCs/>
          <w:color w:val="auto"/>
          <w:lang w:val="en-US"/>
        </w:rPr>
        <w:t>n =</w:t>
      </w:r>
      <w:r w:rsidRPr="00133AA0">
        <w:rPr>
          <w:rFonts w:ascii="Arial" w:eastAsia="Arial" w:hAnsi="Arial" w:cs="Arial"/>
          <w:color w:val="auto"/>
          <w:lang w:val="en-US"/>
        </w:rPr>
        <w:t xml:space="preserve"> 6,627 and 2023 </w:t>
      </w:r>
      <w:r w:rsidRPr="00133AA0">
        <w:rPr>
          <w:rFonts w:ascii="Arial" w:eastAsia="Arial" w:hAnsi="Arial" w:cs="Arial"/>
          <w:i/>
          <w:iCs/>
          <w:color w:val="auto"/>
          <w:lang w:val="en-US"/>
        </w:rPr>
        <w:t>n =</w:t>
      </w:r>
      <w:r w:rsidRPr="00133AA0">
        <w:rPr>
          <w:rFonts w:ascii="Arial" w:eastAsia="Arial" w:hAnsi="Arial" w:cs="Arial"/>
          <w:color w:val="auto"/>
          <w:lang w:val="en-US"/>
        </w:rPr>
        <w:t xml:space="preserve"> 6,042). Figure 6 provides details of the geographic location/remoteness for separations where there were pre-existing CDI symptoms. The rate of separations for a diagnosis with CDI for different geographical locations is shown in Figure 6.</w:t>
      </w:r>
    </w:p>
    <w:p w14:paraId="6F227121" w14:textId="6AF06F6E" w:rsidR="00722D58" w:rsidRPr="00722D58" w:rsidRDefault="00722D58" w:rsidP="00722D58">
      <w:pPr>
        <w:pStyle w:val="Caption"/>
        <w:numPr>
          <w:ilvl w:val="0"/>
          <w:numId w:val="0"/>
        </w:numPr>
        <w:ind w:left="360" w:hanging="360"/>
        <w:rPr>
          <w:lang w:val="en-US"/>
        </w:rPr>
      </w:pPr>
      <w:r w:rsidRPr="00722D58">
        <w:rPr>
          <w:b/>
          <w:bCs/>
          <w:lang w:val="en-US"/>
        </w:rPr>
        <w:t>Figure 6</w:t>
      </w:r>
      <w:r w:rsidR="00505471">
        <w:rPr>
          <w:b/>
          <w:bCs/>
          <w:lang w:val="en-US"/>
        </w:rPr>
        <w:t>.</w:t>
      </w:r>
      <w:r w:rsidRPr="00722D58">
        <w:rPr>
          <w:b/>
          <w:bCs/>
          <w:lang w:val="en-US"/>
        </w:rPr>
        <w:t xml:space="preserve"> </w:t>
      </w:r>
      <w:r w:rsidRPr="00722D58">
        <w:rPr>
          <w:lang w:val="en-US"/>
        </w:rPr>
        <w:t>Separations with pre-existing CDI symptoms by geographic location*, 2022 and 2023</w:t>
      </w:r>
    </w:p>
    <w:p w14:paraId="175AEBB6" w14:textId="70D7BFC4" w:rsidR="00722D58" w:rsidRPr="00722D58" w:rsidRDefault="008D6CEA" w:rsidP="00722D58">
      <w:pPr>
        <w:widowControl w:val="0"/>
        <w:autoSpaceDE w:val="0"/>
        <w:autoSpaceDN w:val="0"/>
        <w:spacing w:after="0" w:line="276" w:lineRule="auto"/>
        <w:ind w:right="829"/>
        <w:rPr>
          <w:rFonts w:ascii="Arial" w:eastAsia="Arial" w:hAnsi="Arial" w:cs="Arial"/>
          <w:color w:val="auto"/>
          <w:lang w:val="en-US"/>
        </w:rPr>
      </w:pPr>
      <w:r>
        <w:rPr>
          <w:noProof/>
        </w:rPr>
        <w:drawing>
          <wp:inline distT="0" distB="0" distL="0" distR="0" wp14:anchorId="1FE4C016" wp14:editId="3AFF19D7">
            <wp:extent cx="5831840" cy="3124200"/>
            <wp:effectExtent l="0" t="0" r="0" b="0"/>
            <wp:docPr id="172956518" name="Chart 1">
              <a:extLst xmlns:a="http://schemas.openxmlformats.org/drawingml/2006/main">
                <a:ext uri="{FF2B5EF4-FFF2-40B4-BE49-F238E27FC236}">
                  <a16:creationId xmlns:a16="http://schemas.microsoft.com/office/drawing/2014/main" id="{44E4D7F6-92BD-41A6-82EA-65B6771FB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D8CCC7" w14:textId="16116E2D" w:rsidR="00133AA0" w:rsidRPr="00133AA0" w:rsidRDefault="00722D58" w:rsidP="00722D58">
      <w:pPr>
        <w:widowControl w:val="0"/>
        <w:autoSpaceDE w:val="0"/>
        <w:autoSpaceDN w:val="0"/>
        <w:spacing w:after="0" w:line="276" w:lineRule="auto"/>
        <w:rPr>
          <w:rFonts w:ascii="Arial" w:eastAsia="Arial" w:hAnsi="Arial" w:cs="Arial"/>
          <w:b/>
          <w:bCs/>
          <w:color w:val="auto"/>
          <w:lang w:val="en-US"/>
        </w:rPr>
      </w:pPr>
      <w:r w:rsidRPr="00722D58">
        <w:rPr>
          <w:rFonts w:ascii="Arial" w:eastAsia="Times New Roman" w:hAnsi="Arial"/>
          <w:color w:val="auto"/>
          <w:lang w:eastAsia="en-AU"/>
        </w:rPr>
        <w:t>*</w:t>
      </w:r>
      <w:r w:rsidRPr="00722D58">
        <w:rPr>
          <w:rFonts w:ascii="Arial" w:eastAsia="Times New Roman" w:hAnsi="Arial"/>
          <w:color w:val="auto"/>
          <w:sz w:val="16"/>
          <w:szCs w:val="16"/>
          <w:lang w:eastAsia="en-AU"/>
        </w:rPr>
        <w:t xml:space="preserve">Geographical data is extracted from </w:t>
      </w:r>
      <w:hyperlink r:id="rId23" w:history="1">
        <w:r w:rsidRPr="00D603E6">
          <w:rPr>
            <w:rFonts w:ascii="Arial" w:eastAsia="Times New Roman" w:hAnsi="Arial"/>
            <w:color w:val="002060"/>
            <w:sz w:val="16"/>
            <w:szCs w:val="16"/>
            <w:u w:val="single"/>
            <w:lang w:eastAsia="en-AU"/>
          </w:rPr>
          <w:t xml:space="preserve">ABS </w:t>
        </w:r>
        <w:r w:rsidRPr="00D603E6">
          <w:rPr>
            <w:rFonts w:ascii="Arial" w:eastAsia="Times New Roman" w:hAnsi="Arial"/>
            <w:color w:val="002060"/>
            <w:sz w:val="16"/>
            <w:szCs w:val="16"/>
            <w:u w:val="single"/>
            <w:shd w:val="clear" w:color="auto" w:fill="FFFFFF"/>
            <w:lang w:eastAsia="en-AU"/>
          </w:rPr>
          <w:t>Australian Statistical Geography Standard (ASGS)</w:t>
        </w:r>
        <w:r w:rsidRPr="00D603E6">
          <w:rPr>
            <w:rFonts w:ascii="Arial" w:eastAsia="Times New Roman" w:hAnsi="Arial"/>
            <w:color w:val="002060"/>
            <w:sz w:val="16"/>
            <w:szCs w:val="16"/>
            <w:u w:val="single"/>
            <w:lang w:eastAsia="en-AU"/>
          </w:rPr>
          <w:t xml:space="preserve"> remoteness structure</w:t>
        </w:r>
      </w:hyperlink>
    </w:p>
    <w:p w14:paraId="55615B92" w14:textId="77777777" w:rsidR="00401938" w:rsidRDefault="00401938" w:rsidP="00600452">
      <w:pPr>
        <w:widowControl w:val="0"/>
        <w:autoSpaceDE w:val="0"/>
        <w:autoSpaceDN w:val="0"/>
        <w:spacing w:after="0" w:line="276" w:lineRule="auto"/>
        <w:rPr>
          <w:rFonts w:ascii="Arial" w:eastAsia="Arial" w:hAnsi="Arial" w:cs="Arial"/>
          <w:b/>
          <w:bCs/>
          <w:color w:val="auto"/>
          <w:lang w:val="en-US"/>
        </w:rPr>
      </w:pPr>
    </w:p>
    <w:p w14:paraId="364F5CD4" w14:textId="4417854B" w:rsidR="00600452" w:rsidRPr="00600452" w:rsidRDefault="00600452" w:rsidP="00600452">
      <w:pPr>
        <w:widowControl w:val="0"/>
        <w:autoSpaceDE w:val="0"/>
        <w:autoSpaceDN w:val="0"/>
        <w:spacing w:after="0" w:line="276" w:lineRule="auto"/>
        <w:rPr>
          <w:rFonts w:ascii="Arial" w:eastAsia="Arial" w:hAnsi="Arial" w:cs="Arial"/>
          <w:b/>
          <w:bCs/>
          <w:color w:val="auto"/>
          <w:lang w:val="en-US"/>
        </w:rPr>
      </w:pPr>
      <w:r w:rsidRPr="00600452">
        <w:rPr>
          <w:rFonts w:ascii="Arial" w:eastAsia="Arial" w:hAnsi="Arial" w:cs="Arial"/>
          <w:b/>
          <w:bCs/>
          <w:color w:val="auto"/>
          <w:lang w:val="en-US"/>
        </w:rPr>
        <w:t>Readmission within 28 days</w:t>
      </w:r>
    </w:p>
    <w:p w14:paraId="1DA9041D" w14:textId="77777777" w:rsidR="00600452" w:rsidRPr="00600452" w:rsidRDefault="00600452" w:rsidP="00600452">
      <w:pPr>
        <w:widowControl w:val="0"/>
        <w:autoSpaceDE w:val="0"/>
        <w:autoSpaceDN w:val="0"/>
        <w:spacing w:after="0" w:line="276" w:lineRule="auto"/>
        <w:ind w:right="-284"/>
        <w:rPr>
          <w:rFonts w:ascii="Arial" w:eastAsia="Arial" w:hAnsi="Arial" w:cs="Arial"/>
          <w:color w:val="auto"/>
          <w:lang w:val="en-US"/>
        </w:rPr>
      </w:pPr>
      <w:r w:rsidRPr="00600452">
        <w:rPr>
          <w:rFonts w:ascii="Arial" w:eastAsia="Arial" w:hAnsi="Arial" w:cs="Arial"/>
          <w:color w:val="auto"/>
          <w:lang w:val="en-US"/>
        </w:rPr>
        <w:t>Onset of CDI within 28 days of a previous hospital admission is classified as a HAI.</w:t>
      </w:r>
      <w:r w:rsidRPr="00600452">
        <w:rPr>
          <w:rFonts w:ascii="Arial" w:eastAsia="Arial" w:hAnsi="Arial" w:cs="Arial"/>
          <w:color w:val="auto"/>
          <w:lang w:val="en-US"/>
        </w:rPr>
        <w:fldChar w:fldCharType="begin"/>
      </w:r>
      <w:r w:rsidRPr="00600452">
        <w:rPr>
          <w:rFonts w:ascii="Arial" w:eastAsia="Arial" w:hAnsi="Arial" w:cs="Arial"/>
          <w:color w:val="auto"/>
          <w:lang w:val="en-US"/>
        </w:rPr>
        <w:instrText xml:space="preserve"> ADDIN EN.CITE &lt;EndNote&gt;&lt;Cite&gt;&lt;Author&gt;European Centre for Disease Prevention and Control&lt;/Author&gt;&lt;Year&gt;2019&lt;/Year&gt;&lt;RecNum&gt;210&lt;/RecNum&gt;&lt;DisplayText&gt;&lt;style face="superscript"&gt;33&lt;/style&gt;&lt;/DisplayText&gt;&lt;record&gt;&lt;rec-number&gt;210&lt;/rec-number&gt;&lt;foreign-keys&gt;&lt;key app="EN" db-id="2rp0a5drxdefz3e2e5dptftled295z2r2ve2" timestamp="1716173538"&gt;210&lt;/key&gt;&lt;/foreign-keys&gt;&lt;ref-type name="Generic"&gt;13&lt;/ref-type&gt;&lt;contributors&gt;&lt;authors&gt;&lt;author&gt;European Centre for Disease Prevention and Control,&lt;/author&gt;&lt;/authors&gt;&lt;/contributors&gt;&lt;titles&gt;&lt;title&gt;European Surveillance of Clostridioides (Clostridium) difficile infections&lt;/title&gt;&lt;/titles&gt;&lt;edition&gt;Surveillance protocol version 2.4&lt;/edition&gt;&lt;dates&gt;&lt;year&gt;2019&lt;/year&gt;&lt;/dates&gt;&lt;pub-location&gt;Stockholm&lt;/pub-location&gt;&lt;publisher&gt;ECDC&lt;/publisher&gt;&lt;urls&gt;&lt;related-urls&gt;&lt;url&gt;https://www.ecdc.europa.eu/sites/default/files/documents/clostridium-difficile-infections-EU-surveillance-protocol-vers2.4.pdf&lt;/url&gt;&lt;/related-urls&gt;&lt;/urls&gt;&lt;access-date&gt;20 May 2024&lt;/access-date&gt;&lt;/record&gt;&lt;/Cite&gt;&lt;/EndNote&gt;</w:instrText>
      </w:r>
      <w:r w:rsidRPr="00600452">
        <w:rPr>
          <w:rFonts w:ascii="Arial" w:eastAsia="Arial" w:hAnsi="Arial" w:cs="Arial"/>
          <w:color w:val="auto"/>
          <w:lang w:val="en-US"/>
        </w:rPr>
        <w:fldChar w:fldCharType="separate"/>
      </w:r>
      <w:r w:rsidRPr="00600452">
        <w:rPr>
          <w:rFonts w:ascii="Arial" w:eastAsia="Arial" w:hAnsi="Arial" w:cs="Arial"/>
          <w:noProof/>
          <w:color w:val="auto"/>
          <w:vertAlign w:val="superscript"/>
          <w:lang w:val="en-US"/>
        </w:rPr>
        <w:t>33</w:t>
      </w:r>
      <w:r w:rsidRPr="00600452">
        <w:rPr>
          <w:rFonts w:ascii="Arial" w:eastAsia="Arial" w:hAnsi="Arial" w:cs="Arial"/>
          <w:color w:val="auto"/>
          <w:lang w:val="en-US"/>
        </w:rPr>
        <w:fldChar w:fldCharType="end"/>
      </w:r>
      <w:r w:rsidRPr="00600452">
        <w:rPr>
          <w:rFonts w:ascii="Arial" w:eastAsia="Arial" w:hAnsi="Arial" w:cs="Arial"/>
          <w:color w:val="auto"/>
          <w:lang w:val="en-US"/>
        </w:rPr>
        <w:t xml:space="preserve"> This definition is consistent with the nationally-agreed exposure classification definitions used</w:t>
      </w:r>
      <w:r w:rsidRPr="00600452">
        <w:rPr>
          <w:rFonts w:ascii="Arial" w:eastAsia="Arial" w:hAnsi="Arial" w:cs="Arial"/>
          <w:b/>
          <w:bCs/>
          <w:color w:val="auto"/>
          <w:lang w:val="en-US"/>
        </w:rPr>
        <w:t xml:space="preserve"> </w:t>
      </w:r>
      <w:r w:rsidRPr="00600452">
        <w:rPr>
          <w:rFonts w:ascii="Arial" w:eastAsia="Arial" w:hAnsi="Arial" w:cs="Arial"/>
          <w:color w:val="auto"/>
          <w:lang w:val="en-US"/>
        </w:rPr>
        <w:t>in Australia for CDI surveillance.</w:t>
      </w:r>
      <w:r w:rsidRPr="00600452">
        <w:rPr>
          <w:rFonts w:ascii="Arial" w:eastAsia="Arial" w:hAnsi="Arial" w:cs="Arial"/>
          <w:color w:val="auto"/>
          <w:lang w:val="en-US"/>
        </w:rPr>
        <w:fldChar w:fldCharType="begin"/>
      </w:r>
      <w:r w:rsidRPr="00600452">
        <w:rPr>
          <w:rFonts w:ascii="Arial" w:eastAsia="Arial" w:hAnsi="Arial" w:cs="Arial"/>
          <w:color w:val="auto"/>
          <w:lang w:val="en-US"/>
        </w:rPr>
        <w:instrText xml:space="preserve"> ADDIN EN.CITE &lt;EndNote&gt;&lt;Cite&gt;&lt;Author&gt;Australian Commission on Safety and Quality in Health Care&lt;/Author&gt;&lt;Year&gt;2020&lt;/Year&gt;&lt;RecNum&gt;34&lt;/RecNum&gt;&lt;DisplayText&gt;&lt;style face="superscript"&gt;18&lt;/style&gt;&lt;/DisplayText&gt;&lt;record&gt;&lt;rec-number&gt;34&lt;/rec-number&gt;&lt;foreign-keys&gt;&lt;key app="EN" db-id="2rp0a5drxdefz3e2e5dptftled295z2r2ve2" timestamp="1599706141"&gt;34&lt;/key&gt;&lt;/foreign-keys&gt;&lt;ref-type name="Report"&gt;27&lt;/ref-type&gt;&lt;contributors&gt;&lt;authors&gt;&lt;author&gt;Australian Commission on Safety and Quality in Health Care,&lt;/author&gt;&lt;/authors&gt;&lt;tertiary-authors&gt;&lt;author&gt;ACSQHC&lt;/author&gt;&lt;/tertiary-authors&gt;&lt;/contributors&gt;&lt;titles&gt;&lt;title&gt;Implementation guide for the Surveillance of Clostridioides difficile Infection. &lt;/title&gt;&lt;/titles&gt;&lt;dates&gt;&lt;year&gt;2020&lt;/year&gt;&lt;/dates&gt;&lt;pub-location&gt;Sydney&lt;/pub-location&gt;&lt;urls&gt;&lt;/urls&gt;&lt;/record&gt;&lt;/Cite&gt;&lt;/EndNote&gt;</w:instrText>
      </w:r>
      <w:r w:rsidRPr="00600452">
        <w:rPr>
          <w:rFonts w:ascii="Arial" w:eastAsia="Arial" w:hAnsi="Arial" w:cs="Arial"/>
          <w:color w:val="auto"/>
          <w:lang w:val="en-US"/>
        </w:rPr>
        <w:fldChar w:fldCharType="separate"/>
      </w:r>
      <w:r w:rsidRPr="00600452">
        <w:rPr>
          <w:rFonts w:ascii="Arial" w:eastAsia="Arial" w:hAnsi="Arial" w:cs="Arial"/>
          <w:noProof/>
          <w:color w:val="auto"/>
          <w:vertAlign w:val="superscript"/>
          <w:lang w:val="en-US"/>
        </w:rPr>
        <w:t>18</w:t>
      </w:r>
      <w:r w:rsidRPr="00600452">
        <w:rPr>
          <w:rFonts w:ascii="Arial" w:eastAsia="Arial" w:hAnsi="Arial" w:cs="Arial"/>
          <w:color w:val="auto"/>
          <w:lang w:val="en-US"/>
        </w:rPr>
        <w:fldChar w:fldCharType="end"/>
      </w:r>
      <w:r w:rsidRPr="00600452">
        <w:rPr>
          <w:rFonts w:ascii="Arial" w:eastAsia="Arial" w:hAnsi="Arial" w:cs="Arial"/>
          <w:color w:val="auto"/>
          <w:lang w:val="en-US"/>
        </w:rPr>
        <w:t xml:space="preserve"> During 2022 and 2023, 7% (</w:t>
      </w:r>
      <w:r w:rsidRPr="00600452">
        <w:rPr>
          <w:rFonts w:ascii="Arial" w:eastAsia="Arial" w:hAnsi="Arial" w:cs="Arial"/>
          <w:i/>
          <w:iCs/>
          <w:color w:val="auto"/>
          <w:lang w:val="en-US"/>
        </w:rPr>
        <w:t>n =</w:t>
      </w:r>
      <w:r w:rsidRPr="00600452">
        <w:rPr>
          <w:rFonts w:ascii="Arial" w:eastAsia="Arial" w:hAnsi="Arial" w:cs="Arial"/>
          <w:color w:val="auto"/>
          <w:lang w:val="en-US"/>
        </w:rPr>
        <w:t xml:space="preserve"> 1,316) of all separations with pre-existing CDI symptoms were identified as being readmitted to hospital within 28 days of a previous admission (2022 </w:t>
      </w:r>
      <w:r w:rsidRPr="00600452">
        <w:rPr>
          <w:rFonts w:ascii="Arial" w:eastAsia="Arial" w:hAnsi="Arial" w:cs="Arial"/>
          <w:i/>
          <w:iCs/>
          <w:color w:val="auto"/>
          <w:lang w:val="en-US"/>
        </w:rPr>
        <w:t>n =</w:t>
      </w:r>
      <w:r w:rsidRPr="00600452">
        <w:rPr>
          <w:rFonts w:ascii="Arial" w:eastAsia="Arial" w:hAnsi="Arial" w:cs="Arial"/>
          <w:color w:val="auto"/>
          <w:lang w:val="en-US"/>
        </w:rPr>
        <w:t xml:space="preserve">701; 2023 </w:t>
      </w:r>
      <w:r w:rsidRPr="00600452">
        <w:rPr>
          <w:rFonts w:ascii="Arial" w:eastAsia="Arial" w:hAnsi="Arial" w:cs="Arial"/>
          <w:i/>
          <w:iCs/>
          <w:color w:val="auto"/>
          <w:lang w:val="en-US"/>
        </w:rPr>
        <w:t>n =</w:t>
      </w:r>
      <w:r w:rsidRPr="00600452">
        <w:rPr>
          <w:rFonts w:ascii="Arial" w:eastAsia="Arial" w:hAnsi="Arial" w:cs="Arial"/>
          <w:color w:val="auto"/>
          <w:lang w:val="en-US"/>
        </w:rPr>
        <w:t xml:space="preserve"> 615).  </w:t>
      </w:r>
    </w:p>
    <w:p w14:paraId="780F90DE" w14:textId="77777777" w:rsidR="00600452" w:rsidRPr="00600452" w:rsidRDefault="00600452" w:rsidP="00600452">
      <w:pPr>
        <w:widowControl w:val="0"/>
        <w:autoSpaceDE w:val="0"/>
        <w:autoSpaceDN w:val="0"/>
        <w:spacing w:after="0" w:line="276" w:lineRule="auto"/>
        <w:ind w:right="-284"/>
        <w:rPr>
          <w:rFonts w:ascii="Arial" w:eastAsia="Arial" w:hAnsi="Arial" w:cs="Arial"/>
          <w:color w:val="auto"/>
          <w:lang w:val="en-US"/>
        </w:rPr>
      </w:pPr>
    </w:p>
    <w:p w14:paraId="083587AB" w14:textId="77777777" w:rsidR="00600452" w:rsidRPr="00600452" w:rsidRDefault="00600452" w:rsidP="00600452">
      <w:pPr>
        <w:widowControl w:val="0"/>
        <w:autoSpaceDE w:val="0"/>
        <w:autoSpaceDN w:val="0"/>
        <w:spacing w:after="0" w:line="276" w:lineRule="auto"/>
        <w:ind w:right="-284"/>
        <w:rPr>
          <w:rFonts w:ascii="Arial" w:eastAsia="Arial" w:hAnsi="Arial" w:cs="Arial"/>
          <w:b/>
          <w:bCs/>
          <w:color w:val="auto"/>
          <w:lang w:val="en-US"/>
        </w:rPr>
      </w:pPr>
      <w:r w:rsidRPr="00600452">
        <w:rPr>
          <w:rFonts w:ascii="Arial" w:eastAsia="Arial" w:hAnsi="Arial" w:cs="Arial"/>
          <w:b/>
          <w:bCs/>
          <w:color w:val="auto"/>
          <w:lang w:val="en-US"/>
        </w:rPr>
        <w:t xml:space="preserve">Community-onset CDI and residential aged care home residents </w:t>
      </w:r>
    </w:p>
    <w:p w14:paraId="40266C1E" w14:textId="634C5AF5" w:rsidR="005A10F2" w:rsidRPr="00600452" w:rsidRDefault="00600452" w:rsidP="00A01009">
      <w:pPr>
        <w:widowControl w:val="0"/>
        <w:autoSpaceDE w:val="0"/>
        <w:autoSpaceDN w:val="0"/>
        <w:spacing w:before="201" w:after="0" w:line="276" w:lineRule="auto"/>
        <w:ind w:right="-284"/>
        <w:rPr>
          <w:rFonts w:ascii="Arial" w:eastAsia="Arial" w:hAnsi="Arial" w:cs="Arial"/>
          <w:color w:val="auto"/>
          <w:lang w:val="en-US"/>
        </w:rPr>
      </w:pPr>
      <w:r w:rsidRPr="00A01009">
        <w:rPr>
          <w:rFonts w:ascii="Arial" w:eastAsia="Arial" w:hAnsi="Arial" w:cs="Arial"/>
          <w:color w:val="auto"/>
          <w:lang w:val="en-US"/>
        </w:rPr>
        <w:t>There is limited information on the burden of CDI in RACH residents in Australia. Surveillance for CDI in Australia is focused on hospital-identified CDI. Only Victoria has an established program to monitor HAIs in RACHs and data from this program are not currently published.</w:t>
      </w:r>
      <w:r w:rsidRPr="00A01009">
        <w:rPr>
          <w:rFonts w:ascii="Arial" w:eastAsia="Arial" w:hAnsi="Arial" w:cs="Arial"/>
          <w:color w:val="auto"/>
          <w:lang w:val="en-US"/>
        </w:rPr>
        <w:fldChar w:fldCharType="begin">
          <w:fldData xml:space="preserve">PEVuZE5vdGU+PENpdGU+PEF1dGhvcj5XYXRzb248L0F1dGhvcj48WWVhcj4yMDI0PC9ZZWFyPjxS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==
</w:fldData>
        </w:fldChar>
      </w:r>
      <w:r w:rsidRPr="00A01009">
        <w:rPr>
          <w:rFonts w:ascii="Arial" w:eastAsia="Arial" w:hAnsi="Arial" w:cs="Arial"/>
          <w:color w:val="auto"/>
          <w:lang w:val="en-US"/>
        </w:rPr>
        <w:instrText xml:space="preserve"> ADDIN EN.CITE </w:instrText>
      </w:r>
      <w:r w:rsidRPr="00A01009">
        <w:rPr>
          <w:rFonts w:ascii="Arial" w:eastAsia="Arial" w:hAnsi="Arial" w:cs="Arial"/>
          <w:color w:val="auto"/>
          <w:lang w:val="en-US"/>
        </w:rPr>
        <w:fldChar w:fldCharType="begin">
          <w:fldData xml:space="preserve">PEVuZE5vdGU+PENpdGU+PEF1dGhvcj5XYXRzb248L0F1dGhvcj48WWVhcj4yMDI0PC9ZZWFyPjxS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==
</w:fldData>
        </w:fldChar>
      </w:r>
      <w:r w:rsidRPr="00A01009">
        <w:rPr>
          <w:rFonts w:ascii="Arial" w:eastAsia="Arial" w:hAnsi="Arial" w:cs="Arial"/>
          <w:color w:val="auto"/>
          <w:lang w:val="en-US"/>
        </w:rPr>
        <w:instrText xml:space="preserve"> ADDIN EN.CITE.DATA </w:instrText>
      </w:r>
      <w:r w:rsidRPr="00A01009">
        <w:rPr>
          <w:rFonts w:ascii="Arial" w:eastAsia="Arial" w:hAnsi="Arial" w:cs="Arial"/>
          <w:color w:val="auto"/>
          <w:lang w:val="en-US"/>
        </w:rPr>
      </w:r>
      <w:r w:rsidRPr="00A01009">
        <w:rPr>
          <w:rFonts w:ascii="Arial" w:eastAsia="Arial" w:hAnsi="Arial" w:cs="Arial"/>
          <w:color w:val="auto"/>
          <w:lang w:val="en-US"/>
        </w:rPr>
        <w:fldChar w:fldCharType="end"/>
      </w:r>
      <w:r w:rsidRPr="00A01009">
        <w:rPr>
          <w:rFonts w:ascii="Arial" w:eastAsia="Arial" w:hAnsi="Arial" w:cs="Arial"/>
          <w:color w:val="auto"/>
          <w:lang w:val="en-US"/>
        </w:rPr>
      </w:r>
      <w:r w:rsidRPr="00A01009">
        <w:rPr>
          <w:rFonts w:ascii="Arial" w:eastAsia="Arial" w:hAnsi="Arial" w:cs="Arial"/>
          <w:color w:val="auto"/>
          <w:lang w:val="en-US"/>
        </w:rPr>
        <w:fldChar w:fldCharType="separate"/>
      </w:r>
      <w:r w:rsidRPr="00A01009">
        <w:rPr>
          <w:rFonts w:ascii="Arial" w:eastAsia="Arial" w:hAnsi="Arial" w:cs="Arial"/>
          <w:noProof/>
          <w:color w:val="auto"/>
          <w:vertAlign w:val="superscript"/>
          <w:lang w:val="en-US"/>
        </w:rPr>
        <w:t>34</w:t>
      </w:r>
      <w:r w:rsidRPr="00A01009">
        <w:rPr>
          <w:rFonts w:ascii="Arial" w:eastAsia="Arial" w:hAnsi="Arial" w:cs="Arial"/>
          <w:color w:val="auto"/>
          <w:lang w:val="en-US"/>
        </w:rPr>
        <w:fldChar w:fldCharType="end"/>
      </w:r>
      <w:r w:rsidRPr="00A01009">
        <w:rPr>
          <w:rFonts w:ascii="Arial" w:eastAsia="Arial" w:hAnsi="Arial" w:cs="Arial"/>
          <w:color w:val="auto"/>
          <w:lang w:val="en-US"/>
        </w:rPr>
        <w:t xml:space="preserve"> In the APC NMDS, less than 2% (</w:t>
      </w:r>
      <w:r w:rsidRPr="00A01009">
        <w:rPr>
          <w:rFonts w:ascii="Arial" w:eastAsia="Arial" w:hAnsi="Arial" w:cs="Arial"/>
          <w:i/>
          <w:iCs/>
          <w:color w:val="auto"/>
          <w:lang w:val="en-US"/>
        </w:rPr>
        <w:t>n =</w:t>
      </w:r>
      <w:r w:rsidRPr="00A01009">
        <w:rPr>
          <w:rFonts w:ascii="Arial" w:eastAsia="Arial" w:hAnsi="Arial" w:cs="Arial"/>
          <w:color w:val="auto"/>
          <w:lang w:val="en-US"/>
        </w:rPr>
        <w:t xml:space="preserve"> 304) of all separations with pre-existing CDI symptoms were</w:t>
      </w:r>
      <w:r w:rsidR="00B26241">
        <w:rPr>
          <w:rFonts w:ascii="Arial" w:eastAsia="Arial" w:hAnsi="Arial" w:cs="Arial"/>
          <w:color w:val="auto"/>
          <w:lang w:val="en-US"/>
        </w:rPr>
        <w:t xml:space="preserve"> identified as </w:t>
      </w:r>
      <w:r w:rsidRPr="00A01009">
        <w:rPr>
          <w:rFonts w:ascii="Arial" w:eastAsia="Arial" w:hAnsi="Arial" w:cs="Arial"/>
          <w:color w:val="auto"/>
          <w:lang w:val="en-US"/>
        </w:rPr>
        <w:t xml:space="preserve">individuals residing in a RACHs at the time of diagnosis (2022:1.40%, </w:t>
      </w:r>
      <w:r w:rsidRPr="00A01009">
        <w:rPr>
          <w:rFonts w:ascii="Arial" w:eastAsia="Arial" w:hAnsi="Arial" w:cs="Arial"/>
          <w:i/>
          <w:iCs/>
          <w:color w:val="auto"/>
          <w:lang w:val="en-US"/>
        </w:rPr>
        <w:t>n =</w:t>
      </w:r>
      <w:r w:rsidRPr="00A01009">
        <w:rPr>
          <w:rFonts w:ascii="Arial" w:eastAsia="Arial" w:hAnsi="Arial" w:cs="Arial"/>
          <w:color w:val="auto"/>
          <w:lang w:val="en-US"/>
        </w:rPr>
        <w:t xml:space="preserve"> 136 and 2023:1.85%, </w:t>
      </w:r>
      <w:r w:rsidRPr="00A01009">
        <w:rPr>
          <w:rFonts w:ascii="Arial" w:eastAsia="Arial" w:hAnsi="Arial" w:cs="Arial"/>
          <w:i/>
          <w:iCs/>
          <w:color w:val="auto"/>
          <w:lang w:val="en-US"/>
        </w:rPr>
        <w:t>n =</w:t>
      </w:r>
      <w:r w:rsidRPr="00A01009">
        <w:rPr>
          <w:rFonts w:ascii="Arial" w:eastAsia="Arial" w:hAnsi="Arial" w:cs="Arial"/>
          <w:color w:val="auto"/>
          <w:lang w:val="en-US"/>
        </w:rPr>
        <w:t xml:space="preserve"> 168). Only 14 of these individuals </w:t>
      </w:r>
      <w:r w:rsidR="00B26241">
        <w:rPr>
          <w:rFonts w:ascii="Arial" w:eastAsia="Arial" w:hAnsi="Arial" w:cs="Arial"/>
          <w:color w:val="auto"/>
          <w:lang w:val="en-US"/>
        </w:rPr>
        <w:t xml:space="preserve">were identified as having </w:t>
      </w:r>
      <w:r w:rsidRPr="00A01009">
        <w:rPr>
          <w:rFonts w:ascii="Arial" w:eastAsia="Arial" w:hAnsi="Arial" w:cs="Arial"/>
          <w:color w:val="auto"/>
          <w:lang w:val="en-US"/>
        </w:rPr>
        <w:t>had a readmission within 28 days in 2022 and 2023.</w:t>
      </w:r>
      <w:r w:rsidR="005A10F2" w:rsidRPr="00A01009">
        <w:rPr>
          <w:rFonts w:ascii="Arial" w:eastAsia="Arial" w:hAnsi="Arial" w:cs="Arial"/>
          <w:color w:val="auto"/>
          <w:lang w:val="en-US"/>
        </w:rPr>
        <w:t xml:space="preserve"> </w:t>
      </w:r>
      <w:r w:rsidR="00E53F6A" w:rsidRPr="00A01009">
        <w:rPr>
          <w:rFonts w:ascii="Arial" w:eastAsia="Arial" w:hAnsi="Arial" w:cs="Arial"/>
          <w:color w:val="auto"/>
          <w:lang w:val="en-US"/>
        </w:rPr>
        <w:t>The small proportion of patients from RACHs with CDI symptom onset identified in this analysis is comparable to Australian data reported elsewhere (1.20%).</w:t>
      </w:r>
      <w:r w:rsidR="00E53F6A" w:rsidRPr="00A01009">
        <w:rPr>
          <w:rFonts w:ascii="Arial" w:eastAsia="Arial" w:hAnsi="Arial" w:cs="Arial"/>
          <w:color w:val="auto"/>
          <w:lang w:val="en-US"/>
        </w:rPr>
        <w:fldChar w:fldCharType="begin">
          <w:fldData xml:space="preserve">PEVuZE5vdGU+PENpdGU+PEF1dGhvcj5TdGV3YXJ0PC9BdXRob3I+PFllYXI+MjAyMzwvWWVhcj48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</w:fldData>
        </w:fldChar>
      </w:r>
      <w:r w:rsidR="00E53F6A" w:rsidRPr="00A01009">
        <w:rPr>
          <w:rFonts w:ascii="Arial" w:eastAsia="Arial" w:hAnsi="Arial" w:cs="Arial"/>
          <w:color w:val="auto"/>
          <w:lang w:val="en-US"/>
        </w:rPr>
        <w:instrText xml:space="preserve"> ADDIN EN.CITE </w:instrText>
      </w:r>
      <w:r w:rsidR="00E53F6A" w:rsidRPr="00A01009">
        <w:rPr>
          <w:rFonts w:ascii="Arial" w:eastAsia="Arial" w:hAnsi="Arial" w:cs="Arial"/>
          <w:color w:val="auto"/>
          <w:lang w:val="en-US"/>
        </w:rPr>
        <w:fldChar w:fldCharType="begin">
          <w:fldData xml:space="preserve">PEVuZE5vdGU+PENpdGU+PEF1dGhvcj5TdGV3YXJ0PC9BdXRob3I+PFllYXI+MjAyMzwvWWVhcj48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</w:fldData>
        </w:fldChar>
      </w:r>
      <w:r w:rsidR="00E53F6A" w:rsidRPr="00A01009">
        <w:rPr>
          <w:rFonts w:ascii="Arial" w:eastAsia="Arial" w:hAnsi="Arial" w:cs="Arial"/>
          <w:color w:val="auto"/>
          <w:lang w:val="en-US"/>
        </w:rPr>
        <w:instrText xml:space="preserve"> ADDIN EN.CITE.DATA </w:instrText>
      </w:r>
      <w:r w:rsidR="00E53F6A" w:rsidRPr="00A01009">
        <w:rPr>
          <w:rFonts w:ascii="Arial" w:eastAsia="Arial" w:hAnsi="Arial" w:cs="Arial"/>
          <w:color w:val="auto"/>
          <w:lang w:val="en-US"/>
        </w:rPr>
      </w:r>
      <w:r w:rsidR="00E53F6A" w:rsidRPr="00A01009">
        <w:rPr>
          <w:rFonts w:ascii="Arial" w:eastAsia="Arial" w:hAnsi="Arial" w:cs="Arial"/>
          <w:color w:val="auto"/>
          <w:lang w:val="en-US"/>
        </w:rPr>
        <w:fldChar w:fldCharType="end"/>
      </w:r>
      <w:r w:rsidR="00E53F6A" w:rsidRPr="00A01009">
        <w:rPr>
          <w:rFonts w:ascii="Arial" w:eastAsia="Arial" w:hAnsi="Arial" w:cs="Arial"/>
          <w:color w:val="auto"/>
          <w:lang w:val="en-US"/>
        </w:rPr>
      </w:r>
      <w:r w:rsidR="00E53F6A" w:rsidRPr="00A01009">
        <w:rPr>
          <w:rFonts w:ascii="Arial" w:eastAsia="Arial" w:hAnsi="Arial" w:cs="Arial"/>
          <w:color w:val="auto"/>
          <w:lang w:val="en-US"/>
        </w:rPr>
        <w:fldChar w:fldCharType="separate"/>
      </w:r>
      <w:r w:rsidR="00E53F6A" w:rsidRPr="00A01009">
        <w:rPr>
          <w:rFonts w:ascii="Arial" w:eastAsia="Arial" w:hAnsi="Arial" w:cs="Arial"/>
          <w:noProof/>
          <w:color w:val="auto"/>
          <w:vertAlign w:val="superscript"/>
          <w:lang w:val="en-US"/>
        </w:rPr>
        <w:t>27</w:t>
      </w:r>
      <w:r w:rsidR="00E53F6A" w:rsidRPr="00A01009">
        <w:rPr>
          <w:rFonts w:ascii="Arial" w:eastAsia="Arial" w:hAnsi="Arial" w:cs="Arial"/>
          <w:color w:val="auto"/>
          <w:lang w:val="en-US"/>
        </w:rPr>
        <w:fldChar w:fldCharType="end"/>
      </w:r>
      <w:r w:rsidR="00E53F6A" w:rsidRPr="00A01009">
        <w:rPr>
          <w:rFonts w:ascii="Arial" w:eastAsia="Arial" w:hAnsi="Arial" w:cs="Arial"/>
          <w:color w:val="auto"/>
          <w:lang w:val="en-US"/>
        </w:rPr>
        <w:t xml:space="preserve"> Despite </w:t>
      </w:r>
      <w:r w:rsidR="005A10F2" w:rsidRPr="00A01009">
        <w:rPr>
          <w:rFonts w:ascii="Arial" w:eastAsia="Arial" w:hAnsi="Arial" w:cs="Arial"/>
          <w:color w:val="auto"/>
          <w:lang w:val="en-US"/>
        </w:rPr>
        <w:t xml:space="preserve">only a very small proportion of separations with a CDI diagnosis are identified as </w:t>
      </w:r>
      <w:r w:rsidR="00E53F6A" w:rsidRPr="00A01009">
        <w:rPr>
          <w:rFonts w:ascii="Arial" w:eastAsia="Arial" w:hAnsi="Arial" w:cs="Arial"/>
          <w:color w:val="auto"/>
          <w:lang w:val="en-US"/>
        </w:rPr>
        <w:t xml:space="preserve">individuals </w:t>
      </w:r>
      <w:r w:rsidR="005A10F2" w:rsidRPr="00A01009">
        <w:rPr>
          <w:rFonts w:ascii="Arial" w:eastAsia="Arial" w:hAnsi="Arial" w:cs="Arial"/>
          <w:color w:val="auto"/>
          <w:lang w:val="en-US"/>
        </w:rPr>
        <w:t>residing in RACHs, it is important th</w:t>
      </w:r>
      <w:r w:rsidR="00E53F6A" w:rsidRPr="00A01009">
        <w:rPr>
          <w:rFonts w:ascii="Arial" w:eastAsia="Arial" w:hAnsi="Arial" w:cs="Arial"/>
          <w:color w:val="auto"/>
          <w:lang w:val="en-US"/>
        </w:rPr>
        <w:t>at both</w:t>
      </w:r>
      <w:r w:rsidR="005A10F2" w:rsidRPr="00A01009">
        <w:rPr>
          <w:rFonts w:ascii="Arial" w:eastAsia="Arial" w:hAnsi="Arial" w:cs="Arial"/>
          <w:color w:val="auto"/>
          <w:lang w:val="en-US"/>
        </w:rPr>
        <w:t xml:space="preserve"> healthcare </w:t>
      </w:r>
      <w:r w:rsidR="00E53F6A" w:rsidRPr="00A01009">
        <w:rPr>
          <w:rFonts w:ascii="Arial" w:eastAsia="Arial" w:hAnsi="Arial" w:cs="Arial"/>
          <w:color w:val="auto"/>
          <w:lang w:val="en-US"/>
        </w:rPr>
        <w:t xml:space="preserve">and aged care </w:t>
      </w:r>
      <w:r w:rsidR="005A10F2" w:rsidRPr="00A01009">
        <w:rPr>
          <w:rFonts w:ascii="Arial" w:eastAsia="Arial" w:hAnsi="Arial" w:cs="Arial"/>
          <w:color w:val="auto"/>
          <w:lang w:val="en-US"/>
        </w:rPr>
        <w:t xml:space="preserve">workers are aware of the risk of infection to this population, and </w:t>
      </w:r>
      <w:r w:rsidR="00E53F6A" w:rsidRPr="00A01009">
        <w:rPr>
          <w:rFonts w:ascii="Arial" w:eastAsia="Arial" w:hAnsi="Arial" w:cs="Arial"/>
          <w:color w:val="auto"/>
          <w:lang w:val="en-US"/>
        </w:rPr>
        <w:t xml:space="preserve">use infection prevention </w:t>
      </w:r>
      <w:r w:rsidR="005A10F2" w:rsidRPr="00A01009">
        <w:rPr>
          <w:rFonts w:ascii="Arial" w:eastAsia="Arial" w:hAnsi="Arial" w:cs="Arial"/>
          <w:color w:val="auto"/>
          <w:lang w:val="en-US"/>
        </w:rPr>
        <w:t xml:space="preserve">strategies </w:t>
      </w:r>
      <w:r w:rsidR="00E53F6A" w:rsidRPr="00A01009">
        <w:rPr>
          <w:rFonts w:ascii="Arial" w:eastAsia="Arial" w:hAnsi="Arial" w:cs="Arial"/>
          <w:color w:val="auto"/>
          <w:lang w:val="en-US"/>
        </w:rPr>
        <w:t xml:space="preserve">to lower this risk </w:t>
      </w:r>
      <w:r w:rsidR="005A10F2" w:rsidRPr="00A01009">
        <w:rPr>
          <w:rFonts w:ascii="Arial" w:eastAsia="Arial" w:hAnsi="Arial" w:cs="Arial"/>
          <w:color w:val="auto"/>
          <w:lang w:val="en-US"/>
        </w:rPr>
        <w:t>for older people.</w:t>
      </w:r>
    </w:p>
    <w:p w14:paraId="7FBD6E60" w14:textId="77777777" w:rsidR="00505471" w:rsidRDefault="00505471">
      <w:pPr>
        <w:rPr>
          <w:rFonts w:asciiTheme="majorHAnsi" w:hAnsiTheme="majorHAnsi"/>
          <w:sz w:val="52"/>
          <w:szCs w:val="44"/>
          <w:lang w:eastAsia="en-AU"/>
        </w:rPr>
      </w:pPr>
      <w:bookmarkStart w:id="30" w:name="_Toc203723842"/>
      <w:r>
        <w:rPr>
          <w:lang w:eastAsia="en-AU"/>
        </w:rPr>
        <w:br w:type="page"/>
      </w:r>
    </w:p>
    <w:p w14:paraId="14DC546C" w14:textId="7C7DC362" w:rsidR="00F54593" w:rsidRPr="00F54593" w:rsidRDefault="00F54593" w:rsidP="00F54593">
      <w:pPr>
        <w:pStyle w:val="Heading1"/>
        <w:rPr>
          <w:lang w:eastAsia="en-AU"/>
        </w:rPr>
      </w:pPr>
      <w:bookmarkStart w:id="31" w:name="_Toc205909369"/>
      <w:r w:rsidRPr="00F54593">
        <w:rPr>
          <w:lang w:eastAsia="en-AU"/>
        </w:rPr>
        <w:lastRenderedPageBreak/>
        <w:t>Risk factors for community-onset CDI</w:t>
      </w:r>
      <w:bookmarkEnd w:id="30"/>
      <w:bookmarkEnd w:id="31"/>
      <w:r w:rsidRPr="00F54593">
        <w:rPr>
          <w:lang w:eastAsia="en-AU"/>
        </w:rPr>
        <w:t xml:space="preserve"> </w:t>
      </w:r>
    </w:p>
    <w:p w14:paraId="639F7086" w14:textId="77777777" w:rsidR="00F54593" w:rsidRPr="00F54593" w:rsidRDefault="00F54593" w:rsidP="00F54593">
      <w:pPr>
        <w:spacing w:after="0" w:line="276" w:lineRule="auto"/>
        <w:rPr>
          <w:rFonts w:ascii="Arial" w:eastAsia="Times New Roman" w:hAnsi="Arial"/>
          <w:color w:val="auto"/>
          <w:lang w:eastAsia="en-AU"/>
        </w:rPr>
      </w:pPr>
      <w:bookmarkStart w:id="32" w:name="_Hlk204767694"/>
      <w:r w:rsidRPr="00F54593">
        <w:rPr>
          <w:rFonts w:ascii="Arial" w:eastAsia="Times New Roman" w:hAnsi="Arial"/>
          <w:color w:val="auto"/>
          <w:lang w:eastAsia="en-AU"/>
        </w:rPr>
        <w:t>Use of antimicrobials is strongly associated with the onset of CDI and the concurrent use of PPI medicine can further increase the risk for CDI.</w:t>
      </w:r>
      <w:r w:rsidRPr="00F54593">
        <w:rPr>
          <w:rFonts w:ascii="Arial" w:eastAsia="Times New Roman" w:hAnsi="Arial"/>
          <w:color w:val="auto"/>
          <w:lang w:eastAsia="en-AU"/>
        </w:rPr>
        <w:fldChar w:fldCharType="begin">
          <w:fldData xml:space="preserve">PEVuZE5vdGU+PENpdGU+PEF1dGhvcj5JbmdoYW1tYXI8L0F1dGhvcj48WWVhcj4yMDIxPC9ZZWFy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</w:fldData>
        </w:fldChar>
      </w:r>
      <w:r w:rsidRPr="00F54593">
        <w:rPr>
          <w:rFonts w:ascii="Arial" w:eastAsia="Times New Roman" w:hAnsi="Arial"/>
          <w:color w:val="auto"/>
          <w:lang w:eastAsia="en-AU"/>
        </w:rPr>
        <w:instrText xml:space="preserve"> ADDIN EN.CITE </w:instrText>
      </w:r>
      <w:r w:rsidRPr="00F54593">
        <w:rPr>
          <w:rFonts w:ascii="Arial" w:eastAsia="Times New Roman" w:hAnsi="Arial"/>
          <w:color w:val="auto"/>
          <w:lang w:eastAsia="en-AU"/>
        </w:rPr>
        <w:fldChar w:fldCharType="begin">
          <w:fldData xml:space="preserve">PEVuZE5vdGU+PENpdGU+PEF1dGhvcj5JbmdoYW1tYXI8L0F1dGhvcj48WWVhcj4yMDIxPC9ZZWFy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</w:fldData>
        </w:fldChar>
      </w:r>
      <w:r w:rsidRPr="00F54593">
        <w:rPr>
          <w:rFonts w:ascii="Arial" w:eastAsia="Times New Roman" w:hAnsi="Arial"/>
          <w:color w:val="auto"/>
          <w:lang w:eastAsia="en-AU"/>
        </w:rPr>
        <w:instrText xml:space="preserve"> ADDIN EN.CITE.DATA </w:instrText>
      </w:r>
      <w:r w:rsidRPr="00F54593">
        <w:rPr>
          <w:rFonts w:ascii="Arial" w:eastAsia="Times New Roman" w:hAnsi="Arial"/>
          <w:color w:val="auto"/>
          <w:lang w:eastAsia="en-AU"/>
        </w:rPr>
      </w:r>
      <w:r w:rsidRPr="00F54593">
        <w:rPr>
          <w:rFonts w:ascii="Arial" w:eastAsia="Times New Roman" w:hAnsi="Arial"/>
          <w:color w:val="auto"/>
          <w:lang w:eastAsia="en-AU"/>
        </w:rPr>
        <w:fldChar w:fldCharType="end"/>
      </w:r>
      <w:r w:rsidRPr="00F54593">
        <w:rPr>
          <w:rFonts w:ascii="Arial" w:eastAsia="Times New Roman" w:hAnsi="Arial"/>
          <w:color w:val="auto"/>
          <w:lang w:eastAsia="en-AU"/>
        </w:rPr>
      </w:r>
      <w:r w:rsidRPr="00F54593">
        <w:rPr>
          <w:rFonts w:ascii="Arial" w:eastAsia="Times New Roman" w:hAnsi="Arial"/>
          <w:color w:val="auto"/>
          <w:lang w:eastAsia="en-AU"/>
        </w:rPr>
        <w:fldChar w:fldCharType="separate"/>
      </w:r>
      <w:r w:rsidRPr="00F54593">
        <w:rPr>
          <w:rFonts w:ascii="Arial" w:eastAsia="Times New Roman" w:hAnsi="Arial"/>
          <w:noProof/>
          <w:color w:val="auto"/>
          <w:vertAlign w:val="superscript"/>
          <w:lang w:eastAsia="en-AU"/>
        </w:rPr>
        <w:t>35, 36</w:t>
      </w:r>
      <w:r w:rsidRPr="00F54593">
        <w:rPr>
          <w:rFonts w:ascii="Arial" w:eastAsia="Times New Roman" w:hAnsi="Arial"/>
          <w:color w:val="auto"/>
          <w:lang w:eastAsia="en-AU"/>
        </w:rPr>
        <w:fldChar w:fldCharType="end"/>
      </w:r>
      <w:bookmarkEnd w:id="32"/>
      <w:r w:rsidRPr="00F54593">
        <w:rPr>
          <w:rFonts w:ascii="Arial" w:eastAsia="Times New Roman" w:hAnsi="Arial"/>
          <w:color w:val="auto"/>
          <w:lang w:eastAsia="en-AU"/>
        </w:rPr>
        <w:t xml:space="preserve"> Data from the PBS and RPBS is used to monitor the community use of antimicrobials and PPI medicines.</w:t>
      </w:r>
      <w:r w:rsidRPr="00F54593">
        <w:rPr>
          <w:rFonts w:ascii="Arial" w:eastAsia="Times New Roman" w:hAnsi="Arial"/>
          <w:color w:val="auto"/>
          <w:lang w:eastAsia="en-AU"/>
        </w:rPr>
        <w:fldChar w:fldCharType="begin"/>
      </w:r>
      <w:r w:rsidRPr="00F54593">
        <w:rPr>
          <w:rFonts w:ascii="Arial" w:eastAsia="Times New Roman" w:hAnsi="Arial"/>
          <w:color w:val="auto"/>
          <w:lang w:eastAsia="en-AU"/>
        </w:rPr>
        <w:instrText xml:space="preserve"> ADDIN EN.CITE &lt;EndNote&gt;&lt;Cite&gt;&lt;Author&gt;Australian Commission on Safety and Quality in Health Care&lt;/Author&gt;&lt;Year&gt;2024&lt;/Year&gt;&lt;RecNum&gt;237&lt;/RecNum&gt;&lt;DisplayText&gt;&lt;style face="superscript"&gt;16, 37&lt;/style&gt;&lt;/DisplayText&gt;&lt;record&gt;&lt;rec-number&gt;237&lt;/rec-number&gt;&lt;foreign-keys&gt;&lt;key app="EN" db-id="2rp0a5drxdefz3e2e5dptftled295z2r2ve2" timestamp="1740717310"&gt;237&lt;/key&gt;&lt;/foreign-keys&gt;&lt;ref-type name="Generic"&gt;13&lt;/ref-type&gt;&lt;contributors&gt;&lt;authors&gt;&lt;author&gt;Australian Commission on Safety and Quality in Health Care,&lt;/author&gt;&lt;/authors&gt;&lt;/contributors&gt;&lt;titles&gt;&lt;title&gt;Antimicrobial use in the community: &amp;#xD;2023. &lt;/title&gt;&lt;/titles&gt;&lt;dates&gt;&lt;year&gt;2024&lt;/year&gt;&lt;/dates&gt;&lt;pub-location&gt;Sydney&lt;/pub-location&gt;&lt;publisher&gt;ACSQHC&lt;/publisher&gt;&lt;urls&gt;&lt;/urls&gt;&lt;/record&gt;&lt;/Cite&gt;&lt;Cite&gt;&lt;Author&gt;Drug utilisation sub-committee&lt;/Author&gt;&lt;Year&gt;2022&lt;/Year&gt;&lt;RecNum&gt;224&lt;/RecNum&gt;&lt;record&gt;&lt;rec-number&gt;224&lt;/rec-number&gt;&lt;foreign-keys&gt;&lt;key app="EN" db-id="2rp0a5drxdefz3e2e5dptftled295z2r2ve2" timestamp="1718159508"&gt;224&lt;/key&gt;&lt;/foreign-keys&gt;&lt;ref-type name="Generic"&gt;13&lt;/ref-type&gt;&lt;contributors&gt;&lt;authors&gt;&lt;author&gt;Drug utilisation sub-committee,&lt;/author&gt;&lt;author&gt;(DUSC),&lt;/author&gt;&lt;/authors&gt;&lt;subsidiary-authors&gt;&lt;author&gt;The Pharmaceutical Benefits Scheme&lt;/author&gt;&lt;/subsidiary-authors&gt;&lt;/contributors&gt;&lt;titles&gt;&lt;title&gt;Analysis of proton pump inhibitor (PPI) medicines used in the management of gastrointestinal acid related disorders.&lt;/title&gt;&lt;/titles&gt;&lt;dates&gt;&lt;year&gt;2022&lt;/year&gt;&lt;pub-dates&gt;&lt;date&gt;June 2022&lt;/date&gt;&lt;/pub-dates&gt;&lt;/dates&gt;&lt;urls&gt;&lt;related-urls&gt;&lt;url&gt;https://www.pbs.gov.au/info/industry/listing/participants/public-release-docs/2022-06/proton-pump-inhibitor-ppi-medicines-used-in-management-of-gastrointestinal-acid&lt;/url&gt;&lt;/related-urls&gt;&lt;/urls&gt;&lt;/record&gt;&lt;/Cite&gt;&lt;/EndNote&gt;</w:instrText>
      </w:r>
      <w:r w:rsidRPr="00F54593">
        <w:rPr>
          <w:rFonts w:ascii="Arial" w:eastAsia="Times New Roman" w:hAnsi="Arial"/>
          <w:color w:val="auto"/>
          <w:lang w:eastAsia="en-AU"/>
        </w:rPr>
        <w:fldChar w:fldCharType="separate"/>
      </w:r>
      <w:r w:rsidRPr="00F54593">
        <w:rPr>
          <w:rFonts w:ascii="Arial" w:eastAsia="Times New Roman" w:hAnsi="Arial"/>
          <w:noProof/>
          <w:color w:val="auto"/>
          <w:vertAlign w:val="superscript"/>
          <w:lang w:eastAsia="en-AU"/>
        </w:rPr>
        <w:t>16, 37</w:t>
      </w:r>
      <w:r w:rsidRPr="00F54593">
        <w:rPr>
          <w:rFonts w:ascii="Arial" w:eastAsia="Times New Roman" w:hAnsi="Arial"/>
          <w:color w:val="auto"/>
          <w:lang w:eastAsia="en-AU"/>
        </w:rPr>
        <w:fldChar w:fldCharType="end"/>
      </w:r>
      <w:r w:rsidRPr="00F54593">
        <w:rPr>
          <w:rFonts w:ascii="Arial" w:eastAsia="Times New Roman" w:hAnsi="Arial"/>
          <w:color w:val="auto"/>
          <w:lang w:eastAsia="en-AU"/>
        </w:rPr>
        <w:t xml:space="preserve"> </w:t>
      </w:r>
    </w:p>
    <w:p w14:paraId="76ACB4D8" w14:textId="77777777" w:rsidR="00F54593" w:rsidRPr="00F54593" w:rsidRDefault="00F54593" w:rsidP="00F54593">
      <w:pPr>
        <w:pStyle w:val="Heading4"/>
        <w:rPr>
          <w:rFonts w:eastAsia="Times New Roman"/>
          <w:lang w:eastAsia="en-AU"/>
        </w:rPr>
      </w:pPr>
      <w:r w:rsidRPr="00F54593">
        <w:rPr>
          <w:rFonts w:eastAsia="Times New Roman"/>
          <w:lang w:eastAsia="en-AU"/>
        </w:rPr>
        <w:t>Antimicrobial usage</w:t>
      </w:r>
    </w:p>
    <w:p w14:paraId="5AA2BF73" w14:textId="77777777" w:rsidR="00F54593" w:rsidRPr="00F54593" w:rsidRDefault="00F54593" w:rsidP="00F54593">
      <w:pPr>
        <w:widowControl w:val="0"/>
        <w:autoSpaceDE w:val="0"/>
        <w:autoSpaceDN w:val="0"/>
        <w:spacing w:after="0" w:line="276" w:lineRule="auto"/>
        <w:rPr>
          <w:rFonts w:ascii="Arial" w:eastAsia="Arial" w:hAnsi="Arial" w:cs="Arial"/>
          <w:color w:val="auto"/>
          <w:lang w:val="en-US"/>
        </w:rPr>
      </w:pPr>
      <w:r w:rsidRPr="00F54593">
        <w:rPr>
          <w:rFonts w:ascii="Arial" w:eastAsia="Arial" w:hAnsi="Arial" w:cs="Arial"/>
          <w:color w:val="auto"/>
          <w:lang w:val="en-US"/>
        </w:rPr>
        <w:t xml:space="preserve">All classes of antimicrobials can disrupt the balance of the gut microbiome, leading to conditions that support an overgrowth of </w:t>
      </w:r>
      <w:r w:rsidRPr="00F54593">
        <w:rPr>
          <w:rFonts w:ascii="Arial" w:eastAsia="Arial" w:hAnsi="Arial" w:cs="Arial"/>
          <w:i/>
          <w:iCs/>
          <w:color w:val="auto"/>
          <w:lang w:val="en-US"/>
        </w:rPr>
        <w:t>C. difficile</w:t>
      </w:r>
      <w:r w:rsidRPr="00F54593">
        <w:rPr>
          <w:rFonts w:ascii="Arial" w:eastAsia="Arial" w:hAnsi="Arial" w:cs="Arial"/>
          <w:color w:val="auto"/>
          <w:lang w:val="en-US"/>
        </w:rPr>
        <w:fldChar w:fldCharType="begin">
          <w:fldData xml:space="preserve">PEVuZE5vdGU+PENpdGU+PEF1dGhvcj5CdWRkbGU8L0F1dGhvcj48WWVhcj4yMDIzPC9ZZWFyPjxS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</w:fldData>
        </w:fldChar>
      </w:r>
      <w:r w:rsidRPr="00F54593">
        <w:rPr>
          <w:rFonts w:ascii="Arial" w:eastAsia="Arial" w:hAnsi="Arial" w:cs="Arial"/>
          <w:color w:val="auto"/>
          <w:lang w:val="en-US"/>
        </w:rPr>
        <w:instrText xml:space="preserve"> ADDIN EN.CITE </w:instrText>
      </w:r>
      <w:r w:rsidRPr="00F54593">
        <w:rPr>
          <w:rFonts w:ascii="Arial" w:eastAsia="Arial" w:hAnsi="Arial" w:cs="Arial"/>
          <w:color w:val="auto"/>
          <w:lang w:val="en-US"/>
        </w:rPr>
        <w:fldChar w:fldCharType="begin">
          <w:fldData xml:space="preserve">PEVuZE5vdGU+PENpdGU+PEF1dGhvcj5CdWRkbGU8L0F1dGhvcj48WWVhcj4yMDIzPC9ZZWFyPjxS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</w:fldData>
        </w:fldChar>
      </w:r>
      <w:r w:rsidRPr="00F54593">
        <w:rPr>
          <w:rFonts w:ascii="Arial" w:eastAsia="Arial" w:hAnsi="Arial" w:cs="Arial"/>
          <w:color w:val="auto"/>
          <w:lang w:val="en-US"/>
        </w:rPr>
        <w:instrText xml:space="preserve"> ADDIN EN.CITE.DATA </w:instrText>
      </w:r>
      <w:r w:rsidRPr="00F54593">
        <w:rPr>
          <w:rFonts w:ascii="Arial" w:eastAsia="Arial" w:hAnsi="Arial" w:cs="Arial"/>
          <w:color w:val="auto"/>
          <w:lang w:val="en-US"/>
        </w:rPr>
      </w:r>
      <w:r w:rsidRPr="00F54593">
        <w:rPr>
          <w:rFonts w:ascii="Arial" w:eastAsia="Arial" w:hAnsi="Arial" w:cs="Arial"/>
          <w:color w:val="auto"/>
          <w:lang w:val="en-US"/>
        </w:rPr>
        <w:fldChar w:fldCharType="end"/>
      </w:r>
      <w:r w:rsidRPr="00F54593">
        <w:rPr>
          <w:rFonts w:ascii="Arial" w:eastAsia="Arial" w:hAnsi="Arial" w:cs="Arial"/>
          <w:color w:val="auto"/>
          <w:lang w:val="en-US"/>
        </w:rPr>
      </w:r>
      <w:r w:rsidRPr="00F54593">
        <w:rPr>
          <w:rFonts w:ascii="Arial" w:eastAsia="Arial" w:hAnsi="Arial" w:cs="Arial"/>
          <w:color w:val="auto"/>
          <w:lang w:val="en-US"/>
        </w:rPr>
        <w:fldChar w:fldCharType="separate"/>
      </w:r>
      <w:r w:rsidRPr="00F54593">
        <w:rPr>
          <w:rFonts w:ascii="Arial" w:eastAsia="Arial" w:hAnsi="Arial" w:cs="Arial"/>
          <w:noProof/>
          <w:color w:val="auto"/>
          <w:vertAlign w:val="superscript"/>
          <w:lang w:val="en-US"/>
        </w:rPr>
        <w:t>2, 7, 8</w:t>
      </w:r>
      <w:r w:rsidRPr="00F54593">
        <w:rPr>
          <w:rFonts w:ascii="Arial" w:eastAsia="Arial" w:hAnsi="Arial" w:cs="Arial"/>
          <w:color w:val="auto"/>
          <w:lang w:val="en-US"/>
        </w:rPr>
        <w:fldChar w:fldCharType="end"/>
      </w:r>
      <w:r w:rsidRPr="00F54593">
        <w:rPr>
          <w:rFonts w:ascii="Arial" w:eastAsia="Arial" w:hAnsi="Arial" w:cs="Arial"/>
          <w:color w:val="auto"/>
          <w:lang w:val="en-US"/>
        </w:rPr>
        <w:t xml:space="preserve"> but penicillins and cephalosporins are most frequently associated with the risk of developing CDI.</w:t>
      </w:r>
      <w:r w:rsidRPr="00F54593">
        <w:rPr>
          <w:rFonts w:ascii="Arial" w:eastAsia="Arial" w:hAnsi="Arial" w:cs="Arial"/>
          <w:color w:val="auto"/>
          <w:lang w:val="en-US"/>
        </w:rPr>
        <w:fldChar w:fldCharType="begin">
          <w:fldData xml:space="preserve">PEVuZE5vdGU+PENpdGU+PEF1dGhvcj5GZXVlcnN0YWR0PC9BdXRob3I+PFllYXI+MjAyMzwvWWVh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</w:fldData>
        </w:fldChar>
      </w:r>
      <w:r w:rsidRPr="00F54593">
        <w:rPr>
          <w:rFonts w:ascii="Arial" w:eastAsia="Arial" w:hAnsi="Arial" w:cs="Arial"/>
          <w:color w:val="auto"/>
          <w:lang w:val="en-US"/>
        </w:rPr>
        <w:instrText xml:space="preserve"> ADDIN EN.CITE </w:instrText>
      </w:r>
      <w:r w:rsidRPr="00F54593">
        <w:rPr>
          <w:rFonts w:ascii="Arial" w:eastAsia="Arial" w:hAnsi="Arial" w:cs="Arial"/>
          <w:color w:val="auto"/>
          <w:lang w:val="en-US"/>
        </w:rPr>
        <w:fldChar w:fldCharType="begin">
          <w:fldData xml:space="preserve">PEVuZE5vdGU+PENpdGU+PEF1dGhvcj5GZXVlcnN0YWR0PC9BdXRob3I+PFllYXI+MjAyMzwvWWVh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</w:fldData>
        </w:fldChar>
      </w:r>
      <w:r w:rsidRPr="00F54593">
        <w:rPr>
          <w:rFonts w:ascii="Arial" w:eastAsia="Arial" w:hAnsi="Arial" w:cs="Arial"/>
          <w:color w:val="auto"/>
          <w:lang w:val="en-US"/>
        </w:rPr>
        <w:instrText xml:space="preserve"> ADDIN EN.CITE.DATA </w:instrText>
      </w:r>
      <w:r w:rsidRPr="00F54593">
        <w:rPr>
          <w:rFonts w:ascii="Arial" w:eastAsia="Arial" w:hAnsi="Arial" w:cs="Arial"/>
          <w:color w:val="auto"/>
          <w:lang w:val="en-US"/>
        </w:rPr>
      </w:r>
      <w:r w:rsidRPr="00F54593">
        <w:rPr>
          <w:rFonts w:ascii="Arial" w:eastAsia="Arial" w:hAnsi="Arial" w:cs="Arial"/>
          <w:color w:val="auto"/>
          <w:lang w:val="en-US"/>
        </w:rPr>
        <w:fldChar w:fldCharType="end"/>
      </w:r>
      <w:r w:rsidRPr="00F54593">
        <w:rPr>
          <w:rFonts w:ascii="Arial" w:eastAsia="Arial" w:hAnsi="Arial" w:cs="Arial"/>
          <w:color w:val="auto"/>
          <w:lang w:val="en-US"/>
        </w:rPr>
      </w:r>
      <w:r w:rsidRPr="00F54593">
        <w:rPr>
          <w:rFonts w:ascii="Arial" w:eastAsia="Arial" w:hAnsi="Arial" w:cs="Arial"/>
          <w:color w:val="auto"/>
          <w:lang w:val="en-US"/>
        </w:rPr>
        <w:fldChar w:fldCharType="separate"/>
      </w:r>
      <w:r w:rsidRPr="00F54593">
        <w:rPr>
          <w:rFonts w:ascii="Arial" w:eastAsia="Arial" w:hAnsi="Arial" w:cs="Arial"/>
          <w:noProof/>
          <w:color w:val="auto"/>
          <w:vertAlign w:val="superscript"/>
          <w:lang w:val="en-US"/>
        </w:rPr>
        <w:t>38, 39</w:t>
      </w:r>
      <w:r w:rsidRPr="00F54593">
        <w:rPr>
          <w:rFonts w:ascii="Arial" w:eastAsia="Arial" w:hAnsi="Arial" w:cs="Arial"/>
          <w:color w:val="auto"/>
          <w:lang w:val="en-US"/>
        </w:rPr>
        <w:fldChar w:fldCharType="end"/>
      </w:r>
    </w:p>
    <w:p w14:paraId="309777B8" w14:textId="77777777" w:rsidR="00F54593" w:rsidRPr="00F54593" w:rsidRDefault="00F54593" w:rsidP="00F54593">
      <w:pPr>
        <w:widowControl w:val="0"/>
        <w:autoSpaceDE w:val="0"/>
        <w:autoSpaceDN w:val="0"/>
        <w:spacing w:before="239" w:after="0" w:line="276" w:lineRule="auto"/>
        <w:rPr>
          <w:rFonts w:ascii="Arial" w:eastAsia="Arial" w:hAnsi="Arial" w:cs="Arial"/>
          <w:color w:val="auto"/>
          <w:lang w:val="en-US"/>
        </w:rPr>
      </w:pPr>
      <w:r w:rsidRPr="00F54593">
        <w:rPr>
          <w:rFonts w:ascii="Arial" w:eastAsia="Arial" w:hAnsi="Arial" w:cs="Arial"/>
          <w:color w:val="auto"/>
          <w:lang w:val="en-US"/>
        </w:rPr>
        <w:t>Community antimicrobial use decreased between 2019 and 2020 and has remained consistently lower that pre-pandemic years.</w:t>
      </w:r>
      <w:r w:rsidRPr="00F54593">
        <w:rPr>
          <w:rFonts w:ascii="Arial" w:eastAsia="Arial" w:hAnsi="Arial" w:cs="Arial"/>
          <w:color w:val="auto"/>
          <w:lang w:val="en-US"/>
        </w:rPr>
        <w:fldChar w:fldCharType="begin"/>
      </w:r>
      <w:r w:rsidRPr="00F54593">
        <w:rPr>
          <w:rFonts w:ascii="Arial" w:eastAsia="Arial" w:hAnsi="Arial" w:cs="Arial"/>
          <w:color w:val="auto"/>
          <w:lang w:val="en-US"/>
        </w:rPr>
        <w:instrText xml:space="preserve"> ADDIN EN.CITE &lt;EndNote&gt;&lt;Cite&gt;&lt;Author&gt;Gadzhanova&lt;/Author&gt;&lt;Year&gt;2023&lt;/Year&gt;&lt;RecNum&gt;236&lt;/RecNum&gt;&lt;DisplayText&gt;&lt;style face="superscript"&gt;17&lt;/style&gt;&lt;/DisplayText&gt;&lt;record&gt;&lt;rec-number&gt;236&lt;/rec-number&gt;&lt;foreign-keys&gt;&lt;key app="EN" db-id="2rp0a5drxdefz3e2e5dptftled295z2r2ve2" timestamp="1740716367"&gt;236&lt;/key&gt;&lt;/foreign-keys&gt;&lt;ref-type name="Generic"&gt;13&lt;/ref-type&gt;&lt;contributors&gt;&lt;authors&gt;&lt;author&gt;Gadzhanova, S. &lt;/author&gt;&lt;author&gt;Roughead, E. &lt;/author&gt;&lt;/authors&gt;&lt;/contributors&gt;&lt;titles&gt;&lt;title&gt;on behalf of the Australian Commission on Safety and Quality in &amp;#xD;Health Care. Analysis of 2015–2022 PBS and RPBS antimicrobial dispensing data. &amp;#xD;&amp;#xD;&lt;/title&gt;&lt;/titles&gt;&lt;dates&gt;&lt;year&gt;2023&lt;/year&gt;&lt;/dates&gt;&lt;pub-location&gt;Sydney&lt;/pub-location&gt;&lt;publisher&gt;ACSQHC&lt;/publisher&gt;&lt;urls&gt;&lt;/urls&gt;&lt;/record&gt;&lt;/Cite&gt;&lt;/EndNote&gt;</w:instrText>
      </w:r>
      <w:r w:rsidRPr="00F54593">
        <w:rPr>
          <w:rFonts w:ascii="Arial" w:eastAsia="Arial" w:hAnsi="Arial" w:cs="Arial"/>
          <w:color w:val="auto"/>
          <w:lang w:val="en-US"/>
        </w:rPr>
        <w:fldChar w:fldCharType="separate"/>
      </w:r>
      <w:r w:rsidRPr="00F54593">
        <w:rPr>
          <w:rFonts w:ascii="Arial" w:eastAsia="Arial" w:hAnsi="Arial" w:cs="Arial"/>
          <w:noProof/>
          <w:color w:val="auto"/>
          <w:vertAlign w:val="superscript"/>
          <w:lang w:val="en-US"/>
        </w:rPr>
        <w:t>17</w:t>
      </w:r>
      <w:r w:rsidRPr="00F54593">
        <w:rPr>
          <w:rFonts w:ascii="Arial" w:eastAsia="Arial" w:hAnsi="Arial" w:cs="Arial"/>
          <w:color w:val="auto"/>
          <w:lang w:val="en-US"/>
        </w:rPr>
        <w:fldChar w:fldCharType="end"/>
      </w:r>
      <w:r w:rsidRPr="00F54593">
        <w:rPr>
          <w:rFonts w:ascii="Arial" w:eastAsia="Arial" w:hAnsi="Arial" w:cs="Arial"/>
          <w:color w:val="auto"/>
          <w:lang w:val="en-US"/>
        </w:rPr>
        <w:t xml:space="preserve"> By contrast, the rate of separations with pre-existing CDI symptoms increased sharply in </w:t>
      </w:r>
      <w:r w:rsidRPr="00F54593">
        <w:rPr>
          <w:rFonts w:ascii="Arial" w:eastAsia="Arial" w:hAnsi="Arial" w:cs="Arial"/>
          <w:color w:val="000000"/>
          <w:lang w:val="en-US"/>
        </w:rPr>
        <w:t xml:space="preserve">the second half of 2021 </w:t>
      </w:r>
      <w:r w:rsidRPr="00F54593">
        <w:rPr>
          <w:rFonts w:ascii="Arial" w:eastAsia="Arial" w:hAnsi="Arial" w:cs="Arial"/>
          <w:color w:val="auto"/>
          <w:lang w:val="en-US"/>
        </w:rPr>
        <w:t xml:space="preserve">and has remained high. </w:t>
      </w:r>
    </w:p>
    <w:p w14:paraId="3DD8989F" w14:textId="77777777" w:rsidR="00F54593" w:rsidRPr="00F54593" w:rsidRDefault="00F54593" w:rsidP="00F54593">
      <w:pPr>
        <w:spacing w:line="276" w:lineRule="auto"/>
        <w:rPr>
          <w:rFonts w:ascii="Arial" w:eastAsia="Times New Roman" w:hAnsi="Arial"/>
          <w:color w:val="auto"/>
          <w:lang w:eastAsia="en-AU"/>
        </w:rPr>
      </w:pPr>
      <w:r w:rsidRPr="00F54593">
        <w:rPr>
          <w:rFonts w:ascii="Arial" w:eastAsia="Times New Roman" w:hAnsi="Arial"/>
          <w:color w:val="auto"/>
          <w:lang w:eastAsia="en-AU"/>
        </w:rPr>
        <w:t xml:space="preserve">Figure 7 shows antimicrobial use in the community and the rate of separations with pre-existing CDI symptoms from 2017 to 2023. </w:t>
      </w:r>
    </w:p>
    <w:p w14:paraId="3963F03E" w14:textId="45C75603" w:rsidR="00F54593" w:rsidRPr="00F54593" w:rsidRDefault="00F54593" w:rsidP="00F54593">
      <w:pPr>
        <w:pStyle w:val="Caption"/>
        <w:numPr>
          <w:ilvl w:val="0"/>
          <w:numId w:val="0"/>
        </w:numPr>
        <w:rPr>
          <w:lang w:eastAsia="en-AU"/>
        </w:rPr>
      </w:pPr>
      <w:r w:rsidRPr="00F54593">
        <w:rPr>
          <w:b/>
          <w:bCs/>
          <w:lang w:eastAsia="en-AU"/>
        </w:rPr>
        <w:t>Figure 7</w:t>
      </w:r>
      <w:r w:rsidR="00505471">
        <w:rPr>
          <w:b/>
          <w:bCs/>
          <w:lang w:eastAsia="en-AU"/>
        </w:rPr>
        <w:t>.</w:t>
      </w:r>
      <w:r w:rsidRPr="00F54593">
        <w:rPr>
          <w:lang w:eastAsia="en-AU"/>
        </w:rPr>
        <w:t xml:space="preserve"> Antimicrobial utilisation in the community* and the rate of separations with pre-existing CDI symptoms, 2017</w:t>
      </w:r>
      <w:r w:rsidRPr="00F54593">
        <w:rPr>
          <w:rFonts w:cs="Arial"/>
          <w:lang w:eastAsia="en-AU"/>
        </w:rPr>
        <w:t>−</w:t>
      </w:r>
      <w:r w:rsidRPr="00F54593">
        <w:rPr>
          <w:lang w:eastAsia="en-AU"/>
        </w:rPr>
        <w:t>2023</w:t>
      </w:r>
    </w:p>
    <w:p w14:paraId="61371110" w14:textId="431CF91F" w:rsidR="00DE4930" w:rsidRDefault="00F22E2F" w:rsidP="00DE4930">
      <w:r>
        <w:rPr>
          <w:noProof/>
        </w:rPr>
        <w:drawing>
          <wp:inline distT="0" distB="0" distL="0" distR="0" wp14:anchorId="498DE21E" wp14:editId="303A17F7">
            <wp:extent cx="5800725" cy="3276600"/>
            <wp:effectExtent l="0" t="0" r="0" b="0"/>
            <wp:docPr id="1832868749" name="Chart 1">
              <a:extLst xmlns:a="http://schemas.openxmlformats.org/drawingml/2006/main">
                <a:ext uri="{FF2B5EF4-FFF2-40B4-BE49-F238E27FC236}">
                  <a16:creationId xmlns:a16="http://schemas.microsoft.com/office/drawing/2014/main" id="{D5CCDECB-A38E-731F-4821-F2BE68A6E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ED7D8F" w14:textId="77777777" w:rsidR="006E18B9" w:rsidRPr="006E18B9" w:rsidRDefault="006E18B9" w:rsidP="006E18B9">
      <w:pPr>
        <w:spacing w:after="0" w:line="240" w:lineRule="auto"/>
        <w:rPr>
          <w:rFonts w:ascii="Arial" w:eastAsia="Times New Roman" w:hAnsi="Arial"/>
          <w:color w:val="auto"/>
          <w:sz w:val="18"/>
          <w:szCs w:val="18"/>
          <w:lang w:eastAsia="en-AU"/>
        </w:rPr>
      </w:pPr>
      <w:r w:rsidRPr="006E18B9">
        <w:rPr>
          <w:rFonts w:ascii="Arial" w:eastAsia="Times New Roman" w:hAnsi="Arial"/>
          <w:color w:val="auto"/>
          <w:lang w:eastAsia="en-AU"/>
        </w:rPr>
        <w:t>*</w:t>
      </w:r>
      <w:r w:rsidRPr="006E18B9">
        <w:rPr>
          <w:rFonts w:ascii="Arial" w:eastAsia="Times New Roman" w:hAnsi="Arial"/>
          <w:color w:val="auto"/>
          <w:sz w:val="18"/>
          <w:szCs w:val="18"/>
          <w:lang w:eastAsia="en-AU"/>
        </w:rPr>
        <w:t xml:space="preserve">Data sourced from </w:t>
      </w:r>
      <w:hyperlink r:id="rId25" w:history="1">
        <w:r w:rsidRPr="006E18B9">
          <w:rPr>
            <w:rFonts w:ascii="Arial" w:eastAsia="Times New Roman" w:hAnsi="Arial"/>
            <w:color w:val="002060"/>
            <w:sz w:val="18"/>
            <w:szCs w:val="18"/>
            <w:u w:val="single"/>
            <w:lang w:eastAsia="en-AU"/>
          </w:rPr>
          <w:t>Antimicrobial use in the community: 2023</w:t>
        </w:r>
      </w:hyperlink>
      <w:r w:rsidRPr="006E18B9">
        <w:rPr>
          <w:rFonts w:ascii="Arial" w:eastAsia="Times New Roman" w:hAnsi="Arial"/>
          <w:color w:val="005370"/>
          <w:sz w:val="18"/>
          <w:szCs w:val="18"/>
          <w:u w:val="single"/>
          <w:lang w:eastAsia="en-AU"/>
        </w:rPr>
        <w:t xml:space="preserve"> </w:t>
      </w:r>
    </w:p>
    <w:p w14:paraId="7AF6B7E8" w14:textId="77777777" w:rsidR="006E18B9" w:rsidRPr="006E18B9" w:rsidRDefault="006E18B9" w:rsidP="006E18B9">
      <w:pPr>
        <w:spacing w:after="0" w:line="240" w:lineRule="auto"/>
        <w:rPr>
          <w:rFonts w:ascii="Arial" w:eastAsia="Times New Roman" w:hAnsi="Arial"/>
          <w:color w:val="auto"/>
          <w:sz w:val="18"/>
          <w:szCs w:val="18"/>
          <w:lang w:eastAsia="en-AU"/>
        </w:rPr>
      </w:pPr>
      <w:r w:rsidRPr="006E18B9">
        <w:rPr>
          <w:rFonts w:ascii="Arial" w:eastAsia="Times New Roman" w:hAnsi="Arial" w:cs="Arial"/>
          <w:color w:val="auto"/>
          <w:sz w:val="18"/>
          <w:szCs w:val="18"/>
          <w:vertAlign w:val="superscript"/>
          <w:lang w:eastAsia="en-AU"/>
        </w:rPr>
        <w:t>†</w:t>
      </w:r>
      <w:r w:rsidRPr="006E18B9">
        <w:rPr>
          <w:rFonts w:ascii="Arial" w:eastAsia="Times New Roman" w:hAnsi="Arial"/>
          <w:color w:val="auto"/>
          <w:sz w:val="18"/>
          <w:szCs w:val="18"/>
          <w:lang w:eastAsia="en-AU"/>
        </w:rPr>
        <w:t>DDD = defined daily dose</w:t>
      </w:r>
    </w:p>
    <w:p w14:paraId="65FA263B" w14:textId="77777777" w:rsidR="006E18B9" w:rsidRPr="006E18B9" w:rsidRDefault="006E18B9" w:rsidP="006E18B9">
      <w:pPr>
        <w:widowControl w:val="0"/>
        <w:autoSpaceDE w:val="0"/>
        <w:autoSpaceDN w:val="0"/>
        <w:spacing w:before="239" w:after="0" w:line="276" w:lineRule="auto"/>
        <w:rPr>
          <w:rFonts w:ascii="Arial" w:eastAsia="Arial" w:hAnsi="Arial" w:cs="Arial"/>
          <w:color w:val="auto"/>
          <w:lang w:val="en-US"/>
        </w:rPr>
      </w:pPr>
      <w:r w:rsidRPr="006E18B9">
        <w:rPr>
          <w:rFonts w:ascii="Arial" w:eastAsia="Arial" w:hAnsi="Arial" w:cs="Arial"/>
          <w:color w:val="auto"/>
          <w:lang w:val="en-US"/>
        </w:rPr>
        <w:t>In 2022 and 2023, people who were aged 75 years and over were dispensed the highest number of antimicrobial prescriptions.</w:t>
      </w:r>
      <w:r w:rsidRPr="006E18B9">
        <w:rPr>
          <w:rFonts w:ascii="Arial" w:eastAsia="Arial" w:hAnsi="Arial" w:cs="Arial"/>
          <w:color w:val="auto"/>
          <w:lang w:val="en-US"/>
        </w:rPr>
        <w:fldChar w:fldCharType="begin"/>
      </w:r>
      <w:r w:rsidRPr="006E18B9">
        <w:rPr>
          <w:rFonts w:ascii="Arial" w:eastAsia="Arial" w:hAnsi="Arial" w:cs="Arial"/>
          <w:color w:val="auto"/>
          <w:lang w:val="en-US"/>
        </w:rPr>
        <w:instrText xml:space="preserve"> ADDIN EN.CITE &lt;EndNote&gt;&lt;Cite&gt;&lt;Author&gt;Gadzhanova&lt;/Author&gt;&lt;Year&gt;2023&lt;/Year&gt;&lt;RecNum&gt;236&lt;/RecNum&gt;&lt;DisplayText&gt;&lt;style face="superscript"&gt;17, 37&lt;/style&gt;&lt;/DisplayText&gt;&lt;record&gt;&lt;rec-number&gt;236&lt;/rec-number&gt;&lt;foreign-keys&gt;&lt;key app="EN" db-id="2rp0a5drxdefz3e2e5dptftled295z2r2ve2" timestamp="1740716367"&gt;236&lt;/key&gt;&lt;/foreign-keys&gt;&lt;ref-type name="Generic"&gt;13&lt;/ref-type&gt;&lt;contributors&gt;&lt;authors&gt;&lt;author&gt;Gadzhanova, S. &lt;/author&gt;&lt;author&gt;Roughead, E. &lt;/author&gt;&lt;/authors&gt;&lt;/contributors&gt;&lt;titles&gt;&lt;title&gt;on behalf of the Australian Commission on Safety and Quality in &amp;#xD;Health Care. Analysis of 2015–2022 PBS and RPBS antimicrobial dispensing data. &amp;#xD;&amp;#xD;&lt;/title&gt;&lt;/titles&gt;&lt;dates&gt;&lt;year&gt;2023&lt;/year&gt;&lt;/dates&gt;&lt;pub-location&gt;Sydney&lt;/pub-location&gt;&lt;publisher&gt;ACSQHC&lt;/publisher&gt;&lt;urls&gt;&lt;/urls&gt;&lt;/record&gt;&lt;/Cite&gt;&lt;Cite&gt;&lt;Author&gt;Australian Commission on Safety and Quality in Health Care&lt;/Author&gt;&lt;Year&gt;2024&lt;/Year&gt;&lt;RecNum&gt;237&lt;/RecNum&gt;&lt;record&gt;&lt;rec-number&gt;237&lt;/rec-number&gt;&lt;foreign-keys&gt;&lt;key app="EN" db-id="2rp0a5drxdefz3e2e5dptftled295z2r2ve2" timestamp="1740717310"&gt;237&lt;/key&gt;&lt;/foreign-keys&gt;&lt;ref-type name="Generic"&gt;13&lt;/ref-type&gt;&lt;contributors&gt;&lt;authors&gt;&lt;author&gt;Australian Commission on Safety and Quality in Health Care,&lt;/author&gt;&lt;/authors&gt;&lt;/contributors&gt;&lt;titles&gt;&lt;title&gt;Antimicrobial use in the community: &amp;#xD;2023. &lt;/title&gt;&lt;/titles&gt;&lt;dates&gt;&lt;year&gt;2024&lt;/year&gt;&lt;/dates&gt;&lt;pub-location&gt;Sydney&lt;/pub-location&gt;&lt;publisher&gt;ACSQHC&lt;/publisher&gt;&lt;urls&gt;&lt;/urls&gt;&lt;/record&gt;&lt;/Cite&gt;&lt;/EndNote&gt;</w:instrText>
      </w:r>
      <w:r w:rsidRPr="006E18B9">
        <w:rPr>
          <w:rFonts w:ascii="Arial" w:eastAsia="Arial" w:hAnsi="Arial" w:cs="Arial"/>
          <w:color w:val="auto"/>
          <w:lang w:val="en-US"/>
        </w:rPr>
        <w:fldChar w:fldCharType="separate"/>
      </w:r>
      <w:r w:rsidRPr="006E18B9">
        <w:rPr>
          <w:rFonts w:ascii="Arial" w:eastAsia="Arial" w:hAnsi="Arial" w:cs="Arial"/>
          <w:noProof/>
          <w:color w:val="auto"/>
          <w:vertAlign w:val="superscript"/>
          <w:lang w:val="en-US"/>
        </w:rPr>
        <w:t>17, 37</w:t>
      </w:r>
      <w:r w:rsidRPr="006E18B9">
        <w:rPr>
          <w:rFonts w:ascii="Arial" w:eastAsia="Arial" w:hAnsi="Arial" w:cs="Arial"/>
          <w:color w:val="auto"/>
          <w:lang w:val="en-US"/>
        </w:rPr>
        <w:fldChar w:fldCharType="end"/>
      </w:r>
      <w:r w:rsidRPr="006E18B9">
        <w:rPr>
          <w:rFonts w:ascii="Arial" w:eastAsia="Arial" w:hAnsi="Arial" w:cs="Arial"/>
          <w:color w:val="auto"/>
          <w:lang w:val="en-US"/>
        </w:rPr>
        <w:t xml:space="preserve"> Tetracyclines, followed by penicillins with extended spectrum (amoxicillin, cefalexin and amoxicillin–clavulanic acid) and first-generation cephalosporins, are the most commonly dispensed classes of antimicrobials in Australia.</w:t>
      </w:r>
      <w:r w:rsidRPr="006E18B9">
        <w:rPr>
          <w:rFonts w:ascii="Arial" w:eastAsia="Arial" w:hAnsi="Arial" w:cs="Arial"/>
          <w:color w:val="auto"/>
          <w:lang w:val="en-US"/>
        </w:rPr>
        <w:fldChar w:fldCharType="begin"/>
      </w:r>
      <w:r w:rsidRPr="006E18B9">
        <w:rPr>
          <w:rFonts w:ascii="Arial" w:eastAsia="Arial" w:hAnsi="Arial" w:cs="Arial"/>
          <w:color w:val="auto"/>
          <w:lang w:val="en-US"/>
        </w:rPr>
        <w:instrText xml:space="preserve"> ADDIN EN.CITE &lt;EndNote&gt;&lt;Cite&gt;&lt;Author&gt;Gadzhanova&lt;/Author&gt;&lt;Year&gt;2023&lt;/Year&gt;&lt;RecNum&gt;236&lt;/RecNum&gt;&lt;DisplayText&gt;&lt;style face="superscript"&gt;17, 37&lt;/style&gt;&lt;/DisplayText&gt;&lt;record&gt;&lt;rec-number&gt;236&lt;/rec-number&gt;&lt;foreign-keys&gt;&lt;key app="EN" db-id="2rp0a5drxdefz3e2e5dptftled295z2r2ve2" timestamp="1740716367"&gt;236&lt;/key&gt;&lt;/foreign-keys&gt;&lt;ref-type name="Generic"&gt;13&lt;/ref-type&gt;&lt;contributors&gt;&lt;authors&gt;&lt;author&gt;Gadzhanova, S. &lt;/author&gt;&lt;author&gt;Roughead, E. &lt;/author&gt;&lt;/authors&gt;&lt;/contributors&gt;&lt;titles&gt;&lt;title&gt;on behalf of the Australian Commission on Safety and Quality in &amp;#xD;Health Care. Analysis of 2015–2022 PBS and RPBS antimicrobial dispensing data. &amp;#xD;&amp;#xD;&lt;/title&gt;&lt;/titles&gt;&lt;dates&gt;&lt;year&gt;2023&lt;/year&gt;&lt;/dates&gt;&lt;pub-location&gt;Sydney&lt;/pub-location&gt;&lt;publisher&gt;ACSQHC&lt;/publisher&gt;&lt;urls&gt;&lt;/urls&gt;&lt;/record&gt;&lt;/Cite&gt;&lt;Cite&gt;&lt;Author&gt;Australian Commission on Safety and Quality in Health Care&lt;/Author&gt;&lt;Year&gt;2024&lt;/Year&gt;&lt;RecNum&gt;237&lt;/RecNum&gt;&lt;record&gt;&lt;rec-number&gt;237&lt;/rec-number&gt;&lt;foreign-keys&gt;&lt;key app="EN" db-id="2rp0a5drxdefz3e2e5dptftled295z2r2ve2" timestamp="1740717310"&gt;237&lt;/key&gt;&lt;/foreign-keys&gt;&lt;ref-type name="Generic"&gt;13&lt;/ref-type&gt;&lt;contributors&gt;&lt;authors&gt;&lt;author&gt;Australian Commission on Safety and Quality in Health Care,&lt;/author&gt;&lt;/authors&gt;&lt;/contributors&gt;&lt;titles&gt;&lt;title&gt;Antimicrobial use in the community: &amp;#xD;2023. &lt;/title&gt;&lt;/titles&gt;&lt;dates&gt;&lt;year&gt;2024&lt;/year&gt;&lt;/dates&gt;&lt;pub-location&gt;Sydney&lt;/pub-location&gt;&lt;publisher&gt;ACSQHC&lt;/publisher&gt;&lt;urls&gt;&lt;/urls&gt;&lt;/record&gt;&lt;/Cite&gt;&lt;/EndNote&gt;</w:instrText>
      </w:r>
      <w:r w:rsidRPr="006E18B9">
        <w:rPr>
          <w:rFonts w:ascii="Arial" w:eastAsia="Arial" w:hAnsi="Arial" w:cs="Arial"/>
          <w:color w:val="auto"/>
          <w:lang w:val="en-US"/>
        </w:rPr>
        <w:fldChar w:fldCharType="separate"/>
      </w:r>
      <w:r w:rsidRPr="006E18B9">
        <w:rPr>
          <w:rFonts w:ascii="Arial" w:eastAsia="Arial" w:hAnsi="Arial" w:cs="Arial"/>
          <w:noProof/>
          <w:color w:val="auto"/>
          <w:vertAlign w:val="superscript"/>
          <w:lang w:val="en-US"/>
        </w:rPr>
        <w:t>17, 37</w:t>
      </w:r>
      <w:r w:rsidRPr="006E18B9">
        <w:rPr>
          <w:rFonts w:ascii="Arial" w:eastAsia="Arial" w:hAnsi="Arial" w:cs="Arial"/>
          <w:color w:val="auto"/>
          <w:lang w:val="en-US"/>
        </w:rPr>
        <w:fldChar w:fldCharType="end"/>
      </w:r>
      <w:r w:rsidRPr="006E18B9">
        <w:rPr>
          <w:rFonts w:ascii="Arial" w:eastAsia="Arial" w:hAnsi="Arial" w:cs="Arial"/>
          <w:color w:val="auto"/>
          <w:lang w:val="en-US"/>
        </w:rPr>
        <w:t xml:space="preserve"> </w:t>
      </w:r>
    </w:p>
    <w:p w14:paraId="54CD51F9" w14:textId="77777777" w:rsidR="00B45176" w:rsidRPr="006E18B9" w:rsidRDefault="00B45176" w:rsidP="006E18B9">
      <w:pPr>
        <w:widowControl w:val="0"/>
        <w:autoSpaceDE w:val="0"/>
        <w:autoSpaceDN w:val="0"/>
        <w:spacing w:after="0" w:line="276" w:lineRule="auto"/>
        <w:rPr>
          <w:rFonts w:ascii="Arial" w:eastAsia="Arial" w:hAnsi="Arial" w:cs="Arial"/>
          <w:b/>
          <w:bCs/>
          <w:color w:val="auto"/>
          <w:lang w:val="en-US"/>
        </w:rPr>
      </w:pPr>
    </w:p>
    <w:p w14:paraId="7E7BA0BB" w14:textId="77777777" w:rsidR="00B45176" w:rsidRPr="00B45176" w:rsidRDefault="00B45176" w:rsidP="00B45176">
      <w:pPr>
        <w:pStyle w:val="Heading4"/>
        <w:rPr>
          <w:rFonts w:eastAsia="Arial"/>
          <w:lang w:val="en-US"/>
        </w:rPr>
      </w:pPr>
      <w:r w:rsidRPr="00B45176">
        <w:rPr>
          <w:rFonts w:eastAsia="Arial"/>
          <w:lang w:val="en-US"/>
        </w:rPr>
        <w:t xml:space="preserve">PPI medicine dispensing </w:t>
      </w:r>
    </w:p>
    <w:p w14:paraId="67D22F46" w14:textId="77777777" w:rsidR="00B45176" w:rsidRPr="00B45176" w:rsidRDefault="00B45176" w:rsidP="00B45176">
      <w:pPr>
        <w:widowControl w:val="0"/>
        <w:autoSpaceDE w:val="0"/>
        <w:autoSpaceDN w:val="0"/>
        <w:spacing w:after="0" w:line="276" w:lineRule="auto"/>
        <w:rPr>
          <w:rFonts w:ascii="Arial" w:eastAsia="Arial" w:hAnsi="Arial" w:cs="Arial"/>
          <w:color w:val="auto"/>
          <w:lang w:val="en-US"/>
        </w:rPr>
      </w:pPr>
      <w:r w:rsidRPr="00B45176">
        <w:rPr>
          <w:rFonts w:ascii="Arial" w:eastAsia="Arial" w:hAnsi="Arial" w:cs="Arial"/>
          <w:color w:val="auto"/>
          <w:lang w:val="en-US"/>
        </w:rPr>
        <w:t xml:space="preserve">The use of PPI medicines has been positively associated with the onset of CDI, with some </w:t>
      </w:r>
      <w:r w:rsidRPr="00B45176">
        <w:rPr>
          <w:rFonts w:ascii="Arial" w:eastAsia="Arial" w:hAnsi="Arial" w:cs="Arial"/>
          <w:color w:val="auto"/>
          <w:lang w:val="en-US"/>
        </w:rPr>
        <w:lastRenderedPageBreak/>
        <w:t>studies suggesting the risk for CDI is twice as likely for patients prescribed a PPI medicine compared to those who have no history of PPI use, and the risk may remain for up to one year after the use of PPI medicines has ceased.</w:t>
      </w:r>
      <w:r w:rsidRPr="00B45176">
        <w:rPr>
          <w:rFonts w:ascii="Arial" w:eastAsia="Arial" w:hAnsi="Arial" w:cs="Arial"/>
          <w:color w:val="auto"/>
          <w:lang w:val="en-US"/>
        </w:rPr>
        <w:fldChar w:fldCharType="begin">
          <w:fldData xml:space="preserve">PEVuZE5vdGU+PENpdGU+PEF1dGhvcj5JbmdoYW1tYXI8L0F1dGhvcj48WWVhcj4yMDIxPC9ZZWFy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</w:fldData>
        </w:fldChar>
      </w:r>
      <w:r w:rsidRPr="00B45176">
        <w:rPr>
          <w:rFonts w:ascii="Arial" w:eastAsia="Arial" w:hAnsi="Arial" w:cs="Arial"/>
          <w:color w:val="auto"/>
          <w:lang w:val="en-US"/>
        </w:rPr>
        <w:instrText xml:space="preserve"> ADDIN EN.CITE </w:instrText>
      </w:r>
      <w:r w:rsidRPr="00B45176">
        <w:rPr>
          <w:rFonts w:ascii="Arial" w:eastAsia="Arial" w:hAnsi="Arial" w:cs="Arial"/>
          <w:color w:val="auto"/>
          <w:lang w:val="en-US"/>
        </w:rPr>
        <w:fldChar w:fldCharType="begin">
          <w:fldData xml:space="preserve">PEVuZE5vdGU+PENpdGU+PEF1dGhvcj5JbmdoYW1tYXI8L0F1dGhvcj48WWVhcj4yMDIxPC9ZZWFy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</w:fldData>
        </w:fldChar>
      </w:r>
      <w:r w:rsidRPr="00B45176">
        <w:rPr>
          <w:rFonts w:ascii="Arial" w:eastAsia="Arial" w:hAnsi="Arial" w:cs="Arial"/>
          <w:color w:val="auto"/>
          <w:lang w:val="en-US"/>
        </w:rPr>
        <w:instrText xml:space="preserve"> ADDIN EN.CITE.DATA </w:instrText>
      </w:r>
      <w:r w:rsidRPr="00B45176">
        <w:rPr>
          <w:rFonts w:ascii="Arial" w:eastAsia="Arial" w:hAnsi="Arial" w:cs="Arial"/>
          <w:color w:val="auto"/>
          <w:lang w:val="en-US"/>
        </w:rPr>
      </w:r>
      <w:r w:rsidRPr="00B45176">
        <w:rPr>
          <w:rFonts w:ascii="Arial" w:eastAsia="Arial" w:hAnsi="Arial" w:cs="Arial"/>
          <w:color w:val="auto"/>
          <w:lang w:val="en-US"/>
        </w:rPr>
        <w:fldChar w:fldCharType="end"/>
      </w:r>
      <w:r w:rsidRPr="00B45176">
        <w:rPr>
          <w:rFonts w:ascii="Arial" w:eastAsia="Arial" w:hAnsi="Arial" w:cs="Arial"/>
          <w:color w:val="auto"/>
          <w:lang w:val="en-US"/>
        </w:rPr>
      </w:r>
      <w:r w:rsidRPr="00B45176">
        <w:rPr>
          <w:rFonts w:ascii="Arial" w:eastAsia="Arial" w:hAnsi="Arial" w:cs="Arial"/>
          <w:color w:val="auto"/>
          <w:lang w:val="en-US"/>
        </w:rPr>
        <w:fldChar w:fldCharType="separate"/>
      </w:r>
      <w:r w:rsidRPr="00B45176">
        <w:rPr>
          <w:rFonts w:ascii="Arial" w:eastAsia="Arial" w:hAnsi="Arial" w:cs="Arial"/>
          <w:noProof/>
          <w:color w:val="auto"/>
          <w:vertAlign w:val="superscript"/>
          <w:lang w:val="en-US"/>
        </w:rPr>
        <w:t>28, 35, 40</w:t>
      </w:r>
      <w:r w:rsidRPr="00B45176">
        <w:rPr>
          <w:rFonts w:ascii="Arial" w:eastAsia="Arial" w:hAnsi="Arial" w:cs="Arial"/>
          <w:color w:val="auto"/>
          <w:lang w:val="en-US"/>
        </w:rPr>
        <w:fldChar w:fldCharType="end"/>
      </w:r>
      <w:r w:rsidRPr="00B45176">
        <w:rPr>
          <w:rFonts w:ascii="Arial" w:eastAsia="Arial" w:hAnsi="Arial" w:cs="Arial"/>
          <w:color w:val="auto"/>
          <w:lang w:val="en-US"/>
        </w:rPr>
        <w:t xml:space="preserve"> PPI medicines alter gastric pH, which may support </w:t>
      </w:r>
      <w:r w:rsidRPr="00B45176">
        <w:rPr>
          <w:rFonts w:ascii="Arial" w:eastAsia="Arial" w:hAnsi="Arial" w:cs="Arial"/>
          <w:i/>
          <w:iCs/>
          <w:color w:val="auto"/>
          <w:lang w:val="en-US"/>
        </w:rPr>
        <w:t xml:space="preserve">C. difficile </w:t>
      </w:r>
      <w:r w:rsidRPr="00B45176">
        <w:rPr>
          <w:rFonts w:ascii="Arial" w:eastAsia="Arial" w:hAnsi="Arial" w:cs="Arial"/>
          <w:color w:val="auto"/>
          <w:lang w:val="en-US"/>
        </w:rPr>
        <w:t>survival in the gut</w:t>
      </w:r>
      <w:r w:rsidRPr="00B45176">
        <w:rPr>
          <w:rFonts w:ascii="Arial" w:eastAsia="Arial" w:hAnsi="Arial" w:cs="Arial"/>
          <w:color w:val="auto"/>
          <w:lang w:val="en-US"/>
        </w:rPr>
        <w:fldChar w:fldCharType="begin"/>
      </w:r>
      <w:r w:rsidRPr="00B45176">
        <w:rPr>
          <w:rFonts w:ascii="Arial" w:eastAsia="Arial" w:hAnsi="Arial" w:cs="Arial"/>
          <w:color w:val="auto"/>
          <w:lang w:val="en-US"/>
        </w:rPr>
        <w:instrText xml:space="preserve"> ADDIN EN.CITE &lt;EndNote&gt;&lt;Cite&gt;&lt;Author&gt;Tawam&lt;/Author&gt;&lt;Year&gt;2021&lt;/Year&gt;&lt;RecNum&gt;205&lt;/RecNum&gt;&lt;DisplayText&gt;&lt;style face="superscript"&gt;40&lt;/style&gt;&lt;/DisplayText&gt;&lt;record&gt;&lt;rec-number&gt;205&lt;/rec-number&gt;&lt;foreign-keys&gt;&lt;key app="EN" db-id="2rp0a5drxdefz3e2e5dptftled295z2r2ve2" timestamp="1714353931"&gt;205&lt;/key&gt;&lt;/foreign-keys&gt;&lt;ref-type name="Journal Article"&gt;17&lt;/ref-type&gt;&lt;contributors&gt;&lt;authors&gt;&lt;author&gt;Tawam, D.&lt;/author&gt;&lt;author&gt;Baladi, M.&lt;/author&gt;&lt;author&gt;Jungsuwadee, P.&lt;/author&gt;&lt;author&gt;Earl, G.&lt;/author&gt;&lt;author&gt;Han, J.&lt;/author&gt;&lt;/authors&gt;&lt;/contributors&gt;&lt;auth-address&gt;Fairleigh Dickinson University School of Pharmacy and Health Sciences.&lt;/auth-address&gt;&lt;titles&gt;&lt;title&gt;The positive association between proton pump inhibitors and Clostridium difficile infection&lt;/title&gt;&lt;secondary-title&gt;Innovations in Pharmacy&lt;/secondary-title&gt;&lt;/titles&gt;&lt;periodical&gt;&lt;full-title&gt;Innovations in Pharmacy&lt;/full-title&gt;&lt;/periodical&gt;&lt;volume&gt;12&lt;/volume&gt;&lt;number&gt;1&lt;/number&gt;&lt;edition&gt;2021/05/20&lt;/edition&gt;&lt;keywords&gt;&lt;keyword&gt;Clostridium difficile infection&lt;/keyword&gt;&lt;keyword&gt;proton pump inhibitors&lt;/keyword&gt;&lt;keyword&gt;review&lt;/keyword&gt;&lt;/keywords&gt;&lt;dates&gt;&lt;year&gt;2021&lt;/year&gt;&lt;/dates&gt;&lt;isbn&gt;2155-0417&lt;/isbn&gt;&lt;accession-num&gt;34007671&lt;/accession-num&gt;&lt;urls&gt;&lt;/urls&gt;&lt;custom2&gt;PMC8102963&lt;/custom2&gt;&lt;electronic-resource-num&gt;10.24926/iip.v12i1.3439&lt;/electronic-resource-num&gt;&lt;remote-database-provider&gt;NLM&lt;/remote-database-provider&gt;&lt;language&gt;eng&lt;/language&gt;&lt;/record&gt;&lt;/Cite&gt;&lt;/EndNote&gt;</w:instrText>
      </w:r>
      <w:r w:rsidRPr="00B45176">
        <w:rPr>
          <w:rFonts w:ascii="Arial" w:eastAsia="Arial" w:hAnsi="Arial" w:cs="Arial"/>
          <w:color w:val="auto"/>
          <w:lang w:val="en-US"/>
        </w:rPr>
        <w:fldChar w:fldCharType="separate"/>
      </w:r>
      <w:r w:rsidRPr="00B45176">
        <w:rPr>
          <w:rFonts w:ascii="Arial" w:eastAsia="Arial" w:hAnsi="Arial" w:cs="Arial"/>
          <w:noProof/>
          <w:color w:val="auto"/>
          <w:vertAlign w:val="superscript"/>
          <w:lang w:val="en-US"/>
        </w:rPr>
        <w:t>40</w:t>
      </w:r>
      <w:r w:rsidRPr="00B45176">
        <w:rPr>
          <w:rFonts w:ascii="Arial" w:eastAsia="Arial" w:hAnsi="Arial" w:cs="Arial"/>
          <w:color w:val="auto"/>
          <w:lang w:val="en-US"/>
        </w:rPr>
        <w:fldChar w:fldCharType="end"/>
      </w:r>
      <w:r w:rsidRPr="00B45176">
        <w:rPr>
          <w:rFonts w:ascii="Arial" w:eastAsia="Arial" w:hAnsi="Arial" w:cs="Arial"/>
          <w:color w:val="auto"/>
          <w:lang w:val="en-US"/>
        </w:rPr>
        <w:t>, and are often used inappropriately and prescribed for longer than recommended.</w:t>
      </w:r>
      <w:r w:rsidRPr="00B45176">
        <w:rPr>
          <w:rFonts w:ascii="Arial" w:eastAsia="Arial" w:hAnsi="Arial" w:cs="Arial"/>
          <w:color w:val="auto"/>
          <w:lang w:val="en-US"/>
        </w:rPr>
        <w:fldChar w:fldCharType="begin"/>
      </w:r>
      <w:r w:rsidRPr="00B45176">
        <w:rPr>
          <w:rFonts w:ascii="Arial" w:eastAsia="Arial" w:hAnsi="Arial" w:cs="Arial"/>
          <w:color w:val="auto"/>
          <w:lang w:val="en-US"/>
        </w:rPr>
        <w:instrText xml:space="preserve"> ADDIN EN.CITE &lt;EndNote&gt;&lt;Cite&gt;&lt;Author&gt;Drug utilisation sub-committee&lt;/Author&gt;&lt;Year&gt;2022&lt;/Year&gt;&lt;RecNum&gt;224&lt;/RecNum&gt;&lt;DisplayText&gt;&lt;style face="superscript"&gt;16&lt;/style&gt;&lt;/DisplayText&gt;&lt;record&gt;&lt;rec-number&gt;224&lt;/rec-number&gt;&lt;foreign-keys&gt;&lt;key app="EN" db-id="2rp0a5drxdefz3e2e5dptftled295z2r2ve2" timestamp="1718159508"&gt;224&lt;/key&gt;&lt;/foreign-keys&gt;&lt;ref-type name="Generic"&gt;13&lt;/ref-type&gt;&lt;contributors&gt;&lt;authors&gt;&lt;author&gt;Drug utilisation sub-committee,&lt;/author&gt;&lt;author&gt;(DUSC),&lt;/author&gt;&lt;/authors&gt;&lt;subsidiary-authors&gt;&lt;author&gt;The Pharmaceutical Benefits Scheme&lt;/author&gt;&lt;/subsidiary-authors&gt;&lt;/contributors&gt;&lt;titles&gt;&lt;title&gt;Analysis of proton pump inhibitor (PPI) medicines used in the management of gastrointestinal acid related disorders.&lt;/title&gt;&lt;/titles&gt;&lt;dates&gt;&lt;year&gt;2022&lt;/year&gt;&lt;pub-dates&gt;&lt;date&gt;June 2022&lt;/date&gt;&lt;/pub-dates&gt;&lt;/dates&gt;&lt;urls&gt;&lt;related-urls&gt;&lt;url&gt;https://www.pbs.gov.au/info/industry/listing/participants/public-release-docs/2022-06/proton-pump-inhibitor-ppi-medicines-used-in-management-of-gastrointestinal-acid&lt;/url&gt;&lt;/related-urls&gt;&lt;/urls&gt;&lt;/record&gt;&lt;/Cite&gt;&lt;/EndNote&gt;</w:instrText>
      </w:r>
      <w:r w:rsidRPr="00B45176">
        <w:rPr>
          <w:rFonts w:ascii="Arial" w:eastAsia="Arial" w:hAnsi="Arial" w:cs="Arial"/>
          <w:color w:val="auto"/>
          <w:lang w:val="en-US"/>
        </w:rPr>
        <w:fldChar w:fldCharType="separate"/>
      </w:r>
      <w:r w:rsidRPr="00B45176">
        <w:rPr>
          <w:rFonts w:ascii="Arial" w:eastAsia="Arial" w:hAnsi="Arial" w:cs="Arial"/>
          <w:noProof/>
          <w:color w:val="auto"/>
          <w:vertAlign w:val="superscript"/>
          <w:lang w:val="en-US"/>
        </w:rPr>
        <w:t>16</w:t>
      </w:r>
      <w:r w:rsidRPr="00B45176">
        <w:rPr>
          <w:rFonts w:ascii="Arial" w:eastAsia="Arial" w:hAnsi="Arial" w:cs="Arial"/>
          <w:color w:val="auto"/>
          <w:lang w:val="en-US"/>
        </w:rPr>
        <w:fldChar w:fldCharType="end"/>
      </w:r>
      <w:r w:rsidRPr="00B45176">
        <w:rPr>
          <w:rFonts w:ascii="Arial" w:eastAsia="Arial" w:hAnsi="Arial" w:cs="Arial"/>
          <w:color w:val="auto"/>
          <w:lang w:val="en-US"/>
        </w:rPr>
        <w:t xml:space="preserve"> </w:t>
      </w:r>
    </w:p>
    <w:p w14:paraId="056C8EB0" w14:textId="77777777" w:rsidR="00B45176" w:rsidRPr="00B45176" w:rsidRDefault="00B45176" w:rsidP="00B45176">
      <w:pPr>
        <w:spacing w:line="276" w:lineRule="auto"/>
        <w:rPr>
          <w:rFonts w:ascii="Arial" w:eastAsia="Times New Roman" w:hAnsi="Arial"/>
          <w:color w:val="auto"/>
          <w:lang w:eastAsia="en-AU"/>
        </w:rPr>
      </w:pPr>
      <w:bookmarkStart w:id="33" w:name="_Hlk204767360"/>
      <w:r w:rsidRPr="00B45176">
        <w:rPr>
          <w:rFonts w:ascii="Arial" w:eastAsia="Times New Roman" w:hAnsi="Arial"/>
          <w:color w:val="auto"/>
          <w:lang w:eastAsia="en-AU"/>
        </w:rPr>
        <w:t>Dispensing of PPI medicines has increased since 2017, with the largest increase occurring between 2019 and 2020.</w:t>
      </w:r>
      <w:r w:rsidRPr="00B45176">
        <w:rPr>
          <w:rFonts w:ascii="Arial" w:eastAsia="Times New Roman" w:hAnsi="Arial"/>
          <w:color w:val="auto"/>
          <w:lang w:eastAsia="en-AU"/>
        </w:rPr>
        <w:fldChar w:fldCharType="begin"/>
      </w:r>
      <w:r w:rsidRPr="00B45176">
        <w:rPr>
          <w:rFonts w:ascii="Arial" w:eastAsia="Times New Roman" w:hAnsi="Arial"/>
          <w:color w:val="auto"/>
          <w:lang w:eastAsia="en-AU"/>
        </w:rPr>
        <w:instrText xml:space="preserve"> ADDIN EN.CITE &lt;EndNote&gt;&lt;Cite&gt;&lt;Author&gt;Drug utilisation sub-committee&lt;/Author&gt;&lt;Year&gt;2022&lt;/Year&gt;&lt;RecNum&gt;224&lt;/RecNum&gt;&lt;DisplayText&gt;&lt;style face="superscript"&gt;16&lt;/style&gt;&lt;/DisplayText&gt;&lt;record&gt;&lt;rec-number&gt;224&lt;/rec-number&gt;&lt;foreign-keys&gt;&lt;key app="EN" db-id="2rp0a5drxdefz3e2e5dptftled295z2r2ve2" timestamp="1718159508"&gt;224&lt;/key&gt;&lt;/foreign-keys&gt;&lt;ref-type name="Generic"&gt;13&lt;/ref-type&gt;&lt;contributors&gt;&lt;authors&gt;&lt;author&gt;Drug utilisation sub-committee,&lt;/author&gt;&lt;author&gt;(DUSC),&lt;/author&gt;&lt;/authors&gt;&lt;subsidiary-authors&gt;&lt;author&gt;The Pharmaceutical Benefits Scheme&lt;/author&gt;&lt;/subsidiary-authors&gt;&lt;/contributors&gt;&lt;titles&gt;&lt;title&gt;Analysis of proton pump inhibitor (PPI) medicines used in the management of gastrointestinal acid related disorders.&lt;/title&gt;&lt;/titles&gt;&lt;dates&gt;&lt;year&gt;2022&lt;/year&gt;&lt;pub-dates&gt;&lt;date&gt;June 2022&lt;/date&gt;&lt;/pub-dates&gt;&lt;/dates&gt;&lt;urls&gt;&lt;related-urls&gt;&lt;url&gt;https://www.pbs.gov.au/info/industry/listing/participants/public-release-docs/2022-06/proton-pump-inhibitor-ppi-medicines-used-in-management-of-gastrointestinal-acid&lt;/url&gt;&lt;/related-urls&gt;&lt;/urls&gt;&lt;/record&gt;&lt;/Cite&gt;&lt;/EndNote&gt;</w:instrText>
      </w:r>
      <w:r w:rsidRPr="00B45176">
        <w:rPr>
          <w:rFonts w:ascii="Arial" w:eastAsia="Times New Roman" w:hAnsi="Arial"/>
          <w:color w:val="auto"/>
          <w:lang w:eastAsia="en-AU"/>
        </w:rPr>
        <w:fldChar w:fldCharType="separate"/>
      </w:r>
      <w:r w:rsidRPr="00B45176">
        <w:rPr>
          <w:rFonts w:ascii="Arial" w:eastAsia="Times New Roman" w:hAnsi="Arial"/>
          <w:noProof/>
          <w:color w:val="auto"/>
          <w:vertAlign w:val="superscript"/>
          <w:lang w:eastAsia="en-AU"/>
        </w:rPr>
        <w:t>16</w:t>
      </w:r>
      <w:r w:rsidRPr="00B45176">
        <w:rPr>
          <w:rFonts w:ascii="Arial" w:eastAsia="Times New Roman" w:hAnsi="Arial"/>
          <w:color w:val="auto"/>
          <w:lang w:eastAsia="en-AU"/>
        </w:rPr>
        <w:fldChar w:fldCharType="end"/>
      </w:r>
      <w:bookmarkEnd w:id="33"/>
      <w:r w:rsidRPr="00B45176">
        <w:rPr>
          <w:rFonts w:ascii="Arial" w:eastAsia="Times New Roman" w:hAnsi="Arial"/>
          <w:color w:val="auto"/>
          <w:lang w:eastAsia="en-AU"/>
        </w:rPr>
        <w:t xml:space="preserve"> Figure 8 shows community dispensing of PPI medicines in Australia from 2017 to 2023 and the rate of separations with pre-existing CDI symptoms for that time period.</w:t>
      </w:r>
    </w:p>
    <w:p w14:paraId="30AAABE3" w14:textId="77725B9E" w:rsidR="00B45176" w:rsidRPr="00B45176" w:rsidRDefault="00B45176" w:rsidP="00B45176">
      <w:pPr>
        <w:pStyle w:val="Caption"/>
        <w:numPr>
          <w:ilvl w:val="0"/>
          <w:numId w:val="0"/>
        </w:numPr>
        <w:rPr>
          <w:lang w:eastAsia="en-AU"/>
        </w:rPr>
      </w:pPr>
      <w:bookmarkStart w:id="34" w:name="_Hlk204767374"/>
      <w:r w:rsidRPr="00B45176">
        <w:rPr>
          <w:b/>
          <w:bCs/>
          <w:lang w:eastAsia="en-AU"/>
        </w:rPr>
        <w:t>Figure 8</w:t>
      </w:r>
      <w:r w:rsidR="00505471">
        <w:rPr>
          <w:b/>
          <w:bCs/>
          <w:lang w:eastAsia="en-AU"/>
        </w:rPr>
        <w:t>.</w:t>
      </w:r>
      <w:r w:rsidRPr="00B45176">
        <w:rPr>
          <w:b/>
          <w:bCs/>
          <w:lang w:eastAsia="en-AU"/>
        </w:rPr>
        <w:t xml:space="preserve"> </w:t>
      </w:r>
      <w:r w:rsidRPr="00B45176">
        <w:rPr>
          <w:lang w:eastAsia="en-AU"/>
        </w:rPr>
        <w:t>PPI medicine dispensing in the community and the rate of separations with pre-existing CDI symptoms, 2017</w:t>
      </w:r>
      <w:r w:rsidRPr="00B45176">
        <w:rPr>
          <w:rFonts w:cs="Arial"/>
          <w:lang w:eastAsia="en-AU"/>
        </w:rPr>
        <w:t>−</w:t>
      </w:r>
      <w:r w:rsidRPr="00B45176">
        <w:rPr>
          <w:lang w:eastAsia="en-AU"/>
        </w:rPr>
        <w:t>2023</w:t>
      </w:r>
    </w:p>
    <w:bookmarkEnd w:id="34"/>
    <w:p w14:paraId="23B96E3F" w14:textId="1FC3D1B4" w:rsidR="006E18B9" w:rsidRPr="00DE4930" w:rsidRDefault="002D1DB7" w:rsidP="00DE4930">
      <w:r>
        <w:rPr>
          <w:noProof/>
        </w:rPr>
        <w:drawing>
          <wp:inline distT="0" distB="0" distL="0" distR="0" wp14:anchorId="36509F30" wp14:editId="285990D7">
            <wp:extent cx="5831840" cy="3209925"/>
            <wp:effectExtent l="0" t="0" r="0" b="0"/>
            <wp:docPr id="1230336868" name="Chart 1">
              <a:extLst xmlns:a="http://schemas.openxmlformats.org/drawingml/2006/main">
                <a:ext uri="{FF2B5EF4-FFF2-40B4-BE49-F238E27FC236}">
                  <a16:creationId xmlns:a16="http://schemas.microsoft.com/office/drawing/2014/main" id="{6C349F17-FEB2-147E-52CB-AFC0E9418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60F2EC" w14:textId="77777777" w:rsidR="007B33BB" w:rsidRPr="007B33BB" w:rsidRDefault="007B33BB" w:rsidP="007B33BB">
      <w:pPr>
        <w:widowControl w:val="0"/>
        <w:autoSpaceDE w:val="0"/>
        <w:autoSpaceDN w:val="0"/>
        <w:spacing w:before="239" w:after="0" w:line="276" w:lineRule="auto"/>
        <w:ind w:right="-284"/>
        <w:rPr>
          <w:rFonts w:ascii="Segoe UI" w:eastAsia="Arial" w:hAnsi="Segoe UI" w:cs="Segoe UI"/>
          <w:color w:val="auto"/>
          <w:sz w:val="18"/>
          <w:szCs w:val="18"/>
          <w:lang w:val="en-US"/>
        </w:rPr>
      </w:pPr>
      <w:r w:rsidRPr="007B33BB">
        <w:rPr>
          <w:rFonts w:ascii="Arial" w:eastAsia="Arial" w:hAnsi="Arial" w:cs="Arial"/>
          <w:color w:val="auto"/>
          <w:sz w:val="18"/>
          <w:szCs w:val="18"/>
          <w:lang w:val="en-US"/>
        </w:rPr>
        <w:t>*</w:t>
      </w:r>
      <w:bookmarkStart w:id="35" w:name="_Hlk204767402"/>
      <w:r w:rsidRPr="007B33BB">
        <w:rPr>
          <w:rFonts w:ascii="Arial" w:eastAsia="Arial" w:hAnsi="Arial" w:cs="Arial"/>
          <w:color w:val="auto"/>
          <w:sz w:val="18"/>
          <w:szCs w:val="18"/>
          <w:lang w:val="en-US"/>
        </w:rPr>
        <w:t xml:space="preserve">Data source from </w:t>
      </w:r>
      <w:hyperlink r:id="rId27" w:history="1">
        <w:r w:rsidRPr="007B33BB">
          <w:rPr>
            <w:rFonts w:ascii="Arial" w:eastAsia="Arial" w:hAnsi="Arial" w:cs="Arial"/>
            <w:color w:val="002060"/>
            <w:sz w:val="18"/>
            <w:szCs w:val="18"/>
            <w:u w:val="single"/>
            <w:lang w:val="en-US"/>
          </w:rPr>
          <w:t>Pharmaceutical Benefits Scheme (PBS) | Analysis of proton pump inhibitor (PPI) medicines used in the management of gastrointestinal acid related disorders, June 2022</w:t>
        </w:r>
      </w:hyperlink>
      <w:r w:rsidRPr="007B33BB">
        <w:rPr>
          <w:rFonts w:ascii="Arial" w:eastAsia="Arial" w:hAnsi="Arial" w:cs="Arial"/>
          <w:color w:val="auto"/>
          <w:sz w:val="18"/>
          <w:szCs w:val="18"/>
          <w:lang w:val="en-US"/>
        </w:rPr>
        <w:t>, and ACSQHC analysis of the PBS claims data, extraction date 3 March 2025.</w:t>
      </w:r>
      <w:bookmarkEnd w:id="35"/>
      <w:r w:rsidRPr="007B33BB">
        <w:rPr>
          <w:rFonts w:ascii="Segoe UI" w:eastAsia="Arial" w:hAnsi="Segoe UI" w:cs="Segoe UI"/>
          <w:color w:val="auto"/>
          <w:sz w:val="18"/>
          <w:szCs w:val="18"/>
          <w:lang w:val="en-US"/>
        </w:rPr>
        <w:t xml:space="preserve"> </w:t>
      </w:r>
    </w:p>
    <w:p w14:paraId="48543CD9" w14:textId="77777777" w:rsidR="007B33BB" w:rsidRPr="007B33BB" w:rsidRDefault="007B33BB" w:rsidP="007B33BB">
      <w:pPr>
        <w:widowControl w:val="0"/>
        <w:autoSpaceDE w:val="0"/>
        <w:autoSpaceDN w:val="0"/>
        <w:spacing w:before="239" w:after="0" w:line="276" w:lineRule="auto"/>
        <w:ind w:right="-284"/>
        <w:rPr>
          <w:rFonts w:ascii="Arial" w:eastAsia="Arial" w:hAnsi="Arial" w:cs="Arial"/>
          <w:color w:val="auto"/>
          <w:lang w:val="en-US"/>
        </w:rPr>
      </w:pPr>
      <w:r w:rsidRPr="007B33BB">
        <w:rPr>
          <w:rFonts w:ascii="Arial" w:eastAsia="Arial" w:hAnsi="Arial" w:cs="Arial"/>
          <w:color w:val="auto"/>
          <w:lang w:val="en-US"/>
        </w:rPr>
        <w:t>Dispensing of PPI medicine decreased in 2019 after restrictions on prescribing high dose PPI medicines were introduced, however there were increases in dispensing in 2020 for low and standard dose PPI medicines.</w:t>
      </w:r>
      <w:r w:rsidRPr="007B33BB">
        <w:rPr>
          <w:rFonts w:ascii="Arial" w:eastAsia="Arial" w:hAnsi="Arial" w:cs="Arial"/>
          <w:color w:val="auto"/>
          <w:lang w:val="en-US"/>
        </w:rPr>
        <w:fldChar w:fldCharType="begin"/>
      </w:r>
      <w:r w:rsidRPr="007B33BB">
        <w:rPr>
          <w:rFonts w:ascii="Arial" w:eastAsia="Arial" w:hAnsi="Arial" w:cs="Arial"/>
          <w:color w:val="auto"/>
          <w:lang w:val="en-US"/>
        </w:rPr>
        <w:instrText xml:space="preserve"> ADDIN EN.CITE &lt;EndNote&gt;&lt;Cite&gt;&lt;Author&gt;Drug utilisation sub-committee&lt;/Author&gt;&lt;Year&gt;2022&lt;/Year&gt;&lt;RecNum&gt;224&lt;/RecNum&gt;&lt;DisplayText&gt;&lt;style face="superscript"&gt;16&lt;/style&gt;&lt;/DisplayText&gt;&lt;record&gt;&lt;rec-number&gt;224&lt;/rec-number&gt;&lt;foreign-keys&gt;&lt;key app="EN" db-id="2rp0a5drxdefz3e2e5dptftled295z2r2ve2" timestamp="1718159508"&gt;224&lt;/key&gt;&lt;/foreign-keys&gt;&lt;ref-type name="Generic"&gt;13&lt;/ref-type&gt;&lt;contributors&gt;&lt;authors&gt;&lt;author&gt;Drug utilisation sub-committee,&lt;/author&gt;&lt;author&gt;(DUSC),&lt;/author&gt;&lt;/authors&gt;&lt;subsidiary-authors&gt;&lt;author&gt;The Pharmaceutical Benefits Scheme&lt;/author&gt;&lt;/subsidiary-authors&gt;&lt;/contributors&gt;&lt;titles&gt;&lt;title&gt;Analysis of proton pump inhibitor (PPI) medicines used in the management of gastrointestinal acid related disorders.&lt;/title&gt;&lt;/titles&gt;&lt;dates&gt;&lt;year&gt;2022&lt;/year&gt;&lt;pub-dates&gt;&lt;date&gt;June 2022&lt;/date&gt;&lt;/pub-dates&gt;&lt;/dates&gt;&lt;urls&gt;&lt;related-urls&gt;&lt;url&gt;https://www.pbs.gov.au/info/industry/listing/participants/public-release-docs/2022-06/proton-pump-inhibitor-ppi-medicines-used-in-management-of-gastrointestinal-acid&lt;/url&gt;&lt;/related-urls&gt;&lt;/urls&gt;&lt;/record&gt;&lt;/Cite&gt;&lt;/EndNote&gt;</w:instrText>
      </w:r>
      <w:r w:rsidRPr="007B33BB">
        <w:rPr>
          <w:rFonts w:ascii="Arial" w:eastAsia="Arial" w:hAnsi="Arial" w:cs="Arial"/>
          <w:color w:val="auto"/>
          <w:lang w:val="en-US"/>
        </w:rPr>
        <w:fldChar w:fldCharType="separate"/>
      </w:r>
      <w:r w:rsidRPr="007B33BB">
        <w:rPr>
          <w:rFonts w:ascii="Arial" w:eastAsia="Arial" w:hAnsi="Arial" w:cs="Arial"/>
          <w:noProof/>
          <w:color w:val="auto"/>
          <w:vertAlign w:val="superscript"/>
          <w:lang w:val="en-US"/>
        </w:rPr>
        <w:t>16</w:t>
      </w:r>
      <w:r w:rsidRPr="007B33BB">
        <w:rPr>
          <w:rFonts w:ascii="Arial" w:eastAsia="Arial" w:hAnsi="Arial" w:cs="Arial"/>
          <w:color w:val="auto"/>
          <w:lang w:val="en-US"/>
        </w:rPr>
        <w:fldChar w:fldCharType="end"/>
      </w:r>
      <w:r w:rsidRPr="007B33BB">
        <w:rPr>
          <w:rFonts w:ascii="Arial" w:eastAsia="Arial" w:hAnsi="Arial" w:cs="Arial"/>
          <w:color w:val="auto"/>
          <w:lang w:val="en-US"/>
        </w:rPr>
        <w:t xml:space="preserve"> One Australian study found that PPI medicines were prescribed more frequently for patients aged 70 years and over and that esomeprazole and pantoprazole were prescribed more frequently for females than for males.</w:t>
      </w:r>
      <w:r w:rsidRPr="007B33BB">
        <w:rPr>
          <w:rFonts w:ascii="Arial" w:eastAsia="Arial" w:hAnsi="Arial" w:cs="Arial"/>
          <w:color w:val="auto"/>
          <w:lang w:val="en-US"/>
        </w:rPr>
        <w:fldChar w:fldCharType="begin"/>
      </w:r>
      <w:r w:rsidRPr="007B33BB">
        <w:rPr>
          <w:rFonts w:ascii="Arial" w:eastAsia="Arial" w:hAnsi="Arial" w:cs="Arial"/>
          <w:color w:val="auto"/>
          <w:lang w:val="en-US"/>
        </w:rPr>
        <w:instrText xml:space="preserve"> ADDIN EN.CITE &lt;EndNote&gt;&lt;Cite&gt;&lt;Author&gt;Drug utilisation sub-committee&lt;/Author&gt;&lt;Year&gt;2022&lt;/Year&gt;&lt;RecNum&gt;224&lt;/RecNum&gt;&lt;DisplayText&gt;&lt;style face="superscript"&gt;16&lt;/style&gt;&lt;/DisplayText&gt;&lt;record&gt;&lt;rec-number&gt;224&lt;/rec-number&gt;&lt;foreign-keys&gt;&lt;key app="EN" db-id="2rp0a5drxdefz3e2e5dptftled295z2r2ve2" timestamp="1718159508"&gt;224&lt;/key&gt;&lt;/foreign-keys&gt;&lt;ref-type name="Generic"&gt;13&lt;/ref-type&gt;&lt;contributors&gt;&lt;authors&gt;&lt;author&gt;Drug utilisation sub-committee,&lt;/author&gt;&lt;author&gt;(DUSC),&lt;/author&gt;&lt;/authors&gt;&lt;subsidiary-authors&gt;&lt;author&gt;The Pharmaceutical Benefits Scheme&lt;/author&gt;&lt;/subsidiary-authors&gt;&lt;/contributors&gt;&lt;titles&gt;&lt;title&gt;Analysis of proton pump inhibitor (PPI) medicines used in the management of gastrointestinal acid related disorders.&lt;/title&gt;&lt;/titles&gt;&lt;dates&gt;&lt;year&gt;2022&lt;/year&gt;&lt;pub-dates&gt;&lt;date&gt;June 2022&lt;/date&gt;&lt;/pub-dates&gt;&lt;/dates&gt;&lt;urls&gt;&lt;related-urls&gt;&lt;url&gt;https://www.pbs.gov.au/info/industry/listing/participants/public-release-docs/2022-06/proton-pump-inhibitor-ppi-medicines-used-in-management-of-gastrointestinal-acid&lt;/url&gt;&lt;/related-urls&gt;&lt;/urls&gt;&lt;/record&gt;&lt;/Cite&gt;&lt;/EndNote&gt;</w:instrText>
      </w:r>
      <w:r w:rsidRPr="007B33BB">
        <w:rPr>
          <w:rFonts w:ascii="Arial" w:eastAsia="Arial" w:hAnsi="Arial" w:cs="Arial"/>
          <w:color w:val="auto"/>
          <w:lang w:val="en-US"/>
        </w:rPr>
        <w:fldChar w:fldCharType="separate"/>
      </w:r>
      <w:r w:rsidRPr="007B33BB">
        <w:rPr>
          <w:rFonts w:ascii="Arial" w:eastAsia="Arial" w:hAnsi="Arial" w:cs="Arial"/>
          <w:noProof/>
          <w:color w:val="auto"/>
          <w:vertAlign w:val="superscript"/>
          <w:lang w:val="en-US"/>
        </w:rPr>
        <w:t>16</w:t>
      </w:r>
      <w:r w:rsidRPr="007B33BB">
        <w:rPr>
          <w:rFonts w:ascii="Arial" w:eastAsia="Arial" w:hAnsi="Arial" w:cs="Arial"/>
          <w:color w:val="auto"/>
          <w:lang w:val="en-US"/>
        </w:rPr>
        <w:fldChar w:fldCharType="end"/>
      </w:r>
      <w:r w:rsidRPr="007B33BB">
        <w:rPr>
          <w:rFonts w:ascii="Arial" w:eastAsia="Arial" w:hAnsi="Arial" w:cs="Arial"/>
          <w:color w:val="auto"/>
          <w:lang w:val="en-US"/>
        </w:rPr>
        <w:t xml:space="preserve"> There are no data on over-the-counter and private prescribing of PPIs .</w:t>
      </w:r>
    </w:p>
    <w:p w14:paraId="62AF26FF" w14:textId="77777777" w:rsidR="007B33BB" w:rsidRDefault="007B33BB" w:rsidP="002F6516">
      <w:pPr>
        <w:rPr>
          <w:lang w:eastAsia="en-AU"/>
        </w:rPr>
      </w:pPr>
    </w:p>
    <w:p w14:paraId="05CA7197" w14:textId="77777777" w:rsidR="00505471" w:rsidRDefault="00505471">
      <w:pPr>
        <w:rPr>
          <w:rFonts w:asciiTheme="majorHAnsi" w:hAnsiTheme="majorHAnsi"/>
          <w:sz w:val="52"/>
          <w:szCs w:val="44"/>
          <w:lang w:eastAsia="en-AU"/>
        </w:rPr>
      </w:pPr>
      <w:bookmarkStart w:id="36" w:name="_Toc203723843"/>
      <w:r>
        <w:rPr>
          <w:lang w:eastAsia="en-AU"/>
        </w:rPr>
        <w:br w:type="page"/>
      </w:r>
    </w:p>
    <w:p w14:paraId="0519254D" w14:textId="424C57A0" w:rsidR="001B64D1" w:rsidRPr="001B64D1" w:rsidRDefault="001B64D1" w:rsidP="001B64D1">
      <w:pPr>
        <w:pStyle w:val="Heading1"/>
        <w:rPr>
          <w:lang w:eastAsia="en-AU"/>
        </w:rPr>
      </w:pPr>
      <w:bookmarkStart w:id="37" w:name="_Toc205909370"/>
      <w:r w:rsidRPr="001B64D1">
        <w:rPr>
          <w:lang w:eastAsia="en-AU"/>
        </w:rPr>
        <w:lastRenderedPageBreak/>
        <w:t>Conclusion</w:t>
      </w:r>
      <w:bookmarkEnd w:id="36"/>
      <w:bookmarkEnd w:id="37"/>
      <w:r w:rsidRPr="001B64D1">
        <w:rPr>
          <w:lang w:eastAsia="en-AU"/>
        </w:rPr>
        <w:t xml:space="preserve"> </w:t>
      </w:r>
    </w:p>
    <w:p w14:paraId="30B8BF76" w14:textId="77777777" w:rsidR="001B64D1" w:rsidRPr="001B64D1" w:rsidRDefault="001B64D1" w:rsidP="001B64D1">
      <w:pPr>
        <w:spacing w:line="276" w:lineRule="auto"/>
        <w:ind w:right="-284"/>
        <w:rPr>
          <w:rFonts w:ascii="Arial" w:eastAsia="Times New Roman" w:hAnsi="Arial"/>
          <w:color w:val="auto"/>
          <w:lang w:eastAsia="en-AU"/>
        </w:rPr>
      </w:pPr>
      <w:r w:rsidRPr="001B64D1">
        <w:rPr>
          <w:rFonts w:ascii="Arial" w:eastAsia="Times New Roman" w:hAnsi="Arial"/>
          <w:color w:val="auto"/>
          <w:lang w:eastAsia="en-AU"/>
        </w:rPr>
        <w:t xml:space="preserve">While CDI diagnoses decreased between 2022 and 2023 in Australia, the rate of CDI has been increasing since 2019, largely due to the increasing prevalence of community-onset CDI. </w:t>
      </w:r>
    </w:p>
    <w:p w14:paraId="3A95DD16" w14:textId="77777777" w:rsidR="001B64D1" w:rsidRPr="001B64D1" w:rsidRDefault="001B64D1" w:rsidP="001B64D1">
      <w:pPr>
        <w:spacing w:line="276" w:lineRule="auto"/>
        <w:ind w:right="-284"/>
        <w:rPr>
          <w:rFonts w:ascii="Arial" w:eastAsia="Times New Roman" w:hAnsi="Arial"/>
          <w:color w:val="auto"/>
          <w:lang w:eastAsia="en-AU"/>
        </w:rPr>
      </w:pPr>
      <w:r w:rsidRPr="001B64D1">
        <w:rPr>
          <w:rFonts w:ascii="Arial" w:eastAsia="Times New Roman" w:hAnsi="Arial"/>
          <w:color w:val="auto"/>
          <w:lang w:eastAsia="en-AU"/>
        </w:rPr>
        <w:t>Hospital-onset CDI accounts for the majority of CDI diagnoses reported for the United Kingdom, Europe and the United States.</w:t>
      </w:r>
      <w:r w:rsidRPr="001B64D1">
        <w:rPr>
          <w:rFonts w:ascii="Arial" w:eastAsia="Times New Roman" w:hAnsi="Arial"/>
          <w:color w:val="auto"/>
          <w:lang w:eastAsia="en-AU"/>
        </w:rPr>
        <w:fldChar w:fldCharType="begin">
          <w:fldData xml:space="preserve">PEVuZE5vdGU+PENpdGU+PEF1dGhvcj5VSyBIZWFsdGggU2VjdXJpdHkgQWdlbmN5PC9BdXRob3I+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</w:fldData>
        </w:fldChar>
      </w:r>
      <w:r w:rsidRPr="001B64D1">
        <w:rPr>
          <w:rFonts w:ascii="Arial" w:eastAsia="Times New Roman" w:hAnsi="Arial"/>
          <w:color w:val="auto"/>
          <w:lang w:eastAsia="en-AU"/>
        </w:rPr>
        <w:instrText xml:space="preserve"> ADDIN EN.CITE </w:instrText>
      </w:r>
      <w:r w:rsidRPr="001B64D1">
        <w:rPr>
          <w:rFonts w:ascii="Arial" w:eastAsia="Times New Roman" w:hAnsi="Arial"/>
          <w:color w:val="auto"/>
          <w:lang w:eastAsia="en-AU"/>
        </w:rPr>
        <w:fldChar w:fldCharType="begin">
          <w:fldData xml:space="preserve">PEVuZE5vdGU+PENpdGU+PEF1dGhvcj5VSyBIZWFsdGggU2VjdXJpdHkgQWdlbmN5PC9BdXRob3I+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</w:fldData>
        </w:fldChar>
      </w:r>
      <w:r w:rsidRPr="001B64D1">
        <w:rPr>
          <w:rFonts w:ascii="Arial" w:eastAsia="Times New Roman" w:hAnsi="Arial"/>
          <w:color w:val="auto"/>
          <w:lang w:eastAsia="en-AU"/>
        </w:rPr>
        <w:instrText xml:space="preserve"> ADDIN EN.CITE.DATA </w:instrText>
      </w:r>
      <w:r w:rsidRPr="001B64D1">
        <w:rPr>
          <w:rFonts w:ascii="Arial" w:eastAsia="Times New Roman" w:hAnsi="Arial"/>
          <w:color w:val="auto"/>
          <w:lang w:eastAsia="en-AU"/>
        </w:rPr>
      </w:r>
      <w:r w:rsidRPr="001B64D1">
        <w:rPr>
          <w:rFonts w:ascii="Arial" w:eastAsia="Times New Roman" w:hAnsi="Arial"/>
          <w:color w:val="auto"/>
          <w:lang w:eastAsia="en-AU"/>
        </w:rPr>
        <w:fldChar w:fldCharType="end"/>
      </w:r>
      <w:r w:rsidRPr="001B64D1">
        <w:rPr>
          <w:rFonts w:ascii="Arial" w:eastAsia="Times New Roman" w:hAnsi="Arial"/>
          <w:color w:val="auto"/>
          <w:lang w:eastAsia="en-AU"/>
        </w:rPr>
      </w:r>
      <w:r w:rsidRPr="001B64D1">
        <w:rPr>
          <w:rFonts w:ascii="Arial" w:eastAsia="Times New Roman" w:hAnsi="Arial"/>
          <w:color w:val="auto"/>
          <w:lang w:eastAsia="en-AU"/>
        </w:rPr>
        <w:fldChar w:fldCharType="separate"/>
      </w:r>
      <w:r w:rsidRPr="001B64D1">
        <w:rPr>
          <w:rFonts w:ascii="Arial" w:eastAsia="Times New Roman" w:hAnsi="Arial"/>
          <w:noProof/>
          <w:color w:val="auto"/>
          <w:vertAlign w:val="superscript"/>
          <w:lang w:eastAsia="en-AU"/>
        </w:rPr>
        <w:t>41-43</w:t>
      </w:r>
      <w:r w:rsidRPr="001B64D1">
        <w:rPr>
          <w:rFonts w:ascii="Arial" w:eastAsia="Times New Roman" w:hAnsi="Arial"/>
          <w:color w:val="auto"/>
          <w:lang w:eastAsia="en-AU"/>
        </w:rPr>
        <w:fldChar w:fldCharType="end"/>
      </w:r>
      <w:r w:rsidRPr="001B64D1">
        <w:rPr>
          <w:rFonts w:ascii="Arial" w:eastAsia="Times New Roman" w:hAnsi="Arial"/>
          <w:color w:val="auto"/>
          <w:lang w:eastAsia="en-AU"/>
        </w:rPr>
        <w:t xml:space="preserve"> In Australia, over 80% of CDI cases presenting to Australian hospitals in 2022 and 2023 developed symptoms in the community, and many had previous healthcare exposure, either in the community or during a previous hospital admission.</w:t>
      </w:r>
    </w:p>
    <w:p w14:paraId="224F6DAC" w14:textId="77777777" w:rsidR="001B64D1" w:rsidRPr="001B64D1" w:rsidRDefault="001B64D1" w:rsidP="001B64D1">
      <w:pPr>
        <w:spacing w:line="276" w:lineRule="auto"/>
        <w:ind w:right="-284"/>
        <w:rPr>
          <w:rFonts w:ascii="Arial" w:eastAsia="Times New Roman" w:hAnsi="Arial"/>
          <w:color w:val="auto"/>
          <w:lang w:eastAsia="en-AU"/>
        </w:rPr>
      </w:pPr>
      <w:r w:rsidRPr="001B64D1">
        <w:rPr>
          <w:rFonts w:ascii="Arial" w:eastAsia="Times New Roman" w:hAnsi="Arial"/>
          <w:color w:val="auto"/>
          <w:lang w:eastAsia="en-AU"/>
        </w:rPr>
        <w:t>Significant variations in the rates of CDI were observed during the COVID-19 pandemic and post pandemic period. It is likely multiple factors, such as changes to care access and delivery, antimicrobial use and infection prevention and control interventions, had some influence on the rates of CDI observed during this time. Other factors, such as changes to CDI testing methodologies or sensitivities, may also influence diagnosis and reporting. Health service organisations should consider investigating these changes to testing if they observe increased rates of CDI.</w:t>
      </w:r>
    </w:p>
    <w:p w14:paraId="5C2F2504" w14:textId="77777777" w:rsidR="001B64D1" w:rsidRPr="001B64D1" w:rsidRDefault="001B64D1" w:rsidP="001B64D1">
      <w:pPr>
        <w:spacing w:line="276" w:lineRule="auto"/>
        <w:ind w:right="-284"/>
        <w:rPr>
          <w:rFonts w:ascii="Arial" w:eastAsia="Times New Roman" w:hAnsi="Arial"/>
          <w:color w:val="auto"/>
          <w:lang w:eastAsia="en-AU"/>
        </w:rPr>
      </w:pPr>
      <w:r w:rsidRPr="001B64D1">
        <w:rPr>
          <w:rFonts w:ascii="Arial" w:eastAsia="Times New Roman" w:hAnsi="Arial"/>
          <w:color w:val="auto"/>
          <w:lang w:eastAsia="en-AU"/>
        </w:rPr>
        <w:t>An analysis of community-onset CDI data indicates that females and individuals 65 years of age and over appear to be at higher risk of developing CDI symptoms in the community. This group is also prescribed antimicrobial and PPI medicines more frequently than other groups in the community, which is consistent with the findings of other studies that examined the risks for CDI in the community.</w:t>
      </w:r>
      <w:r w:rsidRPr="001B64D1">
        <w:rPr>
          <w:rFonts w:ascii="Arial" w:eastAsia="Times New Roman" w:hAnsi="Arial"/>
          <w:color w:val="auto"/>
          <w:lang w:eastAsia="en-AU"/>
        </w:rPr>
        <w:fldChar w:fldCharType="begin">
          <w:fldData xml:space="preserve">PEVuZE5vdGU+PENpdGU+PEF1dGhvcj5EcnVnIHV0aWxpc2F0aW9uIHN1Yi1jb21taXR0ZWU8L0F1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</w:fldData>
        </w:fldChar>
      </w:r>
      <w:r w:rsidRPr="001B64D1">
        <w:rPr>
          <w:rFonts w:ascii="Arial" w:eastAsia="Times New Roman" w:hAnsi="Arial"/>
          <w:color w:val="auto"/>
          <w:lang w:eastAsia="en-AU"/>
        </w:rPr>
        <w:instrText xml:space="preserve"> ADDIN EN.CITE </w:instrText>
      </w:r>
      <w:r w:rsidRPr="001B64D1">
        <w:rPr>
          <w:rFonts w:ascii="Arial" w:eastAsia="Times New Roman" w:hAnsi="Arial"/>
          <w:color w:val="auto"/>
          <w:lang w:eastAsia="en-AU"/>
        </w:rPr>
        <w:fldChar w:fldCharType="begin">
          <w:fldData xml:space="preserve">PEVuZE5vdGU+PENpdGU+PEF1dGhvcj5EcnVnIHV0aWxpc2F0aW9uIHN1Yi1jb21taXR0ZWU8L0F1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</w:fldData>
        </w:fldChar>
      </w:r>
      <w:r w:rsidRPr="001B64D1">
        <w:rPr>
          <w:rFonts w:ascii="Arial" w:eastAsia="Times New Roman" w:hAnsi="Arial"/>
          <w:color w:val="auto"/>
          <w:lang w:eastAsia="en-AU"/>
        </w:rPr>
        <w:instrText xml:space="preserve"> ADDIN EN.CITE.DATA </w:instrText>
      </w:r>
      <w:r w:rsidRPr="001B64D1">
        <w:rPr>
          <w:rFonts w:ascii="Arial" w:eastAsia="Times New Roman" w:hAnsi="Arial"/>
          <w:color w:val="auto"/>
          <w:lang w:eastAsia="en-AU"/>
        </w:rPr>
      </w:r>
      <w:r w:rsidRPr="001B64D1">
        <w:rPr>
          <w:rFonts w:ascii="Arial" w:eastAsia="Times New Roman" w:hAnsi="Arial"/>
          <w:color w:val="auto"/>
          <w:lang w:eastAsia="en-AU"/>
        </w:rPr>
        <w:fldChar w:fldCharType="end"/>
      </w:r>
      <w:r w:rsidRPr="001B64D1">
        <w:rPr>
          <w:rFonts w:ascii="Arial" w:eastAsia="Times New Roman" w:hAnsi="Arial"/>
          <w:color w:val="auto"/>
          <w:lang w:eastAsia="en-AU"/>
        </w:rPr>
      </w:r>
      <w:r w:rsidRPr="001B64D1">
        <w:rPr>
          <w:rFonts w:ascii="Arial" w:eastAsia="Times New Roman" w:hAnsi="Arial"/>
          <w:color w:val="auto"/>
          <w:lang w:eastAsia="en-AU"/>
        </w:rPr>
        <w:fldChar w:fldCharType="separate"/>
      </w:r>
      <w:r w:rsidRPr="001B64D1">
        <w:rPr>
          <w:rFonts w:ascii="Arial" w:eastAsia="Times New Roman" w:hAnsi="Arial"/>
          <w:noProof/>
          <w:color w:val="auto"/>
          <w:vertAlign w:val="superscript"/>
          <w:lang w:eastAsia="en-AU"/>
        </w:rPr>
        <w:t>16, 17, 36</w:t>
      </w:r>
      <w:r w:rsidRPr="001B64D1">
        <w:rPr>
          <w:rFonts w:ascii="Arial" w:eastAsia="Times New Roman" w:hAnsi="Arial"/>
          <w:color w:val="auto"/>
          <w:lang w:eastAsia="en-AU"/>
        </w:rPr>
        <w:fldChar w:fldCharType="end"/>
      </w:r>
      <w:r w:rsidRPr="001B64D1">
        <w:rPr>
          <w:rFonts w:ascii="Arial" w:eastAsia="Times New Roman" w:hAnsi="Arial"/>
          <w:color w:val="auto"/>
          <w:vertAlign w:val="superscript"/>
          <w:lang w:eastAsia="en-AU"/>
        </w:rPr>
        <w:t>,</w:t>
      </w:r>
      <w:r w:rsidRPr="001B64D1">
        <w:rPr>
          <w:rFonts w:ascii="Arial" w:eastAsia="Times New Roman" w:hAnsi="Arial"/>
          <w:color w:val="auto"/>
          <w:lang w:eastAsia="en-AU"/>
        </w:rPr>
        <w:t xml:space="preserve"> </w:t>
      </w:r>
      <w:r w:rsidRPr="001B64D1">
        <w:rPr>
          <w:rFonts w:ascii="Arial" w:eastAsia="Times New Roman" w:hAnsi="Arial"/>
          <w:color w:val="auto"/>
          <w:lang w:eastAsia="en-AU"/>
        </w:rPr>
        <w:fldChar w:fldCharType="begin">
          <w:fldData xml:space="preserve">PEVuZE5vdGU+PENpdGU+PEF1dGhvcj5DbG9oZXNzeTwvQXV0aG9yPjxZZWFyPjIwMTQ8L1llYXI+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=
</w:fldData>
        </w:fldChar>
      </w:r>
      <w:r w:rsidRPr="001B64D1">
        <w:rPr>
          <w:rFonts w:ascii="Arial" w:eastAsia="Times New Roman" w:hAnsi="Arial"/>
          <w:color w:val="auto"/>
          <w:lang w:eastAsia="en-AU"/>
        </w:rPr>
        <w:instrText xml:space="preserve"> ADDIN EN.CITE </w:instrText>
      </w:r>
      <w:r w:rsidRPr="001B64D1">
        <w:rPr>
          <w:rFonts w:ascii="Arial" w:eastAsia="Times New Roman" w:hAnsi="Arial"/>
          <w:color w:val="auto"/>
          <w:lang w:eastAsia="en-AU"/>
        </w:rPr>
        <w:fldChar w:fldCharType="begin">
          <w:fldData xml:space="preserve">PEVuZE5vdGU+PENpdGU+PEF1dGhvcj5DbG9oZXNzeTwvQXV0aG9yPjxZZWFyPjIwMTQ8L1llYXI+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=
</w:fldData>
        </w:fldChar>
      </w:r>
      <w:r w:rsidRPr="001B64D1">
        <w:rPr>
          <w:rFonts w:ascii="Arial" w:eastAsia="Times New Roman" w:hAnsi="Arial"/>
          <w:color w:val="auto"/>
          <w:lang w:eastAsia="en-AU"/>
        </w:rPr>
        <w:instrText xml:space="preserve"> ADDIN EN.CITE.DATA </w:instrText>
      </w:r>
      <w:r w:rsidRPr="001B64D1">
        <w:rPr>
          <w:rFonts w:ascii="Arial" w:eastAsia="Times New Roman" w:hAnsi="Arial"/>
          <w:color w:val="auto"/>
          <w:lang w:eastAsia="en-AU"/>
        </w:rPr>
      </w:r>
      <w:r w:rsidRPr="001B64D1">
        <w:rPr>
          <w:rFonts w:ascii="Arial" w:eastAsia="Times New Roman" w:hAnsi="Arial"/>
          <w:color w:val="auto"/>
          <w:lang w:eastAsia="en-AU"/>
        </w:rPr>
        <w:fldChar w:fldCharType="end"/>
      </w:r>
      <w:r w:rsidRPr="001B64D1">
        <w:rPr>
          <w:rFonts w:ascii="Arial" w:eastAsia="Times New Roman" w:hAnsi="Arial"/>
          <w:color w:val="auto"/>
          <w:lang w:eastAsia="en-AU"/>
        </w:rPr>
      </w:r>
      <w:r w:rsidRPr="001B64D1">
        <w:rPr>
          <w:rFonts w:ascii="Arial" w:eastAsia="Times New Roman" w:hAnsi="Arial"/>
          <w:color w:val="auto"/>
          <w:lang w:eastAsia="en-AU"/>
        </w:rPr>
        <w:fldChar w:fldCharType="separate"/>
      </w:r>
      <w:r w:rsidRPr="001B64D1">
        <w:rPr>
          <w:rFonts w:ascii="Arial" w:eastAsia="Times New Roman" w:hAnsi="Arial"/>
          <w:noProof/>
          <w:color w:val="auto"/>
          <w:vertAlign w:val="superscript"/>
          <w:lang w:eastAsia="en-AU"/>
        </w:rPr>
        <w:t>28, 35, 44</w:t>
      </w:r>
      <w:r w:rsidRPr="001B64D1">
        <w:rPr>
          <w:rFonts w:ascii="Arial" w:eastAsia="Times New Roman" w:hAnsi="Arial"/>
          <w:color w:val="auto"/>
          <w:lang w:eastAsia="en-AU"/>
        </w:rPr>
        <w:fldChar w:fldCharType="end"/>
      </w:r>
      <w:r w:rsidRPr="001B64D1">
        <w:rPr>
          <w:rFonts w:ascii="Arial" w:eastAsia="Times New Roman" w:hAnsi="Arial"/>
          <w:color w:val="auto"/>
          <w:lang w:eastAsia="en-AU"/>
        </w:rPr>
        <w:t xml:space="preserve"> </w:t>
      </w:r>
    </w:p>
    <w:p w14:paraId="17ABF9E0" w14:textId="77777777" w:rsidR="001B64D1" w:rsidRPr="001B64D1" w:rsidRDefault="001B64D1" w:rsidP="001B64D1">
      <w:pPr>
        <w:spacing w:line="276" w:lineRule="auto"/>
        <w:ind w:right="-284"/>
        <w:rPr>
          <w:rFonts w:ascii="Arial" w:eastAsia="Times New Roman" w:hAnsi="Arial"/>
          <w:color w:val="auto"/>
          <w:lang w:eastAsia="en-AU"/>
        </w:rPr>
      </w:pPr>
      <w:r w:rsidRPr="001B64D1">
        <w:rPr>
          <w:rFonts w:ascii="Arial" w:eastAsia="Times New Roman" w:hAnsi="Arial"/>
          <w:color w:val="auto"/>
          <w:lang w:eastAsia="en-AU"/>
        </w:rPr>
        <w:t>Increased awareness of the risk factors for CDI in the community (e.g. older women)</w:t>
      </w:r>
      <w:r w:rsidRPr="001B64D1">
        <w:rPr>
          <w:rFonts w:ascii="Arial" w:eastAsia="Times New Roman" w:hAnsi="Arial"/>
          <w:color w:val="auto"/>
          <w:lang w:eastAsia="en-AU"/>
        </w:rPr>
        <w:fldChar w:fldCharType="begin">
          <w:fldData xml:space="preserve">PEVuZE5vdGU+PENpdGU+PEF1dGhvcj5Nb3JlZWxzPC9BdXRob3I+PFllYXI+MjAyNDwvWWVhcj48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</w:fldData>
        </w:fldChar>
      </w:r>
      <w:r w:rsidRPr="001B64D1">
        <w:rPr>
          <w:rFonts w:ascii="Arial" w:eastAsia="Times New Roman" w:hAnsi="Arial"/>
          <w:color w:val="auto"/>
          <w:lang w:eastAsia="en-AU"/>
        </w:rPr>
        <w:instrText xml:space="preserve"> ADDIN EN.CITE </w:instrText>
      </w:r>
      <w:r w:rsidRPr="001B64D1">
        <w:rPr>
          <w:rFonts w:ascii="Arial" w:eastAsia="Times New Roman" w:hAnsi="Arial"/>
          <w:color w:val="auto"/>
          <w:lang w:eastAsia="en-AU"/>
        </w:rPr>
        <w:fldChar w:fldCharType="begin">
          <w:fldData xml:space="preserve">PEVuZE5vdGU+PENpdGU+PEF1dGhvcj5Nb3JlZWxzPC9BdXRob3I+PFllYXI+MjAyNDwvWWVhcj48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</w:fldData>
        </w:fldChar>
      </w:r>
      <w:r w:rsidRPr="001B64D1">
        <w:rPr>
          <w:rFonts w:ascii="Arial" w:eastAsia="Times New Roman" w:hAnsi="Arial"/>
          <w:color w:val="auto"/>
          <w:lang w:eastAsia="en-AU"/>
        </w:rPr>
        <w:instrText xml:space="preserve"> ADDIN EN.CITE.DATA </w:instrText>
      </w:r>
      <w:r w:rsidRPr="001B64D1">
        <w:rPr>
          <w:rFonts w:ascii="Arial" w:eastAsia="Times New Roman" w:hAnsi="Arial"/>
          <w:color w:val="auto"/>
          <w:lang w:eastAsia="en-AU"/>
        </w:rPr>
      </w:r>
      <w:r w:rsidRPr="001B64D1">
        <w:rPr>
          <w:rFonts w:ascii="Arial" w:eastAsia="Times New Roman" w:hAnsi="Arial"/>
          <w:color w:val="auto"/>
          <w:lang w:eastAsia="en-AU"/>
        </w:rPr>
        <w:fldChar w:fldCharType="end"/>
      </w:r>
      <w:r w:rsidRPr="001B64D1">
        <w:rPr>
          <w:rFonts w:ascii="Arial" w:eastAsia="Times New Roman" w:hAnsi="Arial"/>
          <w:color w:val="auto"/>
          <w:lang w:eastAsia="en-AU"/>
        </w:rPr>
      </w:r>
      <w:r w:rsidRPr="001B64D1">
        <w:rPr>
          <w:rFonts w:ascii="Arial" w:eastAsia="Times New Roman" w:hAnsi="Arial"/>
          <w:color w:val="auto"/>
          <w:lang w:eastAsia="en-AU"/>
        </w:rPr>
        <w:fldChar w:fldCharType="separate"/>
      </w:r>
      <w:r w:rsidRPr="001B64D1">
        <w:rPr>
          <w:rFonts w:ascii="Arial" w:eastAsia="Times New Roman" w:hAnsi="Arial"/>
          <w:noProof/>
          <w:color w:val="auto"/>
          <w:vertAlign w:val="superscript"/>
          <w:lang w:eastAsia="en-AU"/>
        </w:rPr>
        <w:t>36, 40</w:t>
      </w:r>
      <w:r w:rsidRPr="001B64D1">
        <w:rPr>
          <w:rFonts w:ascii="Arial" w:eastAsia="Times New Roman" w:hAnsi="Arial"/>
          <w:color w:val="auto"/>
          <w:lang w:eastAsia="en-AU"/>
        </w:rPr>
        <w:fldChar w:fldCharType="end"/>
      </w:r>
      <w:r w:rsidRPr="001B64D1">
        <w:rPr>
          <w:rFonts w:ascii="Arial" w:eastAsia="Times New Roman" w:hAnsi="Arial"/>
          <w:color w:val="auto"/>
          <w:lang w:eastAsia="en-AU"/>
        </w:rPr>
        <w:t xml:space="preserve"> can support primary healthcare providers to prevent, diagnose and treat CDI in the community. Simple interventions, such as implementing AMS programs in primary care, avoiding prolonged use of PPI medicines,</w:t>
      </w:r>
      <w:r w:rsidRPr="001B64D1">
        <w:rPr>
          <w:rFonts w:ascii="Arial" w:eastAsia="Times New Roman" w:hAnsi="Arial"/>
          <w:color w:val="auto"/>
          <w:lang w:eastAsia="en-AU"/>
        </w:rPr>
        <w:fldChar w:fldCharType="begin">
          <w:fldData xml:space="preserve">PEVuZE5vdGU+PENpdGU+PEF1dGhvcj5Nb3JlZWxzPC9BdXRob3I+PFllYXI+MjAyNDwvWWVhcj48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</w:fldData>
        </w:fldChar>
      </w:r>
      <w:r w:rsidRPr="001B64D1">
        <w:rPr>
          <w:rFonts w:ascii="Arial" w:eastAsia="Times New Roman" w:hAnsi="Arial"/>
          <w:color w:val="auto"/>
          <w:lang w:eastAsia="en-AU"/>
        </w:rPr>
        <w:instrText xml:space="preserve"> ADDIN EN.CITE </w:instrText>
      </w:r>
      <w:r w:rsidRPr="001B64D1">
        <w:rPr>
          <w:rFonts w:ascii="Arial" w:eastAsia="Times New Roman" w:hAnsi="Arial"/>
          <w:color w:val="auto"/>
          <w:lang w:eastAsia="en-AU"/>
        </w:rPr>
        <w:fldChar w:fldCharType="begin">
          <w:fldData xml:space="preserve">PEVuZE5vdGU+PENpdGU+PEF1dGhvcj5Nb3JlZWxzPC9BdXRob3I+PFllYXI+MjAyNDwvWWVhcj48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</w:fldData>
        </w:fldChar>
      </w:r>
      <w:r w:rsidRPr="001B64D1">
        <w:rPr>
          <w:rFonts w:ascii="Arial" w:eastAsia="Times New Roman" w:hAnsi="Arial"/>
          <w:color w:val="auto"/>
          <w:lang w:eastAsia="en-AU"/>
        </w:rPr>
        <w:instrText xml:space="preserve"> ADDIN EN.CITE.DATA </w:instrText>
      </w:r>
      <w:r w:rsidRPr="001B64D1">
        <w:rPr>
          <w:rFonts w:ascii="Arial" w:eastAsia="Times New Roman" w:hAnsi="Arial"/>
          <w:color w:val="auto"/>
          <w:lang w:eastAsia="en-AU"/>
        </w:rPr>
      </w:r>
      <w:r w:rsidRPr="001B64D1">
        <w:rPr>
          <w:rFonts w:ascii="Arial" w:eastAsia="Times New Roman" w:hAnsi="Arial"/>
          <w:color w:val="auto"/>
          <w:lang w:eastAsia="en-AU"/>
        </w:rPr>
        <w:fldChar w:fldCharType="end"/>
      </w:r>
      <w:r w:rsidRPr="001B64D1">
        <w:rPr>
          <w:rFonts w:ascii="Arial" w:eastAsia="Times New Roman" w:hAnsi="Arial"/>
          <w:color w:val="auto"/>
          <w:lang w:eastAsia="en-AU"/>
        </w:rPr>
      </w:r>
      <w:r w:rsidRPr="001B64D1">
        <w:rPr>
          <w:rFonts w:ascii="Arial" w:eastAsia="Times New Roman" w:hAnsi="Arial"/>
          <w:color w:val="auto"/>
          <w:lang w:eastAsia="en-AU"/>
        </w:rPr>
        <w:fldChar w:fldCharType="separate"/>
      </w:r>
      <w:r w:rsidRPr="001B64D1">
        <w:rPr>
          <w:rFonts w:ascii="Arial" w:eastAsia="Times New Roman" w:hAnsi="Arial"/>
          <w:noProof/>
          <w:color w:val="auto"/>
          <w:vertAlign w:val="superscript"/>
          <w:lang w:eastAsia="en-AU"/>
        </w:rPr>
        <w:t>36</w:t>
      </w:r>
      <w:r w:rsidRPr="001B64D1">
        <w:rPr>
          <w:rFonts w:ascii="Arial" w:eastAsia="Times New Roman" w:hAnsi="Arial"/>
          <w:color w:val="auto"/>
          <w:lang w:eastAsia="en-AU"/>
        </w:rPr>
        <w:fldChar w:fldCharType="end"/>
      </w:r>
      <w:r w:rsidRPr="001B64D1">
        <w:rPr>
          <w:rFonts w:ascii="Arial" w:eastAsia="Times New Roman" w:hAnsi="Arial"/>
          <w:color w:val="auto"/>
          <w:lang w:eastAsia="en-AU"/>
        </w:rPr>
        <w:t xml:space="preserve"> and limiting the combined use of antimicrobial and PPI medicines may reduce the risk of CDI in the community. Other strategies, such as appropriate testing of stool specimens for </w:t>
      </w:r>
      <w:r w:rsidRPr="001B64D1">
        <w:rPr>
          <w:rFonts w:ascii="Arial" w:eastAsia="Times New Roman" w:hAnsi="Arial"/>
          <w:i/>
          <w:iCs/>
          <w:color w:val="auto"/>
          <w:lang w:eastAsia="en-AU"/>
        </w:rPr>
        <w:t>C. difficile</w:t>
      </w:r>
      <w:r w:rsidRPr="001B64D1">
        <w:rPr>
          <w:rFonts w:ascii="Arial" w:eastAsia="Times New Roman" w:hAnsi="Arial"/>
          <w:color w:val="auto"/>
          <w:lang w:eastAsia="en-AU"/>
        </w:rPr>
        <w:t xml:space="preserve"> for patients with diarrhoea of unknown aetiology, may assist with early detection, prevent further transmission of infection and support appropriate treatment of CDI in the community.</w:t>
      </w:r>
      <w:r w:rsidRPr="001B64D1">
        <w:rPr>
          <w:rFonts w:ascii="Arial" w:eastAsia="Times New Roman" w:hAnsi="Arial"/>
          <w:color w:val="auto"/>
          <w:lang w:eastAsia="en-AU"/>
        </w:rPr>
        <w:fldChar w:fldCharType="begin">
          <w:fldData xml:space="preserve">PEVuZE5vdGU+PENpdGU+PEF1dGhvcj5Tb25nPC9BdXRob3I+PFllYXI+MjAxOTwvWWVhcj48UmVj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</w:fldData>
        </w:fldChar>
      </w:r>
      <w:r w:rsidRPr="001B64D1">
        <w:rPr>
          <w:rFonts w:ascii="Arial" w:eastAsia="Times New Roman" w:hAnsi="Arial"/>
          <w:color w:val="auto"/>
          <w:lang w:eastAsia="en-AU"/>
        </w:rPr>
        <w:instrText xml:space="preserve"> ADDIN EN.CITE </w:instrText>
      </w:r>
      <w:r w:rsidRPr="001B64D1">
        <w:rPr>
          <w:rFonts w:ascii="Arial" w:eastAsia="Times New Roman" w:hAnsi="Arial"/>
          <w:color w:val="auto"/>
          <w:lang w:eastAsia="en-AU"/>
        </w:rPr>
        <w:fldChar w:fldCharType="begin">
          <w:fldData xml:space="preserve">PEVuZE5vdGU+PENpdGU+PEF1dGhvcj5Tb25nPC9BdXRob3I+PFllYXI+MjAxOTwvWWVhcj48UmVj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</w:fldData>
        </w:fldChar>
      </w:r>
      <w:r w:rsidRPr="001B64D1">
        <w:rPr>
          <w:rFonts w:ascii="Arial" w:eastAsia="Times New Roman" w:hAnsi="Arial"/>
          <w:color w:val="auto"/>
          <w:lang w:eastAsia="en-AU"/>
        </w:rPr>
        <w:instrText xml:space="preserve"> ADDIN EN.CITE.DATA </w:instrText>
      </w:r>
      <w:r w:rsidRPr="001B64D1">
        <w:rPr>
          <w:rFonts w:ascii="Arial" w:eastAsia="Times New Roman" w:hAnsi="Arial"/>
          <w:color w:val="auto"/>
          <w:lang w:eastAsia="en-AU"/>
        </w:rPr>
      </w:r>
      <w:r w:rsidRPr="001B64D1">
        <w:rPr>
          <w:rFonts w:ascii="Arial" w:eastAsia="Times New Roman" w:hAnsi="Arial"/>
          <w:color w:val="auto"/>
          <w:lang w:eastAsia="en-AU"/>
        </w:rPr>
        <w:fldChar w:fldCharType="end"/>
      </w:r>
      <w:r w:rsidRPr="001B64D1">
        <w:rPr>
          <w:rFonts w:ascii="Arial" w:eastAsia="Times New Roman" w:hAnsi="Arial"/>
          <w:color w:val="auto"/>
          <w:lang w:eastAsia="en-AU"/>
        </w:rPr>
      </w:r>
      <w:r w:rsidRPr="001B64D1">
        <w:rPr>
          <w:rFonts w:ascii="Arial" w:eastAsia="Times New Roman" w:hAnsi="Arial"/>
          <w:color w:val="auto"/>
          <w:lang w:eastAsia="en-AU"/>
        </w:rPr>
        <w:fldChar w:fldCharType="separate"/>
      </w:r>
      <w:r w:rsidRPr="001B64D1">
        <w:rPr>
          <w:rFonts w:ascii="Arial" w:eastAsia="Times New Roman" w:hAnsi="Arial"/>
          <w:noProof/>
          <w:color w:val="auto"/>
          <w:vertAlign w:val="superscript"/>
          <w:lang w:eastAsia="en-AU"/>
        </w:rPr>
        <w:t>28, 44</w:t>
      </w:r>
      <w:r w:rsidRPr="001B64D1">
        <w:rPr>
          <w:rFonts w:ascii="Arial" w:eastAsia="Times New Roman" w:hAnsi="Arial"/>
          <w:color w:val="auto"/>
          <w:lang w:eastAsia="en-AU"/>
        </w:rPr>
        <w:fldChar w:fldCharType="end"/>
      </w:r>
    </w:p>
    <w:p w14:paraId="3B9DBDAC" w14:textId="77777777" w:rsidR="001B64D1" w:rsidRPr="001B64D1" w:rsidRDefault="001B64D1" w:rsidP="001B64D1">
      <w:pPr>
        <w:spacing w:line="276" w:lineRule="auto"/>
        <w:rPr>
          <w:rFonts w:ascii="Arial" w:eastAsia="Times New Roman" w:hAnsi="Arial"/>
          <w:color w:val="auto"/>
          <w:lang w:eastAsia="en-AU"/>
        </w:rPr>
      </w:pPr>
      <w:r w:rsidRPr="001B64D1">
        <w:rPr>
          <w:rFonts w:ascii="Arial" w:eastAsia="Times New Roman" w:hAnsi="Arial"/>
          <w:color w:val="auto"/>
          <w:lang w:eastAsia="en-AU"/>
        </w:rPr>
        <w:t>Awareness of the potential for recurrent and severe disease is also important for primary healthcare providers. Recurrent disease occurs in approximately 15% to 30% of patients with CDI</w:t>
      </w:r>
      <w:r w:rsidRPr="001B64D1">
        <w:rPr>
          <w:rFonts w:ascii="Arial" w:eastAsia="Times New Roman" w:hAnsi="Arial"/>
          <w:color w:val="auto"/>
          <w:lang w:eastAsia="en-AU"/>
        </w:rPr>
        <w:fldChar w:fldCharType="begin"/>
      </w:r>
      <w:r w:rsidRPr="001B64D1">
        <w:rPr>
          <w:rFonts w:ascii="Arial" w:eastAsia="Times New Roman" w:hAnsi="Arial"/>
          <w:color w:val="auto"/>
          <w:lang w:eastAsia="en-AU"/>
        </w:rPr>
        <w:instrText xml:space="preserve"> ADDIN EN.CITE &lt;EndNote&gt;&lt;Cite&gt;&lt;Author&gt;Song&lt;/Author&gt;&lt;Year&gt;2019&lt;/Year&gt;&lt;RecNum&gt;192&lt;/RecNum&gt;&lt;DisplayText&gt;&lt;style face="superscript"&gt;44&lt;/style&gt;&lt;/DisplayText&gt;&lt;record&gt;&lt;rec-number&gt;192&lt;/rec-number&gt;&lt;foreign-keys&gt;&lt;key app="EN" db-id="2rp0a5drxdefz3e2e5dptftled295z2r2ve2" timestamp="1712897472"&gt;192&lt;/key&gt;&lt;/foreign-keys&gt;&lt;ref-type name="Journal Article"&gt;17&lt;/ref-type&gt;&lt;contributors&gt;&lt;authors&gt;&lt;author&gt;Song, J. H.&lt;/author&gt;&lt;author&gt;Kim, Y. S.&lt;/author&gt;&lt;/authors&gt;&lt;/contributors&gt;&lt;auth-address&gt;Department of Internal Medicine, Seoul Red Cross Hospital, Seoul, Korea.&amp;#xD;Department of Internal Medicine, Seoul Paik Hospital, Inje University College of Medicine, Seoul, Korea.&lt;/auth-address&gt;&lt;titles&gt;&lt;title&gt;Recurrent Clostridium difficile Infection: Risk factors, treatment, and prevention&lt;/title&gt;&lt;secondary-title&gt;Gut Liver&lt;/secondary-title&gt;&lt;/titles&gt;&lt;periodical&gt;&lt;full-title&gt;Gut Liver&lt;/full-title&gt;&lt;/periodical&gt;&lt;pages&gt;16-24&lt;/pages&gt;&lt;volume&gt;13&lt;/volume&gt;&lt;number&gt;1&lt;/number&gt;&lt;edition&gt;2018/11/08&lt;/edition&gt;&lt;keywords&gt;&lt;keyword&gt;Anti-Bacterial Agents/*therapeutic use&lt;/keyword&gt;&lt;keyword&gt;*Clostridioides difficile&lt;/keyword&gt;&lt;keyword&gt;Clostridium Infections/etiology/prevention &amp;amp; control/*therapy&lt;/keyword&gt;&lt;keyword&gt;Enterocolitis, Pseudomembranous/etiology/prevention &amp;amp; control/*therapy&lt;/keyword&gt;&lt;keyword&gt;Fecal Microbiota Transplantation/methods&lt;/keyword&gt;&lt;keyword&gt;Humans&lt;/keyword&gt;&lt;keyword&gt;Recurrence&lt;/keyword&gt;&lt;keyword&gt;Risk Factors&lt;/keyword&gt;&lt;keyword&gt;Secondary Prevention/*methods&lt;/keyword&gt;&lt;keyword&gt;Clostridium difficile&lt;/keyword&gt;&lt;keyword&gt;Prevention&lt;/keyword&gt;&lt;keyword&gt;Therapeutics&lt;/keyword&gt;&lt;keyword&gt;was reported.&lt;/keyword&gt;&lt;/keywords&gt;&lt;dates&gt;&lt;year&gt;2019&lt;/year&gt;&lt;pub-dates&gt;&lt;date&gt;Jan 15&lt;/date&gt;&lt;/pub-dates&gt;&lt;/dates&gt;&lt;isbn&gt;1976-2283 (Print)&amp;#xD;1976-2283&lt;/isbn&gt;&lt;accession-num&gt;30400734&lt;/accession-num&gt;&lt;urls&gt;&lt;/urls&gt;&lt;custom2&gt;PMC6346998&lt;/custom2&gt;&lt;electronic-resource-num&gt;10.5009/gnl18071&lt;/electronic-resource-num&gt;&lt;remote-database-provider&gt;NLM&lt;/remote-database-provider&gt;&lt;language&gt;eng&lt;/language&gt;&lt;/record&gt;&lt;/Cite&gt;&lt;/EndNote&gt;</w:instrText>
      </w:r>
      <w:r w:rsidRPr="001B64D1">
        <w:rPr>
          <w:rFonts w:ascii="Arial" w:eastAsia="Times New Roman" w:hAnsi="Arial"/>
          <w:color w:val="auto"/>
          <w:lang w:eastAsia="en-AU"/>
        </w:rPr>
        <w:fldChar w:fldCharType="separate"/>
      </w:r>
      <w:r w:rsidRPr="001B64D1">
        <w:rPr>
          <w:rFonts w:ascii="Arial" w:eastAsia="Times New Roman" w:hAnsi="Arial"/>
          <w:noProof/>
          <w:color w:val="auto"/>
          <w:vertAlign w:val="superscript"/>
          <w:lang w:eastAsia="en-AU"/>
        </w:rPr>
        <w:t>44</w:t>
      </w:r>
      <w:r w:rsidRPr="001B64D1">
        <w:rPr>
          <w:rFonts w:ascii="Arial" w:eastAsia="Times New Roman" w:hAnsi="Arial"/>
          <w:color w:val="auto"/>
          <w:lang w:eastAsia="en-AU"/>
        </w:rPr>
        <w:fldChar w:fldCharType="end"/>
      </w:r>
      <w:r w:rsidRPr="001B64D1">
        <w:rPr>
          <w:rFonts w:ascii="Arial" w:eastAsia="Times New Roman" w:hAnsi="Arial"/>
          <w:color w:val="auto"/>
          <w:lang w:eastAsia="en-AU"/>
        </w:rPr>
        <w:t xml:space="preserve"> and the risk of severe disease and mortality is similar for both hospital-onset and community-onset CDI.</w:t>
      </w:r>
      <w:r w:rsidRPr="001B64D1">
        <w:rPr>
          <w:rFonts w:ascii="Arial" w:eastAsia="Times New Roman" w:hAnsi="Arial"/>
          <w:color w:val="auto"/>
          <w:lang w:eastAsia="en-AU"/>
        </w:rPr>
        <w:fldChar w:fldCharType="begin">
          <w:fldData xml:space="preserve">PEVuZE5vdGU+PENpdGU+PEF1dGhvcj5DbG9oZXNzeTwvQXV0aG9yPjxZZWFyPjIwMTQ8L1llYXI+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</w:fldData>
        </w:fldChar>
      </w:r>
      <w:r w:rsidRPr="001B64D1">
        <w:rPr>
          <w:rFonts w:ascii="Arial" w:eastAsia="Times New Roman" w:hAnsi="Arial"/>
          <w:color w:val="auto"/>
          <w:lang w:eastAsia="en-AU"/>
        </w:rPr>
        <w:instrText xml:space="preserve"> ADDIN EN.CITE </w:instrText>
      </w:r>
      <w:r w:rsidRPr="001B64D1">
        <w:rPr>
          <w:rFonts w:ascii="Arial" w:eastAsia="Times New Roman" w:hAnsi="Arial"/>
          <w:color w:val="auto"/>
          <w:lang w:eastAsia="en-AU"/>
        </w:rPr>
        <w:fldChar w:fldCharType="begin">
          <w:fldData xml:space="preserve">PEVuZE5vdGU+PENpdGU+PEF1dGhvcj5DbG9oZXNzeTwvQXV0aG9yPjxZZWFyPjIwMTQ8L1llYXI+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</w:fldData>
        </w:fldChar>
      </w:r>
      <w:r w:rsidRPr="001B64D1">
        <w:rPr>
          <w:rFonts w:ascii="Arial" w:eastAsia="Times New Roman" w:hAnsi="Arial"/>
          <w:color w:val="auto"/>
          <w:lang w:eastAsia="en-AU"/>
        </w:rPr>
        <w:instrText xml:space="preserve"> ADDIN EN.CITE.DATA </w:instrText>
      </w:r>
      <w:r w:rsidRPr="001B64D1">
        <w:rPr>
          <w:rFonts w:ascii="Arial" w:eastAsia="Times New Roman" w:hAnsi="Arial"/>
          <w:color w:val="auto"/>
          <w:lang w:eastAsia="en-AU"/>
        </w:rPr>
      </w:r>
      <w:r w:rsidRPr="001B64D1">
        <w:rPr>
          <w:rFonts w:ascii="Arial" w:eastAsia="Times New Roman" w:hAnsi="Arial"/>
          <w:color w:val="auto"/>
          <w:lang w:eastAsia="en-AU"/>
        </w:rPr>
        <w:fldChar w:fldCharType="end"/>
      </w:r>
      <w:r w:rsidRPr="001B64D1">
        <w:rPr>
          <w:rFonts w:ascii="Arial" w:eastAsia="Times New Roman" w:hAnsi="Arial"/>
          <w:color w:val="auto"/>
          <w:lang w:eastAsia="en-AU"/>
        </w:rPr>
      </w:r>
      <w:r w:rsidRPr="001B64D1">
        <w:rPr>
          <w:rFonts w:ascii="Arial" w:eastAsia="Times New Roman" w:hAnsi="Arial"/>
          <w:color w:val="auto"/>
          <w:lang w:eastAsia="en-AU"/>
        </w:rPr>
        <w:fldChar w:fldCharType="separate"/>
      </w:r>
      <w:r w:rsidRPr="001B64D1">
        <w:rPr>
          <w:rFonts w:ascii="Arial" w:eastAsia="Times New Roman" w:hAnsi="Arial"/>
          <w:noProof/>
          <w:color w:val="auto"/>
          <w:vertAlign w:val="superscript"/>
          <w:lang w:eastAsia="en-AU"/>
        </w:rPr>
        <w:t>28</w:t>
      </w:r>
      <w:r w:rsidRPr="001B64D1">
        <w:rPr>
          <w:rFonts w:ascii="Arial" w:eastAsia="Times New Roman" w:hAnsi="Arial"/>
          <w:color w:val="auto"/>
          <w:lang w:eastAsia="en-AU"/>
        </w:rPr>
        <w:fldChar w:fldCharType="end"/>
      </w:r>
      <w:r w:rsidRPr="001B64D1">
        <w:rPr>
          <w:rFonts w:ascii="Arial" w:eastAsia="Times New Roman" w:hAnsi="Arial"/>
          <w:color w:val="auto"/>
          <w:lang w:eastAsia="en-AU"/>
        </w:rPr>
        <w:t xml:space="preserve"> Risk factors for recurrent CDI are the same as for the initial infection (advanced age, previous antimicrobial exposure, gastric acid suppression medication, underlying chronic disease and previous hospital admission).</w:t>
      </w:r>
      <w:r w:rsidRPr="001B64D1">
        <w:rPr>
          <w:rFonts w:ascii="Arial" w:eastAsia="Times New Roman" w:hAnsi="Arial"/>
          <w:color w:val="auto"/>
          <w:lang w:eastAsia="en-AU"/>
        </w:rPr>
        <w:fldChar w:fldCharType="begin">
          <w:fldData xml:space="preserve">PEVuZE5vdGU+PENpdGU+PEF1dGhvcj5Nb3JlZWxzPC9BdXRob3I+PFllYXI+MjAyNDwvWWVhcj48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</w:fldData>
        </w:fldChar>
      </w:r>
      <w:r w:rsidRPr="001B64D1">
        <w:rPr>
          <w:rFonts w:ascii="Arial" w:eastAsia="Times New Roman" w:hAnsi="Arial"/>
          <w:color w:val="auto"/>
          <w:lang w:eastAsia="en-AU"/>
        </w:rPr>
        <w:instrText xml:space="preserve"> ADDIN EN.CITE </w:instrText>
      </w:r>
      <w:r w:rsidRPr="001B64D1">
        <w:rPr>
          <w:rFonts w:ascii="Arial" w:eastAsia="Times New Roman" w:hAnsi="Arial"/>
          <w:color w:val="auto"/>
          <w:lang w:eastAsia="en-AU"/>
        </w:rPr>
        <w:fldChar w:fldCharType="begin">
          <w:fldData xml:space="preserve">PEVuZE5vdGU+PENpdGU+PEF1dGhvcj5Nb3JlZWxzPC9BdXRob3I+PFllYXI+MjAyNDwvWWVhcj48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</w:fldData>
        </w:fldChar>
      </w:r>
      <w:r w:rsidRPr="001B64D1">
        <w:rPr>
          <w:rFonts w:ascii="Arial" w:eastAsia="Times New Roman" w:hAnsi="Arial"/>
          <w:color w:val="auto"/>
          <w:lang w:eastAsia="en-AU"/>
        </w:rPr>
        <w:instrText xml:space="preserve"> ADDIN EN.CITE.DATA </w:instrText>
      </w:r>
      <w:r w:rsidRPr="001B64D1">
        <w:rPr>
          <w:rFonts w:ascii="Arial" w:eastAsia="Times New Roman" w:hAnsi="Arial"/>
          <w:color w:val="auto"/>
          <w:lang w:eastAsia="en-AU"/>
        </w:rPr>
      </w:r>
      <w:r w:rsidRPr="001B64D1">
        <w:rPr>
          <w:rFonts w:ascii="Arial" w:eastAsia="Times New Roman" w:hAnsi="Arial"/>
          <w:color w:val="auto"/>
          <w:lang w:eastAsia="en-AU"/>
        </w:rPr>
        <w:fldChar w:fldCharType="end"/>
      </w:r>
      <w:r w:rsidRPr="001B64D1">
        <w:rPr>
          <w:rFonts w:ascii="Arial" w:eastAsia="Times New Roman" w:hAnsi="Arial"/>
          <w:color w:val="auto"/>
          <w:lang w:eastAsia="en-AU"/>
        </w:rPr>
      </w:r>
      <w:r w:rsidRPr="001B64D1">
        <w:rPr>
          <w:rFonts w:ascii="Arial" w:eastAsia="Times New Roman" w:hAnsi="Arial"/>
          <w:color w:val="auto"/>
          <w:lang w:eastAsia="en-AU"/>
        </w:rPr>
        <w:fldChar w:fldCharType="separate"/>
      </w:r>
      <w:r w:rsidRPr="001B64D1">
        <w:rPr>
          <w:rFonts w:ascii="Arial" w:eastAsia="Times New Roman" w:hAnsi="Arial"/>
          <w:noProof/>
          <w:color w:val="auto"/>
          <w:vertAlign w:val="superscript"/>
          <w:lang w:eastAsia="en-AU"/>
        </w:rPr>
        <w:t>36</w:t>
      </w:r>
      <w:r w:rsidRPr="001B64D1">
        <w:rPr>
          <w:rFonts w:ascii="Arial" w:eastAsia="Times New Roman" w:hAnsi="Arial"/>
          <w:color w:val="auto"/>
          <w:lang w:eastAsia="en-AU"/>
        </w:rPr>
        <w:fldChar w:fldCharType="end"/>
      </w:r>
      <w:r w:rsidRPr="001B64D1" w:rsidDel="00E44922">
        <w:rPr>
          <w:rFonts w:ascii="Arial" w:eastAsia="Times New Roman" w:hAnsi="Arial"/>
          <w:color w:val="auto"/>
          <w:highlight w:val="green"/>
          <w:lang w:eastAsia="en-AU"/>
        </w:rPr>
        <w:t xml:space="preserve"> </w:t>
      </w:r>
    </w:p>
    <w:p w14:paraId="2D824B46" w14:textId="77777777" w:rsidR="001B64D1" w:rsidRPr="001B64D1" w:rsidRDefault="001B64D1" w:rsidP="001B64D1">
      <w:pPr>
        <w:pStyle w:val="Heading2"/>
        <w:rPr>
          <w:lang w:eastAsia="en-AU"/>
        </w:rPr>
      </w:pPr>
      <w:bookmarkStart w:id="38" w:name="_Toc203723844"/>
      <w:bookmarkStart w:id="39" w:name="_Toc205909371"/>
      <w:r w:rsidRPr="001B64D1">
        <w:rPr>
          <w:lang w:eastAsia="en-AU"/>
        </w:rPr>
        <w:t>What can be done to reduce the risk of CDI in Australia?</w:t>
      </w:r>
      <w:bookmarkEnd w:id="38"/>
      <w:bookmarkEnd w:id="39"/>
    </w:p>
    <w:p w14:paraId="7A8E8375" w14:textId="77777777" w:rsidR="001B64D1" w:rsidRPr="001B64D1" w:rsidRDefault="001B64D1" w:rsidP="001B64D1">
      <w:pPr>
        <w:widowControl w:val="0"/>
        <w:autoSpaceDE w:val="0"/>
        <w:autoSpaceDN w:val="0"/>
        <w:spacing w:before="61" w:after="0" w:line="276" w:lineRule="auto"/>
        <w:ind w:right="-1"/>
        <w:rPr>
          <w:rFonts w:ascii="Arial" w:eastAsia="Arial" w:hAnsi="Arial" w:cs="Arial"/>
          <w:color w:val="auto"/>
          <w:lang w:val="en-US"/>
        </w:rPr>
      </w:pPr>
      <w:r w:rsidRPr="001B64D1">
        <w:rPr>
          <w:rFonts w:ascii="Arial" w:eastAsia="Arial" w:hAnsi="Arial" w:cs="Arial"/>
          <w:color w:val="auto"/>
          <w:lang w:val="en-US"/>
        </w:rPr>
        <w:t>The following strategies should be considered for acute and primary care settings to reduce the risk of CDI for all patient groups:</w:t>
      </w:r>
    </w:p>
    <w:p w14:paraId="48562733" w14:textId="77777777" w:rsidR="001B64D1" w:rsidRPr="001B64D1" w:rsidRDefault="001B64D1" w:rsidP="00D603E6">
      <w:pPr>
        <w:numPr>
          <w:ilvl w:val="0"/>
          <w:numId w:val="7"/>
        </w:numPr>
        <w:spacing w:before="240" w:after="240" w:line="276" w:lineRule="auto"/>
        <w:ind w:right="-284"/>
        <w:contextualSpacing/>
        <w:rPr>
          <w:rFonts w:ascii="Arial" w:eastAsia="Times New Roman" w:hAnsi="Arial"/>
          <w:bCs/>
          <w:color w:val="auto"/>
          <w:lang w:eastAsia="en-AU"/>
        </w:rPr>
      </w:pPr>
      <w:r w:rsidRPr="001B64D1">
        <w:rPr>
          <w:rFonts w:ascii="Arial" w:eastAsia="Times New Roman" w:hAnsi="Arial"/>
          <w:bCs/>
          <w:color w:val="auto"/>
          <w:lang w:eastAsia="en-AU"/>
        </w:rPr>
        <w:t>promote awareness of CDI prevention strategies</w:t>
      </w:r>
    </w:p>
    <w:p w14:paraId="2C2AA792" w14:textId="25A9FD46" w:rsidR="001B64D1" w:rsidRPr="001B64D1" w:rsidRDefault="001B64D1" w:rsidP="00D603E6">
      <w:pPr>
        <w:numPr>
          <w:ilvl w:val="0"/>
          <w:numId w:val="9"/>
        </w:numPr>
        <w:spacing w:before="240" w:after="240" w:line="276" w:lineRule="auto"/>
        <w:ind w:right="-284"/>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prescribe </w:t>
      </w:r>
      <w:hyperlink r:id="rId28" w:history="1">
        <w:r w:rsidRPr="001B64D1">
          <w:rPr>
            <w:rFonts w:ascii="Arial" w:eastAsia="Times New Roman" w:hAnsi="Arial"/>
            <w:bCs/>
            <w:color w:val="002060"/>
            <w:u w:val="single"/>
            <w:lang w:eastAsia="en-AU"/>
          </w:rPr>
          <w:t>antimicrobial</w:t>
        </w:r>
      </w:hyperlink>
      <w:r w:rsidRPr="001B64D1">
        <w:rPr>
          <w:rFonts w:ascii="Arial" w:eastAsia="Times New Roman" w:hAnsi="Arial"/>
          <w:bCs/>
          <w:color w:val="002060"/>
          <w:lang w:eastAsia="en-AU"/>
        </w:rPr>
        <w:t xml:space="preserve"> </w:t>
      </w:r>
      <w:r w:rsidRPr="001B64D1">
        <w:rPr>
          <w:rFonts w:ascii="Arial" w:eastAsia="Times New Roman" w:hAnsi="Arial"/>
          <w:bCs/>
          <w:color w:val="auto"/>
          <w:lang w:eastAsia="en-AU"/>
        </w:rPr>
        <w:t>and</w:t>
      </w:r>
      <w:hyperlink r:id="rId29" w:history="1">
        <w:r w:rsidRPr="001B64D1">
          <w:rPr>
            <w:rFonts w:ascii="Arial" w:eastAsia="Times New Roman" w:hAnsi="Arial"/>
            <w:bCs/>
            <w:color w:val="002060"/>
            <w:u w:val="single"/>
            <w:lang w:eastAsia="en-AU"/>
          </w:rPr>
          <w:t xml:space="preserve"> PPI</w:t>
        </w:r>
      </w:hyperlink>
      <w:r w:rsidRPr="001B64D1">
        <w:rPr>
          <w:rFonts w:ascii="Arial" w:eastAsia="Times New Roman" w:hAnsi="Arial"/>
          <w:bCs/>
          <w:color w:val="002060"/>
          <w:lang w:eastAsia="en-AU"/>
        </w:rPr>
        <w:t xml:space="preserve"> </w:t>
      </w:r>
      <w:r w:rsidRPr="001B64D1">
        <w:rPr>
          <w:rFonts w:ascii="Arial" w:eastAsia="Times New Roman" w:hAnsi="Arial"/>
          <w:bCs/>
          <w:color w:val="auto"/>
          <w:lang w:eastAsia="en-AU"/>
        </w:rPr>
        <w:t xml:space="preserve">medicines appropriately </w:t>
      </w:r>
    </w:p>
    <w:p w14:paraId="7B6B4FEC" w14:textId="77777777" w:rsidR="001B64D1" w:rsidRPr="001B64D1" w:rsidRDefault="001B64D1" w:rsidP="00D603E6">
      <w:pPr>
        <w:numPr>
          <w:ilvl w:val="0"/>
          <w:numId w:val="8"/>
        </w:numPr>
        <w:spacing w:before="240" w:after="240" w:line="276" w:lineRule="auto"/>
        <w:ind w:right="-284"/>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implement </w:t>
      </w:r>
      <w:hyperlink r:id="rId30" w:history="1">
        <w:r w:rsidRPr="001B64D1">
          <w:rPr>
            <w:rFonts w:ascii="Arial" w:eastAsia="Times New Roman" w:hAnsi="Arial"/>
            <w:bCs/>
            <w:color w:val="002060"/>
            <w:u w:val="single"/>
            <w:lang w:eastAsia="en-AU"/>
          </w:rPr>
          <w:t>AMS programs</w:t>
        </w:r>
      </w:hyperlink>
      <w:r w:rsidRPr="001B64D1">
        <w:rPr>
          <w:rFonts w:ascii="Arial" w:eastAsia="Times New Roman" w:hAnsi="Arial"/>
          <w:bCs/>
          <w:color w:val="auto"/>
          <w:lang w:eastAsia="en-AU"/>
        </w:rPr>
        <w:t xml:space="preserve"> in hospital</w:t>
      </w:r>
      <w:r w:rsidRPr="001B64D1">
        <w:rPr>
          <w:rFonts w:ascii="Arial" w:eastAsia="Times New Roman" w:hAnsi="Arial"/>
          <w:bCs/>
          <w:color w:val="002060"/>
          <w:lang w:eastAsia="en-AU"/>
        </w:rPr>
        <w:t xml:space="preserve">, </w:t>
      </w:r>
      <w:hyperlink r:id="rId31" w:history="1">
        <w:r w:rsidRPr="001B64D1">
          <w:rPr>
            <w:rFonts w:ascii="Arial" w:eastAsia="Times New Roman" w:hAnsi="Arial"/>
            <w:bCs/>
            <w:color w:val="002060"/>
            <w:u w:val="single"/>
            <w:lang w:eastAsia="en-AU"/>
          </w:rPr>
          <w:t>community and primary healthcare</w:t>
        </w:r>
      </w:hyperlink>
      <w:r w:rsidRPr="001B64D1">
        <w:rPr>
          <w:rFonts w:ascii="Arial" w:eastAsia="Times New Roman" w:hAnsi="Arial"/>
          <w:bCs/>
          <w:color w:val="auto"/>
          <w:lang w:eastAsia="en-AU"/>
        </w:rPr>
        <w:t xml:space="preserve">, and </w:t>
      </w:r>
      <w:hyperlink r:id="rId32" w:history="1">
        <w:r w:rsidRPr="001B64D1">
          <w:rPr>
            <w:rFonts w:ascii="Arial" w:eastAsia="Times New Roman" w:hAnsi="Arial"/>
            <w:bCs/>
            <w:color w:val="002060"/>
            <w:u w:val="single"/>
            <w:lang w:eastAsia="en-AU"/>
          </w:rPr>
          <w:t>aged care</w:t>
        </w:r>
      </w:hyperlink>
      <w:r w:rsidRPr="001B64D1">
        <w:rPr>
          <w:rFonts w:ascii="Arial" w:eastAsia="Times New Roman" w:hAnsi="Arial"/>
          <w:bCs/>
          <w:color w:val="auto"/>
          <w:lang w:eastAsia="en-AU"/>
        </w:rPr>
        <w:t xml:space="preserve"> settings</w:t>
      </w:r>
    </w:p>
    <w:p w14:paraId="5EE6004D" w14:textId="77777777" w:rsidR="001B64D1" w:rsidRPr="001B64D1" w:rsidRDefault="001B64D1" w:rsidP="00D603E6">
      <w:pPr>
        <w:numPr>
          <w:ilvl w:val="0"/>
          <w:numId w:val="7"/>
        </w:numPr>
        <w:spacing w:before="240" w:after="240" w:line="276" w:lineRule="auto"/>
        <w:ind w:right="-284"/>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promote early </w:t>
      </w:r>
      <w:hyperlink r:id="rId33" w:history="1">
        <w:r w:rsidRPr="001B64D1">
          <w:rPr>
            <w:rFonts w:ascii="Arial" w:eastAsia="Times New Roman" w:hAnsi="Arial"/>
            <w:bCs/>
            <w:color w:val="002060"/>
            <w:u w:val="single"/>
            <w:lang w:eastAsia="en-AU"/>
          </w:rPr>
          <w:t>detection and management</w:t>
        </w:r>
      </w:hyperlink>
      <w:r w:rsidRPr="001B64D1">
        <w:rPr>
          <w:rFonts w:ascii="Arial" w:eastAsia="Times New Roman" w:hAnsi="Arial"/>
          <w:bCs/>
          <w:color w:val="002060"/>
          <w:lang w:eastAsia="en-AU"/>
        </w:rPr>
        <w:t xml:space="preserve"> </w:t>
      </w:r>
      <w:r w:rsidRPr="001B64D1">
        <w:rPr>
          <w:rFonts w:ascii="Arial" w:eastAsia="Times New Roman" w:hAnsi="Arial"/>
          <w:bCs/>
          <w:color w:val="auto"/>
          <w:lang w:eastAsia="en-AU"/>
        </w:rPr>
        <w:t>of CDI</w:t>
      </w:r>
    </w:p>
    <w:p w14:paraId="38A675A5" w14:textId="77777777" w:rsidR="001B64D1" w:rsidRPr="001B64D1" w:rsidRDefault="001B64D1" w:rsidP="00D603E6">
      <w:pPr>
        <w:numPr>
          <w:ilvl w:val="0"/>
          <w:numId w:val="8"/>
        </w:numPr>
        <w:spacing w:before="240" w:after="240" w:line="276" w:lineRule="auto"/>
        <w:ind w:right="-284"/>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know the high-risk patient groups for CDI </w:t>
      </w:r>
    </w:p>
    <w:p w14:paraId="64FC1574" w14:textId="77777777" w:rsidR="001B64D1" w:rsidRPr="001B64D1" w:rsidRDefault="001B64D1" w:rsidP="00D603E6">
      <w:pPr>
        <w:numPr>
          <w:ilvl w:val="0"/>
          <w:numId w:val="8"/>
        </w:numPr>
        <w:spacing w:before="240" w:after="240" w:line="276" w:lineRule="auto"/>
        <w:ind w:right="-284"/>
        <w:contextualSpacing/>
        <w:rPr>
          <w:rFonts w:ascii="Arial" w:eastAsia="Times New Roman" w:hAnsi="Arial"/>
          <w:bCs/>
          <w:color w:val="auto"/>
          <w:lang w:eastAsia="en-AU"/>
        </w:rPr>
      </w:pPr>
      <w:r w:rsidRPr="001B64D1">
        <w:rPr>
          <w:rFonts w:ascii="Arial" w:eastAsia="Times New Roman" w:hAnsi="Arial"/>
          <w:bCs/>
          <w:color w:val="auto"/>
          <w:lang w:eastAsia="en-AU"/>
        </w:rPr>
        <w:lastRenderedPageBreak/>
        <w:t>know the signs and symptoms of CDI</w:t>
      </w:r>
    </w:p>
    <w:p w14:paraId="35CFED2A" w14:textId="77777777" w:rsidR="001B64D1" w:rsidRPr="001B64D1" w:rsidRDefault="001B64D1" w:rsidP="00D603E6">
      <w:pPr>
        <w:numPr>
          <w:ilvl w:val="0"/>
          <w:numId w:val="8"/>
        </w:numPr>
        <w:spacing w:before="240" w:after="240" w:line="276" w:lineRule="auto"/>
        <w:ind w:right="-284"/>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timely and </w:t>
      </w:r>
      <w:hyperlink r:id="rId34" w:history="1">
        <w:r w:rsidRPr="001B64D1">
          <w:rPr>
            <w:rFonts w:ascii="Arial" w:eastAsia="Times New Roman" w:hAnsi="Arial"/>
            <w:bCs/>
            <w:color w:val="002060"/>
            <w:u w:val="single"/>
            <w:lang w:eastAsia="en-AU"/>
          </w:rPr>
          <w:t>appropriate testing</w:t>
        </w:r>
      </w:hyperlink>
      <w:r w:rsidRPr="001B64D1">
        <w:rPr>
          <w:rFonts w:ascii="Arial" w:eastAsia="Times New Roman" w:hAnsi="Arial"/>
          <w:bCs/>
          <w:color w:val="auto"/>
          <w:lang w:eastAsia="en-AU"/>
        </w:rPr>
        <w:t xml:space="preserve"> of diarrhoea of unknown aetiology</w:t>
      </w:r>
    </w:p>
    <w:p w14:paraId="04CA3EED" w14:textId="77777777" w:rsidR="001B64D1" w:rsidRPr="001B64D1" w:rsidRDefault="001B64D1" w:rsidP="00D603E6">
      <w:pPr>
        <w:numPr>
          <w:ilvl w:val="0"/>
          <w:numId w:val="8"/>
        </w:numPr>
        <w:spacing w:before="240" w:after="240" w:line="276" w:lineRule="auto"/>
        <w:ind w:right="-284"/>
        <w:contextualSpacing/>
        <w:rPr>
          <w:rFonts w:ascii="Arial" w:eastAsia="Times New Roman" w:hAnsi="Arial"/>
          <w:bCs/>
          <w:color w:val="auto"/>
          <w:lang w:eastAsia="en-AU"/>
        </w:rPr>
      </w:pPr>
      <w:r w:rsidRPr="001B64D1">
        <w:rPr>
          <w:rFonts w:ascii="Arial" w:eastAsia="Times New Roman" w:hAnsi="Arial"/>
          <w:bCs/>
          <w:color w:val="auto"/>
          <w:lang w:eastAsia="en-AU"/>
        </w:rPr>
        <w:t>treat appropriately, including not prescribing antimicrobials for asymptomatic persons</w:t>
      </w:r>
    </w:p>
    <w:p w14:paraId="5DDCB554" w14:textId="77777777" w:rsidR="001B64D1" w:rsidRPr="001B64D1" w:rsidRDefault="001B64D1" w:rsidP="00D603E6">
      <w:pPr>
        <w:numPr>
          <w:ilvl w:val="0"/>
          <w:numId w:val="10"/>
        </w:numPr>
        <w:spacing w:before="240" w:after="240" w:line="276" w:lineRule="auto"/>
        <w:ind w:right="-142"/>
        <w:contextualSpacing/>
        <w:rPr>
          <w:rFonts w:ascii="Arial" w:eastAsia="Times New Roman" w:hAnsi="Arial"/>
          <w:bCs/>
          <w:color w:val="auto"/>
          <w:lang w:eastAsia="en-AU"/>
        </w:rPr>
      </w:pPr>
      <w:r w:rsidRPr="001B64D1">
        <w:rPr>
          <w:rFonts w:ascii="Arial" w:eastAsia="Times New Roman" w:hAnsi="Arial"/>
          <w:bCs/>
          <w:color w:val="auto"/>
          <w:lang w:eastAsia="en-AU"/>
        </w:rPr>
        <w:t>promote infection prevention and control interventions for patients that develop diarrhoea, such as:</w:t>
      </w:r>
    </w:p>
    <w:p w14:paraId="7725504C" w14:textId="77777777" w:rsidR="001B64D1" w:rsidRPr="001B64D1" w:rsidRDefault="001B64D1" w:rsidP="001B64D1">
      <w:pPr>
        <w:spacing w:before="240" w:after="240" w:line="276" w:lineRule="auto"/>
        <w:ind w:left="720" w:right="-142" w:hanging="11"/>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     </w:t>
      </w:r>
      <w:hyperlink r:id="rId35" w:history="1">
        <w:r w:rsidRPr="001B64D1">
          <w:rPr>
            <w:rFonts w:ascii="Arial" w:eastAsia="Times New Roman" w:hAnsi="Arial"/>
            <w:bCs/>
            <w:color w:val="002060"/>
            <w:u w:val="single"/>
            <w:lang w:eastAsia="en-AU"/>
          </w:rPr>
          <w:t>appropriate patient placement</w:t>
        </w:r>
      </w:hyperlink>
      <w:r w:rsidRPr="001B64D1">
        <w:rPr>
          <w:rFonts w:ascii="Arial" w:eastAsia="Times New Roman" w:hAnsi="Arial"/>
          <w:bCs/>
          <w:color w:val="002060"/>
          <w:lang w:eastAsia="en-AU"/>
        </w:rPr>
        <w:t xml:space="preserve"> </w:t>
      </w:r>
    </w:p>
    <w:p w14:paraId="6D866C51" w14:textId="77777777" w:rsidR="001B64D1" w:rsidRPr="001B64D1" w:rsidRDefault="001B64D1" w:rsidP="001B64D1">
      <w:pPr>
        <w:spacing w:before="240" w:after="240" w:line="276" w:lineRule="auto"/>
        <w:ind w:left="720" w:right="-142" w:hanging="11"/>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     </w:t>
      </w:r>
      <w:hyperlink r:id="rId36" w:history="1">
        <w:r w:rsidRPr="001B64D1">
          <w:rPr>
            <w:rFonts w:ascii="Arial" w:eastAsia="Times New Roman" w:hAnsi="Arial"/>
            <w:bCs/>
            <w:color w:val="002060"/>
            <w:u w:val="single"/>
            <w:lang w:eastAsia="en-AU"/>
          </w:rPr>
          <w:t>standard and contact precautions</w:t>
        </w:r>
      </w:hyperlink>
    </w:p>
    <w:p w14:paraId="58F6513E" w14:textId="77777777" w:rsidR="001B64D1" w:rsidRPr="001B64D1" w:rsidRDefault="001B64D1" w:rsidP="001B64D1">
      <w:pPr>
        <w:spacing w:before="240" w:after="240" w:line="276" w:lineRule="auto"/>
        <w:ind w:left="720" w:right="-142" w:hanging="11"/>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     </w:t>
      </w:r>
      <w:hyperlink r:id="rId37" w:history="1">
        <w:r w:rsidRPr="001B64D1">
          <w:rPr>
            <w:rFonts w:ascii="Arial" w:eastAsia="Times New Roman" w:hAnsi="Arial"/>
            <w:bCs/>
            <w:color w:val="002060"/>
            <w:u w:val="single"/>
            <w:lang w:eastAsia="en-AU"/>
          </w:rPr>
          <w:t>hand hygiene</w:t>
        </w:r>
      </w:hyperlink>
      <w:r w:rsidRPr="001B64D1">
        <w:rPr>
          <w:rFonts w:ascii="Arial" w:eastAsia="Times New Roman" w:hAnsi="Arial"/>
          <w:bCs/>
          <w:color w:val="002060"/>
          <w:lang w:eastAsia="en-AU"/>
        </w:rPr>
        <w:t xml:space="preserve"> </w:t>
      </w:r>
    </w:p>
    <w:p w14:paraId="7C978E10" w14:textId="77777777" w:rsidR="001B64D1" w:rsidRPr="001B64D1" w:rsidRDefault="001B64D1" w:rsidP="001B64D1">
      <w:pPr>
        <w:spacing w:before="240" w:after="240" w:line="276" w:lineRule="auto"/>
        <w:ind w:left="1134" w:right="-142" w:hanging="425"/>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     </w:t>
      </w:r>
      <w:hyperlink r:id="rId38" w:history="1">
        <w:r w:rsidRPr="001B64D1">
          <w:rPr>
            <w:rFonts w:ascii="Arial" w:eastAsia="Times New Roman" w:hAnsi="Arial"/>
            <w:bCs/>
            <w:color w:val="002060"/>
            <w:u w:val="single"/>
            <w:lang w:eastAsia="en-AU"/>
          </w:rPr>
          <w:t>environmental cleaning</w:t>
        </w:r>
      </w:hyperlink>
      <w:r w:rsidRPr="001B64D1">
        <w:rPr>
          <w:rFonts w:ascii="Arial" w:eastAsia="Times New Roman" w:hAnsi="Arial"/>
          <w:bCs/>
          <w:color w:val="auto"/>
          <w:lang w:eastAsia="en-AU"/>
        </w:rPr>
        <w:t xml:space="preserve"> to prevent environmental contamination and infection transmission </w:t>
      </w:r>
    </w:p>
    <w:p w14:paraId="5D31F425" w14:textId="77777777" w:rsidR="001B64D1" w:rsidRPr="001B64D1" w:rsidRDefault="001B64D1" w:rsidP="001B64D1">
      <w:pPr>
        <w:spacing w:before="240" w:after="240" w:line="276" w:lineRule="auto"/>
        <w:ind w:left="1134" w:right="-142" w:hanging="425"/>
        <w:contextualSpacing/>
        <w:rPr>
          <w:rFonts w:ascii="Arial" w:eastAsia="Times New Roman" w:hAnsi="Arial"/>
          <w:bCs/>
          <w:color w:val="auto"/>
          <w:lang w:eastAsia="en-AU"/>
        </w:rPr>
      </w:pPr>
      <w:r w:rsidRPr="001B64D1">
        <w:rPr>
          <w:rFonts w:ascii="Arial" w:eastAsia="Times New Roman" w:hAnsi="Arial"/>
          <w:bCs/>
          <w:color w:val="auto"/>
          <w:lang w:eastAsia="en-AU"/>
        </w:rPr>
        <w:t xml:space="preserve">-     </w:t>
      </w:r>
      <w:hyperlink r:id="rId39" w:history="1">
        <w:r w:rsidRPr="001B64D1">
          <w:rPr>
            <w:rFonts w:ascii="Arial" w:eastAsia="Times New Roman" w:hAnsi="Arial"/>
            <w:bCs/>
            <w:color w:val="002060"/>
            <w:u w:val="single"/>
            <w:lang w:eastAsia="en-AU"/>
          </w:rPr>
          <w:t>CDI surveillance</w:t>
        </w:r>
      </w:hyperlink>
      <w:r w:rsidRPr="001B64D1">
        <w:rPr>
          <w:rFonts w:ascii="Arial" w:eastAsia="Times New Roman" w:hAnsi="Arial"/>
          <w:bCs/>
          <w:color w:val="002060"/>
          <w:lang w:eastAsia="en-AU"/>
        </w:rPr>
        <w:t xml:space="preserve"> </w:t>
      </w:r>
      <w:r w:rsidRPr="001B64D1">
        <w:rPr>
          <w:rFonts w:ascii="Arial" w:eastAsia="Times New Roman" w:hAnsi="Arial"/>
          <w:bCs/>
          <w:color w:val="auto"/>
          <w:lang w:eastAsia="en-AU"/>
        </w:rPr>
        <w:t xml:space="preserve">to help understand the local burden of CDI                            </w:t>
      </w:r>
    </w:p>
    <w:p w14:paraId="607024DA" w14:textId="77777777" w:rsidR="001B64D1" w:rsidRPr="001B64D1" w:rsidRDefault="001B64D1" w:rsidP="00D603E6">
      <w:pPr>
        <w:numPr>
          <w:ilvl w:val="0"/>
          <w:numId w:val="8"/>
        </w:numPr>
        <w:spacing w:before="240" w:after="240" w:line="276" w:lineRule="auto"/>
        <w:ind w:right="-284"/>
        <w:contextualSpacing/>
        <w:rPr>
          <w:rFonts w:ascii="Arial" w:eastAsia="Times New Roman" w:hAnsi="Arial"/>
          <w:bCs/>
          <w:color w:val="auto"/>
          <w:lang w:eastAsia="en-AU"/>
        </w:rPr>
      </w:pPr>
      <w:hyperlink r:id="rId40" w:history="1">
        <w:r w:rsidRPr="001B64D1">
          <w:rPr>
            <w:rFonts w:ascii="Arial" w:eastAsia="Times New Roman" w:hAnsi="Arial"/>
            <w:bCs/>
            <w:color w:val="002060"/>
            <w:u w:val="single"/>
            <w:lang w:eastAsia="en-AU"/>
          </w:rPr>
          <w:t>educate patients and their carers about CDI</w:t>
        </w:r>
      </w:hyperlink>
      <w:r w:rsidRPr="001B64D1">
        <w:rPr>
          <w:rFonts w:ascii="Arial" w:eastAsia="Times New Roman" w:hAnsi="Arial"/>
          <w:b/>
          <w:color w:val="auto"/>
          <w:lang w:eastAsia="en-AU"/>
        </w:rPr>
        <w:t>.</w:t>
      </w:r>
    </w:p>
    <w:p w14:paraId="4942B13C" w14:textId="77777777" w:rsidR="001B64D1" w:rsidRPr="001B64D1" w:rsidRDefault="001B64D1" w:rsidP="001B64D1">
      <w:pPr>
        <w:spacing w:before="240" w:after="240" w:line="240" w:lineRule="auto"/>
        <w:contextualSpacing/>
        <w:rPr>
          <w:rFonts w:ascii="Arial" w:eastAsia="Times New Roman" w:hAnsi="Arial"/>
          <w:b/>
          <w:color w:val="auto"/>
          <w:lang w:eastAsia="en-AU"/>
        </w:rPr>
      </w:pPr>
      <w:bookmarkStart w:id="40" w:name="_Glossary"/>
      <w:bookmarkEnd w:id="40"/>
    </w:p>
    <w:p w14:paraId="3B3FE288" w14:textId="77777777" w:rsidR="00505471" w:rsidRDefault="00505471">
      <w:pPr>
        <w:rPr>
          <w:rFonts w:asciiTheme="majorHAnsi" w:hAnsiTheme="majorHAnsi"/>
          <w:sz w:val="52"/>
          <w:szCs w:val="44"/>
        </w:rPr>
      </w:pPr>
      <w:bookmarkStart w:id="41" w:name="_Toc203723845"/>
      <w:r>
        <w:br w:type="page"/>
      </w:r>
    </w:p>
    <w:p w14:paraId="238B1290" w14:textId="389EB2D8" w:rsidR="00B96D16" w:rsidRDefault="00B96D16" w:rsidP="00B96D16">
      <w:pPr>
        <w:pStyle w:val="Heading1"/>
      </w:pPr>
      <w:bookmarkStart w:id="42" w:name="_Toc205909372"/>
      <w:r w:rsidRPr="0082198E">
        <w:lastRenderedPageBreak/>
        <w:t>Glossary</w:t>
      </w:r>
      <w:bookmarkEnd w:id="41"/>
      <w:bookmarkEnd w:id="42"/>
    </w:p>
    <w:tbl>
      <w:tblPr>
        <w:tblStyle w:val="SQHTable"/>
        <w:tblW w:w="9634" w:type="dxa"/>
        <w:tblLook w:val="04A0" w:firstRow="1" w:lastRow="0" w:firstColumn="1" w:lastColumn="0" w:noHBand="0" w:noVBand="1"/>
      </w:tblPr>
      <w:tblGrid>
        <w:gridCol w:w="4430"/>
        <w:gridCol w:w="5204"/>
      </w:tblGrid>
      <w:tr w:rsidR="00B96D16" w:rsidRPr="00D816BB" w14:paraId="0E7CCF33" w14:textId="77777777" w:rsidTr="002F6516">
        <w:trPr>
          <w:cnfStyle w:val="100000000000" w:firstRow="1" w:lastRow="0" w:firstColumn="0" w:lastColumn="0" w:oddVBand="0" w:evenVBand="0" w:oddHBand="0" w:evenHBand="0" w:firstRowFirstColumn="0" w:firstRowLastColumn="0" w:lastRowFirstColumn="0" w:lastRowLastColumn="0"/>
          <w:trHeight w:val="567"/>
        </w:trPr>
        <w:tc>
          <w:tcPr>
            <w:tcW w:w="0" w:type="dxa"/>
            <w:vAlign w:val="center"/>
          </w:tcPr>
          <w:p w14:paraId="2953D40A" w14:textId="77777777" w:rsidR="00B96D16" w:rsidRPr="00D816BB" w:rsidRDefault="00B96D16" w:rsidP="00505471">
            <w:pPr>
              <w:spacing w:line="276" w:lineRule="auto"/>
              <w:rPr>
                <w:rFonts w:cstheme="minorHAnsi"/>
                <w:sz w:val="22"/>
              </w:rPr>
            </w:pPr>
            <w:r w:rsidRPr="00D816BB">
              <w:rPr>
                <w:rFonts w:cstheme="minorHAnsi"/>
                <w:sz w:val="22"/>
              </w:rPr>
              <w:t xml:space="preserve">Terminology </w:t>
            </w:r>
          </w:p>
        </w:tc>
        <w:tc>
          <w:tcPr>
            <w:tcW w:w="0" w:type="dxa"/>
            <w:vAlign w:val="center"/>
          </w:tcPr>
          <w:p w14:paraId="0FFA402E" w14:textId="77777777" w:rsidR="00B96D16" w:rsidRPr="00D816BB" w:rsidRDefault="00B96D16" w:rsidP="00505471">
            <w:pPr>
              <w:spacing w:line="276" w:lineRule="auto"/>
              <w:rPr>
                <w:rFonts w:cstheme="minorHAnsi"/>
                <w:sz w:val="22"/>
              </w:rPr>
            </w:pPr>
            <w:r w:rsidRPr="00D816BB">
              <w:rPr>
                <w:rFonts w:cstheme="minorHAnsi"/>
                <w:sz w:val="22"/>
              </w:rPr>
              <w:t>Definition</w:t>
            </w:r>
          </w:p>
        </w:tc>
      </w:tr>
      <w:tr w:rsidR="00B96D16" w:rsidRPr="00D816BB" w14:paraId="0B4D5C36" w14:textId="77777777" w:rsidTr="002F6516">
        <w:tc>
          <w:tcPr>
            <w:tcW w:w="0" w:type="dxa"/>
            <w:vAlign w:val="center"/>
          </w:tcPr>
          <w:p w14:paraId="65258AA0" w14:textId="77777777" w:rsidR="00B96D16" w:rsidRPr="00D816BB" w:rsidRDefault="00B96D16" w:rsidP="00505471">
            <w:pPr>
              <w:spacing w:line="276" w:lineRule="auto"/>
              <w:rPr>
                <w:rFonts w:cstheme="minorHAnsi"/>
                <w:sz w:val="22"/>
              </w:rPr>
            </w:pPr>
            <w:r w:rsidRPr="00D816BB">
              <w:rPr>
                <w:rFonts w:cstheme="minorHAnsi"/>
                <w:b/>
                <w:bCs/>
                <w:sz w:val="22"/>
              </w:rPr>
              <w:t>A04.7 Enterocolitis due to Clostridium difficile</w:t>
            </w:r>
          </w:p>
        </w:tc>
        <w:tc>
          <w:tcPr>
            <w:tcW w:w="0" w:type="dxa"/>
            <w:vAlign w:val="center"/>
          </w:tcPr>
          <w:p w14:paraId="6C4417AE" w14:textId="77777777" w:rsidR="00B96D16" w:rsidRPr="00D816BB" w:rsidRDefault="00B96D16" w:rsidP="00505471">
            <w:pPr>
              <w:spacing w:line="276" w:lineRule="auto"/>
              <w:ind w:right="82"/>
              <w:rPr>
                <w:rFonts w:cstheme="minorHAnsi"/>
                <w:sz w:val="22"/>
              </w:rPr>
            </w:pPr>
            <w:r w:rsidRPr="00D816BB">
              <w:rPr>
                <w:rFonts w:cstheme="minorHAnsi"/>
                <w:spacing w:val="-1"/>
                <w:sz w:val="22"/>
              </w:rPr>
              <w:t xml:space="preserve">The code </w:t>
            </w:r>
            <w:r w:rsidRPr="00D816BB">
              <w:rPr>
                <w:rFonts w:cstheme="minorHAnsi"/>
                <w:sz w:val="22"/>
              </w:rPr>
              <w:t>used</w:t>
            </w:r>
            <w:r w:rsidRPr="00D816BB">
              <w:rPr>
                <w:rFonts w:cstheme="minorHAnsi"/>
                <w:spacing w:val="-2"/>
                <w:sz w:val="22"/>
              </w:rPr>
              <w:t xml:space="preserve"> </w:t>
            </w:r>
            <w:r w:rsidRPr="00D816BB">
              <w:rPr>
                <w:rFonts w:cstheme="minorHAnsi"/>
                <w:sz w:val="22"/>
              </w:rPr>
              <w:t>to</w:t>
            </w:r>
            <w:r w:rsidRPr="00D816BB">
              <w:rPr>
                <w:rFonts w:cstheme="minorHAnsi"/>
                <w:spacing w:val="-4"/>
                <w:sz w:val="22"/>
              </w:rPr>
              <w:t xml:space="preserve"> </w:t>
            </w:r>
            <w:r w:rsidRPr="00D816BB">
              <w:rPr>
                <w:rFonts w:cstheme="minorHAnsi"/>
                <w:sz w:val="22"/>
              </w:rPr>
              <w:t>identify</w:t>
            </w:r>
            <w:r w:rsidRPr="00D816BB">
              <w:rPr>
                <w:rFonts w:cstheme="minorHAnsi"/>
                <w:spacing w:val="-4"/>
                <w:sz w:val="22"/>
              </w:rPr>
              <w:t xml:space="preserve"> </w:t>
            </w:r>
            <w:r w:rsidRPr="00D816BB">
              <w:rPr>
                <w:rFonts w:cstheme="minorHAnsi"/>
                <w:sz w:val="22"/>
              </w:rPr>
              <w:t>separations</w:t>
            </w:r>
            <w:r w:rsidRPr="00D816BB">
              <w:rPr>
                <w:rFonts w:cstheme="minorHAnsi"/>
                <w:spacing w:val="-4"/>
                <w:sz w:val="22"/>
              </w:rPr>
              <w:t xml:space="preserve"> </w:t>
            </w:r>
            <w:r w:rsidRPr="00D816BB">
              <w:rPr>
                <w:rFonts w:cstheme="minorHAnsi"/>
                <w:sz w:val="22"/>
              </w:rPr>
              <w:t>affected</w:t>
            </w:r>
            <w:r w:rsidRPr="00D816BB">
              <w:rPr>
                <w:rFonts w:cstheme="minorHAnsi"/>
                <w:spacing w:val="-4"/>
                <w:sz w:val="22"/>
              </w:rPr>
              <w:t xml:space="preserve"> </w:t>
            </w:r>
            <w:r w:rsidRPr="00D816BB">
              <w:rPr>
                <w:rFonts w:cstheme="minorHAnsi"/>
                <w:sz w:val="22"/>
              </w:rPr>
              <w:t>by</w:t>
            </w:r>
            <w:r w:rsidRPr="00D816BB">
              <w:rPr>
                <w:rFonts w:cstheme="minorHAnsi"/>
                <w:spacing w:val="-4"/>
                <w:sz w:val="22"/>
              </w:rPr>
              <w:t xml:space="preserve"> </w:t>
            </w:r>
            <w:r w:rsidRPr="00D816BB">
              <w:rPr>
                <w:rFonts w:cstheme="minorHAnsi"/>
                <w:sz w:val="22"/>
              </w:rPr>
              <w:t>CDI.</w:t>
            </w:r>
            <w:r w:rsidRPr="00D816BB">
              <w:rPr>
                <w:rFonts w:cstheme="minorHAnsi"/>
              </w:rPr>
              <w:fldChar w:fldCharType="begin"/>
            </w:r>
            <w:r>
              <w:rPr>
                <w:rFonts w:cstheme="minorHAnsi"/>
              </w:rPr>
              <w:instrText xml:space="preserve"> ADDIN EN.CITE &lt;EndNote&gt;&lt;Cite&gt;&lt;Author&gt;Australian Institute of Health and Welfare&lt;/Author&gt;&lt;Year&gt;2023&lt;/Year&gt;&lt;RecNum&gt;10&lt;/RecNum&gt;&lt;DisplayText&gt;&lt;style face="superscript"&gt;11&lt;/style&gt;&lt;/DisplayText&gt;&lt;record&gt;&lt;rec-number&gt;10&lt;/rec-number&gt;&lt;foreign-keys&gt;&lt;key app="EN" db-id="2rp0a5drxdefz3e2e5dptftled295z2r2ve2" timestamp="1586237390"&gt;10&lt;/key&gt;&lt;/foreign-keys&gt;&lt;ref-type name="Electronic Article"&gt;43&lt;/ref-type&gt;&lt;contributors&gt;&lt;authors&gt;&lt;author&gt;Australian Institute of Health and Welfare,&lt;/author&gt;&lt;/authors&gt;&lt;/contributors&gt;&lt;titles&gt;&lt;title&gt;Principal diagnosis data cubes. &lt;/title&gt;&lt;/titles&gt;&lt;dates&gt;&lt;year&gt;2023&lt;/year&gt;&lt;pub-dates&gt;&lt;date&gt;12 April 2024&lt;/date&gt;&lt;/pub-dates&gt;&lt;/dates&gt;&lt;urls&gt;&lt;related-urls&gt;&lt;url&gt;http://www.aihw.gov.au/hospitals-data/principal-diagnosis-data-cubes/&lt;/url&gt;&lt;/related-urls&gt;&lt;/urls&gt;&lt;access-date&gt;[cited 5 August 2019]&lt;/access-date&gt;&lt;/record&gt;&lt;/Cite&gt;&lt;/EndNote&gt;</w:instrText>
            </w:r>
            <w:r w:rsidRPr="00D816BB">
              <w:rPr>
                <w:rFonts w:cstheme="minorHAnsi"/>
              </w:rPr>
              <w:fldChar w:fldCharType="separate"/>
            </w:r>
            <w:r w:rsidRPr="00E11545">
              <w:rPr>
                <w:rFonts w:cstheme="minorHAnsi"/>
                <w:noProof/>
                <w:vertAlign w:val="superscript"/>
              </w:rPr>
              <w:t>11</w:t>
            </w:r>
            <w:r w:rsidRPr="00D816BB">
              <w:rPr>
                <w:rFonts w:cstheme="minorHAnsi"/>
              </w:rPr>
              <w:fldChar w:fldCharType="end"/>
            </w:r>
          </w:p>
        </w:tc>
      </w:tr>
      <w:tr w:rsidR="00B96D16" w:rsidRPr="00D816BB" w14:paraId="64E11265" w14:textId="77777777" w:rsidTr="002F6516">
        <w:trPr>
          <w:cnfStyle w:val="000000010000" w:firstRow="0" w:lastRow="0" w:firstColumn="0" w:lastColumn="0" w:oddVBand="0" w:evenVBand="0" w:oddHBand="0" w:evenHBand="1" w:firstRowFirstColumn="0" w:firstRowLastColumn="0" w:lastRowFirstColumn="0" w:lastRowLastColumn="0"/>
        </w:trPr>
        <w:tc>
          <w:tcPr>
            <w:tcW w:w="0" w:type="dxa"/>
            <w:shd w:val="clear" w:color="auto" w:fill="FFF1E7"/>
            <w:vAlign w:val="center"/>
          </w:tcPr>
          <w:p w14:paraId="31D7299B" w14:textId="77777777" w:rsidR="00B96D16" w:rsidRPr="00D816BB" w:rsidRDefault="00B96D16" w:rsidP="00505471">
            <w:pPr>
              <w:spacing w:line="276" w:lineRule="auto"/>
              <w:rPr>
                <w:rFonts w:cstheme="minorHAnsi"/>
                <w:sz w:val="22"/>
              </w:rPr>
            </w:pPr>
            <w:r w:rsidRPr="00D816BB">
              <w:rPr>
                <w:rFonts w:cstheme="minorHAnsi"/>
                <w:b/>
                <w:bCs/>
                <w:sz w:val="22"/>
              </w:rPr>
              <w:t>Admitted Patient Care National Minimum Data Set</w:t>
            </w:r>
            <w:r w:rsidRPr="00D816BB">
              <w:rPr>
                <w:rFonts w:cstheme="minorHAnsi"/>
                <w:sz w:val="22"/>
              </w:rPr>
              <w:t xml:space="preserve"> </w:t>
            </w:r>
            <w:r w:rsidRPr="00D816BB">
              <w:rPr>
                <w:rFonts w:cstheme="minorHAnsi"/>
                <w:b/>
                <w:bCs/>
                <w:sz w:val="22"/>
              </w:rPr>
              <w:t>(APC NMDS)</w:t>
            </w:r>
          </w:p>
        </w:tc>
        <w:tc>
          <w:tcPr>
            <w:tcW w:w="0" w:type="dxa"/>
            <w:shd w:val="clear" w:color="auto" w:fill="FFF1E7"/>
            <w:vAlign w:val="center"/>
          </w:tcPr>
          <w:p w14:paraId="2663FCAC" w14:textId="77777777" w:rsidR="00B96D16" w:rsidRPr="00D816BB" w:rsidRDefault="00B96D16" w:rsidP="00505471">
            <w:pPr>
              <w:spacing w:line="276" w:lineRule="auto"/>
              <w:ind w:right="82"/>
              <w:rPr>
                <w:rFonts w:cstheme="minorHAnsi"/>
                <w:sz w:val="22"/>
              </w:rPr>
            </w:pPr>
            <w:r w:rsidRPr="00D816BB">
              <w:rPr>
                <w:rFonts w:cstheme="minorHAnsi"/>
                <w:sz w:val="22"/>
              </w:rPr>
              <w:t>The data set that provides information on patient diagnoses and the care provided during a patient’s admission to an Australian public hospital.</w:t>
            </w:r>
            <w:r w:rsidRPr="00D816BB">
              <w:rPr>
                <w:rFonts w:cstheme="minorHAnsi"/>
              </w:rPr>
              <w:fldChar w:fldCharType="begin"/>
            </w:r>
            <w:r>
              <w:rPr>
                <w:rFonts w:cstheme="minorHAnsi"/>
              </w:rPr>
              <w:instrText xml:space="preserve"> ADDIN EN.CITE &lt;EndNote&gt;&lt;Cite&gt;&lt;Author&gt;Australian Institute of Health and Welfare&lt;/Author&gt;&lt;Year&gt;2015&lt;/Year&gt;&lt;RecNum&gt;22&lt;/RecNum&gt;&lt;DisplayText&gt;&lt;style face="superscript"&gt;15&lt;/style&gt;&lt;/DisplayText&gt;&lt;record&gt;&lt;rec-number&gt;22&lt;/rec-number&gt;&lt;foreign-keys&gt;&lt;key app="EN" db-id="2rp0a5drxdefz3e2e5dptftled295z2r2ve2" timestamp="1597038637"&gt;22&lt;/key&gt;&lt;/foreign-keys&gt;&lt;ref-type name="Report"&gt;27&lt;/ref-type&gt;&lt;contributors&gt;&lt;authors&gt;&lt;author&gt;Australian Institute of Health and Welfare,&lt;/author&gt;&lt;/authors&gt;&lt;/contributors&gt;&lt;titles&gt;&lt;title&gt;National Health Data Dictionary; version 16.2.&lt;/title&gt;&lt;/titles&gt;&lt;volume&gt;Version 16.2 Cat. No.HWI 131.&lt;/volume&gt;&lt;dates&gt;&lt;year&gt;2015&lt;/year&gt;&lt;/dates&gt;&lt;pub-location&gt;Canberra&lt;/pub-location&gt;&lt;publisher&gt;AIHW&lt;/publisher&gt;&lt;urls&gt;&lt;related-urls&gt;&lt;url&gt;https://www.aihw.gov.au/reports/technical-report/national-health-data-dictionary-version-16-2/summary&lt;/url&gt;&lt;/related-urls&gt;&lt;/urls&gt;&lt;access-date&gt;12 April 2024&lt;/access-date&gt;&lt;/record&gt;&lt;/Cite&gt;&lt;/EndNote&gt;</w:instrText>
            </w:r>
            <w:r w:rsidRPr="00D816BB">
              <w:rPr>
                <w:rFonts w:cstheme="minorHAnsi"/>
              </w:rPr>
              <w:fldChar w:fldCharType="separate"/>
            </w:r>
            <w:r w:rsidRPr="00E11545">
              <w:rPr>
                <w:rFonts w:cstheme="minorHAnsi"/>
                <w:noProof/>
                <w:vertAlign w:val="superscript"/>
              </w:rPr>
              <w:t>15</w:t>
            </w:r>
            <w:r w:rsidRPr="00D816BB">
              <w:rPr>
                <w:rFonts w:cstheme="minorHAnsi"/>
              </w:rPr>
              <w:fldChar w:fldCharType="end"/>
            </w:r>
          </w:p>
        </w:tc>
      </w:tr>
      <w:tr w:rsidR="00B96D16" w:rsidRPr="00D816BB" w14:paraId="30788B11" w14:textId="77777777" w:rsidTr="002F6516">
        <w:tc>
          <w:tcPr>
            <w:tcW w:w="0" w:type="dxa"/>
            <w:vAlign w:val="center"/>
          </w:tcPr>
          <w:p w14:paraId="298BAA93" w14:textId="77777777" w:rsidR="00B96D16" w:rsidRPr="00D816BB" w:rsidRDefault="00B96D16" w:rsidP="00505471">
            <w:pPr>
              <w:spacing w:line="276" w:lineRule="auto"/>
              <w:rPr>
                <w:rFonts w:cstheme="minorHAnsi"/>
                <w:sz w:val="22"/>
              </w:rPr>
            </w:pPr>
            <w:r w:rsidRPr="00D816BB">
              <w:rPr>
                <w:rFonts w:cstheme="minorHAnsi"/>
                <w:b/>
                <w:bCs/>
                <w:sz w:val="22"/>
              </w:rPr>
              <w:t>Community-associated Clostridioides difficile infection (</w:t>
            </w:r>
            <w:r>
              <w:rPr>
                <w:rFonts w:cstheme="minorHAnsi"/>
                <w:b/>
                <w:bCs/>
                <w:sz w:val="22"/>
              </w:rPr>
              <w:t>CA-</w:t>
            </w:r>
            <w:r w:rsidRPr="00D816BB">
              <w:rPr>
                <w:rFonts w:cstheme="minorHAnsi"/>
                <w:b/>
                <w:bCs/>
                <w:sz w:val="22"/>
              </w:rPr>
              <w:t>CDI)</w:t>
            </w:r>
          </w:p>
        </w:tc>
        <w:tc>
          <w:tcPr>
            <w:tcW w:w="0" w:type="dxa"/>
            <w:vAlign w:val="center"/>
          </w:tcPr>
          <w:p w14:paraId="6E1B82DF" w14:textId="77777777" w:rsidR="00B96D16" w:rsidRPr="00D816BB" w:rsidRDefault="00B96D16" w:rsidP="00505471">
            <w:pPr>
              <w:spacing w:line="276" w:lineRule="auto"/>
              <w:ind w:right="82"/>
              <w:rPr>
                <w:rFonts w:cstheme="minorHAnsi"/>
                <w:b/>
                <w:bCs/>
                <w:i/>
                <w:iCs/>
                <w:sz w:val="22"/>
              </w:rPr>
            </w:pPr>
            <w:r w:rsidRPr="00D816BB">
              <w:rPr>
                <w:rFonts w:cstheme="minorHAnsi"/>
                <w:sz w:val="22"/>
              </w:rPr>
              <w:t>The CDI case exposure classification used to describe CDI symptom onset (or date and time of stool specimen collection if a laboratory system is used) in the community or within 48 hours of admission to a healthcare facility, provided that symptom onset was more than 12 weeks after the last discharge from a healthcare facility.</w:t>
            </w:r>
            <w:r>
              <w:rPr>
                <w:rFonts w:cstheme="minorHAnsi"/>
              </w:rPr>
              <w:fldChar w:fldCharType="begin"/>
            </w:r>
            <w:r>
              <w:rPr>
                <w:rFonts w:cstheme="minorHAnsi"/>
              </w:rPr>
              <w:instrText xml:space="preserve"> ADDIN EN.CITE &lt;EndNote&gt;&lt;Cite&gt;&lt;Author&gt;Australian Commission on Safety and Quality in Health Care&lt;/Author&gt;&lt;Year&gt;2020&lt;/Year&gt;&lt;RecNum&gt;34&lt;/RecNum&gt;&lt;DisplayText&gt;&lt;style face="superscript"&gt;18&lt;/style&gt;&lt;/DisplayText&gt;&lt;record&gt;&lt;rec-number&gt;34&lt;/rec-number&gt;&lt;foreign-keys&gt;&lt;key app="EN" db-id="2rp0a5drxdefz3e2e5dptftled295z2r2ve2" timestamp="1599706141"&gt;34&lt;/key&gt;&lt;/foreign-keys&gt;&lt;ref-type name="Report"&gt;27&lt;/ref-type&gt;&lt;contributors&gt;&lt;authors&gt;&lt;author&gt;Australian Commission on Safety and Quality in Health Care,&lt;/author&gt;&lt;/authors&gt;&lt;tertiary-authors&gt;&lt;author&gt;ACSQHC&lt;/author&gt;&lt;/tertiary-authors&gt;&lt;/contributors&gt;&lt;titles&gt;&lt;title&gt;Implementation guide for the Surveillance of Clostridioides difficile Infection. &lt;/title&gt;&lt;/titles&gt;&lt;dates&gt;&lt;year&gt;2020&lt;/year&gt;&lt;/dates&gt;&lt;pub-location&gt;Sydney&lt;/pub-location&gt;&lt;urls&gt;&lt;/urls&gt;&lt;/record&gt;&lt;/Cite&gt;&lt;/EndNote&gt;</w:instrText>
            </w:r>
            <w:r>
              <w:rPr>
                <w:rFonts w:cstheme="minorHAnsi"/>
              </w:rPr>
              <w:fldChar w:fldCharType="separate"/>
            </w:r>
            <w:r w:rsidRPr="00E11545">
              <w:rPr>
                <w:rFonts w:cstheme="minorHAnsi"/>
                <w:noProof/>
                <w:vertAlign w:val="superscript"/>
              </w:rPr>
              <w:t>18</w:t>
            </w:r>
            <w:r>
              <w:rPr>
                <w:rFonts w:cstheme="minorHAnsi"/>
              </w:rPr>
              <w:fldChar w:fldCharType="end"/>
            </w:r>
            <w:r w:rsidRPr="00D816BB" w:rsidDel="00A05273">
              <w:rPr>
                <w:rFonts w:cstheme="minorHAnsi"/>
              </w:rPr>
              <w:t xml:space="preserve"> </w:t>
            </w:r>
          </w:p>
        </w:tc>
      </w:tr>
      <w:tr w:rsidR="00BE6224" w:rsidRPr="00D816BB" w14:paraId="7DD1E1CA" w14:textId="77777777" w:rsidTr="002F6516">
        <w:trPr>
          <w:cnfStyle w:val="000000010000" w:firstRow="0" w:lastRow="0" w:firstColumn="0" w:lastColumn="0" w:oddVBand="0" w:evenVBand="0" w:oddHBand="0" w:evenHBand="1" w:firstRowFirstColumn="0" w:firstRowLastColumn="0" w:lastRowFirstColumn="0" w:lastRowLastColumn="0"/>
        </w:trPr>
        <w:tc>
          <w:tcPr>
            <w:tcW w:w="0" w:type="dxa"/>
            <w:shd w:val="clear" w:color="auto" w:fill="FFF1E7"/>
            <w:vAlign w:val="center"/>
          </w:tcPr>
          <w:p w14:paraId="4A5575DA" w14:textId="7FEFECC1" w:rsidR="00BE6224" w:rsidRPr="00D816BB" w:rsidRDefault="00757E55" w:rsidP="00505471">
            <w:pPr>
              <w:spacing w:line="276" w:lineRule="auto"/>
              <w:rPr>
                <w:rFonts w:cstheme="minorHAnsi"/>
                <w:b/>
                <w:bCs/>
              </w:rPr>
            </w:pPr>
            <w:r w:rsidRPr="00D816BB">
              <w:rPr>
                <w:rFonts w:cstheme="minorHAnsi"/>
                <w:b/>
                <w:bCs/>
                <w:sz w:val="22"/>
              </w:rPr>
              <w:t>Condition Onset Flags (COFs)</w:t>
            </w:r>
          </w:p>
        </w:tc>
        <w:tc>
          <w:tcPr>
            <w:tcW w:w="0" w:type="dxa"/>
            <w:shd w:val="clear" w:color="auto" w:fill="FFF1E7"/>
            <w:vAlign w:val="center"/>
          </w:tcPr>
          <w:p w14:paraId="4B971372" w14:textId="3256A9C7" w:rsidR="00BE6224" w:rsidRPr="00D816BB" w:rsidRDefault="00BE6224" w:rsidP="00505471">
            <w:pPr>
              <w:spacing w:line="276" w:lineRule="auto"/>
              <w:ind w:right="82"/>
              <w:rPr>
                <w:rFonts w:cstheme="minorHAnsi"/>
              </w:rPr>
            </w:pPr>
            <w:r w:rsidRPr="00757E55">
              <w:rPr>
                <w:rFonts w:cstheme="minorHAnsi"/>
                <w:sz w:val="22"/>
                <w:szCs w:val="24"/>
              </w:rPr>
              <w:t>A</w:t>
            </w:r>
            <w:r w:rsidR="006E4469" w:rsidRPr="00757E55">
              <w:rPr>
                <w:rFonts w:cstheme="minorHAnsi"/>
                <w:sz w:val="22"/>
                <w:szCs w:val="24"/>
              </w:rPr>
              <w:t xml:space="preserve"> qualifier for each coded diagnosis to indicate the onset of the condition relative to </w:t>
            </w:r>
            <w:r w:rsidR="00757E55" w:rsidRPr="00757E55">
              <w:rPr>
                <w:rFonts w:cstheme="minorHAnsi"/>
                <w:sz w:val="22"/>
                <w:szCs w:val="24"/>
              </w:rPr>
              <w:t>the beginning of the episode of care, as represented by a code.</w:t>
            </w:r>
            <w:r w:rsidR="00757E55" w:rsidRPr="00757E55">
              <w:rPr>
                <w:rFonts w:cstheme="minorHAnsi"/>
                <w:sz w:val="22"/>
                <w:szCs w:val="24"/>
                <w:vertAlign w:val="superscript"/>
              </w:rPr>
              <w:t>25</w:t>
            </w:r>
          </w:p>
        </w:tc>
      </w:tr>
      <w:tr w:rsidR="00B96D16" w:rsidRPr="00D816BB" w14:paraId="4B33D46A" w14:textId="77777777" w:rsidTr="002F6516">
        <w:tc>
          <w:tcPr>
            <w:tcW w:w="0" w:type="dxa"/>
            <w:vAlign w:val="center"/>
          </w:tcPr>
          <w:p w14:paraId="24FF564E" w14:textId="77777777" w:rsidR="00B96D16" w:rsidRPr="00D816BB" w:rsidRDefault="00B96D16" w:rsidP="00505471">
            <w:pPr>
              <w:spacing w:line="276" w:lineRule="auto"/>
              <w:rPr>
                <w:rFonts w:cstheme="minorHAnsi"/>
                <w:sz w:val="22"/>
              </w:rPr>
            </w:pPr>
            <w:r w:rsidRPr="00D816BB">
              <w:rPr>
                <w:rFonts w:cstheme="minorHAnsi"/>
                <w:b/>
                <w:bCs/>
                <w:sz w:val="22"/>
              </w:rPr>
              <w:t>Clostridioides difficile</w:t>
            </w:r>
          </w:p>
        </w:tc>
        <w:tc>
          <w:tcPr>
            <w:tcW w:w="0" w:type="dxa"/>
            <w:vAlign w:val="center"/>
          </w:tcPr>
          <w:p w14:paraId="729EA52E" w14:textId="77777777" w:rsidR="00B96D16" w:rsidRPr="00D816BB" w:rsidRDefault="00B96D16" w:rsidP="00505471">
            <w:pPr>
              <w:spacing w:line="276" w:lineRule="auto"/>
              <w:ind w:right="28"/>
              <w:rPr>
                <w:rFonts w:cstheme="minorHAnsi"/>
                <w:sz w:val="22"/>
                <w:vertAlign w:val="superscript"/>
              </w:rPr>
            </w:pPr>
            <w:r w:rsidRPr="00D816BB">
              <w:rPr>
                <w:rFonts w:cstheme="minorHAnsi"/>
                <w:sz w:val="22"/>
              </w:rPr>
              <w:t xml:space="preserve">Also known as </w:t>
            </w:r>
            <w:r w:rsidRPr="00D816BB">
              <w:rPr>
                <w:rFonts w:cstheme="minorHAnsi"/>
                <w:i/>
                <w:sz w:val="22"/>
              </w:rPr>
              <w:t xml:space="preserve">Clostridium difficile, </w:t>
            </w:r>
            <w:r w:rsidRPr="00D816BB">
              <w:rPr>
                <w:rFonts w:cstheme="minorHAnsi"/>
                <w:sz w:val="22"/>
              </w:rPr>
              <w:t>is a gram-positive, spore-forming bacterium</w:t>
            </w:r>
            <w:r w:rsidRPr="00D816BB">
              <w:rPr>
                <w:rFonts w:cstheme="minorHAnsi"/>
                <w:spacing w:val="-6"/>
                <w:sz w:val="22"/>
              </w:rPr>
              <w:t xml:space="preserve"> </w:t>
            </w:r>
            <w:r w:rsidRPr="00D816BB">
              <w:rPr>
                <w:rFonts w:cstheme="minorHAnsi"/>
                <w:sz w:val="22"/>
              </w:rPr>
              <w:t>that</w:t>
            </w:r>
            <w:r w:rsidRPr="00D816BB">
              <w:rPr>
                <w:rFonts w:cstheme="minorHAnsi"/>
                <w:spacing w:val="-3"/>
                <w:sz w:val="22"/>
              </w:rPr>
              <w:t xml:space="preserve"> </w:t>
            </w:r>
            <w:r w:rsidRPr="00D816BB">
              <w:rPr>
                <w:rFonts w:cstheme="minorHAnsi"/>
                <w:sz w:val="22"/>
              </w:rPr>
              <w:t>most</w:t>
            </w:r>
            <w:r w:rsidRPr="00D816BB">
              <w:rPr>
                <w:rFonts w:cstheme="minorHAnsi"/>
                <w:spacing w:val="-4"/>
                <w:sz w:val="22"/>
              </w:rPr>
              <w:t xml:space="preserve"> </w:t>
            </w:r>
            <w:r w:rsidRPr="00D816BB">
              <w:rPr>
                <w:rFonts w:cstheme="minorHAnsi"/>
                <w:sz w:val="22"/>
              </w:rPr>
              <w:t>often</w:t>
            </w:r>
            <w:r w:rsidRPr="00D816BB">
              <w:rPr>
                <w:rFonts w:cstheme="minorHAnsi"/>
                <w:spacing w:val="-3"/>
                <w:sz w:val="22"/>
              </w:rPr>
              <w:t xml:space="preserve"> </w:t>
            </w:r>
            <w:r w:rsidRPr="00D816BB">
              <w:rPr>
                <w:rFonts w:cstheme="minorHAnsi"/>
                <w:sz w:val="22"/>
              </w:rPr>
              <w:t>causes</w:t>
            </w:r>
            <w:r w:rsidRPr="00D816BB">
              <w:rPr>
                <w:rFonts w:cstheme="minorHAnsi"/>
                <w:spacing w:val="-4"/>
                <w:sz w:val="22"/>
              </w:rPr>
              <w:t xml:space="preserve"> </w:t>
            </w:r>
            <w:r w:rsidRPr="00D816BB">
              <w:rPr>
                <w:rFonts w:cstheme="minorHAnsi"/>
                <w:sz w:val="22"/>
              </w:rPr>
              <w:t>infection</w:t>
            </w:r>
            <w:r w:rsidRPr="00D816BB">
              <w:rPr>
                <w:rFonts w:cstheme="minorHAnsi"/>
                <w:spacing w:val="-5"/>
                <w:sz w:val="22"/>
              </w:rPr>
              <w:t xml:space="preserve"> </w:t>
            </w:r>
            <w:r w:rsidRPr="00D816BB">
              <w:rPr>
                <w:rFonts w:cstheme="minorHAnsi"/>
                <w:sz w:val="22"/>
              </w:rPr>
              <w:t>associated</w:t>
            </w:r>
            <w:r w:rsidRPr="00D816BB">
              <w:rPr>
                <w:rFonts w:cstheme="minorHAnsi"/>
                <w:spacing w:val="-3"/>
                <w:sz w:val="22"/>
              </w:rPr>
              <w:t xml:space="preserve"> </w:t>
            </w:r>
            <w:r w:rsidRPr="00D816BB">
              <w:rPr>
                <w:rFonts w:cstheme="minorHAnsi"/>
                <w:sz w:val="22"/>
              </w:rPr>
              <w:t>with</w:t>
            </w:r>
            <w:r w:rsidRPr="00D816BB">
              <w:rPr>
                <w:rFonts w:cstheme="minorHAnsi"/>
                <w:spacing w:val="-5"/>
                <w:sz w:val="22"/>
              </w:rPr>
              <w:t xml:space="preserve"> </w:t>
            </w:r>
            <w:r w:rsidRPr="00D816BB">
              <w:rPr>
                <w:rFonts w:cstheme="minorHAnsi"/>
                <w:sz w:val="22"/>
              </w:rPr>
              <w:t>excessive</w:t>
            </w:r>
            <w:r w:rsidRPr="00D816BB">
              <w:rPr>
                <w:rFonts w:cstheme="minorHAnsi"/>
                <w:spacing w:val="-5"/>
                <w:sz w:val="22"/>
              </w:rPr>
              <w:t xml:space="preserve"> </w:t>
            </w:r>
            <w:r w:rsidRPr="00D816BB">
              <w:rPr>
                <w:rFonts w:cstheme="minorHAnsi"/>
                <w:sz w:val="22"/>
              </w:rPr>
              <w:t>antimicrobial</w:t>
            </w:r>
            <w:r w:rsidRPr="00D816BB">
              <w:rPr>
                <w:rFonts w:cstheme="minorHAnsi"/>
                <w:spacing w:val="-3"/>
                <w:sz w:val="22"/>
              </w:rPr>
              <w:t xml:space="preserve"> </w:t>
            </w:r>
            <w:r w:rsidRPr="00D816BB">
              <w:rPr>
                <w:rFonts w:cstheme="minorHAnsi"/>
                <w:sz w:val="22"/>
              </w:rPr>
              <w:t>exposure.</w:t>
            </w:r>
            <w:r w:rsidRPr="00D816BB">
              <w:rPr>
                <w:rFonts w:cstheme="minorHAnsi"/>
              </w:rPr>
              <w:fldChar w:fldCharType="begin"/>
            </w:r>
            <w:r>
              <w:rPr>
                <w:rFonts w:cstheme="minorHAnsi"/>
              </w:rPr>
              <w:instrText xml:space="preserve"> ADDIN EN.CITE &lt;EndNote&gt;&lt;Cite&gt;&lt;Author&gt;Knight&lt;/Author&gt;&lt;Year&gt;2019&lt;/Year&gt;&lt;RecNum&gt;17&lt;/RecNum&gt;&lt;DisplayText&gt;&lt;style face="superscript"&gt;1&lt;/style&gt;&lt;/DisplayText&gt;&lt;record&gt;&lt;rec-number&gt;17&lt;/rec-number&gt;&lt;foreign-keys&gt;&lt;key app="EN" db-id="2rp0a5drxdefz3e2e5dptftled295z2r2ve2" timestamp="1587954730"&gt;17&lt;/key&gt;&lt;/foreign-keys&gt;&lt;ref-type name="Journal Article"&gt;17&lt;/ref-type&gt;&lt;contributors&gt;&lt;authors&gt;&lt;author&gt;Knight, D.R.&lt;/author&gt;&lt;author&gt;Riley, T.V.&lt;/author&gt;&lt;/authors&gt;&lt;/contributors&gt;&lt;titles&gt;&lt;title&gt;Genomic Delineation of Zoonotic Orgins of Clostridium difficile&lt;/title&gt;&lt;secondary-title&gt;Frontiers in Public Health&lt;/secondary-title&gt;&lt;/titles&gt;&lt;periodical&gt;&lt;full-title&gt;Frontiers in Public Health&lt;/full-title&gt;&lt;/periodical&gt;&lt;volume&gt;7&lt;/volume&gt;&lt;edition&gt;20 June 2019&lt;/edition&gt;&lt;dates&gt;&lt;year&gt;2019&lt;/year&gt;&lt;/dates&gt;&lt;urls&gt;&lt;/urls&gt;&lt;custom7&gt;164&lt;/custom7&gt;&lt;electronic-resource-num&gt;10.3380/fpubh.2019.00164&lt;/electronic-resource-num&gt;&lt;/record&gt;&lt;/Cite&gt;&lt;/EndNote&gt;</w:instrText>
            </w:r>
            <w:r w:rsidRPr="00D816BB">
              <w:rPr>
                <w:rFonts w:cstheme="minorHAnsi"/>
              </w:rPr>
              <w:fldChar w:fldCharType="separate"/>
            </w:r>
            <w:r w:rsidRPr="00E11545">
              <w:rPr>
                <w:rFonts w:cstheme="minorHAnsi"/>
                <w:noProof/>
                <w:vertAlign w:val="superscript"/>
              </w:rPr>
              <w:t>1</w:t>
            </w:r>
            <w:r w:rsidRPr="00D816BB">
              <w:rPr>
                <w:rFonts w:cstheme="minorHAnsi"/>
              </w:rPr>
              <w:fldChar w:fldCharType="end"/>
            </w:r>
            <w:r w:rsidRPr="00D816BB">
              <w:rPr>
                <w:rFonts w:cstheme="minorHAnsi"/>
                <w:sz w:val="22"/>
                <w:vertAlign w:val="superscript"/>
              </w:rPr>
              <w:t>,</w:t>
            </w:r>
            <w:r w:rsidRPr="00D816BB">
              <w:rPr>
                <w:rFonts w:cstheme="minorHAnsi"/>
                <w:vertAlign w:val="superscript"/>
              </w:rPr>
              <w:fldChar w:fldCharType="begin">
                <w:fldData xml:space="preserve">PEVuZE5vdGU+PENpdGU+PEF1dGhvcj5DemVwaWVsPC9BdXRob3I+PFllYXI+MjAxOTwvWWVhcj48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</w:fldData>
              </w:fldChar>
            </w:r>
            <w:r>
              <w:rPr>
                <w:rFonts w:cstheme="minorHAnsi"/>
                <w:vertAlign w:val="superscript"/>
              </w:rPr>
              <w:instrText xml:space="preserve"> ADDIN EN.CITE </w:instrText>
            </w:r>
            <w:r>
              <w:rPr>
                <w:rFonts w:cstheme="minorHAnsi"/>
                <w:vertAlign w:val="superscript"/>
              </w:rPr>
              <w:fldChar w:fldCharType="begin">
                <w:fldData xml:space="preserve">PEVuZE5vdGU+PENpdGU+PEF1dGhvcj5DemVwaWVsPC9BdXRob3I+PFllYXI+MjAxOTwvWWVhcj48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</w:fldData>
              </w:fldChar>
            </w:r>
            <w:r>
              <w:rPr>
                <w:rFonts w:cstheme="minorHAnsi"/>
                <w:vertAlign w:val="superscript"/>
              </w:rPr>
              <w:instrText xml:space="preserve"> ADDIN EN.CITE.DATA </w:instrText>
            </w:r>
            <w:r>
              <w:rPr>
                <w:rFonts w:cstheme="minorHAnsi"/>
                <w:vertAlign w:val="superscript"/>
              </w:rPr>
            </w:r>
            <w:r>
              <w:rPr>
                <w:rFonts w:cstheme="minorHAnsi"/>
                <w:vertAlign w:val="superscript"/>
              </w:rPr>
              <w:fldChar w:fldCharType="end"/>
            </w:r>
            <w:r w:rsidRPr="00D816BB">
              <w:rPr>
                <w:rFonts w:cstheme="minorHAnsi"/>
                <w:vertAlign w:val="superscript"/>
              </w:rPr>
            </w:r>
            <w:r w:rsidRPr="00D816BB">
              <w:rPr>
                <w:rFonts w:cstheme="minorHAnsi"/>
                <w:vertAlign w:val="superscript"/>
              </w:rPr>
              <w:fldChar w:fldCharType="separate"/>
            </w:r>
            <w:r>
              <w:rPr>
                <w:rFonts w:cstheme="minorHAnsi"/>
                <w:noProof/>
                <w:vertAlign w:val="superscript"/>
              </w:rPr>
              <w:t>2</w:t>
            </w:r>
            <w:r w:rsidRPr="00D816BB">
              <w:rPr>
                <w:rFonts w:cstheme="minorHAnsi"/>
                <w:vertAlign w:val="superscript"/>
              </w:rPr>
              <w:fldChar w:fldCharType="end"/>
            </w:r>
          </w:p>
        </w:tc>
      </w:tr>
      <w:tr w:rsidR="00B96D16" w:rsidRPr="00D816BB" w14:paraId="417D5F02" w14:textId="77777777" w:rsidTr="002F6516">
        <w:trPr>
          <w:cnfStyle w:val="000000010000" w:firstRow="0" w:lastRow="0" w:firstColumn="0" w:lastColumn="0" w:oddVBand="0" w:evenVBand="0" w:oddHBand="0" w:evenHBand="1" w:firstRowFirstColumn="0" w:firstRowLastColumn="0" w:lastRowFirstColumn="0" w:lastRowLastColumn="0"/>
        </w:trPr>
        <w:tc>
          <w:tcPr>
            <w:tcW w:w="0" w:type="dxa"/>
            <w:shd w:val="clear" w:color="auto" w:fill="FFF1E7"/>
            <w:vAlign w:val="center"/>
          </w:tcPr>
          <w:p w14:paraId="1E68C658" w14:textId="77777777" w:rsidR="00B96D16" w:rsidRPr="00D816BB" w:rsidRDefault="00B96D16" w:rsidP="00505471">
            <w:pPr>
              <w:spacing w:line="276" w:lineRule="auto"/>
              <w:rPr>
                <w:rFonts w:cstheme="minorHAnsi"/>
                <w:sz w:val="22"/>
              </w:rPr>
            </w:pPr>
            <w:r w:rsidRPr="00D816BB">
              <w:rPr>
                <w:rFonts w:cstheme="minorHAnsi"/>
                <w:b/>
                <w:bCs/>
                <w:sz w:val="22"/>
              </w:rPr>
              <w:t xml:space="preserve">Defined daily doses </w:t>
            </w:r>
            <w:r w:rsidRPr="00D816BB">
              <w:rPr>
                <w:rFonts w:cstheme="minorHAnsi"/>
                <w:sz w:val="22"/>
              </w:rPr>
              <w:t>(DDD)</w:t>
            </w:r>
          </w:p>
        </w:tc>
        <w:tc>
          <w:tcPr>
            <w:tcW w:w="0" w:type="dxa"/>
            <w:shd w:val="clear" w:color="auto" w:fill="FFF1E7"/>
            <w:vAlign w:val="center"/>
          </w:tcPr>
          <w:p w14:paraId="348DDDA9" w14:textId="77777777" w:rsidR="00B96D16" w:rsidRPr="00D816BB" w:rsidRDefault="00B96D16" w:rsidP="00505471">
            <w:pPr>
              <w:spacing w:line="276" w:lineRule="auto"/>
              <w:rPr>
                <w:rFonts w:cstheme="minorHAnsi"/>
                <w:sz w:val="22"/>
              </w:rPr>
            </w:pPr>
            <w:r w:rsidRPr="00D816BB">
              <w:rPr>
                <w:rFonts w:cstheme="minorHAnsi"/>
                <w:sz w:val="22"/>
              </w:rPr>
              <w:t>The average daily dose prescribed according to a representative sample of prescriptions. Source:</w:t>
            </w:r>
            <w:r w:rsidRPr="00D816BB">
              <w:rPr>
                <w:rFonts w:cstheme="minorHAnsi"/>
                <w:i/>
                <w:iCs/>
                <w:sz w:val="22"/>
              </w:rPr>
              <w:t xml:space="preserve"> </w:t>
            </w:r>
            <w:hyperlink r:id="rId41" w:history="1">
              <w:r w:rsidRPr="00D816BB">
                <w:rPr>
                  <w:rStyle w:val="Hyperlink"/>
                  <w:rFonts w:cstheme="minorHAnsi"/>
                  <w:sz w:val="22"/>
                </w:rPr>
                <w:t>Defined Daily Dose (DDD) (who.int)</w:t>
              </w:r>
            </w:hyperlink>
          </w:p>
        </w:tc>
      </w:tr>
      <w:tr w:rsidR="00B96D16" w:rsidRPr="00D816BB" w14:paraId="670A4BEA" w14:textId="77777777" w:rsidTr="002F6516">
        <w:tc>
          <w:tcPr>
            <w:tcW w:w="0" w:type="dxa"/>
            <w:vAlign w:val="center"/>
          </w:tcPr>
          <w:p w14:paraId="01B29590" w14:textId="77777777" w:rsidR="00B96D16" w:rsidRPr="00D816BB" w:rsidRDefault="00B96D16" w:rsidP="00505471">
            <w:pPr>
              <w:spacing w:line="276" w:lineRule="auto"/>
              <w:rPr>
                <w:rFonts w:cstheme="minorHAnsi"/>
                <w:sz w:val="22"/>
              </w:rPr>
            </w:pPr>
            <w:r w:rsidRPr="00D816BB">
              <w:rPr>
                <w:rFonts w:cstheme="minorHAnsi"/>
                <w:b/>
                <w:bCs/>
                <w:sz w:val="22"/>
              </w:rPr>
              <w:t>ICD-10 code</w:t>
            </w:r>
          </w:p>
        </w:tc>
        <w:tc>
          <w:tcPr>
            <w:tcW w:w="0" w:type="dxa"/>
            <w:vAlign w:val="center"/>
          </w:tcPr>
          <w:p w14:paraId="3B2073E1" w14:textId="77777777" w:rsidR="00B96D16" w:rsidRPr="00D816BB" w:rsidRDefault="00B96D16" w:rsidP="00505471">
            <w:pPr>
              <w:spacing w:line="276" w:lineRule="auto"/>
              <w:rPr>
                <w:rFonts w:cstheme="minorHAnsi"/>
                <w:sz w:val="22"/>
              </w:rPr>
            </w:pPr>
            <w:r w:rsidRPr="00D816BB">
              <w:rPr>
                <w:rFonts w:cstheme="minorHAnsi"/>
                <w:sz w:val="22"/>
              </w:rPr>
              <w:t>Principal diagnoses are classified according to</w:t>
            </w:r>
            <w:r w:rsidRPr="00D816BB">
              <w:rPr>
                <w:rStyle w:val="Emphasis"/>
                <w:rFonts w:cstheme="minorHAnsi"/>
                <w:sz w:val="22"/>
              </w:rPr>
              <w:t xml:space="preserve"> </w:t>
            </w:r>
            <w:hyperlink r:id="rId42" w:history="1">
              <w:r w:rsidRPr="00D816BB">
                <w:rPr>
                  <w:rStyle w:val="Hyperlink"/>
                  <w:rFonts w:cstheme="minorHAnsi"/>
                  <w:sz w:val="22"/>
                </w:rPr>
                <w:t>International Statistical Classification of Diseases and Related Health Problems, Tenth Revision, Australian Modification </w:t>
              </w:r>
            </w:hyperlink>
            <w:r w:rsidRPr="00D816BB">
              <w:rPr>
                <w:rFonts w:cstheme="minorHAnsi"/>
                <w:sz w:val="22"/>
              </w:rPr>
              <w:t>(ICD-10-AM).  </w:t>
            </w:r>
          </w:p>
        </w:tc>
      </w:tr>
      <w:tr w:rsidR="00B96D16" w:rsidRPr="00D816BB" w14:paraId="3A402C6A" w14:textId="77777777" w:rsidTr="002F6516">
        <w:trPr>
          <w:cnfStyle w:val="000000010000" w:firstRow="0" w:lastRow="0" w:firstColumn="0" w:lastColumn="0" w:oddVBand="0" w:evenVBand="0" w:oddHBand="0" w:evenHBand="1" w:firstRowFirstColumn="0" w:firstRowLastColumn="0" w:lastRowFirstColumn="0" w:lastRowLastColumn="0"/>
        </w:trPr>
        <w:tc>
          <w:tcPr>
            <w:tcW w:w="0" w:type="dxa"/>
            <w:shd w:val="clear" w:color="auto" w:fill="FFF1E7"/>
            <w:vAlign w:val="center"/>
          </w:tcPr>
          <w:p w14:paraId="11BBEDDB" w14:textId="6E0CC4D4" w:rsidR="00B96D16" w:rsidRPr="00D816BB" w:rsidRDefault="00B96D16" w:rsidP="002F6516">
            <w:pPr>
              <w:pStyle w:val="BodyText"/>
              <w:spacing w:line="276" w:lineRule="auto"/>
              <w:ind w:right="-284"/>
            </w:pPr>
            <w:r w:rsidRPr="00D816BB">
              <w:rPr>
                <w:rFonts w:cstheme="minorHAnsi"/>
                <w:b/>
                <w:bCs/>
                <w:sz w:val="22"/>
              </w:rPr>
              <w:t>Indeterminate</w:t>
            </w:r>
            <w:r w:rsidRPr="00D816BB">
              <w:rPr>
                <w:rFonts w:cstheme="minorHAnsi"/>
                <w:b/>
                <w:bCs/>
                <w:spacing w:val="-4"/>
                <w:sz w:val="22"/>
              </w:rPr>
              <w:t xml:space="preserve"> </w:t>
            </w:r>
            <w:r w:rsidRPr="00D816BB">
              <w:rPr>
                <w:rFonts w:cstheme="minorHAnsi"/>
                <w:b/>
                <w:bCs/>
                <w:sz w:val="22"/>
              </w:rPr>
              <w:t>CDI</w:t>
            </w:r>
            <w:r w:rsidRPr="00D816BB">
              <w:rPr>
                <w:rFonts w:cstheme="minorHAnsi"/>
                <w:b/>
                <w:bCs/>
                <w:spacing w:val="-4"/>
                <w:sz w:val="22"/>
              </w:rPr>
              <w:t>-</w:t>
            </w:r>
            <w:r w:rsidRPr="00D816BB">
              <w:rPr>
                <w:rFonts w:cstheme="minorHAnsi"/>
                <w:b/>
                <w:bCs/>
                <w:sz w:val="22"/>
              </w:rPr>
              <w:t>onset</w:t>
            </w:r>
            <w:r w:rsidRPr="00D816BB">
              <w:rPr>
                <w:rFonts w:cstheme="minorHAnsi"/>
                <w:b/>
                <w:bCs/>
                <w:i/>
                <w:iCs/>
                <w:sz w:val="22"/>
              </w:rPr>
              <w:t xml:space="preserve"> </w:t>
            </w:r>
          </w:p>
        </w:tc>
        <w:tc>
          <w:tcPr>
            <w:tcW w:w="0" w:type="dxa"/>
            <w:shd w:val="clear" w:color="auto" w:fill="FFF1E7"/>
            <w:vAlign w:val="center"/>
          </w:tcPr>
          <w:p w14:paraId="71A0A0A7" w14:textId="77777777" w:rsidR="00B96D16" w:rsidRPr="00D816BB" w:rsidRDefault="00B96D16" w:rsidP="00505471">
            <w:pPr>
              <w:spacing w:line="276" w:lineRule="auto"/>
              <w:rPr>
                <w:rFonts w:cstheme="minorHAnsi"/>
                <w:sz w:val="22"/>
              </w:rPr>
            </w:pPr>
            <w:r w:rsidRPr="00D816BB">
              <w:rPr>
                <w:rFonts w:cstheme="minorHAnsi"/>
                <w:sz w:val="22"/>
              </w:rPr>
              <w:t>The CDI case exposure classification used to describe a patient that does not fit any of the above criteria for exposure setting (for example, onset in the community but within four and 12 weeks of discharge from a healthcare facility).</w:t>
            </w:r>
            <w:r>
              <w:rPr>
                <w:rFonts w:cstheme="minorHAnsi"/>
              </w:rPr>
              <w:fldChar w:fldCharType="begin"/>
            </w:r>
            <w:r>
              <w:rPr>
                <w:rFonts w:cstheme="minorHAnsi"/>
              </w:rPr>
              <w:instrText xml:space="preserve"> ADDIN EN.CITE &lt;EndNote&gt;&lt;Cite&gt;&lt;Author&gt;Australian Commission on Safety and Quality in Health Care&lt;/Author&gt;&lt;Year&gt;2020&lt;/Year&gt;&lt;RecNum&gt;34&lt;/RecNum&gt;&lt;DisplayText&gt;&lt;style face="superscript"&gt;18&lt;/style&gt;&lt;/DisplayText&gt;&lt;record&gt;&lt;rec-number&gt;34&lt;/rec-number&gt;&lt;foreign-keys&gt;&lt;key app="EN" db-id="2rp0a5drxdefz3e2e5dptftled295z2r2ve2" timestamp="1599706141"&gt;34&lt;/key&gt;&lt;/foreign-keys&gt;&lt;ref-type name="Report"&gt;27&lt;/ref-type&gt;&lt;contributors&gt;&lt;authors&gt;&lt;author&gt;Australian Commission on Safety and Quality in Health Care,&lt;/author&gt;&lt;/authors&gt;&lt;tertiary-authors&gt;&lt;author&gt;ACSQHC&lt;/author&gt;&lt;/tertiary-authors&gt;&lt;/contributors&gt;&lt;titles&gt;&lt;title&gt;Implementation guide for the Surveillance of Clostridioides difficile Infection. &lt;/title&gt;&lt;/titles&gt;&lt;dates&gt;&lt;year&gt;2020&lt;/year&gt;&lt;/dates&gt;&lt;pub-location&gt;Sydney&lt;/pub-location&gt;&lt;urls&gt;&lt;/urls&gt;&lt;/record&gt;&lt;/Cite&gt;&lt;/EndNote&gt;</w:instrText>
            </w:r>
            <w:r>
              <w:rPr>
                <w:rFonts w:cstheme="minorHAnsi"/>
              </w:rPr>
              <w:fldChar w:fldCharType="separate"/>
            </w:r>
            <w:r w:rsidRPr="00E11545">
              <w:rPr>
                <w:rFonts w:cstheme="minorHAnsi"/>
                <w:noProof/>
                <w:vertAlign w:val="superscript"/>
              </w:rPr>
              <w:t>18</w:t>
            </w:r>
            <w:r>
              <w:rPr>
                <w:rFonts w:cstheme="minorHAnsi"/>
              </w:rPr>
              <w:fldChar w:fldCharType="end"/>
            </w:r>
            <w:r w:rsidRPr="00D816BB" w:rsidDel="00A05273">
              <w:rPr>
                <w:rFonts w:cstheme="minorHAnsi"/>
              </w:rPr>
              <w:t xml:space="preserve"> </w:t>
            </w:r>
          </w:p>
        </w:tc>
      </w:tr>
      <w:tr w:rsidR="00B96D16" w:rsidRPr="00D816BB" w14:paraId="77EECED9" w14:textId="77777777" w:rsidTr="002F6516">
        <w:tc>
          <w:tcPr>
            <w:tcW w:w="0" w:type="dxa"/>
            <w:vAlign w:val="center"/>
          </w:tcPr>
          <w:p w14:paraId="4AF4C130" w14:textId="77777777" w:rsidR="00B96D16" w:rsidRPr="00D816BB" w:rsidRDefault="00B96D16" w:rsidP="00505471">
            <w:pPr>
              <w:spacing w:line="276" w:lineRule="auto"/>
              <w:rPr>
                <w:rFonts w:cstheme="minorHAnsi"/>
                <w:sz w:val="22"/>
              </w:rPr>
            </w:pPr>
            <w:r w:rsidRPr="00D816BB">
              <w:rPr>
                <w:rFonts w:cstheme="minorHAnsi"/>
                <w:b/>
                <w:bCs/>
                <w:sz w:val="22"/>
              </w:rPr>
              <w:t>Healthcare-associated healthcare-facility (HCA-HCF) onset CDI</w:t>
            </w:r>
          </w:p>
        </w:tc>
        <w:tc>
          <w:tcPr>
            <w:tcW w:w="0" w:type="dxa"/>
            <w:vAlign w:val="center"/>
          </w:tcPr>
          <w:p w14:paraId="2AA430BF" w14:textId="77777777" w:rsidR="00B96D16" w:rsidRPr="00D816BB" w:rsidRDefault="00B96D16" w:rsidP="00505471">
            <w:pPr>
              <w:pStyle w:val="BodyText"/>
              <w:spacing w:line="276" w:lineRule="auto"/>
              <w:rPr>
                <w:rFonts w:cstheme="minorHAnsi"/>
                <w:b/>
                <w:bCs/>
                <w:i/>
                <w:iCs/>
                <w:sz w:val="22"/>
              </w:rPr>
            </w:pPr>
            <w:r w:rsidRPr="00D816BB">
              <w:rPr>
                <w:rFonts w:cstheme="minorHAnsi"/>
                <w:sz w:val="22"/>
              </w:rPr>
              <w:t>The CDI case exposure classification used to describe CDI symptom onset (or date and time of stool specimen collection if a laboratory system is used) more than 48 hours after admission to a healthcare facility.</w:t>
            </w:r>
            <w:r>
              <w:rPr>
                <w:rFonts w:cstheme="minorHAnsi"/>
              </w:rPr>
              <w:fldChar w:fldCharType="begin"/>
            </w:r>
            <w:r>
              <w:rPr>
                <w:rFonts w:cstheme="minorHAnsi"/>
              </w:rPr>
              <w:instrText xml:space="preserve"> ADDIN EN.CITE &lt;EndNote&gt;&lt;Cite&gt;&lt;Author&gt;Australian Commission on Safety and Quality in Health Care&lt;/Author&gt;&lt;Year&gt;2020&lt;/Year&gt;&lt;RecNum&gt;34&lt;/RecNum&gt;&lt;DisplayText&gt;&lt;style face="superscript"&gt;18&lt;/style&gt;&lt;/DisplayText&gt;&lt;record&gt;&lt;rec-number&gt;34&lt;/rec-number&gt;&lt;foreign-keys&gt;&lt;key app="EN" db-id="2rp0a5drxdefz3e2e5dptftled295z2r2ve2" timestamp="1599706141"&gt;34&lt;/key&gt;&lt;/foreign-keys&gt;&lt;ref-type name="Report"&gt;27&lt;/ref-type&gt;&lt;contributors&gt;&lt;authors&gt;&lt;author&gt;Australian Commission on Safety and Quality in Health Care,&lt;/author&gt;&lt;/authors&gt;&lt;tertiary-authors&gt;&lt;author&gt;ACSQHC&lt;/author&gt;&lt;/tertiary-authors&gt;&lt;/contributors&gt;&lt;titles&gt;&lt;title&gt;Implementation guide for the Surveillance of Clostridioides difficile Infection. &lt;/title&gt;&lt;/titles&gt;&lt;dates&gt;&lt;year&gt;2020&lt;/year&gt;&lt;/dates&gt;&lt;pub-location&gt;Sydney&lt;/pub-location&gt;&lt;urls&gt;&lt;/urls&gt;&lt;/record&gt;&lt;/Cite&gt;&lt;/EndNote&gt;</w:instrText>
            </w:r>
            <w:r>
              <w:rPr>
                <w:rFonts w:cstheme="minorHAnsi"/>
              </w:rPr>
              <w:fldChar w:fldCharType="separate"/>
            </w:r>
            <w:r w:rsidRPr="00E11545">
              <w:rPr>
                <w:rFonts w:cstheme="minorHAnsi"/>
                <w:noProof/>
                <w:vertAlign w:val="superscript"/>
              </w:rPr>
              <w:t>18</w:t>
            </w:r>
            <w:r>
              <w:rPr>
                <w:rFonts w:cstheme="minorHAnsi"/>
              </w:rPr>
              <w:fldChar w:fldCharType="end"/>
            </w:r>
            <w:r w:rsidRPr="00D816BB" w:rsidDel="00A05273">
              <w:rPr>
                <w:rFonts w:cstheme="minorHAnsi"/>
              </w:rPr>
              <w:t xml:space="preserve"> </w:t>
            </w:r>
          </w:p>
        </w:tc>
      </w:tr>
      <w:tr w:rsidR="00B96D16" w:rsidRPr="00D816BB" w14:paraId="3DF2921A" w14:textId="77777777" w:rsidTr="002F6516">
        <w:trPr>
          <w:cnfStyle w:val="000000010000" w:firstRow="0" w:lastRow="0" w:firstColumn="0" w:lastColumn="0" w:oddVBand="0" w:evenVBand="0" w:oddHBand="0" w:evenHBand="1" w:firstRowFirstColumn="0" w:firstRowLastColumn="0" w:lastRowFirstColumn="0" w:lastRowLastColumn="0"/>
          <w:trHeight w:val="1502"/>
        </w:trPr>
        <w:tc>
          <w:tcPr>
            <w:tcW w:w="0" w:type="dxa"/>
            <w:shd w:val="clear" w:color="auto" w:fill="FFF1E7"/>
            <w:vAlign w:val="center"/>
          </w:tcPr>
          <w:p w14:paraId="1F825544" w14:textId="77777777" w:rsidR="00B96D16" w:rsidRPr="00D816BB" w:rsidRDefault="00B96D16" w:rsidP="00505471">
            <w:pPr>
              <w:spacing w:line="276" w:lineRule="auto"/>
              <w:rPr>
                <w:rFonts w:cstheme="minorHAnsi"/>
                <w:sz w:val="22"/>
              </w:rPr>
            </w:pPr>
            <w:r w:rsidRPr="00D816BB">
              <w:rPr>
                <w:rFonts w:cstheme="minorHAnsi"/>
                <w:b/>
                <w:bCs/>
                <w:sz w:val="22"/>
              </w:rPr>
              <w:lastRenderedPageBreak/>
              <w:t xml:space="preserve">Healthcare-associated </w:t>
            </w:r>
            <w:r>
              <w:rPr>
                <w:rFonts w:cstheme="minorHAnsi"/>
                <w:b/>
                <w:bCs/>
                <w:sz w:val="22"/>
              </w:rPr>
              <w:t xml:space="preserve">(HCA) </w:t>
            </w:r>
            <w:r w:rsidRPr="00D816BB">
              <w:rPr>
                <w:rFonts w:cstheme="minorHAnsi"/>
                <w:b/>
                <w:bCs/>
                <w:sz w:val="22"/>
              </w:rPr>
              <w:t>community-onset CDI</w:t>
            </w:r>
          </w:p>
        </w:tc>
        <w:tc>
          <w:tcPr>
            <w:tcW w:w="0" w:type="dxa"/>
            <w:shd w:val="clear" w:color="auto" w:fill="FFF1E7"/>
            <w:vAlign w:val="center"/>
          </w:tcPr>
          <w:p w14:paraId="660DE40C" w14:textId="77777777" w:rsidR="00B96D16" w:rsidRPr="00D816BB" w:rsidRDefault="00B96D16" w:rsidP="00505471">
            <w:pPr>
              <w:pStyle w:val="BodyText"/>
              <w:spacing w:line="276" w:lineRule="auto"/>
              <w:ind w:right="28"/>
              <w:rPr>
                <w:rFonts w:cstheme="minorHAnsi"/>
                <w:b/>
                <w:bCs/>
                <w:i/>
                <w:iCs/>
                <w:sz w:val="22"/>
              </w:rPr>
            </w:pPr>
            <w:r w:rsidRPr="00D816BB">
              <w:rPr>
                <w:rFonts w:cstheme="minorHAnsi"/>
                <w:sz w:val="22"/>
              </w:rPr>
              <w:t>The CDI case exposure classification used to describe CDI symptom onset (or date and time of stool specimen collection if a laboratory system is used) in the community, or within 48 hours of admission to a healthcare facility, provided that symptom onset was less than four weeks after the last discharge from a healthcare facility.</w:t>
            </w:r>
            <w:r>
              <w:rPr>
                <w:rFonts w:cstheme="minorHAnsi"/>
              </w:rPr>
              <w:fldChar w:fldCharType="begin"/>
            </w:r>
            <w:r>
              <w:rPr>
                <w:rFonts w:cstheme="minorHAnsi"/>
              </w:rPr>
              <w:instrText xml:space="preserve"> ADDIN EN.CITE &lt;EndNote&gt;&lt;Cite&gt;&lt;Author&gt;Australian Commission on Safety and Quality in Health Care&lt;/Author&gt;&lt;Year&gt;2020&lt;/Year&gt;&lt;RecNum&gt;34&lt;/RecNum&gt;&lt;DisplayText&gt;&lt;style face="superscript"&gt;18&lt;/style&gt;&lt;/DisplayText&gt;&lt;record&gt;&lt;rec-number&gt;34&lt;/rec-number&gt;&lt;foreign-keys&gt;&lt;key app="EN" db-id="2rp0a5drxdefz3e2e5dptftled295z2r2ve2" timestamp="1599706141"&gt;34&lt;/key&gt;&lt;/foreign-keys&gt;&lt;ref-type name="Report"&gt;27&lt;/ref-type&gt;&lt;contributors&gt;&lt;authors&gt;&lt;author&gt;Australian Commission on Safety and Quality in Health Care,&lt;/author&gt;&lt;/authors&gt;&lt;tertiary-authors&gt;&lt;author&gt;ACSQHC&lt;/author&gt;&lt;/tertiary-authors&gt;&lt;/contributors&gt;&lt;titles&gt;&lt;title&gt;Implementation guide for the Surveillance of Clostridioides difficile Infection. &lt;/title&gt;&lt;/titles&gt;&lt;dates&gt;&lt;year&gt;2020&lt;/year&gt;&lt;/dates&gt;&lt;pub-location&gt;Sydney&lt;/pub-location&gt;&lt;urls&gt;&lt;/urls&gt;&lt;/record&gt;&lt;/Cite&gt;&lt;/EndNote&gt;</w:instrText>
            </w:r>
            <w:r>
              <w:rPr>
                <w:rFonts w:cstheme="minorHAnsi"/>
              </w:rPr>
              <w:fldChar w:fldCharType="separate"/>
            </w:r>
            <w:r w:rsidRPr="00E11545">
              <w:rPr>
                <w:rFonts w:cstheme="minorHAnsi"/>
                <w:noProof/>
                <w:vertAlign w:val="superscript"/>
              </w:rPr>
              <w:t>18</w:t>
            </w:r>
            <w:r>
              <w:rPr>
                <w:rFonts w:cstheme="minorHAnsi"/>
              </w:rPr>
              <w:fldChar w:fldCharType="end"/>
            </w:r>
            <w:r w:rsidRPr="00D816BB" w:rsidDel="00A05273">
              <w:rPr>
                <w:rFonts w:cstheme="minorHAnsi"/>
              </w:rPr>
              <w:t xml:space="preserve"> </w:t>
            </w:r>
          </w:p>
        </w:tc>
      </w:tr>
      <w:tr w:rsidR="00B96D16" w:rsidRPr="00D816BB" w14:paraId="33826748" w14:textId="77777777" w:rsidTr="002F6516">
        <w:tc>
          <w:tcPr>
            <w:tcW w:w="0" w:type="dxa"/>
            <w:vAlign w:val="center"/>
          </w:tcPr>
          <w:p w14:paraId="1DDBBEF2" w14:textId="77777777" w:rsidR="00B96D16" w:rsidRPr="00D816BB" w:rsidRDefault="00B96D16" w:rsidP="00505471">
            <w:pPr>
              <w:spacing w:line="276" w:lineRule="auto"/>
              <w:rPr>
                <w:rFonts w:cstheme="minorHAnsi"/>
                <w:sz w:val="22"/>
              </w:rPr>
            </w:pPr>
            <w:r w:rsidRPr="00D816BB">
              <w:rPr>
                <w:rFonts w:cstheme="minorHAnsi"/>
                <w:b/>
                <w:bCs/>
                <w:sz w:val="22"/>
              </w:rPr>
              <w:t xml:space="preserve">Hospital-identified </w:t>
            </w:r>
            <w:r>
              <w:rPr>
                <w:rFonts w:cstheme="minorHAnsi"/>
                <w:b/>
                <w:bCs/>
                <w:sz w:val="22"/>
              </w:rPr>
              <w:t xml:space="preserve">(HI) </w:t>
            </w:r>
            <w:r w:rsidRPr="00D816BB">
              <w:rPr>
                <w:rFonts w:cstheme="minorHAnsi"/>
                <w:b/>
                <w:bCs/>
                <w:sz w:val="22"/>
              </w:rPr>
              <w:t>CDI</w:t>
            </w:r>
          </w:p>
        </w:tc>
        <w:tc>
          <w:tcPr>
            <w:tcW w:w="0" w:type="dxa"/>
            <w:vAlign w:val="center"/>
          </w:tcPr>
          <w:p w14:paraId="1239190B" w14:textId="77777777" w:rsidR="00B96D16" w:rsidRPr="00D816BB" w:rsidRDefault="00B96D16" w:rsidP="00505471">
            <w:pPr>
              <w:spacing w:line="276" w:lineRule="auto"/>
              <w:rPr>
                <w:rFonts w:cstheme="minorHAnsi"/>
                <w:sz w:val="22"/>
              </w:rPr>
            </w:pPr>
            <w:r w:rsidRPr="00D816BB">
              <w:rPr>
                <w:rFonts w:cstheme="minorHAnsi"/>
                <w:sz w:val="22"/>
              </w:rPr>
              <w:t>The CDI case exposure classification used to describe the burden of CDI disease identified at an individual hospital.</w:t>
            </w:r>
            <w:r>
              <w:rPr>
                <w:rFonts w:cstheme="minorHAnsi"/>
              </w:rPr>
              <w:fldChar w:fldCharType="begin"/>
            </w:r>
            <w:r>
              <w:rPr>
                <w:rFonts w:cstheme="minorHAnsi"/>
              </w:rPr>
              <w:instrText xml:space="preserve"> ADDIN EN.CITE &lt;EndNote&gt;&lt;Cite&gt;&lt;Author&gt;Australian Commission on Safety and Quality in Health Care&lt;/Author&gt;&lt;Year&gt;2020&lt;/Year&gt;&lt;RecNum&gt;34&lt;/RecNum&gt;&lt;DisplayText&gt;&lt;style face="superscript"&gt;18&lt;/style&gt;&lt;/DisplayText&gt;&lt;record&gt;&lt;rec-number&gt;34&lt;/rec-number&gt;&lt;foreign-keys&gt;&lt;key app="EN" db-id="2rp0a5drxdefz3e2e5dptftled295z2r2ve2" timestamp="1599706141"&gt;34&lt;/key&gt;&lt;/foreign-keys&gt;&lt;ref-type name="Report"&gt;27&lt;/ref-type&gt;&lt;contributors&gt;&lt;authors&gt;&lt;author&gt;Australian Commission on Safety and Quality in Health Care,&lt;/author&gt;&lt;/authors&gt;&lt;tertiary-authors&gt;&lt;author&gt;ACSQHC&lt;/author&gt;&lt;/tertiary-authors&gt;&lt;/contributors&gt;&lt;titles&gt;&lt;title&gt;Implementation guide for the Surveillance of Clostridioides difficile Infection. &lt;/title&gt;&lt;/titles&gt;&lt;dates&gt;&lt;year&gt;2020&lt;/year&gt;&lt;/dates&gt;&lt;pub-location&gt;Sydney&lt;/pub-location&gt;&lt;urls&gt;&lt;/urls&gt;&lt;/record&gt;&lt;/Cite&gt;&lt;/EndNote&gt;</w:instrText>
            </w:r>
            <w:r>
              <w:rPr>
                <w:rFonts w:cstheme="minorHAnsi"/>
              </w:rPr>
              <w:fldChar w:fldCharType="separate"/>
            </w:r>
            <w:r w:rsidRPr="00E11545">
              <w:rPr>
                <w:rFonts w:cstheme="minorHAnsi"/>
                <w:noProof/>
                <w:vertAlign w:val="superscript"/>
              </w:rPr>
              <w:t>18</w:t>
            </w:r>
            <w:r>
              <w:rPr>
                <w:rFonts w:cstheme="minorHAnsi"/>
              </w:rPr>
              <w:fldChar w:fldCharType="end"/>
            </w:r>
            <w:r w:rsidRPr="00D816BB" w:rsidDel="00A05273">
              <w:rPr>
                <w:rFonts w:cstheme="minorHAnsi"/>
              </w:rPr>
              <w:t xml:space="preserve"> </w:t>
            </w:r>
          </w:p>
        </w:tc>
      </w:tr>
      <w:tr w:rsidR="00B96D16" w:rsidRPr="00D816BB" w14:paraId="3B24D880" w14:textId="77777777" w:rsidTr="002F6516">
        <w:trPr>
          <w:cnfStyle w:val="000000010000" w:firstRow="0" w:lastRow="0" w:firstColumn="0" w:lastColumn="0" w:oddVBand="0" w:evenVBand="0" w:oddHBand="0" w:evenHBand="1" w:firstRowFirstColumn="0" w:firstRowLastColumn="0" w:lastRowFirstColumn="0" w:lastRowLastColumn="0"/>
        </w:trPr>
        <w:tc>
          <w:tcPr>
            <w:tcW w:w="0" w:type="dxa"/>
            <w:shd w:val="clear" w:color="auto" w:fill="FFF1E7"/>
            <w:vAlign w:val="center"/>
          </w:tcPr>
          <w:p w14:paraId="2CC0F60C" w14:textId="77777777" w:rsidR="00B96D16" w:rsidRPr="00D816BB" w:rsidRDefault="00B96D16" w:rsidP="00505471">
            <w:pPr>
              <w:spacing w:line="276" w:lineRule="auto"/>
              <w:rPr>
                <w:rFonts w:cstheme="minorHAnsi"/>
                <w:b/>
                <w:bCs/>
                <w:sz w:val="22"/>
              </w:rPr>
            </w:pPr>
            <w:r w:rsidRPr="00D816BB">
              <w:rPr>
                <w:rFonts w:cstheme="minorHAnsi"/>
                <w:b/>
                <w:sz w:val="22"/>
              </w:rPr>
              <w:t>Non-principal diagnosis (or additional diagnosis)</w:t>
            </w:r>
          </w:p>
        </w:tc>
        <w:tc>
          <w:tcPr>
            <w:tcW w:w="0" w:type="dxa"/>
            <w:shd w:val="clear" w:color="auto" w:fill="FFF1E7"/>
            <w:vAlign w:val="center"/>
          </w:tcPr>
          <w:p w14:paraId="01ABE961" w14:textId="77777777" w:rsidR="00B96D16" w:rsidRPr="00D816BB" w:rsidRDefault="00B96D16" w:rsidP="00505471">
            <w:pPr>
              <w:pStyle w:val="BodyText"/>
              <w:spacing w:line="276" w:lineRule="auto"/>
              <w:ind w:right="85"/>
              <w:rPr>
                <w:rFonts w:cstheme="minorHAnsi"/>
                <w:color w:val="FFA97E" w:themeColor="text2"/>
                <w:sz w:val="22"/>
                <w:u w:val="single"/>
              </w:rPr>
            </w:pPr>
            <w:r w:rsidRPr="00D816BB">
              <w:rPr>
                <w:rFonts w:cstheme="minorHAnsi"/>
                <w:bCs/>
                <w:sz w:val="22"/>
              </w:rPr>
              <w:t>Termi</w:t>
            </w:r>
            <w:r w:rsidRPr="00D816BB">
              <w:rPr>
                <w:bCs/>
                <w:sz w:val="22"/>
              </w:rPr>
              <w:t>nology</w:t>
            </w:r>
            <w:r w:rsidRPr="00D816BB">
              <w:rPr>
                <w:rFonts w:cstheme="minorHAnsi"/>
                <w:bCs/>
                <w:sz w:val="22"/>
              </w:rPr>
              <w:t xml:space="preserve"> used to</w:t>
            </w:r>
            <w:r w:rsidRPr="00D816BB">
              <w:rPr>
                <w:rFonts w:cstheme="minorHAnsi"/>
                <w:b/>
                <w:sz w:val="22"/>
              </w:rPr>
              <w:t xml:space="preserve"> </w:t>
            </w:r>
            <w:r w:rsidRPr="00D816BB">
              <w:rPr>
                <w:rFonts w:cstheme="minorHAnsi"/>
                <w:sz w:val="22"/>
              </w:rPr>
              <w:t>describe a condition that may have contributed to the admission</w:t>
            </w:r>
            <w:r w:rsidRPr="00D816BB">
              <w:rPr>
                <w:rFonts w:cstheme="minorHAnsi"/>
                <w:spacing w:val="-2"/>
                <w:sz w:val="22"/>
              </w:rPr>
              <w:t xml:space="preserve"> </w:t>
            </w:r>
            <w:r w:rsidRPr="00D816BB">
              <w:rPr>
                <w:rFonts w:cstheme="minorHAnsi"/>
                <w:sz w:val="22"/>
              </w:rPr>
              <w:t>but</w:t>
            </w:r>
            <w:r w:rsidRPr="00D816BB">
              <w:rPr>
                <w:rFonts w:cstheme="minorHAnsi"/>
                <w:spacing w:val="-2"/>
                <w:sz w:val="22"/>
              </w:rPr>
              <w:t xml:space="preserve"> </w:t>
            </w:r>
            <w:r w:rsidRPr="00D816BB">
              <w:rPr>
                <w:rFonts w:cstheme="minorHAnsi"/>
                <w:sz w:val="22"/>
              </w:rPr>
              <w:t>is</w:t>
            </w:r>
            <w:r w:rsidRPr="00D816BB">
              <w:rPr>
                <w:rFonts w:cstheme="minorHAnsi"/>
                <w:spacing w:val="-2"/>
                <w:sz w:val="22"/>
              </w:rPr>
              <w:t xml:space="preserve"> </w:t>
            </w:r>
            <w:r w:rsidRPr="00D816BB">
              <w:rPr>
                <w:rFonts w:cstheme="minorHAnsi"/>
                <w:sz w:val="22"/>
              </w:rPr>
              <w:t>not</w:t>
            </w:r>
            <w:r w:rsidRPr="00D816BB">
              <w:rPr>
                <w:rFonts w:cstheme="minorHAnsi"/>
                <w:spacing w:val="-3"/>
                <w:sz w:val="22"/>
              </w:rPr>
              <w:t xml:space="preserve"> </w:t>
            </w:r>
            <w:r w:rsidRPr="00D816BB">
              <w:rPr>
                <w:rFonts w:cstheme="minorHAnsi"/>
                <w:sz w:val="22"/>
              </w:rPr>
              <w:t>the</w:t>
            </w:r>
            <w:r w:rsidRPr="00D816BB">
              <w:rPr>
                <w:rFonts w:cstheme="minorHAnsi"/>
                <w:spacing w:val="-4"/>
                <w:sz w:val="22"/>
              </w:rPr>
              <w:t xml:space="preserve"> </w:t>
            </w:r>
            <w:r w:rsidRPr="00D816BB">
              <w:rPr>
                <w:rFonts w:cstheme="minorHAnsi"/>
                <w:sz w:val="22"/>
              </w:rPr>
              <w:t>main</w:t>
            </w:r>
            <w:r w:rsidRPr="00D816BB">
              <w:rPr>
                <w:rFonts w:cstheme="minorHAnsi"/>
                <w:spacing w:val="-2"/>
                <w:sz w:val="22"/>
              </w:rPr>
              <w:t xml:space="preserve"> </w:t>
            </w:r>
            <w:r w:rsidRPr="00D816BB">
              <w:rPr>
                <w:rFonts w:cstheme="minorHAnsi"/>
                <w:sz w:val="22"/>
              </w:rPr>
              <w:t>reason</w:t>
            </w:r>
            <w:r w:rsidRPr="00D816BB">
              <w:rPr>
                <w:rFonts w:cstheme="minorHAnsi"/>
                <w:spacing w:val="-4"/>
                <w:sz w:val="22"/>
              </w:rPr>
              <w:t xml:space="preserve"> </w:t>
            </w:r>
            <w:r w:rsidRPr="00D816BB">
              <w:rPr>
                <w:rFonts w:cstheme="minorHAnsi"/>
                <w:sz w:val="22"/>
              </w:rPr>
              <w:t>for</w:t>
            </w:r>
            <w:r w:rsidRPr="00D816BB">
              <w:rPr>
                <w:rFonts w:cstheme="minorHAnsi"/>
                <w:spacing w:val="-3"/>
                <w:sz w:val="22"/>
              </w:rPr>
              <w:t xml:space="preserve"> </w:t>
            </w:r>
            <w:r w:rsidRPr="00D816BB">
              <w:rPr>
                <w:rFonts w:cstheme="minorHAnsi"/>
                <w:sz w:val="22"/>
              </w:rPr>
              <w:t>admission</w:t>
            </w:r>
            <w:r w:rsidRPr="00D816BB">
              <w:rPr>
                <w:rFonts w:cstheme="minorHAnsi"/>
                <w:spacing w:val="-2"/>
                <w:sz w:val="22"/>
              </w:rPr>
              <w:t xml:space="preserve"> </w:t>
            </w:r>
            <w:r w:rsidRPr="00D816BB">
              <w:rPr>
                <w:rFonts w:cstheme="minorHAnsi"/>
                <w:sz w:val="22"/>
              </w:rPr>
              <w:t>to</w:t>
            </w:r>
            <w:r w:rsidRPr="00D816BB">
              <w:rPr>
                <w:rFonts w:cstheme="minorHAnsi"/>
                <w:spacing w:val="-4"/>
                <w:sz w:val="22"/>
              </w:rPr>
              <w:t xml:space="preserve"> </w:t>
            </w:r>
            <w:r w:rsidRPr="00D816BB">
              <w:rPr>
                <w:rFonts w:cstheme="minorHAnsi"/>
                <w:sz w:val="22"/>
              </w:rPr>
              <w:t>hospital.</w:t>
            </w:r>
            <w:r w:rsidRPr="00D816BB">
              <w:rPr>
                <w:rFonts w:cstheme="minorHAnsi"/>
                <w:spacing w:val="-2"/>
                <w:sz w:val="22"/>
              </w:rPr>
              <w:t xml:space="preserve"> </w:t>
            </w:r>
            <w:r w:rsidRPr="00D816BB">
              <w:rPr>
                <w:rFonts w:cstheme="minorHAnsi"/>
                <w:sz w:val="22"/>
              </w:rPr>
              <w:t>This</w:t>
            </w:r>
            <w:r w:rsidRPr="00D816BB">
              <w:rPr>
                <w:rFonts w:cstheme="minorHAnsi"/>
                <w:spacing w:val="-2"/>
                <w:sz w:val="22"/>
              </w:rPr>
              <w:t xml:space="preserve"> </w:t>
            </w:r>
            <w:r w:rsidRPr="00D816BB">
              <w:rPr>
                <w:rFonts w:cstheme="minorHAnsi"/>
                <w:sz w:val="22"/>
              </w:rPr>
              <w:t>category</w:t>
            </w:r>
            <w:r w:rsidRPr="00D816BB">
              <w:rPr>
                <w:rFonts w:cstheme="minorHAnsi"/>
                <w:spacing w:val="-2"/>
                <w:sz w:val="22"/>
              </w:rPr>
              <w:t xml:space="preserve"> </w:t>
            </w:r>
            <w:r w:rsidRPr="00D816BB">
              <w:rPr>
                <w:rFonts w:cstheme="minorHAnsi"/>
                <w:sz w:val="22"/>
              </w:rPr>
              <w:t>of</w:t>
            </w:r>
            <w:r w:rsidRPr="00D816BB">
              <w:rPr>
                <w:rFonts w:cstheme="minorHAnsi"/>
                <w:spacing w:val="-1"/>
                <w:sz w:val="22"/>
              </w:rPr>
              <w:t xml:space="preserve"> </w:t>
            </w:r>
            <w:r w:rsidRPr="00D816BB">
              <w:rPr>
                <w:rFonts w:cstheme="minorHAnsi"/>
                <w:sz w:val="22"/>
              </w:rPr>
              <w:t>patients includes cases of CDI that develop during an inpatient admission.</w:t>
            </w:r>
            <w:r>
              <w:rPr>
                <w:rFonts w:cstheme="minorHAnsi"/>
              </w:rPr>
              <w:fldChar w:fldCharType="begin"/>
            </w:r>
            <w:r>
              <w:rPr>
                <w:rFonts w:cstheme="minorHAnsi"/>
              </w:rPr>
              <w:instrText xml:space="preserve"> ADDIN EN.CITE &lt;EndNote&gt;&lt;Cite&gt;&lt;Author&gt;Australian Institute of Health and Welfare&lt;/Author&gt;&lt;Year&gt;2023&lt;/Year&gt;&lt;RecNum&gt;10&lt;/RecNum&gt;&lt;DisplayText&gt;&lt;style face="superscript"&gt;11&lt;/style&gt;&lt;/DisplayText&gt;&lt;record&gt;&lt;rec-number&gt;10&lt;/rec-number&gt;&lt;foreign-keys&gt;&lt;key app="EN" db-id="2rp0a5drxdefz3e2e5dptftled295z2r2ve2" timestamp="1586237390"&gt;10&lt;/key&gt;&lt;/foreign-keys&gt;&lt;ref-type name="Electronic Article"&gt;43&lt;/ref-type&gt;&lt;contributors&gt;&lt;authors&gt;&lt;author&gt;Australian Institute of Health and Welfare,&lt;/author&gt;&lt;/authors&gt;&lt;/contributors&gt;&lt;titles&gt;&lt;title&gt;Principal diagnosis data cubes. &lt;/title&gt;&lt;/titles&gt;&lt;dates&gt;&lt;year&gt;2023&lt;/year&gt;&lt;pub-dates&gt;&lt;date&gt;12 April 2024&lt;/date&gt;&lt;/pub-dates&gt;&lt;/dates&gt;&lt;urls&gt;&lt;related-urls&gt;&lt;url&gt;http://www.aihw.gov.au/hospitals-data/principal-diagnosis-data-cubes/&lt;/url&gt;&lt;/related-urls&gt;&lt;/urls&gt;&lt;access-date&gt;[cited 5 August 2019]&lt;/access-date&gt;&lt;/record&gt;&lt;/Cite&gt;&lt;/EndNote&gt;</w:instrText>
            </w:r>
            <w:r>
              <w:rPr>
                <w:rFonts w:cstheme="minorHAnsi"/>
              </w:rPr>
              <w:fldChar w:fldCharType="separate"/>
            </w:r>
            <w:r w:rsidRPr="00E11545">
              <w:rPr>
                <w:rFonts w:cstheme="minorHAnsi"/>
                <w:noProof/>
                <w:vertAlign w:val="superscript"/>
              </w:rPr>
              <w:t>11</w:t>
            </w:r>
            <w:r>
              <w:rPr>
                <w:rFonts w:cstheme="minorHAnsi"/>
              </w:rPr>
              <w:fldChar w:fldCharType="end"/>
            </w:r>
            <w:r w:rsidRPr="00D816BB">
              <w:rPr>
                <w:rFonts w:cstheme="minorHAnsi"/>
                <w:sz w:val="22"/>
              </w:rPr>
              <w:t xml:space="preserve"> </w:t>
            </w:r>
          </w:p>
        </w:tc>
      </w:tr>
      <w:tr w:rsidR="00B96D16" w:rsidRPr="00D816BB" w14:paraId="59D98B88" w14:textId="77777777" w:rsidTr="002F6516">
        <w:trPr>
          <w:trHeight w:val="1122"/>
        </w:trPr>
        <w:tc>
          <w:tcPr>
            <w:tcW w:w="0" w:type="dxa"/>
            <w:vAlign w:val="center"/>
          </w:tcPr>
          <w:p w14:paraId="0F926B11" w14:textId="77777777" w:rsidR="00B96D16" w:rsidRPr="00D816BB" w:rsidRDefault="00B96D16" w:rsidP="00505471">
            <w:pPr>
              <w:spacing w:line="276" w:lineRule="auto"/>
              <w:rPr>
                <w:rFonts w:cstheme="minorHAnsi"/>
                <w:b/>
                <w:bCs/>
                <w:sz w:val="22"/>
              </w:rPr>
            </w:pPr>
            <w:bookmarkStart w:id="43" w:name="_Hlk200027942"/>
            <w:r w:rsidRPr="00D816BB">
              <w:rPr>
                <w:rFonts w:cstheme="minorHAnsi"/>
                <w:b/>
                <w:sz w:val="22"/>
              </w:rPr>
              <w:t>Non-principal diagnosis</w:t>
            </w:r>
            <w:r w:rsidRPr="00D816BB">
              <w:rPr>
                <w:rFonts w:cstheme="minorHAnsi"/>
                <w:b/>
                <w:spacing w:val="-2"/>
                <w:sz w:val="22"/>
              </w:rPr>
              <w:t xml:space="preserve"> </w:t>
            </w:r>
            <w:r w:rsidRPr="00D816BB">
              <w:rPr>
                <w:rFonts w:cstheme="minorHAnsi"/>
                <w:b/>
                <w:sz w:val="22"/>
              </w:rPr>
              <w:t>COF1</w:t>
            </w:r>
          </w:p>
        </w:tc>
        <w:tc>
          <w:tcPr>
            <w:tcW w:w="0" w:type="dxa"/>
            <w:vAlign w:val="center"/>
          </w:tcPr>
          <w:p w14:paraId="7F221701" w14:textId="77777777" w:rsidR="00B96D16" w:rsidRPr="00D816BB" w:rsidRDefault="00B96D16" w:rsidP="00505471">
            <w:pPr>
              <w:widowControl w:val="0"/>
              <w:tabs>
                <w:tab w:val="left" w:pos="2159"/>
              </w:tabs>
              <w:autoSpaceDE w:val="0"/>
              <w:autoSpaceDN w:val="0"/>
              <w:spacing w:after="0" w:line="276" w:lineRule="auto"/>
              <w:ind w:right="85"/>
              <w:rPr>
                <w:rFonts w:cstheme="minorHAnsi"/>
                <w:sz w:val="22"/>
              </w:rPr>
            </w:pPr>
            <w:r w:rsidRPr="00D816BB">
              <w:rPr>
                <w:rFonts w:cstheme="minorHAnsi"/>
                <w:bCs/>
                <w:spacing w:val="-4"/>
                <w:sz w:val="22"/>
              </w:rPr>
              <w:t>Term</w:t>
            </w:r>
            <w:r>
              <w:rPr>
                <w:rFonts w:cstheme="minorHAnsi"/>
                <w:bCs/>
                <w:spacing w:val="-4"/>
                <w:sz w:val="22"/>
              </w:rPr>
              <w:t>inology</w:t>
            </w:r>
            <w:r w:rsidRPr="00D816BB">
              <w:rPr>
                <w:rFonts w:cstheme="minorHAnsi"/>
                <w:bCs/>
                <w:spacing w:val="-4"/>
                <w:sz w:val="22"/>
              </w:rPr>
              <w:t xml:space="preserve"> used to describe</w:t>
            </w:r>
            <w:r w:rsidRPr="00D816BB">
              <w:rPr>
                <w:rFonts w:cstheme="minorHAnsi"/>
                <w:b/>
                <w:spacing w:val="-4"/>
                <w:sz w:val="22"/>
              </w:rPr>
              <w:t xml:space="preserve"> </w:t>
            </w:r>
            <w:r w:rsidRPr="00D816BB">
              <w:rPr>
                <w:rFonts w:cstheme="minorHAnsi"/>
                <w:sz w:val="22"/>
              </w:rPr>
              <w:t>a</w:t>
            </w:r>
            <w:r w:rsidRPr="00D816BB">
              <w:rPr>
                <w:rFonts w:cstheme="minorHAnsi"/>
                <w:spacing w:val="-4"/>
                <w:sz w:val="22"/>
              </w:rPr>
              <w:t xml:space="preserve"> </w:t>
            </w:r>
            <w:r w:rsidRPr="00D816BB">
              <w:rPr>
                <w:rFonts w:cstheme="minorHAnsi"/>
                <w:sz w:val="22"/>
              </w:rPr>
              <w:t>condition</w:t>
            </w:r>
            <w:r w:rsidRPr="00D816BB">
              <w:rPr>
                <w:rFonts w:cstheme="minorHAnsi"/>
                <w:spacing w:val="-2"/>
                <w:sz w:val="22"/>
              </w:rPr>
              <w:t xml:space="preserve"> </w:t>
            </w:r>
            <w:r w:rsidRPr="00D816BB">
              <w:rPr>
                <w:rFonts w:cstheme="minorHAnsi"/>
                <w:sz w:val="22"/>
              </w:rPr>
              <w:t>that</w:t>
            </w:r>
            <w:r w:rsidRPr="00D816BB">
              <w:rPr>
                <w:rFonts w:cstheme="minorHAnsi"/>
                <w:spacing w:val="-2"/>
                <w:sz w:val="22"/>
              </w:rPr>
              <w:t xml:space="preserve"> </w:t>
            </w:r>
            <w:r w:rsidRPr="00D816BB">
              <w:rPr>
                <w:rFonts w:cstheme="minorHAnsi"/>
                <w:sz w:val="22"/>
              </w:rPr>
              <w:t>has</w:t>
            </w:r>
            <w:r w:rsidRPr="00D816BB">
              <w:rPr>
                <w:rFonts w:cstheme="minorHAnsi"/>
                <w:spacing w:val="-4"/>
                <w:sz w:val="22"/>
              </w:rPr>
              <w:t xml:space="preserve"> </w:t>
            </w:r>
            <w:r w:rsidRPr="00D816BB">
              <w:rPr>
                <w:rFonts w:cstheme="minorHAnsi"/>
                <w:sz w:val="22"/>
              </w:rPr>
              <w:t>arisen</w:t>
            </w:r>
            <w:r w:rsidRPr="00D816BB">
              <w:rPr>
                <w:rFonts w:cstheme="minorHAnsi"/>
                <w:spacing w:val="-4"/>
                <w:sz w:val="22"/>
              </w:rPr>
              <w:t xml:space="preserve"> </w:t>
            </w:r>
            <w:r w:rsidRPr="00D816BB">
              <w:rPr>
                <w:rFonts w:cstheme="minorHAnsi"/>
                <w:sz w:val="22"/>
              </w:rPr>
              <w:t>during</w:t>
            </w:r>
            <w:r w:rsidRPr="00D816BB">
              <w:rPr>
                <w:rFonts w:cstheme="minorHAnsi"/>
                <w:spacing w:val="-2"/>
                <w:sz w:val="22"/>
              </w:rPr>
              <w:t xml:space="preserve"> </w:t>
            </w:r>
            <w:r w:rsidRPr="00D816BB">
              <w:rPr>
                <w:rFonts w:cstheme="minorHAnsi"/>
                <w:sz w:val="22"/>
              </w:rPr>
              <w:t>the</w:t>
            </w:r>
            <w:r w:rsidRPr="00D816BB">
              <w:rPr>
                <w:rFonts w:cstheme="minorHAnsi"/>
                <w:spacing w:val="-2"/>
                <w:sz w:val="22"/>
              </w:rPr>
              <w:t xml:space="preserve"> </w:t>
            </w:r>
            <w:r w:rsidRPr="00D816BB">
              <w:rPr>
                <w:rFonts w:cstheme="minorHAnsi"/>
                <w:sz w:val="22"/>
              </w:rPr>
              <w:t>episode of admitted care that would not have been present or suspected on admission.</w:t>
            </w:r>
            <w:r>
              <w:rPr>
                <w:rFonts w:cstheme="minorHAnsi"/>
              </w:rPr>
              <w:fldChar w:fldCharType="begin"/>
            </w:r>
            <w:r>
              <w:rPr>
                <w:rFonts w:cstheme="minorHAnsi"/>
                <w:sz w:val="22"/>
              </w:rPr>
              <w:instrText xml:space="preserve"> ADDIN EN.CITE &lt;EndNote&gt;&lt;Cite&gt;&lt;Author&gt;Australian Institute of Health and Welfare&lt;/Author&gt;&lt;Year&gt;2024&lt;/Year&gt;&lt;RecNum&gt;230&lt;/RecNum&gt;&lt;DisplayText&gt;&lt;style face="superscript"&gt;25&lt;/style&gt;&lt;/DisplayText&gt;&lt;record&gt;&lt;rec-number&gt;230&lt;/rec-number&gt;&lt;foreign-keys&gt;&lt;key app="EN" db-id="2rp0a5drxdefz3e2e5dptftled295z2r2ve2" timestamp="1728537393"&gt;230&lt;/key&gt;&lt;/foreign-keys&gt;&lt;ref-type name="Generic"&gt;13&lt;/ref-type&gt;&lt;contributors&gt;&lt;authors&gt;&lt;author&gt;Australian Institute of Health and Welfare,&lt;/author&gt;&lt;/authors&gt;&lt;/contributors&gt;&lt;titles&gt;&lt;title&gt;METEOR Metadata online registry.&amp;#xD;Episode of admitted patient care—condition onset flag, code N&lt;/title&gt;&lt;/titles&gt;&lt;number&gt;10 October 2024&lt;/number&gt;&lt;dates&gt;&lt;year&gt;2024&lt;/year&gt;&lt;/dates&gt;&lt;work-type&gt;web page&lt;/work-type&gt;&lt;urls&gt;&lt;related-urls&gt;&lt;url&gt;https://meteor.aihw.gov.au/content/354816&lt;/url&gt;&lt;/related-urls&gt;&lt;/urls&gt;&lt;custom2&gt;10 October 2024&lt;/custom2&gt;&lt;/record&gt;&lt;/Cite&gt;&lt;/EndNote&gt;</w:instrText>
            </w:r>
            <w:r>
              <w:rPr>
                <w:rFonts w:cstheme="minorHAnsi"/>
              </w:rPr>
              <w:fldChar w:fldCharType="separate"/>
            </w:r>
            <w:r w:rsidRPr="000F125B">
              <w:rPr>
                <w:rFonts w:cstheme="minorHAnsi"/>
                <w:noProof/>
                <w:sz w:val="22"/>
                <w:vertAlign w:val="superscript"/>
              </w:rPr>
              <w:t>25</w:t>
            </w:r>
            <w:r>
              <w:rPr>
                <w:rFonts w:cstheme="minorHAnsi"/>
              </w:rPr>
              <w:fldChar w:fldCharType="end"/>
            </w:r>
            <w:r w:rsidRPr="00D816BB">
              <w:rPr>
                <w:rFonts w:cstheme="minorHAnsi"/>
                <w:sz w:val="22"/>
              </w:rPr>
              <w:t xml:space="preserve"> Separations coded as a non-principal CDI diagnosis with a COF1 may be described as healthcare-associated inpatient-onset CDI.</w:t>
            </w:r>
          </w:p>
        </w:tc>
      </w:tr>
      <w:tr w:rsidR="00B96D16" w:rsidRPr="00D816BB" w14:paraId="51CEB666" w14:textId="77777777" w:rsidTr="002F6516">
        <w:trPr>
          <w:cnfStyle w:val="000000010000" w:firstRow="0" w:lastRow="0" w:firstColumn="0" w:lastColumn="0" w:oddVBand="0" w:evenVBand="0" w:oddHBand="0" w:evenHBand="1" w:firstRowFirstColumn="0" w:firstRowLastColumn="0" w:lastRowFirstColumn="0" w:lastRowLastColumn="0"/>
          <w:trHeight w:val="1408"/>
        </w:trPr>
        <w:tc>
          <w:tcPr>
            <w:tcW w:w="0" w:type="dxa"/>
            <w:shd w:val="clear" w:color="auto" w:fill="FFF1E7"/>
            <w:vAlign w:val="center"/>
          </w:tcPr>
          <w:p w14:paraId="09CAB827" w14:textId="77777777" w:rsidR="00B96D16" w:rsidRPr="00D816BB" w:rsidRDefault="00B96D16" w:rsidP="00505471">
            <w:pPr>
              <w:spacing w:line="276" w:lineRule="auto"/>
              <w:rPr>
                <w:rFonts w:cstheme="minorHAnsi"/>
                <w:b/>
                <w:sz w:val="22"/>
              </w:rPr>
            </w:pPr>
            <w:r w:rsidRPr="00D816BB">
              <w:rPr>
                <w:rFonts w:cstheme="minorHAnsi"/>
                <w:b/>
                <w:sz w:val="22"/>
              </w:rPr>
              <w:t>Non-principal diagnosis</w:t>
            </w:r>
            <w:r w:rsidRPr="00D816BB">
              <w:rPr>
                <w:rFonts w:cstheme="minorHAnsi"/>
                <w:b/>
                <w:spacing w:val="-2"/>
                <w:sz w:val="22"/>
              </w:rPr>
              <w:t xml:space="preserve"> </w:t>
            </w:r>
            <w:r w:rsidRPr="00D816BB">
              <w:rPr>
                <w:rFonts w:cstheme="minorHAnsi"/>
                <w:b/>
                <w:sz w:val="22"/>
              </w:rPr>
              <w:t>COF2</w:t>
            </w:r>
          </w:p>
        </w:tc>
        <w:tc>
          <w:tcPr>
            <w:tcW w:w="0" w:type="dxa"/>
            <w:shd w:val="clear" w:color="auto" w:fill="FFF1E7"/>
            <w:vAlign w:val="center"/>
          </w:tcPr>
          <w:p w14:paraId="4107582E" w14:textId="77777777" w:rsidR="00B96D16" w:rsidRPr="00D816BB" w:rsidRDefault="00B96D16" w:rsidP="00505471">
            <w:pPr>
              <w:widowControl w:val="0"/>
              <w:tabs>
                <w:tab w:val="left" w:pos="2159"/>
              </w:tabs>
              <w:autoSpaceDE w:val="0"/>
              <w:autoSpaceDN w:val="0"/>
              <w:spacing w:after="0" w:line="276" w:lineRule="auto"/>
              <w:ind w:right="85"/>
              <w:rPr>
                <w:rFonts w:cstheme="minorHAnsi"/>
                <w:sz w:val="22"/>
              </w:rPr>
            </w:pPr>
            <w:r w:rsidRPr="00D816BB">
              <w:rPr>
                <w:rFonts w:cstheme="minorHAnsi"/>
                <w:spacing w:val="-4"/>
                <w:sz w:val="22"/>
              </w:rPr>
              <w:t>Term</w:t>
            </w:r>
            <w:r>
              <w:rPr>
                <w:rFonts w:cstheme="minorHAnsi"/>
                <w:spacing w:val="-4"/>
                <w:sz w:val="22"/>
              </w:rPr>
              <w:t>inology</w:t>
            </w:r>
            <w:r w:rsidRPr="00D816BB">
              <w:rPr>
                <w:rFonts w:cstheme="minorHAnsi"/>
                <w:spacing w:val="-4"/>
                <w:sz w:val="22"/>
              </w:rPr>
              <w:t xml:space="preserve"> used to describe </w:t>
            </w:r>
            <w:r w:rsidRPr="00D816BB">
              <w:rPr>
                <w:rFonts w:cstheme="minorHAnsi"/>
                <w:sz w:val="22"/>
              </w:rPr>
              <w:t>to</w:t>
            </w:r>
            <w:r w:rsidRPr="00D816BB">
              <w:rPr>
                <w:rFonts w:cstheme="minorHAnsi"/>
                <w:spacing w:val="-2"/>
                <w:sz w:val="22"/>
              </w:rPr>
              <w:t xml:space="preserve"> </w:t>
            </w:r>
            <w:r w:rsidRPr="00D816BB">
              <w:rPr>
                <w:rFonts w:cstheme="minorHAnsi"/>
                <w:sz w:val="22"/>
              </w:rPr>
              <w:t>a</w:t>
            </w:r>
            <w:r w:rsidRPr="00D816BB">
              <w:rPr>
                <w:rFonts w:cstheme="minorHAnsi"/>
                <w:spacing w:val="-4"/>
                <w:sz w:val="22"/>
              </w:rPr>
              <w:t xml:space="preserve"> </w:t>
            </w:r>
            <w:r w:rsidRPr="00D816BB">
              <w:rPr>
                <w:rFonts w:cstheme="minorHAnsi"/>
                <w:sz w:val="22"/>
              </w:rPr>
              <w:t>condition</w:t>
            </w:r>
            <w:r w:rsidRPr="00D816BB">
              <w:rPr>
                <w:rFonts w:cstheme="minorHAnsi"/>
                <w:spacing w:val="-2"/>
                <w:sz w:val="22"/>
              </w:rPr>
              <w:t xml:space="preserve"> </w:t>
            </w:r>
            <w:r w:rsidRPr="00D816BB">
              <w:rPr>
                <w:rFonts w:cstheme="minorHAnsi"/>
                <w:sz w:val="22"/>
              </w:rPr>
              <w:t>previously</w:t>
            </w:r>
            <w:r w:rsidRPr="00D816BB">
              <w:rPr>
                <w:rFonts w:cstheme="minorHAnsi"/>
                <w:spacing w:val="-1"/>
                <w:sz w:val="22"/>
              </w:rPr>
              <w:t xml:space="preserve"> </w:t>
            </w:r>
            <w:r w:rsidRPr="00D816BB">
              <w:rPr>
                <w:rFonts w:cstheme="minorHAnsi"/>
                <w:sz w:val="22"/>
              </w:rPr>
              <w:t>existing</w:t>
            </w:r>
            <w:r w:rsidRPr="00D816BB">
              <w:rPr>
                <w:rFonts w:cstheme="minorHAnsi"/>
                <w:spacing w:val="-4"/>
                <w:sz w:val="22"/>
              </w:rPr>
              <w:t xml:space="preserve"> </w:t>
            </w:r>
            <w:r w:rsidRPr="00D816BB">
              <w:rPr>
                <w:rFonts w:cstheme="minorHAnsi"/>
                <w:sz w:val="22"/>
              </w:rPr>
              <w:t>or suspected</w:t>
            </w:r>
            <w:r w:rsidRPr="00D816BB">
              <w:rPr>
                <w:rFonts w:cstheme="minorHAnsi"/>
                <w:spacing w:val="-4"/>
                <w:sz w:val="22"/>
              </w:rPr>
              <w:t xml:space="preserve"> </w:t>
            </w:r>
            <w:r w:rsidRPr="00D816BB">
              <w:rPr>
                <w:rFonts w:cstheme="minorHAnsi"/>
                <w:sz w:val="22"/>
              </w:rPr>
              <w:t>on admission</w:t>
            </w:r>
            <w:r w:rsidRPr="00D816BB">
              <w:rPr>
                <w:rFonts w:cstheme="minorHAnsi"/>
                <w:spacing w:val="-4"/>
                <w:sz w:val="22"/>
              </w:rPr>
              <w:t xml:space="preserve"> </w:t>
            </w:r>
            <w:r w:rsidRPr="00D816BB">
              <w:rPr>
                <w:rFonts w:cstheme="minorHAnsi"/>
                <w:sz w:val="22"/>
              </w:rPr>
              <w:t>such</w:t>
            </w:r>
            <w:r w:rsidRPr="00D816BB">
              <w:rPr>
                <w:rFonts w:cstheme="minorHAnsi"/>
                <w:spacing w:val="-5"/>
                <w:sz w:val="22"/>
              </w:rPr>
              <w:t xml:space="preserve"> </w:t>
            </w:r>
            <w:r w:rsidRPr="00D816BB">
              <w:rPr>
                <w:rFonts w:cstheme="minorHAnsi"/>
                <w:sz w:val="22"/>
              </w:rPr>
              <w:t>as</w:t>
            </w:r>
            <w:r w:rsidRPr="00D816BB">
              <w:rPr>
                <w:rFonts w:cstheme="minorHAnsi"/>
                <w:spacing w:val="-5"/>
                <w:sz w:val="22"/>
              </w:rPr>
              <w:t xml:space="preserve"> </w:t>
            </w:r>
            <w:r w:rsidRPr="00D816BB">
              <w:rPr>
                <w:rFonts w:cstheme="minorHAnsi"/>
                <w:sz w:val="22"/>
              </w:rPr>
              <w:t>the</w:t>
            </w:r>
            <w:r w:rsidRPr="00D816BB">
              <w:rPr>
                <w:rFonts w:cstheme="minorHAnsi"/>
                <w:spacing w:val="-5"/>
                <w:sz w:val="22"/>
              </w:rPr>
              <w:t xml:space="preserve"> </w:t>
            </w:r>
            <w:r w:rsidRPr="00D816BB">
              <w:rPr>
                <w:rFonts w:cstheme="minorHAnsi"/>
                <w:sz w:val="22"/>
              </w:rPr>
              <w:t>presenting</w:t>
            </w:r>
            <w:r w:rsidRPr="00D816BB">
              <w:rPr>
                <w:rFonts w:cstheme="minorHAnsi"/>
                <w:spacing w:val="-3"/>
                <w:sz w:val="22"/>
              </w:rPr>
              <w:t xml:space="preserve"> </w:t>
            </w:r>
            <w:r w:rsidRPr="00D816BB">
              <w:rPr>
                <w:rFonts w:cstheme="minorHAnsi"/>
                <w:sz w:val="22"/>
              </w:rPr>
              <w:t>problem,</w:t>
            </w:r>
            <w:r w:rsidRPr="00D816BB">
              <w:rPr>
                <w:rFonts w:cstheme="minorHAnsi"/>
                <w:spacing w:val="-3"/>
                <w:sz w:val="22"/>
              </w:rPr>
              <w:t xml:space="preserve"> </w:t>
            </w:r>
            <w:r w:rsidRPr="00D816BB">
              <w:rPr>
                <w:rFonts w:cstheme="minorHAnsi"/>
                <w:sz w:val="22"/>
              </w:rPr>
              <w:t>a</w:t>
            </w:r>
            <w:r w:rsidRPr="00D816BB">
              <w:rPr>
                <w:rFonts w:cstheme="minorHAnsi"/>
                <w:spacing w:val="-5"/>
                <w:sz w:val="22"/>
              </w:rPr>
              <w:t xml:space="preserve"> </w:t>
            </w:r>
            <w:r w:rsidRPr="00D816BB">
              <w:rPr>
                <w:rFonts w:cstheme="minorHAnsi"/>
                <w:sz w:val="22"/>
              </w:rPr>
              <w:t>comorbidity</w:t>
            </w:r>
            <w:r w:rsidRPr="00D816BB">
              <w:rPr>
                <w:rFonts w:cstheme="minorHAnsi"/>
                <w:spacing w:val="-2"/>
                <w:sz w:val="22"/>
              </w:rPr>
              <w:t xml:space="preserve"> </w:t>
            </w:r>
            <w:r w:rsidRPr="00D816BB">
              <w:rPr>
                <w:rFonts w:cstheme="minorHAnsi"/>
                <w:sz w:val="22"/>
              </w:rPr>
              <w:t>or</w:t>
            </w:r>
            <w:r w:rsidRPr="00D816BB">
              <w:rPr>
                <w:rFonts w:cstheme="minorHAnsi"/>
                <w:spacing w:val="-4"/>
                <w:sz w:val="22"/>
              </w:rPr>
              <w:t xml:space="preserve"> </w:t>
            </w:r>
            <w:r w:rsidRPr="00D816BB">
              <w:rPr>
                <w:rFonts w:cstheme="minorHAnsi"/>
                <w:sz w:val="22"/>
              </w:rPr>
              <w:t>chronic</w:t>
            </w:r>
            <w:r w:rsidRPr="00D816BB">
              <w:rPr>
                <w:rFonts w:cstheme="minorHAnsi"/>
                <w:spacing w:val="-2"/>
                <w:sz w:val="22"/>
              </w:rPr>
              <w:t xml:space="preserve"> </w:t>
            </w:r>
            <w:r w:rsidRPr="00D816BB">
              <w:rPr>
                <w:rFonts w:cstheme="minorHAnsi"/>
                <w:sz w:val="22"/>
              </w:rPr>
              <w:t>disease.</w:t>
            </w:r>
            <w:r>
              <w:rPr>
                <w:rFonts w:cstheme="minorHAnsi"/>
              </w:rPr>
              <w:fldChar w:fldCharType="begin"/>
            </w:r>
            <w:r>
              <w:rPr>
                <w:rFonts w:cstheme="minorHAnsi"/>
                <w:sz w:val="22"/>
              </w:rPr>
              <w:instrText xml:space="preserve"> ADDIN EN.CITE &lt;EndNote&gt;&lt;Cite&gt;&lt;Author&gt;Australian Institute of Health and Welfare&lt;/Author&gt;&lt;Year&gt;2024&lt;/Year&gt;&lt;RecNum&gt;230&lt;/RecNum&gt;&lt;DisplayText&gt;&lt;style face="superscript"&gt;25&lt;/style&gt;&lt;/DisplayText&gt;&lt;record&gt;&lt;rec-number&gt;230&lt;/rec-number&gt;&lt;foreign-keys&gt;&lt;key app="EN" db-id="2rp0a5drxdefz3e2e5dptftled295z2r2ve2" timestamp="1728537393"&gt;230&lt;/key&gt;&lt;/foreign-keys&gt;&lt;ref-type name="Generic"&gt;13&lt;/ref-type&gt;&lt;contributors&gt;&lt;authors&gt;&lt;author&gt;Australian Institute of Health and Welfare,&lt;/author&gt;&lt;/authors&gt;&lt;/contributors&gt;&lt;titles&gt;&lt;title&gt;METEOR Metadata online registry.&amp;#xD;Episode of admitted patient care—condition onset flag, code N&lt;/title&gt;&lt;/titles&gt;&lt;number&gt;10 October 2024&lt;/number&gt;&lt;dates&gt;&lt;year&gt;2024&lt;/year&gt;&lt;/dates&gt;&lt;work-type&gt;web page&lt;/work-type&gt;&lt;urls&gt;&lt;related-urls&gt;&lt;url&gt;https://meteor.aihw.gov.au/content/354816&lt;/url&gt;&lt;/related-urls&gt;&lt;/urls&gt;&lt;custom2&gt;10 October 2024&lt;/custom2&gt;&lt;/record&gt;&lt;/Cite&gt;&lt;/EndNote&gt;</w:instrText>
            </w:r>
            <w:r>
              <w:rPr>
                <w:rFonts w:cstheme="minorHAnsi"/>
              </w:rPr>
              <w:fldChar w:fldCharType="separate"/>
            </w:r>
            <w:r w:rsidRPr="000F125B">
              <w:rPr>
                <w:rFonts w:cstheme="minorHAnsi"/>
                <w:noProof/>
                <w:sz w:val="22"/>
                <w:vertAlign w:val="superscript"/>
              </w:rPr>
              <w:t>25</w:t>
            </w:r>
            <w:r>
              <w:rPr>
                <w:rFonts w:cstheme="minorHAnsi"/>
              </w:rPr>
              <w:fldChar w:fldCharType="end"/>
            </w:r>
            <w:r w:rsidRPr="00D816BB">
              <w:rPr>
                <w:rFonts w:cstheme="minorHAnsi"/>
                <w:sz w:val="22"/>
              </w:rPr>
              <w:t xml:space="preserve"> </w:t>
            </w:r>
            <w:r w:rsidRPr="00D816BB">
              <w:rPr>
                <w:rFonts w:cstheme="minorHAnsi"/>
                <w:spacing w:val="-24"/>
                <w:sz w:val="22"/>
              </w:rPr>
              <w:t xml:space="preserve"> </w:t>
            </w:r>
            <w:r w:rsidRPr="00D816BB">
              <w:rPr>
                <w:rFonts w:cstheme="minorHAnsi"/>
                <w:sz w:val="22"/>
              </w:rPr>
              <w:t>Separations coded as non-principal CDI diagnoses with a COF2 may describe either a healthcare-associated community-onset CDI or a community-associated CDI.</w:t>
            </w:r>
          </w:p>
        </w:tc>
      </w:tr>
      <w:bookmarkEnd w:id="43"/>
      <w:tr w:rsidR="00B96D16" w:rsidRPr="00D816BB" w14:paraId="797353F3" w14:textId="77777777" w:rsidTr="002F6516">
        <w:trPr>
          <w:trHeight w:val="846"/>
        </w:trPr>
        <w:tc>
          <w:tcPr>
            <w:tcW w:w="0" w:type="dxa"/>
            <w:vAlign w:val="center"/>
          </w:tcPr>
          <w:p w14:paraId="02385128" w14:textId="77777777" w:rsidR="00B96D16" w:rsidRPr="00D816BB" w:rsidRDefault="00B96D16" w:rsidP="00505471">
            <w:pPr>
              <w:spacing w:line="276" w:lineRule="auto"/>
              <w:rPr>
                <w:rFonts w:cstheme="minorHAnsi"/>
                <w:sz w:val="22"/>
              </w:rPr>
            </w:pPr>
            <w:r w:rsidRPr="00D816BB">
              <w:rPr>
                <w:rFonts w:cstheme="minorHAnsi"/>
                <w:b/>
                <w:bCs/>
                <w:sz w:val="22"/>
              </w:rPr>
              <w:t>Patient bed days</w:t>
            </w:r>
          </w:p>
        </w:tc>
        <w:tc>
          <w:tcPr>
            <w:tcW w:w="0" w:type="dxa"/>
            <w:vAlign w:val="center"/>
          </w:tcPr>
          <w:p w14:paraId="458E26CD" w14:textId="77777777" w:rsidR="00B96D16" w:rsidRPr="00D816BB" w:rsidRDefault="00B96D16" w:rsidP="00505471">
            <w:pPr>
              <w:pStyle w:val="BodyText"/>
              <w:spacing w:line="276" w:lineRule="auto"/>
              <w:ind w:right="171"/>
              <w:rPr>
                <w:rFonts w:cstheme="minorHAnsi"/>
                <w:spacing w:val="-2"/>
                <w:sz w:val="22"/>
              </w:rPr>
            </w:pPr>
            <w:r w:rsidRPr="00D816BB">
              <w:rPr>
                <w:rFonts w:cstheme="minorHAnsi"/>
                <w:sz w:val="22"/>
              </w:rPr>
              <w:t>Terminology used to describe the total number of days for all patients who were</w:t>
            </w:r>
            <w:r w:rsidRPr="00D816BB">
              <w:rPr>
                <w:rFonts w:cstheme="minorHAnsi"/>
                <w:spacing w:val="-2"/>
                <w:sz w:val="22"/>
              </w:rPr>
              <w:t xml:space="preserve"> </w:t>
            </w:r>
            <w:r w:rsidRPr="00D816BB">
              <w:rPr>
                <w:rFonts w:cstheme="minorHAnsi"/>
                <w:sz w:val="22"/>
              </w:rPr>
              <w:t>admitted</w:t>
            </w:r>
            <w:r w:rsidRPr="00D816BB">
              <w:rPr>
                <w:rFonts w:cstheme="minorHAnsi"/>
                <w:spacing w:val="-4"/>
                <w:sz w:val="22"/>
              </w:rPr>
              <w:t xml:space="preserve"> </w:t>
            </w:r>
            <w:r w:rsidRPr="00D816BB">
              <w:rPr>
                <w:rFonts w:cstheme="minorHAnsi"/>
                <w:sz w:val="22"/>
              </w:rPr>
              <w:t>for an</w:t>
            </w:r>
            <w:r w:rsidRPr="00D816BB">
              <w:rPr>
                <w:rFonts w:cstheme="minorHAnsi"/>
                <w:spacing w:val="-4"/>
                <w:sz w:val="22"/>
              </w:rPr>
              <w:t xml:space="preserve"> </w:t>
            </w:r>
            <w:r w:rsidRPr="00D816BB">
              <w:rPr>
                <w:rFonts w:cstheme="minorHAnsi"/>
                <w:sz w:val="22"/>
              </w:rPr>
              <w:t>episode</w:t>
            </w:r>
            <w:r w:rsidRPr="00D816BB">
              <w:rPr>
                <w:rFonts w:cstheme="minorHAnsi"/>
                <w:spacing w:val="-2"/>
                <w:sz w:val="22"/>
              </w:rPr>
              <w:t xml:space="preserve"> </w:t>
            </w:r>
            <w:r w:rsidRPr="00D816BB">
              <w:rPr>
                <w:rFonts w:cstheme="minorHAnsi"/>
                <w:sz w:val="22"/>
              </w:rPr>
              <w:t>of</w:t>
            </w:r>
            <w:r w:rsidRPr="00D816BB">
              <w:rPr>
                <w:rFonts w:cstheme="minorHAnsi"/>
                <w:spacing w:val="-2"/>
                <w:sz w:val="22"/>
              </w:rPr>
              <w:t xml:space="preserve"> </w:t>
            </w:r>
            <w:r w:rsidRPr="00D816BB">
              <w:rPr>
                <w:rFonts w:cstheme="minorHAnsi"/>
                <w:sz w:val="22"/>
              </w:rPr>
              <w:t>care</w:t>
            </w:r>
            <w:r w:rsidRPr="00D816BB">
              <w:rPr>
                <w:rFonts w:cstheme="minorHAnsi"/>
                <w:spacing w:val="-4"/>
                <w:sz w:val="22"/>
              </w:rPr>
              <w:t xml:space="preserve"> </w:t>
            </w:r>
            <w:r w:rsidRPr="00D816BB">
              <w:rPr>
                <w:rFonts w:cstheme="minorHAnsi"/>
                <w:sz w:val="22"/>
              </w:rPr>
              <w:t>and</w:t>
            </w:r>
            <w:r w:rsidRPr="00D816BB">
              <w:rPr>
                <w:rFonts w:cstheme="minorHAnsi"/>
                <w:spacing w:val="-4"/>
                <w:sz w:val="22"/>
              </w:rPr>
              <w:t xml:space="preserve"> </w:t>
            </w:r>
            <w:r w:rsidRPr="00D816BB">
              <w:rPr>
                <w:rFonts w:cstheme="minorHAnsi"/>
                <w:sz w:val="22"/>
              </w:rPr>
              <w:t>who</w:t>
            </w:r>
            <w:r w:rsidRPr="00D816BB">
              <w:rPr>
                <w:rFonts w:cstheme="minorHAnsi"/>
                <w:spacing w:val="-2"/>
                <w:sz w:val="22"/>
              </w:rPr>
              <w:t xml:space="preserve"> </w:t>
            </w:r>
            <w:r w:rsidRPr="00D816BB">
              <w:rPr>
                <w:rFonts w:cstheme="minorHAnsi"/>
                <w:sz w:val="22"/>
              </w:rPr>
              <w:t>separated</w:t>
            </w:r>
            <w:r w:rsidRPr="00D816BB">
              <w:rPr>
                <w:rFonts w:cstheme="minorHAnsi"/>
                <w:spacing w:val="-4"/>
                <w:sz w:val="22"/>
              </w:rPr>
              <w:t xml:space="preserve"> </w:t>
            </w:r>
            <w:r w:rsidRPr="00D816BB">
              <w:rPr>
                <w:rFonts w:cstheme="minorHAnsi"/>
                <w:sz w:val="22"/>
              </w:rPr>
              <w:t>during</w:t>
            </w:r>
            <w:r w:rsidRPr="00D816BB">
              <w:rPr>
                <w:rFonts w:cstheme="minorHAnsi"/>
                <w:spacing w:val="-2"/>
                <w:sz w:val="22"/>
              </w:rPr>
              <w:t xml:space="preserve"> </w:t>
            </w:r>
            <w:r w:rsidRPr="00D816BB">
              <w:rPr>
                <w:rFonts w:cstheme="minorHAnsi"/>
                <w:sz w:val="22"/>
              </w:rPr>
              <w:t>a</w:t>
            </w:r>
            <w:r w:rsidRPr="00D816BB">
              <w:rPr>
                <w:rFonts w:cstheme="minorHAnsi"/>
                <w:spacing w:val="-4"/>
                <w:sz w:val="22"/>
              </w:rPr>
              <w:t xml:space="preserve"> </w:t>
            </w:r>
            <w:r w:rsidRPr="00D816BB">
              <w:rPr>
                <w:rFonts w:cstheme="minorHAnsi"/>
                <w:sz w:val="22"/>
              </w:rPr>
              <w:t>specific</w:t>
            </w:r>
            <w:r w:rsidRPr="00D816BB">
              <w:rPr>
                <w:rFonts w:cstheme="minorHAnsi"/>
                <w:spacing w:val="-4"/>
                <w:sz w:val="22"/>
              </w:rPr>
              <w:t xml:space="preserve"> </w:t>
            </w:r>
            <w:r w:rsidRPr="00D816BB">
              <w:rPr>
                <w:rFonts w:cstheme="minorHAnsi"/>
                <w:sz w:val="22"/>
              </w:rPr>
              <w:t>reference</w:t>
            </w:r>
            <w:r w:rsidRPr="00D816BB">
              <w:rPr>
                <w:rFonts w:cstheme="minorHAnsi"/>
                <w:spacing w:val="-4"/>
                <w:sz w:val="22"/>
              </w:rPr>
              <w:t xml:space="preserve"> </w:t>
            </w:r>
            <w:r w:rsidRPr="00D816BB">
              <w:rPr>
                <w:rFonts w:cstheme="minorHAnsi"/>
                <w:sz w:val="22"/>
              </w:rPr>
              <w:t>period.</w:t>
            </w:r>
            <w:r w:rsidRPr="00D816BB">
              <w:rPr>
                <w:rFonts w:cstheme="minorHAnsi"/>
              </w:rPr>
              <w:fldChar w:fldCharType="begin"/>
            </w:r>
            <w:r>
              <w:rPr>
                <w:rFonts w:cstheme="minorHAnsi"/>
              </w:rPr>
              <w:instrText xml:space="preserve"> ADDIN EN.CITE &lt;EndNote&gt;&lt;Cite&gt;&lt;Author&gt;Australian institue of Health and Welfare.&lt;/Author&gt;&lt;Year&gt;2022&lt;/Year&gt;&lt;RecNum&gt;115&lt;/RecNum&gt;&lt;DisplayText&gt;&lt;style face="superscript"&gt;12&lt;/style&gt;&lt;/DisplayText&gt;&lt;record&gt;&lt;rec-number&gt;115&lt;/rec-number&gt;&lt;foreign-keys&gt;&lt;key app="EN" db-id="2rp0a5drxdefz3e2e5dptftled295z2r2ve2" timestamp="1623907505"&gt;115&lt;/key&gt;&lt;/foreign-keys&gt;&lt;ref-type name="Generic"&gt;13&lt;/ref-type&gt;&lt;contributors&gt;&lt;authors&gt;&lt;author&gt;Australian institue of Health and Welfare.,&lt;/author&gt;&lt;/authors&gt;&lt;/contributors&gt;&lt;titles&gt;&lt;title&gt;Admitted patient activity 2022-23&lt;/title&gt;&lt;/titles&gt;&lt;number&gt;12 April 2024&lt;/number&gt;&lt;dates&gt;&lt;year&gt;2022&lt;/year&gt;&lt;/dates&gt;&lt;pub-location&gt;Sydney&lt;/pub-location&gt;&lt;publisher&gt;AIHW&lt;/publisher&gt;&lt;urls&gt;&lt;related-urls&gt;&lt;url&gt;https://www.aihw.gov.au/reports-data/myhospitals/intersection/activity/apc&lt;/url&gt;&lt;/related-urls&gt;&lt;/urls&gt;&lt;/record&gt;&lt;/Cite&gt;&lt;/EndNote&gt;</w:instrText>
            </w:r>
            <w:r w:rsidRPr="00D816BB">
              <w:rPr>
                <w:rFonts w:cstheme="minorHAnsi"/>
              </w:rPr>
              <w:fldChar w:fldCharType="separate"/>
            </w:r>
            <w:r w:rsidRPr="00E11545">
              <w:rPr>
                <w:rFonts w:cstheme="minorHAnsi"/>
                <w:noProof/>
                <w:vertAlign w:val="superscript"/>
              </w:rPr>
              <w:t>12</w:t>
            </w:r>
            <w:r w:rsidRPr="00D816BB">
              <w:rPr>
                <w:rFonts w:cstheme="minorHAnsi"/>
              </w:rPr>
              <w:fldChar w:fldCharType="end"/>
            </w:r>
            <w:r w:rsidRPr="00D816BB">
              <w:rPr>
                <w:rFonts w:cstheme="minorHAnsi"/>
                <w:spacing w:val="-2"/>
                <w:sz w:val="22"/>
              </w:rPr>
              <w:t xml:space="preserve"> </w:t>
            </w:r>
          </w:p>
        </w:tc>
      </w:tr>
      <w:tr w:rsidR="00B96D16" w:rsidRPr="00D816BB" w14:paraId="18DDE824" w14:textId="77777777" w:rsidTr="002F6516">
        <w:trPr>
          <w:cnfStyle w:val="000000010000" w:firstRow="0" w:lastRow="0" w:firstColumn="0" w:lastColumn="0" w:oddVBand="0" w:evenVBand="0" w:oddHBand="0" w:evenHBand="1" w:firstRowFirstColumn="0" w:firstRowLastColumn="0" w:lastRowFirstColumn="0" w:lastRowLastColumn="0"/>
          <w:trHeight w:val="1226"/>
        </w:trPr>
        <w:tc>
          <w:tcPr>
            <w:tcW w:w="0" w:type="dxa"/>
            <w:shd w:val="clear" w:color="auto" w:fill="FFF1E7"/>
            <w:vAlign w:val="center"/>
          </w:tcPr>
          <w:p w14:paraId="58687B13" w14:textId="77777777" w:rsidR="00B96D16" w:rsidRPr="00D816BB" w:rsidRDefault="00B96D16" w:rsidP="00505471">
            <w:pPr>
              <w:spacing w:line="276" w:lineRule="auto"/>
              <w:rPr>
                <w:rFonts w:cstheme="minorHAnsi"/>
                <w:sz w:val="22"/>
              </w:rPr>
            </w:pPr>
            <w:r w:rsidRPr="00D816BB">
              <w:rPr>
                <w:rFonts w:cstheme="minorHAnsi"/>
                <w:b/>
                <w:sz w:val="22"/>
              </w:rPr>
              <w:t>Principal diagnosis</w:t>
            </w:r>
          </w:p>
        </w:tc>
        <w:tc>
          <w:tcPr>
            <w:tcW w:w="0" w:type="dxa"/>
            <w:shd w:val="clear" w:color="auto" w:fill="FFF1E7"/>
            <w:vAlign w:val="center"/>
          </w:tcPr>
          <w:p w14:paraId="3B467406" w14:textId="77777777" w:rsidR="00B96D16" w:rsidRPr="00D816BB" w:rsidRDefault="00B96D16" w:rsidP="00505471">
            <w:pPr>
              <w:widowControl w:val="0"/>
              <w:tabs>
                <w:tab w:val="left" w:pos="2160"/>
              </w:tabs>
              <w:autoSpaceDE w:val="0"/>
              <w:autoSpaceDN w:val="0"/>
              <w:spacing w:after="0" w:line="276" w:lineRule="auto"/>
              <w:ind w:right="28"/>
              <w:rPr>
                <w:rFonts w:cstheme="minorHAnsi"/>
                <w:sz w:val="22"/>
              </w:rPr>
            </w:pPr>
            <w:r w:rsidRPr="00D816BB">
              <w:rPr>
                <w:rFonts w:cstheme="minorHAnsi"/>
                <w:sz w:val="22"/>
              </w:rPr>
              <w:t>Term</w:t>
            </w:r>
            <w:r>
              <w:rPr>
                <w:rFonts w:cstheme="minorHAnsi"/>
                <w:sz w:val="22"/>
              </w:rPr>
              <w:t>inology</w:t>
            </w:r>
            <w:r w:rsidRPr="00D816BB">
              <w:rPr>
                <w:rFonts w:cstheme="minorHAnsi"/>
                <w:sz w:val="22"/>
              </w:rPr>
              <w:t xml:space="preserve"> to describes the primary condition resulting in admission of an individual</w:t>
            </w:r>
            <w:r w:rsidRPr="00D816BB">
              <w:rPr>
                <w:rFonts w:cstheme="minorHAnsi"/>
                <w:spacing w:val="-3"/>
                <w:sz w:val="22"/>
              </w:rPr>
              <w:t xml:space="preserve"> </w:t>
            </w:r>
            <w:r w:rsidRPr="00D816BB">
              <w:rPr>
                <w:rFonts w:cstheme="minorHAnsi"/>
                <w:sz w:val="22"/>
              </w:rPr>
              <w:t>to</w:t>
            </w:r>
            <w:r w:rsidRPr="00D816BB">
              <w:rPr>
                <w:rFonts w:cstheme="minorHAnsi"/>
                <w:spacing w:val="-3"/>
                <w:sz w:val="22"/>
              </w:rPr>
              <w:t xml:space="preserve"> </w:t>
            </w:r>
            <w:r w:rsidRPr="00D816BB">
              <w:rPr>
                <w:rFonts w:cstheme="minorHAnsi"/>
                <w:sz w:val="22"/>
              </w:rPr>
              <w:t>hospital.</w:t>
            </w:r>
            <w:r w:rsidRPr="00D816BB">
              <w:rPr>
                <w:rFonts w:cstheme="minorHAnsi"/>
                <w:spacing w:val="-1"/>
                <w:sz w:val="22"/>
              </w:rPr>
              <w:t xml:space="preserve"> </w:t>
            </w:r>
            <w:r w:rsidRPr="00D816BB">
              <w:rPr>
                <w:rFonts w:cstheme="minorHAnsi"/>
                <w:sz w:val="22"/>
              </w:rPr>
              <w:t>This</w:t>
            </w:r>
            <w:r w:rsidRPr="00D816BB">
              <w:rPr>
                <w:rFonts w:cstheme="minorHAnsi"/>
                <w:spacing w:val="-2"/>
                <w:sz w:val="22"/>
              </w:rPr>
              <w:t xml:space="preserve"> </w:t>
            </w:r>
            <w:r w:rsidRPr="00D816BB">
              <w:rPr>
                <w:rFonts w:cstheme="minorHAnsi"/>
                <w:sz w:val="22"/>
              </w:rPr>
              <w:t>may</w:t>
            </w:r>
            <w:r w:rsidRPr="00D816BB">
              <w:rPr>
                <w:rFonts w:cstheme="minorHAnsi"/>
                <w:spacing w:val="-2"/>
                <w:sz w:val="22"/>
              </w:rPr>
              <w:t xml:space="preserve"> </w:t>
            </w:r>
            <w:r w:rsidRPr="00D816BB">
              <w:rPr>
                <w:rFonts w:cstheme="minorHAnsi"/>
                <w:sz w:val="22"/>
              </w:rPr>
              <w:t>include</w:t>
            </w:r>
            <w:r w:rsidRPr="00D816BB">
              <w:rPr>
                <w:rFonts w:cstheme="minorHAnsi"/>
                <w:spacing w:val="-3"/>
                <w:sz w:val="22"/>
              </w:rPr>
              <w:t xml:space="preserve"> </w:t>
            </w:r>
            <w:r w:rsidRPr="00D816BB">
              <w:rPr>
                <w:rFonts w:cstheme="minorHAnsi"/>
                <w:sz w:val="22"/>
              </w:rPr>
              <w:t>cases</w:t>
            </w:r>
            <w:r w:rsidRPr="00D816BB">
              <w:rPr>
                <w:rFonts w:cstheme="minorHAnsi"/>
                <w:spacing w:val="-2"/>
                <w:sz w:val="22"/>
              </w:rPr>
              <w:t xml:space="preserve"> </w:t>
            </w:r>
            <w:r w:rsidRPr="00D816BB">
              <w:rPr>
                <w:rFonts w:cstheme="minorHAnsi"/>
                <w:sz w:val="22"/>
              </w:rPr>
              <w:t>of</w:t>
            </w:r>
            <w:r w:rsidRPr="00D816BB">
              <w:rPr>
                <w:rFonts w:cstheme="minorHAnsi"/>
                <w:spacing w:val="-1"/>
                <w:sz w:val="22"/>
              </w:rPr>
              <w:t xml:space="preserve"> </w:t>
            </w:r>
            <w:r w:rsidRPr="00D816BB">
              <w:rPr>
                <w:rFonts w:cstheme="minorHAnsi"/>
                <w:sz w:val="22"/>
              </w:rPr>
              <w:t>CDI</w:t>
            </w:r>
            <w:r w:rsidRPr="00D816BB">
              <w:rPr>
                <w:rFonts w:cstheme="minorHAnsi"/>
                <w:spacing w:val="-1"/>
                <w:sz w:val="22"/>
              </w:rPr>
              <w:t xml:space="preserve"> </w:t>
            </w:r>
            <w:r w:rsidRPr="00D816BB">
              <w:rPr>
                <w:rFonts w:cstheme="minorHAnsi"/>
                <w:sz w:val="22"/>
              </w:rPr>
              <w:t>that</w:t>
            </w:r>
            <w:r w:rsidRPr="00D816BB">
              <w:rPr>
                <w:rFonts w:cstheme="minorHAnsi"/>
                <w:spacing w:val="-1"/>
                <w:sz w:val="22"/>
              </w:rPr>
              <w:t xml:space="preserve"> </w:t>
            </w:r>
            <w:r w:rsidRPr="00D816BB">
              <w:rPr>
                <w:rFonts w:cstheme="minorHAnsi"/>
                <w:sz w:val="22"/>
              </w:rPr>
              <w:t>develop</w:t>
            </w:r>
            <w:r w:rsidRPr="00D816BB">
              <w:rPr>
                <w:rFonts w:cstheme="minorHAnsi"/>
                <w:spacing w:val="-3"/>
                <w:sz w:val="22"/>
              </w:rPr>
              <w:t xml:space="preserve"> </w:t>
            </w:r>
            <w:r w:rsidRPr="00D816BB">
              <w:rPr>
                <w:rFonts w:cstheme="minorHAnsi"/>
                <w:sz w:val="22"/>
              </w:rPr>
              <w:t>in</w:t>
            </w:r>
            <w:r w:rsidRPr="00D816BB">
              <w:rPr>
                <w:rFonts w:cstheme="minorHAnsi"/>
                <w:spacing w:val="-5"/>
                <w:sz w:val="22"/>
              </w:rPr>
              <w:t xml:space="preserve"> </w:t>
            </w:r>
            <w:r w:rsidRPr="00D816BB">
              <w:rPr>
                <w:rFonts w:cstheme="minorHAnsi"/>
                <w:sz w:val="22"/>
              </w:rPr>
              <w:t>the</w:t>
            </w:r>
            <w:r w:rsidRPr="00D816BB">
              <w:rPr>
                <w:rFonts w:cstheme="minorHAnsi"/>
                <w:spacing w:val="-3"/>
                <w:sz w:val="22"/>
              </w:rPr>
              <w:t xml:space="preserve"> </w:t>
            </w:r>
            <w:r w:rsidRPr="00D816BB">
              <w:rPr>
                <w:rFonts w:cstheme="minorHAnsi"/>
                <w:sz w:val="22"/>
              </w:rPr>
              <w:t>community</w:t>
            </w:r>
            <w:r w:rsidRPr="00D816BB">
              <w:rPr>
                <w:rFonts w:cstheme="minorHAnsi"/>
                <w:spacing w:val="-2"/>
                <w:sz w:val="22"/>
              </w:rPr>
              <w:t xml:space="preserve"> </w:t>
            </w:r>
            <w:r w:rsidRPr="00D816BB">
              <w:rPr>
                <w:rFonts w:cstheme="minorHAnsi"/>
                <w:sz w:val="22"/>
              </w:rPr>
              <w:t>or</w:t>
            </w:r>
            <w:r w:rsidRPr="00D816BB">
              <w:rPr>
                <w:rFonts w:cstheme="minorHAnsi"/>
                <w:spacing w:val="-4"/>
                <w:sz w:val="22"/>
              </w:rPr>
              <w:t xml:space="preserve"> </w:t>
            </w:r>
            <w:r w:rsidRPr="00D816BB">
              <w:rPr>
                <w:rFonts w:cstheme="minorHAnsi"/>
                <w:sz w:val="22"/>
              </w:rPr>
              <w:t>may be attributed to a previous hospital admission.</w:t>
            </w:r>
            <w:r>
              <w:rPr>
                <w:rFonts w:cstheme="minorHAnsi"/>
              </w:rPr>
              <w:fldChar w:fldCharType="begin"/>
            </w:r>
            <w:r>
              <w:rPr>
                <w:rFonts w:cstheme="minorHAnsi"/>
              </w:rPr>
              <w:instrText xml:space="preserve"> ADDIN EN.CITE &lt;EndNote&gt;&lt;Cite&gt;&lt;Author&gt;Australian Institute of Health and Welfare&lt;/Author&gt;&lt;Year&gt;2023&lt;/Year&gt;&lt;RecNum&gt;10&lt;/RecNum&gt;&lt;DisplayText&gt;&lt;style face="superscript"&gt;11&lt;/style&gt;&lt;/DisplayText&gt;&lt;record&gt;&lt;rec-number&gt;10&lt;/rec-number&gt;&lt;foreign-keys&gt;&lt;key app="EN" db-id="2rp0a5drxdefz3e2e5dptftled295z2r2ve2" timestamp="1586237390"&gt;10&lt;/key&gt;&lt;/foreign-keys&gt;&lt;ref-type name="Electronic Article"&gt;43&lt;/ref-type&gt;&lt;contributors&gt;&lt;authors&gt;&lt;author&gt;Australian Institute of Health and Welfare,&lt;/author&gt;&lt;/authors&gt;&lt;/contributors&gt;&lt;titles&gt;&lt;title&gt;Principal diagnosis data cubes. &lt;/title&gt;&lt;/titles&gt;&lt;dates&gt;&lt;year&gt;2023&lt;/year&gt;&lt;pub-dates&gt;&lt;date&gt;12 April 2024&lt;/date&gt;&lt;/pub-dates&gt;&lt;/dates&gt;&lt;urls&gt;&lt;related-urls&gt;&lt;url&gt;http://www.aihw.gov.au/hospitals-data/principal-diagnosis-data-cubes/&lt;/url&gt;&lt;/related-urls&gt;&lt;/urls&gt;&lt;access-date&gt;[cited 5 August 2019]&lt;/access-date&gt;&lt;/record&gt;&lt;/Cite&gt;&lt;/EndNote&gt;</w:instrText>
            </w:r>
            <w:r>
              <w:rPr>
                <w:rFonts w:cstheme="minorHAnsi"/>
              </w:rPr>
              <w:fldChar w:fldCharType="separate"/>
            </w:r>
            <w:r w:rsidRPr="00E11545">
              <w:rPr>
                <w:rFonts w:cstheme="minorHAnsi"/>
                <w:noProof/>
                <w:vertAlign w:val="superscript"/>
              </w:rPr>
              <w:t>11</w:t>
            </w:r>
            <w:r>
              <w:rPr>
                <w:rFonts w:cstheme="minorHAnsi"/>
              </w:rPr>
              <w:fldChar w:fldCharType="end"/>
            </w:r>
            <w:r w:rsidRPr="00D816BB">
              <w:rPr>
                <w:rFonts w:cstheme="minorHAnsi"/>
                <w:sz w:val="22"/>
              </w:rPr>
              <w:t xml:space="preserve"> </w:t>
            </w:r>
          </w:p>
        </w:tc>
      </w:tr>
      <w:tr w:rsidR="00B96D16" w:rsidRPr="00D816BB" w14:paraId="0E2AD2DA" w14:textId="77777777" w:rsidTr="002F6516">
        <w:trPr>
          <w:trHeight w:val="681"/>
        </w:trPr>
        <w:tc>
          <w:tcPr>
            <w:tcW w:w="0" w:type="dxa"/>
            <w:vAlign w:val="center"/>
          </w:tcPr>
          <w:p w14:paraId="141F7E61" w14:textId="77777777" w:rsidR="00B96D16" w:rsidRPr="00D816BB" w:rsidRDefault="00B96D16" w:rsidP="00505471">
            <w:pPr>
              <w:spacing w:line="276" w:lineRule="auto"/>
              <w:rPr>
                <w:rFonts w:cstheme="minorHAnsi"/>
                <w:sz w:val="22"/>
              </w:rPr>
            </w:pPr>
            <w:r w:rsidRPr="00D816BB">
              <w:rPr>
                <w:rFonts w:cstheme="minorHAnsi"/>
                <w:b/>
                <w:bCs/>
                <w:sz w:val="22"/>
              </w:rPr>
              <w:t>Separation</w:t>
            </w:r>
          </w:p>
        </w:tc>
        <w:tc>
          <w:tcPr>
            <w:tcW w:w="0" w:type="dxa"/>
            <w:vAlign w:val="center"/>
          </w:tcPr>
          <w:p w14:paraId="174005CA" w14:textId="77777777" w:rsidR="00B96D16" w:rsidRPr="00D816BB" w:rsidRDefault="00B96D16" w:rsidP="00505471">
            <w:pPr>
              <w:pStyle w:val="BodyText"/>
              <w:spacing w:line="276" w:lineRule="auto"/>
              <w:ind w:right="29"/>
              <w:rPr>
                <w:rFonts w:cstheme="minorHAnsi"/>
                <w:sz w:val="22"/>
              </w:rPr>
            </w:pPr>
            <w:r w:rsidRPr="00D816BB">
              <w:rPr>
                <w:rFonts w:cstheme="minorHAnsi"/>
                <w:sz w:val="22"/>
              </w:rPr>
              <w:t>Describes completion of a patient’s care from hospital by discharge, death or transfer.</w:t>
            </w:r>
            <w:r w:rsidRPr="00D816BB">
              <w:rPr>
                <w:rFonts w:cstheme="minorHAnsi"/>
              </w:rPr>
              <w:fldChar w:fldCharType="begin"/>
            </w:r>
            <w:r>
              <w:rPr>
                <w:rFonts w:cstheme="minorHAnsi"/>
              </w:rPr>
              <w:instrText xml:space="preserve"> ADDIN EN.CITE &lt;EndNote&gt;&lt;Cite&gt;&lt;Author&gt;Australian institue of Health and Welfare.&lt;/Author&gt;&lt;Year&gt;2022&lt;/Year&gt;&lt;RecNum&gt;115&lt;/RecNum&gt;&lt;DisplayText&gt;&lt;style face="superscript"&gt;12&lt;/style&gt;&lt;/DisplayText&gt;&lt;record&gt;&lt;rec-number&gt;115&lt;/rec-number&gt;&lt;foreign-keys&gt;&lt;key app="EN" db-id="2rp0a5drxdefz3e2e5dptftled295z2r2ve2" timestamp="1623907505"&gt;115&lt;/key&gt;&lt;/foreign-keys&gt;&lt;ref-type name="Generic"&gt;13&lt;/ref-type&gt;&lt;contributors&gt;&lt;authors&gt;&lt;author&gt;Australian institue of Health and Welfare.,&lt;/author&gt;&lt;/authors&gt;&lt;/contributors&gt;&lt;titles&gt;&lt;title&gt;Admitted patient activity 2022-23&lt;/title&gt;&lt;/titles&gt;&lt;number&gt;12 April 2024&lt;/number&gt;&lt;dates&gt;&lt;year&gt;2022&lt;/year&gt;&lt;/dates&gt;&lt;pub-location&gt;Sydney&lt;/pub-location&gt;&lt;publisher&gt;AIHW&lt;/publisher&gt;&lt;urls&gt;&lt;related-urls&gt;&lt;url&gt;https://www.aihw.gov.au/reports-data/myhospitals/intersection/activity/apc&lt;/url&gt;&lt;/related-urls&gt;&lt;/urls&gt;&lt;/record&gt;&lt;/Cite&gt;&lt;/EndNote&gt;</w:instrText>
            </w:r>
            <w:r w:rsidRPr="00D816BB">
              <w:rPr>
                <w:rFonts w:cstheme="minorHAnsi"/>
              </w:rPr>
              <w:fldChar w:fldCharType="separate"/>
            </w:r>
            <w:r w:rsidRPr="00E11545">
              <w:rPr>
                <w:rFonts w:cstheme="minorHAnsi"/>
                <w:noProof/>
                <w:vertAlign w:val="superscript"/>
              </w:rPr>
              <w:t>12</w:t>
            </w:r>
            <w:r w:rsidRPr="00D816BB">
              <w:rPr>
                <w:rFonts w:cstheme="minorHAnsi"/>
              </w:rPr>
              <w:fldChar w:fldCharType="end"/>
            </w:r>
          </w:p>
        </w:tc>
      </w:tr>
    </w:tbl>
    <w:p w14:paraId="0ACC004B" w14:textId="77777777" w:rsidR="00505471" w:rsidRDefault="00505471">
      <w:pPr>
        <w:rPr>
          <w:rFonts w:asciiTheme="majorHAnsi" w:hAnsiTheme="majorHAnsi"/>
          <w:sz w:val="52"/>
          <w:szCs w:val="44"/>
          <w:lang w:eastAsia="en-AU"/>
        </w:rPr>
      </w:pPr>
      <w:bookmarkStart w:id="44" w:name="_Toc203723846"/>
      <w:r>
        <w:rPr>
          <w:lang w:eastAsia="en-AU"/>
        </w:rPr>
        <w:br w:type="page"/>
      </w:r>
    </w:p>
    <w:p w14:paraId="50C721F3" w14:textId="32E15D7B" w:rsidR="00104C08" w:rsidRPr="00104C08" w:rsidRDefault="00104C08" w:rsidP="00104C08">
      <w:pPr>
        <w:pStyle w:val="Heading1"/>
        <w:rPr>
          <w:lang w:eastAsia="en-AU"/>
        </w:rPr>
      </w:pPr>
      <w:bookmarkStart w:id="45" w:name="_Toc205909373"/>
      <w:r w:rsidRPr="00104C08">
        <w:rPr>
          <w:lang w:eastAsia="en-AU"/>
        </w:rPr>
        <w:lastRenderedPageBreak/>
        <w:t>References</w:t>
      </w:r>
      <w:bookmarkEnd w:id="44"/>
      <w:bookmarkEnd w:id="45"/>
      <w:r w:rsidRPr="00104C08">
        <w:rPr>
          <w:lang w:eastAsia="en-AU"/>
        </w:rPr>
        <w:t xml:space="preserve"> </w:t>
      </w:r>
    </w:p>
    <w:p w14:paraId="026E51E8"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fldChar w:fldCharType="begin"/>
      </w:r>
      <w:r w:rsidRPr="00104C08">
        <w:rPr>
          <w:rFonts w:ascii="Arial" w:eastAsia="Times New Roman" w:hAnsi="Arial" w:cs="Arial"/>
          <w:noProof/>
          <w:color w:val="auto"/>
          <w:lang w:eastAsia="en-AU"/>
        </w:rPr>
        <w:instrText xml:space="preserve"> ADDIN EN.REFLIST </w:instrText>
      </w:r>
      <w:r w:rsidRPr="00104C08">
        <w:rPr>
          <w:rFonts w:ascii="Arial" w:eastAsia="Times New Roman" w:hAnsi="Arial" w:cs="Arial"/>
          <w:noProof/>
          <w:color w:val="auto"/>
          <w:lang w:eastAsia="en-AU"/>
        </w:rPr>
        <w:fldChar w:fldCharType="separate"/>
      </w:r>
      <w:r w:rsidRPr="00104C08">
        <w:rPr>
          <w:rFonts w:ascii="Arial" w:eastAsia="Times New Roman" w:hAnsi="Arial" w:cs="Arial"/>
          <w:noProof/>
          <w:color w:val="auto"/>
          <w:lang w:eastAsia="en-AU"/>
        </w:rPr>
        <w:t>1.</w:t>
      </w:r>
      <w:r w:rsidRPr="00104C08">
        <w:rPr>
          <w:rFonts w:ascii="Arial" w:eastAsia="Times New Roman" w:hAnsi="Arial" w:cs="Arial"/>
          <w:noProof/>
          <w:color w:val="auto"/>
          <w:lang w:eastAsia="en-AU"/>
        </w:rPr>
        <w:tab/>
        <w:t>Knight DR, Riley TV. Genomic Delineation of Zoonotic Orgins of Clostridium difficile. Frontiers in Public Health. 2019;7.</w:t>
      </w:r>
    </w:p>
    <w:p w14:paraId="5D48D09A"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w:t>
      </w:r>
      <w:r w:rsidRPr="00104C08">
        <w:rPr>
          <w:rFonts w:ascii="Arial" w:eastAsia="Times New Roman" w:hAnsi="Arial" w:cs="Arial"/>
          <w:noProof/>
          <w:color w:val="auto"/>
          <w:lang w:eastAsia="en-AU"/>
        </w:rPr>
        <w:tab/>
        <w:t>Czepiel J, Dróżdż M, Pituch H, Kuijper EJ, Perucki W, Mielimonka A, et al. Clostridium difficile infection: review. European Journal of Clinical Microbiology and Infectious Diseases. 2019 Jul;38(7):1211-1221.</w:t>
      </w:r>
    </w:p>
    <w:p w14:paraId="4D777AF0"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w:t>
      </w:r>
      <w:r w:rsidRPr="00104C08">
        <w:rPr>
          <w:rFonts w:ascii="Arial" w:eastAsia="Times New Roman" w:hAnsi="Arial" w:cs="Arial"/>
          <w:noProof/>
          <w:color w:val="auto"/>
          <w:lang w:eastAsia="en-AU"/>
        </w:rPr>
        <w:tab/>
      </w:r>
      <w:bookmarkStart w:id="46" w:name="_Hlk204768401"/>
      <w:r w:rsidRPr="00104C08">
        <w:rPr>
          <w:rFonts w:ascii="Arial" w:eastAsia="Times New Roman" w:hAnsi="Arial" w:cs="Arial"/>
          <w:noProof/>
          <w:color w:val="auto"/>
          <w:lang w:eastAsia="en-AU"/>
        </w:rPr>
        <w:t>Australian Commission on Safety and Quality in Health Care. Technical report: Monitoring the national burden of Clostridioides difficile infection in Australian public hospitals: 2016 to 2018. Sydney: 2021.</w:t>
      </w:r>
    </w:p>
    <w:p w14:paraId="7BB4359B"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4.</w:t>
      </w:r>
      <w:r w:rsidRPr="00104C08">
        <w:rPr>
          <w:rFonts w:ascii="Arial" w:eastAsia="Times New Roman" w:hAnsi="Arial" w:cs="Arial"/>
          <w:noProof/>
          <w:color w:val="auto"/>
          <w:lang w:eastAsia="en-AU"/>
        </w:rPr>
        <w:tab/>
        <w:t>Hong S, Putsathit P, George N, Hemphill C, Huntington PG, Korman TM, et al. Laboratory-based surveillance of Clostridium difficile infection in Australian health care and community settings, 2013 to 2018. Journal of Clinical Microbiology. 2020;58(11):10.1128/jcm.01552-01520.</w:t>
      </w:r>
    </w:p>
    <w:bookmarkEnd w:id="46"/>
    <w:p w14:paraId="4B797524"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5.</w:t>
      </w:r>
      <w:r w:rsidRPr="00104C08">
        <w:rPr>
          <w:rFonts w:ascii="Arial" w:eastAsia="Times New Roman" w:hAnsi="Arial" w:cs="Arial"/>
          <w:noProof/>
          <w:color w:val="auto"/>
          <w:lang w:eastAsia="en-AU"/>
        </w:rPr>
        <w:tab/>
      </w:r>
      <w:bookmarkStart w:id="47" w:name="_Hlk204768473"/>
      <w:r w:rsidRPr="00104C08">
        <w:rPr>
          <w:rFonts w:ascii="Arial" w:eastAsia="Times New Roman" w:hAnsi="Arial" w:cs="Arial"/>
          <w:noProof/>
          <w:color w:val="auto"/>
          <w:lang w:eastAsia="en-AU"/>
        </w:rPr>
        <w:t>Australian Commission on Safety and Quality in Health Care. Clostridioides difficile infection: Data snapshot report 2020−2021. Sydney: 2023.</w:t>
      </w:r>
    </w:p>
    <w:p w14:paraId="0D8FCD68"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6.</w:t>
      </w:r>
      <w:r w:rsidRPr="00104C08">
        <w:rPr>
          <w:rFonts w:ascii="Arial" w:eastAsia="Times New Roman" w:hAnsi="Arial" w:cs="Arial"/>
          <w:noProof/>
          <w:color w:val="auto"/>
          <w:lang w:eastAsia="en-AU"/>
        </w:rPr>
        <w:tab/>
        <w:t>Larcombe S, Williams GC, Amy J, Lim SC, Riley TV, Muleta A, et al. A genomic survey of Clostridioides difficile isolates from hospitalized patients in Melbourne, Australia. Microbiology Spectrum. 2023 Dec 12;11(6):e0135223.</w:t>
      </w:r>
    </w:p>
    <w:bookmarkEnd w:id="47"/>
    <w:p w14:paraId="60C7D4C3"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7.</w:t>
      </w:r>
      <w:r w:rsidRPr="00104C08">
        <w:rPr>
          <w:rFonts w:ascii="Arial" w:eastAsia="Times New Roman" w:hAnsi="Arial" w:cs="Arial"/>
          <w:noProof/>
          <w:color w:val="auto"/>
          <w:lang w:eastAsia="en-AU"/>
        </w:rPr>
        <w:tab/>
        <w:t>Buddle JE, Fagan RP. Pathogenicity and virulence of Clostridioides difficile. Virulence. 2023 Dec;14(1):2150452.</w:t>
      </w:r>
    </w:p>
    <w:p w14:paraId="6D3A2FB4"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8.</w:t>
      </w:r>
      <w:r w:rsidRPr="00104C08">
        <w:rPr>
          <w:rFonts w:ascii="Arial" w:eastAsia="Times New Roman" w:hAnsi="Arial" w:cs="Arial"/>
          <w:noProof/>
          <w:color w:val="auto"/>
          <w:lang w:eastAsia="en-AU"/>
        </w:rPr>
        <w:tab/>
        <w:t>Brain D, Yakob L, Barnett A, Riley T, Clements A, Halton K, et al. Economic evaluation of interventions designed to reduce Clostridium difficile infection. PLoS One. 2018;13(1):e0190093.</w:t>
      </w:r>
    </w:p>
    <w:p w14:paraId="6C44F7B0"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9.</w:t>
      </w:r>
      <w:r w:rsidRPr="00104C08">
        <w:rPr>
          <w:rFonts w:ascii="Arial" w:eastAsia="Times New Roman" w:hAnsi="Arial" w:cs="Arial"/>
          <w:noProof/>
          <w:color w:val="auto"/>
          <w:lang w:eastAsia="en-AU"/>
        </w:rPr>
        <w:tab/>
        <w:t>Barker AK, Scaria E, Safdar N, Alagoz O. Evaluation of the Cost-effectiveness of Infection Control Strategies to Reduce Hospital-Onset Clostridioides difficile Infection. JAMA Network Open. 2020 Aug 3;3(8):e2012522.</w:t>
      </w:r>
    </w:p>
    <w:p w14:paraId="2CDEF8F9"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10.</w:t>
      </w:r>
      <w:r w:rsidRPr="00104C08">
        <w:rPr>
          <w:rFonts w:ascii="Arial" w:eastAsia="Times New Roman" w:hAnsi="Arial" w:cs="Arial"/>
          <w:noProof/>
          <w:color w:val="auto"/>
          <w:lang w:eastAsia="en-AU"/>
        </w:rPr>
        <w:tab/>
        <w:t>Australian Institute of Health and Welfare. Admitted patient care NMDS 2024-25 Sydney AIHW: 2023.</w:t>
      </w:r>
    </w:p>
    <w:p w14:paraId="010240CD"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11.</w:t>
      </w:r>
      <w:r w:rsidRPr="00104C08">
        <w:rPr>
          <w:rFonts w:ascii="Arial" w:eastAsia="Times New Roman" w:hAnsi="Arial" w:cs="Arial"/>
          <w:noProof/>
          <w:color w:val="auto"/>
          <w:lang w:eastAsia="en-AU"/>
        </w:rPr>
        <w:tab/>
        <w:t>Australian Institute of Health and Welfare. Principal diagnosis data cubes. 2023 12 April 2024. Available from:</w:t>
      </w:r>
      <w:r w:rsidRPr="00104C08">
        <w:rPr>
          <w:rFonts w:ascii="Arial" w:eastAsia="Times New Roman" w:hAnsi="Arial" w:cs="Arial"/>
          <w:noProof/>
          <w:color w:val="002060"/>
          <w:lang w:eastAsia="en-AU"/>
        </w:rPr>
        <w:t xml:space="preserve"> </w:t>
      </w:r>
      <w:hyperlink r:id="rId43" w:history="1">
        <w:r w:rsidRPr="00104C08">
          <w:rPr>
            <w:rFonts w:ascii="Arial" w:eastAsia="Times New Roman" w:hAnsi="Arial" w:cs="Arial"/>
            <w:noProof/>
            <w:color w:val="002060"/>
            <w:u w:val="single"/>
            <w:lang w:eastAsia="en-AU"/>
          </w:rPr>
          <w:t>http://www.aihw.gov.au/hospitals-data/principal-diagnosis-data-cubes/</w:t>
        </w:r>
      </w:hyperlink>
      <w:r w:rsidRPr="00104C08">
        <w:rPr>
          <w:rFonts w:ascii="Arial" w:eastAsia="Times New Roman" w:hAnsi="Arial" w:cs="Arial"/>
          <w:noProof/>
          <w:color w:val="auto"/>
          <w:lang w:eastAsia="en-AU"/>
        </w:rPr>
        <w:t>.</w:t>
      </w:r>
    </w:p>
    <w:p w14:paraId="4E7CB1DE"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12.</w:t>
      </w:r>
      <w:r w:rsidRPr="00104C08">
        <w:rPr>
          <w:rFonts w:ascii="Arial" w:eastAsia="Times New Roman" w:hAnsi="Arial" w:cs="Arial"/>
          <w:noProof/>
          <w:color w:val="auto"/>
          <w:lang w:eastAsia="en-AU"/>
        </w:rPr>
        <w:tab/>
      </w:r>
      <w:bookmarkStart w:id="48" w:name="_Hlk204767951"/>
      <w:r w:rsidRPr="00104C08">
        <w:rPr>
          <w:rFonts w:ascii="Arial" w:eastAsia="Times New Roman" w:hAnsi="Arial" w:cs="Arial"/>
          <w:noProof/>
          <w:color w:val="auto"/>
          <w:lang w:eastAsia="en-AU"/>
        </w:rPr>
        <w:t>Australian institue of Health and Welfare. Admitted patient activity 2022-23. Sydney: 2022.</w:t>
      </w:r>
      <w:bookmarkEnd w:id="48"/>
    </w:p>
    <w:p w14:paraId="20C070BC"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13.</w:t>
      </w:r>
      <w:r w:rsidRPr="00104C08">
        <w:rPr>
          <w:rFonts w:ascii="Arial" w:eastAsia="Times New Roman" w:hAnsi="Arial" w:cs="Arial"/>
          <w:noProof/>
          <w:color w:val="auto"/>
          <w:lang w:eastAsia="en-AU"/>
        </w:rPr>
        <w:tab/>
        <w:t>Daveson K, Kennedy K. Hospital-acquired complications and Clostridium difficile surveillance in the Australian context.  Poster session at the Antimicrobial Society Australia conference; February 2019; Sydney: 2019.</w:t>
      </w:r>
    </w:p>
    <w:p w14:paraId="11B1AE7F"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14.</w:t>
      </w:r>
      <w:r w:rsidRPr="00104C08">
        <w:rPr>
          <w:rFonts w:ascii="Arial" w:eastAsia="Times New Roman" w:hAnsi="Arial" w:cs="Arial"/>
          <w:noProof/>
          <w:color w:val="auto"/>
          <w:lang w:eastAsia="en-AU"/>
        </w:rPr>
        <w:tab/>
        <w:t>Public Health Services, Department of Health and Human Services. Clostridium difficile infection (CDI) surveillance. The sensitivity and PPV of administrative data sets.  Presentation at Healthcare-Associated Infections Advisory Committee meeting, ACSQHC; November 2019; Sydney: 2019.</w:t>
      </w:r>
    </w:p>
    <w:p w14:paraId="687FFB93"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lastRenderedPageBreak/>
        <w:t>15.</w:t>
      </w:r>
      <w:r w:rsidRPr="00104C08">
        <w:rPr>
          <w:rFonts w:ascii="Arial" w:eastAsia="Times New Roman" w:hAnsi="Arial" w:cs="Arial"/>
          <w:noProof/>
          <w:color w:val="auto"/>
          <w:lang w:eastAsia="en-AU"/>
        </w:rPr>
        <w:tab/>
      </w:r>
      <w:bookmarkStart w:id="49" w:name="_Hlk204767990"/>
      <w:r w:rsidRPr="00104C08">
        <w:rPr>
          <w:rFonts w:ascii="Arial" w:eastAsia="Times New Roman" w:hAnsi="Arial" w:cs="Arial"/>
          <w:noProof/>
          <w:color w:val="auto"/>
          <w:lang w:eastAsia="en-AU"/>
        </w:rPr>
        <w:t>Australian Institute of Health and Welfare. National Health Data Dictionary; version 16.2. Canberra: 2015.</w:t>
      </w:r>
      <w:bookmarkEnd w:id="49"/>
    </w:p>
    <w:p w14:paraId="10E33483"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16.</w:t>
      </w:r>
      <w:r w:rsidRPr="00104C08">
        <w:rPr>
          <w:rFonts w:ascii="Arial" w:eastAsia="Times New Roman" w:hAnsi="Arial" w:cs="Arial"/>
          <w:noProof/>
          <w:color w:val="auto"/>
          <w:lang w:eastAsia="en-AU"/>
        </w:rPr>
        <w:tab/>
      </w:r>
      <w:bookmarkStart w:id="50" w:name="_Hlk204768083"/>
      <w:r w:rsidRPr="00104C08">
        <w:rPr>
          <w:rFonts w:ascii="Arial" w:eastAsia="Times New Roman" w:hAnsi="Arial" w:cs="Arial"/>
          <w:noProof/>
          <w:color w:val="auto"/>
          <w:lang w:eastAsia="en-AU"/>
        </w:rPr>
        <w:t>Drug utilisation sub-committee, (DUSC). Analysis of proton pump inhibitor (PPI) medicines used in the management of gastrointestinal acid related disorders. 2022.</w:t>
      </w:r>
    </w:p>
    <w:bookmarkEnd w:id="50"/>
    <w:p w14:paraId="77622D99"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17.</w:t>
      </w:r>
      <w:r w:rsidRPr="00104C08">
        <w:rPr>
          <w:rFonts w:ascii="Arial" w:eastAsia="Times New Roman" w:hAnsi="Arial" w:cs="Arial"/>
          <w:noProof/>
          <w:color w:val="auto"/>
          <w:lang w:eastAsia="en-AU"/>
        </w:rPr>
        <w:tab/>
        <w:t>Gadzhanova S, Roughead E. on behalf of the Australian Commission on Safety and Quality in Health Care. Analysis of 2015–2022 PBS and RPBS antimicrobial dispensing data. Sydney:  2023.</w:t>
      </w:r>
    </w:p>
    <w:p w14:paraId="0C7C46A3"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18.</w:t>
      </w:r>
      <w:r w:rsidRPr="00104C08">
        <w:rPr>
          <w:rFonts w:ascii="Arial" w:eastAsia="Times New Roman" w:hAnsi="Arial" w:cs="Arial"/>
          <w:noProof/>
          <w:color w:val="auto"/>
          <w:lang w:eastAsia="en-AU"/>
        </w:rPr>
        <w:tab/>
        <w:t>Australian Commission on Safety and Quality in Health Care. Implementation guide for the Surveillance of Clostridioides difficile Infection. Sydney: 2020.</w:t>
      </w:r>
    </w:p>
    <w:p w14:paraId="16AE9F07"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19.</w:t>
      </w:r>
      <w:r w:rsidRPr="00104C08">
        <w:rPr>
          <w:rFonts w:ascii="Arial" w:eastAsia="Times New Roman" w:hAnsi="Arial" w:cs="Arial"/>
          <w:noProof/>
          <w:color w:val="auto"/>
          <w:lang w:eastAsia="en-AU"/>
        </w:rPr>
        <w:tab/>
        <w:t>Pfister T, Rennert-May E, Ellison J, Bush K, Leal J. Clostridioides difficile infections in Alberta: The validity of administrative data using ICD-10 diagnostic codes for CDI surveillance versus clinical infection surveillance. American Journal of Infectection Control. 2020 Dec;48(12):1431-1436.</w:t>
      </w:r>
    </w:p>
    <w:p w14:paraId="441791C8"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20.</w:t>
      </w:r>
      <w:r w:rsidRPr="00104C08">
        <w:rPr>
          <w:rFonts w:ascii="Arial" w:eastAsia="Times New Roman" w:hAnsi="Arial" w:cs="Arial"/>
          <w:noProof/>
          <w:color w:val="auto"/>
          <w:lang w:eastAsia="en-AU"/>
        </w:rPr>
        <w:tab/>
        <w:t>Jeon CY, Neidell M, Jia H, Sinisi M, Larson E. On the role of length of stay in Healthcare-Associated Bloodstream Infection. Infection Control and Hospital Epideminology. 2012;33  (12):1213-1218.</w:t>
      </w:r>
    </w:p>
    <w:p w14:paraId="57406F03"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21.</w:t>
      </w:r>
      <w:r w:rsidRPr="00104C08">
        <w:rPr>
          <w:rFonts w:ascii="Arial" w:eastAsia="Times New Roman" w:hAnsi="Arial" w:cs="Arial"/>
          <w:noProof/>
          <w:color w:val="auto"/>
          <w:lang w:eastAsia="en-AU"/>
        </w:rPr>
        <w:tab/>
        <w:t>Sine K, Appaneal H, Dosa D, LaPlante KL. Antimicrobial prescribing in the telehealth setting: Framework for stewardship during a period of rapid acceleration within primary care. Clinical Infectious Diseases. 2022 Dec 19;75(12):2260-2265.</w:t>
      </w:r>
    </w:p>
    <w:p w14:paraId="5DEF9942"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22.</w:t>
      </w:r>
      <w:r w:rsidRPr="00104C08">
        <w:rPr>
          <w:rFonts w:ascii="Arial" w:eastAsia="Times New Roman" w:hAnsi="Arial" w:cs="Arial"/>
          <w:noProof/>
          <w:color w:val="auto"/>
          <w:lang w:eastAsia="en-AU"/>
        </w:rPr>
        <w:tab/>
        <w:t>Spigaglia P. Clostridioides difficile infection (CDI) during the COVID-19 pandemic. Anaerobe. 2022 Apr;74:102518.</w:t>
      </w:r>
    </w:p>
    <w:p w14:paraId="4BD76AA4"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23.</w:t>
      </w:r>
      <w:r w:rsidRPr="00104C08">
        <w:rPr>
          <w:rFonts w:ascii="Arial" w:eastAsia="Times New Roman" w:hAnsi="Arial" w:cs="Arial"/>
          <w:noProof/>
          <w:color w:val="auto"/>
          <w:lang w:eastAsia="en-AU"/>
        </w:rPr>
        <w:tab/>
        <w:t>Zouridis S, Sangha M, Feustel P, Richter S. Clostridium difficile infection rates during the pandemic in New York Capital area: A single-center study. Cureus. 2023 Apr;15(4):e37576.</w:t>
      </w:r>
    </w:p>
    <w:p w14:paraId="22230479"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24.</w:t>
      </w:r>
      <w:r w:rsidRPr="00104C08">
        <w:rPr>
          <w:rFonts w:ascii="Arial" w:eastAsia="Times New Roman" w:hAnsi="Arial" w:cs="Arial"/>
          <w:noProof/>
          <w:color w:val="auto"/>
          <w:lang w:eastAsia="en-AU"/>
        </w:rPr>
        <w:tab/>
        <w:t xml:space="preserve">Pricing and Funding for Safety and Quality. Risk Adjustment Model for Hospital Acquired Complications – March 2019. </w:t>
      </w:r>
    </w:p>
    <w:p w14:paraId="346F6934" w14:textId="77777777" w:rsidR="00104C08" w:rsidRPr="00104C08" w:rsidRDefault="00104C08" w:rsidP="002F6516">
      <w:pPr>
        <w:spacing w:before="24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25.</w:t>
      </w:r>
      <w:r w:rsidRPr="00104C08">
        <w:rPr>
          <w:rFonts w:ascii="Arial" w:eastAsia="Times New Roman" w:hAnsi="Arial" w:cs="Arial"/>
          <w:noProof/>
          <w:color w:val="auto"/>
          <w:lang w:eastAsia="en-AU"/>
        </w:rPr>
        <w:tab/>
        <w:t>Australian Institute of Health and Welfare. METEOR Metadata online registry. Episode of admitted patient care—condition onset flag, code N. 2024.</w:t>
      </w:r>
    </w:p>
    <w:p w14:paraId="3123C22A"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26.</w:t>
      </w:r>
      <w:r w:rsidRPr="00104C08">
        <w:rPr>
          <w:rFonts w:ascii="Arial" w:eastAsia="Times New Roman" w:hAnsi="Arial" w:cs="Arial"/>
          <w:noProof/>
          <w:color w:val="auto"/>
          <w:lang w:eastAsia="en-AU"/>
        </w:rPr>
        <w:tab/>
        <w:t>Finn E, Andersson FL, Madin-Warburton M. Burden of Clostridioides difficile infection (CDI) - a systematic review of the epidemiology of primary and recurrent CDI. BMC Infectious Diseases. 2021 May 19;21(1):456.</w:t>
      </w:r>
    </w:p>
    <w:p w14:paraId="43DC89AB"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27.</w:t>
      </w:r>
      <w:r w:rsidRPr="00104C08">
        <w:rPr>
          <w:rFonts w:ascii="Arial" w:eastAsia="Times New Roman" w:hAnsi="Arial" w:cs="Arial"/>
          <w:noProof/>
          <w:color w:val="auto"/>
          <w:lang w:eastAsia="en-AU"/>
        </w:rPr>
        <w:tab/>
        <w:t>Stewart AG, Chen SCA, Hamilton K, Harris-Brown T, Korman TM, Figtree M, et al. Clostridioides difficile infection: Clinical practice and health outcomes in 6 large tertiary hospitals in eastern Australia. Open Forum Infectious Diseases. 2023 Jun;10(6):ofad232.</w:t>
      </w:r>
    </w:p>
    <w:p w14:paraId="7E9A38BD"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28.</w:t>
      </w:r>
      <w:r w:rsidRPr="00104C08">
        <w:rPr>
          <w:rFonts w:ascii="Arial" w:eastAsia="Times New Roman" w:hAnsi="Arial" w:cs="Arial"/>
          <w:noProof/>
          <w:color w:val="auto"/>
          <w:lang w:eastAsia="en-AU"/>
        </w:rPr>
        <w:tab/>
        <w:t>Clohessy P, Merif J, Post JJ. Severity and frequency of community-onset Clostridium difficile infection on an Australian tertiary referral hospital campus. International Journal of Infectious Diseases. 2014 Dec;29:152-155.</w:t>
      </w:r>
    </w:p>
    <w:p w14:paraId="7D7F9FC5"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29.</w:t>
      </w:r>
      <w:r w:rsidRPr="00104C08">
        <w:rPr>
          <w:rFonts w:ascii="Arial" w:eastAsia="Times New Roman" w:hAnsi="Arial" w:cs="Arial"/>
          <w:noProof/>
          <w:color w:val="auto"/>
          <w:lang w:eastAsia="en-AU"/>
        </w:rPr>
        <w:tab/>
        <w:t>Balsells E, Shi T, Leese C, Lyell I, Burrows J, Wiuff C, et al. Global burden of Clostridium difficile infections: a systematic review and meta-analysis. Journal of global health. 2019 Jun;9(1):010407.</w:t>
      </w:r>
    </w:p>
    <w:p w14:paraId="2421452D"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lastRenderedPageBreak/>
        <w:t>30.</w:t>
      </w:r>
      <w:r w:rsidRPr="00104C08">
        <w:rPr>
          <w:rFonts w:ascii="Arial" w:eastAsia="Times New Roman" w:hAnsi="Arial" w:cs="Arial"/>
          <w:noProof/>
          <w:color w:val="auto"/>
          <w:lang w:eastAsia="en-AU"/>
        </w:rPr>
        <w:tab/>
        <w:t>Mora Pinzon MC, Buie R, Liou JI, Shirley DK, Evans CT, Ramanathan S, et al. Outcomes of community and healthcare-onset Clostridium difficile infections. Clinical Infectious Disease. 2019 Apr 8;68(8):1343-1350.</w:t>
      </w:r>
    </w:p>
    <w:p w14:paraId="2B678586"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31.</w:t>
      </w:r>
      <w:r w:rsidRPr="00104C08">
        <w:rPr>
          <w:rFonts w:ascii="Arial" w:eastAsia="Times New Roman" w:hAnsi="Arial" w:cs="Arial"/>
          <w:noProof/>
          <w:color w:val="auto"/>
          <w:lang w:eastAsia="en-AU"/>
        </w:rPr>
        <w:tab/>
        <w:t>Stuart RL, Marshall C, Harrington G, Sasko L, McLaws ML, Ferguson J. ASID/ACIPC position statement - Infection control for patients with Clostridium difficile infection in healthcare facilities. Infection, disease &amp; health. 2019 Feb;24(1):32-43.</w:t>
      </w:r>
    </w:p>
    <w:p w14:paraId="3D7A25AB"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32.</w:t>
      </w:r>
      <w:r w:rsidRPr="00104C08">
        <w:rPr>
          <w:rFonts w:ascii="Arial" w:eastAsia="Times New Roman" w:hAnsi="Arial" w:cs="Arial"/>
          <w:noProof/>
          <w:color w:val="auto"/>
          <w:lang w:eastAsia="en-AU"/>
        </w:rPr>
        <w:tab/>
        <w:t>Public Health Laboratory Network. Clostridiodes difficile infection (Clostridioides difficile) Laboratory case definition. May 2016.</w:t>
      </w:r>
    </w:p>
    <w:p w14:paraId="1203EF9C"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33.</w:t>
      </w:r>
      <w:r w:rsidRPr="00104C08">
        <w:rPr>
          <w:rFonts w:ascii="Arial" w:eastAsia="Times New Roman" w:hAnsi="Arial" w:cs="Arial"/>
          <w:noProof/>
          <w:color w:val="auto"/>
          <w:lang w:eastAsia="en-AU"/>
        </w:rPr>
        <w:tab/>
        <w:t>European Centre for Disease Prevention and Control. European Surveillance of Clostridioides (Clostridium) difficile infections. Surveillance protocol version 2.4 ed. Stockholm: 2019.</w:t>
      </w:r>
    </w:p>
    <w:p w14:paraId="3C0BE905"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34.</w:t>
      </w:r>
      <w:r w:rsidRPr="00104C08">
        <w:rPr>
          <w:rFonts w:ascii="Arial" w:eastAsia="Times New Roman" w:hAnsi="Arial" w:cs="Arial"/>
          <w:noProof/>
          <w:color w:val="auto"/>
          <w:lang w:eastAsia="en-AU"/>
        </w:rPr>
        <w:tab/>
        <w:t>Watson E, Rajkhowa A, Dunt D, Bull A, Worth LJ, Bennett N. Evaluation of an infection surveillance program in residential aged care facilities in Victoria, Australia. BMC Public Health. 2024 Jan 22;24(1):254.</w:t>
      </w:r>
    </w:p>
    <w:p w14:paraId="2FF74B3F"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35.</w:t>
      </w:r>
      <w:r w:rsidRPr="00104C08">
        <w:rPr>
          <w:rFonts w:ascii="Arial" w:eastAsia="Times New Roman" w:hAnsi="Arial" w:cs="Arial"/>
          <w:noProof/>
          <w:color w:val="auto"/>
          <w:lang w:eastAsia="en-AU"/>
        </w:rPr>
        <w:tab/>
      </w:r>
      <w:bookmarkStart w:id="51" w:name="_Hlk204768039"/>
      <w:r w:rsidRPr="00104C08">
        <w:rPr>
          <w:rFonts w:ascii="Arial" w:eastAsia="Times New Roman" w:hAnsi="Arial" w:cs="Arial"/>
          <w:noProof/>
          <w:color w:val="auto"/>
          <w:lang w:eastAsia="en-AU"/>
        </w:rPr>
        <w:t>Inghammar M, Svanström H, Voldstedlund M, Melbye M, Hviid A, Mølbak K, et al. Proton-pump inhibitor use and the risk of community-associated Clostridium difficile infection. Clinical Infectious Disease. 2021 Jun 15;72(12):e1084-e1089.</w:t>
      </w:r>
    </w:p>
    <w:p w14:paraId="3D0E6EFA"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36.</w:t>
      </w:r>
      <w:r w:rsidRPr="00104C08">
        <w:rPr>
          <w:rFonts w:ascii="Arial" w:eastAsia="Times New Roman" w:hAnsi="Arial" w:cs="Arial"/>
          <w:noProof/>
          <w:color w:val="auto"/>
          <w:lang w:eastAsia="en-AU"/>
        </w:rPr>
        <w:tab/>
        <w:t>Moreels N, Boven A, Gressani O, Andersson FL, Vlieghe E, Callens S, et al. The combined effect of systemic antibiotics and proton pump inhibitors on Clostridioides difficile infection and recurrence. The Journal of antimicrobial chemotherapy. 2024 Mar 1;79(3):608-616.</w:t>
      </w:r>
    </w:p>
    <w:bookmarkEnd w:id="51"/>
    <w:p w14:paraId="6DC44469" w14:textId="77777777" w:rsidR="00104C08" w:rsidRPr="00104C08" w:rsidRDefault="00104C08" w:rsidP="002F6516">
      <w:pPr>
        <w:spacing w:before="24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37.</w:t>
      </w:r>
      <w:r w:rsidRPr="00104C08">
        <w:rPr>
          <w:rFonts w:ascii="Arial" w:eastAsia="Times New Roman" w:hAnsi="Arial" w:cs="Arial"/>
          <w:noProof/>
          <w:color w:val="auto"/>
          <w:lang w:eastAsia="en-AU"/>
        </w:rPr>
        <w:tab/>
        <w:t>Australian Commission on Safety and Quality in Health Care. Antimicrobial use in the community: 2023. Sydney:2024.</w:t>
      </w:r>
    </w:p>
    <w:p w14:paraId="1D8156F3"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38.</w:t>
      </w:r>
      <w:r w:rsidRPr="00104C08">
        <w:rPr>
          <w:rFonts w:ascii="Arial" w:eastAsia="Times New Roman" w:hAnsi="Arial" w:cs="Arial"/>
          <w:noProof/>
          <w:color w:val="auto"/>
          <w:lang w:eastAsia="en-AU"/>
        </w:rPr>
        <w:tab/>
        <w:t>Feuerstadt P, Theriault N, Tillotson G. The burden of CDI in the United States: a multifactorial challenge. BMC Infectious Diseases. 2023 2023/03/07;23(1):132.</w:t>
      </w:r>
    </w:p>
    <w:p w14:paraId="05F163D9"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39.</w:t>
      </w:r>
      <w:r w:rsidRPr="00104C08">
        <w:rPr>
          <w:rFonts w:ascii="Arial" w:eastAsia="Times New Roman" w:hAnsi="Arial" w:cs="Arial"/>
          <w:noProof/>
          <w:color w:val="auto"/>
          <w:lang w:eastAsia="en-AU"/>
        </w:rPr>
        <w:tab/>
        <w:t>Markantonis JE, Fallon JT, Madan R, Alam MZ. Clostridioides difficile infection: Diagnosis and treatment challenges. Pathogens. 2024 Jan 27;13(2).</w:t>
      </w:r>
    </w:p>
    <w:p w14:paraId="18903ED2"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40.</w:t>
      </w:r>
      <w:r w:rsidRPr="00104C08">
        <w:rPr>
          <w:rFonts w:ascii="Arial" w:eastAsia="Times New Roman" w:hAnsi="Arial" w:cs="Arial"/>
          <w:noProof/>
          <w:color w:val="auto"/>
          <w:lang w:eastAsia="en-AU"/>
        </w:rPr>
        <w:tab/>
        <w:t>Tawam D, Baladi M, Jungsuwadee P, Earl G, Han J. The positive association between proton pump inhibitors and Clostridium difficile infection. Innovations in Pharmacy. 2021;12(1).</w:t>
      </w:r>
    </w:p>
    <w:p w14:paraId="70C6C099"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41.</w:t>
      </w:r>
      <w:r w:rsidRPr="00104C08">
        <w:rPr>
          <w:rFonts w:ascii="Arial" w:eastAsia="Times New Roman" w:hAnsi="Arial" w:cs="Arial"/>
          <w:noProof/>
          <w:color w:val="auto"/>
          <w:lang w:eastAsia="en-AU"/>
        </w:rPr>
        <w:tab/>
        <w:t>UK Health Security Agency. National statistics, Annual epidemiology commentary: Gram-negative, MRSA, MSSA bacteraemia and C.difficile infections, up to and including financial year 2022 to 2023. England 2024.</w:t>
      </w:r>
    </w:p>
    <w:p w14:paraId="13D7A445" w14:textId="77777777" w:rsidR="00104C08" w:rsidRPr="00104C08" w:rsidRDefault="00104C08" w:rsidP="002F6516">
      <w:pPr>
        <w:spacing w:before="240" w:after="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42.</w:t>
      </w:r>
      <w:r w:rsidRPr="00104C08">
        <w:rPr>
          <w:rFonts w:ascii="Arial" w:eastAsia="Times New Roman" w:hAnsi="Arial" w:cs="Arial"/>
          <w:noProof/>
          <w:color w:val="auto"/>
          <w:lang w:eastAsia="en-AU"/>
        </w:rPr>
        <w:tab/>
        <w:t xml:space="preserve">European centres for disease prevention and control. Clostridioides difficile infections. In: ECDC. Annual epidemiological report for 2018−2020. Stockholm: May 2024. </w:t>
      </w:r>
    </w:p>
    <w:p w14:paraId="52C5BA1D" w14:textId="77777777" w:rsidR="00104C08" w:rsidRPr="00104C08" w:rsidRDefault="00104C08" w:rsidP="002F6516">
      <w:pPr>
        <w:spacing w:before="24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43.</w:t>
      </w:r>
      <w:r w:rsidRPr="00104C08">
        <w:rPr>
          <w:rFonts w:ascii="Arial" w:eastAsia="Times New Roman" w:hAnsi="Arial" w:cs="Arial"/>
          <w:noProof/>
          <w:color w:val="auto"/>
          <w:lang w:eastAsia="en-AU"/>
        </w:rPr>
        <w:tab/>
        <w:t>Centers for Disease Control and Prevention. Emerging infections program, Healthcare-associated infections – Community interface surveillance report, Clostridioides difficile infection (CDI), 2022. 2024.</w:t>
      </w:r>
    </w:p>
    <w:p w14:paraId="269F2E16" w14:textId="6F9BBE0C" w:rsidR="00104C08" w:rsidRPr="00104C08" w:rsidRDefault="00104C08" w:rsidP="002F6516">
      <w:pPr>
        <w:spacing w:before="240" w:line="240" w:lineRule="auto"/>
        <w:rPr>
          <w:rFonts w:ascii="Arial" w:eastAsia="Times New Roman" w:hAnsi="Arial" w:cs="Arial"/>
          <w:noProof/>
          <w:color w:val="auto"/>
          <w:lang w:eastAsia="en-AU"/>
        </w:rPr>
      </w:pPr>
      <w:r w:rsidRPr="00104C08">
        <w:rPr>
          <w:rFonts w:ascii="Arial" w:eastAsia="Times New Roman" w:hAnsi="Arial" w:cs="Arial"/>
          <w:noProof/>
          <w:color w:val="auto"/>
          <w:lang w:eastAsia="en-AU"/>
        </w:rPr>
        <w:t>44.</w:t>
      </w:r>
      <w:r w:rsidRPr="00104C08">
        <w:rPr>
          <w:rFonts w:ascii="Arial" w:eastAsia="Times New Roman" w:hAnsi="Arial" w:cs="Arial"/>
          <w:noProof/>
          <w:color w:val="auto"/>
          <w:lang w:eastAsia="en-AU"/>
        </w:rPr>
        <w:tab/>
        <w:t>Song JH, Kim YS. Recurrent Clostridium difficile Infection: Risk factors, treatment, and prevention. Gut Liver. 2019 Jan 15;13(1):16-24.</w:t>
      </w:r>
    </w:p>
    <w:p w14:paraId="43B7C6ED" w14:textId="77777777" w:rsidR="00104C08" w:rsidRPr="00104C08" w:rsidRDefault="00104C08" w:rsidP="00104C08">
      <w:pPr>
        <w:spacing w:line="240" w:lineRule="auto"/>
        <w:rPr>
          <w:rFonts w:ascii="Arial" w:eastAsia="Times New Roman" w:hAnsi="Arial" w:cs="Arial"/>
          <w:noProof/>
          <w:color w:val="auto"/>
          <w:lang w:eastAsia="en-AU"/>
        </w:rPr>
      </w:pPr>
    </w:p>
    <w:p w14:paraId="7C575021" w14:textId="77777777" w:rsidR="00104C08" w:rsidRPr="00104C08" w:rsidRDefault="00104C08" w:rsidP="00104C08">
      <w:pPr>
        <w:spacing w:line="240" w:lineRule="auto"/>
        <w:rPr>
          <w:rFonts w:ascii="Arial" w:eastAsia="Times New Roman" w:hAnsi="Arial" w:cs="Arial"/>
          <w:noProof/>
          <w:color w:val="auto"/>
          <w:lang w:eastAsia="en-AU"/>
        </w:rPr>
      </w:pPr>
    </w:p>
    <w:p w14:paraId="5E3BC7B4" w14:textId="652CA4F2" w:rsidR="005915AE" w:rsidRPr="004E2765" w:rsidRDefault="00104C08" w:rsidP="00EA36D5">
      <w:r w:rsidRPr="00104C08">
        <w:rPr>
          <w:rFonts w:ascii="Arial" w:eastAsia="Times New Roman" w:hAnsi="Arial"/>
          <w:color w:val="auto"/>
          <w:lang w:eastAsia="en-AU"/>
        </w:rPr>
        <w:lastRenderedPageBreak/>
        <w:fldChar w:fldCharType="end"/>
      </w:r>
      <w:r w:rsidR="008C08DB">
        <w:rPr>
          <w:noProof/>
        </w:rPr>
        <mc:AlternateContent>
          <mc:Choice Requires="wpg">
            <w:drawing>
              <wp:anchor distT="0" distB="0" distL="114300" distR="114300" simplePos="0" relativeHeight="251657727" behindDoc="1" locked="0" layoutInCell="1" allowOverlap="1" wp14:anchorId="2305B065" wp14:editId="2C4CD23B">
                <wp:simplePos x="0" y="0"/>
                <wp:positionH relativeFrom="page">
                  <wp:align>left</wp:align>
                </wp:positionH>
                <wp:positionV relativeFrom="page">
                  <wp:align>top</wp:align>
                </wp:positionV>
                <wp:extent cx="7560000" cy="10692000"/>
                <wp:effectExtent l="0" t="0" r="3175" b="0"/>
                <wp:wrapNone/>
                <wp:docPr id="766914157" name="Group 9"/>
                <wp:cNvGraphicFramePr/>
                <a:graphic xmlns:a="http://schemas.openxmlformats.org/drawingml/2006/main">
                  <a:graphicData uri="http://schemas.microsoft.com/office/word/2010/wordprocessingGroup">
                    <wpg:wgp>
                      <wpg:cNvGrpSpPr/>
                      <wpg:grpSpPr>
                        <a:xfrm>
                          <a:off x="0" y="0"/>
                          <a:ext cx="7560000" cy="10692000"/>
                          <a:chOff x="19404" y="0"/>
                          <a:chExt cx="7520284" cy="10692361"/>
                        </a:xfrm>
                      </wpg:grpSpPr>
                      <pic:pic xmlns:pic="http://schemas.openxmlformats.org/drawingml/2006/picture">
                        <pic:nvPicPr>
                          <pic:cNvPr id="1610455632" name="Picture 7">
                            <a:extLst>
                              <a:ext uri="{C183D7F6-B498-43B3-948B-1728B52AA6E4}">
                                <adec:decorative xmlns:adec="http://schemas.microsoft.com/office/drawing/2017/decorative" val="1"/>
                              </a:ext>
                            </a:extLst>
                          </pic:cNvPr>
                          <pic:cNvPicPr preferRelativeResize="0">
                            <a:picLocks noChangeAspect="1"/>
                          </pic:cNvPicPr>
                        </pic:nvPicPr>
                        <pic:blipFill>
                          <a:blip r:embed="rId44" cstate="print">
                            <a:extLst>
                              <a:ext uri="{28A0092B-C50C-407E-A947-70E740481C1C}">
                                <a14:useLocalDpi xmlns:a14="http://schemas.microsoft.com/office/drawing/2010/main" val="0"/>
                              </a:ext>
                            </a:extLst>
                          </a:blip>
                          <a:srcRect/>
                          <a:stretch/>
                        </pic:blipFill>
                        <pic:spPr bwMode="auto">
                          <a:xfrm>
                            <a:off x="19404" y="0"/>
                            <a:ext cx="7520284" cy="10692361"/>
                          </a:xfrm>
                          <a:prstGeom prst="rect">
                            <a:avLst/>
                          </a:prstGeom>
                          <a:noFill/>
                          <a:ln>
                            <a:noFill/>
                          </a:ln>
                        </pic:spPr>
                      </pic:pic>
                      <wps:wsp>
                        <wps:cNvPr id="433326420" name="Text Box 2">
                          <a:extLst>
                            <a:ext uri="{C183D7F6-B498-43B3-948B-1728B52AA6E4}">
                              <adec:decorative xmlns:adec="http://schemas.microsoft.com/office/drawing/2017/decorative" val="1"/>
                            </a:ext>
                          </a:extLst>
                        </wps:cNvPr>
                        <wps:cNvSpPr txBox="1"/>
                        <wps:spPr>
                          <a:xfrm>
                            <a:off x="655608" y="7996687"/>
                            <a:ext cx="3345886" cy="2072738"/>
                          </a:xfrm>
                          <a:prstGeom prst="rect">
                            <a:avLst/>
                          </a:prstGeom>
                          <a:noFill/>
                          <a:ln w="6350">
                            <a:noFill/>
                          </a:ln>
                        </wps:spPr>
                        <wps:txbx>
                          <w:txbxContent>
                            <w:p w14:paraId="3EB798B5" w14:textId="77777777" w:rsidR="003845DF" w:rsidRPr="009527AE" w:rsidRDefault="00144E74" w:rsidP="00144E74">
                              <w:pPr>
                                <w:spacing w:after="0" w:line="264" w:lineRule="auto"/>
                                <w:rPr>
                                  <w:color w:val="FFFFFF" w:themeColor="background1"/>
                                  <w:sz w:val="16"/>
                                  <w:szCs w:val="16"/>
                                </w:rPr>
                              </w:pPr>
                              <w:r w:rsidRPr="009527AE">
                                <w:rPr>
                                  <w:noProof/>
                                  <w:color w:val="FFFFFF" w:themeColor="background1"/>
                                  <w:sz w:val="16"/>
                                  <w:szCs w:val="16"/>
                                </w:rPr>
                                <w:drawing>
                                  <wp:inline distT="0" distB="0" distL="0" distR="0" wp14:anchorId="570010D3" wp14:editId="389260FE">
                                    <wp:extent cx="1695600" cy="619200"/>
                                    <wp:effectExtent l="0" t="0" r="0" b="9525"/>
                                    <wp:docPr id="187420970"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0970"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695600" cy="619200"/>
                                            </a:xfrm>
                                            <a:prstGeom prst="rect">
                                              <a:avLst/>
                                            </a:prstGeom>
                                          </pic:spPr>
                                        </pic:pic>
                                      </a:graphicData>
                                    </a:graphic>
                                  </wp:inline>
                                </w:drawing>
                              </w:r>
                            </w:p>
                            <w:p w14:paraId="246A296E" w14:textId="77777777" w:rsidR="00144E74" w:rsidRPr="009527AE" w:rsidRDefault="00144E74" w:rsidP="00144E74">
                              <w:pPr>
                                <w:spacing w:after="0" w:line="264" w:lineRule="auto"/>
                                <w:rPr>
                                  <w:color w:val="FFFFFF" w:themeColor="background1"/>
                                </w:rPr>
                              </w:pPr>
                            </w:p>
                            <w:p w14:paraId="17C413FD" w14:textId="77777777"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583F9F22"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1BC8CD78"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17F4093" w14:textId="77777777" w:rsidR="00144E74" w:rsidRPr="009527AE" w:rsidRDefault="00144E74" w:rsidP="00144E74">
                              <w:pPr>
                                <w:pStyle w:val="NoSpacing"/>
                                <w:spacing w:line="264" w:lineRule="auto"/>
                                <w:rPr>
                                  <w:color w:val="FFFFFF" w:themeColor="background1"/>
                                  <w:sz w:val="16"/>
                                  <w:szCs w:val="16"/>
                                </w:rPr>
                              </w:pPr>
                            </w:p>
                            <w:p w14:paraId="09DD01ED"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7E9F8F40" w14:textId="77777777" w:rsidR="00144E74" w:rsidRPr="009527AE" w:rsidRDefault="00144E74" w:rsidP="00144E74">
                              <w:pPr>
                                <w:pStyle w:val="NoSpacing"/>
                                <w:spacing w:line="264" w:lineRule="auto"/>
                                <w:rPr>
                                  <w:color w:val="FFFFFF" w:themeColor="background1"/>
                                  <w:sz w:val="16"/>
                                  <w:szCs w:val="16"/>
                                </w:rPr>
                              </w:pPr>
                            </w:p>
                            <w:p w14:paraId="4A4791C2" w14:textId="1017CF08"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BD2982" w:rsidRPr="008D11E8">
                                <w:rPr>
                                  <w:color w:val="FFFFFF" w:themeColor="background1"/>
                                  <w:sz w:val="16"/>
                                  <w:szCs w:val="16"/>
                                </w:rPr>
                                <w:t>20</w:t>
                              </w:r>
                              <w:r w:rsidR="008D11E8" w:rsidRPr="008D11E8">
                                <w:rPr>
                                  <w:color w:val="FFFFFF" w:themeColor="background1"/>
                                  <w:sz w:val="16"/>
                                  <w:szCs w:val="16"/>
                                </w:rPr>
                                <w:t>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5B065" id="Group 9" o:spid="_x0000_s1026" style="position:absolute;margin-left:0;margin-top:0;width:595.3pt;height:841.9pt;z-index:-251658753;mso-position-horizontal:left;mso-position-horizontal-relative:page;mso-position-vertical:top;mso-position-vertical-relative:page;mso-width-relative:margin;mso-height-relative:margin" coordorigin="194" coordsize="75202,10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iiiv53P7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T8adTX6fjQtwP21/Yd/5ND+Hn/Yr23/AKDX&#10;qteVfsO/8mh/Dz/sV7b/ANBr1WsHufL1f4svVhRRRSMwooooAKKKKACiiigAooooAK9H8O/8gW0/&#10;69U/9BFecV6P4d/5Atp/16p/6CK7cF8Ujxs5/hQ9S7RRRXeeAFFFFABRRRQAUUUUAFFFFABRRRQB&#10;7Z8P/wDkTNO/69hWxWP8P/8AkTNO/wCvYVsV+oYT/dKf+FfkflGM/wB7qf4n+YUUUV0HMFFFFABR&#10;RRQAUUUUAFFFFABRRRQAUUUUAFFFFABRRRQAUUUUAFFFFABRRRQAUUUUAFFFFAH8j9FFFfiZ/Y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&#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r9Pxp1Nfp+NC3A/bX9h3/k0P4ef9ivbf+g16rXl&#10;X7Dv/Jofw8/7Fe2/9Br1WsHufL1f4svVhRRRSMwooooAKKKKACiiigAooooAK9H8O/8AIFtP+vVP&#10;/QRXnFej+Hf+QLaf9eqf+giu3BfFI8bOf4UPUu0UUV3ngBRRRQAUUUUAFFFFABRRRQAUUUUAe2fD&#10;/wD5EzTv+vYVsVj/AA//AORM07/r2FbFfqGE/wB0p/4V+R+UYz/e6n+J/mFFFFdBzBRRRQAUUUUA&#10;FFFFABRRRQAUUUUAFFFFABRRRQAUUUUAFFFFABRRRQAUUUUAFFFFABRRRQB/I/RRRX4mf2I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n406mv0/Ghbgftr+w7/yaH8PP+xXtv/Qa&#10;9Vryr9h3/k0P4ef9ivbf+g16rWD3Pl6v8WXqwooopGYUUUUAFFFFABRRRQAUUUUAFej+Hf8AkC2n&#10;/Xqn/oIrzivR/Dv/ACBbT/r1T/0EV24L4pHjZz/Ch6l2iiiu88AKKKKACiiigAooooAKKKKACiii&#10;gD2z4f8A/Imad/17Ctisf4f/APImad/17Ctiv1DCf7pT/wAK/I/KMZ/vdT/E/wAwoooroOYKKKKA&#10;CiiigAooooAKKKKACiiigAooooAKKKKACiiigAooooAKKKKACiiigAooooAKKKKAP5H6KKK/Ez+x&#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v0/GnU1+n40LcD9tf2Hf+TQ/h5/2K9t/wCg16rX&#10;lX7Dv/Jofw8/7Fe2/wDQa9VrB7ny9X+LL1YUUUUjMKKKKACiiigAooooAKKKKACvR/Dv/IFtP+vV&#10;P/QRXnFej+Hf+QLaf9eqf+giu3BfFI8bOf4UPUu0UUV3ngBRRRQAUUUUAFFFFABRRRQAUUUUAe2f&#10;D/8A5EzTv+vYVsVj/D//AJEzTv8Ar2FbFfqGE/3Sn/hX5H5RjP8Ae6n+J/mFFFFdBzBRRRQAUUUU&#10;AFFFFABRRRQAUUUUAFFFFABRRRQAUUUUAFFFFABRRRQAUUUUAFFFFABRRRQB/I/RRRX4mf2I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fjTqa/T8aFuB+2v7Dv/Jofw8/7Fe2/wDQ&#10;a9Vryr9h3/k0P4ef9ivbf+g16rWD3Pl6v8WXqwooopGYUUUUAFFFFABRRRQAUUUUAFej+Hf+QLaf&#10;9eqf+givOK9H8O/8gW0/69U/9BFduC+KR42c/wAKHqXaKKK7zwAooooAKKKKACiiigAooooAKKKK&#10;APbPh/8A8iZp3/XsK2Kx/h//AMiZp3/XsK2K/UMJ/ulP/CvyPyjGf73U/wAT/MKKKK6DmCiiigAo&#10;oooAKKKKACiiigAooooAKKKKACiiigAooooAKKKKACiiigAooooAKKKKACiiigD+R+iiivxM/s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fp+NOpr9PxoW4H7a/sO/8mh/Dz/sV7b/0GvVa&#10;8q/Yd/5ND+Hn/Yr23/oNeq1g9z5er/Fl6sKKKKRmFFFFABRRRQAUUUUAFFFFABXo/h3/AJAtp/16&#10;p/6CK84r0fw7/wAgW0/69U/9BFduC+KR42c/woepdooorvPACiiigAooooAKKKKACiiigAooooA9&#10;s+H/APyJmnf9ewrYrH+H/wDyJmnf9ewrYr9Qwn+6U/8ACvyPyjGf73U/xP8AMKKKK6DmCiiigAoo&#10;ooAKKKKACiiigAooooAKKKKACiiigAooooAKKKKACiiigAooooAKKKKACiiigD+R+iiivxM/s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1+n406mv0/Ghbgftr+w7/yaH8PP+xXtv8A0GvV&#10;a8q/Yd/5ND+Hn/Yr23/oNeq1g9z5er/Fl6sKKKKRmFFFFABRRRQAUUUUAFFFFABXo/h3/kC2n/Xq&#10;n/oIrzivR/Dv/IFtP+vVP/QRXbgvikeNnP8ACh6l2iiiu88AKKKKACiiigAooooAKKKKACiiigD2&#10;z4f/APImad/17Ctisf4f/wDImad/17Ctiv1DCf7pT/wr8j8oxn+91P8AE/zCiiiug5gooooAKKKK&#10;ACiiigAooooAKKKKACiiigAooooAKKKKACiiigAooooAKKKKACiiigAooooA/kfooor8TP7E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v0/GnU1+n40LcD9tf2Hf+TQ/h5/2K9t/&#10;6DXqteVfsO/8mh/Dz/sV7b/0GvVawe58vV/iy9WFFFFIzCiiigAooooAKKKKACiiigAr0fw7/wAg&#10;W0/69U/9BFecV6P4d/5Atp/16p/6CK7cF8Ujxs5/hQ9S7RRRXeeAFFFFABRRRQAUUUUAFFFFABRR&#10;RQB7Z8P/APkTNO/69hWxWP8AD/8A5EzTv+vYVsV+oYT/AHSn/hX5H5RjP97qf4n+YUUUV0HMFFFF&#10;ABRRRQAUUUUAFFFFABRRRQAUUUUAFFFFABRRRQAUUUUAFFFFABRRRQAUUUUAFFFFAH8j9FFFfiZ/&#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v0/GnU1+n40LcD9tf2Hf+TQ/h5/2K9t/6DXqt&#10;eVfsO/8AJofw8/7Fe2/9Br1WsHufL1f4svVhRRRSMwooooAKKKKACiiigAooooAK9H8O/wDIFtP+&#10;vVP/AEEV5xXo/h3/AJAtp/16p/6CK7cF8Ujxs5/hQ9S7RRRXeeAFFFFABRRRQAUUUUAFFFFABRRR&#10;QB7Z8P8A/kTNO/69hWxWP8P/APkTNO/69hWxX6hhP90p/wCFfkflGM/3up/if5hRRRXQcwUUUUAF&#10;FFFABRRRQAUUUUAFFFFABRRRQAUUUUAFFFFABRRRQAUUUUAFFFFABRRRQAUUUUAfyP0UUV+Jn9i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T8aKKFuB+2v7Dv/Jofw8/7Fe2/9Br1WiisHufL1f4svVhRRRSMwooo&#10;oAKKKKACiiigAooooAK9H8O/8gW0/wCvVP8A0EUUV24L4pHjZz/Ch6l2iiiu88AKKKKACiiigAoo&#10;ooAKKKKACiiigD2z4f8A/Imad/17Ctiiiv1DCf7pT/wr8j8oxn+91P8AE/zCiiiug5gooooAKKKK&#10;ACiiigAooooAKKKKACiiigAooooAKKKKACiiigAooooAKKKKACiiigAooooA/9l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quot;&quot;" style="position:absolute;left:194;width:75202;height:1069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">
                  <v:imagedata r:id="rId46" o:title=""/>
                </v:shape>
                <v:shapetype id="_x0000_t202" coordsize="21600,21600" o:spt="202" path="m,l,21600r21600,l21600,xe">
                  <v:stroke joinstyle="miter"/>
                  <v:path gradientshapeok="t" o:connecttype="rect"/>
                </v:shapetype>
                <v:shape id="Text Box 2" o:spid="_x0000_s1028" type="#_x0000_t202" alt="&quot;&quot;" style="position:absolute;left:6556;top:79966;width:33458;height:207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" filled="f" stroked="f" strokeweight=".5pt">
                  <v:textbox inset="0,0,0,0">
                    <w:txbxContent>
                      <w:p w14:paraId="3EB798B5" w14:textId="77777777" w:rsidR="003845DF" w:rsidRPr="009527AE" w:rsidRDefault="00144E74" w:rsidP="00144E74">
                        <w:pPr>
                          <w:spacing w:after="0" w:line="264" w:lineRule="auto"/>
                          <w:rPr>
                            <w:color w:val="FFFFFF" w:themeColor="background1"/>
                            <w:sz w:val="16"/>
                            <w:szCs w:val="16"/>
                          </w:rPr>
                        </w:pPr>
                        <w:r w:rsidRPr="009527AE">
                          <w:rPr>
                            <w:noProof/>
                            <w:color w:val="FFFFFF" w:themeColor="background1"/>
                            <w:sz w:val="16"/>
                            <w:szCs w:val="16"/>
                          </w:rPr>
                          <w:drawing>
                            <wp:inline distT="0" distB="0" distL="0" distR="0" wp14:anchorId="570010D3" wp14:editId="389260FE">
                              <wp:extent cx="1695600" cy="619200"/>
                              <wp:effectExtent l="0" t="0" r="0" b="9525"/>
                              <wp:docPr id="187420970"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0970"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695600" cy="619200"/>
                                      </a:xfrm>
                                      <a:prstGeom prst="rect">
                                        <a:avLst/>
                                      </a:prstGeom>
                                    </pic:spPr>
                                  </pic:pic>
                                </a:graphicData>
                              </a:graphic>
                            </wp:inline>
                          </w:drawing>
                        </w:r>
                      </w:p>
                      <w:p w14:paraId="246A296E" w14:textId="77777777" w:rsidR="00144E74" w:rsidRPr="009527AE" w:rsidRDefault="00144E74" w:rsidP="00144E74">
                        <w:pPr>
                          <w:spacing w:after="0" w:line="264" w:lineRule="auto"/>
                          <w:rPr>
                            <w:color w:val="FFFFFF" w:themeColor="background1"/>
                          </w:rPr>
                        </w:pPr>
                      </w:p>
                      <w:p w14:paraId="17C413FD" w14:textId="77777777"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583F9F22"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1BC8CD78"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17F4093" w14:textId="77777777" w:rsidR="00144E74" w:rsidRPr="009527AE" w:rsidRDefault="00144E74" w:rsidP="00144E74">
                        <w:pPr>
                          <w:pStyle w:val="NoSpacing"/>
                          <w:spacing w:line="264" w:lineRule="auto"/>
                          <w:rPr>
                            <w:color w:val="FFFFFF" w:themeColor="background1"/>
                            <w:sz w:val="16"/>
                            <w:szCs w:val="16"/>
                          </w:rPr>
                        </w:pPr>
                      </w:p>
                      <w:p w14:paraId="09DD01ED"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7E9F8F40" w14:textId="77777777" w:rsidR="00144E74" w:rsidRPr="009527AE" w:rsidRDefault="00144E74" w:rsidP="00144E74">
                        <w:pPr>
                          <w:pStyle w:val="NoSpacing"/>
                          <w:spacing w:line="264" w:lineRule="auto"/>
                          <w:rPr>
                            <w:color w:val="FFFFFF" w:themeColor="background1"/>
                            <w:sz w:val="16"/>
                            <w:szCs w:val="16"/>
                          </w:rPr>
                        </w:pPr>
                      </w:p>
                      <w:p w14:paraId="4A4791C2" w14:textId="1017CF08"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BD2982" w:rsidRPr="008D11E8">
                          <w:rPr>
                            <w:color w:val="FFFFFF" w:themeColor="background1"/>
                            <w:sz w:val="16"/>
                            <w:szCs w:val="16"/>
                          </w:rPr>
                          <w:t>20</w:t>
                        </w:r>
                        <w:r w:rsidR="008D11E8" w:rsidRPr="008D11E8">
                          <w:rPr>
                            <w:color w:val="FFFFFF" w:themeColor="background1"/>
                            <w:sz w:val="16"/>
                            <w:szCs w:val="16"/>
                          </w:rPr>
                          <w:t>25</w:t>
                        </w:r>
                      </w:p>
                    </w:txbxContent>
                  </v:textbox>
                </v:shape>
                <w10:wrap anchorx="page" anchory="page"/>
              </v:group>
            </w:pict>
          </mc:Fallback>
        </mc:AlternateContent>
      </w:r>
    </w:p>
    <w:sectPr w:rsidR="005915AE" w:rsidRPr="004E2765" w:rsidSect="009720E5">
      <w:headerReference w:type="default" r:id="rId47"/>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9819B" w14:textId="77777777" w:rsidR="00457A4C" w:rsidRDefault="00457A4C" w:rsidP="001D0AFC">
      <w:r>
        <w:separator/>
      </w:r>
    </w:p>
    <w:p w14:paraId="1F8E0322" w14:textId="77777777" w:rsidR="00457A4C" w:rsidRDefault="00457A4C"/>
    <w:p w14:paraId="261AF171" w14:textId="77777777" w:rsidR="00457A4C" w:rsidRDefault="00457A4C"/>
    <w:p w14:paraId="72AD3777" w14:textId="77777777" w:rsidR="00457A4C" w:rsidRDefault="00457A4C"/>
  </w:endnote>
  <w:endnote w:type="continuationSeparator" w:id="0">
    <w:p w14:paraId="7DC66147" w14:textId="77777777" w:rsidR="00457A4C" w:rsidRDefault="00457A4C" w:rsidP="001D0AFC">
      <w:r>
        <w:continuationSeparator/>
      </w:r>
    </w:p>
    <w:p w14:paraId="3E8ED6CE" w14:textId="77777777" w:rsidR="00457A4C" w:rsidRDefault="00457A4C"/>
    <w:p w14:paraId="08D379FA" w14:textId="77777777" w:rsidR="00457A4C" w:rsidRDefault="00457A4C"/>
    <w:p w14:paraId="33FB16D5" w14:textId="77777777" w:rsidR="00457A4C" w:rsidRDefault="00457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39E8" w14:textId="138AA89C" w:rsidR="003C469B" w:rsidRPr="009720E5" w:rsidRDefault="004E18F2" w:rsidP="004E18F2">
    <w:pPr>
      <w:pStyle w:val="Footer"/>
      <w:ind w:left="284"/>
      <w:rPr>
        <w:b/>
        <w:bCs/>
      </w:rPr>
    </w:pPr>
    <w:r w:rsidRPr="00F1559B">
      <w:rPr>
        <w:i/>
        <w:iCs/>
        <w:noProof/>
      </w:rPr>
      <w:drawing>
        <wp:anchor distT="0" distB="0" distL="114300" distR="114300" simplePos="0" relativeHeight="251663360" behindDoc="0" locked="0" layoutInCell="1" allowOverlap="1" wp14:anchorId="2ED66F23" wp14:editId="73726362">
          <wp:simplePos x="0" y="0"/>
          <wp:positionH relativeFrom="column">
            <wp:posOffset>0</wp:posOffset>
          </wp:positionH>
          <wp:positionV relativeFrom="paragraph">
            <wp:posOffset>-27432</wp:posOffset>
          </wp:positionV>
          <wp:extent cx="138948" cy="180000"/>
          <wp:effectExtent l="0" t="0" r="0" b="0"/>
          <wp:wrapNone/>
          <wp:docPr id="106582494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59B" w:rsidRPr="00F1559B">
      <w:rPr>
        <w:i/>
        <w:iCs/>
        <w:noProof/>
      </w:rPr>
      <w:t>Clostridioides difficile</w:t>
    </w:r>
    <w:r w:rsidR="00F1559B" w:rsidRPr="00F1559B">
      <w:rPr>
        <w:noProof/>
      </w:rPr>
      <w:t xml:space="preserve"> infection: Data snapshot report 2022-2023</w:t>
    </w:r>
    <w:r w:rsidR="009720E5" w:rsidRPr="00F1559B">
      <w:t xml:space="preserve"> </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9A4A8" w14:textId="77777777" w:rsidR="00457A4C" w:rsidRDefault="00457A4C" w:rsidP="001D0AFC">
      <w:r>
        <w:separator/>
      </w:r>
    </w:p>
    <w:p w14:paraId="022E764F" w14:textId="77777777" w:rsidR="00457A4C" w:rsidRDefault="00457A4C"/>
  </w:footnote>
  <w:footnote w:type="continuationSeparator" w:id="0">
    <w:p w14:paraId="25E9EE53" w14:textId="77777777" w:rsidR="00457A4C" w:rsidRDefault="00457A4C" w:rsidP="001D0AFC">
      <w:r>
        <w:continuationSeparator/>
      </w:r>
    </w:p>
    <w:p w14:paraId="1A68AE03" w14:textId="77777777" w:rsidR="00457A4C" w:rsidRDefault="00457A4C"/>
  </w:footnote>
  <w:footnote w:type="continuationNotice" w:id="1">
    <w:p w14:paraId="3A508B8C" w14:textId="77777777" w:rsidR="00457A4C" w:rsidRDefault="00457A4C">
      <w:pPr>
        <w:spacing w:after="0"/>
      </w:pPr>
    </w:p>
    <w:p w14:paraId="3F063AE6" w14:textId="77777777" w:rsidR="00457A4C" w:rsidRDefault="00457A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893E" w14:textId="77777777" w:rsidR="00444B74" w:rsidRDefault="00025627">
    <w:pPr>
      <w:pStyle w:val="Header"/>
    </w:pPr>
    <w:r>
      <w:rPr>
        <w:noProof/>
      </w:rPr>
      <w:drawing>
        <wp:anchor distT="0" distB="0" distL="114300" distR="114300" simplePos="0" relativeHeight="251658240" behindDoc="1" locked="0" layoutInCell="1" allowOverlap="1" wp14:anchorId="065BA65C" wp14:editId="0509BF5D">
          <wp:simplePos x="0" y="0"/>
          <wp:positionH relativeFrom="column">
            <wp:posOffset>-865038</wp:posOffset>
          </wp:positionH>
          <wp:positionV relativeFrom="paragraph">
            <wp:posOffset>-340995</wp:posOffset>
          </wp:positionV>
          <wp:extent cx="7581433" cy="10724060"/>
          <wp:effectExtent l="0" t="0" r="635" b="1270"/>
          <wp:wrapNone/>
          <wp:docPr id="10239364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648"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433" cy="10724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133A7" w14:textId="77777777" w:rsidR="00796DE6" w:rsidRPr="002934C0" w:rsidRDefault="00796DE6" w:rsidP="0029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C4F94"/>
    <w:multiLevelType w:val="hybridMultilevel"/>
    <w:tmpl w:val="6776A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E4101C"/>
    <w:multiLevelType w:val="hybridMultilevel"/>
    <w:tmpl w:val="6E2E5472"/>
    <w:lvl w:ilvl="0" w:tplc="E4B8130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65731F3"/>
    <w:multiLevelType w:val="hybridMultilevel"/>
    <w:tmpl w:val="717C1306"/>
    <w:lvl w:ilvl="0" w:tplc="0F581B7C">
      <w:start w:val="1"/>
      <w:numFmt w:val="bullet"/>
      <w:lvlText w:val=""/>
      <w:lvlJc w:val="left"/>
      <w:pPr>
        <w:ind w:left="720" w:hanging="360"/>
      </w:pPr>
      <w:rPr>
        <w:rFonts w:ascii="Symbol" w:hAnsi="Symbol"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4" w15:restartNumberingAfterBreak="0">
    <w:nsid w:val="39454138"/>
    <w:multiLevelType w:val="hybridMultilevel"/>
    <w:tmpl w:val="D7849A88"/>
    <w:lvl w:ilvl="0" w:tplc="DE0E5C00">
      <w:start w:val="5"/>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7B87B91"/>
    <w:multiLevelType w:val="hybridMultilevel"/>
    <w:tmpl w:val="5B761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1F7723"/>
    <w:multiLevelType w:val="multilevel"/>
    <w:tmpl w:val="D87E06D8"/>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8" w15:restartNumberingAfterBreak="0">
    <w:nsid w:val="787E4D88"/>
    <w:multiLevelType w:val="multilevel"/>
    <w:tmpl w:val="790ACF80"/>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9" w15:restartNumberingAfterBreak="0">
    <w:nsid w:val="79824B52"/>
    <w:multiLevelType w:val="hybridMultilevel"/>
    <w:tmpl w:val="9B0EE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523040">
    <w:abstractNumId w:val="3"/>
  </w:num>
  <w:num w:numId="2" w16cid:durableId="1741051169">
    <w:abstractNumId w:val="8"/>
  </w:num>
  <w:num w:numId="3" w16cid:durableId="1155560808">
    <w:abstractNumId w:val="6"/>
  </w:num>
  <w:num w:numId="4" w16cid:durableId="1231190212">
    <w:abstractNumId w:val="7"/>
  </w:num>
  <w:num w:numId="5" w16cid:durableId="1259563685">
    <w:abstractNumId w:val="9"/>
  </w:num>
  <w:num w:numId="6" w16cid:durableId="168913475">
    <w:abstractNumId w:val="5"/>
  </w:num>
  <w:num w:numId="7" w16cid:durableId="193273701">
    <w:abstractNumId w:val="2"/>
  </w:num>
  <w:num w:numId="8" w16cid:durableId="2027707924">
    <w:abstractNumId w:val="1"/>
  </w:num>
  <w:num w:numId="9" w16cid:durableId="160588505">
    <w:abstractNumId w:val="4"/>
  </w:num>
  <w:num w:numId="10" w16cid:durableId="2152149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227"/>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F1559B"/>
    <w:rsid w:val="00011EBE"/>
    <w:rsid w:val="000121BA"/>
    <w:rsid w:val="000136A5"/>
    <w:rsid w:val="00013E33"/>
    <w:rsid w:val="00015555"/>
    <w:rsid w:val="0001627D"/>
    <w:rsid w:val="000164A5"/>
    <w:rsid w:val="00020CF3"/>
    <w:rsid w:val="0002234B"/>
    <w:rsid w:val="000237BA"/>
    <w:rsid w:val="00024109"/>
    <w:rsid w:val="00024813"/>
    <w:rsid w:val="0002528E"/>
    <w:rsid w:val="00025627"/>
    <w:rsid w:val="0003148E"/>
    <w:rsid w:val="00032388"/>
    <w:rsid w:val="00033439"/>
    <w:rsid w:val="00034043"/>
    <w:rsid w:val="0003501D"/>
    <w:rsid w:val="000369EA"/>
    <w:rsid w:val="00036C75"/>
    <w:rsid w:val="00036FE5"/>
    <w:rsid w:val="00037DE5"/>
    <w:rsid w:val="00041055"/>
    <w:rsid w:val="00041141"/>
    <w:rsid w:val="00046136"/>
    <w:rsid w:val="00051470"/>
    <w:rsid w:val="00056BC0"/>
    <w:rsid w:val="00061B61"/>
    <w:rsid w:val="000623E3"/>
    <w:rsid w:val="000635BC"/>
    <w:rsid w:val="0006369F"/>
    <w:rsid w:val="00063D9C"/>
    <w:rsid w:val="00064283"/>
    <w:rsid w:val="000658B5"/>
    <w:rsid w:val="00065D01"/>
    <w:rsid w:val="00065F7E"/>
    <w:rsid w:val="00071DEE"/>
    <w:rsid w:val="000760F4"/>
    <w:rsid w:val="00080037"/>
    <w:rsid w:val="00081BFA"/>
    <w:rsid w:val="00083A58"/>
    <w:rsid w:val="00083FD2"/>
    <w:rsid w:val="00084CE8"/>
    <w:rsid w:val="0008584C"/>
    <w:rsid w:val="000872A3"/>
    <w:rsid w:val="00090622"/>
    <w:rsid w:val="00091A80"/>
    <w:rsid w:val="00093BC8"/>
    <w:rsid w:val="00096638"/>
    <w:rsid w:val="00096866"/>
    <w:rsid w:val="000A054F"/>
    <w:rsid w:val="000A0C2D"/>
    <w:rsid w:val="000A1273"/>
    <w:rsid w:val="000A1738"/>
    <w:rsid w:val="000A1916"/>
    <w:rsid w:val="000A1EF9"/>
    <w:rsid w:val="000A2E7B"/>
    <w:rsid w:val="000A336E"/>
    <w:rsid w:val="000A3F73"/>
    <w:rsid w:val="000A3F90"/>
    <w:rsid w:val="000A4DA7"/>
    <w:rsid w:val="000A5B5A"/>
    <w:rsid w:val="000A66C9"/>
    <w:rsid w:val="000A6E98"/>
    <w:rsid w:val="000A7696"/>
    <w:rsid w:val="000B19D3"/>
    <w:rsid w:val="000B3106"/>
    <w:rsid w:val="000B3336"/>
    <w:rsid w:val="000B40C2"/>
    <w:rsid w:val="000B46C8"/>
    <w:rsid w:val="000B5598"/>
    <w:rsid w:val="000B5729"/>
    <w:rsid w:val="000C0CA6"/>
    <w:rsid w:val="000C1B92"/>
    <w:rsid w:val="000C2E3A"/>
    <w:rsid w:val="000C4291"/>
    <w:rsid w:val="000C5879"/>
    <w:rsid w:val="000D19FF"/>
    <w:rsid w:val="000D22A8"/>
    <w:rsid w:val="000D333F"/>
    <w:rsid w:val="000D739F"/>
    <w:rsid w:val="000D793D"/>
    <w:rsid w:val="000D7D92"/>
    <w:rsid w:val="000D7F92"/>
    <w:rsid w:val="000E552A"/>
    <w:rsid w:val="000E76FA"/>
    <w:rsid w:val="000F0CAD"/>
    <w:rsid w:val="000F2461"/>
    <w:rsid w:val="000F2EDC"/>
    <w:rsid w:val="000F58A7"/>
    <w:rsid w:val="000F5A29"/>
    <w:rsid w:val="000F5CB5"/>
    <w:rsid w:val="000F6463"/>
    <w:rsid w:val="000F6579"/>
    <w:rsid w:val="000F7990"/>
    <w:rsid w:val="00100584"/>
    <w:rsid w:val="00100C7A"/>
    <w:rsid w:val="001010A9"/>
    <w:rsid w:val="00103B28"/>
    <w:rsid w:val="00104C08"/>
    <w:rsid w:val="0010640F"/>
    <w:rsid w:val="00106589"/>
    <w:rsid w:val="00106F60"/>
    <w:rsid w:val="00112DF1"/>
    <w:rsid w:val="00113EA9"/>
    <w:rsid w:val="001141D0"/>
    <w:rsid w:val="001175CB"/>
    <w:rsid w:val="00117894"/>
    <w:rsid w:val="001178D7"/>
    <w:rsid w:val="0012062F"/>
    <w:rsid w:val="00120E3D"/>
    <w:rsid w:val="001239E7"/>
    <w:rsid w:val="0012449A"/>
    <w:rsid w:val="001279BB"/>
    <w:rsid w:val="00133783"/>
    <w:rsid w:val="001338BA"/>
    <w:rsid w:val="00133AA0"/>
    <w:rsid w:val="001368BE"/>
    <w:rsid w:val="00136B50"/>
    <w:rsid w:val="001425A7"/>
    <w:rsid w:val="00142D1D"/>
    <w:rsid w:val="001432FE"/>
    <w:rsid w:val="00143D93"/>
    <w:rsid w:val="00144282"/>
    <w:rsid w:val="00144E74"/>
    <w:rsid w:val="001457C0"/>
    <w:rsid w:val="00146F42"/>
    <w:rsid w:val="001523A3"/>
    <w:rsid w:val="00152895"/>
    <w:rsid w:val="00152AC1"/>
    <w:rsid w:val="00153AEF"/>
    <w:rsid w:val="001543A8"/>
    <w:rsid w:val="001547CB"/>
    <w:rsid w:val="00154C1A"/>
    <w:rsid w:val="00156042"/>
    <w:rsid w:val="00156154"/>
    <w:rsid w:val="001567DD"/>
    <w:rsid w:val="00156EE9"/>
    <w:rsid w:val="00157AB6"/>
    <w:rsid w:val="00157CE7"/>
    <w:rsid w:val="00165F83"/>
    <w:rsid w:val="001714D3"/>
    <w:rsid w:val="0017356E"/>
    <w:rsid w:val="00174708"/>
    <w:rsid w:val="00175024"/>
    <w:rsid w:val="001813C1"/>
    <w:rsid w:val="001816A1"/>
    <w:rsid w:val="00182D27"/>
    <w:rsid w:val="00184B29"/>
    <w:rsid w:val="0018654C"/>
    <w:rsid w:val="00187C93"/>
    <w:rsid w:val="00191178"/>
    <w:rsid w:val="00191513"/>
    <w:rsid w:val="00191CC2"/>
    <w:rsid w:val="00192329"/>
    <w:rsid w:val="00193699"/>
    <w:rsid w:val="00193942"/>
    <w:rsid w:val="00197290"/>
    <w:rsid w:val="0019759D"/>
    <w:rsid w:val="00197ADC"/>
    <w:rsid w:val="00197E66"/>
    <w:rsid w:val="001A03FE"/>
    <w:rsid w:val="001A0E88"/>
    <w:rsid w:val="001A2B7F"/>
    <w:rsid w:val="001A3D99"/>
    <w:rsid w:val="001A41EB"/>
    <w:rsid w:val="001A4611"/>
    <w:rsid w:val="001A50A3"/>
    <w:rsid w:val="001A5727"/>
    <w:rsid w:val="001A599E"/>
    <w:rsid w:val="001A7D74"/>
    <w:rsid w:val="001B23B8"/>
    <w:rsid w:val="001B3928"/>
    <w:rsid w:val="001B64D1"/>
    <w:rsid w:val="001B709F"/>
    <w:rsid w:val="001B7FA1"/>
    <w:rsid w:val="001C28D3"/>
    <w:rsid w:val="001C3BEB"/>
    <w:rsid w:val="001C3E16"/>
    <w:rsid w:val="001C3FD0"/>
    <w:rsid w:val="001C48D8"/>
    <w:rsid w:val="001C4B8A"/>
    <w:rsid w:val="001C5149"/>
    <w:rsid w:val="001C52C2"/>
    <w:rsid w:val="001C6BB6"/>
    <w:rsid w:val="001D0AFC"/>
    <w:rsid w:val="001D1EF4"/>
    <w:rsid w:val="001D2019"/>
    <w:rsid w:val="001D3383"/>
    <w:rsid w:val="001D4D0D"/>
    <w:rsid w:val="001D6E4A"/>
    <w:rsid w:val="001D7528"/>
    <w:rsid w:val="001D76E4"/>
    <w:rsid w:val="001E3A54"/>
    <w:rsid w:val="001E41E5"/>
    <w:rsid w:val="001E49C9"/>
    <w:rsid w:val="001E5108"/>
    <w:rsid w:val="001E5F8E"/>
    <w:rsid w:val="001F1430"/>
    <w:rsid w:val="001F25C8"/>
    <w:rsid w:val="001F3C12"/>
    <w:rsid w:val="001F40EE"/>
    <w:rsid w:val="001F523A"/>
    <w:rsid w:val="0020091F"/>
    <w:rsid w:val="00200A33"/>
    <w:rsid w:val="00201868"/>
    <w:rsid w:val="00202C71"/>
    <w:rsid w:val="00202F7F"/>
    <w:rsid w:val="0020707C"/>
    <w:rsid w:val="00207CBE"/>
    <w:rsid w:val="00210409"/>
    <w:rsid w:val="00210E8D"/>
    <w:rsid w:val="0021123A"/>
    <w:rsid w:val="0021134B"/>
    <w:rsid w:val="00215E97"/>
    <w:rsid w:val="00216854"/>
    <w:rsid w:val="00217D19"/>
    <w:rsid w:val="00217FDB"/>
    <w:rsid w:val="0022009C"/>
    <w:rsid w:val="00223F37"/>
    <w:rsid w:val="00226249"/>
    <w:rsid w:val="00227152"/>
    <w:rsid w:val="002307E1"/>
    <w:rsid w:val="002320CE"/>
    <w:rsid w:val="002323DC"/>
    <w:rsid w:val="00233385"/>
    <w:rsid w:val="002333C5"/>
    <w:rsid w:val="002349BF"/>
    <w:rsid w:val="00236950"/>
    <w:rsid w:val="00242034"/>
    <w:rsid w:val="002422FD"/>
    <w:rsid w:val="0024362A"/>
    <w:rsid w:val="00244887"/>
    <w:rsid w:val="00244E46"/>
    <w:rsid w:val="002468CF"/>
    <w:rsid w:val="00253E2B"/>
    <w:rsid w:val="002574B2"/>
    <w:rsid w:val="00257A55"/>
    <w:rsid w:val="00260209"/>
    <w:rsid w:val="00262769"/>
    <w:rsid w:val="002632B7"/>
    <w:rsid w:val="00264464"/>
    <w:rsid w:val="0026489B"/>
    <w:rsid w:val="00264F4D"/>
    <w:rsid w:val="00265B44"/>
    <w:rsid w:val="00271B27"/>
    <w:rsid w:val="00272AAC"/>
    <w:rsid w:val="00274521"/>
    <w:rsid w:val="00275504"/>
    <w:rsid w:val="0027686A"/>
    <w:rsid w:val="002769C3"/>
    <w:rsid w:val="002776FA"/>
    <w:rsid w:val="00277E47"/>
    <w:rsid w:val="0028070D"/>
    <w:rsid w:val="002871D8"/>
    <w:rsid w:val="00291082"/>
    <w:rsid w:val="00292828"/>
    <w:rsid w:val="002934C0"/>
    <w:rsid w:val="0029439E"/>
    <w:rsid w:val="00295234"/>
    <w:rsid w:val="00295315"/>
    <w:rsid w:val="00296ADC"/>
    <w:rsid w:val="00297CB5"/>
    <w:rsid w:val="002A02B1"/>
    <w:rsid w:val="002A1211"/>
    <w:rsid w:val="002A12DA"/>
    <w:rsid w:val="002A1929"/>
    <w:rsid w:val="002A1BC8"/>
    <w:rsid w:val="002A50AE"/>
    <w:rsid w:val="002A521B"/>
    <w:rsid w:val="002A66E5"/>
    <w:rsid w:val="002B1417"/>
    <w:rsid w:val="002B161A"/>
    <w:rsid w:val="002B16A7"/>
    <w:rsid w:val="002B3191"/>
    <w:rsid w:val="002B3C79"/>
    <w:rsid w:val="002B47F4"/>
    <w:rsid w:val="002B553A"/>
    <w:rsid w:val="002B5C37"/>
    <w:rsid w:val="002C033F"/>
    <w:rsid w:val="002C0BE4"/>
    <w:rsid w:val="002C147F"/>
    <w:rsid w:val="002C1A6F"/>
    <w:rsid w:val="002C1E4B"/>
    <w:rsid w:val="002C2769"/>
    <w:rsid w:val="002C2E1B"/>
    <w:rsid w:val="002C3AFC"/>
    <w:rsid w:val="002C4209"/>
    <w:rsid w:val="002D1DB7"/>
    <w:rsid w:val="002D291F"/>
    <w:rsid w:val="002D3345"/>
    <w:rsid w:val="002D374F"/>
    <w:rsid w:val="002D521E"/>
    <w:rsid w:val="002D62CE"/>
    <w:rsid w:val="002D67D3"/>
    <w:rsid w:val="002D7462"/>
    <w:rsid w:val="002E001E"/>
    <w:rsid w:val="002E038B"/>
    <w:rsid w:val="002E1998"/>
    <w:rsid w:val="002E2CB1"/>
    <w:rsid w:val="002E2F01"/>
    <w:rsid w:val="002E41A9"/>
    <w:rsid w:val="002E6D7C"/>
    <w:rsid w:val="002E7E37"/>
    <w:rsid w:val="002F0E89"/>
    <w:rsid w:val="002F208B"/>
    <w:rsid w:val="002F2993"/>
    <w:rsid w:val="002F359A"/>
    <w:rsid w:val="002F52F7"/>
    <w:rsid w:val="002F5514"/>
    <w:rsid w:val="002F6516"/>
    <w:rsid w:val="002F6F32"/>
    <w:rsid w:val="003004FA"/>
    <w:rsid w:val="00303CD4"/>
    <w:rsid w:val="00305628"/>
    <w:rsid w:val="0030578E"/>
    <w:rsid w:val="0030669E"/>
    <w:rsid w:val="0030795C"/>
    <w:rsid w:val="00313F81"/>
    <w:rsid w:val="00314BB5"/>
    <w:rsid w:val="00316BFF"/>
    <w:rsid w:val="00320667"/>
    <w:rsid w:val="003233EA"/>
    <w:rsid w:val="00325A41"/>
    <w:rsid w:val="00327466"/>
    <w:rsid w:val="003300BD"/>
    <w:rsid w:val="00333BFF"/>
    <w:rsid w:val="00336E8A"/>
    <w:rsid w:val="00337255"/>
    <w:rsid w:val="00337769"/>
    <w:rsid w:val="0033785B"/>
    <w:rsid w:val="003415C3"/>
    <w:rsid w:val="0034210B"/>
    <w:rsid w:val="00342671"/>
    <w:rsid w:val="00342B0C"/>
    <w:rsid w:val="00343C87"/>
    <w:rsid w:val="00344DD4"/>
    <w:rsid w:val="003450AC"/>
    <w:rsid w:val="00351CED"/>
    <w:rsid w:val="0035330E"/>
    <w:rsid w:val="00353DC5"/>
    <w:rsid w:val="003606B1"/>
    <w:rsid w:val="003610D2"/>
    <w:rsid w:val="0036434E"/>
    <w:rsid w:val="00366AB9"/>
    <w:rsid w:val="00375370"/>
    <w:rsid w:val="00380AA5"/>
    <w:rsid w:val="00382222"/>
    <w:rsid w:val="0038259F"/>
    <w:rsid w:val="00382A57"/>
    <w:rsid w:val="00382DE9"/>
    <w:rsid w:val="003831B9"/>
    <w:rsid w:val="00384233"/>
    <w:rsid w:val="003842E4"/>
    <w:rsid w:val="003845DF"/>
    <w:rsid w:val="00387AAC"/>
    <w:rsid w:val="00397A3B"/>
    <w:rsid w:val="003A0533"/>
    <w:rsid w:val="003A5810"/>
    <w:rsid w:val="003A5F1D"/>
    <w:rsid w:val="003A67D8"/>
    <w:rsid w:val="003A68CB"/>
    <w:rsid w:val="003A6FF1"/>
    <w:rsid w:val="003B3D1A"/>
    <w:rsid w:val="003B4928"/>
    <w:rsid w:val="003B551F"/>
    <w:rsid w:val="003B5C68"/>
    <w:rsid w:val="003B5D55"/>
    <w:rsid w:val="003B701C"/>
    <w:rsid w:val="003C1731"/>
    <w:rsid w:val="003C17BB"/>
    <w:rsid w:val="003C27E2"/>
    <w:rsid w:val="003C3AEE"/>
    <w:rsid w:val="003C3CC4"/>
    <w:rsid w:val="003C469B"/>
    <w:rsid w:val="003D0D9C"/>
    <w:rsid w:val="003D1716"/>
    <w:rsid w:val="003D17FB"/>
    <w:rsid w:val="003D2652"/>
    <w:rsid w:val="003D2B5A"/>
    <w:rsid w:val="003D5D9E"/>
    <w:rsid w:val="003D5ED7"/>
    <w:rsid w:val="003D70C7"/>
    <w:rsid w:val="003E0987"/>
    <w:rsid w:val="003E0E97"/>
    <w:rsid w:val="003E0F3F"/>
    <w:rsid w:val="003E14DC"/>
    <w:rsid w:val="003E19F9"/>
    <w:rsid w:val="003E1AC6"/>
    <w:rsid w:val="003E1AC8"/>
    <w:rsid w:val="003E37B6"/>
    <w:rsid w:val="003E3CF0"/>
    <w:rsid w:val="003E4D00"/>
    <w:rsid w:val="003E7795"/>
    <w:rsid w:val="003F0176"/>
    <w:rsid w:val="003F0791"/>
    <w:rsid w:val="003F0DE2"/>
    <w:rsid w:val="003F422C"/>
    <w:rsid w:val="003F4615"/>
    <w:rsid w:val="003F4678"/>
    <w:rsid w:val="003F5B8F"/>
    <w:rsid w:val="003F6013"/>
    <w:rsid w:val="003F76C5"/>
    <w:rsid w:val="004003DB"/>
    <w:rsid w:val="00401788"/>
    <w:rsid w:val="00401938"/>
    <w:rsid w:val="00402F1C"/>
    <w:rsid w:val="00403C6C"/>
    <w:rsid w:val="00407E7F"/>
    <w:rsid w:val="00410032"/>
    <w:rsid w:val="00411636"/>
    <w:rsid w:val="00411B7D"/>
    <w:rsid w:val="004133BD"/>
    <w:rsid w:val="00414086"/>
    <w:rsid w:val="00415AF0"/>
    <w:rsid w:val="00416267"/>
    <w:rsid w:val="00416788"/>
    <w:rsid w:val="0042039D"/>
    <w:rsid w:val="00421E99"/>
    <w:rsid w:val="004223ED"/>
    <w:rsid w:val="00424406"/>
    <w:rsid w:val="004252F4"/>
    <w:rsid w:val="00425C5C"/>
    <w:rsid w:val="004265BE"/>
    <w:rsid w:val="004309BE"/>
    <w:rsid w:val="00431975"/>
    <w:rsid w:val="00432A5C"/>
    <w:rsid w:val="00433093"/>
    <w:rsid w:val="004339D6"/>
    <w:rsid w:val="00435303"/>
    <w:rsid w:val="0044217F"/>
    <w:rsid w:val="0044369F"/>
    <w:rsid w:val="00444B74"/>
    <w:rsid w:val="00447F86"/>
    <w:rsid w:val="00450AEF"/>
    <w:rsid w:val="00452BEC"/>
    <w:rsid w:val="0045454F"/>
    <w:rsid w:val="0045567D"/>
    <w:rsid w:val="00457A4C"/>
    <w:rsid w:val="004622D6"/>
    <w:rsid w:val="004624F7"/>
    <w:rsid w:val="00462C1E"/>
    <w:rsid w:val="004642D9"/>
    <w:rsid w:val="00466AF8"/>
    <w:rsid w:val="00467B74"/>
    <w:rsid w:val="00467CE7"/>
    <w:rsid w:val="0047070E"/>
    <w:rsid w:val="0047130C"/>
    <w:rsid w:val="004753EA"/>
    <w:rsid w:val="00475BE7"/>
    <w:rsid w:val="0048437F"/>
    <w:rsid w:val="00486996"/>
    <w:rsid w:val="00495969"/>
    <w:rsid w:val="00497959"/>
    <w:rsid w:val="004A0ED4"/>
    <w:rsid w:val="004A1736"/>
    <w:rsid w:val="004A191B"/>
    <w:rsid w:val="004A1BC5"/>
    <w:rsid w:val="004A3278"/>
    <w:rsid w:val="004A4B45"/>
    <w:rsid w:val="004A58E5"/>
    <w:rsid w:val="004A6A7C"/>
    <w:rsid w:val="004A6D7F"/>
    <w:rsid w:val="004A7DA8"/>
    <w:rsid w:val="004B17FB"/>
    <w:rsid w:val="004B1AAF"/>
    <w:rsid w:val="004B3359"/>
    <w:rsid w:val="004B38F6"/>
    <w:rsid w:val="004B3A59"/>
    <w:rsid w:val="004C26DA"/>
    <w:rsid w:val="004C2CBD"/>
    <w:rsid w:val="004C2D38"/>
    <w:rsid w:val="004C359D"/>
    <w:rsid w:val="004C47F5"/>
    <w:rsid w:val="004C6084"/>
    <w:rsid w:val="004C6C62"/>
    <w:rsid w:val="004D0DC8"/>
    <w:rsid w:val="004D1D34"/>
    <w:rsid w:val="004D1FE3"/>
    <w:rsid w:val="004D3380"/>
    <w:rsid w:val="004D3498"/>
    <w:rsid w:val="004D7430"/>
    <w:rsid w:val="004E06CD"/>
    <w:rsid w:val="004E0750"/>
    <w:rsid w:val="004E142F"/>
    <w:rsid w:val="004E169F"/>
    <w:rsid w:val="004E18F2"/>
    <w:rsid w:val="004E2765"/>
    <w:rsid w:val="004E38D4"/>
    <w:rsid w:val="004E445F"/>
    <w:rsid w:val="004E5861"/>
    <w:rsid w:val="004E5EEB"/>
    <w:rsid w:val="004F16FA"/>
    <w:rsid w:val="004F4183"/>
    <w:rsid w:val="004F6546"/>
    <w:rsid w:val="00504AE4"/>
    <w:rsid w:val="00505381"/>
    <w:rsid w:val="00505471"/>
    <w:rsid w:val="005062D4"/>
    <w:rsid w:val="0050706D"/>
    <w:rsid w:val="005071B9"/>
    <w:rsid w:val="00507ABC"/>
    <w:rsid w:val="00507D3A"/>
    <w:rsid w:val="00507DED"/>
    <w:rsid w:val="00510A99"/>
    <w:rsid w:val="00512BE7"/>
    <w:rsid w:val="005138A5"/>
    <w:rsid w:val="00520281"/>
    <w:rsid w:val="005213F3"/>
    <w:rsid w:val="00521C5A"/>
    <w:rsid w:val="00521CCB"/>
    <w:rsid w:val="005234AB"/>
    <w:rsid w:val="005266C3"/>
    <w:rsid w:val="00527D0A"/>
    <w:rsid w:val="005316C5"/>
    <w:rsid w:val="00536075"/>
    <w:rsid w:val="00537ECB"/>
    <w:rsid w:val="005410C1"/>
    <w:rsid w:val="00544B18"/>
    <w:rsid w:val="0054583B"/>
    <w:rsid w:val="00546A45"/>
    <w:rsid w:val="005520BC"/>
    <w:rsid w:val="00552F86"/>
    <w:rsid w:val="005532C6"/>
    <w:rsid w:val="00554873"/>
    <w:rsid w:val="005559C1"/>
    <w:rsid w:val="0055601C"/>
    <w:rsid w:val="00560D47"/>
    <w:rsid w:val="00562DF0"/>
    <w:rsid w:val="005634B4"/>
    <w:rsid w:val="0056463F"/>
    <w:rsid w:val="005646CD"/>
    <w:rsid w:val="0056489B"/>
    <w:rsid w:val="00564BC2"/>
    <w:rsid w:val="00566964"/>
    <w:rsid w:val="00570151"/>
    <w:rsid w:val="005743DF"/>
    <w:rsid w:val="00582037"/>
    <w:rsid w:val="00583BF3"/>
    <w:rsid w:val="00584EA0"/>
    <w:rsid w:val="00585314"/>
    <w:rsid w:val="00585D96"/>
    <w:rsid w:val="00585FC6"/>
    <w:rsid w:val="00586756"/>
    <w:rsid w:val="00586A68"/>
    <w:rsid w:val="005915AE"/>
    <w:rsid w:val="0059331F"/>
    <w:rsid w:val="00593C4E"/>
    <w:rsid w:val="005943E4"/>
    <w:rsid w:val="00594996"/>
    <w:rsid w:val="00595909"/>
    <w:rsid w:val="00596B9B"/>
    <w:rsid w:val="005A094A"/>
    <w:rsid w:val="005A10F2"/>
    <w:rsid w:val="005A142A"/>
    <w:rsid w:val="005A22A5"/>
    <w:rsid w:val="005A647D"/>
    <w:rsid w:val="005A759C"/>
    <w:rsid w:val="005B158F"/>
    <w:rsid w:val="005B1BD1"/>
    <w:rsid w:val="005B2791"/>
    <w:rsid w:val="005B3740"/>
    <w:rsid w:val="005B3A1A"/>
    <w:rsid w:val="005B4808"/>
    <w:rsid w:val="005B5231"/>
    <w:rsid w:val="005B56BA"/>
    <w:rsid w:val="005B6022"/>
    <w:rsid w:val="005B6306"/>
    <w:rsid w:val="005B783E"/>
    <w:rsid w:val="005C317B"/>
    <w:rsid w:val="005C3BCC"/>
    <w:rsid w:val="005C3C53"/>
    <w:rsid w:val="005C3D26"/>
    <w:rsid w:val="005C488F"/>
    <w:rsid w:val="005C76E3"/>
    <w:rsid w:val="005D0CC2"/>
    <w:rsid w:val="005D1997"/>
    <w:rsid w:val="005D32BE"/>
    <w:rsid w:val="005D4764"/>
    <w:rsid w:val="005D65FE"/>
    <w:rsid w:val="005D7DCC"/>
    <w:rsid w:val="005E3C4D"/>
    <w:rsid w:val="005E3E4E"/>
    <w:rsid w:val="005F02B6"/>
    <w:rsid w:val="005F08D9"/>
    <w:rsid w:val="005F36C3"/>
    <w:rsid w:val="005F4740"/>
    <w:rsid w:val="005F56D4"/>
    <w:rsid w:val="005F59AA"/>
    <w:rsid w:val="00600452"/>
    <w:rsid w:val="0060327D"/>
    <w:rsid w:val="00603D3A"/>
    <w:rsid w:val="00606ED1"/>
    <w:rsid w:val="0060777F"/>
    <w:rsid w:val="00607D8E"/>
    <w:rsid w:val="00610149"/>
    <w:rsid w:val="0061259C"/>
    <w:rsid w:val="00616063"/>
    <w:rsid w:val="00616A8F"/>
    <w:rsid w:val="0062006A"/>
    <w:rsid w:val="00620692"/>
    <w:rsid w:val="00621DAE"/>
    <w:rsid w:val="00622A8D"/>
    <w:rsid w:val="0062348C"/>
    <w:rsid w:val="0062658A"/>
    <w:rsid w:val="00630FAD"/>
    <w:rsid w:val="006330DA"/>
    <w:rsid w:val="006367D6"/>
    <w:rsid w:val="00640006"/>
    <w:rsid w:val="0064041E"/>
    <w:rsid w:val="00640B02"/>
    <w:rsid w:val="00644F41"/>
    <w:rsid w:val="006454C7"/>
    <w:rsid w:val="006458A1"/>
    <w:rsid w:val="0064638E"/>
    <w:rsid w:val="00647F38"/>
    <w:rsid w:val="00656D2E"/>
    <w:rsid w:val="0065750F"/>
    <w:rsid w:val="0065754D"/>
    <w:rsid w:val="00662B82"/>
    <w:rsid w:val="00663A07"/>
    <w:rsid w:val="00663EB2"/>
    <w:rsid w:val="00664625"/>
    <w:rsid w:val="00665654"/>
    <w:rsid w:val="00665F53"/>
    <w:rsid w:val="006666F0"/>
    <w:rsid w:val="006710AF"/>
    <w:rsid w:val="006761D1"/>
    <w:rsid w:val="006818CB"/>
    <w:rsid w:val="00681DC4"/>
    <w:rsid w:val="00682690"/>
    <w:rsid w:val="00686747"/>
    <w:rsid w:val="00687FC3"/>
    <w:rsid w:val="006909B3"/>
    <w:rsid w:val="006910B9"/>
    <w:rsid w:val="00691B1E"/>
    <w:rsid w:val="00693793"/>
    <w:rsid w:val="00693A71"/>
    <w:rsid w:val="006A0D5B"/>
    <w:rsid w:val="006A261D"/>
    <w:rsid w:val="006A35DD"/>
    <w:rsid w:val="006A3CDA"/>
    <w:rsid w:val="006A3D01"/>
    <w:rsid w:val="006A50D2"/>
    <w:rsid w:val="006A7FC2"/>
    <w:rsid w:val="006B0B35"/>
    <w:rsid w:val="006B0C33"/>
    <w:rsid w:val="006B1240"/>
    <w:rsid w:val="006B3A4B"/>
    <w:rsid w:val="006B4175"/>
    <w:rsid w:val="006B6CB3"/>
    <w:rsid w:val="006B7C51"/>
    <w:rsid w:val="006C1340"/>
    <w:rsid w:val="006C1E76"/>
    <w:rsid w:val="006C2813"/>
    <w:rsid w:val="006C2EEC"/>
    <w:rsid w:val="006C3EE5"/>
    <w:rsid w:val="006C3FCD"/>
    <w:rsid w:val="006C4497"/>
    <w:rsid w:val="006C5560"/>
    <w:rsid w:val="006C5BC4"/>
    <w:rsid w:val="006C643E"/>
    <w:rsid w:val="006D001B"/>
    <w:rsid w:val="006D0E06"/>
    <w:rsid w:val="006D118B"/>
    <w:rsid w:val="006D2526"/>
    <w:rsid w:val="006D41CA"/>
    <w:rsid w:val="006D6392"/>
    <w:rsid w:val="006D7A2A"/>
    <w:rsid w:val="006E0022"/>
    <w:rsid w:val="006E18B9"/>
    <w:rsid w:val="006E281A"/>
    <w:rsid w:val="006E4469"/>
    <w:rsid w:val="006E546F"/>
    <w:rsid w:val="006E5981"/>
    <w:rsid w:val="006E6195"/>
    <w:rsid w:val="006E777C"/>
    <w:rsid w:val="006E7EA8"/>
    <w:rsid w:val="006F0D69"/>
    <w:rsid w:val="006F169C"/>
    <w:rsid w:val="006F297E"/>
    <w:rsid w:val="006F4F72"/>
    <w:rsid w:val="006F50F5"/>
    <w:rsid w:val="006F5C6F"/>
    <w:rsid w:val="006F7CB3"/>
    <w:rsid w:val="007023B2"/>
    <w:rsid w:val="00706773"/>
    <w:rsid w:val="0070784B"/>
    <w:rsid w:val="00707B0F"/>
    <w:rsid w:val="00710AEE"/>
    <w:rsid w:val="00711370"/>
    <w:rsid w:val="007122A4"/>
    <w:rsid w:val="007125BA"/>
    <w:rsid w:val="00713ADF"/>
    <w:rsid w:val="00715DE1"/>
    <w:rsid w:val="00716958"/>
    <w:rsid w:val="00722D58"/>
    <w:rsid w:val="00722E45"/>
    <w:rsid w:val="0072334C"/>
    <w:rsid w:val="0072344E"/>
    <w:rsid w:val="00724799"/>
    <w:rsid w:val="00727B78"/>
    <w:rsid w:val="00730698"/>
    <w:rsid w:val="00732F33"/>
    <w:rsid w:val="00733BB6"/>
    <w:rsid w:val="00734448"/>
    <w:rsid w:val="007345C6"/>
    <w:rsid w:val="0073698E"/>
    <w:rsid w:val="007369FD"/>
    <w:rsid w:val="00740F95"/>
    <w:rsid w:val="00742A2A"/>
    <w:rsid w:val="00742D15"/>
    <w:rsid w:val="00743223"/>
    <w:rsid w:val="00743F2B"/>
    <w:rsid w:val="0074538F"/>
    <w:rsid w:val="007454B9"/>
    <w:rsid w:val="007454CC"/>
    <w:rsid w:val="007467E3"/>
    <w:rsid w:val="00751B97"/>
    <w:rsid w:val="00752D37"/>
    <w:rsid w:val="007531C4"/>
    <w:rsid w:val="00754945"/>
    <w:rsid w:val="00756E38"/>
    <w:rsid w:val="0075756D"/>
    <w:rsid w:val="007577DB"/>
    <w:rsid w:val="00757E55"/>
    <w:rsid w:val="00760E66"/>
    <w:rsid w:val="00762818"/>
    <w:rsid w:val="00763211"/>
    <w:rsid w:val="007641A7"/>
    <w:rsid w:val="0076540B"/>
    <w:rsid w:val="00766B32"/>
    <w:rsid w:val="00772BCA"/>
    <w:rsid w:val="007733B1"/>
    <w:rsid w:val="007736E6"/>
    <w:rsid w:val="007744C9"/>
    <w:rsid w:val="0077668B"/>
    <w:rsid w:val="007776CE"/>
    <w:rsid w:val="00780046"/>
    <w:rsid w:val="00780A83"/>
    <w:rsid w:val="007819DD"/>
    <w:rsid w:val="00781D4D"/>
    <w:rsid w:val="00782AF7"/>
    <w:rsid w:val="00794959"/>
    <w:rsid w:val="00794B20"/>
    <w:rsid w:val="00796DE6"/>
    <w:rsid w:val="007A049D"/>
    <w:rsid w:val="007A63DD"/>
    <w:rsid w:val="007B03B8"/>
    <w:rsid w:val="007B20FE"/>
    <w:rsid w:val="007B2A00"/>
    <w:rsid w:val="007B33BB"/>
    <w:rsid w:val="007B3904"/>
    <w:rsid w:val="007B4C52"/>
    <w:rsid w:val="007B537A"/>
    <w:rsid w:val="007B5FB6"/>
    <w:rsid w:val="007B70F0"/>
    <w:rsid w:val="007B730B"/>
    <w:rsid w:val="007C0D01"/>
    <w:rsid w:val="007C13F1"/>
    <w:rsid w:val="007C5286"/>
    <w:rsid w:val="007C5B4F"/>
    <w:rsid w:val="007C5FAE"/>
    <w:rsid w:val="007C68A4"/>
    <w:rsid w:val="007D0359"/>
    <w:rsid w:val="007D13BE"/>
    <w:rsid w:val="007D1CC1"/>
    <w:rsid w:val="007E06D6"/>
    <w:rsid w:val="007E07A9"/>
    <w:rsid w:val="007E67EE"/>
    <w:rsid w:val="007E6C0C"/>
    <w:rsid w:val="007E70EE"/>
    <w:rsid w:val="007F1006"/>
    <w:rsid w:val="007F2CDC"/>
    <w:rsid w:val="007F6088"/>
    <w:rsid w:val="007F7683"/>
    <w:rsid w:val="007F7F9B"/>
    <w:rsid w:val="0080000F"/>
    <w:rsid w:val="00800F49"/>
    <w:rsid w:val="00802574"/>
    <w:rsid w:val="00803042"/>
    <w:rsid w:val="008043C0"/>
    <w:rsid w:val="008044C2"/>
    <w:rsid w:val="00806A1D"/>
    <w:rsid w:val="00807516"/>
    <w:rsid w:val="0080756E"/>
    <w:rsid w:val="00807B89"/>
    <w:rsid w:val="008106C1"/>
    <w:rsid w:val="00810F2C"/>
    <w:rsid w:val="00813D71"/>
    <w:rsid w:val="00814EB6"/>
    <w:rsid w:val="00814EEE"/>
    <w:rsid w:val="00815B59"/>
    <w:rsid w:val="00823B41"/>
    <w:rsid w:val="0082499B"/>
    <w:rsid w:val="008254F9"/>
    <w:rsid w:val="00825D18"/>
    <w:rsid w:val="00825F78"/>
    <w:rsid w:val="00826D89"/>
    <w:rsid w:val="0082700C"/>
    <w:rsid w:val="00827190"/>
    <w:rsid w:val="00830A7A"/>
    <w:rsid w:val="00831855"/>
    <w:rsid w:val="008326EB"/>
    <w:rsid w:val="008327AB"/>
    <w:rsid w:val="00834459"/>
    <w:rsid w:val="00835736"/>
    <w:rsid w:val="00835D56"/>
    <w:rsid w:val="00837C66"/>
    <w:rsid w:val="008520E2"/>
    <w:rsid w:val="00853537"/>
    <w:rsid w:val="008603FF"/>
    <w:rsid w:val="008629B7"/>
    <w:rsid w:val="00862D9B"/>
    <w:rsid w:val="0086323A"/>
    <w:rsid w:val="00864F9E"/>
    <w:rsid w:val="00867C7F"/>
    <w:rsid w:val="00867FD1"/>
    <w:rsid w:val="00870534"/>
    <w:rsid w:val="0087248E"/>
    <w:rsid w:val="00872DBB"/>
    <w:rsid w:val="00873EEA"/>
    <w:rsid w:val="00875B30"/>
    <w:rsid w:val="00876962"/>
    <w:rsid w:val="00880FAF"/>
    <w:rsid w:val="00886936"/>
    <w:rsid w:val="008877E5"/>
    <w:rsid w:val="0088797B"/>
    <w:rsid w:val="00894A00"/>
    <w:rsid w:val="008969F7"/>
    <w:rsid w:val="00896BFF"/>
    <w:rsid w:val="008A1F47"/>
    <w:rsid w:val="008A3F11"/>
    <w:rsid w:val="008A6F64"/>
    <w:rsid w:val="008A7CA5"/>
    <w:rsid w:val="008B0557"/>
    <w:rsid w:val="008B0791"/>
    <w:rsid w:val="008B4110"/>
    <w:rsid w:val="008B41E5"/>
    <w:rsid w:val="008B4594"/>
    <w:rsid w:val="008B513E"/>
    <w:rsid w:val="008B591A"/>
    <w:rsid w:val="008B6BA7"/>
    <w:rsid w:val="008C08DB"/>
    <w:rsid w:val="008C20AC"/>
    <w:rsid w:val="008C3C5D"/>
    <w:rsid w:val="008D11E8"/>
    <w:rsid w:val="008D18AF"/>
    <w:rsid w:val="008D1C45"/>
    <w:rsid w:val="008D1DE2"/>
    <w:rsid w:val="008D5EA6"/>
    <w:rsid w:val="008D6976"/>
    <w:rsid w:val="008D6CEA"/>
    <w:rsid w:val="008D7966"/>
    <w:rsid w:val="008E0BDC"/>
    <w:rsid w:val="008E2748"/>
    <w:rsid w:val="008E37C3"/>
    <w:rsid w:val="008E6310"/>
    <w:rsid w:val="008E6323"/>
    <w:rsid w:val="008E69D4"/>
    <w:rsid w:val="008E76B2"/>
    <w:rsid w:val="008F0A67"/>
    <w:rsid w:val="008F22DF"/>
    <w:rsid w:val="008F348D"/>
    <w:rsid w:val="008F68E6"/>
    <w:rsid w:val="008F779C"/>
    <w:rsid w:val="008F7ED4"/>
    <w:rsid w:val="009042B2"/>
    <w:rsid w:val="00905EE7"/>
    <w:rsid w:val="00907414"/>
    <w:rsid w:val="00907D31"/>
    <w:rsid w:val="009148B4"/>
    <w:rsid w:val="00914C5A"/>
    <w:rsid w:val="009159D1"/>
    <w:rsid w:val="009173AC"/>
    <w:rsid w:val="00917DA2"/>
    <w:rsid w:val="009205AF"/>
    <w:rsid w:val="00930132"/>
    <w:rsid w:val="00930D4E"/>
    <w:rsid w:val="00932857"/>
    <w:rsid w:val="00934F89"/>
    <w:rsid w:val="009363FF"/>
    <w:rsid w:val="0093688A"/>
    <w:rsid w:val="00943667"/>
    <w:rsid w:val="00944B83"/>
    <w:rsid w:val="00944E01"/>
    <w:rsid w:val="00950CB7"/>
    <w:rsid w:val="00951EA7"/>
    <w:rsid w:val="009527AE"/>
    <w:rsid w:val="0095289A"/>
    <w:rsid w:val="0095480D"/>
    <w:rsid w:val="00957C0B"/>
    <w:rsid w:val="00962401"/>
    <w:rsid w:val="009643B7"/>
    <w:rsid w:val="0096683E"/>
    <w:rsid w:val="009673AA"/>
    <w:rsid w:val="00970160"/>
    <w:rsid w:val="009720E5"/>
    <w:rsid w:val="009735E6"/>
    <w:rsid w:val="0097559E"/>
    <w:rsid w:val="009805D1"/>
    <w:rsid w:val="00983A0C"/>
    <w:rsid w:val="00984298"/>
    <w:rsid w:val="0098562A"/>
    <w:rsid w:val="00985941"/>
    <w:rsid w:val="009875F1"/>
    <w:rsid w:val="009939C2"/>
    <w:rsid w:val="009949CF"/>
    <w:rsid w:val="009951D1"/>
    <w:rsid w:val="009967DA"/>
    <w:rsid w:val="00996A28"/>
    <w:rsid w:val="009A1343"/>
    <w:rsid w:val="009A244B"/>
    <w:rsid w:val="009A29FA"/>
    <w:rsid w:val="009A3301"/>
    <w:rsid w:val="009A3F45"/>
    <w:rsid w:val="009A4CF8"/>
    <w:rsid w:val="009A7E7C"/>
    <w:rsid w:val="009B067E"/>
    <w:rsid w:val="009B08C9"/>
    <w:rsid w:val="009B18D9"/>
    <w:rsid w:val="009B1F36"/>
    <w:rsid w:val="009B2BD5"/>
    <w:rsid w:val="009C6862"/>
    <w:rsid w:val="009C69D1"/>
    <w:rsid w:val="009D04F8"/>
    <w:rsid w:val="009D13BE"/>
    <w:rsid w:val="009D18FC"/>
    <w:rsid w:val="009D27F9"/>
    <w:rsid w:val="009D5542"/>
    <w:rsid w:val="009D5614"/>
    <w:rsid w:val="009D6BAB"/>
    <w:rsid w:val="009D7365"/>
    <w:rsid w:val="009E0D5D"/>
    <w:rsid w:val="009E0DBB"/>
    <w:rsid w:val="009E3ABE"/>
    <w:rsid w:val="009E5530"/>
    <w:rsid w:val="009F1238"/>
    <w:rsid w:val="009F1578"/>
    <w:rsid w:val="009F3EB9"/>
    <w:rsid w:val="009F4403"/>
    <w:rsid w:val="00A002B2"/>
    <w:rsid w:val="00A01009"/>
    <w:rsid w:val="00A0390D"/>
    <w:rsid w:val="00A040B2"/>
    <w:rsid w:val="00A05877"/>
    <w:rsid w:val="00A05B14"/>
    <w:rsid w:val="00A05CB3"/>
    <w:rsid w:val="00A10C8D"/>
    <w:rsid w:val="00A11010"/>
    <w:rsid w:val="00A121BE"/>
    <w:rsid w:val="00A124BD"/>
    <w:rsid w:val="00A13AC0"/>
    <w:rsid w:val="00A1740D"/>
    <w:rsid w:val="00A2102A"/>
    <w:rsid w:val="00A21250"/>
    <w:rsid w:val="00A237CC"/>
    <w:rsid w:val="00A239E9"/>
    <w:rsid w:val="00A24E7E"/>
    <w:rsid w:val="00A263AC"/>
    <w:rsid w:val="00A26FDC"/>
    <w:rsid w:val="00A305C0"/>
    <w:rsid w:val="00A30B2F"/>
    <w:rsid w:val="00A30CA2"/>
    <w:rsid w:val="00A311EC"/>
    <w:rsid w:val="00A31F47"/>
    <w:rsid w:val="00A3271C"/>
    <w:rsid w:val="00A3563F"/>
    <w:rsid w:val="00A35EB9"/>
    <w:rsid w:val="00A37834"/>
    <w:rsid w:val="00A379D0"/>
    <w:rsid w:val="00A406C2"/>
    <w:rsid w:val="00A40702"/>
    <w:rsid w:val="00A40E79"/>
    <w:rsid w:val="00A41D2C"/>
    <w:rsid w:val="00A438DA"/>
    <w:rsid w:val="00A45CA9"/>
    <w:rsid w:val="00A50F2A"/>
    <w:rsid w:val="00A549C7"/>
    <w:rsid w:val="00A54B77"/>
    <w:rsid w:val="00A554CC"/>
    <w:rsid w:val="00A57BEE"/>
    <w:rsid w:val="00A60798"/>
    <w:rsid w:val="00A608A2"/>
    <w:rsid w:val="00A61580"/>
    <w:rsid w:val="00A62057"/>
    <w:rsid w:val="00A62BBD"/>
    <w:rsid w:val="00A6586C"/>
    <w:rsid w:val="00A6719F"/>
    <w:rsid w:val="00A72917"/>
    <w:rsid w:val="00A738DB"/>
    <w:rsid w:val="00A752C3"/>
    <w:rsid w:val="00A76331"/>
    <w:rsid w:val="00A7654D"/>
    <w:rsid w:val="00A76AD3"/>
    <w:rsid w:val="00A778EF"/>
    <w:rsid w:val="00A77C9F"/>
    <w:rsid w:val="00A80C22"/>
    <w:rsid w:val="00A8239E"/>
    <w:rsid w:val="00A82C5F"/>
    <w:rsid w:val="00A857C9"/>
    <w:rsid w:val="00A8614B"/>
    <w:rsid w:val="00A866B8"/>
    <w:rsid w:val="00A91389"/>
    <w:rsid w:val="00A9727D"/>
    <w:rsid w:val="00A97298"/>
    <w:rsid w:val="00A97EE7"/>
    <w:rsid w:val="00AA4CEC"/>
    <w:rsid w:val="00AA4CED"/>
    <w:rsid w:val="00AA707A"/>
    <w:rsid w:val="00AB0BBD"/>
    <w:rsid w:val="00AB0D0F"/>
    <w:rsid w:val="00AB3114"/>
    <w:rsid w:val="00AB3259"/>
    <w:rsid w:val="00AB396A"/>
    <w:rsid w:val="00AB3C56"/>
    <w:rsid w:val="00AB3E03"/>
    <w:rsid w:val="00AB6449"/>
    <w:rsid w:val="00AB64A7"/>
    <w:rsid w:val="00AC04BB"/>
    <w:rsid w:val="00AC2041"/>
    <w:rsid w:val="00AC2C84"/>
    <w:rsid w:val="00AC4303"/>
    <w:rsid w:val="00AC4B47"/>
    <w:rsid w:val="00AC4CF0"/>
    <w:rsid w:val="00AC6350"/>
    <w:rsid w:val="00AC7102"/>
    <w:rsid w:val="00AC75DC"/>
    <w:rsid w:val="00AD10B5"/>
    <w:rsid w:val="00AD374F"/>
    <w:rsid w:val="00AD3B5E"/>
    <w:rsid w:val="00AD54DB"/>
    <w:rsid w:val="00AD5C27"/>
    <w:rsid w:val="00AD64EA"/>
    <w:rsid w:val="00AE2702"/>
    <w:rsid w:val="00AE30FF"/>
    <w:rsid w:val="00AE4737"/>
    <w:rsid w:val="00AE5580"/>
    <w:rsid w:val="00AE5EDF"/>
    <w:rsid w:val="00AE6670"/>
    <w:rsid w:val="00AE7410"/>
    <w:rsid w:val="00AE7D1E"/>
    <w:rsid w:val="00AF1121"/>
    <w:rsid w:val="00AF3C06"/>
    <w:rsid w:val="00AF72A3"/>
    <w:rsid w:val="00AF74B0"/>
    <w:rsid w:val="00B00592"/>
    <w:rsid w:val="00B014AA"/>
    <w:rsid w:val="00B0201E"/>
    <w:rsid w:val="00B02197"/>
    <w:rsid w:val="00B03FC2"/>
    <w:rsid w:val="00B044AE"/>
    <w:rsid w:val="00B0751F"/>
    <w:rsid w:val="00B12ADD"/>
    <w:rsid w:val="00B146CB"/>
    <w:rsid w:val="00B14EA5"/>
    <w:rsid w:val="00B160D7"/>
    <w:rsid w:val="00B1658A"/>
    <w:rsid w:val="00B22EE5"/>
    <w:rsid w:val="00B232F6"/>
    <w:rsid w:val="00B23442"/>
    <w:rsid w:val="00B26241"/>
    <w:rsid w:val="00B26D2F"/>
    <w:rsid w:val="00B3112C"/>
    <w:rsid w:val="00B33686"/>
    <w:rsid w:val="00B36484"/>
    <w:rsid w:val="00B37CD6"/>
    <w:rsid w:val="00B41C57"/>
    <w:rsid w:val="00B42F1B"/>
    <w:rsid w:val="00B45176"/>
    <w:rsid w:val="00B45DAC"/>
    <w:rsid w:val="00B46E65"/>
    <w:rsid w:val="00B50CF8"/>
    <w:rsid w:val="00B52143"/>
    <w:rsid w:val="00B543B5"/>
    <w:rsid w:val="00B57046"/>
    <w:rsid w:val="00B5778A"/>
    <w:rsid w:val="00B60932"/>
    <w:rsid w:val="00B6203C"/>
    <w:rsid w:val="00B62237"/>
    <w:rsid w:val="00B62340"/>
    <w:rsid w:val="00B64364"/>
    <w:rsid w:val="00B67DE1"/>
    <w:rsid w:val="00B71030"/>
    <w:rsid w:val="00B715FF"/>
    <w:rsid w:val="00B72F90"/>
    <w:rsid w:val="00B761FF"/>
    <w:rsid w:val="00B81FB3"/>
    <w:rsid w:val="00B846A2"/>
    <w:rsid w:val="00B848DC"/>
    <w:rsid w:val="00B86FD3"/>
    <w:rsid w:val="00B90471"/>
    <w:rsid w:val="00B910AE"/>
    <w:rsid w:val="00B920FA"/>
    <w:rsid w:val="00B93C26"/>
    <w:rsid w:val="00B93D2E"/>
    <w:rsid w:val="00B94743"/>
    <w:rsid w:val="00B949E0"/>
    <w:rsid w:val="00B94A36"/>
    <w:rsid w:val="00B96D16"/>
    <w:rsid w:val="00BA28F9"/>
    <w:rsid w:val="00BA2B7C"/>
    <w:rsid w:val="00BA2D5F"/>
    <w:rsid w:val="00BA2F61"/>
    <w:rsid w:val="00BA32F1"/>
    <w:rsid w:val="00BA6AD7"/>
    <w:rsid w:val="00BA7EF2"/>
    <w:rsid w:val="00BB03F1"/>
    <w:rsid w:val="00BB1DCF"/>
    <w:rsid w:val="00BB3E60"/>
    <w:rsid w:val="00BB4210"/>
    <w:rsid w:val="00BB7140"/>
    <w:rsid w:val="00BB7373"/>
    <w:rsid w:val="00BC05DE"/>
    <w:rsid w:val="00BC2986"/>
    <w:rsid w:val="00BC33E3"/>
    <w:rsid w:val="00BC4040"/>
    <w:rsid w:val="00BC4754"/>
    <w:rsid w:val="00BC488E"/>
    <w:rsid w:val="00BC4E55"/>
    <w:rsid w:val="00BD1161"/>
    <w:rsid w:val="00BD2982"/>
    <w:rsid w:val="00BD4C3F"/>
    <w:rsid w:val="00BD7AD8"/>
    <w:rsid w:val="00BE29D9"/>
    <w:rsid w:val="00BE2A20"/>
    <w:rsid w:val="00BE2DF2"/>
    <w:rsid w:val="00BE55DC"/>
    <w:rsid w:val="00BE5DF1"/>
    <w:rsid w:val="00BE6224"/>
    <w:rsid w:val="00BE6AD3"/>
    <w:rsid w:val="00BF4602"/>
    <w:rsid w:val="00BF5F0E"/>
    <w:rsid w:val="00BF6B6C"/>
    <w:rsid w:val="00BF6D6A"/>
    <w:rsid w:val="00C00A73"/>
    <w:rsid w:val="00C0177A"/>
    <w:rsid w:val="00C02412"/>
    <w:rsid w:val="00C02EA8"/>
    <w:rsid w:val="00C03318"/>
    <w:rsid w:val="00C05C65"/>
    <w:rsid w:val="00C064C8"/>
    <w:rsid w:val="00C10D9D"/>
    <w:rsid w:val="00C115C2"/>
    <w:rsid w:val="00C11AB0"/>
    <w:rsid w:val="00C1216D"/>
    <w:rsid w:val="00C1257C"/>
    <w:rsid w:val="00C127FA"/>
    <w:rsid w:val="00C13EF4"/>
    <w:rsid w:val="00C14AE8"/>
    <w:rsid w:val="00C15DB5"/>
    <w:rsid w:val="00C15FB9"/>
    <w:rsid w:val="00C16318"/>
    <w:rsid w:val="00C1659D"/>
    <w:rsid w:val="00C2062C"/>
    <w:rsid w:val="00C207DA"/>
    <w:rsid w:val="00C213C2"/>
    <w:rsid w:val="00C217DF"/>
    <w:rsid w:val="00C227EC"/>
    <w:rsid w:val="00C238D8"/>
    <w:rsid w:val="00C24FE9"/>
    <w:rsid w:val="00C263F4"/>
    <w:rsid w:val="00C306A8"/>
    <w:rsid w:val="00C31329"/>
    <w:rsid w:val="00C31441"/>
    <w:rsid w:val="00C328CC"/>
    <w:rsid w:val="00C34E35"/>
    <w:rsid w:val="00C409A5"/>
    <w:rsid w:val="00C44EA5"/>
    <w:rsid w:val="00C45B5E"/>
    <w:rsid w:val="00C46294"/>
    <w:rsid w:val="00C46F97"/>
    <w:rsid w:val="00C471C4"/>
    <w:rsid w:val="00C50FF3"/>
    <w:rsid w:val="00C51F57"/>
    <w:rsid w:val="00C5647F"/>
    <w:rsid w:val="00C56A46"/>
    <w:rsid w:val="00C57E87"/>
    <w:rsid w:val="00C646A8"/>
    <w:rsid w:val="00C6547C"/>
    <w:rsid w:val="00C6566B"/>
    <w:rsid w:val="00C66147"/>
    <w:rsid w:val="00C663C0"/>
    <w:rsid w:val="00C671BA"/>
    <w:rsid w:val="00C72800"/>
    <w:rsid w:val="00C7645F"/>
    <w:rsid w:val="00C76B8E"/>
    <w:rsid w:val="00C77CD7"/>
    <w:rsid w:val="00C80B2D"/>
    <w:rsid w:val="00C80DDE"/>
    <w:rsid w:val="00C8199C"/>
    <w:rsid w:val="00C840D8"/>
    <w:rsid w:val="00C84E10"/>
    <w:rsid w:val="00C85349"/>
    <w:rsid w:val="00C86AF1"/>
    <w:rsid w:val="00C87D99"/>
    <w:rsid w:val="00C9029F"/>
    <w:rsid w:val="00C9039F"/>
    <w:rsid w:val="00C923AD"/>
    <w:rsid w:val="00C92477"/>
    <w:rsid w:val="00C92A32"/>
    <w:rsid w:val="00C94113"/>
    <w:rsid w:val="00C9668B"/>
    <w:rsid w:val="00C96C49"/>
    <w:rsid w:val="00CA1567"/>
    <w:rsid w:val="00CA1EE9"/>
    <w:rsid w:val="00CA27B7"/>
    <w:rsid w:val="00CA2E95"/>
    <w:rsid w:val="00CA7572"/>
    <w:rsid w:val="00CA7F74"/>
    <w:rsid w:val="00CB0A24"/>
    <w:rsid w:val="00CB0C32"/>
    <w:rsid w:val="00CB1248"/>
    <w:rsid w:val="00CB16D2"/>
    <w:rsid w:val="00CB1DFC"/>
    <w:rsid w:val="00CB2D65"/>
    <w:rsid w:val="00CB6246"/>
    <w:rsid w:val="00CC0759"/>
    <w:rsid w:val="00CC2BD9"/>
    <w:rsid w:val="00CC3160"/>
    <w:rsid w:val="00CC5BDA"/>
    <w:rsid w:val="00CC61A9"/>
    <w:rsid w:val="00CC6953"/>
    <w:rsid w:val="00CD2A69"/>
    <w:rsid w:val="00CD2DBF"/>
    <w:rsid w:val="00CD4E24"/>
    <w:rsid w:val="00CD6207"/>
    <w:rsid w:val="00CD6806"/>
    <w:rsid w:val="00CD72A6"/>
    <w:rsid w:val="00CE0CC0"/>
    <w:rsid w:val="00CE1AA9"/>
    <w:rsid w:val="00CE39B8"/>
    <w:rsid w:val="00CE4A83"/>
    <w:rsid w:val="00CE4BBF"/>
    <w:rsid w:val="00CE525E"/>
    <w:rsid w:val="00CF1591"/>
    <w:rsid w:val="00CF1689"/>
    <w:rsid w:val="00CF4344"/>
    <w:rsid w:val="00CF5164"/>
    <w:rsid w:val="00CF55E6"/>
    <w:rsid w:val="00CF5B88"/>
    <w:rsid w:val="00CF72D7"/>
    <w:rsid w:val="00D00689"/>
    <w:rsid w:val="00D014A6"/>
    <w:rsid w:val="00D015A4"/>
    <w:rsid w:val="00D02F69"/>
    <w:rsid w:val="00D044FB"/>
    <w:rsid w:val="00D108BF"/>
    <w:rsid w:val="00D1092B"/>
    <w:rsid w:val="00D11DB8"/>
    <w:rsid w:val="00D1372E"/>
    <w:rsid w:val="00D138BF"/>
    <w:rsid w:val="00D1423F"/>
    <w:rsid w:val="00D15A30"/>
    <w:rsid w:val="00D167D0"/>
    <w:rsid w:val="00D16D1C"/>
    <w:rsid w:val="00D177A0"/>
    <w:rsid w:val="00D17FE9"/>
    <w:rsid w:val="00D20092"/>
    <w:rsid w:val="00D2293A"/>
    <w:rsid w:val="00D22E65"/>
    <w:rsid w:val="00D22EAF"/>
    <w:rsid w:val="00D2430E"/>
    <w:rsid w:val="00D251B7"/>
    <w:rsid w:val="00D2652D"/>
    <w:rsid w:val="00D2717B"/>
    <w:rsid w:val="00D3078B"/>
    <w:rsid w:val="00D3118E"/>
    <w:rsid w:val="00D32E8F"/>
    <w:rsid w:val="00D34BC5"/>
    <w:rsid w:val="00D36BA1"/>
    <w:rsid w:val="00D36C76"/>
    <w:rsid w:val="00D37F07"/>
    <w:rsid w:val="00D41BB8"/>
    <w:rsid w:val="00D444E3"/>
    <w:rsid w:val="00D456AC"/>
    <w:rsid w:val="00D507A3"/>
    <w:rsid w:val="00D50850"/>
    <w:rsid w:val="00D52AFA"/>
    <w:rsid w:val="00D54285"/>
    <w:rsid w:val="00D54C47"/>
    <w:rsid w:val="00D5566B"/>
    <w:rsid w:val="00D573B5"/>
    <w:rsid w:val="00D603E6"/>
    <w:rsid w:val="00D6102D"/>
    <w:rsid w:val="00D63381"/>
    <w:rsid w:val="00D643F8"/>
    <w:rsid w:val="00D64E02"/>
    <w:rsid w:val="00D67892"/>
    <w:rsid w:val="00D706BD"/>
    <w:rsid w:val="00D7119E"/>
    <w:rsid w:val="00D71BF6"/>
    <w:rsid w:val="00D7590F"/>
    <w:rsid w:val="00D75ED8"/>
    <w:rsid w:val="00D84516"/>
    <w:rsid w:val="00D85656"/>
    <w:rsid w:val="00D8730A"/>
    <w:rsid w:val="00D94B1E"/>
    <w:rsid w:val="00DA0143"/>
    <w:rsid w:val="00DA0378"/>
    <w:rsid w:val="00DA0EA5"/>
    <w:rsid w:val="00DA1664"/>
    <w:rsid w:val="00DA258B"/>
    <w:rsid w:val="00DA33AC"/>
    <w:rsid w:val="00DA4D73"/>
    <w:rsid w:val="00DB13D3"/>
    <w:rsid w:val="00DB1414"/>
    <w:rsid w:val="00DB62E8"/>
    <w:rsid w:val="00DB65A3"/>
    <w:rsid w:val="00DB78FC"/>
    <w:rsid w:val="00DB7E4B"/>
    <w:rsid w:val="00DC0F37"/>
    <w:rsid w:val="00DC18AE"/>
    <w:rsid w:val="00DC386C"/>
    <w:rsid w:val="00DC57CD"/>
    <w:rsid w:val="00DC58F4"/>
    <w:rsid w:val="00DC5BFB"/>
    <w:rsid w:val="00DC6912"/>
    <w:rsid w:val="00DD3EA6"/>
    <w:rsid w:val="00DD542A"/>
    <w:rsid w:val="00DD588C"/>
    <w:rsid w:val="00DD5CF9"/>
    <w:rsid w:val="00DD641C"/>
    <w:rsid w:val="00DE0022"/>
    <w:rsid w:val="00DE08B3"/>
    <w:rsid w:val="00DE1D8B"/>
    <w:rsid w:val="00DE251A"/>
    <w:rsid w:val="00DE29A8"/>
    <w:rsid w:val="00DE2C1D"/>
    <w:rsid w:val="00DE4533"/>
    <w:rsid w:val="00DE4930"/>
    <w:rsid w:val="00DE49E1"/>
    <w:rsid w:val="00DE596C"/>
    <w:rsid w:val="00DE7206"/>
    <w:rsid w:val="00DF0CB9"/>
    <w:rsid w:val="00DF172C"/>
    <w:rsid w:val="00DF5286"/>
    <w:rsid w:val="00DF571E"/>
    <w:rsid w:val="00DF7FFC"/>
    <w:rsid w:val="00E01D1F"/>
    <w:rsid w:val="00E055E6"/>
    <w:rsid w:val="00E05B3F"/>
    <w:rsid w:val="00E06A0A"/>
    <w:rsid w:val="00E06A9D"/>
    <w:rsid w:val="00E07146"/>
    <w:rsid w:val="00E0783E"/>
    <w:rsid w:val="00E15F80"/>
    <w:rsid w:val="00E23775"/>
    <w:rsid w:val="00E238C6"/>
    <w:rsid w:val="00E26DB0"/>
    <w:rsid w:val="00E277FE"/>
    <w:rsid w:val="00E315FC"/>
    <w:rsid w:val="00E3302F"/>
    <w:rsid w:val="00E352A5"/>
    <w:rsid w:val="00E35E2E"/>
    <w:rsid w:val="00E364A7"/>
    <w:rsid w:val="00E36B78"/>
    <w:rsid w:val="00E3758C"/>
    <w:rsid w:val="00E40C21"/>
    <w:rsid w:val="00E40DD3"/>
    <w:rsid w:val="00E4108E"/>
    <w:rsid w:val="00E410F8"/>
    <w:rsid w:val="00E41313"/>
    <w:rsid w:val="00E42FFF"/>
    <w:rsid w:val="00E433F1"/>
    <w:rsid w:val="00E442CC"/>
    <w:rsid w:val="00E4529D"/>
    <w:rsid w:val="00E46236"/>
    <w:rsid w:val="00E47469"/>
    <w:rsid w:val="00E536C7"/>
    <w:rsid w:val="00E53F6A"/>
    <w:rsid w:val="00E5403A"/>
    <w:rsid w:val="00E570B7"/>
    <w:rsid w:val="00E573AC"/>
    <w:rsid w:val="00E579E2"/>
    <w:rsid w:val="00E6120F"/>
    <w:rsid w:val="00E63092"/>
    <w:rsid w:val="00E65AC2"/>
    <w:rsid w:val="00E66116"/>
    <w:rsid w:val="00E74653"/>
    <w:rsid w:val="00E7489D"/>
    <w:rsid w:val="00E753E2"/>
    <w:rsid w:val="00E7548B"/>
    <w:rsid w:val="00E75C04"/>
    <w:rsid w:val="00E768ED"/>
    <w:rsid w:val="00E76C1B"/>
    <w:rsid w:val="00E7711C"/>
    <w:rsid w:val="00E773FF"/>
    <w:rsid w:val="00E77A3D"/>
    <w:rsid w:val="00E80627"/>
    <w:rsid w:val="00E817BE"/>
    <w:rsid w:val="00E82472"/>
    <w:rsid w:val="00E956CF"/>
    <w:rsid w:val="00E957A3"/>
    <w:rsid w:val="00EA114E"/>
    <w:rsid w:val="00EA1341"/>
    <w:rsid w:val="00EA1B2E"/>
    <w:rsid w:val="00EA1C66"/>
    <w:rsid w:val="00EA36D5"/>
    <w:rsid w:val="00EA5A2C"/>
    <w:rsid w:val="00EA5ECD"/>
    <w:rsid w:val="00EA73F8"/>
    <w:rsid w:val="00EB4D1D"/>
    <w:rsid w:val="00EB5DEB"/>
    <w:rsid w:val="00EB7668"/>
    <w:rsid w:val="00EC0D10"/>
    <w:rsid w:val="00EC21BE"/>
    <w:rsid w:val="00EC3938"/>
    <w:rsid w:val="00EC4D13"/>
    <w:rsid w:val="00EC4F17"/>
    <w:rsid w:val="00EC5E46"/>
    <w:rsid w:val="00EC643A"/>
    <w:rsid w:val="00EC6B5C"/>
    <w:rsid w:val="00EC71D8"/>
    <w:rsid w:val="00ED244D"/>
    <w:rsid w:val="00ED29C7"/>
    <w:rsid w:val="00ED7ED8"/>
    <w:rsid w:val="00EE0E86"/>
    <w:rsid w:val="00EE36E8"/>
    <w:rsid w:val="00EE49E7"/>
    <w:rsid w:val="00EE54B9"/>
    <w:rsid w:val="00EE5707"/>
    <w:rsid w:val="00EE5A67"/>
    <w:rsid w:val="00EF11B5"/>
    <w:rsid w:val="00EF36D8"/>
    <w:rsid w:val="00EF4E2A"/>
    <w:rsid w:val="00EF53BF"/>
    <w:rsid w:val="00EF5572"/>
    <w:rsid w:val="00EF5E63"/>
    <w:rsid w:val="00EF763F"/>
    <w:rsid w:val="00EF7E9B"/>
    <w:rsid w:val="00F0134F"/>
    <w:rsid w:val="00F0269C"/>
    <w:rsid w:val="00F03395"/>
    <w:rsid w:val="00F0366B"/>
    <w:rsid w:val="00F04440"/>
    <w:rsid w:val="00F05DDD"/>
    <w:rsid w:val="00F07DC3"/>
    <w:rsid w:val="00F07E01"/>
    <w:rsid w:val="00F1198E"/>
    <w:rsid w:val="00F12B0C"/>
    <w:rsid w:val="00F13AC6"/>
    <w:rsid w:val="00F14231"/>
    <w:rsid w:val="00F14EA5"/>
    <w:rsid w:val="00F1559B"/>
    <w:rsid w:val="00F15CD5"/>
    <w:rsid w:val="00F16059"/>
    <w:rsid w:val="00F16393"/>
    <w:rsid w:val="00F17C14"/>
    <w:rsid w:val="00F20C42"/>
    <w:rsid w:val="00F210BE"/>
    <w:rsid w:val="00F22E2F"/>
    <w:rsid w:val="00F2533F"/>
    <w:rsid w:val="00F30EEE"/>
    <w:rsid w:val="00F3483C"/>
    <w:rsid w:val="00F348CF"/>
    <w:rsid w:val="00F35E47"/>
    <w:rsid w:val="00F364CB"/>
    <w:rsid w:val="00F36D7A"/>
    <w:rsid w:val="00F37592"/>
    <w:rsid w:val="00F400A4"/>
    <w:rsid w:val="00F400EF"/>
    <w:rsid w:val="00F41EF2"/>
    <w:rsid w:val="00F42218"/>
    <w:rsid w:val="00F43D14"/>
    <w:rsid w:val="00F45ABD"/>
    <w:rsid w:val="00F46705"/>
    <w:rsid w:val="00F46CFF"/>
    <w:rsid w:val="00F47F82"/>
    <w:rsid w:val="00F50457"/>
    <w:rsid w:val="00F515E6"/>
    <w:rsid w:val="00F51E78"/>
    <w:rsid w:val="00F52BFF"/>
    <w:rsid w:val="00F538A1"/>
    <w:rsid w:val="00F53E64"/>
    <w:rsid w:val="00F540B3"/>
    <w:rsid w:val="00F54593"/>
    <w:rsid w:val="00F545EB"/>
    <w:rsid w:val="00F56218"/>
    <w:rsid w:val="00F56615"/>
    <w:rsid w:val="00F601E2"/>
    <w:rsid w:val="00F63AE3"/>
    <w:rsid w:val="00F673DE"/>
    <w:rsid w:val="00F676E2"/>
    <w:rsid w:val="00F71556"/>
    <w:rsid w:val="00F72E68"/>
    <w:rsid w:val="00F73845"/>
    <w:rsid w:val="00F76366"/>
    <w:rsid w:val="00F77030"/>
    <w:rsid w:val="00F81733"/>
    <w:rsid w:val="00F82439"/>
    <w:rsid w:val="00F8323E"/>
    <w:rsid w:val="00F834B3"/>
    <w:rsid w:val="00F85300"/>
    <w:rsid w:val="00F86761"/>
    <w:rsid w:val="00F87AFD"/>
    <w:rsid w:val="00F90B8D"/>
    <w:rsid w:val="00F919B9"/>
    <w:rsid w:val="00F92885"/>
    <w:rsid w:val="00F93B56"/>
    <w:rsid w:val="00F95BEA"/>
    <w:rsid w:val="00F967D7"/>
    <w:rsid w:val="00FA1B12"/>
    <w:rsid w:val="00FA1ED8"/>
    <w:rsid w:val="00FA483B"/>
    <w:rsid w:val="00FB0353"/>
    <w:rsid w:val="00FB49DA"/>
    <w:rsid w:val="00FB5748"/>
    <w:rsid w:val="00FB5DAB"/>
    <w:rsid w:val="00FB67B6"/>
    <w:rsid w:val="00FB6ACA"/>
    <w:rsid w:val="00FC1C4B"/>
    <w:rsid w:val="00FC2C83"/>
    <w:rsid w:val="00FC3188"/>
    <w:rsid w:val="00FC3883"/>
    <w:rsid w:val="00FC3E07"/>
    <w:rsid w:val="00FC6061"/>
    <w:rsid w:val="00FC7517"/>
    <w:rsid w:val="00FD0EEF"/>
    <w:rsid w:val="00FD1232"/>
    <w:rsid w:val="00FD2908"/>
    <w:rsid w:val="00FD3A12"/>
    <w:rsid w:val="00FD3AC0"/>
    <w:rsid w:val="00FD3E7F"/>
    <w:rsid w:val="00FD58F6"/>
    <w:rsid w:val="00FD59F8"/>
    <w:rsid w:val="00FD662D"/>
    <w:rsid w:val="00FD766A"/>
    <w:rsid w:val="00FE0D43"/>
    <w:rsid w:val="00FE13CD"/>
    <w:rsid w:val="00FE19A6"/>
    <w:rsid w:val="00FE1E79"/>
    <w:rsid w:val="00FE5BFC"/>
    <w:rsid w:val="00FF0A32"/>
    <w:rsid w:val="00FF2332"/>
    <w:rsid w:val="00FF302B"/>
    <w:rsid w:val="00FF4975"/>
    <w:rsid w:val="00FF4A25"/>
    <w:rsid w:val="00FF4D6B"/>
    <w:rsid w:val="00FF4DD8"/>
    <w:rsid w:val="00FF52CA"/>
    <w:rsid w:val="00FF5897"/>
    <w:rsid w:val="00FF5FE1"/>
    <w:rsid w:val="00FF6A46"/>
    <w:rsid w:val="00FF7A5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F493A"/>
  <w15:docId w15:val="{848E312F-2B61-4CA5-8406-2333D7321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after="8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A7A"/>
  </w:style>
  <w:style w:type="paragraph" w:styleId="Heading1">
    <w:name w:val="heading 1"/>
    <w:basedOn w:val="Normal"/>
    <w:next w:val="Normal"/>
    <w:link w:val="Heading1Char"/>
    <w:uiPriority w:val="9"/>
    <w:qFormat/>
    <w:rsid w:val="007467E3"/>
    <w:pPr>
      <w:keepNext/>
      <w:keepLines/>
      <w:spacing w:after="360"/>
      <w:contextualSpacing/>
      <w:outlineLvl w:val="0"/>
    </w:pPr>
    <w:rPr>
      <w:rFonts w:asciiTheme="majorHAnsi" w:hAnsiTheme="majorHAnsi"/>
      <w:sz w:val="52"/>
      <w:szCs w:val="44"/>
    </w:rPr>
  </w:style>
  <w:style w:type="paragraph" w:styleId="Heading2">
    <w:name w:val="heading 2"/>
    <w:basedOn w:val="Normal"/>
    <w:next w:val="Normal"/>
    <w:link w:val="Heading2Char"/>
    <w:autoRedefine/>
    <w:uiPriority w:val="9"/>
    <w:qFormat/>
    <w:rsid w:val="00100C7A"/>
    <w:pPr>
      <w:keepNext/>
      <w:keepLines/>
      <w:spacing w:before="480" w:after="240"/>
      <w:contextualSpacing/>
      <w:outlineLvl w:val="1"/>
    </w:pPr>
    <w:rPr>
      <w:rFonts w:asciiTheme="majorHAnsi" w:hAnsiTheme="majorHAnsi"/>
      <w:b/>
      <w:sz w:val="30"/>
      <w:szCs w:val="28"/>
    </w:rPr>
  </w:style>
  <w:style w:type="paragraph" w:styleId="Heading3">
    <w:name w:val="heading 3"/>
    <w:basedOn w:val="Normal"/>
    <w:next w:val="Normal"/>
    <w:link w:val="Heading3Char"/>
    <w:uiPriority w:val="9"/>
    <w:qFormat/>
    <w:rsid w:val="006454C7"/>
    <w:pPr>
      <w:keepNext/>
      <w:keepLines/>
      <w:spacing w:before="24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
    <w:qFormat/>
    <w:rsid w:val="00100C7A"/>
    <w:pPr>
      <w:keepNext/>
      <w:keepLines/>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100C7A"/>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
    <w:qFormat/>
    <w:rsid w:val="00100C7A"/>
    <w:pPr>
      <w:keepNext/>
      <w:keepLines/>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18"/>
    <w:qFormat/>
    <w:rsid w:val="00295315"/>
    <w:pPr>
      <w:framePr w:wrap="around"/>
      <w:spacing w:after="0"/>
    </w:pPr>
    <w:rPr>
      <w:sz w:val="32"/>
      <w:szCs w:val="24"/>
    </w:rPr>
  </w:style>
  <w:style w:type="character" w:customStyle="1" w:styleId="SubtitleChar">
    <w:name w:val="Subtitle Char"/>
    <w:basedOn w:val="DefaultParagraphFont"/>
    <w:link w:val="Subtitle"/>
    <w:uiPriority w:val="18"/>
    <w:rsid w:val="00295315"/>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295315"/>
    <w:pPr>
      <w:framePr w:w="6917" w:h="5670" w:hRule="exact" w:wrap="around" w:vAnchor="page" w:hAnchor="page" w:x="1022" w:y="4821"/>
      <w:spacing w:after="425" w:line="240" w:lineRule="auto"/>
    </w:pPr>
    <w:rPr>
      <w:sz w:val="72"/>
      <w:szCs w:val="82"/>
    </w:rPr>
  </w:style>
  <w:style w:type="character" w:customStyle="1" w:styleId="TitleChar">
    <w:name w:val="Title Char"/>
    <w:basedOn w:val="DefaultParagraphFont"/>
    <w:link w:val="Title"/>
    <w:uiPriority w:val="17"/>
    <w:rsid w:val="00295315"/>
    <w:rPr>
      <w:sz w:val="72"/>
      <w:szCs w:val="82"/>
    </w:rPr>
  </w:style>
  <w:style w:type="paragraph" w:customStyle="1" w:styleId="Address">
    <w:name w:val="Address"/>
    <w:basedOn w:val="Normal"/>
    <w:semiHidden/>
    <w:rsid w:val="00191178"/>
    <w:pPr>
      <w:spacing w:after="0"/>
    </w:pPr>
    <w:rPr>
      <w:b/>
      <w:color w:val="8C1E00" w:themeColor="accent1"/>
    </w:rPr>
  </w:style>
  <w:style w:type="character" w:customStyle="1" w:styleId="Heading1Char">
    <w:name w:val="Heading 1 Char"/>
    <w:basedOn w:val="DefaultParagraphFont"/>
    <w:link w:val="Heading1"/>
    <w:uiPriority w:val="9"/>
    <w:rsid w:val="007467E3"/>
    <w:rPr>
      <w:rFonts w:asciiTheme="majorHAnsi" w:hAnsiTheme="majorHAnsi"/>
      <w:sz w:val="52"/>
      <w:szCs w:val="44"/>
    </w:rPr>
  </w:style>
  <w:style w:type="character" w:customStyle="1" w:styleId="Heading2Char">
    <w:name w:val="Heading 2 Char"/>
    <w:basedOn w:val="DefaultParagraphFont"/>
    <w:link w:val="Heading2"/>
    <w:uiPriority w:val="9"/>
    <w:rsid w:val="00100C7A"/>
    <w:rPr>
      <w:rFonts w:asciiTheme="majorHAnsi" w:hAnsiTheme="majorHAnsi"/>
      <w:b/>
      <w:sz w:val="30"/>
      <w:szCs w:val="28"/>
    </w:rPr>
  </w:style>
  <w:style w:type="character" w:customStyle="1" w:styleId="Heading3Char">
    <w:name w:val="Heading 3 Char"/>
    <w:basedOn w:val="DefaultParagraphFont"/>
    <w:link w:val="Heading3"/>
    <w:uiPriority w:val="9"/>
    <w:rsid w:val="006454C7"/>
    <w:rPr>
      <w:rFonts w:asciiTheme="majorHAnsi" w:hAnsiTheme="majorHAnsi"/>
      <w:b/>
      <w:color w:val="auto"/>
      <w:sz w:val="26"/>
    </w:rPr>
  </w:style>
  <w:style w:type="paragraph" w:styleId="TOCHeading">
    <w:name w:val="TOC Heading"/>
    <w:basedOn w:val="Heading1"/>
    <w:next w:val="Normal"/>
    <w:uiPriority w:val="39"/>
    <w:rsid w:val="00FF52CA"/>
    <w:pPr>
      <w:spacing w:after="1080"/>
      <w:outlineLvl w:val="9"/>
    </w:pPr>
    <w:rPr>
      <w:rFonts w:eastAsiaTheme="majorEastAsia" w:cstheme="majorBidi"/>
      <w:bCs/>
      <w:sz w:val="64"/>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2"/>
    <w:qFormat/>
    <w:rsid w:val="00F71556"/>
    <w:pPr>
      <w:numPr>
        <w:numId w:val="2"/>
      </w:numPr>
    </w:pPr>
    <w:rPr>
      <w:rFonts w:eastAsia="Times New Roman"/>
      <w:lang w:eastAsia="en-AU"/>
    </w:rPr>
  </w:style>
  <w:style w:type="paragraph" w:styleId="ListNumber">
    <w:name w:val="List Number"/>
    <w:basedOn w:val="Normal"/>
    <w:uiPriority w:val="2"/>
    <w:qFormat/>
    <w:rsid w:val="00F71556"/>
    <w:pPr>
      <w:numPr>
        <w:numId w:val="4"/>
      </w:numPr>
    </w:pPr>
    <w:rPr>
      <w:rFonts w:eastAsia="Times New Roman"/>
      <w:lang w:eastAsia="en-AU"/>
    </w:rPr>
  </w:style>
  <w:style w:type="table" w:customStyle="1" w:styleId="SQHTable">
    <w:name w:val="SQH Table"/>
    <w:basedOn w:val="TableNormal"/>
    <w:uiPriority w:val="99"/>
    <w:rsid w:val="009D13BE"/>
    <w:pPr>
      <w:spacing w:line="240" w:lineRule="auto"/>
    </w:pPr>
    <w:rPr>
      <w:sz w:val="20"/>
    </w:rPr>
    <w:tblPr>
      <w:tblStyleRowBandSize w:val="1"/>
      <w:tblBorders>
        <w:top w:val="single" w:sz="4" w:space="0" w:color="FFE2D0" w:themeColor="background2"/>
        <w:bottom w:val="single" w:sz="4" w:space="0" w:color="FFE2D0" w:themeColor="background2"/>
        <w:insideH w:val="single" w:sz="4" w:space="0" w:color="FFE2D0" w:themeColor="background2"/>
      </w:tblBorders>
    </w:tblPr>
    <w:tblStylePr w:type="firstRow">
      <w:rPr>
        <w:b/>
        <w:color w:val="FFFFFF" w:themeColor="background1"/>
        <w:sz w:val="20"/>
      </w:rPr>
      <w:tblPr/>
      <w:tcPr>
        <w:tcBorders>
          <w:top w:val="nil"/>
          <w:left w:val="nil"/>
          <w:bottom w:val="nil"/>
          <w:right w:val="nil"/>
          <w:insideH w:val="nil"/>
          <w:insideV w:val="nil"/>
          <w:tl2br w:val="nil"/>
          <w:tr2bl w:val="nil"/>
        </w:tcBorders>
        <w:shd w:val="clear" w:color="auto" w:fill="8C1E00" w:themeFill="accent1"/>
      </w:tcPr>
    </w:tblStylePr>
    <w:tblStylePr w:type="band2Horz">
      <w:tblPr/>
      <w:tcPr>
        <w:shd w:val="clear" w:color="auto" w:fill="FFE2D0" w:themeFill="background2"/>
      </w:tcPr>
    </w:tblStylePr>
  </w:style>
  <w:style w:type="paragraph" w:styleId="TOC1">
    <w:name w:val="toc 1"/>
    <w:basedOn w:val="Normal"/>
    <w:next w:val="Normal"/>
    <w:autoRedefine/>
    <w:uiPriority w:val="39"/>
    <w:rsid w:val="008C3C5D"/>
    <w:pPr>
      <w:tabs>
        <w:tab w:val="right" w:pos="9174"/>
      </w:tabs>
      <w:spacing w:before="360" w:line="240" w:lineRule="auto"/>
    </w:pPr>
    <w:rPr>
      <w:b/>
    </w:rPr>
  </w:style>
  <w:style w:type="table" w:styleId="LightShading-Accent1">
    <w:name w:val="Light Shading Accent 1"/>
    <w:basedOn w:val="TableNormal"/>
    <w:uiPriority w:val="60"/>
    <w:rsid w:val="00056BC0"/>
    <w:rPr>
      <w:color w:val="681600" w:themeColor="accent1" w:themeShade="BF"/>
    </w:rPr>
    <w:tblPr>
      <w:tblStyleRowBandSize w:val="1"/>
      <w:tblStyleColBandSize w:val="1"/>
      <w:tblBorders>
        <w:top w:val="single" w:sz="8" w:space="0" w:color="8C1E00" w:themeColor="accent1"/>
        <w:bottom w:val="single" w:sz="8" w:space="0" w:color="8C1E00" w:themeColor="accent1"/>
      </w:tblBorders>
    </w:tblPr>
    <w:tblStylePr w:type="firstRow">
      <w:pPr>
        <w:spacing w:before="0" w:after="0" w:line="240" w:lineRule="auto"/>
      </w:pPr>
      <w:rPr>
        <w:b/>
        <w:bCs/>
      </w:rPr>
      <w:tblPr/>
      <w:tcPr>
        <w:tcBorders>
          <w:top w:val="single" w:sz="8" w:space="0" w:color="8C1E00" w:themeColor="accent1"/>
          <w:left w:val="nil"/>
          <w:bottom w:val="single" w:sz="8" w:space="0" w:color="8C1E00" w:themeColor="accent1"/>
          <w:right w:val="nil"/>
          <w:insideH w:val="nil"/>
          <w:insideV w:val="nil"/>
        </w:tcBorders>
      </w:tcPr>
    </w:tblStylePr>
    <w:tblStylePr w:type="lastRow">
      <w:pPr>
        <w:spacing w:before="0" w:after="0" w:line="240" w:lineRule="auto"/>
      </w:pPr>
      <w:rPr>
        <w:b/>
        <w:bCs/>
      </w:rPr>
      <w:tblPr/>
      <w:tcPr>
        <w:tcBorders>
          <w:top w:val="single" w:sz="8" w:space="0" w:color="8C1E00" w:themeColor="accent1"/>
          <w:left w:val="nil"/>
          <w:bottom w:val="single" w:sz="8" w:space="0" w:color="8C1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6A3" w:themeFill="accent1" w:themeFillTint="3F"/>
      </w:tcPr>
    </w:tblStylePr>
    <w:tblStylePr w:type="band1Horz">
      <w:tblPr/>
      <w:tcPr>
        <w:tcBorders>
          <w:left w:val="nil"/>
          <w:right w:val="nil"/>
          <w:insideH w:val="nil"/>
          <w:insideV w:val="nil"/>
        </w:tcBorders>
        <w:shd w:val="clear" w:color="auto" w:fill="FFB6A3"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1E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1E00" w:themeFill="accent1"/>
      </w:tcPr>
    </w:tblStylePr>
    <w:tblStylePr w:type="lastCol">
      <w:rPr>
        <w:b/>
        <w:bCs/>
        <w:color w:val="FFFFFF" w:themeColor="background1"/>
      </w:rPr>
      <w:tblPr/>
      <w:tcPr>
        <w:tcBorders>
          <w:left w:val="nil"/>
          <w:right w:val="nil"/>
          <w:insideH w:val="nil"/>
          <w:insideV w:val="nil"/>
        </w:tcBorders>
        <w:shd w:val="clear" w:color="auto" w:fill="8C1E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8C3C5D"/>
    <w:pPr>
      <w:pBdr>
        <w:bottom w:val="single" w:sz="4" w:space="4" w:color="FFA97E" w:themeColor="text2"/>
        <w:between w:val="single" w:sz="4" w:space="4" w:color="FFA97E" w:themeColor="text2"/>
      </w:pBdr>
      <w:tabs>
        <w:tab w:val="right" w:pos="9174"/>
      </w:tabs>
      <w:spacing w:after="0" w:line="240" w:lineRule="auto"/>
    </w:pPr>
    <w:rPr>
      <w:noProof/>
    </w:rPr>
  </w:style>
  <w:style w:type="paragraph" w:styleId="ListBullet2">
    <w:name w:val="List Bullet 2"/>
    <w:basedOn w:val="Normal"/>
    <w:uiPriority w:val="2"/>
    <w:semiHidden/>
    <w:qFormat/>
    <w:rsid w:val="00F71556"/>
    <w:pPr>
      <w:numPr>
        <w:ilvl w:val="1"/>
        <w:numId w:val="2"/>
      </w:numPr>
    </w:pPr>
    <w:rPr>
      <w:rFonts w:eastAsia="Times New Roman"/>
      <w:lang w:eastAsia="en-AU"/>
    </w:rPr>
  </w:style>
  <w:style w:type="character" w:customStyle="1" w:styleId="Heading4Char">
    <w:name w:val="Heading 4 Char"/>
    <w:basedOn w:val="DefaultParagraphFont"/>
    <w:link w:val="Heading4"/>
    <w:uiPriority w:val="9"/>
    <w:rsid w:val="00100C7A"/>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2"/>
      </w:numPr>
    </w:pPr>
    <w:rPr>
      <w:rFonts w:eastAsia="Times New Roman"/>
      <w:lang w:eastAsia="en-AU"/>
    </w:rPr>
  </w:style>
  <w:style w:type="paragraph" w:styleId="ListBullet4">
    <w:name w:val="List Bullet 4"/>
    <w:basedOn w:val="Normal"/>
    <w:uiPriority w:val="2"/>
    <w:semiHidden/>
    <w:rsid w:val="00F71556"/>
    <w:pPr>
      <w:numPr>
        <w:ilvl w:val="3"/>
        <w:numId w:val="2"/>
      </w:numPr>
      <w:tabs>
        <w:tab w:val="num" w:pos="360"/>
      </w:tabs>
      <w:ind w:left="0" w:firstLine="0"/>
    </w:pPr>
    <w:rPr>
      <w:rFonts w:eastAsia="Times New Roman"/>
      <w:lang w:eastAsia="en-AU"/>
    </w:rPr>
  </w:style>
  <w:style w:type="paragraph" w:styleId="ListBullet5">
    <w:name w:val="List Bullet 5"/>
    <w:basedOn w:val="Normal"/>
    <w:uiPriority w:val="2"/>
    <w:semiHidden/>
    <w:rsid w:val="00F71556"/>
    <w:pPr>
      <w:numPr>
        <w:ilvl w:val="4"/>
        <w:numId w:val="2"/>
      </w:numPr>
      <w:tabs>
        <w:tab w:val="num" w:pos="360"/>
      </w:tabs>
      <w:ind w:left="0" w:firstLine="0"/>
    </w:pPr>
    <w:rPr>
      <w:rFonts w:eastAsia="Times New Roman"/>
      <w:lang w:eastAsia="en-AU"/>
    </w:rPr>
  </w:style>
  <w:style w:type="paragraph" w:styleId="ListNumber2">
    <w:name w:val="List Number 2"/>
    <w:basedOn w:val="Normal"/>
    <w:uiPriority w:val="2"/>
    <w:semiHidden/>
    <w:rsid w:val="00F71556"/>
    <w:pPr>
      <w:numPr>
        <w:ilvl w:val="1"/>
        <w:numId w:val="4"/>
      </w:numPr>
    </w:pPr>
    <w:rPr>
      <w:rFonts w:eastAsia="Times New Roman"/>
      <w:lang w:eastAsia="en-AU"/>
    </w:rPr>
  </w:style>
  <w:style w:type="paragraph" w:styleId="ListNumber3">
    <w:name w:val="List Number 3"/>
    <w:basedOn w:val="Normal"/>
    <w:uiPriority w:val="2"/>
    <w:semiHidden/>
    <w:rsid w:val="00F71556"/>
    <w:pPr>
      <w:numPr>
        <w:ilvl w:val="2"/>
        <w:numId w:val="4"/>
      </w:numPr>
    </w:pPr>
    <w:rPr>
      <w:rFonts w:eastAsia="Times New Roman"/>
      <w:lang w:eastAsia="en-AU"/>
    </w:rPr>
  </w:style>
  <w:style w:type="paragraph" w:styleId="ListNumber4">
    <w:name w:val="List Number 4"/>
    <w:basedOn w:val="Normal"/>
    <w:uiPriority w:val="2"/>
    <w:semiHidden/>
    <w:rsid w:val="00F71556"/>
    <w:pPr>
      <w:numPr>
        <w:ilvl w:val="3"/>
        <w:numId w:val="4"/>
      </w:numPr>
    </w:pPr>
    <w:rPr>
      <w:rFonts w:eastAsia="Times New Roman"/>
      <w:lang w:eastAsia="en-AU"/>
    </w:rPr>
  </w:style>
  <w:style w:type="paragraph" w:styleId="ListNumber5">
    <w:name w:val="List Number 5"/>
    <w:basedOn w:val="Normal"/>
    <w:uiPriority w:val="2"/>
    <w:semiHidden/>
    <w:rsid w:val="00F71556"/>
    <w:pPr>
      <w:numPr>
        <w:ilvl w:val="4"/>
        <w:numId w:val="4"/>
      </w:numPr>
    </w:pPr>
    <w:rPr>
      <w:rFonts w:eastAsia="Times New Roman"/>
      <w:lang w:eastAsia="en-AU"/>
    </w:rPr>
  </w:style>
  <w:style w:type="paragraph" w:styleId="List">
    <w:name w:val="List"/>
    <w:aliases w:val="Letter"/>
    <w:basedOn w:val="Normal"/>
    <w:uiPriority w:val="2"/>
    <w:rsid w:val="00F71556"/>
    <w:pPr>
      <w:numPr>
        <w:numId w:val="1"/>
      </w:numPr>
    </w:pPr>
    <w:rPr>
      <w:rFonts w:eastAsia="Times New Roman"/>
      <w:lang w:eastAsia="en-AU"/>
    </w:rPr>
  </w:style>
  <w:style w:type="paragraph" w:customStyle="1" w:styleId="SectionHeading">
    <w:name w:val="Section Heading"/>
    <w:basedOn w:val="Normal"/>
    <w:uiPriority w:val="8"/>
    <w:rsid w:val="00907414"/>
    <w:pPr>
      <w:spacing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12"/>
    <w:qFormat/>
    <w:rsid w:val="00175024"/>
    <w:pPr>
      <w:keepNext/>
      <w:keepLines/>
      <w:numPr>
        <w:numId w:val="3"/>
      </w:numPr>
      <w:spacing w:before="360" w:line="240" w:lineRule="auto"/>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CBB1" w:themeColor="accent4" w:themeTint="99"/>
        <w:bottom w:val="single" w:sz="4" w:space="0" w:color="FFCBB1" w:themeColor="accent4" w:themeTint="99"/>
        <w:insideH w:val="single" w:sz="4" w:space="0" w:color="FFCBB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E5" w:themeFill="accent4" w:themeFillTint="33"/>
      </w:tcPr>
    </w:tblStylePr>
    <w:tblStylePr w:type="band1Horz">
      <w:tblPr/>
      <w:tcPr>
        <w:shd w:val="clear" w:color="auto" w:fill="FFEDE5" w:themeFill="accent4" w:themeFillTint="33"/>
      </w:tcPr>
    </w:tblStylePr>
  </w:style>
  <w:style w:type="paragraph" w:styleId="Date">
    <w:name w:val="Date"/>
    <w:basedOn w:val="Normal"/>
    <w:next w:val="Normal"/>
    <w:link w:val="DateChar"/>
    <w:uiPriority w:val="99"/>
    <w:rsid w:val="00295315"/>
    <w:pPr>
      <w:framePr w:w="9866" w:h="1191" w:hRule="exact" w:wrap="around" w:vAnchor="page" w:hAnchor="page" w:x="1022" w:yAlign="bottom"/>
      <w:tabs>
        <w:tab w:val="right" w:pos="9866"/>
      </w:tabs>
      <w:spacing w:after="0" w:line="240" w:lineRule="auto"/>
    </w:pPr>
    <w:rPr>
      <w:b/>
    </w:rPr>
  </w:style>
  <w:style w:type="character" w:customStyle="1" w:styleId="DateChar">
    <w:name w:val="Date Char"/>
    <w:basedOn w:val="DefaultParagraphFont"/>
    <w:link w:val="Date"/>
    <w:uiPriority w:val="99"/>
    <w:rsid w:val="00295315"/>
    <w:rPr>
      <w:b/>
    </w:rPr>
  </w:style>
  <w:style w:type="character" w:customStyle="1" w:styleId="Heading5Char">
    <w:name w:val="Heading 5 Char"/>
    <w:basedOn w:val="DefaultParagraphFont"/>
    <w:link w:val="Heading5"/>
    <w:uiPriority w:val="9"/>
    <w:rsid w:val="00100C7A"/>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100C7A"/>
    <w:rPr>
      <w:rFonts w:asciiTheme="majorHAnsi" w:eastAsiaTheme="majorEastAsia" w:hAnsiTheme="majorHAnsi" w:cstheme="majorBidi"/>
      <w:b/>
      <w:color w:val="auto"/>
      <w:sz w:val="20"/>
    </w:rPr>
  </w:style>
  <w:style w:type="paragraph" w:styleId="NoSpacing">
    <w:name w:val="No Spacing"/>
    <w:uiPriority w:val="1"/>
    <w:rsid w:val="003A5810"/>
    <w:pPr>
      <w:spacing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FFCBB1" w:themeColor="accent4" w:themeTint="99"/>
        <w:left w:val="single" w:sz="4" w:space="0" w:color="FFCBB1" w:themeColor="accent4" w:themeTint="99"/>
        <w:bottom w:val="single" w:sz="4" w:space="0" w:color="FFCBB1" w:themeColor="accent4" w:themeTint="99"/>
        <w:right w:val="single" w:sz="4" w:space="0" w:color="FFCBB1" w:themeColor="accent4" w:themeTint="99"/>
        <w:insideH w:val="single" w:sz="4" w:space="0" w:color="FFCBB1" w:themeColor="accent4" w:themeTint="99"/>
        <w:insideV w:val="single" w:sz="4" w:space="0" w:color="FFCBB1" w:themeColor="accent4" w:themeTint="99"/>
      </w:tblBorders>
    </w:tblPr>
    <w:tblStylePr w:type="firstRow">
      <w:rPr>
        <w:b/>
        <w:bCs/>
        <w:color w:val="FFFFFF" w:themeColor="background1"/>
      </w:rPr>
      <w:tblPr/>
      <w:tcPr>
        <w:tcBorders>
          <w:top w:val="single" w:sz="4" w:space="0" w:color="FFA97E" w:themeColor="accent4"/>
          <w:left w:val="single" w:sz="4" w:space="0" w:color="FFA97E" w:themeColor="accent4"/>
          <w:bottom w:val="single" w:sz="4" w:space="0" w:color="FFA97E" w:themeColor="accent4"/>
          <w:right w:val="single" w:sz="4" w:space="0" w:color="FFA97E" w:themeColor="accent4"/>
          <w:insideH w:val="nil"/>
          <w:insideV w:val="nil"/>
        </w:tcBorders>
        <w:shd w:val="clear" w:color="auto" w:fill="FFA97E" w:themeFill="accent4"/>
      </w:tcPr>
    </w:tblStylePr>
    <w:tblStylePr w:type="lastRow">
      <w:rPr>
        <w:b/>
        <w:bCs/>
      </w:rPr>
      <w:tblPr/>
      <w:tcPr>
        <w:tcBorders>
          <w:top w:val="double" w:sz="4" w:space="0" w:color="FFA97E" w:themeColor="accent4"/>
        </w:tcBorders>
      </w:tcPr>
    </w:tblStylePr>
    <w:tblStylePr w:type="firstCol">
      <w:rPr>
        <w:b/>
        <w:bCs/>
      </w:rPr>
    </w:tblStylePr>
    <w:tblStylePr w:type="lastCol">
      <w:rPr>
        <w:b/>
        <w:bCs/>
      </w:rPr>
    </w:tblStylePr>
    <w:tblStylePr w:type="band1Vert">
      <w:tblPr/>
      <w:tcPr>
        <w:shd w:val="clear" w:color="auto" w:fill="FFEDE5" w:themeFill="accent4" w:themeFillTint="33"/>
      </w:tcPr>
    </w:tblStylePr>
    <w:tblStylePr w:type="band1Horz">
      <w:tblPr/>
      <w:tcPr>
        <w:shd w:val="clear" w:color="auto" w:fill="FFEDE5" w:themeFill="accent4" w:themeFillTint="33"/>
      </w:tcPr>
    </w:tblStylePr>
  </w:style>
  <w:style w:type="paragraph" w:customStyle="1" w:styleId="BoxHeading">
    <w:name w:val="Box Heading"/>
    <w:basedOn w:val="Normal"/>
    <w:next w:val="Normal"/>
    <w:uiPriority w:val="10"/>
    <w:qFormat/>
    <w:rsid w:val="002B3C79"/>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styleId="NormalWeb">
    <w:name w:val="Normal (Web)"/>
    <w:basedOn w:val="Normal"/>
    <w:uiPriority w:val="99"/>
    <w:semiHidden/>
    <w:unhideWhenUsed/>
    <w:rsid w:val="00EF5572"/>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itle2">
    <w:name w:val="Title 2"/>
    <w:basedOn w:val="Title"/>
    <w:uiPriority w:val="17"/>
    <w:qFormat/>
    <w:rsid w:val="00295315"/>
    <w:pPr>
      <w:framePr w:h="7655" w:hRule="exact" w:wrap="around" w:x="1033" w:y="6465"/>
    </w:pPr>
  </w:style>
  <w:style w:type="paragraph" w:customStyle="1" w:styleId="Subtitle2">
    <w:name w:val="Subtitle 2"/>
    <w:basedOn w:val="Subtitle"/>
    <w:uiPriority w:val="18"/>
    <w:qFormat/>
    <w:rsid w:val="00295315"/>
    <w:pPr>
      <w:framePr w:h="7655" w:hRule="exact" w:wrap="around" w:x="1033" w:y="6465"/>
    </w:pPr>
  </w:style>
  <w:style w:type="paragraph" w:customStyle="1" w:styleId="Title3">
    <w:name w:val="Title 3"/>
    <w:basedOn w:val="Title"/>
    <w:uiPriority w:val="17"/>
    <w:qFormat/>
    <w:rsid w:val="00F8323E"/>
    <w:pPr>
      <w:framePr w:w="6521" w:h="3912" w:wrap="around" w:y="3687"/>
      <w:spacing w:after="964"/>
      <w:contextualSpacing/>
    </w:pPr>
    <w:rPr>
      <w:color w:val="FFFFFF" w:themeColor="background1"/>
      <w:sz w:val="64"/>
    </w:rPr>
  </w:style>
  <w:style w:type="paragraph" w:customStyle="1" w:styleId="Subtitle3">
    <w:name w:val="Subtitle 3"/>
    <w:basedOn w:val="Title3"/>
    <w:uiPriority w:val="18"/>
    <w:qFormat/>
    <w:rsid w:val="00F8323E"/>
    <w:pPr>
      <w:framePr w:wrap="around"/>
    </w:pPr>
    <w:rPr>
      <w:sz w:val="32"/>
    </w:rPr>
  </w:style>
  <w:style w:type="paragraph" w:customStyle="1" w:styleId="Tablecaption">
    <w:name w:val="Table caption"/>
    <w:basedOn w:val="Caption"/>
    <w:link w:val="TablecaptionChar"/>
    <w:autoRedefine/>
    <w:qFormat/>
    <w:rsid w:val="005F02B6"/>
    <w:pPr>
      <w:numPr>
        <w:numId w:val="0"/>
      </w:numPr>
      <w:spacing w:before="0"/>
      <w:ind w:left="-111"/>
    </w:pPr>
  </w:style>
  <w:style w:type="character" w:customStyle="1" w:styleId="CaptionChar">
    <w:name w:val="Caption Char"/>
    <w:basedOn w:val="DefaultParagraphFont"/>
    <w:link w:val="Caption"/>
    <w:uiPriority w:val="12"/>
    <w:rsid w:val="00175024"/>
    <w:rPr>
      <w:iCs/>
      <w:sz w:val="20"/>
    </w:rPr>
  </w:style>
  <w:style w:type="character" w:customStyle="1" w:styleId="TablecaptionChar">
    <w:name w:val="Table caption Char"/>
    <w:basedOn w:val="CaptionChar"/>
    <w:link w:val="Tablecaption"/>
    <w:rsid w:val="005F02B6"/>
    <w:rPr>
      <w:iCs/>
      <w:sz w:val="20"/>
    </w:rPr>
  </w:style>
  <w:style w:type="character" w:styleId="CommentReference">
    <w:name w:val="annotation reference"/>
    <w:basedOn w:val="DefaultParagraphFont"/>
    <w:uiPriority w:val="99"/>
    <w:semiHidden/>
    <w:unhideWhenUsed/>
    <w:rsid w:val="00415AF0"/>
    <w:rPr>
      <w:sz w:val="16"/>
      <w:szCs w:val="16"/>
    </w:rPr>
  </w:style>
  <w:style w:type="paragraph" w:styleId="CommentText">
    <w:name w:val="annotation text"/>
    <w:basedOn w:val="Normal"/>
    <w:link w:val="CommentTextChar"/>
    <w:uiPriority w:val="99"/>
    <w:unhideWhenUsed/>
    <w:rsid w:val="00415AF0"/>
    <w:pPr>
      <w:spacing w:line="240" w:lineRule="auto"/>
    </w:pPr>
    <w:rPr>
      <w:sz w:val="20"/>
      <w:szCs w:val="20"/>
    </w:rPr>
  </w:style>
  <w:style w:type="character" w:customStyle="1" w:styleId="CommentTextChar">
    <w:name w:val="Comment Text Char"/>
    <w:basedOn w:val="DefaultParagraphFont"/>
    <w:link w:val="CommentText"/>
    <w:uiPriority w:val="99"/>
    <w:rsid w:val="00415AF0"/>
    <w:rPr>
      <w:sz w:val="20"/>
      <w:szCs w:val="20"/>
    </w:rPr>
  </w:style>
  <w:style w:type="paragraph" w:styleId="CommentSubject">
    <w:name w:val="annotation subject"/>
    <w:basedOn w:val="CommentText"/>
    <w:next w:val="CommentText"/>
    <w:link w:val="CommentSubjectChar"/>
    <w:uiPriority w:val="99"/>
    <w:semiHidden/>
    <w:unhideWhenUsed/>
    <w:rsid w:val="00415AF0"/>
    <w:rPr>
      <w:b/>
      <w:bCs/>
    </w:rPr>
  </w:style>
  <w:style w:type="character" w:customStyle="1" w:styleId="CommentSubjectChar">
    <w:name w:val="Comment Subject Char"/>
    <w:basedOn w:val="CommentTextChar"/>
    <w:link w:val="CommentSubject"/>
    <w:uiPriority w:val="99"/>
    <w:semiHidden/>
    <w:rsid w:val="00415AF0"/>
    <w:rPr>
      <w:b/>
      <w:bCs/>
      <w:sz w:val="20"/>
      <w:szCs w:val="20"/>
    </w:rPr>
  </w:style>
  <w:style w:type="character" w:customStyle="1" w:styleId="DraftingNotesChar">
    <w:name w:val="DraftingNotesChar"/>
    <w:basedOn w:val="DefaultParagraphFont"/>
    <w:uiPriority w:val="1"/>
    <w:rsid w:val="007B2A00"/>
    <w:rPr>
      <w:rFonts w:ascii="Arial" w:hAnsi="Arial"/>
      <w:noProof/>
      <w:color w:val="FF40FF"/>
      <w:sz w:val="22"/>
    </w:rPr>
  </w:style>
  <w:style w:type="paragraph" w:styleId="BodyText">
    <w:name w:val="Body Text"/>
    <w:basedOn w:val="Normal"/>
    <w:link w:val="BodyTextChar"/>
    <w:semiHidden/>
    <w:rsid w:val="002D3345"/>
  </w:style>
  <w:style w:type="character" w:customStyle="1" w:styleId="BodyTextChar">
    <w:name w:val="Body Text Char"/>
    <w:basedOn w:val="DefaultParagraphFont"/>
    <w:link w:val="BodyText"/>
    <w:semiHidden/>
    <w:rsid w:val="002D3345"/>
  </w:style>
  <w:style w:type="paragraph" w:customStyle="1" w:styleId="TableParagraph">
    <w:name w:val="Table Paragraph"/>
    <w:basedOn w:val="Normal"/>
    <w:uiPriority w:val="1"/>
    <w:qFormat/>
    <w:rsid w:val="000A7696"/>
    <w:pPr>
      <w:widowControl w:val="0"/>
      <w:autoSpaceDE w:val="0"/>
      <w:autoSpaceDN w:val="0"/>
      <w:spacing w:before="33" w:after="0" w:line="240" w:lineRule="auto"/>
      <w:ind w:left="107"/>
    </w:pPr>
    <w:rPr>
      <w:rFonts w:ascii="Arial" w:eastAsia="Arial" w:hAnsi="Arial" w:cs="Arial"/>
      <w:color w:val="auto"/>
      <w:lang w:val="en-US"/>
    </w:rPr>
  </w:style>
  <w:style w:type="character" w:styleId="Emphasis">
    <w:name w:val="Emphasis"/>
    <w:basedOn w:val="DefaultParagraphFont"/>
    <w:rsid w:val="00B96D16"/>
    <w:rPr>
      <w:i/>
      <w:iCs/>
    </w:rPr>
  </w:style>
  <w:style w:type="table" w:customStyle="1" w:styleId="DarkHeading">
    <w:name w:val="Dark Heading"/>
    <w:basedOn w:val="TableNormal"/>
    <w:uiPriority w:val="99"/>
    <w:rsid w:val="00B96D16"/>
    <w:pPr>
      <w:spacing w:after="0" w:line="240" w:lineRule="auto"/>
    </w:pPr>
    <w:rPr>
      <w:rFonts w:eastAsia="Times New Roman"/>
      <w:color w:val="auto"/>
      <w:sz w:val="20"/>
      <w:szCs w:val="20"/>
      <w:lang w:eastAsia="en-AU"/>
    </w:rPr>
    <w:tblPr>
      <w:tblBorders>
        <w:top w:val="single" w:sz="4" w:space="0" w:color="FFE2D0" w:themeColor="background2"/>
        <w:left w:val="single" w:sz="4" w:space="0" w:color="FFE2D0" w:themeColor="background2"/>
        <w:bottom w:val="single" w:sz="4" w:space="0" w:color="FFE2D0" w:themeColor="background2"/>
        <w:right w:val="single" w:sz="4" w:space="0" w:color="FFE2D0" w:themeColor="background2"/>
        <w:insideH w:val="single" w:sz="4" w:space="0" w:color="FFE2D0" w:themeColor="background2"/>
        <w:insideV w:val="single" w:sz="4" w:space="0" w:color="FFE2D0" w:themeColor="background2"/>
      </w:tblBorders>
    </w:tblPr>
    <w:tblStylePr w:type="firstRow">
      <w:rPr>
        <w:rFonts w:asciiTheme="minorHAnsi" w:hAnsiTheme="minorHAnsi"/>
        <w:b/>
        <w:color w:val="FFFFFF"/>
        <w:sz w:val="20"/>
      </w:rPr>
      <w:tblPr/>
      <w:tcPr>
        <w:shd w:val="clear" w:color="auto" w:fill="FFE2D0" w:themeFill="background2"/>
      </w:tcPr>
    </w:tblStylePr>
  </w:style>
  <w:style w:type="paragraph" w:styleId="Revision">
    <w:name w:val="Revision"/>
    <w:hidden/>
    <w:uiPriority w:val="99"/>
    <w:semiHidden/>
    <w:rsid w:val="00E53F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 w:id="175860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hyperlink" Target="https://www.safetyandquality.gov.au/our-work/healthcare-associated-infection-program/hai-surveillance/surveillance-clostridioides-difficile-infection"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s://www.health.gov.au/resources/publications/clostridiodes-difficile-infection-laboratory-case-definition?language=en" TargetMode="External"/><Relationship Id="rId42" Type="http://schemas.openxmlformats.org/officeDocument/2006/relationships/hyperlink" Target="https://meteor.aihw.gov.au/content/391301"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nc-nd/4.0/" TargetMode="External"/><Relationship Id="rId17" Type="http://schemas.openxmlformats.org/officeDocument/2006/relationships/chart" Target="charts/chart1.xml"/><Relationship Id="rId25" Type="http://schemas.openxmlformats.org/officeDocument/2006/relationships/hyperlink" Target="https://www.safetyandquality.gov.au/sites/default/files/2024-08/antimicrobial_use_in_the_community_2023.pdf" TargetMode="External"/><Relationship Id="rId33" Type="http://schemas.openxmlformats.org/officeDocument/2006/relationships/hyperlink" Target="https://www.safetyandquality.gov.au/publications-and-resources/resource-library/clostridioides-difficile-infection-cdi-information-primary-health-providers" TargetMode="External"/><Relationship Id="rId38" Type="http://schemas.openxmlformats.org/officeDocument/2006/relationships/hyperlink" Target="https://www.safetyandquality.gov.au/our-work/infection-prevention-and-control/environmental-cleaning-and-infection-prevention-and-control-resources"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4.xml"/><Relationship Id="rId29" Type="http://schemas.openxmlformats.org/officeDocument/2006/relationships/hyperlink" Target="https://www.safetyandquality.gov.au/our-work/healthcare-variation/fourth-atlas-2021/medicines-use-older-people/63-proton-pump-inhibitor-medicines-dispensing-75-years-and-over" TargetMode="External"/><Relationship Id="rId41" Type="http://schemas.openxmlformats.org/officeDocument/2006/relationships/hyperlink" Target="https://www.who.int/tools/atc-ddd-toolkit/about-dd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fetyandquality.gov.au" TargetMode="External"/><Relationship Id="rId24" Type="http://schemas.openxmlformats.org/officeDocument/2006/relationships/chart" Target="charts/chart7.xml"/><Relationship Id="rId32" Type="http://schemas.openxmlformats.org/officeDocument/2006/relationships/hyperlink" Target="https://www.safetyandquality.gov.au/our-work/antimicrobial-stewardship/antimicrobial-stewardship-aged-care" TargetMode="External"/><Relationship Id="rId37" Type="http://schemas.openxmlformats.org/officeDocument/2006/relationships/hyperlink" Target="https://www.safetyandquality.gov.au/our-work/infection-prevention-and-control/national-hand-hygiene-initiative" TargetMode="External"/><Relationship Id="rId40" Type="http://schemas.openxmlformats.org/officeDocument/2006/relationships/hyperlink" Target="https://www.safetyandquality.gov.au/publications-and-resources/resource-library/clostridioides-difficile-infection-cdi-information-primary-health-providers" TargetMode="External"/><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abs.gov.au/statistics/statistical-geography/australian-statistical-geography-standard-asgs" TargetMode="External"/><Relationship Id="rId28" Type="http://schemas.openxmlformats.org/officeDocument/2006/relationships/hyperlink" Target="https://www.safetyandquality.gov.au/our-work/antimicrobial-stewardship/hospital-antimicrobial-prescribing-online-modules" TargetMode="External"/><Relationship Id="rId36" Type="http://schemas.openxmlformats.org/officeDocument/2006/relationships/hyperlink" Target="https://www.safetyandquality.gov.au/our-work/infection-prevention-and-control/standard-and-transmission-based-precaution-posters" TargetMode="External"/><Relationship Id="rId49" Type="http://schemas.openxmlformats.org/officeDocument/2006/relationships/glossaryDocument" Target="glossary/document.xml"/><Relationship Id="rId10" Type="http://schemas.openxmlformats.org/officeDocument/2006/relationships/hyperlink" Target="mailto:mail%40safetyandquality.gov.au?subject=" TargetMode="External"/><Relationship Id="rId19" Type="http://schemas.openxmlformats.org/officeDocument/2006/relationships/chart" Target="charts/chart3.xml"/><Relationship Id="rId31" Type="http://schemas.openxmlformats.org/officeDocument/2006/relationships/hyperlink" Target="https://www.safetyandquality.gov.au/our-work/antimicrobial-stewardship/antimicrobial-stewardship-primary-care" TargetMode="External"/><Relationship Id="rId44"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afetyandquality.gov.au/permission-request" TargetMode="External"/><Relationship Id="rId22" Type="http://schemas.openxmlformats.org/officeDocument/2006/relationships/chart" Target="charts/chart6.xml"/><Relationship Id="rId27" Type="http://schemas.openxmlformats.org/officeDocument/2006/relationships/hyperlink" Target="https://www.pbs.gov.au/info/industry/listing/participants/public-release-docs/2022-06/proton-pump-inhibitor-ppi-medicines-used-in-management-of-gastrointestinal-acid" TargetMode="External"/><Relationship Id="rId30" Type="http://schemas.openxmlformats.org/officeDocument/2006/relationships/hyperlink" Target="https://www.safetyandquality.gov.au/our-work/antimicrobial-stewardship" TargetMode="External"/><Relationship Id="rId35" Type="http://schemas.openxmlformats.org/officeDocument/2006/relationships/hyperlink" Target="https://www.safetyandquality.gov.au/our-work/infection-prevention-and-control/ensuring-appropriate-patient-placement" TargetMode="External"/><Relationship Id="rId43" Type="http://schemas.openxmlformats.org/officeDocument/2006/relationships/hyperlink" Target="http://www.aihw.gov.au/hospitals-data/principal-diagnosis-data-cubes/"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dje\OneDrive%20-%20Department%20of%20Health\Desktop\Template%20-%20ACSQHC%20-%20Long%20form%20document%20-%20AURA%20-%20July%202025.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aldje\AppData\Roaming\Micro%20Focus\Offline%20Records\Offline%20Records%20(CP)\CDI%20~%20SAFETY%20QUALITY%20-%20Implementation(2)\Raw%20data%20A047_CDI_20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'monthly data 2022_23'!$C$32</c:f>
              <c:strCache>
                <c:ptCount val="1"/>
                <c:pt idx="0">
                  <c:v>Rate of all diagnoses</c:v>
                </c:pt>
              </c:strCache>
            </c:strRef>
          </c:tx>
          <c:spPr>
            <a:ln w="28575" cap="rnd">
              <a:solidFill>
                <a:srgbClr val="8C1E00"/>
              </a:solidFill>
              <a:round/>
            </a:ln>
            <a:effectLst/>
          </c:spPr>
          <c:marker>
            <c:symbol val="diamond"/>
            <c:size val="7"/>
            <c:spPr>
              <a:solidFill>
                <a:srgbClr val="8C1E00"/>
              </a:solidFill>
              <a:ln w="9525">
                <a:solidFill>
                  <a:srgbClr val="8C1E00"/>
                </a:solidFill>
              </a:ln>
              <a:effectLst/>
            </c:spPr>
          </c:marker>
          <c:cat>
            <c:strRef>
              <c:f>'monthly data 2022_23'!$A$33:$B$54</c:f>
              <c:strCache>
                <c:ptCount val="8"/>
                <c:pt idx="0">
                  <c:v>Q1 2022</c:v>
                </c:pt>
                <c:pt idx="1">
                  <c:v>Q2 2022</c:v>
                </c:pt>
                <c:pt idx="2">
                  <c:v>Q3 2022</c:v>
                </c:pt>
                <c:pt idx="3">
                  <c:v>Q4 2022</c:v>
                </c:pt>
                <c:pt idx="4">
                  <c:v>Q1 2023</c:v>
                </c:pt>
                <c:pt idx="5">
                  <c:v>Q2 2023</c:v>
                </c:pt>
                <c:pt idx="6">
                  <c:v>Q3 2023</c:v>
                </c:pt>
                <c:pt idx="7">
                  <c:v>Q4 2023</c:v>
                </c:pt>
              </c:strCache>
            </c:strRef>
          </c:cat>
          <c:val>
            <c:numRef>
              <c:f>'monthly data 2022_23'!$C$33:$C$54</c:f>
              <c:numCache>
                <c:formatCode>0.00</c:formatCode>
                <c:ptCount val="8"/>
                <c:pt idx="0">
                  <c:v>5.5038949968778219</c:v>
                </c:pt>
                <c:pt idx="1">
                  <c:v>5.5903266324885852</c:v>
                </c:pt>
                <c:pt idx="2">
                  <c:v>4.7505624462703766</c:v>
                </c:pt>
                <c:pt idx="3">
                  <c:v>5.3306833820667627</c:v>
                </c:pt>
                <c:pt idx="4">
                  <c:v>4.7954049269725294</c:v>
                </c:pt>
                <c:pt idx="5">
                  <c:v>4.6483012447965457</c:v>
                </c:pt>
                <c:pt idx="6">
                  <c:v>4.6462625403979247</c:v>
                </c:pt>
                <c:pt idx="7">
                  <c:v>5.1707066076373813</c:v>
                </c:pt>
              </c:numCache>
            </c:numRef>
          </c:val>
          <c:smooth val="0"/>
          <c:extLst>
            <c:ext xmlns:c16="http://schemas.microsoft.com/office/drawing/2014/chart" uri="{C3380CC4-5D6E-409C-BE32-E72D297353CC}">
              <c16:uniqueId val="{00000000-7C22-4D72-9320-00B37B3BA797}"/>
            </c:ext>
          </c:extLst>
        </c:ser>
        <c:ser>
          <c:idx val="1"/>
          <c:order val="1"/>
          <c:tx>
            <c:strRef>
              <c:f>'monthly data 2022_23'!$D$32</c:f>
              <c:strCache>
                <c:ptCount val="1"/>
                <c:pt idx="0">
                  <c:v>Rate of non-principal diagnoses</c:v>
                </c:pt>
              </c:strCache>
            </c:strRef>
          </c:tx>
          <c:spPr>
            <a:ln w="28575" cap="rnd">
              <a:solidFill>
                <a:srgbClr val="C94500"/>
              </a:solidFill>
              <a:round/>
            </a:ln>
            <a:effectLst/>
          </c:spPr>
          <c:marker>
            <c:symbol val="diamond"/>
            <c:size val="7"/>
            <c:spPr>
              <a:solidFill>
                <a:srgbClr val="C94500"/>
              </a:solidFill>
              <a:ln w="9525">
                <a:solidFill>
                  <a:srgbClr val="C94500"/>
                </a:solidFill>
              </a:ln>
              <a:effectLst/>
            </c:spPr>
          </c:marker>
          <c:cat>
            <c:strRef>
              <c:f>'monthly data 2022_23'!$A$33:$B$54</c:f>
              <c:strCache>
                <c:ptCount val="8"/>
                <c:pt idx="0">
                  <c:v>Q1 2022</c:v>
                </c:pt>
                <c:pt idx="1">
                  <c:v>Q2 2022</c:v>
                </c:pt>
                <c:pt idx="2">
                  <c:v>Q3 2022</c:v>
                </c:pt>
                <c:pt idx="3">
                  <c:v>Q4 2022</c:v>
                </c:pt>
                <c:pt idx="4">
                  <c:v>Q1 2023</c:v>
                </c:pt>
                <c:pt idx="5">
                  <c:v>Q2 2023</c:v>
                </c:pt>
                <c:pt idx="6">
                  <c:v>Q3 2023</c:v>
                </c:pt>
                <c:pt idx="7">
                  <c:v>Q4 2023</c:v>
                </c:pt>
              </c:strCache>
            </c:strRef>
          </c:cat>
          <c:val>
            <c:numRef>
              <c:f>'monthly data 2022_23'!$D$33:$D$54</c:f>
              <c:numCache>
                <c:formatCode>0.00</c:formatCode>
                <c:ptCount val="8"/>
                <c:pt idx="0">
                  <c:v>3.7023022489591284</c:v>
                </c:pt>
                <c:pt idx="1">
                  <c:v>3.8275138949536118</c:v>
                </c:pt>
                <c:pt idx="2">
                  <c:v>3.3736614591695506</c:v>
                </c:pt>
                <c:pt idx="3">
                  <c:v>3.5992606300175187</c:v>
                </c:pt>
                <c:pt idx="4">
                  <c:v>3.3211239449843046</c:v>
                </c:pt>
                <c:pt idx="5">
                  <c:v>3.1715255855469984</c:v>
                </c:pt>
                <c:pt idx="6">
                  <c:v>3.3380915338781207</c:v>
                </c:pt>
                <c:pt idx="7">
                  <c:v>3.6998604465205895</c:v>
                </c:pt>
              </c:numCache>
            </c:numRef>
          </c:val>
          <c:smooth val="0"/>
          <c:extLst>
            <c:ext xmlns:c16="http://schemas.microsoft.com/office/drawing/2014/chart" uri="{C3380CC4-5D6E-409C-BE32-E72D297353CC}">
              <c16:uniqueId val="{00000001-7C22-4D72-9320-00B37B3BA797}"/>
            </c:ext>
          </c:extLst>
        </c:ser>
        <c:ser>
          <c:idx val="4"/>
          <c:order val="4"/>
          <c:tx>
            <c:strRef>
              <c:f>'monthly data 2022_23'!$G$32</c:f>
              <c:strCache>
                <c:ptCount val="1"/>
                <c:pt idx="0">
                  <c:v>Rate of principal diagnoses </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strRef>
              <c:f>'monthly data 2022_23'!$A$33:$B$54</c:f>
              <c:strCache>
                <c:ptCount val="8"/>
                <c:pt idx="0">
                  <c:v>Q1 2022</c:v>
                </c:pt>
                <c:pt idx="1">
                  <c:v>Q2 2022</c:v>
                </c:pt>
                <c:pt idx="2">
                  <c:v>Q3 2022</c:v>
                </c:pt>
                <c:pt idx="3">
                  <c:v>Q4 2022</c:v>
                </c:pt>
                <c:pt idx="4">
                  <c:v>Q1 2023</c:v>
                </c:pt>
                <c:pt idx="5">
                  <c:v>Q2 2023</c:v>
                </c:pt>
                <c:pt idx="6">
                  <c:v>Q3 2023</c:v>
                </c:pt>
                <c:pt idx="7">
                  <c:v>Q4 2023</c:v>
                </c:pt>
              </c:strCache>
            </c:strRef>
          </c:cat>
          <c:val>
            <c:numRef>
              <c:f>'monthly data 2022_23'!$G$33:$G$54</c:f>
              <c:numCache>
                <c:formatCode>0.00</c:formatCode>
                <c:ptCount val="8"/>
                <c:pt idx="0">
                  <c:v>1.8015927479186939</c:v>
                </c:pt>
                <c:pt idx="1">
                  <c:v>1.7628127375349734</c:v>
                </c:pt>
                <c:pt idx="2">
                  <c:v>1.3769009871008258</c:v>
                </c:pt>
                <c:pt idx="3">
                  <c:v>1.7314227520492438</c:v>
                </c:pt>
                <c:pt idx="4">
                  <c:v>1.4742809819882248</c:v>
                </c:pt>
                <c:pt idx="5">
                  <c:v>1.4767756592495473</c:v>
                </c:pt>
                <c:pt idx="6">
                  <c:v>1.308171006519804</c:v>
                </c:pt>
                <c:pt idx="7">
                  <c:v>1.4708461611167918</c:v>
                </c:pt>
              </c:numCache>
            </c:numRef>
          </c:val>
          <c:smooth val="0"/>
          <c:extLst>
            <c:ext xmlns:c16="http://schemas.microsoft.com/office/drawing/2014/chart" uri="{C3380CC4-5D6E-409C-BE32-E72D297353CC}">
              <c16:uniqueId val="{00000002-7C22-4D72-9320-00B37B3BA797}"/>
            </c:ext>
          </c:extLst>
        </c:ser>
        <c:dLbls>
          <c:showLegendKey val="0"/>
          <c:showVal val="0"/>
          <c:showCatName val="0"/>
          <c:showSerName val="0"/>
          <c:showPercent val="0"/>
          <c:showBubbleSize val="0"/>
        </c:dLbls>
        <c:marker val="1"/>
        <c:smooth val="0"/>
        <c:axId val="773385016"/>
        <c:axId val="773389696"/>
        <c:extLst>
          <c:ext xmlns:c15="http://schemas.microsoft.com/office/drawing/2012/chart" uri="{02D57815-91ED-43cb-92C2-25804820EDAC}">
            <c15:filteredLineSeries>
              <c15:ser>
                <c:idx val="2"/>
                <c:order val="2"/>
                <c:tx>
                  <c:strRef>
                    <c:extLst>
                      <c:ext uri="{02D57815-91ED-43cb-92C2-25804820EDAC}">
                        <c15:formulaRef>
                          <c15:sqref>'monthly data 2022_23'!$E$32</c15:sqref>
                        </c15:formulaRef>
                      </c:ext>
                    </c:extLst>
                    <c:strCache>
                      <c:ptCount val="1"/>
                      <c:pt idx="0">
                        <c:v>Rate of non-principal diagnoses, with COF2</c:v>
                      </c:pt>
                    </c:strCache>
                  </c:strRef>
                </c:tx>
                <c:spPr>
                  <a:ln w="28575" cap="rnd">
                    <a:solidFill>
                      <a:schemeClr val="accent3"/>
                    </a:solidFill>
                    <a:round/>
                  </a:ln>
                  <a:effectLst/>
                </c:spPr>
                <c:marker>
                  <c:symbol val="none"/>
                </c:marker>
                <c:cat>
                  <c:strRef>
                    <c:extLst>
                      <c:ext uri="{02D57815-91ED-43cb-92C2-25804820EDAC}">
                        <c15:formulaRef>
                          <c15:sqref>'monthly data 2022_23'!$A$33:$B$54</c15:sqref>
                        </c15:formulaRef>
                      </c:ext>
                    </c:extLst>
                    <c:strCache>
                      <c:ptCount val="8"/>
                      <c:pt idx="0">
                        <c:v>Q1 2022</c:v>
                      </c:pt>
                      <c:pt idx="1">
                        <c:v>Q2 2022</c:v>
                      </c:pt>
                      <c:pt idx="2">
                        <c:v>Q3 2022</c:v>
                      </c:pt>
                      <c:pt idx="3">
                        <c:v>Q4 2022</c:v>
                      </c:pt>
                      <c:pt idx="4">
                        <c:v>Q1 2023</c:v>
                      </c:pt>
                      <c:pt idx="5">
                        <c:v>Q2 2023</c:v>
                      </c:pt>
                      <c:pt idx="6">
                        <c:v>Q3 2023</c:v>
                      </c:pt>
                      <c:pt idx="7">
                        <c:v>Q4 2023</c:v>
                      </c:pt>
                    </c:strCache>
                  </c:strRef>
                </c:cat>
                <c:val>
                  <c:numRef>
                    <c:extLst>
                      <c:ext uri="{02D57815-91ED-43cb-92C2-25804820EDAC}">
                        <c15:formulaRef>
                          <c15:sqref>'monthly data 2022_23'!$E$33:$E$54</c15:sqref>
                        </c15:formulaRef>
                      </c:ext>
                    </c:extLst>
                    <c:numCache>
                      <c:formatCode>0.00</c:formatCode>
                      <c:ptCount val="8"/>
                      <c:pt idx="0">
                        <c:v>2.7227955122266345</c:v>
                      </c:pt>
                      <c:pt idx="1">
                        <c:v>2.7709044253607837</c:v>
                      </c:pt>
                      <c:pt idx="2">
                        <c:v>2.4743571244210414</c:v>
                      </c:pt>
                      <c:pt idx="3">
                        <c:v>2.64960148419657</c:v>
                      </c:pt>
                      <c:pt idx="4">
                        <c:v>2.581322296982993</c:v>
                      </c:pt>
                      <c:pt idx="5">
                        <c:v>2.1906413838314318</c:v>
                      </c:pt>
                      <c:pt idx="6">
                        <c:v>2.5461719207358637</c:v>
                      </c:pt>
                      <c:pt idx="7">
                        <c:v>2.6434795266806943</c:v>
                      </c:pt>
                    </c:numCache>
                  </c:numRef>
                </c:val>
                <c:smooth val="0"/>
                <c:extLst>
                  <c:ext xmlns:c16="http://schemas.microsoft.com/office/drawing/2014/chart" uri="{C3380CC4-5D6E-409C-BE32-E72D297353CC}">
                    <c16:uniqueId val="{00000003-7C22-4D72-9320-00B37B3BA79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'monthly data 2022_23'!$F$32</c15:sqref>
                        </c15:formulaRef>
                      </c:ext>
                    </c:extLst>
                    <c:strCache>
                      <c:ptCount val="1"/>
                      <c:pt idx="0">
                        <c:v>Rate of non-principal diagnoses, with COF1</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'monthly data 2022_23'!$A$33:$B$54</c15:sqref>
                        </c15:formulaRef>
                      </c:ext>
                    </c:extLst>
                    <c:strCache>
                      <c:ptCount val="8"/>
                      <c:pt idx="0">
                        <c:v>Q1 2022</c:v>
                      </c:pt>
                      <c:pt idx="1">
                        <c:v>Q2 2022</c:v>
                      </c:pt>
                      <c:pt idx="2">
                        <c:v>Q3 2022</c:v>
                      </c:pt>
                      <c:pt idx="3">
                        <c:v>Q4 2022</c:v>
                      </c:pt>
                      <c:pt idx="4">
                        <c:v>Q1 2023</c:v>
                      </c:pt>
                      <c:pt idx="5">
                        <c:v>Q2 2023</c:v>
                      </c:pt>
                      <c:pt idx="6">
                        <c:v>Q3 2023</c:v>
                      </c:pt>
                      <c:pt idx="7">
                        <c:v>Q4 2023</c:v>
                      </c:pt>
                    </c:strCache>
                  </c:strRef>
                </c:cat>
                <c:val>
                  <c:numRef>
                    <c:extLst xmlns:c15="http://schemas.microsoft.com/office/drawing/2012/chart">
                      <c:ext xmlns:c15="http://schemas.microsoft.com/office/drawing/2012/chart" uri="{02D57815-91ED-43cb-92C2-25804820EDAC}">
                        <c15:formulaRef>
                          <c15:sqref>'monthly data 2022_23'!$F$33:$F$54</c15:sqref>
                        </c15:formulaRef>
                      </c:ext>
                    </c:extLst>
                    <c:numCache>
                      <c:formatCode>0.00</c:formatCode>
                      <c:ptCount val="8"/>
                      <c:pt idx="0">
                        <c:v>0.96201554500512787</c:v>
                      </c:pt>
                      <c:pt idx="1">
                        <c:v>1.0404368756704887</c:v>
                      </c:pt>
                      <c:pt idx="2">
                        <c:v>0.8993043347485099</c:v>
                      </c:pt>
                      <c:pt idx="3">
                        <c:v>0.94965914582094879</c:v>
                      </c:pt>
                      <c:pt idx="4">
                        <c:v>0.73980164800131132</c:v>
                      </c:pt>
                      <c:pt idx="5">
                        <c:v>0.98088420171556645</c:v>
                      </c:pt>
                      <c:pt idx="6">
                        <c:v>0.7919196131422569</c:v>
                      </c:pt>
                      <c:pt idx="7">
                        <c:v>1.056380919839895</c:v>
                      </c:pt>
                    </c:numCache>
                  </c:numRef>
                </c:val>
                <c:smooth val="0"/>
                <c:extLst xmlns:c15="http://schemas.microsoft.com/office/drawing/2012/chart">
                  <c:ext xmlns:c16="http://schemas.microsoft.com/office/drawing/2014/chart" uri="{C3380CC4-5D6E-409C-BE32-E72D297353CC}">
                    <c16:uniqueId val="{00000004-7C22-4D72-9320-00B37B3BA79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'monthly data 2022_23'!$H$32</c15:sqref>
                        </c15:formulaRef>
                      </c:ext>
                    </c:extLst>
                    <c:strCache>
                      <c:ptCount val="1"/>
                      <c:pt idx="0">
                        <c:v>Estimated rate of pre-existing CDI diagnoses</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'monthly data 2022_23'!$A$33:$B$54</c15:sqref>
                        </c15:formulaRef>
                      </c:ext>
                    </c:extLst>
                    <c:strCache>
                      <c:ptCount val="8"/>
                      <c:pt idx="0">
                        <c:v>Q1 2022</c:v>
                      </c:pt>
                      <c:pt idx="1">
                        <c:v>Q2 2022</c:v>
                      </c:pt>
                      <c:pt idx="2">
                        <c:v>Q3 2022</c:v>
                      </c:pt>
                      <c:pt idx="3">
                        <c:v>Q4 2022</c:v>
                      </c:pt>
                      <c:pt idx="4">
                        <c:v>Q1 2023</c:v>
                      </c:pt>
                      <c:pt idx="5">
                        <c:v>Q2 2023</c:v>
                      </c:pt>
                      <c:pt idx="6">
                        <c:v>Q3 2023</c:v>
                      </c:pt>
                      <c:pt idx="7">
                        <c:v>Q4 2023</c:v>
                      </c:pt>
                    </c:strCache>
                  </c:strRef>
                </c:cat>
                <c:val>
                  <c:numRef>
                    <c:extLst xmlns:c15="http://schemas.microsoft.com/office/drawing/2012/chart">
                      <c:ext xmlns:c15="http://schemas.microsoft.com/office/drawing/2012/chart" uri="{02D57815-91ED-43cb-92C2-25804820EDAC}">
                        <c15:formulaRef>
                          <c15:sqref>'monthly data 2022_23'!$H$33:$H$54</c15:sqref>
                        </c15:formulaRef>
                      </c:ext>
                    </c:extLst>
                    <c:numCache>
                      <c:formatCode>0.00</c:formatCode>
                      <c:ptCount val="8"/>
                      <c:pt idx="0">
                        <c:v>4.5243882601453285</c:v>
                      </c:pt>
                      <c:pt idx="1">
                        <c:v>4.5337171628957567</c:v>
                      </c:pt>
                      <c:pt idx="2">
                        <c:v>3.8512581115218669</c:v>
                      </c:pt>
                      <c:pt idx="3">
                        <c:v>4.3810242362458141</c:v>
                      </c:pt>
                      <c:pt idx="4">
                        <c:v>4.0556032789712182</c:v>
                      </c:pt>
                      <c:pt idx="5">
                        <c:v>3.6674170430809792</c:v>
                      </c:pt>
                      <c:pt idx="6">
                        <c:v>3.8543429272556673</c:v>
                      </c:pt>
                      <c:pt idx="7">
                        <c:v>4.1143256877974856</c:v>
                      </c:pt>
                    </c:numCache>
                  </c:numRef>
                </c:val>
                <c:smooth val="0"/>
                <c:extLst xmlns:c15="http://schemas.microsoft.com/office/drawing/2012/chart">
                  <c:ext xmlns:c16="http://schemas.microsoft.com/office/drawing/2014/chart" uri="{C3380CC4-5D6E-409C-BE32-E72D297353CC}">
                    <c16:uniqueId val="{00000005-7C22-4D72-9320-00B37B3BA797}"/>
                  </c:ext>
                </c:extLst>
              </c15:ser>
            </c15:filteredLineSeries>
          </c:ext>
        </c:extLst>
      </c:lineChart>
      <c:catAx>
        <c:axId val="77338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389696"/>
        <c:crosses val="autoZero"/>
        <c:auto val="1"/>
        <c:lblAlgn val="ctr"/>
        <c:lblOffset val="100"/>
        <c:noMultiLvlLbl val="0"/>
      </c:catAx>
      <c:valAx>
        <c:axId val="77338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Rate of CDI diagnoses per 10,000 patient bed days, 2022 and 2023 </a:t>
                </a:r>
              </a:p>
            </c:rich>
          </c:tx>
          <c:layout>
            <c:manualLayout>
              <c:xMode val="edge"/>
              <c:yMode val="edge"/>
              <c:x val="2.5161292878973115E-2"/>
              <c:y val="0.33153637051047224"/>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3385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34928255919225E-2"/>
          <c:y val="3.5603486746047748E-2"/>
          <c:w val="0.89474488326154367"/>
          <c:h val="0.56692651513798875"/>
        </c:manualLayout>
      </c:layout>
      <c:lineChart>
        <c:grouping val="standard"/>
        <c:varyColors val="0"/>
        <c:ser>
          <c:idx val="11"/>
          <c:order val="11"/>
          <c:tx>
            <c:strRef>
              <c:f>' quarterly data 2014-22'!$Q$1</c:f>
              <c:strCache>
                <c:ptCount val="1"/>
                <c:pt idx="0">
                  <c:v>Quarterly rate of all diagnoses per 10,0000 patient bed days</c:v>
                </c:pt>
              </c:strCache>
            </c:strRef>
          </c:tx>
          <c:spPr>
            <a:ln w="25400" cap="rnd">
              <a:solidFill>
                <a:srgbClr val="8C1E00"/>
              </a:solidFill>
              <a:round/>
            </a:ln>
            <a:effectLst/>
          </c:spPr>
          <c:marker>
            <c:symbol val="none"/>
          </c:marker>
          <c:cat>
            <c:strRef>
              <c:f>(' quarterly data 2014-22'!$E$2,' quarterly data 2014-22'!$E$5:$E$95)</c:f>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extLst/>
            </c:strRef>
          </c:cat>
          <c:val>
            <c:numRef>
              <c:f>(' quarterly data 2014-22'!$Q$2,' quarterly data 2014-22'!$Q$5:$Q$95)</c:f>
              <c:numCache>
                <c:formatCode>0.00</c:formatCode>
                <c:ptCount val="32"/>
                <c:pt idx="0">
                  <c:v>4.0707893703111733</c:v>
                </c:pt>
                <c:pt idx="1">
                  <c:v>3.9460334143283058</c:v>
                </c:pt>
                <c:pt idx="2">
                  <c:v>3.6937408073838185</c:v>
                </c:pt>
                <c:pt idx="3">
                  <c:v>3.9619778129242476</c:v>
                </c:pt>
                <c:pt idx="4">
                  <c:v>3.9869382196973371</c:v>
                </c:pt>
                <c:pt idx="5">
                  <c:v>3.5384196523674643</c:v>
                </c:pt>
                <c:pt idx="6">
                  <c:v>3.8480537663686425</c:v>
                </c:pt>
                <c:pt idx="7">
                  <c:v>4.2942809989188824</c:v>
                </c:pt>
                <c:pt idx="8">
                  <c:v>4.3124090258917827</c:v>
                </c:pt>
                <c:pt idx="9">
                  <c:v>3.8767107267560625</c:v>
                </c:pt>
                <c:pt idx="10">
                  <c:v>3.9685251571439397</c:v>
                </c:pt>
                <c:pt idx="11">
                  <c:v>4.0555064797536424</c:v>
                </c:pt>
                <c:pt idx="12">
                  <c:v>4.2661113076605943</c:v>
                </c:pt>
                <c:pt idx="13">
                  <c:v>3.8690125736438725</c:v>
                </c:pt>
                <c:pt idx="14">
                  <c:v>3.8843633115874772</c:v>
                </c:pt>
                <c:pt idx="15">
                  <c:v>3.9564118166826394</c:v>
                </c:pt>
                <c:pt idx="16">
                  <c:v>3.4152361151494697</c:v>
                </c:pt>
                <c:pt idx="17">
                  <c:v>3.0736191415542846</c:v>
                </c:pt>
                <c:pt idx="18">
                  <c:v>3.0569404602927355</c:v>
                </c:pt>
                <c:pt idx="19">
                  <c:v>3.5132005744917629</c:v>
                </c:pt>
                <c:pt idx="20">
                  <c:v>3.4843865118221959</c:v>
                </c:pt>
                <c:pt idx="21">
                  <c:v>3.5224211668382011</c:v>
                </c:pt>
                <c:pt idx="22">
                  <c:v>3.9175348100563765</c:v>
                </c:pt>
                <c:pt idx="23">
                  <c:v>4.8520209167618722</c:v>
                </c:pt>
                <c:pt idx="24">
                  <c:v>5.5038949968778219</c:v>
                </c:pt>
                <c:pt idx="25">
                  <c:v>5.5903266324885852</c:v>
                </c:pt>
                <c:pt idx="26">
                  <c:v>4.7505624462703766</c:v>
                </c:pt>
                <c:pt idx="27">
                  <c:v>5.3306833820667627</c:v>
                </c:pt>
                <c:pt idx="28">
                  <c:v>4.7954049269725294</c:v>
                </c:pt>
                <c:pt idx="29">
                  <c:v>4.6483012447965457</c:v>
                </c:pt>
                <c:pt idx="30">
                  <c:v>4.6462625403979247</c:v>
                </c:pt>
                <c:pt idx="31">
                  <c:v>5.1707066076373813</c:v>
                </c:pt>
              </c:numCache>
              <c:extLst/>
            </c:numRef>
          </c:val>
          <c:smooth val="0"/>
          <c:extLst xmlns:c15="http://schemas.microsoft.com/office/drawing/2012/chart">
            <c:ext xmlns:c16="http://schemas.microsoft.com/office/drawing/2014/chart" uri="{C3380CC4-5D6E-409C-BE32-E72D297353CC}">
              <c16:uniqueId val="{00000000-DFB6-4AD3-A70D-9C952FBBB563}"/>
            </c:ext>
          </c:extLst>
        </c:ser>
        <c:ser>
          <c:idx val="12"/>
          <c:order val="12"/>
          <c:tx>
            <c:strRef>
              <c:f>' quarterly data 2014-22'!$R$1</c:f>
              <c:strCache>
                <c:ptCount val="1"/>
                <c:pt idx="0">
                  <c:v>Average quarterly rate of all CDI diagnoses</c:v>
                </c:pt>
              </c:strCache>
            </c:strRef>
          </c:tx>
          <c:spPr>
            <a:ln w="28575" cap="rnd">
              <a:solidFill>
                <a:srgbClr val="FF0000"/>
              </a:solidFill>
              <a:prstDash val="sysDash"/>
              <a:round/>
            </a:ln>
            <a:effectLst/>
          </c:spPr>
          <c:marker>
            <c:symbol val="none"/>
          </c:marker>
          <c:cat>
            <c:strRef>
              <c:f>(' quarterly data 2014-22'!$E$2,' quarterly data 2014-22'!$E$5:$E$95)</c:f>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extLst/>
            </c:strRef>
          </c:cat>
          <c:val>
            <c:numRef>
              <c:f>(' quarterly data 2014-22'!$R$2,' quarterly data 2014-22'!$R$5:$R$95)</c:f>
              <c:numCache>
                <c:formatCode>0.00</c:formatCode>
                <c:ptCount val="32"/>
                <c:pt idx="0">
                  <c:v>3.7426052238106191</c:v>
                </c:pt>
                <c:pt idx="1">
                  <c:v>3.7426052238106191</c:v>
                </c:pt>
                <c:pt idx="2">
                  <c:v>3.7426052238106191</c:v>
                </c:pt>
                <c:pt idx="3">
                  <c:v>3.7426052238106191</c:v>
                </c:pt>
                <c:pt idx="4">
                  <c:v>3.7426052238106191</c:v>
                </c:pt>
                <c:pt idx="5">
                  <c:v>3.7426052238106191</c:v>
                </c:pt>
                <c:pt idx="6">
                  <c:v>3.7426052238106191</c:v>
                </c:pt>
                <c:pt idx="7">
                  <c:v>3.7426052238106191</c:v>
                </c:pt>
                <c:pt idx="8">
                  <c:v>3.7426052238106191</c:v>
                </c:pt>
                <c:pt idx="9">
                  <c:v>3.7426052238106191</c:v>
                </c:pt>
                <c:pt idx="10">
                  <c:v>3.7426052238106191</c:v>
                </c:pt>
                <c:pt idx="11">
                  <c:v>3.7426052238106191</c:v>
                </c:pt>
                <c:pt idx="12">
                  <c:v>3.7426052238106191</c:v>
                </c:pt>
                <c:pt idx="13">
                  <c:v>3.7426052238106191</c:v>
                </c:pt>
                <c:pt idx="14">
                  <c:v>3.7426052238106191</c:v>
                </c:pt>
                <c:pt idx="15">
                  <c:v>3.7426052238106191</c:v>
                </c:pt>
                <c:pt idx="16">
                  <c:v>3.7426052238106191</c:v>
                </c:pt>
                <c:pt idx="17">
                  <c:v>3.7426052238106191</c:v>
                </c:pt>
                <c:pt idx="18">
                  <c:v>3.7426052238106191</c:v>
                </c:pt>
                <c:pt idx="19">
                  <c:v>3.7426052238106191</c:v>
                </c:pt>
                <c:pt idx="20">
                  <c:v>3.7426052238106191</c:v>
                </c:pt>
                <c:pt idx="21">
                  <c:v>3.7426052238106191</c:v>
                </c:pt>
                <c:pt idx="22">
                  <c:v>3.7426052238106191</c:v>
                </c:pt>
                <c:pt idx="23">
                  <c:v>3.7426052238106191</c:v>
                </c:pt>
                <c:pt idx="24">
                  <c:v>3.7426052238106191</c:v>
                </c:pt>
                <c:pt idx="25">
                  <c:v>3.7426052238106191</c:v>
                </c:pt>
                <c:pt idx="26">
                  <c:v>3.7426052238106191</c:v>
                </c:pt>
                <c:pt idx="27">
                  <c:v>3.7426052238106191</c:v>
                </c:pt>
                <c:pt idx="28">
                  <c:v>3.7426052238106191</c:v>
                </c:pt>
                <c:pt idx="29">
                  <c:v>3.7426052238106191</c:v>
                </c:pt>
                <c:pt idx="30">
                  <c:v>3.7426052238106191</c:v>
                </c:pt>
                <c:pt idx="31">
                  <c:v>3.7426052238106191</c:v>
                </c:pt>
              </c:numCache>
              <c:extLst/>
            </c:numRef>
          </c:val>
          <c:smooth val="0"/>
          <c:extLst>
            <c:ext xmlns:c16="http://schemas.microsoft.com/office/drawing/2014/chart" uri="{C3380CC4-5D6E-409C-BE32-E72D297353CC}">
              <c16:uniqueId val="{00000001-DFB6-4AD3-A70D-9C952FBBB563}"/>
            </c:ext>
          </c:extLst>
        </c:ser>
        <c:ser>
          <c:idx val="14"/>
          <c:order val="14"/>
          <c:tx>
            <c:strRef>
              <c:f>' quarterly data 2014-22'!$T$1</c:f>
              <c:strCache>
                <c:ptCount val="1"/>
                <c:pt idx="0">
                  <c:v>Upper control limit (2 Standard Deviations)</c:v>
                </c:pt>
              </c:strCache>
            </c:strRef>
          </c:tx>
          <c:spPr>
            <a:ln w="22225" cap="rnd">
              <a:solidFill>
                <a:schemeClr val="tx1">
                  <a:lumMod val="50000"/>
                  <a:lumOff val="50000"/>
                </a:schemeClr>
              </a:solidFill>
              <a:prstDash val="dash"/>
              <a:round/>
            </a:ln>
            <a:effectLst/>
          </c:spPr>
          <c:marker>
            <c:symbol val="none"/>
          </c:marker>
          <c:cat>
            <c:strRef>
              <c:f>(' quarterly data 2014-22'!$E$2,' quarterly data 2014-22'!$E$5:$E$95)</c:f>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extLst/>
            </c:strRef>
          </c:cat>
          <c:val>
            <c:numRef>
              <c:f>(' quarterly data 2014-22'!$T$2,' quarterly data 2014-22'!$T$5:$T$95)</c:f>
              <c:numCache>
                <c:formatCode>0.00</c:formatCode>
                <c:ptCount val="32"/>
                <c:pt idx="0">
                  <c:v>5.1650254643471865</c:v>
                </c:pt>
                <c:pt idx="1">
                  <c:v>5.1650254643471865</c:v>
                </c:pt>
                <c:pt idx="2">
                  <c:v>5.1650254643471865</c:v>
                </c:pt>
                <c:pt idx="3">
                  <c:v>5.1650254643471865</c:v>
                </c:pt>
                <c:pt idx="4">
                  <c:v>5.1650254643471865</c:v>
                </c:pt>
                <c:pt idx="5">
                  <c:v>5.1650254643471865</c:v>
                </c:pt>
                <c:pt idx="6">
                  <c:v>5.1650254643471865</c:v>
                </c:pt>
                <c:pt idx="7">
                  <c:v>5.1650254643471865</c:v>
                </c:pt>
                <c:pt idx="8">
                  <c:v>5.1650254643471865</c:v>
                </c:pt>
                <c:pt idx="9">
                  <c:v>5.1650254643471865</c:v>
                </c:pt>
                <c:pt idx="10">
                  <c:v>5.1650254643471865</c:v>
                </c:pt>
                <c:pt idx="11">
                  <c:v>5.1650254643471865</c:v>
                </c:pt>
                <c:pt idx="12">
                  <c:v>5.1650254643471865</c:v>
                </c:pt>
                <c:pt idx="13">
                  <c:v>5.1650254643471865</c:v>
                </c:pt>
                <c:pt idx="14">
                  <c:v>5.1650254643471865</c:v>
                </c:pt>
                <c:pt idx="15">
                  <c:v>5.1650254643471865</c:v>
                </c:pt>
                <c:pt idx="16">
                  <c:v>5.1650254643471865</c:v>
                </c:pt>
                <c:pt idx="17">
                  <c:v>5.1650254643471865</c:v>
                </c:pt>
                <c:pt idx="18">
                  <c:v>5.1650254643471865</c:v>
                </c:pt>
                <c:pt idx="19">
                  <c:v>5.1650254643471865</c:v>
                </c:pt>
                <c:pt idx="20">
                  <c:v>5.1650254643471865</c:v>
                </c:pt>
                <c:pt idx="21">
                  <c:v>5.1650254643471865</c:v>
                </c:pt>
                <c:pt idx="22">
                  <c:v>5.1650254643471865</c:v>
                </c:pt>
                <c:pt idx="23">
                  <c:v>5.1650254643471865</c:v>
                </c:pt>
                <c:pt idx="24">
                  <c:v>5.1650254643471865</c:v>
                </c:pt>
                <c:pt idx="25">
                  <c:v>5.1650254643471865</c:v>
                </c:pt>
                <c:pt idx="26">
                  <c:v>5.1650254643471865</c:v>
                </c:pt>
                <c:pt idx="27">
                  <c:v>5.1650254643471865</c:v>
                </c:pt>
                <c:pt idx="28">
                  <c:v>5.1650254643471865</c:v>
                </c:pt>
                <c:pt idx="29">
                  <c:v>5.1650254643471865</c:v>
                </c:pt>
                <c:pt idx="30">
                  <c:v>5.1650254643471865</c:v>
                </c:pt>
                <c:pt idx="31">
                  <c:v>5.1650254643471865</c:v>
                </c:pt>
              </c:numCache>
              <c:extLst/>
            </c:numRef>
          </c:val>
          <c:smooth val="0"/>
          <c:extLst xmlns:c15="http://schemas.microsoft.com/office/drawing/2012/chart">
            <c:ext xmlns:c16="http://schemas.microsoft.com/office/drawing/2014/chart" uri="{C3380CC4-5D6E-409C-BE32-E72D297353CC}">
              <c16:uniqueId val="{00000002-DFB6-4AD3-A70D-9C952FBBB563}"/>
            </c:ext>
          </c:extLst>
        </c:ser>
        <c:ser>
          <c:idx val="15"/>
          <c:order val="15"/>
          <c:tx>
            <c:strRef>
              <c:f>' quarterly data 2014-22'!$U$1</c:f>
              <c:strCache>
                <c:ptCount val="1"/>
                <c:pt idx="0">
                  <c:v>Lower control limit (2 Standard Deviations)</c:v>
                </c:pt>
              </c:strCache>
            </c:strRef>
          </c:tx>
          <c:spPr>
            <a:ln w="22225" cap="rnd">
              <a:solidFill>
                <a:schemeClr val="tx1">
                  <a:lumMod val="65000"/>
                  <a:lumOff val="35000"/>
                </a:schemeClr>
              </a:solidFill>
              <a:prstDash val="dash"/>
              <a:round/>
            </a:ln>
            <a:effectLst/>
          </c:spPr>
          <c:marker>
            <c:symbol val="none"/>
          </c:marker>
          <c:cat>
            <c:strRef>
              <c:f>(' quarterly data 2014-22'!$E$2,' quarterly data 2014-22'!$E$5:$E$95)</c:f>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extLst/>
            </c:strRef>
          </c:cat>
          <c:val>
            <c:numRef>
              <c:f>(' quarterly data 2014-22'!$U$2,' quarterly data 2014-22'!$U$5:$U$95)</c:f>
              <c:numCache>
                <c:formatCode>0.00</c:formatCode>
                <c:ptCount val="32"/>
                <c:pt idx="0">
                  <c:v>2.3201849832740518</c:v>
                </c:pt>
                <c:pt idx="1">
                  <c:v>2.3201849832740518</c:v>
                </c:pt>
                <c:pt idx="2">
                  <c:v>2.3201849832740518</c:v>
                </c:pt>
                <c:pt idx="3">
                  <c:v>2.3201849832740518</c:v>
                </c:pt>
                <c:pt idx="4">
                  <c:v>2.3201849832740518</c:v>
                </c:pt>
                <c:pt idx="5">
                  <c:v>2.3201849832740518</c:v>
                </c:pt>
                <c:pt idx="6">
                  <c:v>2.3201849832740518</c:v>
                </c:pt>
                <c:pt idx="7">
                  <c:v>2.3201849832740518</c:v>
                </c:pt>
                <c:pt idx="8">
                  <c:v>2.3201849832740518</c:v>
                </c:pt>
                <c:pt idx="9">
                  <c:v>2.3201849832740518</c:v>
                </c:pt>
                <c:pt idx="10">
                  <c:v>2.3201849832740518</c:v>
                </c:pt>
                <c:pt idx="11">
                  <c:v>2.3201849832740518</c:v>
                </c:pt>
                <c:pt idx="12">
                  <c:v>2.3201849832740518</c:v>
                </c:pt>
                <c:pt idx="13">
                  <c:v>2.3201849832740518</c:v>
                </c:pt>
                <c:pt idx="14">
                  <c:v>2.3201849832740518</c:v>
                </c:pt>
                <c:pt idx="15">
                  <c:v>2.3201849832740518</c:v>
                </c:pt>
                <c:pt idx="16">
                  <c:v>2.3201849832740518</c:v>
                </c:pt>
                <c:pt idx="17">
                  <c:v>2.3201849832740518</c:v>
                </c:pt>
                <c:pt idx="18">
                  <c:v>2.3201849832740518</c:v>
                </c:pt>
                <c:pt idx="19">
                  <c:v>2.3201849832740518</c:v>
                </c:pt>
                <c:pt idx="20">
                  <c:v>2.3201849832740518</c:v>
                </c:pt>
                <c:pt idx="21">
                  <c:v>2.3201849832740518</c:v>
                </c:pt>
                <c:pt idx="22">
                  <c:v>2.3201849832740518</c:v>
                </c:pt>
                <c:pt idx="23">
                  <c:v>2.3201849832740518</c:v>
                </c:pt>
                <c:pt idx="24">
                  <c:v>2.3201849832740518</c:v>
                </c:pt>
                <c:pt idx="25">
                  <c:v>2.3201849832740518</c:v>
                </c:pt>
                <c:pt idx="26">
                  <c:v>2.3201849832740518</c:v>
                </c:pt>
                <c:pt idx="27">
                  <c:v>2.3201849832740518</c:v>
                </c:pt>
                <c:pt idx="28">
                  <c:v>2.3201849832740518</c:v>
                </c:pt>
                <c:pt idx="29">
                  <c:v>2.3201849832740518</c:v>
                </c:pt>
                <c:pt idx="30">
                  <c:v>2.3201849832740518</c:v>
                </c:pt>
                <c:pt idx="31">
                  <c:v>2.3201849832740518</c:v>
                </c:pt>
              </c:numCache>
              <c:extLst/>
            </c:numRef>
          </c:val>
          <c:smooth val="0"/>
          <c:extLst>
            <c:ext xmlns:c16="http://schemas.microsoft.com/office/drawing/2014/chart" uri="{C3380CC4-5D6E-409C-BE32-E72D297353CC}">
              <c16:uniqueId val="{00000003-DFB6-4AD3-A70D-9C952FBBB563}"/>
            </c:ext>
          </c:extLst>
        </c:ser>
        <c:ser>
          <c:idx val="16"/>
          <c:order val="16"/>
          <c:tx>
            <c:strRef>
              <c:f>' quarterly data 2014-22'!$V$1</c:f>
              <c:strCache>
                <c:ptCount val="1"/>
                <c:pt idx="0">
                  <c:v>Extreme upper control limit (3 Standard Deviations)</c:v>
                </c:pt>
              </c:strCache>
            </c:strRef>
          </c:tx>
          <c:spPr>
            <a:ln w="22225" cap="rnd">
              <a:solidFill>
                <a:schemeClr val="tx1">
                  <a:lumMod val="85000"/>
                  <a:lumOff val="15000"/>
                </a:schemeClr>
              </a:solidFill>
              <a:prstDash val="lgDash"/>
              <a:round/>
            </a:ln>
            <a:effectLst/>
          </c:spPr>
          <c:marker>
            <c:symbol val="none"/>
          </c:marker>
          <c:cat>
            <c:strRef>
              <c:f>(' quarterly data 2014-22'!$E$2,' quarterly data 2014-22'!$E$5:$E$95)</c:f>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extLst/>
            </c:strRef>
          </c:cat>
          <c:val>
            <c:numRef>
              <c:f>(' quarterly data 2014-22'!$V$2,' quarterly data 2014-22'!$V$5:$V$95)</c:f>
              <c:numCache>
                <c:formatCode>0.00</c:formatCode>
                <c:ptCount val="32"/>
                <c:pt idx="0">
                  <c:v>5.8762355846154701</c:v>
                </c:pt>
                <c:pt idx="1">
                  <c:v>5.8762355846154701</c:v>
                </c:pt>
                <c:pt idx="2">
                  <c:v>5.8762355846154701</c:v>
                </c:pt>
                <c:pt idx="3">
                  <c:v>5.8762355846154701</c:v>
                </c:pt>
                <c:pt idx="4">
                  <c:v>5.8762355846154701</c:v>
                </c:pt>
                <c:pt idx="5">
                  <c:v>5.8762355846154701</c:v>
                </c:pt>
                <c:pt idx="6">
                  <c:v>5.8762355846154701</c:v>
                </c:pt>
                <c:pt idx="7">
                  <c:v>5.8762355846154701</c:v>
                </c:pt>
                <c:pt idx="8">
                  <c:v>5.8762355846154701</c:v>
                </c:pt>
                <c:pt idx="9">
                  <c:v>5.8762355846154701</c:v>
                </c:pt>
                <c:pt idx="10">
                  <c:v>5.8762355846154701</c:v>
                </c:pt>
                <c:pt idx="11">
                  <c:v>5.8762355846154701</c:v>
                </c:pt>
                <c:pt idx="12">
                  <c:v>5.8762355846154701</c:v>
                </c:pt>
                <c:pt idx="13">
                  <c:v>5.8762355846154701</c:v>
                </c:pt>
                <c:pt idx="14">
                  <c:v>5.8762355846154701</c:v>
                </c:pt>
                <c:pt idx="15">
                  <c:v>5.8762355846154701</c:v>
                </c:pt>
                <c:pt idx="16">
                  <c:v>5.8762355846154701</c:v>
                </c:pt>
                <c:pt idx="17">
                  <c:v>5.8762355846154701</c:v>
                </c:pt>
                <c:pt idx="18">
                  <c:v>5.8762355846154701</c:v>
                </c:pt>
                <c:pt idx="19">
                  <c:v>5.8762355846154701</c:v>
                </c:pt>
                <c:pt idx="20">
                  <c:v>5.8762355846154701</c:v>
                </c:pt>
                <c:pt idx="21">
                  <c:v>5.8762355846154701</c:v>
                </c:pt>
                <c:pt idx="22">
                  <c:v>5.8762355846154701</c:v>
                </c:pt>
                <c:pt idx="23">
                  <c:v>5.8762355846154701</c:v>
                </c:pt>
                <c:pt idx="24">
                  <c:v>5.8762355846154701</c:v>
                </c:pt>
                <c:pt idx="25">
                  <c:v>5.8762355846154701</c:v>
                </c:pt>
                <c:pt idx="26">
                  <c:v>5.8762355846154701</c:v>
                </c:pt>
                <c:pt idx="27">
                  <c:v>5.8762355846154701</c:v>
                </c:pt>
                <c:pt idx="28">
                  <c:v>5.8762355846154701</c:v>
                </c:pt>
                <c:pt idx="29">
                  <c:v>5.8762355846154701</c:v>
                </c:pt>
                <c:pt idx="30">
                  <c:v>5.8762355846154701</c:v>
                </c:pt>
                <c:pt idx="31">
                  <c:v>5.8762355846154701</c:v>
                </c:pt>
              </c:numCache>
              <c:extLst/>
            </c:numRef>
          </c:val>
          <c:smooth val="0"/>
          <c:extLst>
            <c:ext xmlns:c16="http://schemas.microsoft.com/office/drawing/2014/chart" uri="{C3380CC4-5D6E-409C-BE32-E72D297353CC}">
              <c16:uniqueId val="{00000004-DFB6-4AD3-A70D-9C952FBBB563}"/>
            </c:ext>
          </c:extLst>
        </c:ser>
        <c:ser>
          <c:idx val="17"/>
          <c:order val="17"/>
          <c:tx>
            <c:strRef>
              <c:f>' quarterly data 2014-22'!$W$1</c:f>
              <c:strCache>
                <c:ptCount val="1"/>
                <c:pt idx="0">
                  <c:v>Extreme lower control limit (3 Standard Deviations)</c:v>
                </c:pt>
              </c:strCache>
            </c:strRef>
          </c:tx>
          <c:spPr>
            <a:ln w="22225" cap="rnd">
              <a:solidFill>
                <a:schemeClr val="tx1">
                  <a:lumMod val="85000"/>
                  <a:lumOff val="15000"/>
                </a:schemeClr>
              </a:solidFill>
              <a:prstDash val="lgDash"/>
              <a:round/>
            </a:ln>
            <a:effectLst/>
          </c:spPr>
          <c:marker>
            <c:symbol val="none"/>
          </c:marker>
          <c:cat>
            <c:strRef>
              <c:f>(' quarterly data 2014-22'!$E$2,' quarterly data 2014-22'!$E$5:$E$95)</c:f>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extLst/>
            </c:strRef>
          </c:cat>
          <c:val>
            <c:numRef>
              <c:f>(' quarterly data 2014-22'!$W$2,' quarterly data 2014-22'!$W$5:$W$95)</c:f>
              <c:numCache>
                <c:formatCode>0.00</c:formatCode>
                <c:ptCount val="32"/>
                <c:pt idx="0">
                  <c:v>1.6089748630057681</c:v>
                </c:pt>
                <c:pt idx="1">
                  <c:v>1.6089748630057681</c:v>
                </c:pt>
                <c:pt idx="2">
                  <c:v>1.6089748630057681</c:v>
                </c:pt>
                <c:pt idx="3">
                  <c:v>1.6089748630057681</c:v>
                </c:pt>
                <c:pt idx="4">
                  <c:v>1.6089748630057681</c:v>
                </c:pt>
                <c:pt idx="5">
                  <c:v>1.6089748630057681</c:v>
                </c:pt>
                <c:pt idx="6">
                  <c:v>1.6089748630057681</c:v>
                </c:pt>
                <c:pt idx="7">
                  <c:v>1.6089748630057681</c:v>
                </c:pt>
                <c:pt idx="8">
                  <c:v>1.6089748630057681</c:v>
                </c:pt>
                <c:pt idx="9">
                  <c:v>1.6089748630057681</c:v>
                </c:pt>
                <c:pt idx="10">
                  <c:v>1.6089748630057681</c:v>
                </c:pt>
                <c:pt idx="11">
                  <c:v>1.6089748630057681</c:v>
                </c:pt>
                <c:pt idx="12">
                  <c:v>1.6089748630057681</c:v>
                </c:pt>
                <c:pt idx="13">
                  <c:v>1.6089748630057681</c:v>
                </c:pt>
                <c:pt idx="14">
                  <c:v>1.6089748630057681</c:v>
                </c:pt>
                <c:pt idx="15">
                  <c:v>1.6089748630057681</c:v>
                </c:pt>
                <c:pt idx="16">
                  <c:v>1.6089748630057681</c:v>
                </c:pt>
                <c:pt idx="17">
                  <c:v>1.6089748630057681</c:v>
                </c:pt>
                <c:pt idx="18">
                  <c:v>1.6089748630057681</c:v>
                </c:pt>
                <c:pt idx="19">
                  <c:v>1.6089748630057681</c:v>
                </c:pt>
                <c:pt idx="20">
                  <c:v>1.6089748630057681</c:v>
                </c:pt>
                <c:pt idx="21">
                  <c:v>1.6089748630057681</c:v>
                </c:pt>
                <c:pt idx="22">
                  <c:v>1.6089748630057681</c:v>
                </c:pt>
                <c:pt idx="23">
                  <c:v>1.6089748630057681</c:v>
                </c:pt>
                <c:pt idx="24">
                  <c:v>1.6089748630057681</c:v>
                </c:pt>
                <c:pt idx="25">
                  <c:v>1.6089748630057681</c:v>
                </c:pt>
                <c:pt idx="26">
                  <c:v>1.6089748630057681</c:v>
                </c:pt>
                <c:pt idx="27">
                  <c:v>1.6089748630057681</c:v>
                </c:pt>
                <c:pt idx="28">
                  <c:v>1.6089748630057681</c:v>
                </c:pt>
                <c:pt idx="29">
                  <c:v>1.6089748630057681</c:v>
                </c:pt>
                <c:pt idx="30">
                  <c:v>1.6089748630057681</c:v>
                </c:pt>
                <c:pt idx="31">
                  <c:v>1.6089748630057681</c:v>
                </c:pt>
              </c:numCache>
              <c:extLst/>
            </c:numRef>
          </c:val>
          <c:smooth val="0"/>
          <c:extLst>
            <c:ext xmlns:c16="http://schemas.microsoft.com/office/drawing/2014/chart" uri="{C3380CC4-5D6E-409C-BE32-E72D297353CC}">
              <c16:uniqueId val="{00000005-DFB6-4AD3-A70D-9C952FBBB563}"/>
            </c:ext>
          </c:extLst>
        </c:ser>
        <c:dLbls>
          <c:showLegendKey val="0"/>
          <c:showVal val="0"/>
          <c:showCatName val="0"/>
          <c:showSerName val="0"/>
          <c:showPercent val="0"/>
          <c:showBubbleSize val="0"/>
        </c:dLbls>
        <c:smooth val="0"/>
        <c:axId val="820595976"/>
        <c:axId val="820594008"/>
        <c:extLst>
          <c:ext xmlns:c15="http://schemas.microsoft.com/office/drawing/2012/chart" uri="{02D57815-91ED-43cb-92C2-25804820EDAC}">
            <c15:filteredLineSeries>
              <c15:ser>
                <c:idx val="0"/>
                <c:order val="0"/>
                <c:tx>
                  <c:strRef>
                    <c:extLst>
                      <c:ext uri="{02D57815-91ED-43cb-92C2-25804820EDAC}">
                        <c15:formulaRef>
                          <c15:sqref>' quarterly data 2014-22'!$F$1</c15:sqref>
                        </c15:formulaRef>
                      </c:ext>
                    </c:extLst>
                    <c:strCache>
                      <c:ptCount val="1"/>
                      <c:pt idx="0">
                        <c:v>A047_pdiag_M</c:v>
                      </c:pt>
                    </c:strCache>
                  </c:strRef>
                </c:tx>
                <c:spPr>
                  <a:ln w="28575" cap="rnd">
                    <a:solidFill>
                      <a:schemeClr val="accent1"/>
                    </a:solidFill>
                    <a:round/>
                  </a:ln>
                  <a:effectLst/>
                </c:spPr>
                <c:marker>
                  <c:symbol val="none"/>
                </c:marker>
                <c:cat>
                  <c:strRef>
                    <c:extLst>
                      <c:ex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c:ext uri="{02D57815-91ED-43cb-92C2-25804820EDAC}">
                        <c15:formulaRef>
                          <c15:sqref>(' quarterly data 2014-22'!$F$2,' quarterly data 2014-22'!$F$5:$F$95)</c15:sqref>
                        </c15:formulaRef>
                      </c:ext>
                    </c:extLst>
                    <c:numCache>
                      <c:formatCode>General</c:formatCode>
                      <c:ptCount val="32"/>
                      <c:pt idx="0">
                        <c:v>215</c:v>
                      </c:pt>
                      <c:pt idx="1">
                        <c:v>194</c:v>
                      </c:pt>
                      <c:pt idx="2">
                        <c:v>181</c:v>
                      </c:pt>
                      <c:pt idx="3">
                        <c:v>228</c:v>
                      </c:pt>
                      <c:pt idx="4">
                        <c:v>204</c:v>
                      </c:pt>
                      <c:pt idx="5">
                        <c:v>197</c:v>
                      </c:pt>
                      <c:pt idx="6">
                        <c:v>189</c:v>
                      </c:pt>
                      <c:pt idx="7">
                        <c:v>227</c:v>
                      </c:pt>
                      <c:pt idx="8">
                        <c:v>262</c:v>
                      </c:pt>
                      <c:pt idx="9">
                        <c:v>207</c:v>
                      </c:pt>
                      <c:pt idx="10">
                        <c:v>224</c:v>
                      </c:pt>
                      <c:pt idx="11">
                        <c:v>241</c:v>
                      </c:pt>
                      <c:pt idx="12">
                        <c:v>257</c:v>
                      </c:pt>
                      <c:pt idx="13">
                        <c:v>241</c:v>
                      </c:pt>
                      <c:pt idx="14">
                        <c:v>193</c:v>
                      </c:pt>
                      <c:pt idx="15">
                        <c:v>225</c:v>
                      </c:pt>
                      <c:pt idx="16">
                        <c:v>251</c:v>
                      </c:pt>
                      <c:pt idx="17">
                        <c:v>164</c:v>
                      </c:pt>
                      <c:pt idx="18">
                        <c:v>191</c:v>
                      </c:pt>
                      <c:pt idx="19">
                        <c:v>229</c:v>
                      </c:pt>
                      <c:pt idx="20">
                        <c:v>248</c:v>
                      </c:pt>
                      <c:pt idx="21">
                        <c:v>253</c:v>
                      </c:pt>
                      <c:pt idx="22">
                        <c:v>266</c:v>
                      </c:pt>
                      <c:pt idx="23">
                        <c:v>338</c:v>
                      </c:pt>
                      <c:pt idx="24">
                        <c:v>309</c:v>
                      </c:pt>
                      <c:pt idx="25">
                        <c:v>327</c:v>
                      </c:pt>
                      <c:pt idx="26">
                        <c:v>271</c:v>
                      </c:pt>
                      <c:pt idx="27">
                        <c:v>330</c:v>
                      </c:pt>
                      <c:pt idx="28">
                        <c:v>277</c:v>
                      </c:pt>
                      <c:pt idx="29">
                        <c:v>271</c:v>
                      </c:pt>
                      <c:pt idx="30">
                        <c:v>261</c:v>
                      </c:pt>
                      <c:pt idx="31">
                        <c:v>291</c:v>
                      </c:pt>
                    </c:numCache>
                  </c:numRef>
                </c:val>
                <c:smooth val="0"/>
                <c:extLst>
                  <c:ext xmlns:c16="http://schemas.microsoft.com/office/drawing/2014/chart" uri="{C3380CC4-5D6E-409C-BE32-E72D297353CC}">
                    <c16:uniqueId val="{00000006-DFB6-4AD3-A70D-9C952FBBB56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 quarterly data 2014-22'!$G$1</c15:sqref>
                        </c15:formulaRef>
                      </c:ext>
                    </c:extLst>
                    <c:strCache>
                      <c:ptCount val="1"/>
                      <c:pt idx="0">
                        <c:v>A047_NPdx_M</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2014-22'!$G$2,' quarterly data 2014-22'!$G$5:$G$95)</c15:sqref>
                        </c15:formulaRef>
                      </c:ext>
                    </c:extLst>
                    <c:numCache>
                      <c:formatCode>General</c:formatCode>
                      <c:ptCount val="32"/>
                      <c:pt idx="0">
                        <c:v>445</c:v>
                      </c:pt>
                      <c:pt idx="1">
                        <c:v>442</c:v>
                      </c:pt>
                      <c:pt idx="2">
                        <c:v>426</c:v>
                      </c:pt>
                      <c:pt idx="3">
                        <c:v>455</c:v>
                      </c:pt>
                      <c:pt idx="4">
                        <c:v>455</c:v>
                      </c:pt>
                      <c:pt idx="5">
                        <c:v>398</c:v>
                      </c:pt>
                      <c:pt idx="6">
                        <c:v>485</c:v>
                      </c:pt>
                      <c:pt idx="7">
                        <c:v>511</c:v>
                      </c:pt>
                      <c:pt idx="8">
                        <c:v>495</c:v>
                      </c:pt>
                      <c:pt idx="9">
                        <c:v>486</c:v>
                      </c:pt>
                      <c:pt idx="10">
                        <c:v>487</c:v>
                      </c:pt>
                      <c:pt idx="11">
                        <c:v>496</c:v>
                      </c:pt>
                      <c:pt idx="12">
                        <c:v>489</c:v>
                      </c:pt>
                      <c:pt idx="13">
                        <c:v>471</c:v>
                      </c:pt>
                      <c:pt idx="14">
                        <c:v>540</c:v>
                      </c:pt>
                      <c:pt idx="15">
                        <c:v>481</c:v>
                      </c:pt>
                      <c:pt idx="16">
                        <c:v>345</c:v>
                      </c:pt>
                      <c:pt idx="17">
                        <c:v>264</c:v>
                      </c:pt>
                      <c:pt idx="18">
                        <c:v>353</c:v>
                      </c:pt>
                      <c:pt idx="19">
                        <c:v>357</c:v>
                      </c:pt>
                      <c:pt idx="20">
                        <c:v>357</c:v>
                      </c:pt>
                      <c:pt idx="21">
                        <c:v>409</c:v>
                      </c:pt>
                      <c:pt idx="22">
                        <c:v>420</c:v>
                      </c:pt>
                      <c:pt idx="23">
                        <c:v>478</c:v>
                      </c:pt>
                      <c:pt idx="24">
                        <c:v>467</c:v>
                      </c:pt>
                      <c:pt idx="25">
                        <c:v>514</c:v>
                      </c:pt>
                      <c:pt idx="26">
                        <c:v>487</c:v>
                      </c:pt>
                      <c:pt idx="27">
                        <c:v>505</c:v>
                      </c:pt>
                      <c:pt idx="28">
                        <c:v>485</c:v>
                      </c:pt>
                      <c:pt idx="29">
                        <c:v>402</c:v>
                      </c:pt>
                      <c:pt idx="30">
                        <c:v>508</c:v>
                      </c:pt>
                      <c:pt idx="31">
                        <c:v>523</c:v>
                      </c:pt>
                    </c:numCache>
                  </c:numRef>
                </c:val>
                <c:smooth val="0"/>
                <c:extLst xmlns:c15="http://schemas.microsoft.com/office/drawing/2012/chart">
                  <c:ext xmlns:c16="http://schemas.microsoft.com/office/drawing/2014/chart" uri="{C3380CC4-5D6E-409C-BE32-E72D297353CC}">
                    <c16:uniqueId val="{00000007-DFB6-4AD3-A70D-9C952FBBB56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 quarterly data 2014-22'!$H$1</c15:sqref>
                        </c15:formulaRef>
                      </c:ext>
                    </c:extLst>
                    <c:strCache>
                      <c:ptCount val="1"/>
                      <c:pt idx="0">
                        <c:v>beddays_pdiag_M</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2014-22'!$H$2,' quarterly data 2014-22'!$H$5:$H$95)</c15:sqref>
                        </c15:formulaRef>
                      </c:ext>
                    </c:extLst>
                    <c:numCache>
                      <c:formatCode>General</c:formatCode>
                      <c:ptCount val="32"/>
                      <c:pt idx="0">
                        <c:v>1750</c:v>
                      </c:pt>
                      <c:pt idx="1">
                        <c:v>1579</c:v>
                      </c:pt>
                      <c:pt idx="4">
                        <c:v>1453</c:v>
                      </c:pt>
                      <c:pt idx="5">
                        <c:v>1555</c:v>
                      </c:pt>
                      <c:pt idx="6">
                        <c:v>1334</c:v>
                      </c:pt>
                      <c:pt idx="7">
                        <c:v>1653</c:v>
                      </c:pt>
                      <c:pt idx="8">
                        <c:v>1821</c:v>
                      </c:pt>
                      <c:pt idx="9">
                        <c:v>1535</c:v>
                      </c:pt>
                      <c:pt idx="10">
                        <c:v>1529</c:v>
                      </c:pt>
                      <c:pt idx="11">
                        <c:v>1643</c:v>
                      </c:pt>
                      <c:pt idx="12">
                        <c:v>1778</c:v>
                      </c:pt>
                      <c:pt idx="13">
                        <c:v>1643</c:v>
                      </c:pt>
                      <c:pt idx="14">
                        <c:v>1519</c:v>
                      </c:pt>
                      <c:pt idx="15">
                        <c:v>1474</c:v>
                      </c:pt>
                      <c:pt idx="16">
                        <c:v>1607</c:v>
                      </c:pt>
                      <c:pt idx="17">
                        <c:v>1211</c:v>
                      </c:pt>
                      <c:pt idx="18">
                        <c:v>1288</c:v>
                      </c:pt>
                      <c:pt idx="19">
                        <c:v>1808</c:v>
                      </c:pt>
                      <c:pt idx="20">
                        <c:v>1905</c:v>
                      </c:pt>
                      <c:pt idx="21">
                        <c:v>2146</c:v>
                      </c:pt>
                      <c:pt idx="22">
                        <c:v>1901</c:v>
                      </c:pt>
                      <c:pt idx="23">
                        <c:v>2660</c:v>
                      </c:pt>
                      <c:pt idx="24">
                        <c:v>2176</c:v>
                      </c:pt>
                      <c:pt idx="25">
                        <c:v>2706</c:v>
                      </c:pt>
                      <c:pt idx="26">
                        <c:v>2055</c:v>
                      </c:pt>
                      <c:pt idx="27">
                        <c:v>2527</c:v>
                      </c:pt>
                      <c:pt idx="28">
                        <c:v>1913</c:v>
                      </c:pt>
                      <c:pt idx="29">
                        <c:v>1640</c:v>
                      </c:pt>
                      <c:pt idx="30">
                        <c:v>1943</c:v>
                      </c:pt>
                      <c:pt idx="31">
                        <c:v>2328</c:v>
                      </c:pt>
                    </c:numCache>
                  </c:numRef>
                </c:val>
                <c:smooth val="0"/>
                <c:extLst xmlns:c15="http://schemas.microsoft.com/office/drawing/2012/chart">
                  <c:ext xmlns:c16="http://schemas.microsoft.com/office/drawing/2014/chart" uri="{C3380CC4-5D6E-409C-BE32-E72D297353CC}">
                    <c16:uniqueId val="{00000008-DFB6-4AD3-A70D-9C952FBBB56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 quarterly data 2014-22'!$I$1</c15:sqref>
                        </c15:formulaRef>
                      </c:ext>
                    </c:extLst>
                    <c:strCache>
                      <c:ptCount val="1"/>
                      <c:pt idx="0">
                        <c:v>A047_pdiag_Q</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2014-22'!$I$2,' quarterly data 2014-22'!$I$5:$I$95)</c15:sqref>
                        </c15:formulaRef>
                      </c:ext>
                    </c:extLst>
                    <c:numCache>
                      <c:formatCode>General</c:formatCode>
                      <c:ptCount val="32"/>
                      <c:pt idx="0">
                        <c:v>629</c:v>
                      </c:pt>
                      <c:pt idx="1">
                        <c:v>579</c:v>
                      </c:pt>
                      <c:pt idx="2">
                        <c:v>576</c:v>
                      </c:pt>
                      <c:pt idx="3">
                        <c:v>654</c:v>
                      </c:pt>
                      <c:pt idx="4">
                        <c:v>601</c:v>
                      </c:pt>
                      <c:pt idx="5">
                        <c:v>604</c:v>
                      </c:pt>
                      <c:pt idx="6">
                        <c:v>574</c:v>
                      </c:pt>
                      <c:pt idx="7">
                        <c:v>715</c:v>
                      </c:pt>
                      <c:pt idx="8">
                        <c:v>700</c:v>
                      </c:pt>
                      <c:pt idx="9">
                        <c:v>627</c:v>
                      </c:pt>
                      <c:pt idx="10">
                        <c:v>624</c:v>
                      </c:pt>
                      <c:pt idx="11">
                        <c:v>703</c:v>
                      </c:pt>
                      <c:pt idx="12">
                        <c:v>734</c:v>
                      </c:pt>
                      <c:pt idx="13">
                        <c:v>649</c:v>
                      </c:pt>
                      <c:pt idx="14">
                        <c:v>606</c:v>
                      </c:pt>
                      <c:pt idx="15">
                        <c:v>719</c:v>
                      </c:pt>
                      <c:pt idx="16" formatCode="0">
                        <c:v>720</c:v>
                      </c:pt>
                      <c:pt idx="17" formatCode="0">
                        <c:v>546</c:v>
                      </c:pt>
                      <c:pt idx="18" formatCode="0">
                        <c:v>580</c:v>
                      </c:pt>
                      <c:pt idx="19" formatCode="0">
                        <c:v>798</c:v>
                      </c:pt>
                      <c:pt idx="20">
                        <c:v>803</c:v>
                      </c:pt>
                      <c:pt idx="21">
                        <c:v>812</c:v>
                      </c:pt>
                      <c:pt idx="22">
                        <c:v>868</c:v>
                      </c:pt>
                      <c:pt idx="23">
                        <c:v>1068</c:v>
                      </c:pt>
                      <c:pt idx="24">
                        <c:v>966</c:v>
                      </c:pt>
                      <c:pt idx="25">
                        <c:v>919</c:v>
                      </c:pt>
                      <c:pt idx="26">
                        <c:v>862</c:v>
                      </c:pt>
                      <c:pt idx="27">
                        <c:v>947</c:v>
                      </c:pt>
                      <c:pt idx="28">
                        <c:v>877</c:v>
                      </c:pt>
                      <c:pt idx="29">
                        <c:v>770</c:v>
                      </c:pt>
                      <c:pt idx="30">
                        <c:v>812</c:v>
                      </c:pt>
                      <c:pt idx="31">
                        <c:v>930</c:v>
                      </c:pt>
                    </c:numCache>
                  </c:numRef>
                </c:val>
                <c:smooth val="0"/>
                <c:extLst xmlns:c15="http://schemas.microsoft.com/office/drawing/2012/chart">
                  <c:ext xmlns:c16="http://schemas.microsoft.com/office/drawing/2014/chart" uri="{C3380CC4-5D6E-409C-BE32-E72D297353CC}">
                    <c16:uniqueId val="{00000009-DFB6-4AD3-A70D-9C952FBBB56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 quarterly data 2014-22'!$J$1</c15:sqref>
                        </c15:formulaRef>
                      </c:ext>
                    </c:extLst>
                    <c:strCache>
                      <c:ptCount val="1"/>
                      <c:pt idx="0">
                        <c:v>A047_NPdx_Q</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2014-22'!$J$2,' quarterly data 2014-22'!$J$5:$J$95)</c15:sqref>
                        </c15:formulaRef>
                      </c:ext>
                    </c:extLst>
                    <c:numCache>
                      <c:formatCode>General</c:formatCode>
                      <c:ptCount val="32"/>
                      <c:pt idx="0">
                        <c:v>1312</c:v>
                      </c:pt>
                      <c:pt idx="1">
                        <c:v>1317</c:v>
                      </c:pt>
                      <c:pt idx="2">
                        <c:v>1360</c:v>
                      </c:pt>
                      <c:pt idx="3">
                        <c:v>1327</c:v>
                      </c:pt>
                      <c:pt idx="4">
                        <c:v>1411</c:v>
                      </c:pt>
                      <c:pt idx="5">
                        <c:v>1248</c:v>
                      </c:pt>
                      <c:pt idx="6">
                        <c:v>1495</c:v>
                      </c:pt>
                      <c:pt idx="7">
                        <c:v>1447</c:v>
                      </c:pt>
                      <c:pt idx="8">
                        <c:v>1490</c:v>
                      </c:pt>
                      <c:pt idx="9">
                        <c:v>1415</c:v>
                      </c:pt>
                      <c:pt idx="10">
                        <c:v>1513</c:v>
                      </c:pt>
                      <c:pt idx="11">
                        <c:v>1424</c:v>
                      </c:pt>
                      <c:pt idx="12">
                        <c:v>1498</c:v>
                      </c:pt>
                      <c:pt idx="13">
                        <c:v>1444</c:v>
                      </c:pt>
                      <c:pt idx="14">
                        <c:v>1559</c:v>
                      </c:pt>
                      <c:pt idx="15">
                        <c:v>1398</c:v>
                      </c:pt>
                      <c:pt idx="16" formatCode="0">
                        <c:v>1036</c:v>
                      </c:pt>
                      <c:pt idx="17" formatCode="0">
                        <c:v>923</c:v>
                      </c:pt>
                      <c:pt idx="18" formatCode="0">
                        <c:v>1043</c:v>
                      </c:pt>
                      <c:pt idx="19" formatCode="0">
                        <c:v>1075</c:v>
                      </c:pt>
                      <c:pt idx="20">
                        <c:v>1093</c:v>
                      </c:pt>
                      <c:pt idx="21">
                        <c:v>1159</c:v>
                      </c:pt>
                      <c:pt idx="22">
                        <c:v>1304</c:v>
                      </c:pt>
                      <c:pt idx="23">
                        <c:v>1501</c:v>
                      </c:pt>
                      <c:pt idx="24">
                        <c:v>1560</c:v>
                      </c:pt>
                      <c:pt idx="25">
                        <c:v>1498</c:v>
                      </c:pt>
                      <c:pt idx="26">
                        <c:v>1521</c:v>
                      </c:pt>
                      <c:pt idx="27">
                        <c:v>1472</c:v>
                      </c:pt>
                      <c:pt idx="28">
                        <c:v>1392</c:v>
                      </c:pt>
                      <c:pt idx="29">
                        <c:v>1297</c:v>
                      </c:pt>
                      <c:pt idx="30">
                        <c:v>1493</c:v>
                      </c:pt>
                      <c:pt idx="31">
                        <c:v>1524</c:v>
                      </c:pt>
                    </c:numCache>
                  </c:numRef>
                </c:val>
                <c:smooth val="0"/>
                <c:extLst xmlns:c15="http://schemas.microsoft.com/office/drawing/2012/chart">
                  <c:ext xmlns:c16="http://schemas.microsoft.com/office/drawing/2014/chart" uri="{C3380CC4-5D6E-409C-BE32-E72D297353CC}">
                    <c16:uniqueId val="{0000000A-DFB6-4AD3-A70D-9C952FBBB56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 quarterly data 2014-22'!$K$1</c15:sqref>
                        </c15:formulaRef>
                      </c:ext>
                    </c:extLst>
                    <c:strCache>
                      <c:ptCount val="1"/>
                      <c:pt idx="0">
                        <c:v>Total_diag_Q</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2014-22'!$K$2,' quarterly data 2014-22'!$K$5:$K$95)</c15:sqref>
                        </c15:formulaRef>
                      </c:ext>
                    </c:extLst>
                    <c:numCache>
                      <c:formatCode>General</c:formatCode>
                      <c:ptCount val="32"/>
                      <c:pt idx="0">
                        <c:v>1941</c:v>
                      </c:pt>
                      <c:pt idx="1">
                        <c:v>1896</c:v>
                      </c:pt>
                      <c:pt idx="2">
                        <c:v>1936</c:v>
                      </c:pt>
                      <c:pt idx="3">
                        <c:v>1981</c:v>
                      </c:pt>
                      <c:pt idx="4">
                        <c:v>2012</c:v>
                      </c:pt>
                      <c:pt idx="5">
                        <c:v>1852</c:v>
                      </c:pt>
                      <c:pt idx="6">
                        <c:v>2069</c:v>
                      </c:pt>
                      <c:pt idx="7">
                        <c:v>2162</c:v>
                      </c:pt>
                      <c:pt idx="8">
                        <c:v>2190</c:v>
                      </c:pt>
                      <c:pt idx="9">
                        <c:v>2042</c:v>
                      </c:pt>
                      <c:pt idx="10">
                        <c:v>2137</c:v>
                      </c:pt>
                      <c:pt idx="11">
                        <c:v>2127</c:v>
                      </c:pt>
                      <c:pt idx="12">
                        <c:v>2232</c:v>
                      </c:pt>
                      <c:pt idx="13">
                        <c:v>2093</c:v>
                      </c:pt>
                      <c:pt idx="14">
                        <c:v>2165</c:v>
                      </c:pt>
                      <c:pt idx="15">
                        <c:v>2117</c:v>
                      </c:pt>
                      <c:pt idx="16" formatCode="0">
                        <c:v>1756</c:v>
                      </c:pt>
                      <c:pt idx="17" formatCode="0">
                        <c:v>1469</c:v>
                      </c:pt>
                      <c:pt idx="18" formatCode="0">
                        <c:v>1623</c:v>
                      </c:pt>
                      <c:pt idx="19" formatCode="0">
                        <c:v>1873</c:v>
                      </c:pt>
                      <c:pt idx="20">
                        <c:v>1896</c:v>
                      </c:pt>
                      <c:pt idx="21">
                        <c:v>1971</c:v>
                      </c:pt>
                      <c:pt idx="22">
                        <c:v>2172</c:v>
                      </c:pt>
                      <c:pt idx="23">
                        <c:v>2569</c:v>
                      </c:pt>
                      <c:pt idx="24">
                        <c:v>2526</c:v>
                      </c:pt>
                      <c:pt idx="25">
                        <c:v>2417</c:v>
                      </c:pt>
                      <c:pt idx="26">
                        <c:v>2383</c:v>
                      </c:pt>
                      <c:pt idx="27">
                        <c:v>2419</c:v>
                      </c:pt>
                      <c:pt idx="28">
                        <c:v>2269</c:v>
                      </c:pt>
                      <c:pt idx="29">
                        <c:v>2067</c:v>
                      </c:pt>
                      <c:pt idx="30">
                        <c:v>2305</c:v>
                      </c:pt>
                      <c:pt idx="31">
                        <c:v>2454</c:v>
                      </c:pt>
                    </c:numCache>
                  </c:numRef>
                </c:val>
                <c:smooth val="0"/>
                <c:extLst xmlns:c15="http://schemas.microsoft.com/office/drawing/2012/chart">
                  <c:ext xmlns:c16="http://schemas.microsoft.com/office/drawing/2014/chart" uri="{C3380CC4-5D6E-409C-BE32-E72D297353CC}">
                    <c16:uniqueId val="{0000000B-DFB6-4AD3-A70D-9C952FBBB56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 quarterly data 2014-22'!$L$1</c15:sqref>
                        </c15:formulaRef>
                      </c:ext>
                    </c:extLst>
                    <c:strCache>
                      <c:ptCount val="1"/>
                      <c:pt idx="0">
                        <c:v>beddays_pdiag_Q</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2014-22'!$L$2,' quarterly data 2014-22'!$L$5:$L$95)</c15:sqref>
                        </c15:formulaRef>
                      </c:ext>
                    </c:extLst>
                    <c:numCache>
                      <c:formatCode>General</c:formatCode>
                      <c:ptCount val="32"/>
                      <c:pt idx="0">
                        <c:v>4678</c:v>
                      </c:pt>
                      <c:pt idx="1">
                        <c:v>3135</c:v>
                      </c:pt>
                      <c:pt idx="2">
                        <c:v>0</c:v>
                      </c:pt>
                      <c:pt idx="3">
                        <c:v>0</c:v>
                      </c:pt>
                      <c:pt idx="4">
                        <c:v>4601</c:v>
                      </c:pt>
                      <c:pt idx="5">
                        <c:v>4527</c:v>
                      </c:pt>
                      <c:pt idx="6">
                        <c:v>4231</c:v>
                      </c:pt>
                      <c:pt idx="7">
                        <c:v>5427</c:v>
                      </c:pt>
                      <c:pt idx="8">
                        <c:v>4843</c:v>
                      </c:pt>
                      <c:pt idx="9">
                        <c:v>4489</c:v>
                      </c:pt>
                      <c:pt idx="10">
                        <c:v>4484</c:v>
                      </c:pt>
                      <c:pt idx="11">
                        <c:v>4784</c:v>
                      </c:pt>
                      <c:pt idx="12">
                        <c:v>5203</c:v>
                      </c:pt>
                      <c:pt idx="13">
                        <c:v>4687</c:v>
                      </c:pt>
                      <c:pt idx="14">
                        <c:v>4309</c:v>
                      </c:pt>
                      <c:pt idx="15">
                        <c:v>7699</c:v>
                      </c:pt>
                      <c:pt idx="16" formatCode="0">
                        <c:v>4749</c:v>
                      </c:pt>
                      <c:pt idx="17" formatCode="0">
                        <c:v>4043</c:v>
                      </c:pt>
                      <c:pt idx="18" formatCode="0">
                        <c:v>4425</c:v>
                      </c:pt>
                      <c:pt idx="19" formatCode="0">
                        <c:v>6082</c:v>
                      </c:pt>
                      <c:pt idx="20">
                        <c:v>6034</c:v>
                      </c:pt>
                      <c:pt idx="21">
                        <c:v>6154</c:v>
                      </c:pt>
                      <c:pt idx="22">
                        <c:v>6140</c:v>
                      </c:pt>
                      <c:pt idx="23">
                        <c:v>8140</c:v>
                      </c:pt>
                      <c:pt idx="24">
                        <c:v>7422</c:v>
                      </c:pt>
                      <c:pt idx="25">
                        <c:v>6815</c:v>
                      </c:pt>
                      <c:pt idx="26">
                        <c:v>6482</c:v>
                      </c:pt>
                      <c:pt idx="27">
                        <c:v>7220</c:v>
                      </c:pt>
                      <c:pt idx="28">
                        <c:v>6451</c:v>
                      </c:pt>
                      <c:pt idx="29">
                        <c:v>5568</c:v>
                      </c:pt>
                      <c:pt idx="30">
                        <c:v>6041</c:v>
                      </c:pt>
                      <c:pt idx="31">
                        <c:v>7117</c:v>
                      </c:pt>
                    </c:numCache>
                  </c:numRef>
                </c:val>
                <c:smooth val="0"/>
                <c:extLst xmlns:c15="http://schemas.microsoft.com/office/drawing/2012/chart">
                  <c:ext xmlns:c16="http://schemas.microsoft.com/office/drawing/2014/chart" uri="{C3380CC4-5D6E-409C-BE32-E72D297353CC}">
                    <c16:uniqueId val="{0000000C-DFB6-4AD3-A70D-9C952FBBB56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 quarterly data 2014-22'!$M$1</c15:sqref>
                        </c15:formulaRef>
                      </c:ext>
                    </c:extLst>
                    <c:strCache>
                      <c:ptCount val="1"/>
                      <c:pt idx="0">
                        <c:v>Total_bed_days_M</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2014-22'!$M$2,' quarterly data 2014-22'!$M$5:$M$73)</c15:sqref>
                        </c15:formulaRef>
                      </c:ext>
                    </c:extLst>
                    <c:numCache>
                      <c:formatCode>General</c:formatCode>
                      <c:ptCount val="24"/>
                      <c:pt idx="0">
                        <c:v>1527194</c:v>
                      </c:pt>
                      <c:pt idx="1">
                        <c:v>1543854</c:v>
                      </c:pt>
                      <c:pt idx="2">
                        <c:v>1716033</c:v>
                      </c:pt>
                      <c:pt idx="3">
                        <c:v>1688327</c:v>
                      </c:pt>
                      <c:pt idx="4">
                        <c:v>1628985</c:v>
                      </c:pt>
                      <c:pt idx="5">
                        <c:v>1616750</c:v>
                      </c:pt>
                      <c:pt idx="6">
                        <c:v>1784068</c:v>
                      </c:pt>
                      <c:pt idx="7">
                        <c:v>1731267</c:v>
                      </c:pt>
                      <c:pt idx="8">
                        <c:v>1696751</c:v>
                      </c:pt>
                      <c:pt idx="9">
                        <c:v>1669996</c:v>
                      </c:pt>
                      <c:pt idx="10">
                        <c:v>1815103</c:v>
                      </c:pt>
                      <c:pt idx="11">
                        <c:v>1830040</c:v>
                      </c:pt>
                      <c:pt idx="12">
                        <c:v>1762430</c:v>
                      </c:pt>
                      <c:pt idx="13">
                        <c:v>1754268</c:v>
                      </c:pt>
                      <c:pt idx="14">
                        <c:v>1908618</c:v>
                      </c:pt>
                      <c:pt idx="15">
                        <c:v>1872666</c:v>
                      </c:pt>
                      <c:pt idx="16">
                        <c:v>1797582</c:v>
                      </c:pt>
                      <c:pt idx="17">
                        <c:v>1411731</c:v>
                      </c:pt>
                      <c:pt idx="18">
                        <c:v>1820733</c:v>
                      </c:pt>
                      <c:pt idx="19">
                        <c:v>1801504</c:v>
                      </c:pt>
                      <c:pt idx="20">
                        <c:v>1752505</c:v>
                      </c:pt>
                      <c:pt idx="21">
                        <c:v>1819553</c:v>
                      </c:pt>
                      <c:pt idx="22">
                        <c:v>1838932</c:v>
                      </c:pt>
                      <c:pt idx="23">
                        <c:v>1784739</c:v>
                      </c:pt>
                    </c:numCache>
                  </c:numRef>
                </c:val>
                <c:smooth val="0"/>
                <c:extLst xmlns:c15="http://schemas.microsoft.com/office/drawing/2012/chart">
                  <c:ext xmlns:c16="http://schemas.microsoft.com/office/drawing/2014/chart" uri="{C3380CC4-5D6E-409C-BE32-E72D297353CC}">
                    <c16:uniqueId val="{0000000D-DFB6-4AD3-A70D-9C952FBBB56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 quarterly data 2014-22'!$N$1</c15:sqref>
                        </c15:formulaRef>
                      </c:ext>
                    </c:extLst>
                    <c:strCache>
                      <c:ptCount val="1"/>
                      <c:pt idx="0">
                        <c:v>Total_bed_days_Q</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2014-22'!$N$2,' quarterly data 2014-22'!$N$5:$N$73)</c15:sqref>
                        </c15:formulaRef>
                      </c:ext>
                    </c:extLst>
                    <c:numCache>
                      <c:formatCode>General</c:formatCode>
                      <c:ptCount val="24"/>
                      <c:pt idx="0">
                        <c:v>4768117</c:v>
                      </c:pt>
                      <c:pt idx="1">
                        <c:v>4804825</c:v>
                      </c:pt>
                      <c:pt idx="2">
                        <c:v>5241299</c:v>
                      </c:pt>
                      <c:pt idx="3">
                        <c:v>5000028</c:v>
                      </c:pt>
                      <c:pt idx="4">
                        <c:v>5046479</c:v>
                      </c:pt>
                      <c:pt idx="5">
                        <c:v>5233975</c:v>
                      </c:pt>
                      <c:pt idx="6">
                        <c:v>5376744</c:v>
                      </c:pt>
                      <c:pt idx="7">
                        <c:v>5034603</c:v>
                      </c:pt>
                      <c:pt idx="8">
                        <c:v>5078368</c:v>
                      </c:pt>
                      <c:pt idx="9">
                        <c:v>5267352</c:v>
                      </c:pt>
                      <c:pt idx="10">
                        <c:v>5384872</c:v>
                      </c:pt>
                      <c:pt idx="11">
                        <c:v>5244721</c:v>
                      </c:pt>
                      <c:pt idx="12">
                        <c:v>5231931</c:v>
                      </c:pt>
                      <c:pt idx="13">
                        <c:v>5409649</c:v>
                      </c:pt>
                      <c:pt idx="14">
                        <c:v>5573629</c:v>
                      </c:pt>
                      <c:pt idx="15">
                        <c:v>5350808</c:v>
                      </c:pt>
                      <c:pt idx="16">
                        <c:v>5141665</c:v>
                      </c:pt>
                      <c:pt idx="17">
                        <c:v>4779382</c:v>
                      </c:pt>
                      <c:pt idx="18">
                        <c:v>5309230</c:v>
                      </c:pt>
                      <c:pt idx="19">
                        <c:v>5331321</c:v>
                      </c:pt>
                      <c:pt idx="20">
                        <c:v>5441417</c:v>
                      </c:pt>
                      <c:pt idx="21">
                        <c:v>5595583</c:v>
                      </c:pt>
                      <c:pt idx="22">
                        <c:v>5544303</c:v>
                      </c:pt>
                      <c:pt idx="23">
                        <c:v>5294701</c:v>
                      </c:pt>
                    </c:numCache>
                  </c:numRef>
                </c:val>
                <c:smooth val="0"/>
                <c:extLst xmlns:c15="http://schemas.microsoft.com/office/drawing/2012/chart">
                  <c:ext xmlns:c16="http://schemas.microsoft.com/office/drawing/2014/chart" uri="{C3380CC4-5D6E-409C-BE32-E72D297353CC}">
                    <c16:uniqueId val="{0000000E-DFB6-4AD3-A70D-9C952FBBB56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 quarterly data 2014-22'!$O$1</c15:sqref>
                        </c15:formulaRef>
                      </c:ext>
                    </c:extLst>
                    <c:strCache>
                      <c:ptCount val="1"/>
                      <c:pt idx="0">
                        <c:v>Q_Pdiag_10000bedays</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2014-22'!$O$2,' quarterly data 2014-22'!$O$5:$O$95)</c15:sqref>
                        </c15:formulaRef>
                      </c:ext>
                    </c:extLst>
                    <c:numCache>
                      <c:formatCode>0.00</c:formatCode>
                      <c:ptCount val="32"/>
                      <c:pt idx="0">
                        <c:v>1.3191790386016116</c:v>
                      </c:pt>
                      <c:pt idx="1">
                        <c:v>1.2050386850717769</c:v>
                      </c:pt>
                      <c:pt idx="2">
                        <c:v>1.0989642071555161</c:v>
                      </c:pt>
                      <c:pt idx="3">
                        <c:v>1.3079926752410187</c:v>
                      </c:pt>
                      <c:pt idx="4">
                        <c:v>1.1909293588658547</c:v>
                      </c:pt>
                      <c:pt idx="5">
                        <c:v>1.1539986339254582</c:v>
                      </c:pt>
                      <c:pt idx="6">
                        <c:v>1.0675605905730308</c:v>
                      </c:pt>
                      <c:pt idx="7">
                        <c:v>1.4201715606970402</c:v>
                      </c:pt>
                      <c:pt idx="8">
                        <c:v>1.378395579052168</c:v>
                      </c:pt>
                      <c:pt idx="9">
                        <c:v>1.19035143275027</c:v>
                      </c:pt>
                      <c:pt idx="10">
                        <c:v>1.1588019176686095</c:v>
                      </c:pt>
                      <c:pt idx="11">
                        <c:v>1.3403954185551528</c:v>
                      </c:pt>
                      <c:pt idx="12">
                        <c:v>1.4029237006374893</c:v>
                      </c:pt>
                      <c:pt idx="13">
                        <c:v>1.1997081511203407</c:v>
                      </c:pt>
                      <c:pt idx="14">
                        <c:v>1.0872628946060099</c:v>
                      </c:pt>
                      <c:pt idx="15">
                        <c:v>1.3437222939040234</c:v>
                      </c:pt>
                      <c:pt idx="16">
                        <c:v>1.4003246030225616</c:v>
                      </c:pt>
                      <c:pt idx="17">
                        <c:v>1.1424071145599997</c:v>
                      </c:pt>
                      <c:pt idx="18">
                        <c:v>1.0924371330682603</c:v>
                      </c:pt>
                      <c:pt idx="19">
                        <c:v>1.4968147669217442</c:v>
                      </c:pt>
                      <c:pt idx="20">
                        <c:v>1.4757185490470588</c:v>
                      </c:pt>
                      <c:pt idx="21">
                        <c:v>1.4511445902955957</c:v>
                      </c:pt>
                      <c:pt idx="22">
                        <c:v>1.5655710014405777</c:v>
                      </c:pt>
                      <c:pt idx="23">
                        <c:v>2.0171110701057531</c:v>
                      </c:pt>
                      <c:pt idx="24">
                        <c:v>1.8015927479186939</c:v>
                      </c:pt>
                      <c:pt idx="25">
                        <c:v>1.7628127375349734</c:v>
                      </c:pt>
                      <c:pt idx="26">
                        <c:v>1.3769009871008258</c:v>
                      </c:pt>
                      <c:pt idx="27">
                        <c:v>1.7314227520492438</c:v>
                      </c:pt>
                      <c:pt idx="28">
                        <c:v>1.4742809819882248</c:v>
                      </c:pt>
                      <c:pt idx="29">
                        <c:v>1.4767756592495473</c:v>
                      </c:pt>
                      <c:pt idx="30">
                        <c:v>1.308171006519804</c:v>
                      </c:pt>
                      <c:pt idx="31">
                        <c:v>1.4708461611167918</c:v>
                      </c:pt>
                    </c:numCache>
                  </c:numRef>
                </c:val>
                <c:smooth val="0"/>
                <c:extLst xmlns:c15="http://schemas.microsoft.com/office/drawing/2012/chart">
                  <c:ext xmlns:c16="http://schemas.microsoft.com/office/drawing/2014/chart" uri="{C3380CC4-5D6E-409C-BE32-E72D297353CC}">
                    <c16:uniqueId val="{0000000F-DFB6-4AD3-A70D-9C952FBBB56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 quarterly data 2014-22'!$P$1</c15:sqref>
                        </c15:formulaRef>
                      </c:ext>
                    </c:extLst>
                    <c:strCache>
                      <c:ptCount val="1"/>
                      <c:pt idx="0">
                        <c:v>Q_NPdx_10000bedays</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2014-22'!$P$2,' quarterly data 2014-22'!$P$5:$P$95)</c15:sqref>
                        </c15:formulaRef>
                      </c:ext>
                    </c:extLst>
                    <c:numCache>
                      <c:formatCode>0.00</c:formatCode>
                      <c:ptCount val="32"/>
                      <c:pt idx="0">
                        <c:v>2.7516103317095615</c:v>
                      </c:pt>
                      <c:pt idx="1">
                        <c:v>2.7409947292565287</c:v>
                      </c:pt>
                      <c:pt idx="2">
                        <c:v>2.5947766002283021</c:v>
                      </c:pt>
                      <c:pt idx="3">
                        <c:v>2.6539851376832289</c:v>
                      </c:pt>
                      <c:pt idx="4">
                        <c:v>2.7960088608314826</c:v>
                      </c:pt>
                      <c:pt idx="5">
                        <c:v>2.3844210184420063</c:v>
                      </c:pt>
                      <c:pt idx="6">
                        <c:v>2.7804931757956117</c:v>
                      </c:pt>
                      <c:pt idx="7">
                        <c:v>2.8741094382218417</c:v>
                      </c:pt>
                      <c:pt idx="8">
                        <c:v>2.9340134468396148</c:v>
                      </c:pt>
                      <c:pt idx="9">
                        <c:v>2.6863592940057925</c:v>
                      </c:pt>
                      <c:pt idx="10">
                        <c:v>2.8097232394753302</c:v>
                      </c:pt>
                      <c:pt idx="11">
                        <c:v>2.7151110611984892</c:v>
                      </c:pt>
                      <c:pt idx="12">
                        <c:v>2.8631876070231046</c:v>
                      </c:pt>
                      <c:pt idx="13">
                        <c:v>2.6693044225235316</c:v>
                      </c:pt>
                      <c:pt idx="14">
                        <c:v>2.7971004169814675</c:v>
                      </c:pt>
                      <c:pt idx="15">
                        <c:v>2.612689522778616</c:v>
                      </c:pt>
                      <c:pt idx="16">
                        <c:v>2.0149115121269081</c:v>
                      </c:pt>
                      <c:pt idx="17">
                        <c:v>1.9312120269942852</c:v>
                      </c:pt>
                      <c:pt idx="18">
                        <c:v>1.964503327224475</c:v>
                      </c:pt>
                      <c:pt idx="19">
                        <c:v>2.0163858075700185</c:v>
                      </c:pt>
                      <c:pt idx="20">
                        <c:v>2.0086679627751374</c:v>
                      </c:pt>
                      <c:pt idx="21">
                        <c:v>2.0712765765426053</c:v>
                      </c:pt>
                      <c:pt idx="22">
                        <c:v>2.3519638086157988</c:v>
                      </c:pt>
                      <c:pt idx="23">
                        <c:v>2.8349098466561191</c:v>
                      </c:pt>
                      <c:pt idx="24">
                        <c:v>3.7023022489591284</c:v>
                      </c:pt>
                      <c:pt idx="25">
                        <c:v>3.8275138949536118</c:v>
                      </c:pt>
                      <c:pt idx="26">
                        <c:v>3.3736614591695506</c:v>
                      </c:pt>
                      <c:pt idx="27">
                        <c:v>3.5992606300175187</c:v>
                      </c:pt>
                      <c:pt idx="28">
                        <c:v>3.3211239449843046</c:v>
                      </c:pt>
                      <c:pt idx="29">
                        <c:v>3.1715255855469984</c:v>
                      </c:pt>
                      <c:pt idx="30">
                        <c:v>3.3380915338781207</c:v>
                      </c:pt>
                      <c:pt idx="31">
                        <c:v>3.6998604465205895</c:v>
                      </c:pt>
                    </c:numCache>
                  </c:numRef>
                </c:val>
                <c:smooth val="0"/>
                <c:extLst xmlns:c15="http://schemas.microsoft.com/office/drawing/2012/chart">
                  <c:ext xmlns:c16="http://schemas.microsoft.com/office/drawing/2014/chart" uri="{C3380CC4-5D6E-409C-BE32-E72D297353CC}">
                    <c16:uniqueId val="{00000010-DFB6-4AD3-A70D-9C952FBBB56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 quarterly data 2014-22'!$S$1</c15:sqref>
                        </c15:formulaRef>
                      </c:ext>
                    </c:extLst>
                    <c:strCache>
                      <c:ptCount val="1"/>
                      <c:pt idx="0">
                        <c:v>SD</c:v>
                      </c:pt>
                    </c:strCache>
                  </c:strRef>
                </c:tx>
                <c:spPr>
                  <a:ln w="22225" cap="rnd">
                    <a:solidFill>
                      <a:srgbClr val="92D050"/>
                    </a:solidFill>
                    <a:prstDash val="sysDash"/>
                    <a:round/>
                  </a:ln>
                  <a:effectLst/>
                </c:spPr>
                <c:marker>
                  <c:symbol val="none"/>
                </c:marker>
                <c:cat>
                  <c:strRef>
                    <c:extLst xmlns:c15="http://schemas.microsoft.com/office/drawing/2012/chart">
                      <c:ext xmlns:c15="http://schemas.microsoft.com/office/drawing/2012/chart" uri="{02D57815-91ED-43cb-92C2-25804820EDAC}">
                        <c15:formulaRef>
                          <c15:sqref>(' quarterly data 2014-22'!$E$2,' quarterly data 2014-22'!$E$5:$E$95)</c15:sqref>
                        </c15:formulaRef>
                      </c:ext>
                    </c:extLst>
                    <c:strCache>
                      <c:ptCount val="3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pt idx="13">
                        <c:v>2019 Q2</c:v>
                      </c:pt>
                      <c:pt idx="14">
                        <c:v>2019 Q3</c:v>
                      </c:pt>
                      <c:pt idx="15">
                        <c:v>2019 Q4</c:v>
                      </c:pt>
                      <c:pt idx="16">
                        <c:v>2020 Q1</c:v>
                      </c:pt>
                      <c:pt idx="17">
                        <c:v>2020 Q2</c:v>
                      </c:pt>
                      <c:pt idx="18">
                        <c:v>2020 Q3</c:v>
                      </c:pt>
                      <c:pt idx="19">
                        <c:v>2020 Q4</c:v>
                      </c:pt>
                      <c:pt idx="20">
                        <c:v>2021 Q1</c:v>
                      </c:pt>
                      <c:pt idx="21">
                        <c:v>2021 Q2</c:v>
                      </c:pt>
                      <c:pt idx="22">
                        <c:v>2021 Q3</c:v>
                      </c:pt>
                      <c:pt idx="23">
                        <c:v>2021 Q4</c:v>
                      </c:pt>
                      <c:pt idx="24">
                        <c:v>2022 Q1</c:v>
                      </c:pt>
                      <c:pt idx="25">
                        <c:v>2022 Q2</c:v>
                      </c:pt>
                      <c:pt idx="26">
                        <c:v>2022 Q3</c:v>
                      </c:pt>
                      <c:pt idx="27">
                        <c:v>2022 Q4</c:v>
                      </c:pt>
                      <c:pt idx="28">
                        <c:v>2023 Q1</c:v>
                      </c:pt>
                      <c:pt idx="29">
                        <c:v>2023 Q2</c:v>
                      </c:pt>
                      <c:pt idx="30">
                        <c:v>2023 Q3</c:v>
                      </c:pt>
                      <c:pt idx="31">
                        <c:v>2023 Q4</c:v>
                      </c:pt>
                    </c:strCache>
                  </c:strRef>
                </c:cat>
                <c:val>
                  <c:numRef>
                    <c:extLst xmlns:c15="http://schemas.microsoft.com/office/drawing/2012/chart">
                      <c:ext xmlns:c15="http://schemas.microsoft.com/office/drawing/2012/chart" uri="{02D57815-91ED-43cb-92C2-25804820EDAC}">
                        <c15:formulaRef>
                          <c15:sqref>(' quarterly data 2014-22'!$S$2,' quarterly data 2014-22'!$S$5:$S$95)</c15:sqref>
                        </c15:formulaRef>
                      </c:ext>
                    </c:extLst>
                    <c:numCache>
                      <c:formatCode>0.00</c:formatCode>
                      <c:ptCount val="32"/>
                      <c:pt idx="0">
                        <c:v>0.71121012026828367</c:v>
                      </c:pt>
                      <c:pt idx="1">
                        <c:v>0.71121012026828367</c:v>
                      </c:pt>
                      <c:pt idx="2">
                        <c:v>0.71121012026828367</c:v>
                      </c:pt>
                      <c:pt idx="3">
                        <c:v>0.71121012026828367</c:v>
                      </c:pt>
                      <c:pt idx="4">
                        <c:v>0.71121012026828367</c:v>
                      </c:pt>
                      <c:pt idx="5">
                        <c:v>0.71121012026828367</c:v>
                      </c:pt>
                      <c:pt idx="6">
                        <c:v>0.71121012026828367</c:v>
                      </c:pt>
                      <c:pt idx="7">
                        <c:v>0.71121012026828367</c:v>
                      </c:pt>
                      <c:pt idx="8">
                        <c:v>0.71121012026828367</c:v>
                      </c:pt>
                      <c:pt idx="9">
                        <c:v>0.71121012026828367</c:v>
                      </c:pt>
                      <c:pt idx="10">
                        <c:v>0.71121012026828367</c:v>
                      </c:pt>
                      <c:pt idx="11">
                        <c:v>0.71121012026828367</c:v>
                      </c:pt>
                      <c:pt idx="12">
                        <c:v>0.71121012026828367</c:v>
                      </c:pt>
                      <c:pt idx="13">
                        <c:v>0.71121012026828367</c:v>
                      </c:pt>
                      <c:pt idx="14">
                        <c:v>0.71121012026828367</c:v>
                      </c:pt>
                      <c:pt idx="15">
                        <c:v>0.71121012026828367</c:v>
                      </c:pt>
                      <c:pt idx="16">
                        <c:v>0.71121012026828367</c:v>
                      </c:pt>
                      <c:pt idx="17">
                        <c:v>0.71121012026828367</c:v>
                      </c:pt>
                      <c:pt idx="18">
                        <c:v>0.71121012026828367</c:v>
                      </c:pt>
                      <c:pt idx="19">
                        <c:v>0.71121012026828367</c:v>
                      </c:pt>
                      <c:pt idx="20">
                        <c:v>0.71121012026828367</c:v>
                      </c:pt>
                      <c:pt idx="21">
                        <c:v>0.71121012026828367</c:v>
                      </c:pt>
                      <c:pt idx="22">
                        <c:v>0.71121012026828367</c:v>
                      </c:pt>
                      <c:pt idx="23">
                        <c:v>0.71121012026828367</c:v>
                      </c:pt>
                      <c:pt idx="24">
                        <c:v>0.71121012026828367</c:v>
                      </c:pt>
                      <c:pt idx="25">
                        <c:v>0.71121012026828367</c:v>
                      </c:pt>
                      <c:pt idx="26">
                        <c:v>0.71121012026828367</c:v>
                      </c:pt>
                      <c:pt idx="27">
                        <c:v>0.71121012026828367</c:v>
                      </c:pt>
                      <c:pt idx="28">
                        <c:v>0.71121012026828367</c:v>
                      </c:pt>
                      <c:pt idx="29">
                        <c:v>0.71121012026828367</c:v>
                      </c:pt>
                      <c:pt idx="30">
                        <c:v>0.71121012026828367</c:v>
                      </c:pt>
                      <c:pt idx="31">
                        <c:v>0.71121012026828367</c:v>
                      </c:pt>
                    </c:numCache>
                  </c:numRef>
                </c:val>
                <c:smooth val="0"/>
                <c:extLst xmlns:c15="http://schemas.microsoft.com/office/drawing/2012/chart">
                  <c:ext xmlns:c16="http://schemas.microsoft.com/office/drawing/2014/chart" uri="{C3380CC4-5D6E-409C-BE32-E72D297353CC}">
                    <c16:uniqueId val="{00000011-DFB6-4AD3-A70D-9C952FBBB563}"/>
                  </c:ext>
                </c:extLst>
              </c15:ser>
            </c15:filteredLineSeries>
          </c:ext>
        </c:extLst>
      </c:lineChart>
      <c:catAx>
        <c:axId val="820595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t>Year by quarter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A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0594008"/>
        <c:crosses val="autoZero"/>
        <c:auto val="1"/>
        <c:lblAlgn val="ctr"/>
        <c:lblOffset val="100"/>
        <c:noMultiLvlLbl val="0"/>
      </c:catAx>
      <c:valAx>
        <c:axId val="820594008"/>
        <c:scaling>
          <c:orientation val="minMax"/>
          <c:max val="1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a:solidFill>
                      <a:sysClr val="windowText" lastClr="000000"/>
                    </a:solidFill>
                  </a:rPr>
                  <a:t>Rate of diagnoses per 10,000 patient bed days </a:t>
                </a:r>
              </a:p>
            </c:rich>
          </c:tx>
          <c:layout>
            <c:manualLayout>
              <c:xMode val="edge"/>
              <c:yMode val="edge"/>
              <c:x val="7.1060567215519089E-3"/>
              <c:y val="3.5772348563511025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AU"/>
            </a:p>
          </c:tx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0595976"/>
        <c:crosses val="autoZero"/>
        <c:crossBetween val="between"/>
      </c:valAx>
      <c:spPr>
        <a:noFill/>
        <a:ln>
          <a:noFill/>
        </a:ln>
        <a:effectLst/>
      </c:spPr>
    </c:plotArea>
    <c:legend>
      <c:legendPos val="b"/>
      <c:layout>
        <c:manualLayout>
          <c:xMode val="edge"/>
          <c:yMode val="edge"/>
          <c:x val="7.2123034925512357E-3"/>
          <c:y val="0.77298757289445319"/>
          <c:w val="0.9927876965074488"/>
          <c:h val="0.218376476217179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mn-lt"/>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21502873541249"/>
          <c:y val="2.1539292882507333E-2"/>
          <c:w val="0.69074501251143594"/>
          <c:h val="0.69333734753744014"/>
        </c:manualLayout>
      </c:layout>
      <c:lineChart>
        <c:grouping val="standard"/>
        <c:varyColors val="0"/>
        <c:ser>
          <c:idx val="0"/>
          <c:order val="0"/>
          <c:tx>
            <c:strRef>
              <c:f>'Monthly data good COF '!$E$34</c:f>
              <c:strCache>
                <c:ptCount val="1"/>
                <c:pt idx="0">
                  <c:v>Rate of non-principal diagnoses</c:v>
                </c:pt>
              </c:strCache>
            </c:strRef>
          </c:tx>
          <c:spPr>
            <a:ln w="28575" cap="rnd">
              <a:solidFill>
                <a:srgbClr val="C94500"/>
              </a:solidFill>
              <a:round/>
            </a:ln>
            <a:effectLst/>
          </c:spPr>
          <c:marker>
            <c:symbol val="diamond"/>
            <c:size val="7"/>
            <c:spPr>
              <a:solidFill>
                <a:srgbClr val="C94500"/>
              </a:solidFill>
              <a:ln w="9525">
                <a:solidFill>
                  <a:srgbClr val="C94500"/>
                </a:solidFill>
              </a:ln>
              <a:effectLst/>
            </c:spPr>
          </c:marker>
          <c:cat>
            <c:strRef>
              <c:f>('Monthly data good COF '!$D$35,'Monthly data good COF '!$D$38,'Monthly data good COF '!$D$41,'Monthly data good COF '!$D$44,'Monthly data good COF '!$D$47,'Monthly data good COF '!$D$50,'Monthly data good COF '!$D$53,'Monthly data good COF '!$D$56,'Monthly data good COF '!$D$59,'Monthly data good COF '!$D$62,'Monthly data good COF '!$D$65,'Monthly data good COF '!$D$68,'Monthly data good COF '!$D$71,'Monthly data good COF '!$D$74,'Monthly data good COF '!$D$77,'Monthly data good COF '!$D$80)</c:f>
              <c:strCache>
                <c:ptCount val="16"/>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pt idx="15">
                  <c:v>Q4 2023</c:v>
                </c:pt>
              </c:strCache>
              <c:extLst/>
            </c:strRef>
          </c:cat>
          <c:val>
            <c:numRef>
              <c:f>('Monthly data good COF '!$E$35,'Monthly data good COF '!$E$38,'Monthly data good COF '!$E$41,'Monthly data good COF '!$E$44,'Monthly data good COF '!$E$47,'Monthly data good COF '!$E$50,'Monthly data good COF '!$E$53,'Monthly data good COF '!$E$56,'Monthly data good COF '!$E$59,'Monthly data good COF '!$E$62,'Monthly data good COF '!$E$65,'Monthly data good COF '!$E$68,'Monthly data good COF '!$E$71,'Monthly data good COF '!$E$74,'Monthly data good COF '!$E$77,'Monthly data good COF '!$E$80)</c:f>
              <c:numCache>
                <c:formatCode>0.00</c:formatCode>
                <c:ptCount val="16"/>
                <c:pt idx="0">
                  <c:v>2.564556164892617</c:v>
                </c:pt>
                <c:pt idx="1">
                  <c:v>2.5996453998672555</c:v>
                </c:pt>
                <c:pt idx="2">
                  <c:v>2.4935012437298605</c:v>
                </c:pt>
                <c:pt idx="3">
                  <c:v>2.6033802866937847</c:v>
                </c:pt>
                <c:pt idx="4">
                  <c:v>2.773173257708252</c:v>
                </c:pt>
                <c:pt idx="5">
                  <c:v>2.9457784411885779</c:v>
                </c:pt>
                <c:pt idx="6">
                  <c:v>3.0724355223575421</c:v>
                </c:pt>
                <c:pt idx="7">
                  <c:v>3.6195768681022824</c:v>
                </c:pt>
                <c:pt idx="8">
                  <c:v>3.7023022489591284</c:v>
                </c:pt>
                <c:pt idx="9">
                  <c:v>3.8275138949536118</c:v>
                </c:pt>
                <c:pt idx="10">
                  <c:v>3.3736614591695506</c:v>
                </c:pt>
                <c:pt idx="11">
                  <c:v>3.5992606300175187</c:v>
                </c:pt>
                <c:pt idx="12">
                  <c:v>3.3211239449843046</c:v>
                </c:pt>
                <c:pt idx="13">
                  <c:v>3.1715255855469984</c:v>
                </c:pt>
                <c:pt idx="14">
                  <c:v>3.3380915338781207</c:v>
                </c:pt>
                <c:pt idx="15">
                  <c:v>3.6998604465205895</c:v>
                </c:pt>
              </c:numCache>
              <c:extLst/>
            </c:numRef>
          </c:val>
          <c:smooth val="0"/>
          <c:extLst>
            <c:ext xmlns:c16="http://schemas.microsoft.com/office/drawing/2014/chart" uri="{C3380CC4-5D6E-409C-BE32-E72D297353CC}">
              <c16:uniqueId val="{00000000-FA10-4369-9034-4185E1994D48}"/>
            </c:ext>
          </c:extLst>
        </c:ser>
        <c:ser>
          <c:idx val="1"/>
          <c:order val="1"/>
          <c:tx>
            <c:strRef>
              <c:f>'Monthly data good COF '!$F$34</c:f>
              <c:strCache>
                <c:ptCount val="1"/>
                <c:pt idx="0">
                  <c:v>Rate of non-principal diagnoses, with COF2</c:v>
                </c:pt>
              </c:strCache>
            </c:strRef>
          </c:tx>
          <c:spPr>
            <a:ln w="28575" cap="rnd">
              <a:solidFill>
                <a:schemeClr val="accent6">
                  <a:lumMod val="75000"/>
                </a:schemeClr>
              </a:solidFill>
              <a:round/>
            </a:ln>
            <a:effectLst/>
          </c:spPr>
          <c:marker>
            <c:symbol val="diamond"/>
            <c:size val="7"/>
            <c:spPr>
              <a:solidFill>
                <a:schemeClr val="accent6">
                  <a:lumMod val="75000"/>
                </a:schemeClr>
              </a:solidFill>
              <a:ln w="9525">
                <a:solidFill>
                  <a:schemeClr val="accent6">
                    <a:lumMod val="75000"/>
                  </a:schemeClr>
                </a:solidFill>
              </a:ln>
              <a:effectLst/>
            </c:spPr>
          </c:marker>
          <c:cat>
            <c:strRef>
              <c:f>('Monthly data good COF '!$D$35,'Monthly data good COF '!$D$38,'Monthly data good COF '!$D$41,'Monthly data good COF '!$D$44,'Monthly data good COF '!$D$47,'Monthly data good COF '!$D$50,'Monthly data good COF '!$D$53,'Monthly data good COF '!$D$56,'Monthly data good COF '!$D$59,'Monthly data good COF '!$D$62,'Monthly data good COF '!$D$65,'Monthly data good COF '!$D$68,'Monthly data good COF '!$D$71,'Monthly data good COF '!$D$74,'Monthly data good COF '!$D$77,'Monthly data good COF '!$D$80)</c:f>
              <c:strCache>
                <c:ptCount val="16"/>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pt idx="15">
                  <c:v>Q4 2023</c:v>
                </c:pt>
              </c:strCache>
              <c:extLst/>
            </c:strRef>
          </c:cat>
          <c:val>
            <c:numRef>
              <c:f>('Monthly data good COF '!$F$35,'Monthly data good COF '!$F$38,'Monthly data good COF '!$F$41,'Monthly data good COF '!$F$44,'Monthly data good COF '!$F$47,'Monthly data good COF '!$F$50,'Monthly data good COF '!$F$53,'Monthly data good COF '!$F$56,'Monthly data good COF '!$F$59,'Monthly data good COF '!$F$62,'Monthly data good COF '!$F$65,'Monthly data good COF '!$F$68,'Monthly data good COF '!$F$71,'Monthly data good COF '!$F$74,'Monthly data good COF '!$F$77,'Monthly data good COF '!$F$80)</c:f>
              <c:numCache>
                <c:formatCode>0.00</c:formatCode>
                <c:ptCount val="16"/>
                <c:pt idx="0">
                  <c:v>1.8747406237935182</c:v>
                </c:pt>
                <c:pt idx="1">
                  <c:v>1.8133766277003198</c:v>
                </c:pt>
                <c:pt idx="2">
                  <c:v>1.8948412534951584</c:v>
                </c:pt>
                <c:pt idx="3">
                  <c:v>1.9539229443842479</c:v>
                </c:pt>
                <c:pt idx="4">
                  <c:v>2.0085534706035078</c:v>
                </c:pt>
                <c:pt idx="5">
                  <c:v>2.1873504096885337</c:v>
                </c:pt>
                <c:pt idx="6">
                  <c:v>2.2458687977586993</c:v>
                </c:pt>
                <c:pt idx="7">
                  <c:v>2.5886137973115395</c:v>
                </c:pt>
                <c:pt idx="8">
                  <c:v>2.6411699508322601</c:v>
                </c:pt>
                <c:pt idx="9">
                  <c:v>2.7062140496714271</c:v>
                </c:pt>
                <c:pt idx="10">
                  <c:v>2.3879832617615797</c:v>
                </c:pt>
                <c:pt idx="11">
                  <c:v>2.5709004500125134</c:v>
                </c:pt>
                <c:pt idx="12">
                  <c:v>2.4589090746518405</c:v>
                </c:pt>
                <c:pt idx="13">
                  <c:v>2.0980023203360729</c:v>
                </c:pt>
                <c:pt idx="14">
                  <c:v>2.4158560350289098</c:v>
                </c:pt>
                <c:pt idx="15">
                  <c:v>2.5373359892805136</c:v>
                </c:pt>
              </c:numCache>
              <c:extLst/>
            </c:numRef>
          </c:val>
          <c:smooth val="0"/>
          <c:extLst>
            <c:ext xmlns:c16="http://schemas.microsoft.com/office/drawing/2014/chart" uri="{C3380CC4-5D6E-409C-BE32-E72D297353CC}">
              <c16:uniqueId val="{00000001-FA10-4369-9034-4185E1994D48}"/>
            </c:ext>
          </c:extLst>
        </c:ser>
        <c:ser>
          <c:idx val="2"/>
          <c:order val="2"/>
          <c:tx>
            <c:strRef>
              <c:f>'Monthly data good COF '!$G$34</c:f>
              <c:strCache>
                <c:ptCount val="1"/>
                <c:pt idx="0">
                  <c:v>Rate of non-principal diagnoses, with COF1</c:v>
                </c:pt>
              </c:strCache>
            </c:strRef>
          </c:tx>
          <c:spPr>
            <a:ln w="28575" cap="rnd">
              <a:solidFill>
                <a:srgbClr val="FF9900"/>
              </a:solidFill>
              <a:round/>
            </a:ln>
            <a:effectLst/>
          </c:spPr>
          <c:marker>
            <c:symbol val="diamond"/>
            <c:size val="7"/>
            <c:spPr>
              <a:solidFill>
                <a:srgbClr val="FF9900"/>
              </a:solidFill>
              <a:ln w="9525">
                <a:solidFill>
                  <a:srgbClr val="FF9900"/>
                </a:solidFill>
              </a:ln>
              <a:effectLst/>
            </c:spPr>
          </c:marker>
          <c:cat>
            <c:strRef>
              <c:f>('Monthly data good COF '!$D$35,'Monthly data good COF '!$D$38,'Monthly data good COF '!$D$41,'Monthly data good COF '!$D$44,'Monthly data good COF '!$D$47,'Monthly data good COF '!$D$50,'Monthly data good COF '!$D$53,'Monthly data good COF '!$D$56,'Monthly data good COF '!$D$59,'Monthly data good COF '!$D$62,'Monthly data good COF '!$D$65,'Monthly data good COF '!$D$68,'Monthly data good COF '!$D$71,'Monthly data good COF '!$D$74,'Monthly data good COF '!$D$77,'Monthly data good COF '!$D$80)</c:f>
              <c:strCache>
                <c:ptCount val="16"/>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pt idx="15">
                  <c:v>Q4 2023</c:v>
                </c:pt>
              </c:strCache>
              <c:extLst/>
            </c:strRef>
          </c:cat>
          <c:val>
            <c:numRef>
              <c:f>('Monthly data good COF '!$G$35,'Monthly data good COF '!$G$38,'Monthly data good COF '!$G$41,'Monthly data good COF '!$G$44,'Monthly data good COF '!$G$47,'Monthly data good COF '!$G$50,'Monthly data good COF '!$G$53,'Monthly data good COF '!$G$56,'Monthly data good COF '!$G$59,'Monthly data good COF '!$G$62,'Monthly data good COF '!$G$65,'Monthly data good COF '!$G$68,'Monthly data good COF '!$G$71,'Monthly data good COF '!$G$74,'Monthly data good COF '!$G$77,'Monthly data good COF '!$G$80)</c:f>
              <c:numCache>
                <c:formatCode>0.00</c:formatCode>
                <c:ptCount val="16"/>
                <c:pt idx="0">
                  <c:v>0.68981554109909859</c:v>
                </c:pt>
                <c:pt idx="1">
                  <c:v>0.78626877216693547</c:v>
                </c:pt>
                <c:pt idx="2">
                  <c:v>0.59865999023470218</c:v>
                </c:pt>
                <c:pt idx="3">
                  <c:v>0.64945734230953689</c:v>
                </c:pt>
                <c:pt idx="4">
                  <c:v>0.76461978710474443</c:v>
                </c:pt>
                <c:pt idx="5">
                  <c:v>0.75842803150004423</c:v>
                </c:pt>
                <c:pt idx="6">
                  <c:v>0.82656672459884328</c:v>
                </c:pt>
                <c:pt idx="7">
                  <c:v>1.0309630707907431</c:v>
                </c:pt>
                <c:pt idx="8">
                  <c:v>0.93286355879285121</c:v>
                </c:pt>
                <c:pt idx="9">
                  <c:v>1.0242642817481495</c:v>
                </c:pt>
                <c:pt idx="10">
                  <c:v>0.88914270384739669</c:v>
                </c:pt>
                <c:pt idx="11">
                  <c:v>0.91817873214732626</c:v>
                </c:pt>
                <c:pt idx="12">
                  <c:v>0.72383470595811805</c:v>
                </c:pt>
                <c:pt idx="13">
                  <c:v>0.91549192160119541</c:v>
                </c:pt>
                <c:pt idx="14">
                  <c:v>0.77688316479145458</c:v>
                </c:pt>
                <c:pt idx="15">
                  <c:v>1.0209997407065015</c:v>
                </c:pt>
              </c:numCache>
              <c:extLst/>
            </c:numRef>
          </c:val>
          <c:smooth val="0"/>
          <c:extLst>
            <c:ext xmlns:c16="http://schemas.microsoft.com/office/drawing/2014/chart" uri="{C3380CC4-5D6E-409C-BE32-E72D297353CC}">
              <c16:uniqueId val="{00000002-FA10-4369-9034-4185E1994D48}"/>
            </c:ext>
          </c:extLst>
        </c:ser>
        <c:dLbls>
          <c:showLegendKey val="0"/>
          <c:showVal val="0"/>
          <c:showCatName val="0"/>
          <c:showSerName val="0"/>
          <c:showPercent val="0"/>
          <c:showBubbleSize val="0"/>
        </c:dLbls>
        <c:marker val="1"/>
        <c:smooth val="0"/>
        <c:axId val="580672072"/>
        <c:axId val="576422272"/>
        <c:extLst>
          <c:ext xmlns:c15="http://schemas.microsoft.com/office/drawing/2012/chart" uri="{02D57815-91ED-43cb-92C2-25804820EDAC}">
            <c15:filteredLineSeries>
              <c15:ser>
                <c:idx val="3"/>
                <c:order val="3"/>
                <c:tx>
                  <c:strRef>
                    <c:extLst>
                      <c:ext uri="{02D57815-91ED-43cb-92C2-25804820EDAC}">
                        <c15:formulaRef>
                          <c15:sqref>'Monthly data good COF '!$H$34</c15:sqref>
                        </c15:formulaRef>
                      </c:ext>
                    </c:extLst>
                    <c:strCache>
                      <c:ptCount val="1"/>
                      <c:pt idx="0">
                        <c:v>Estimated rate of pre-existing CDI diagnoses</c:v>
                      </c:pt>
                    </c:strCache>
                  </c:strRef>
                </c:tx>
                <c:spPr>
                  <a:ln w="28575" cap="rnd">
                    <a:solidFill>
                      <a:schemeClr val="accent4"/>
                    </a:solidFill>
                    <a:round/>
                  </a:ln>
                  <a:effectLst/>
                </c:spPr>
                <c:marker>
                  <c:symbol val="none"/>
                </c:marker>
                <c:cat>
                  <c:strRef>
                    <c:extLst>
                      <c:ext uri="{02D57815-91ED-43cb-92C2-25804820EDAC}">
                        <c15:formulaRef>
                          <c15:sqref>('Monthly data good COF '!$D$35,'Monthly data good COF '!$D$38,'Monthly data good COF '!$D$41,'Monthly data good COF '!$D$44,'Monthly data good COF '!$D$47,'Monthly data good COF '!$D$50,'Monthly data good COF '!$D$53,'Monthly data good COF '!$D$56,'Monthly data good COF '!$D$59,'Monthly data good COF '!$D$62,'Monthly data good COF '!$D$65,'Monthly data good COF '!$D$68,'Monthly data good COF '!$D$71,'Monthly data good COF '!$D$74,'Monthly data good COF '!$D$77,'Monthly data good COF '!$D$80)</c15:sqref>
                        </c15:formulaRef>
                      </c:ext>
                    </c:extLst>
                    <c:strCache>
                      <c:ptCount val="16"/>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pt idx="15">
                        <c:v>Q4 2023</c:v>
                      </c:pt>
                    </c:strCache>
                  </c:strRef>
                </c:cat>
                <c:val>
                  <c:numRef>
                    <c:extLst>
                      <c:ext uri="{02D57815-91ED-43cb-92C2-25804820EDAC}">
                        <c15:formulaRef>
                          <c15:sqref>('Monthly data good COF '!$H$35,'Monthly data good COF '!$H$38,'Monthly data good COF '!$H$41,'Monthly data good COF '!$H$44,'Monthly data good COF '!$H$47,'Monthly data good COF '!$H$50,'Monthly data good COF '!$H$53,'Monthly data good COF '!$H$56,'Monthly data good COF '!$H$59,'Monthly data good COF '!$H$62,'Monthly data good COF '!$H$65,'Monthly data good COF '!$H$68,'Monthly data good COF '!$H$71,'Monthly data good COF '!$H$74,'Monthly data good COF '!$H$77,'Monthly data good COF '!$H$80)</c15:sqref>
                        </c15:formulaRef>
                      </c:ext>
                    </c:extLst>
                    <c:numCache>
                      <c:formatCode>0.00</c:formatCode>
                      <c:ptCount val="16"/>
                      <c:pt idx="0">
                        <c:v>3.271060791663468</c:v>
                      </c:pt>
                      <c:pt idx="1">
                        <c:v>2.9750710298208372</c:v>
                      </c:pt>
                      <c:pt idx="2">
                        <c:v>2.9438693097779849</c:v>
                      </c:pt>
                      <c:pt idx="3">
                        <c:v>3.2250830417251364</c:v>
                      </c:pt>
                      <c:pt idx="4">
                        <c:v>3.423670688528706</c:v>
                      </c:pt>
                      <c:pt idx="5">
                        <c:v>3.5778018007719479</c:v>
                      </c:pt>
                      <c:pt idx="6">
                        <c:v>3.6923605658066747</c:v>
                      </c:pt>
                      <c:pt idx="7">
                        <c:v>4.4824481338727962</c:v>
                      </c:pt>
                      <c:pt idx="8">
                        <c:v>4.4427626987509541</c:v>
                      </c:pt>
                      <c:pt idx="9">
                        <c:v>4.4690267872064</c:v>
                      </c:pt>
                      <c:pt idx="10">
                        <c:v>3.7648842488624052</c:v>
                      </c:pt>
                      <c:pt idx="11">
                        <c:v>4.302323202061757</c:v>
                      </c:pt>
                      <c:pt idx="12">
                        <c:v>3.9331900566400657</c:v>
                      </c:pt>
                      <c:pt idx="13">
                        <c:v>3.5747779795856198</c:v>
                      </c:pt>
                      <c:pt idx="14">
                        <c:v>3.7240270415487142</c:v>
                      </c:pt>
                      <c:pt idx="15">
                        <c:v>4.008182150397305</c:v>
                      </c:pt>
                    </c:numCache>
                  </c:numRef>
                </c:val>
                <c:smooth val="0"/>
                <c:extLst>
                  <c:ext xmlns:c16="http://schemas.microsoft.com/office/drawing/2014/chart" uri="{C3380CC4-5D6E-409C-BE32-E72D297353CC}">
                    <c16:uniqueId val="{00000003-FA10-4369-9034-4185E1994D48}"/>
                  </c:ext>
                </c:extLst>
              </c15:ser>
            </c15:filteredLineSeries>
          </c:ext>
        </c:extLst>
      </c:lineChart>
      <c:catAx>
        <c:axId val="58067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422272"/>
        <c:crosses val="autoZero"/>
        <c:auto val="1"/>
        <c:lblAlgn val="ctr"/>
        <c:lblOffset val="100"/>
        <c:noMultiLvlLbl val="0"/>
      </c:catAx>
      <c:valAx>
        <c:axId val="576422272"/>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Rate</a:t>
                </a:r>
                <a:r>
                  <a:rPr lang="en-AU" sz="900" baseline="0">
                    <a:solidFill>
                      <a:sysClr val="windowText" lastClr="000000"/>
                    </a:solidFill>
                  </a:rPr>
                  <a:t> of diagnoses per 10,000 patient bed days </a:t>
                </a:r>
              </a:p>
              <a:p>
                <a:pPr>
                  <a:defRPr sz="900">
                    <a:solidFill>
                      <a:sysClr val="windowText" lastClr="000000"/>
                    </a:solidFill>
                  </a:defRPr>
                </a:pPr>
                <a:r>
                  <a:rPr lang="en-AU" sz="900" baseline="0">
                    <a:solidFill>
                      <a:sysClr val="windowText" lastClr="000000"/>
                    </a:solidFill>
                  </a:rPr>
                  <a:t>2020, 2021, 2022 and 2023 </a:t>
                </a:r>
                <a:endParaRPr lang="en-AU" sz="900">
                  <a:solidFill>
                    <a:sysClr val="windowText" lastClr="000000"/>
                  </a:solidFill>
                </a:endParaRPr>
              </a:p>
            </c:rich>
          </c:tx>
          <c:layout>
            <c:manualLayout>
              <c:xMode val="edge"/>
              <c:yMode val="edge"/>
              <c:x val="2.1412795961480421E-2"/>
              <c:y val="0.2297065591396068"/>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A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0672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025137863864581"/>
          <c:y val="5.1631072518188222E-2"/>
          <c:w val="0.62579391752860158"/>
          <c:h val="0.52076238064703306"/>
        </c:manualLayout>
      </c:layout>
      <c:lineChart>
        <c:grouping val="standard"/>
        <c:varyColors val="0"/>
        <c:ser>
          <c:idx val="1"/>
          <c:order val="1"/>
          <c:tx>
            <c:strRef>
              <c:f>'Monthly data good COF '!$F$34</c:f>
              <c:strCache>
                <c:ptCount val="1"/>
                <c:pt idx="0">
                  <c:v>Rate of non-principal diagnoses, with COF2</c:v>
                </c:pt>
              </c:strCache>
            </c:strRef>
          </c:tx>
          <c:spPr>
            <a:ln w="28575" cap="rnd">
              <a:solidFill>
                <a:schemeClr val="accent6">
                  <a:lumMod val="75000"/>
                </a:schemeClr>
              </a:solidFill>
              <a:round/>
            </a:ln>
            <a:effectLst/>
          </c:spPr>
          <c:marker>
            <c:symbol val="diamond"/>
            <c:size val="7"/>
            <c:spPr>
              <a:solidFill>
                <a:schemeClr val="accent6">
                  <a:lumMod val="75000"/>
                </a:schemeClr>
              </a:solidFill>
              <a:ln w="9525">
                <a:solidFill>
                  <a:schemeClr val="accent6">
                    <a:lumMod val="75000"/>
                  </a:schemeClr>
                </a:solidFill>
              </a:ln>
              <a:effectLst/>
            </c:spPr>
          </c:marker>
          <c:cat>
            <c:strRef>
              <c:f>('Monthly data good COF '!$D$35,'Monthly data good COF '!$D$38,'Monthly data good COF '!$D$41,'Monthly data good COF '!$D$44,'Monthly data good COF '!$D$47,'Monthly data good COF '!$D$50,'Monthly data good COF '!$D$53,'Monthly data good COF '!$D$56,'Monthly data good COF '!$D$59,'Monthly data good COF '!$D$62,'Monthly data good COF '!$D$65,'Monthly data good COF '!$D$68,'Monthly data good COF '!$D$71,'Monthly data good COF '!$D$74,'Monthly data good COF '!$D$77,'Monthly data good COF '!$D$80)</c:f>
              <c:strCache>
                <c:ptCount val="16"/>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pt idx="15">
                  <c:v>Q4 2023</c:v>
                </c:pt>
              </c:strCache>
              <c:extLst/>
            </c:strRef>
          </c:cat>
          <c:val>
            <c:numRef>
              <c:f>('Monthly data good COF '!$F$35,'Monthly data good COF '!$F$38,'Monthly data good COF '!$F$41,'Monthly data good COF '!$F$44,'Monthly data good COF '!$F$47,'Monthly data good COF '!$F$50,'Monthly data good COF '!$F$53,'Monthly data good COF '!$F$56,'Monthly data good COF '!$F$59,'Monthly data good COF '!$F$62,'Monthly data good COF '!$F$65,'Monthly data good COF '!$F$68,'Monthly data good COF '!$F$71,'Monthly data good COF '!$F$74,'Monthly data good COF '!$F$77,'Monthly data good COF '!$F$80)</c:f>
              <c:numCache>
                <c:formatCode>0.00</c:formatCode>
                <c:ptCount val="16"/>
                <c:pt idx="0">
                  <c:v>1.8747406237935182</c:v>
                </c:pt>
                <c:pt idx="1">
                  <c:v>1.8133766277003198</c:v>
                </c:pt>
                <c:pt idx="2">
                  <c:v>1.8948412534951584</c:v>
                </c:pt>
                <c:pt idx="3">
                  <c:v>1.9539229443842479</c:v>
                </c:pt>
                <c:pt idx="4">
                  <c:v>2.0085534706035078</c:v>
                </c:pt>
                <c:pt idx="5">
                  <c:v>2.1873504096885337</c:v>
                </c:pt>
                <c:pt idx="6">
                  <c:v>2.2458687977586993</c:v>
                </c:pt>
                <c:pt idx="7">
                  <c:v>2.5886137973115395</c:v>
                </c:pt>
                <c:pt idx="8">
                  <c:v>2.6411699508322601</c:v>
                </c:pt>
                <c:pt idx="9">
                  <c:v>2.7062140496714271</c:v>
                </c:pt>
                <c:pt idx="10">
                  <c:v>2.3879832617615797</c:v>
                </c:pt>
                <c:pt idx="11">
                  <c:v>2.5709004500125134</c:v>
                </c:pt>
                <c:pt idx="12">
                  <c:v>2.4589090746518405</c:v>
                </c:pt>
                <c:pt idx="13">
                  <c:v>2.0980023203360729</c:v>
                </c:pt>
                <c:pt idx="14">
                  <c:v>2.4158560350289098</c:v>
                </c:pt>
                <c:pt idx="15">
                  <c:v>2.5373359892805136</c:v>
                </c:pt>
              </c:numCache>
              <c:extLst/>
            </c:numRef>
          </c:val>
          <c:smooth val="0"/>
          <c:extLst>
            <c:ext xmlns:c16="http://schemas.microsoft.com/office/drawing/2014/chart" uri="{C3380CC4-5D6E-409C-BE32-E72D297353CC}">
              <c16:uniqueId val="{00000000-4BB5-446E-9292-A5A735100D2A}"/>
            </c:ext>
          </c:extLst>
        </c:ser>
        <c:ser>
          <c:idx val="2"/>
          <c:order val="2"/>
          <c:tx>
            <c:strRef>
              <c:f>'Monthly data good COF '!$G$34</c:f>
              <c:strCache>
                <c:ptCount val="1"/>
                <c:pt idx="0">
                  <c:v>Rate of non-principal diagnoses, with COF1</c:v>
                </c:pt>
              </c:strCache>
            </c:strRef>
          </c:tx>
          <c:spPr>
            <a:ln w="28575" cap="rnd">
              <a:solidFill>
                <a:srgbClr val="FF9900"/>
              </a:solidFill>
              <a:round/>
            </a:ln>
            <a:effectLst/>
          </c:spPr>
          <c:marker>
            <c:symbol val="diamond"/>
            <c:size val="7"/>
            <c:spPr>
              <a:solidFill>
                <a:srgbClr val="FF9900"/>
              </a:solidFill>
              <a:ln w="9525">
                <a:solidFill>
                  <a:srgbClr val="FF9900"/>
                </a:solidFill>
              </a:ln>
              <a:effectLst/>
            </c:spPr>
          </c:marker>
          <c:cat>
            <c:strRef>
              <c:f>('Monthly data good COF '!$D$35,'Monthly data good COF '!$D$38,'Monthly data good COF '!$D$41,'Monthly data good COF '!$D$44,'Monthly data good COF '!$D$47,'Monthly data good COF '!$D$50,'Monthly data good COF '!$D$53,'Monthly data good COF '!$D$56,'Monthly data good COF '!$D$59,'Monthly data good COF '!$D$62,'Monthly data good COF '!$D$65,'Monthly data good COF '!$D$68,'Monthly data good COF '!$D$71,'Monthly data good COF '!$D$74,'Monthly data good COF '!$D$77,'Monthly data good COF '!$D$80)</c:f>
              <c:strCache>
                <c:ptCount val="16"/>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pt idx="15">
                  <c:v>Q4 2023</c:v>
                </c:pt>
              </c:strCache>
              <c:extLst/>
            </c:strRef>
          </c:cat>
          <c:val>
            <c:numRef>
              <c:f>('Monthly data good COF '!$G$35,'Monthly data good COF '!$G$38,'Monthly data good COF '!$G$41,'Monthly data good COF '!$G$44,'Monthly data good COF '!$G$47,'Monthly data good COF '!$G$50,'Monthly data good COF '!$G$53,'Monthly data good COF '!$G$56,'Monthly data good COF '!$G$59,'Monthly data good COF '!$G$62,'Monthly data good COF '!$G$65,'Monthly data good COF '!$G$68,'Monthly data good COF '!$G$71,'Monthly data good COF '!$G$74,'Monthly data good COF '!$G$77,'Monthly data good COF '!$G$80)</c:f>
              <c:numCache>
                <c:formatCode>0.00</c:formatCode>
                <c:ptCount val="16"/>
                <c:pt idx="0">
                  <c:v>0.68981554109909859</c:v>
                </c:pt>
                <c:pt idx="1">
                  <c:v>0.78626877216693547</c:v>
                </c:pt>
                <c:pt idx="2">
                  <c:v>0.59865999023470218</c:v>
                </c:pt>
                <c:pt idx="3">
                  <c:v>0.64945734230953689</c:v>
                </c:pt>
                <c:pt idx="4">
                  <c:v>0.76461978710474443</c:v>
                </c:pt>
                <c:pt idx="5">
                  <c:v>0.75842803150004423</c:v>
                </c:pt>
                <c:pt idx="6">
                  <c:v>0.82656672459884328</c:v>
                </c:pt>
                <c:pt idx="7">
                  <c:v>1.0309630707907431</c:v>
                </c:pt>
                <c:pt idx="8">
                  <c:v>0.93286355879285121</c:v>
                </c:pt>
                <c:pt idx="9">
                  <c:v>1.0242642817481495</c:v>
                </c:pt>
                <c:pt idx="10">
                  <c:v>0.88914270384739669</c:v>
                </c:pt>
                <c:pt idx="11">
                  <c:v>0.91817873214732626</c:v>
                </c:pt>
                <c:pt idx="12">
                  <c:v>0.72383470595811805</c:v>
                </c:pt>
                <c:pt idx="13">
                  <c:v>0.91549192160119541</c:v>
                </c:pt>
                <c:pt idx="14">
                  <c:v>0.77688316479145458</c:v>
                </c:pt>
                <c:pt idx="15">
                  <c:v>1.0209997407065015</c:v>
                </c:pt>
              </c:numCache>
              <c:extLst/>
            </c:numRef>
          </c:val>
          <c:smooth val="0"/>
          <c:extLst>
            <c:ext xmlns:c16="http://schemas.microsoft.com/office/drawing/2014/chart" uri="{C3380CC4-5D6E-409C-BE32-E72D297353CC}">
              <c16:uniqueId val="{00000001-4BB5-446E-9292-A5A735100D2A}"/>
            </c:ext>
          </c:extLst>
        </c:ser>
        <c:ser>
          <c:idx val="3"/>
          <c:order val="3"/>
          <c:tx>
            <c:strRef>
              <c:f>'Monthly data good COF '!$H$34</c:f>
              <c:strCache>
                <c:ptCount val="1"/>
                <c:pt idx="0">
                  <c:v>Estimated rate of pre-existing CDI diagnoses</c:v>
                </c:pt>
              </c:strCache>
            </c:strRef>
          </c:tx>
          <c:spPr>
            <a:ln w="28575" cap="rnd">
              <a:solidFill>
                <a:schemeClr val="accent6">
                  <a:lumMod val="50000"/>
                </a:schemeClr>
              </a:solidFill>
              <a:prstDash val="dash"/>
              <a:round/>
            </a:ln>
            <a:effectLst/>
          </c:spPr>
          <c:marker>
            <c:symbol val="diamond"/>
            <c:size val="7"/>
            <c:spPr>
              <a:solidFill>
                <a:srgbClr val="8C1E00"/>
              </a:solidFill>
              <a:ln w="9525">
                <a:solidFill>
                  <a:srgbClr val="8C1E00">
                    <a:alpha val="95000"/>
                  </a:srgbClr>
                </a:solidFill>
              </a:ln>
              <a:effectLst/>
            </c:spPr>
          </c:marker>
          <c:cat>
            <c:strRef>
              <c:f>('Monthly data good COF '!$D$35,'Monthly data good COF '!$D$38,'Monthly data good COF '!$D$41,'Monthly data good COF '!$D$44,'Monthly data good COF '!$D$47,'Monthly data good COF '!$D$50,'Monthly data good COF '!$D$53,'Monthly data good COF '!$D$56,'Monthly data good COF '!$D$59,'Monthly data good COF '!$D$62,'Monthly data good COF '!$D$65,'Monthly data good COF '!$D$68,'Monthly data good COF '!$D$71,'Monthly data good COF '!$D$74,'Monthly data good COF '!$D$77,'Monthly data good COF '!$D$80)</c:f>
              <c:strCache>
                <c:ptCount val="16"/>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pt idx="15">
                  <c:v>Q4 2023</c:v>
                </c:pt>
              </c:strCache>
              <c:extLst/>
            </c:strRef>
          </c:cat>
          <c:val>
            <c:numRef>
              <c:f>('Monthly data good COF '!$H$35,'Monthly data good COF '!$H$38,'Monthly data good COF '!$H$41,'Monthly data good COF '!$H$44,'Monthly data good COF '!$H$47,'Monthly data good COF '!$H$50,'Monthly data good COF '!$H$53,'Monthly data good COF '!$H$56,'Monthly data good COF '!$H$59,'Monthly data good COF '!$H$62,'Monthly data good COF '!$H$65,'Monthly data good COF '!$H$68,'Monthly data good COF '!$H$71,'Monthly data good COF '!$H$74,'Monthly data good COF '!$H$77,'Monthly data good COF '!$H$80)</c:f>
              <c:numCache>
                <c:formatCode>0.00</c:formatCode>
                <c:ptCount val="16"/>
                <c:pt idx="0">
                  <c:v>3.271060791663468</c:v>
                </c:pt>
                <c:pt idx="1">
                  <c:v>2.9750710298208372</c:v>
                </c:pt>
                <c:pt idx="2">
                  <c:v>2.9438693097779849</c:v>
                </c:pt>
                <c:pt idx="3">
                  <c:v>3.2250830417251364</c:v>
                </c:pt>
                <c:pt idx="4">
                  <c:v>3.423670688528706</c:v>
                </c:pt>
                <c:pt idx="5">
                  <c:v>3.5778018007719479</c:v>
                </c:pt>
                <c:pt idx="6">
                  <c:v>3.6923605658066747</c:v>
                </c:pt>
                <c:pt idx="7">
                  <c:v>4.4824481338727962</c:v>
                </c:pt>
                <c:pt idx="8">
                  <c:v>4.4427626987509541</c:v>
                </c:pt>
                <c:pt idx="9">
                  <c:v>4.4690267872064</c:v>
                </c:pt>
                <c:pt idx="10">
                  <c:v>3.7648842488624052</c:v>
                </c:pt>
                <c:pt idx="11">
                  <c:v>4.302323202061757</c:v>
                </c:pt>
                <c:pt idx="12">
                  <c:v>3.9331900566400657</c:v>
                </c:pt>
                <c:pt idx="13">
                  <c:v>3.5747779795856198</c:v>
                </c:pt>
                <c:pt idx="14">
                  <c:v>3.7240270415487142</c:v>
                </c:pt>
                <c:pt idx="15">
                  <c:v>4.008182150397305</c:v>
                </c:pt>
              </c:numCache>
              <c:extLst/>
            </c:numRef>
          </c:val>
          <c:smooth val="0"/>
          <c:extLst>
            <c:ext xmlns:c16="http://schemas.microsoft.com/office/drawing/2014/chart" uri="{C3380CC4-5D6E-409C-BE32-E72D297353CC}">
              <c16:uniqueId val="{00000002-4BB5-446E-9292-A5A735100D2A}"/>
            </c:ext>
          </c:extLst>
        </c:ser>
        <c:dLbls>
          <c:showLegendKey val="0"/>
          <c:showVal val="0"/>
          <c:showCatName val="0"/>
          <c:showSerName val="0"/>
          <c:showPercent val="0"/>
          <c:showBubbleSize val="0"/>
        </c:dLbls>
        <c:marker val="1"/>
        <c:smooth val="0"/>
        <c:axId val="773396176"/>
        <c:axId val="773399416"/>
        <c:extLst>
          <c:ext xmlns:c15="http://schemas.microsoft.com/office/drawing/2012/chart" uri="{02D57815-91ED-43cb-92C2-25804820EDAC}">
            <c15:filteredLineSeries>
              <c15:ser>
                <c:idx val="0"/>
                <c:order val="0"/>
                <c:tx>
                  <c:strRef>
                    <c:extLst>
                      <c:ext uri="{02D57815-91ED-43cb-92C2-25804820EDAC}">
                        <c15:formulaRef>
                          <c15:sqref>'Monthly data good COF '!$E$34</c15:sqref>
                        </c15:formulaRef>
                      </c:ext>
                    </c:extLst>
                    <c:strCache>
                      <c:ptCount val="1"/>
                      <c:pt idx="0">
                        <c:v>Rate of non-principal diagnoses</c:v>
                      </c:pt>
                    </c:strCache>
                  </c:strRef>
                </c:tx>
                <c:spPr>
                  <a:ln w="28575" cap="rnd">
                    <a:solidFill>
                      <a:schemeClr val="accent1"/>
                    </a:solidFill>
                    <a:round/>
                  </a:ln>
                  <a:effectLst/>
                </c:spPr>
                <c:marker>
                  <c:symbol val="none"/>
                </c:marker>
                <c:cat>
                  <c:strRef>
                    <c:extLst>
                      <c:ext uri="{02D57815-91ED-43cb-92C2-25804820EDAC}">
                        <c15:formulaRef>
                          <c15:sqref>('Monthly data good COF '!$D$35,'Monthly data good COF '!$D$38,'Monthly data good COF '!$D$41,'Monthly data good COF '!$D$44,'Monthly data good COF '!$D$47,'Monthly data good COF '!$D$50,'Monthly data good COF '!$D$53,'Monthly data good COF '!$D$56,'Monthly data good COF '!$D$59,'Monthly data good COF '!$D$62,'Monthly data good COF '!$D$65,'Monthly data good COF '!$D$68,'Monthly data good COF '!$D$71,'Monthly data good COF '!$D$74,'Monthly data good COF '!$D$77,'Monthly data good COF '!$D$80)</c15:sqref>
                        </c15:formulaRef>
                      </c:ext>
                    </c:extLst>
                    <c:strCache>
                      <c:ptCount val="16"/>
                      <c:pt idx="0">
                        <c:v>Q1 2020</c:v>
                      </c:pt>
                      <c:pt idx="1">
                        <c:v>Q2 2020</c:v>
                      </c:pt>
                      <c:pt idx="2">
                        <c:v>Q3 2020</c:v>
                      </c:pt>
                      <c:pt idx="3">
                        <c:v>Q4 2020</c:v>
                      </c:pt>
                      <c:pt idx="4">
                        <c:v>Q1 2021</c:v>
                      </c:pt>
                      <c:pt idx="5">
                        <c:v>Q2 2021</c:v>
                      </c:pt>
                      <c:pt idx="6">
                        <c:v>Q3 2021</c:v>
                      </c:pt>
                      <c:pt idx="7">
                        <c:v>Q4 2021</c:v>
                      </c:pt>
                      <c:pt idx="8">
                        <c:v>Q1 2022</c:v>
                      </c:pt>
                      <c:pt idx="9">
                        <c:v>Q2 2022</c:v>
                      </c:pt>
                      <c:pt idx="10">
                        <c:v>Q3 2022</c:v>
                      </c:pt>
                      <c:pt idx="11">
                        <c:v>Q4 2022</c:v>
                      </c:pt>
                      <c:pt idx="12">
                        <c:v>Q1 2023</c:v>
                      </c:pt>
                      <c:pt idx="13">
                        <c:v>Q2 2023</c:v>
                      </c:pt>
                      <c:pt idx="14">
                        <c:v>Q3 2023</c:v>
                      </c:pt>
                      <c:pt idx="15">
                        <c:v>Q4 2023</c:v>
                      </c:pt>
                    </c:strCache>
                  </c:strRef>
                </c:cat>
                <c:val>
                  <c:numRef>
                    <c:extLst>
                      <c:ext uri="{02D57815-91ED-43cb-92C2-25804820EDAC}">
                        <c15:formulaRef>
                          <c15:sqref>('Monthly data good COF '!$E$35,'Monthly data good COF '!$E$38,'Monthly data good COF '!$E$41,'Monthly data good COF '!$E$44,'Monthly data good COF '!$E$47,'Monthly data good COF '!$E$50,'Monthly data good COF '!$E$53,'Monthly data good COF '!$E$56,'Monthly data good COF '!$E$59,'Monthly data good COF '!$E$62,'Monthly data good COF '!$E$65,'Monthly data good COF '!$E$68,'Monthly data good COF '!$E$71,'Monthly data good COF '!$E$74,'Monthly data good COF '!$E$77,'Monthly data good COF '!$E$80)</c15:sqref>
                        </c15:formulaRef>
                      </c:ext>
                    </c:extLst>
                    <c:numCache>
                      <c:formatCode>0.00</c:formatCode>
                      <c:ptCount val="16"/>
                      <c:pt idx="0">
                        <c:v>2.564556164892617</c:v>
                      </c:pt>
                      <c:pt idx="1">
                        <c:v>2.5996453998672555</c:v>
                      </c:pt>
                      <c:pt idx="2">
                        <c:v>2.4935012437298605</c:v>
                      </c:pt>
                      <c:pt idx="3">
                        <c:v>2.6033802866937847</c:v>
                      </c:pt>
                      <c:pt idx="4">
                        <c:v>2.773173257708252</c:v>
                      </c:pt>
                      <c:pt idx="5">
                        <c:v>2.9457784411885779</c:v>
                      </c:pt>
                      <c:pt idx="6">
                        <c:v>3.0724355223575421</c:v>
                      </c:pt>
                      <c:pt idx="7">
                        <c:v>3.6195768681022824</c:v>
                      </c:pt>
                      <c:pt idx="8">
                        <c:v>3.7023022489591284</c:v>
                      </c:pt>
                      <c:pt idx="9">
                        <c:v>3.8275138949536118</c:v>
                      </c:pt>
                      <c:pt idx="10">
                        <c:v>3.3736614591695506</c:v>
                      </c:pt>
                      <c:pt idx="11">
                        <c:v>3.5992606300175187</c:v>
                      </c:pt>
                      <c:pt idx="12">
                        <c:v>3.3211239449843046</c:v>
                      </c:pt>
                      <c:pt idx="13">
                        <c:v>3.1715255855469984</c:v>
                      </c:pt>
                      <c:pt idx="14">
                        <c:v>3.3380915338781207</c:v>
                      </c:pt>
                      <c:pt idx="15">
                        <c:v>3.6998604465205895</c:v>
                      </c:pt>
                    </c:numCache>
                  </c:numRef>
                </c:val>
                <c:smooth val="0"/>
                <c:extLst>
                  <c:ext xmlns:c16="http://schemas.microsoft.com/office/drawing/2014/chart" uri="{C3380CC4-5D6E-409C-BE32-E72D297353CC}">
                    <c16:uniqueId val="{00000003-4BB5-446E-9292-A5A735100D2A}"/>
                  </c:ext>
                </c:extLst>
              </c15:ser>
            </c15:filteredLineSeries>
          </c:ext>
        </c:extLst>
      </c:lineChart>
      <c:catAx>
        <c:axId val="77339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399416"/>
        <c:crosses val="autoZero"/>
        <c:auto val="1"/>
        <c:lblAlgn val="ctr"/>
        <c:lblOffset val="100"/>
        <c:noMultiLvlLbl val="0"/>
      </c:catAx>
      <c:valAx>
        <c:axId val="773399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AU" sz="1000" b="0" i="0" u="none" strike="noStrike" kern="1200" baseline="0">
                    <a:solidFill>
                      <a:sysClr val="windowText" lastClr="000000"/>
                    </a:solidFill>
                  </a:rPr>
                  <a:t>Rate of diagnoses per 10,000 patient bed days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AU" sz="1000" b="0" i="0" u="none" strike="noStrike" kern="1200" baseline="0">
                    <a:solidFill>
                      <a:sysClr val="windowText" lastClr="000000"/>
                    </a:solidFill>
                  </a:rPr>
                  <a:t>2020, 2021, 2022 and 2023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AU">
                    <a:solidFill>
                      <a:sysClr val="windowText" lastClr="000000"/>
                    </a:solidFill>
                  </a:rPr>
                  <a:t> </a:t>
                </a:r>
              </a:p>
            </c:rich>
          </c:tx>
          <c:layout>
            <c:manualLayout>
              <c:xMode val="edge"/>
              <c:yMode val="edge"/>
              <c:x val="4.3324526287241608E-2"/>
              <c:y val="0.31184030369707416"/>
            </c:manualLayout>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73396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29894918254951"/>
          <c:y val="4.3416225514183608E-2"/>
          <c:w val="0.86758197466698683"/>
          <c:h val="0.785237184335009"/>
        </c:manualLayout>
      </c:layout>
      <c:barChart>
        <c:barDir val="col"/>
        <c:grouping val="clustered"/>
        <c:varyColors val="0"/>
        <c:ser>
          <c:idx val="2"/>
          <c:order val="2"/>
          <c:tx>
            <c:strRef>
              <c:f>demographics!$AC$2</c:f>
              <c:strCache>
                <c:ptCount val="1"/>
                <c:pt idx="0">
                  <c:v>Rate 2022</c:v>
                </c:pt>
              </c:strCache>
            </c:strRef>
          </c:tx>
          <c:spPr>
            <a:solidFill>
              <a:schemeClr val="accent6">
                <a:lumMod val="75000"/>
              </a:schemeClr>
            </a:solidFill>
            <a:ln>
              <a:noFill/>
            </a:ln>
            <a:effectLst/>
          </c:spPr>
          <c:invertIfNegative val="0"/>
          <c:cat>
            <c:strRef>
              <c:f>demographics!$Z$3:$Z$20</c:f>
              <c:strCache>
                <c:ptCount val="18"/>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demographics!$AC$3:$AC$20</c:f>
              <c:numCache>
                <c:formatCode>0.00</c:formatCode>
                <c:ptCount val="18"/>
                <c:pt idx="0">
                  <c:v>0.14917815342104337</c:v>
                </c:pt>
                <c:pt idx="1">
                  <c:v>5.7916224269346242E-2</c:v>
                </c:pt>
                <c:pt idx="2">
                  <c:v>3.9488334729099711E-2</c:v>
                </c:pt>
                <c:pt idx="3">
                  <c:v>5.3528631521668493E-2</c:v>
                </c:pt>
                <c:pt idx="4">
                  <c:v>7.0640243237611713E-2</c:v>
                </c:pt>
                <c:pt idx="5">
                  <c:v>7.2834039611450588E-2</c:v>
                </c:pt>
                <c:pt idx="6">
                  <c:v>8.775185495355492E-2</c:v>
                </c:pt>
                <c:pt idx="7">
                  <c:v>0.10705726304333699</c:v>
                </c:pt>
                <c:pt idx="8">
                  <c:v>9.8282077547981503E-2</c:v>
                </c:pt>
                <c:pt idx="9">
                  <c:v>0.13557661590324235</c:v>
                </c:pt>
                <c:pt idx="10">
                  <c:v>0.17594246918187761</c:v>
                </c:pt>
                <c:pt idx="11">
                  <c:v>0.23034861925308164</c:v>
                </c:pt>
                <c:pt idx="12">
                  <c:v>0.3027438995897645</c:v>
                </c:pt>
                <c:pt idx="13">
                  <c:v>0.38961823599378381</c:v>
                </c:pt>
                <c:pt idx="14">
                  <c:v>0.46201351633046661</c:v>
                </c:pt>
                <c:pt idx="15">
                  <c:v>0.53309251884284614</c:v>
                </c:pt>
                <c:pt idx="16">
                  <c:v>0.53045996319423949</c:v>
                </c:pt>
                <c:pt idx="17">
                  <c:v>0.77923647198756762</c:v>
                </c:pt>
              </c:numCache>
            </c:numRef>
          </c:val>
          <c:extLst>
            <c:ext xmlns:c16="http://schemas.microsoft.com/office/drawing/2014/chart" uri="{C3380CC4-5D6E-409C-BE32-E72D297353CC}">
              <c16:uniqueId val="{00000000-A31B-4993-A50A-AAA37F5D94FC}"/>
            </c:ext>
          </c:extLst>
        </c:ser>
        <c:ser>
          <c:idx val="5"/>
          <c:order val="5"/>
          <c:tx>
            <c:strRef>
              <c:f>demographics!$AF$2</c:f>
              <c:strCache>
                <c:ptCount val="1"/>
                <c:pt idx="0">
                  <c:v>Rate 2023</c:v>
                </c:pt>
              </c:strCache>
            </c:strRef>
          </c:tx>
          <c:spPr>
            <a:solidFill>
              <a:schemeClr val="accent6">
                <a:lumMod val="50000"/>
              </a:schemeClr>
            </a:solidFill>
            <a:ln>
              <a:noFill/>
            </a:ln>
            <a:effectLst/>
          </c:spPr>
          <c:invertIfNegative val="0"/>
          <c:cat>
            <c:strRef>
              <c:f>demographics!$Z$3:$Z$20</c:f>
              <c:strCache>
                <c:ptCount val="18"/>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demographics!$AF$3:$AF$20</c:f>
              <c:numCache>
                <c:formatCode>0.00</c:formatCode>
                <c:ptCount val="18"/>
                <c:pt idx="0">
                  <c:v>0.16987838542972722</c:v>
                </c:pt>
                <c:pt idx="1">
                  <c:v>4.1402521072069202E-2</c:v>
                </c:pt>
                <c:pt idx="2">
                  <c:v>3.5853729588183635E-2</c:v>
                </c:pt>
                <c:pt idx="3">
                  <c:v>4.225618130035929E-2</c:v>
                </c:pt>
                <c:pt idx="4">
                  <c:v>5.7622065409580842E-2</c:v>
                </c:pt>
                <c:pt idx="5">
                  <c:v>6.9573308605642051E-2</c:v>
                </c:pt>
                <c:pt idx="6">
                  <c:v>8.0670891573413173E-2</c:v>
                </c:pt>
                <c:pt idx="7">
                  <c:v>9.817092625335995E-2</c:v>
                </c:pt>
                <c:pt idx="8">
                  <c:v>9.3048964883619439E-2</c:v>
                </c:pt>
                <c:pt idx="9">
                  <c:v>0.12591488367278778</c:v>
                </c:pt>
                <c:pt idx="10">
                  <c:v>0.17201253600045244</c:v>
                </c:pt>
                <c:pt idx="11">
                  <c:v>0.20786626558863608</c:v>
                </c:pt>
                <c:pt idx="12">
                  <c:v>0.29920791001567537</c:v>
                </c:pt>
                <c:pt idx="13">
                  <c:v>0.31286647366831677</c:v>
                </c:pt>
                <c:pt idx="14">
                  <c:v>0.42597645391675315</c:v>
                </c:pt>
                <c:pt idx="15">
                  <c:v>0.47804972784244842</c:v>
                </c:pt>
                <c:pt idx="16">
                  <c:v>0.48658633012534935</c:v>
                </c:pt>
                <c:pt idx="17">
                  <c:v>0.68506233320279453</c:v>
                </c:pt>
              </c:numCache>
            </c:numRef>
          </c:val>
          <c:extLst>
            <c:ext xmlns:c16="http://schemas.microsoft.com/office/drawing/2014/chart" uri="{C3380CC4-5D6E-409C-BE32-E72D297353CC}">
              <c16:uniqueId val="{00000001-A31B-4993-A50A-AAA37F5D94FC}"/>
            </c:ext>
          </c:extLst>
        </c:ser>
        <c:dLbls>
          <c:showLegendKey val="0"/>
          <c:showVal val="0"/>
          <c:showCatName val="0"/>
          <c:showSerName val="0"/>
          <c:showPercent val="0"/>
          <c:showBubbleSize val="0"/>
        </c:dLbls>
        <c:gapWidth val="219"/>
        <c:overlap val="-27"/>
        <c:axId val="592832424"/>
        <c:axId val="592833504"/>
        <c:extLst>
          <c:ext xmlns:c15="http://schemas.microsoft.com/office/drawing/2012/chart" uri="{02D57815-91ED-43cb-92C2-25804820EDAC}">
            <c15:filteredBarSeries>
              <c15:ser>
                <c:idx val="0"/>
                <c:order val="0"/>
                <c:tx>
                  <c:strRef>
                    <c:extLst>
                      <c:ext uri="{02D57815-91ED-43cb-92C2-25804820EDAC}">
                        <c15:formulaRef>
                          <c15:sqref>demographics!$AA$2</c15:sqref>
                        </c15:formulaRef>
                      </c:ext>
                    </c:extLst>
                    <c:strCache>
                      <c:ptCount val="1"/>
                      <c:pt idx="0">
                        <c:v>total bed days 2022 </c:v>
                      </c:pt>
                    </c:strCache>
                  </c:strRef>
                </c:tx>
                <c:spPr>
                  <a:solidFill>
                    <a:schemeClr val="accent1"/>
                  </a:solidFill>
                  <a:ln>
                    <a:noFill/>
                  </a:ln>
                  <a:effectLst/>
                </c:spPr>
                <c:invertIfNegative val="0"/>
                <c:cat>
                  <c:strRef>
                    <c:extLst>
                      <c:ext uri="{02D57815-91ED-43cb-92C2-25804820EDAC}">
                        <c15:formulaRef>
                          <c15:sqref>demographics!$Z$3:$Z$20</c15:sqref>
                        </c15:formulaRef>
                      </c:ext>
                    </c:extLst>
                    <c:strCache>
                      <c:ptCount val="18"/>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extLst>
                      <c:ext uri="{02D57815-91ED-43cb-92C2-25804820EDAC}">
                        <c15:formulaRef>
                          <c15:sqref>demographics!$AA$3:$AA$20</c15:sqref>
                        </c15:formulaRef>
                      </c:ext>
                    </c:extLst>
                    <c:numCache>
                      <c:formatCode>General</c:formatCode>
                      <c:ptCount val="18"/>
                      <c:pt idx="0">
                        <c:v>22791541</c:v>
                      </c:pt>
                      <c:pt idx="1">
                        <c:v>22791541</c:v>
                      </c:pt>
                      <c:pt idx="2">
                        <c:v>22791541</c:v>
                      </c:pt>
                      <c:pt idx="3">
                        <c:v>22791541</c:v>
                      </c:pt>
                      <c:pt idx="4">
                        <c:v>22791541</c:v>
                      </c:pt>
                      <c:pt idx="5">
                        <c:v>22791541</c:v>
                      </c:pt>
                      <c:pt idx="6">
                        <c:v>22791541</c:v>
                      </c:pt>
                      <c:pt idx="7">
                        <c:v>22791541</c:v>
                      </c:pt>
                      <c:pt idx="8">
                        <c:v>22791541</c:v>
                      </c:pt>
                      <c:pt idx="9">
                        <c:v>22791541</c:v>
                      </c:pt>
                      <c:pt idx="10">
                        <c:v>22791541</c:v>
                      </c:pt>
                      <c:pt idx="11">
                        <c:v>22791541</c:v>
                      </c:pt>
                      <c:pt idx="12">
                        <c:v>22791541</c:v>
                      </c:pt>
                      <c:pt idx="13">
                        <c:v>22791541</c:v>
                      </c:pt>
                      <c:pt idx="14">
                        <c:v>22791541</c:v>
                      </c:pt>
                      <c:pt idx="15">
                        <c:v>22791541</c:v>
                      </c:pt>
                      <c:pt idx="16">
                        <c:v>22791541</c:v>
                      </c:pt>
                      <c:pt idx="17">
                        <c:v>22791541</c:v>
                      </c:pt>
                    </c:numCache>
                  </c:numRef>
                </c:val>
                <c:extLst>
                  <c:ext xmlns:c16="http://schemas.microsoft.com/office/drawing/2014/chart" uri="{C3380CC4-5D6E-409C-BE32-E72D297353CC}">
                    <c16:uniqueId val="{00000002-A31B-4993-A50A-AAA37F5D94F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demographics!$AB$2</c15:sqref>
                        </c15:formulaRef>
                      </c:ext>
                    </c:extLst>
                    <c:strCache>
                      <c:ptCount val="1"/>
                      <c:pt idx="0">
                        <c:v>Number of separations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demographics!$Z$3:$Z$20</c15:sqref>
                        </c15:formulaRef>
                      </c:ext>
                    </c:extLst>
                    <c:strCache>
                      <c:ptCount val="18"/>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extLst xmlns:c15="http://schemas.microsoft.com/office/drawing/2012/chart">
                      <c:ext xmlns:c15="http://schemas.microsoft.com/office/drawing/2012/chart" uri="{02D57815-91ED-43cb-92C2-25804820EDAC}">
                        <c15:formulaRef>
                          <c15:sqref>demographics!$AB$3:$AB$20</c15:sqref>
                        </c15:formulaRef>
                      </c:ext>
                    </c:extLst>
                    <c:numCache>
                      <c:formatCode>_-* #,##0_-;\-* #,##0_-;_-* "-"??_-;_-@_-</c:formatCode>
                      <c:ptCount val="18"/>
                      <c:pt idx="0">
                        <c:v>340</c:v>
                      </c:pt>
                      <c:pt idx="1">
                        <c:v>132</c:v>
                      </c:pt>
                      <c:pt idx="2">
                        <c:v>90</c:v>
                      </c:pt>
                      <c:pt idx="3">
                        <c:v>122</c:v>
                      </c:pt>
                      <c:pt idx="4">
                        <c:v>161</c:v>
                      </c:pt>
                      <c:pt idx="5">
                        <c:v>166</c:v>
                      </c:pt>
                      <c:pt idx="6">
                        <c:v>200</c:v>
                      </c:pt>
                      <c:pt idx="7">
                        <c:v>244</c:v>
                      </c:pt>
                      <c:pt idx="8">
                        <c:v>224</c:v>
                      </c:pt>
                      <c:pt idx="9">
                        <c:v>309</c:v>
                      </c:pt>
                      <c:pt idx="10">
                        <c:v>401</c:v>
                      </c:pt>
                      <c:pt idx="11">
                        <c:v>525</c:v>
                      </c:pt>
                      <c:pt idx="12">
                        <c:v>690</c:v>
                      </c:pt>
                      <c:pt idx="13">
                        <c:v>888</c:v>
                      </c:pt>
                      <c:pt idx="14">
                        <c:v>1053</c:v>
                      </c:pt>
                      <c:pt idx="15">
                        <c:v>1215</c:v>
                      </c:pt>
                      <c:pt idx="16">
                        <c:v>1209</c:v>
                      </c:pt>
                      <c:pt idx="17">
                        <c:v>1776</c:v>
                      </c:pt>
                    </c:numCache>
                  </c:numRef>
                </c:val>
                <c:extLst xmlns:c15="http://schemas.microsoft.com/office/drawing/2012/chart">
                  <c:ext xmlns:c16="http://schemas.microsoft.com/office/drawing/2014/chart" uri="{C3380CC4-5D6E-409C-BE32-E72D297353CC}">
                    <c16:uniqueId val="{00000003-A31B-4993-A50A-AAA37F5D94F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demographics!$AD$2</c15:sqref>
                        </c15:formulaRef>
                      </c:ext>
                    </c:extLst>
                    <c:strCache>
                      <c:ptCount val="1"/>
                      <c:pt idx="0">
                        <c:v>total bed days 2023</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demographics!$Z$3:$Z$20</c15:sqref>
                        </c15:formulaRef>
                      </c:ext>
                    </c:extLst>
                    <c:strCache>
                      <c:ptCount val="18"/>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extLst xmlns:c15="http://schemas.microsoft.com/office/drawing/2012/chart">
                      <c:ext xmlns:c15="http://schemas.microsoft.com/office/drawing/2012/chart" uri="{02D57815-91ED-43cb-92C2-25804820EDAC}">
                        <c15:formulaRef>
                          <c15:sqref>demographics!$AD$3:$AD$20</c15:sqref>
                        </c15:formulaRef>
                      </c:ext>
                    </c:extLst>
                    <c:numCache>
                      <c:formatCode>0</c:formatCode>
                      <c:ptCount val="18"/>
                      <c:pt idx="0">
                        <c:v>23428525</c:v>
                      </c:pt>
                      <c:pt idx="1">
                        <c:v>23428525</c:v>
                      </c:pt>
                      <c:pt idx="2">
                        <c:v>23428525</c:v>
                      </c:pt>
                      <c:pt idx="3">
                        <c:v>23428525</c:v>
                      </c:pt>
                      <c:pt idx="4">
                        <c:v>23428525</c:v>
                      </c:pt>
                      <c:pt idx="5">
                        <c:v>23428525</c:v>
                      </c:pt>
                      <c:pt idx="6">
                        <c:v>23428525</c:v>
                      </c:pt>
                      <c:pt idx="7">
                        <c:v>23428525</c:v>
                      </c:pt>
                      <c:pt idx="8">
                        <c:v>23428525</c:v>
                      </c:pt>
                      <c:pt idx="9">
                        <c:v>23428525</c:v>
                      </c:pt>
                      <c:pt idx="10">
                        <c:v>23428525</c:v>
                      </c:pt>
                      <c:pt idx="11">
                        <c:v>23428525</c:v>
                      </c:pt>
                      <c:pt idx="12">
                        <c:v>23428525</c:v>
                      </c:pt>
                      <c:pt idx="13">
                        <c:v>23428525</c:v>
                      </c:pt>
                      <c:pt idx="14">
                        <c:v>23428525</c:v>
                      </c:pt>
                      <c:pt idx="15">
                        <c:v>23428525</c:v>
                      </c:pt>
                      <c:pt idx="16">
                        <c:v>23428525</c:v>
                      </c:pt>
                      <c:pt idx="17">
                        <c:v>23428525</c:v>
                      </c:pt>
                    </c:numCache>
                  </c:numRef>
                </c:val>
                <c:extLst xmlns:c15="http://schemas.microsoft.com/office/drawing/2012/chart">
                  <c:ext xmlns:c16="http://schemas.microsoft.com/office/drawing/2014/chart" uri="{C3380CC4-5D6E-409C-BE32-E72D297353CC}">
                    <c16:uniqueId val="{00000004-A31B-4993-A50A-AAA37F5D94F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demographics!$AE$2</c15:sqref>
                        </c15:formulaRef>
                      </c:ext>
                    </c:extLst>
                    <c:strCache>
                      <c:ptCount val="1"/>
                      <c:pt idx="0">
                        <c:v>Number of separations 2023</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demographics!$Z$3:$Z$20</c15:sqref>
                        </c15:formulaRef>
                      </c:ext>
                    </c:extLst>
                    <c:strCache>
                      <c:ptCount val="18"/>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extLst xmlns:c15="http://schemas.microsoft.com/office/drawing/2012/chart">
                      <c:ext xmlns:c15="http://schemas.microsoft.com/office/drawing/2012/chart" uri="{02D57815-91ED-43cb-92C2-25804820EDAC}">
                        <c15:formulaRef>
                          <c15:sqref>demographics!$AE$3:$AE$20</c15:sqref>
                        </c15:formulaRef>
                      </c:ext>
                    </c:extLst>
                    <c:numCache>
                      <c:formatCode>General</c:formatCode>
                      <c:ptCount val="18"/>
                      <c:pt idx="0">
                        <c:v>398</c:v>
                      </c:pt>
                      <c:pt idx="1">
                        <c:v>97</c:v>
                      </c:pt>
                      <c:pt idx="2">
                        <c:v>84</c:v>
                      </c:pt>
                      <c:pt idx="3">
                        <c:v>99</c:v>
                      </c:pt>
                      <c:pt idx="4">
                        <c:v>135</c:v>
                      </c:pt>
                      <c:pt idx="5">
                        <c:v>163</c:v>
                      </c:pt>
                      <c:pt idx="6">
                        <c:v>189</c:v>
                      </c:pt>
                      <c:pt idx="7">
                        <c:v>230</c:v>
                      </c:pt>
                      <c:pt idx="8">
                        <c:v>218</c:v>
                      </c:pt>
                      <c:pt idx="9">
                        <c:v>295</c:v>
                      </c:pt>
                      <c:pt idx="10">
                        <c:v>403</c:v>
                      </c:pt>
                      <c:pt idx="11">
                        <c:v>487</c:v>
                      </c:pt>
                      <c:pt idx="12">
                        <c:v>701</c:v>
                      </c:pt>
                      <c:pt idx="13">
                        <c:v>733</c:v>
                      </c:pt>
                      <c:pt idx="14">
                        <c:v>998</c:v>
                      </c:pt>
                      <c:pt idx="15">
                        <c:v>1120</c:v>
                      </c:pt>
                      <c:pt idx="16">
                        <c:v>1140</c:v>
                      </c:pt>
                      <c:pt idx="17">
                        <c:v>1605</c:v>
                      </c:pt>
                    </c:numCache>
                  </c:numRef>
                </c:val>
                <c:extLst xmlns:c15="http://schemas.microsoft.com/office/drawing/2012/chart">
                  <c:ext xmlns:c16="http://schemas.microsoft.com/office/drawing/2014/chart" uri="{C3380CC4-5D6E-409C-BE32-E72D297353CC}">
                    <c16:uniqueId val="{00000005-A31B-4993-A50A-AAA37F5D94FC}"/>
                  </c:ext>
                </c:extLst>
              </c15:ser>
            </c15:filteredBarSeries>
          </c:ext>
        </c:extLst>
      </c:barChart>
      <c:catAx>
        <c:axId val="592832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chemeClr val="tx1"/>
                    </a:solidFill>
                  </a:rPr>
                  <a:t>Age</a:t>
                </a:r>
                <a:r>
                  <a:rPr lang="en-AU" baseline="0">
                    <a:solidFill>
                      <a:schemeClr val="tx1"/>
                    </a:solidFill>
                  </a:rPr>
                  <a:t> (years)</a:t>
                </a:r>
                <a:endParaRPr lang="en-AU">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2833504"/>
        <c:crosses val="autoZero"/>
        <c:auto val="1"/>
        <c:lblAlgn val="ctr"/>
        <c:lblOffset val="100"/>
        <c:noMultiLvlLbl val="0"/>
      </c:catAx>
      <c:valAx>
        <c:axId val="592833504"/>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Rate</a:t>
                </a:r>
                <a:r>
                  <a:rPr lang="en-AU" baseline="0">
                    <a:solidFill>
                      <a:sysClr val="windowText" lastClr="000000"/>
                    </a:solidFill>
                  </a:rPr>
                  <a:t> of diagnoses with pre-existing CDI  per 10,000 patient bed days </a:t>
                </a:r>
                <a:endParaRPr lang="en-A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AU"/>
            </a:p>
          </c:txPr>
        </c:title>
        <c:numFmt formatCode="0.00" sourceLinked="1"/>
        <c:majorTickMark val="in"/>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2832424"/>
        <c:crosses val="autoZero"/>
        <c:crossBetween val="between"/>
      </c:valAx>
      <c:spPr>
        <a:noFill/>
        <a:ln>
          <a:noFill/>
        </a:ln>
        <a:effectLst/>
      </c:spPr>
    </c:plotArea>
    <c:legend>
      <c:legendPos val="b"/>
      <c:layout>
        <c:manualLayout>
          <c:xMode val="edge"/>
          <c:yMode val="edge"/>
          <c:x val="0.13593338263858332"/>
          <c:y val="9.3468113783074472E-2"/>
          <c:w val="0.19766014267139156"/>
          <c:h val="4.8596452441285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demographics!$K$4</c:f>
              <c:strCache>
                <c:ptCount val="1"/>
                <c:pt idx="0">
                  <c:v>Major Cities</c:v>
                </c:pt>
              </c:strCache>
            </c:strRef>
          </c:tx>
          <c:spPr>
            <a:solidFill>
              <a:schemeClr val="accent6">
                <a:tint val="54000"/>
              </a:schemeClr>
            </a:solidFill>
            <a:ln>
              <a:noFill/>
            </a:ln>
            <a:effectLst/>
          </c:spPr>
          <c:invertIfNegative val="0"/>
          <c:dLbls>
            <c:dLbl>
              <c:idx val="0"/>
              <c:tx>
                <c:rich>
                  <a:bodyPr/>
                  <a:lstStyle/>
                  <a:p>
                    <a:r>
                      <a:rPr lang="en-US"/>
                      <a:t>6,527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974-48C1-BC74-60788BB2D5E7}"/>
                </c:ext>
              </c:extLst>
            </c:dLbl>
            <c:dLbl>
              <c:idx val="1"/>
              <c:tx>
                <c:rich>
                  <a:bodyPr/>
                  <a:lstStyle/>
                  <a:p>
                    <a:r>
                      <a:rPr lang="en-US"/>
                      <a:t>6,042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974-48C1-BC74-60788BB2D5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(demographics!$Q$3,demographics!$X$3)</c:f>
              <c:strCache>
                <c:ptCount val="2"/>
                <c:pt idx="0">
                  <c:v>Rate All 2022</c:v>
                </c:pt>
                <c:pt idx="1">
                  <c:v>Rate All 2023</c:v>
                </c:pt>
              </c:strCache>
              <c:extLst/>
            </c:strRef>
          </c:cat>
          <c:val>
            <c:numRef>
              <c:f>(demographics!$Q$4,demographics!$X$4)</c:f>
              <c:numCache>
                <c:formatCode>0.00</c:formatCode>
                <c:ptCount val="2"/>
                <c:pt idx="0">
                  <c:v>2.8637817864092647</c:v>
                </c:pt>
                <c:pt idx="1">
                  <c:v>2.5789075496643519</c:v>
                </c:pt>
              </c:numCache>
              <c:extLst/>
            </c:numRef>
          </c:val>
          <c:extLst xmlns:c15="http://schemas.microsoft.com/office/drawing/2012/chart">
            <c:ext xmlns:c16="http://schemas.microsoft.com/office/drawing/2014/chart" uri="{C3380CC4-5D6E-409C-BE32-E72D297353CC}">
              <c16:uniqueId val="{00000002-F974-48C1-BC74-60788BB2D5E7}"/>
            </c:ext>
          </c:extLst>
        </c:ser>
        <c:ser>
          <c:idx val="1"/>
          <c:order val="1"/>
          <c:tx>
            <c:strRef>
              <c:f>demographics!$K$5</c:f>
              <c:strCache>
                <c:ptCount val="1"/>
                <c:pt idx="0">
                  <c:v>Inner Regional</c:v>
                </c:pt>
              </c:strCache>
            </c:strRef>
          </c:tx>
          <c:spPr>
            <a:solidFill>
              <a:schemeClr val="accent6">
                <a:tint val="77000"/>
              </a:schemeClr>
            </a:solidFill>
            <a:ln>
              <a:noFill/>
            </a:ln>
            <a:effectLst/>
          </c:spPr>
          <c:invertIfNegative val="0"/>
          <c:dLbls>
            <c:dLbl>
              <c:idx val="0"/>
              <c:tx>
                <c:rich>
                  <a:bodyPr/>
                  <a:lstStyle/>
                  <a:p>
                    <a:r>
                      <a:rPr lang="en-US"/>
                      <a:t>2,022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974-48C1-BC74-60788BB2D5E7}"/>
                </c:ext>
              </c:extLst>
            </c:dLbl>
            <c:dLbl>
              <c:idx val="1"/>
              <c:tx>
                <c:rich>
                  <a:bodyPr/>
                  <a:lstStyle/>
                  <a:p>
                    <a:r>
                      <a:rPr lang="en-US"/>
                      <a:t>1,941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974-48C1-BC74-60788BB2D5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(demographics!$Q$3,demographics!$X$3)</c:f>
              <c:strCache>
                <c:ptCount val="2"/>
                <c:pt idx="0">
                  <c:v>Rate All 2022</c:v>
                </c:pt>
                <c:pt idx="1">
                  <c:v>Rate All 2023</c:v>
                </c:pt>
              </c:strCache>
              <c:extLst/>
            </c:strRef>
          </c:cat>
          <c:val>
            <c:numRef>
              <c:f>(demographics!$Q$5,demographics!$X$5)</c:f>
              <c:numCache>
                <c:formatCode>0.00</c:formatCode>
                <c:ptCount val="2"/>
                <c:pt idx="0">
                  <c:v>0.88717125358044024</c:v>
                </c:pt>
                <c:pt idx="1">
                  <c:v>0.82847725155552898</c:v>
                </c:pt>
              </c:numCache>
              <c:extLst/>
            </c:numRef>
          </c:val>
          <c:extLst xmlns:c15="http://schemas.microsoft.com/office/drawing/2012/chart">
            <c:ext xmlns:c16="http://schemas.microsoft.com/office/drawing/2014/chart" uri="{C3380CC4-5D6E-409C-BE32-E72D297353CC}">
              <c16:uniqueId val="{00000005-F974-48C1-BC74-60788BB2D5E7}"/>
            </c:ext>
          </c:extLst>
        </c:ser>
        <c:ser>
          <c:idx val="2"/>
          <c:order val="2"/>
          <c:tx>
            <c:strRef>
              <c:f>demographics!$K$6</c:f>
              <c:strCache>
                <c:ptCount val="1"/>
                <c:pt idx="0">
                  <c:v>Outer Regional</c:v>
                </c:pt>
              </c:strCache>
            </c:strRef>
          </c:tx>
          <c:spPr>
            <a:solidFill>
              <a:schemeClr val="accent6"/>
            </a:solidFill>
            <a:ln>
              <a:noFill/>
            </a:ln>
            <a:effectLst/>
          </c:spPr>
          <c:invertIfNegative val="0"/>
          <c:dLbls>
            <c:dLbl>
              <c:idx val="0"/>
              <c:tx>
                <c:rich>
                  <a:bodyPr/>
                  <a:lstStyle/>
                  <a:p>
                    <a:r>
                      <a:rPr lang="en-US"/>
                      <a:t>911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974-48C1-BC74-60788BB2D5E7}"/>
                </c:ext>
              </c:extLst>
            </c:dLbl>
            <c:dLbl>
              <c:idx val="1"/>
              <c:tx>
                <c:rich>
                  <a:bodyPr/>
                  <a:lstStyle/>
                  <a:p>
                    <a:r>
                      <a:rPr lang="en-US"/>
                      <a:t>787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974-48C1-BC74-60788BB2D5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(demographics!$Q$3,demographics!$X$3)</c:f>
              <c:strCache>
                <c:ptCount val="2"/>
                <c:pt idx="0">
                  <c:v>Rate All 2022</c:v>
                </c:pt>
                <c:pt idx="1">
                  <c:v>Rate All 2023</c:v>
                </c:pt>
              </c:strCache>
              <c:extLst/>
            </c:strRef>
          </c:cat>
          <c:val>
            <c:numRef>
              <c:f>(demographics!$Q$6,demographics!$X$6)</c:f>
              <c:numCache>
                <c:formatCode>0.00</c:formatCode>
                <c:ptCount val="2"/>
                <c:pt idx="0">
                  <c:v>0.39970969931344263</c:v>
                </c:pt>
                <c:pt idx="1">
                  <c:v>0.33591529983214902</c:v>
                </c:pt>
              </c:numCache>
              <c:extLst/>
            </c:numRef>
          </c:val>
          <c:extLst xmlns:c15="http://schemas.microsoft.com/office/drawing/2012/chart">
            <c:ext xmlns:c16="http://schemas.microsoft.com/office/drawing/2014/chart" uri="{C3380CC4-5D6E-409C-BE32-E72D297353CC}">
              <c16:uniqueId val="{00000008-F974-48C1-BC74-60788BB2D5E7}"/>
            </c:ext>
          </c:extLst>
        </c:ser>
        <c:ser>
          <c:idx val="3"/>
          <c:order val="3"/>
          <c:tx>
            <c:strRef>
              <c:f>demographics!$K$7</c:f>
              <c:strCache>
                <c:ptCount val="1"/>
                <c:pt idx="0">
                  <c:v>Remote</c:v>
                </c:pt>
              </c:strCache>
            </c:strRef>
          </c:tx>
          <c:spPr>
            <a:solidFill>
              <a:schemeClr val="accent6">
                <a:shade val="76000"/>
              </a:schemeClr>
            </a:solidFill>
            <a:ln>
              <a:noFill/>
            </a:ln>
            <a:effectLst/>
          </c:spPr>
          <c:invertIfNegative val="0"/>
          <c:dLbls>
            <c:dLbl>
              <c:idx val="0"/>
              <c:tx>
                <c:rich>
                  <a:bodyPr/>
                  <a:lstStyle/>
                  <a:p>
                    <a:r>
                      <a:rPr lang="en-US"/>
                      <a:t>130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974-48C1-BC74-60788BB2D5E7}"/>
                </c:ext>
              </c:extLst>
            </c:dLbl>
            <c:dLbl>
              <c:idx val="1"/>
              <c:tx>
                <c:rich>
                  <a:bodyPr/>
                  <a:lstStyle/>
                  <a:p>
                    <a:r>
                      <a:rPr lang="en-US"/>
                      <a:t>139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974-48C1-BC74-60788BB2D5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(demographics!$Q$3,demographics!$X$3)</c:f>
              <c:strCache>
                <c:ptCount val="2"/>
                <c:pt idx="0">
                  <c:v>Rate All 2022</c:v>
                </c:pt>
                <c:pt idx="1">
                  <c:v>Rate All 2023</c:v>
                </c:pt>
              </c:strCache>
              <c:extLst/>
            </c:strRef>
          </c:cat>
          <c:val>
            <c:numRef>
              <c:f>(demographics!$Q$7,demographics!$X$7)</c:f>
              <c:numCache>
                <c:formatCode>0.00</c:formatCode>
                <c:ptCount val="2"/>
                <c:pt idx="0">
                  <c:v>5.7038705719810699E-2</c:v>
                </c:pt>
                <c:pt idx="1">
                  <c:v>5.9329385866161016E-2</c:v>
                </c:pt>
              </c:numCache>
              <c:extLst/>
            </c:numRef>
          </c:val>
          <c:extLst>
            <c:ext xmlns:c16="http://schemas.microsoft.com/office/drawing/2014/chart" uri="{C3380CC4-5D6E-409C-BE32-E72D297353CC}">
              <c16:uniqueId val="{0000000B-F974-48C1-BC74-60788BB2D5E7}"/>
            </c:ext>
          </c:extLst>
        </c:ser>
        <c:ser>
          <c:idx val="4"/>
          <c:order val="4"/>
          <c:tx>
            <c:strRef>
              <c:f>demographics!$K$8</c:f>
              <c:strCache>
                <c:ptCount val="1"/>
                <c:pt idx="0">
                  <c:v>Other/Unknown</c:v>
                </c:pt>
              </c:strCache>
            </c:strRef>
          </c:tx>
          <c:spPr>
            <a:solidFill>
              <a:schemeClr val="accent6">
                <a:shade val="53000"/>
              </a:schemeClr>
            </a:solidFill>
            <a:ln>
              <a:noFill/>
            </a:ln>
            <a:effectLst/>
          </c:spPr>
          <c:invertIfNegative val="0"/>
          <c:dLbls>
            <c:dLbl>
              <c:idx val="0"/>
              <c:tx>
                <c:rich>
                  <a:bodyPr/>
                  <a:lstStyle/>
                  <a:p>
                    <a:r>
                      <a:rPr lang="en-US"/>
                      <a:t>155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974-48C1-BC74-60788BB2D5E7}"/>
                </c:ext>
              </c:extLst>
            </c:dLbl>
            <c:dLbl>
              <c:idx val="1"/>
              <c:tx>
                <c:rich>
                  <a:bodyPr/>
                  <a:lstStyle/>
                  <a:p>
                    <a:r>
                      <a:rPr lang="en-US"/>
                      <a:t>186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974-48C1-BC74-60788BB2D5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(demographics!$Q$3,demographics!$X$3)</c:f>
              <c:strCache>
                <c:ptCount val="2"/>
                <c:pt idx="0">
                  <c:v>Rate All 2022</c:v>
                </c:pt>
                <c:pt idx="1">
                  <c:v>Rate All 2023</c:v>
                </c:pt>
              </c:strCache>
              <c:extLst/>
            </c:strRef>
          </c:cat>
          <c:val>
            <c:numRef>
              <c:f>(demographics!$Q$8,demographics!$X$8)</c:f>
              <c:numCache>
                <c:formatCode>0.00</c:formatCode>
                <c:ptCount val="2"/>
                <c:pt idx="0">
                  <c:v>6.8007687589005064E-2</c:v>
                </c:pt>
                <c:pt idx="1">
                  <c:v>7.9390401230978055E-2</c:v>
                </c:pt>
              </c:numCache>
              <c:extLst/>
            </c:numRef>
          </c:val>
          <c:extLst xmlns:c15="http://schemas.microsoft.com/office/drawing/2012/chart">
            <c:ext xmlns:c16="http://schemas.microsoft.com/office/drawing/2014/chart" uri="{C3380CC4-5D6E-409C-BE32-E72D297353CC}">
              <c16:uniqueId val="{0000000E-F974-48C1-BC74-60788BB2D5E7}"/>
            </c:ext>
          </c:extLst>
        </c:ser>
        <c:dLbls>
          <c:dLblPos val="outEnd"/>
          <c:showLegendKey val="0"/>
          <c:showVal val="1"/>
          <c:showCatName val="0"/>
          <c:showSerName val="0"/>
          <c:showPercent val="0"/>
          <c:showBubbleSize val="0"/>
        </c:dLbls>
        <c:gapWidth val="150"/>
        <c:axId val="665230600"/>
        <c:axId val="665230960"/>
        <c:extLst/>
      </c:barChart>
      <c:catAx>
        <c:axId val="6652306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5230960"/>
        <c:crosses val="autoZero"/>
        <c:auto val="1"/>
        <c:lblAlgn val="ctr"/>
        <c:lblOffset val="100"/>
        <c:noMultiLvlLbl val="0"/>
      </c:catAx>
      <c:valAx>
        <c:axId val="665230960"/>
        <c:scaling>
          <c:orientation val="minMax"/>
          <c:max val="5"/>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solidFill>
                    <a:latin typeface="+mn-lt"/>
                    <a:ea typeface="+mn-ea"/>
                    <a:cs typeface="+mn-cs"/>
                  </a:defRPr>
                </a:pPr>
                <a:r>
                  <a:rPr lang="en-AU">
                    <a:solidFill>
                      <a:schemeClr val="tx1"/>
                    </a:solidFill>
                  </a:rPr>
                  <a:t>Rate</a:t>
                </a:r>
                <a:r>
                  <a:rPr lang="en-AU" baseline="0">
                    <a:solidFill>
                      <a:schemeClr val="tx1"/>
                    </a:solidFill>
                  </a:rPr>
                  <a:t> of CDI diagnoses per 10,000 patient bed days </a:t>
                </a:r>
                <a:endParaRPr lang="en-AU">
                  <a:solidFill>
                    <a:schemeClr val="tx1"/>
                  </a:solidFill>
                </a:endParaRPr>
              </a:p>
            </c:rich>
          </c:tx>
          <c:layout>
            <c:manualLayout>
              <c:xMode val="edge"/>
              <c:yMode val="edge"/>
              <c:x val="2.3081361800346221E-2"/>
              <c:y val="0.32410234434981339"/>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AU"/>
            </a:p>
          </c:txPr>
        </c:title>
        <c:numFmt formatCode="#,##0.0" sourceLinked="0"/>
        <c:majorTickMark val="in"/>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5230600"/>
        <c:crosses val="autoZero"/>
        <c:crossBetween val="between"/>
        <c:majorUnit val="0.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'AB PPI use'!$B$26</c:f>
              <c:strCache>
                <c:ptCount val="1"/>
                <c:pt idx="0">
                  <c:v>DDD per 1,000 people per day</c:v>
                </c:pt>
              </c:strCache>
            </c:strRef>
          </c:tx>
          <c:spPr>
            <a:solidFill>
              <a:schemeClr val="accent6">
                <a:lumMod val="75000"/>
              </a:schemeClr>
            </a:solidFill>
            <a:ln>
              <a:noFill/>
            </a:ln>
            <a:effectLst/>
          </c:spPr>
          <c:invertIfNegative val="0"/>
          <c:cat>
            <c:numRef>
              <c:f>'AB PPI use'!$D$25:$J$25</c:f>
              <c:numCache>
                <c:formatCode>General</c:formatCode>
                <c:ptCount val="7"/>
                <c:pt idx="0">
                  <c:v>2017</c:v>
                </c:pt>
                <c:pt idx="1">
                  <c:v>2018</c:v>
                </c:pt>
                <c:pt idx="2">
                  <c:v>2019</c:v>
                </c:pt>
                <c:pt idx="3">
                  <c:v>2020</c:v>
                </c:pt>
                <c:pt idx="4">
                  <c:v>2021</c:v>
                </c:pt>
                <c:pt idx="5">
                  <c:v>2022</c:v>
                </c:pt>
                <c:pt idx="6">
                  <c:v>2023</c:v>
                </c:pt>
              </c:numCache>
              <c:extLst/>
            </c:numRef>
          </c:cat>
          <c:val>
            <c:numRef>
              <c:f>'AB PPI use'!$D$26:$J$26</c:f>
              <c:numCache>
                <c:formatCode>General</c:formatCode>
                <c:ptCount val="7"/>
                <c:pt idx="0">
                  <c:v>20.6</c:v>
                </c:pt>
                <c:pt idx="1">
                  <c:v>19.899999999999999</c:v>
                </c:pt>
                <c:pt idx="2">
                  <c:v>20.3</c:v>
                </c:pt>
                <c:pt idx="3">
                  <c:v>16</c:v>
                </c:pt>
                <c:pt idx="4">
                  <c:v>15.9</c:v>
                </c:pt>
                <c:pt idx="5">
                  <c:v>16.8</c:v>
                </c:pt>
                <c:pt idx="6">
                  <c:v>16.8</c:v>
                </c:pt>
              </c:numCache>
              <c:extLst/>
            </c:numRef>
          </c:val>
          <c:extLst>
            <c:ext xmlns:c16="http://schemas.microsoft.com/office/drawing/2014/chart" uri="{C3380CC4-5D6E-409C-BE32-E72D297353CC}">
              <c16:uniqueId val="{00000000-DB29-4692-8A73-B89CAF01C905}"/>
            </c:ext>
          </c:extLst>
        </c:ser>
        <c:dLbls>
          <c:showLegendKey val="0"/>
          <c:showVal val="0"/>
          <c:showCatName val="0"/>
          <c:showSerName val="0"/>
          <c:showPercent val="0"/>
          <c:showBubbleSize val="0"/>
        </c:dLbls>
        <c:gapWidth val="150"/>
        <c:axId val="663465128"/>
        <c:axId val="663463328"/>
      </c:barChart>
      <c:lineChart>
        <c:grouping val="standard"/>
        <c:varyColors val="0"/>
        <c:ser>
          <c:idx val="1"/>
          <c:order val="1"/>
          <c:tx>
            <c:strRef>
              <c:f>'AB PPI use'!$B$27</c:f>
              <c:strCache>
                <c:ptCount val="1"/>
                <c:pt idx="0">
                  <c:v>Rate of CDI with pre-existing symptoms</c:v>
                </c:pt>
              </c:strCache>
            </c:strRef>
          </c:tx>
          <c:spPr>
            <a:ln w="28575" cap="rnd">
              <a:solidFill>
                <a:schemeClr val="tx1">
                  <a:lumMod val="65000"/>
                  <a:lumOff val="35000"/>
                </a:schemeClr>
              </a:solidFill>
              <a:round/>
            </a:ln>
            <a:effectLst/>
          </c:spPr>
          <c:marker>
            <c:symbol val="none"/>
          </c:marker>
          <c:cat>
            <c:numRef>
              <c:f>'AB PPI use'!$D$25:$J$25</c:f>
              <c:numCache>
                <c:formatCode>General</c:formatCode>
                <c:ptCount val="7"/>
                <c:pt idx="0">
                  <c:v>2017</c:v>
                </c:pt>
                <c:pt idx="1">
                  <c:v>2018</c:v>
                </c:pt>
                <c:pt idx="2">
                  <c:v>2019</c:v>
                </c:pt>
                <c:pt idx="3">
                  <c:v>2020</c:v>
                </c:pt>
                <c:pt idx="4">
                  <c:v>2021</c:v>
                </c:pt>
                <c:pt idx="5">
                  <c:v>2022</c:v>
                </c:pt>
                <c:pt idx="6">
                  <c:v>2023</c:v>
                </c:pt>
              </c:numCache>
              <c:extLst/>
            </c:numRef>
          </c:cat>
          <c:val>
            <c:numRef>
              <c:f>'AB PPI use'!$D$27:$J$27</c:f>
              <c:numCache>
                <c:formatCode>General</c:formatCode>
                <c:ptCount val="7"/>
                <c:pt idx="0">
                  <c:v>2.95</c:v>
                </c:pt>
                <c:pt idx="1">
                  <c:v>3.18</c:v>
                </c:pt>
                <c:pt idx="2">
                  <c:v>3.19</c:v>
                </c:pt>
                <c:pt idx="3">
                  <c:v>3.22</c:v>
                </c:pt>
                <c:pt idx="4">
                  <c:v>3.89</c:v>
                </c:pt>
                <c:pt idx="5">
                  <c:v>4.29</c:v>
                </c:pt>
                <c:pt idx="6">
                  <c:v>3.77</c:v>
                </c:pt>
              </c:numCache>
              <c:extLst/>
            </c:numRef>
          </c:val>
          <c:smooth val="0"/>
          <c:extLst>
            <c:ext xmlns:c16="http://schemas.microsoft.com/office/drawing/2014/chart" uri="{C3380CC4-5D6E-409C-BE32-E72D297353CC}">
              <c16:uniqueId val="{00000001-DB29-4692-8A73-B89CAF01C905}"/>
            </c:ext>
          </c:extLst>
        </c:ser>
        <c:dLbls>
          <c:showLegendKey val="0"/>
          <c:showVal val="0"/>
          <c:showCatName val="0"/>
          <c:showSerName val="0"/>
          <c:showPercent val="0"/>
          <c:showBubbleSize val="0"/>
        </c:dLbls>
        <c:marker val="1"/>
        <c:smooth val="0"/>
        <c:axId val="893751008"/>
        <c:axId val="893749568"/>
      </c:lineChart>
      <c:catAx>
        <c:axId val="6634651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3463328"/>
        <c:crosses val="autoZero"/>
        <c:auto val="0"/>
        <c:lblAlgn val="ctr"/>
        <c:lblOffset val="100"/>
        <c:noMultiLvlLbl val="0"/>
      </c:catAx>
      <c:valAx>
        <c:axId val="663463328"/>
        <c:scaling>
          <c:orientation val="minMax"/>
          <c:max val="25"/>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DDD/1,000</a:t>
                </a:r>
                <a:r>
                  <a:rPr lang="en-AU" baseline="0">
                    <a:solidFill>
                      <a:sysClr val="windowText" lastClr="000000"/>
                    </a:solidFill>
                  </a:rPr>
                  <a:t> people/day </a:t>
                </a:r>
                <a:endParaRPr lang="en-A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A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3465128"/>
        <c:crosses val="autoZero"/>
        <c:crossBetween val="between"/>
        <c:majorUnit val="2"/>
      </c:valAx>
      <c:valAx>
        <c:axId val="893749568"/>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Estimated</a:t>
                </a:r>
                <a:r>
                  <a:rPr lang="en-AU" baseline="0">
                    <a:solidFill>
                      <a:sysClr val="windowText" lastClr="000000"/>
                    </a:solidFill>
                  </a:rPr>
                  <a:t> rate of pre-existing CDI per 10,000 bed days</a:t>
                </a:r>
                <a:endParaRPr lang="en-AU">
                  <a:solidFill>
                    <a:sysClr val="windowText" lastClr="000000"/>
                  </a:solidFill>
                </a:endParaRPr>
              </a:p>
            </c:rich>
          </c:tx>
          <c:layout>
            <c:manualLayout>
              <c:xMode val="edge"/>
              <c:yMode val="edge"/>
              <c:x val="0.90728624535315971"/>
              <c:y val="3.891050583657587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A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3751008"/>
        <c:crosses val="max"/>
        <c:crossBetween val="between"/>
        <c:majorUnit val="1"/>
      </c:valAx>
      <c:catAx>
        <c:axId val="893751008"/>
        <c:scaling>
          <c:orientation val="minMax"/>
        </c:scaling>
        <c:delete val="1"/>
        <c:axPos val="b"/>
        <c:numFmt formatCode="General" sourceLinked="1"/>
        <c:majorTickMark val="out"/>
        <c:minorTickMark val="none"/>
        <c:tickLblPos val="nextTo"/>
        <c:crossAx val="893749568"/>
        <c:crosses val="autoZero"/>
        <c:auto val="1"/>
        <c:lblAlgn val="ctr"/>
        <c:lblOffset val="100"/>
        <c:noMultiLvlLbl val="0"/>
      </c:catAx>
      <c:spPr>
        <a:noFill/>
        <a:ln>
          <a:noFill/>
        </a:ln>
        <a:effectLst/>
      </c:spPr>
    </c:plotArea>
    <c:legend>
      <c:legendPos val="b"/>
      <c:layout>
        <c:manualLayout>
          <c:xMode val="edge"/>
          <c:yMode val="edge"/>
          <c:x val="7.8479056288967591E-2"/>
          <c:y val="0.87208125248935309"/>
          <c:w val="0.85295514640595571"/>
          <c:h val="6.56619381721253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5804000109742"/>
          <c:y val="7.1216617210682495E-2"/>
          <c:w val="0.71724001344344157"/>
          <c:h val="0.69029307538338125"/>
        </c:manualLayout>
      </c:layout>
      <c:barChart>
        <c:barDir val="col"/>
        <c:grouping val="clustered"/>
        <c:varyColors val="0"/>
        <c:ser>
          <c:idx val="0"/>
          <c:order val="0"/>
          <c:tx>
            <c:strRef>
              <c:f>'AB PPI use'!$B$40</c:f>
              <c:strCache>
                <c:ptCount val="1"/>
                <c:pt idx="0">
                  <c:v>Total prescriptions</c:v>
                </c:pt>
              </c:strCache>
            </c:strRef>
          </c:tx>
          <c:spPr>
            <a:solidFill>
              <a:srgbClr val="C94500"/>
            </a:solidFill>
            <a:ln>
              <a:noFill/>
            </a:ln>
            <a:effectLst/>
          </c:spPr>
          <c:invertIfNegative val="0"/>
          <c:cat>
            <c:numRef>
              <c:f>'AB PPI use'!$D$39:$I$39</c:f>
              <c:numCache>
                <c:formatCode>0</c:formatCode>
                <c:ptCount val="6"/>
                <c:pt idx="0">
                  <c:v>2018</c:v>
                </c:pt>
                <c:pt idx="1">
                  <c:v>2019</c:v>
                </c:pt>
                <c:pt idx="2">
                  <c:v>2020</c:v>
                </c:pt>
                <c:pt idx="3">
                  <c:v>2021</c:v>
                </c:pt>
                <c:pt idx="4">
                  <c:v>2022</c:v>
                </c:pt>
                <c:pt idx="5">
                  <c:v>2023</c:v>
                </c:pt>
              </c:numCache>
            </c:numRef>
          </c:cat>
          <c:val>
            <c:numRef>
              <c:f>'AB PPI use'!$D$40:$I$40</c:f>
              <c:numCache>
                <c:formatCode>#,##0</c:formatCode>
                <c:ptCount val="6"/>
                <c:pt idx="0">
                  <c:v>22048840</c:v>
                </c:pt>
                <c:pt idx="1">
                  <c:v>21343104</c:v>
                </c:pt>
                <c:pt idx="2">
                  <c:v>22522563</c:v>
                </c:pt>
                <c:pt idx="3">
                  <c:v>23125169</c:v>
                </c:pt>
                <c:pt idx="4">
                  <c:v>23523558</c:v>
                </c:pt>
                <c:pt idx="5">
                  <c:v>23765685</c:v>
                </c:pt>
              </c:numCache>
            </c:numRef>
          </c:val>
          <c:extLst>
            <c:ext xmlns:c16="http://schemas.microsoft.com/office/drawing/2014/chart" uri="{C3380CC4-5D6E-409C-BE32-E72D297353CC}">
              <c16:uniqueId val="{00000000-1511-43C8-9ACD-E42E1CEB84D9}"/>
            </c:ext>
          </c:extLst>
        </c:ser>
        <c:dLbls>
          <c:showLegendKey val="0"/>
          <c:showVal val="0"/>
          <c:showCatName val="0"/>
          <c:showSerName val="0"/>
          <c:showPercent val="0"/>
          <c:showBubbleSize val="0"/>
        </c:dLbls>
        <c:gapWidth val="150"/>
        <c:axId val="756784488"/>
        <c:axId val="756781248"/>
      </c:barChart>
      <c:lineChart>
        <c:grouping val="standard"/>
        <c:varyColors val="0"/>
        <c:ser>
          <c:idx val="1"/>
          <c:order val="1"/>
          <c:tx>
            <c:strRef>
              <c:f>'AB PPI use'!$B$41</c:f>
              <c:strCache>
                <c:ptCount val="1"/>
                <c:pt idx="0">
                  <c:v>Rate of CDI with pre-existing symptoms</c:v>
                </c:pt>
              </c:strCache>
            </c:strRef>
          </c:tx>
          <c:spPr>
            <a:ln w="28575" cap="rnd">
              <a:solidFill>
                <a:schemeClr val="tx1">
                  <a:lumMod val="75000"/>
                  <a:lumOff val="25000"/>
                </a:schemeClr>
              </a:solidFill>
              <a:round/>
            </a:ln>
            <a:effectLst/>
          </c:spPr>
          <c:marker>
            <c:symbol val="none"/>
          </c:marker>
          <c:cat>
            <c:numRef>
              <c:f>'AB PPI use'!$D$39:$I$39</c:f>
              <c:numCache>
                <c:formatCode>0</c:formatCode>
                <c:ptCount val="6"/>
                <c:pt idx="0">
                  <c:v>2018</c:v>
                </c:pt>
                <c:pt idx="1">
                  <c:v>2019</c:v>
                </c:pt>
                <c:pt idx="2">
                  <c:v>2020</c:v>
                </c:pt>
                <c:pt idx="3">
                  <c:v>2021</c:v>
                </c:pt>
                <c:pt idx="4">
                  <c:v>2022</c:v>
                </c:pt>
                <c:pt idx="5">
                  <c:v>2023</c:v>
                </c:pt>
              </c:numCache>
            </c:numRef>
          </c:cat>
          <c:val>
            <c:numRef>
              <c:f>'AB PPI use'!$D$41:$I$41</c:f>
              <c:numCache>
                <c:formatCode>General</c:formatCode>
                <c:ptCount val="6"/>
                <c:pt idx="0">
                  <c:v>3.18</c:v>
                </c:pt>
                <c:pt idx="1">
                  <c:v>3.19</c:v>
                </c:pt>
                <c:pt idx="2">
                  <c:v>3.22</c:v>
                </c:pt>
                <c:pt idx="3">
                  <c:v>3.89</c:v>
                </c:pt>
                <c:pt idx="4">
                  <c:v>4.29</c:v>
                </c:pt>
                <c:pt idx="5">
                  <c:v>3.77</c:v>
                </c:pt>
              </c:numCache>
            </c:numRef>
          </c:val>
          <c:smooth val="0"/>
          <c:extLst>
            <c:ext xmlns:c16="http://schemas.microsoft.com/office/drawing/2014/chart" uri="{C3380CC4-5D6E-409C-BE32-E72D297353CC}">
              <c16:uniqueId val="{00000001-1511-43C8-9ACD-E42E1CEB84D9}"/>
            </c:ext>
          </c:extLst>
        </c:ser>
        <c:dLbls>
          <c:showLegendKey val="0"/>
          <c:showVal val="0"/>
          <c:showCatName val="0"/>
          <c:showSerName val="0"/>
          <c:showPercent val="0"/>
          <c:showBubbleSize val="0"/>
        </c:dLbls>
        <c:marker val="1"/>
        <c:smooth val="0"/>
        <c:axId val="756792560"/>
        <c:axId val="756795800"/>
      </c:lineChart>
      <c:catAx>
        <c:axId val="756784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Year</a:t>
                </a:r>
              </a:p>
            </c:rich>
          </c:tx>
          <c:layout>
            <c:manualLayout>
              <c:xMode val="edge"/>
              <c:yMode val="edge"/>
              <c:x val="0.49858209462411529"/>
              <c:y val="0.793863466095864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6781248"/>
        <c:crosses val="autoZero"/>
        <c:auto val="1"/>
        <c:lblAlgn val="ctr"/>
        <c:lblOffset val="100"/>
        <c:noMultiLvlLbl val="0"/>
      </c:catAx>
      <c:valAx>
        <c:axId val="7567812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Total number</a:t>
                </a:r>
                <a:r>
                  <a:rPr lang="en-AU" baseline="0">
                    <a:solidFill>
                      <a:sysClr val="windowText" lastClr="000000"/>
                    </a:solidFill>
                  </a:rPr>
                  <a:t> of all PPI </a:t>
                </a:r>
                <a:r>
                  <a:rPr lang="en-AU">
                    <a:solidFill>
                      <a:sysClr val="windowText" lastClr="000000"/>
                    </a:solidFill>
                  </a:rPr>
                  <a:t> perscriptions</a:t>
                </a:r>
                <a:r>
                  <a:rPr lang="en-AU" baseline="0">
                    <a:solidFill>
                      <a:sysClr val="windowText" lastClr="000000"/>
                    </a:solidFill>
                  </a:rPr>
                  <a:t> </a:t>
                </a:r>
                <a:endParaRPr lang="en-AU">
                  <a:solidFill>
                    <a:sysClr val="windowText" lastClr="000000"/>
                  </a:solidFill>
                </a:endParaRPr>
              </a:p>
            </c:rich>
          </c:tx>
          <c:layout>
            <c:manualLayout>
              <c:xMode val="edge"/>
              <c:yMode val="edge"/>
              <c:x val="1.261883042058767E-2"/>
              <c:y val="9.955684322842434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AU"/>
            </a:p>
          </c:txPr>
        </c:title>
        <c:numFmt formatCode="#,##0" sourceLinked="1"/>
        <c:majorTickMark val="in"/>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6784488"/>
        <c:crosses val="autoZero"/>
        <c:crossBetween val="between"/>
      </c:valAx>
      <c:valAx>
        <c:axId val="7567958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Estimated</a:t>
                </a:r>
                <a:r>
                  <a:rPr lang="en-AU" sz="1000" baseline="0">
                    <a:solidFill>
                      <a:sysClr val="windowText" lastClr="000000"/>
                    </a:solidFill>
                  </a:rPr>
                  <a:t> rate of pre-existing CDI per 10,000 bed days </a:t>
                </a:r>
                <a:endParaRPr lang="en-AU" sz="1000">
                  <a:solidFill>
                    <a:sysClr val="windowText" lastClr="000000"/>
                  </a:solidFill>
                </a:endParaRPr>
              </a:p>
            </c:rich>
          </c:tx>
          <c:layout>
            <c:manualLayout>
              <c:xMode val="edge"/>
              <c:yMode val="edge"/>
              <c:x val="0.9284963236302779"/>
              <c:y val="4.38608378700436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in"/>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56792560"/>
        <c:crosses val="max"/>
        <c:crossBetween val="between"/>
        <c:majorUnit val="1"/>
      </c:valAx>
      <c:catAx>
        <c:axId val="756792560"/>
        <c:scaling>
          <c:orientation val="minMax"/>
        </c:scaling>
        <c:delete val="1"/>
        <c:axPos val="b"/>
        <c:numFmt formatCode="0" sourceLinked="1"/>
        <c:majorTickMark val="out"/>
        <c:minorTickMark val="none"/>
        <c:tickLblPos val="nextTo"/>
        <c:crossAx val="756795800"/>
        <c:crosses val="autoZero"/>
        <c:auto val="1"/>
        <c:lblAlgn val="ctr"/>
        <c:lblOffset val="100"/>
        <c:noMultiLvlLbl val="0"/>
      </c:catAx>
      <c:spPr>
        <a:noFill/>
        <a:ln>
          <a:noFill/>
        </a:ln>
        <a:effectLst/>
      </c:spPr>
    </c:plotArea>
    <c:legend>
      <c:legendPos val="b"/>
      <c:layout>
        <c:manualLayout>
          <c:xMode val="edge"/>
          <c:yMode val="edge"/>
          <c:x val="0.19662223171548687"/>
          <c:y val="0.86844625903243577"/>
          <c:w val="0.72019573385632585"/>
          <c:h val="6.94449304947992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0.73824</cdr:x>
      <cdr:y>0.21317</cdr:y>
    </cdr:from>
    <cdr:to>
      <cdr:x>0.84277</cdr:x>
      <cdr:y>0.29647</cdr:y>
    </cdr:to>
    <cdr:sp macro="" textlink="">
      <cdr:nvSpPr>
        <cdr:cNvPr id="2" name="Rectangle 1">
          <a:extLst xmlns:a="http://schemas.openxmlformats.org/drawingml/2006/main">
            <a:ext uri="{FF2B5EF4-FFF2-40B4-BE49-F238E27FC236}">
              <a16:creationId xmlns:a16="http://schemas.microsoft.com/office/drawing/2014/main" id="{E643771D-0286-D37D-C9DE-81235B14B9BE}"/>
            </a:ext>
          </a:extLst>
        </cdr:cNvPr>
        <cdr:cNvSpPr/>
      </cdr:nvSpPr>
      <cdr:spPr>
        <a:xfrm xmlns:a="http://schemas.openxmlformats.org/drawingml/2006/main">
          <a:off x="4305300" y="828675"/>
          <a:ext cx="609600" cy="323851"/>
        </a:xfrm>
        <a:prstGeom xmlns:a="http://schemas.openxmlformats.org/drawingml/2006/main" prst="rect">
          <a:avLst/>
        </a:prstGeom>
        <a:noFill xmlns:a="http://schemas.openxmlformats.org/drawingml/2006/main"/>
        <a:ln xmlns:a="http://schemas.openxmlformats.org/drawingml/2006/main" w="3175">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AU" kern="1200">
              <a:solidFill>
                <a:sysClr val="windowText" lastClr="000000"/>
              </a:solidFill>
            </a:rPr>
            <a:t>5.59</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02C12D3F6F4721BFEAB7745CF07FAB"/>
        <w:category>
          <w:name w:val="General"/>
          <w:gallery w:val="placeholder"/>
        </w:category>
        <w:types>
          <w:type w:val="bbPlcHdr"/>
        </w:types>
        <w:behaviors>
          <w:behavior w:val="content"/>
        </w:behaviors>
        <w:guid w:val="{635951E5-328D-4EFF-B936-C7425E6BF9C4}"/>
      </w:docPartPr>
      <w:docPartBody>
        <w:p w:rsidR="00C8376F" w:rsidRDefault="00C8376F">
          <w:pPr>
            <w:pStyle w:val="5E02C12D3F6F4721BFEAB7745CF07FAB"/>
          </w:pPr>
          <w:r w:rsidRPr="00896871">
            <w:t>Date goes here</w:t>
          </w:r>
        </w:p>
      </w:docPartBody>
    </w:docPart>
    <w:docPart>
      <w:docPartPr>
        <w:name w:val="36ED59BEF5824425B17A99743835A76C"/>
        <w:category>
          <w:name w:val="General"/>
          <w:gallery w:val="placeholder"/>
        </w:category>
        <w:types>
          <w:type w:val="bbPlcHdr"/>
        </w:types>
        <w:behaviors>
          <w:behavior w:val="content"/>
        </w:behaviors>
        <w:guid w:val="{FB4B8788-2502-4605-B28B-A05B5E2BDAA4}"/>
      </w:docPartPr>
      <w:docPartBody>
        <w:p w:rsidR="00C8376F" w:rsidRDefault="00C8376F">
          <w:pPr>
            <w:pStyle w:val="36ED59BEF5824425B17A99743835A76C"/>
          </w:pPr>
          <w:r w:rsidRPr="00062BA3">
            <w:t>Best-practice care for people, clinicians,</w:t>
          </w:r>
          <w:r>
            <w:t xml:space="preserve"> </w:t>
          </w:r>
          <w:r w:rsidRPr="00062BA3">
            <w:t>and Healthcare 36 pt</w:t>
          </w:r>
        </w:p>
      </w:docPartBody>
    </w:docPart>
    <w:docPart>
      <w:docPartPr>
        <w:name w:val="2859766189AB41A8A7D205A2B151B380"/>
        <w:category>
          <w:name w:val="General"/>
          <w:gallery w:val="placeholder"/>
        </w:category>
        <w:types>
          <w:type w:val="bbPlcHdr"/>
        </w:types>
        <w:behaviors>
          <w:behavior w:val="content"/>
        </w:behaviors>
        <w:guid w:val="{1CAD99E0-ED19-4F7F-9203-8F26748B4F78}"/>
      </w:docPartPr>
      <w:docPartBody>
        <w:p w:rsidR="00C8376F" w:rsidRDefault="00C8376F">
          <w:pPr>
            <w:pStyle w:val="2859766189AB41A8A7D205A2B151B380"/>
          </w:pPr>
          <w:r w:rsidRPr="00896871">
            <w:t>Best-practice care for people, clinicians,</w:t>
          </w:r>
          <w:r>
            <w:t xml:space="preserve"> </w:t>
          </w:r>
          <w:r w:rsidRPr="00896871">
            <w:t>and Healthcare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94"/>
    <w:rsid w:val="000D259E"/>
    <w:rsid w:val="00287AD2"/>
    <w:rsid w:val="0029051F"/>
    <w:rsid w:val="00292828"/>
    <w:rsid w:val="002B47F4"/>
    <w:rsid w:val="0035609B"/>
    <w:rsid w:val="003842E4"/>
    <w:rsid w:val="003B701C"/>
    <w:rsid w:val="004A0109"/>
    <w:rsid w:val="004A191B"/>
    <w:rsid w:val="0053453D"/>
    <w:rsid w:val="00560D47"/>
    <w:rsid w:val="005B783E"/>
    <w:rsid w:val="00782AF7"/>
    <w:rsid w:val="007B537A"/>
    <w:rsid w:val="007B5C70"/>
    <w:rsid w:val="007D5264"/>
    <w:rsid w:val="008C6C55"/>
    <w:rsid w:val="009B1F36"/>
    <w:rsid w:val="00AF3C06"/>
    <w:rsid w:val="00B07923"/>
    <w:rsid w:val="00B93C26"/>
    <w:rsid w:val="00BD1161"/>
    <w:rsid w:val="00BF2757"/>
    <w:rsid w:val="00C130DA"/>
    <w:rsid w:val="00C8376F"/>
    <w:rsid w:val="00D1372E"/>
    <w:rsid w:val="00E139B4"/>
    <w:rsid w:val="00E72A73"/>
    <w:rsid w:val="00EB5E94"/>
    <w:rsid w:val="00EC10F6"/>
    <w:rsid w:val="00EC5E46"/>
    <w:rsid w:val="00EF6C9B"/>
    <w:rsid w:val="00F51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02C12D3F6F4721BFEAB7745CF07FAB">
    <w:name w:val="5E02C12D3F6F4721BFEAB7745CF07FAB"/>
  </w:style>
  <w:style w:type="paragraph" w:customStyle="1" w:styleId="36ED59BEF5824425B17A99743835A76C">
    <w:name w:val="36ED59BEF5824425B17A99743835A76C"/>
  </w:style>
  <w:style w:type="paragraph" w:customStyle="1" w:styleId="2859766189AB41A8A7D205A2B151B380">
    <w:name w:val="2859766189AB41A8A7D205A2B151B3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URA">
      <a:dk1>
        <a:srgbClr val="000000"/>
      </a:dk1>
      <a:lt1>
        <a:srgbClr val="FFFFFF"/>
      </a:lt1>
      <a:dk2>
        <a:srgbClr val="FFA97E"/>
      </a:dk2>
      <a:lt2>
        <a:srgbClr val="FFE2D0"/>
      </a:lt2>
      <a:accent1>
        <a:srgbClr val="8C1E00"/>
      </a:accent1>
      <a:accent2>
        <a:srgbClr val="004C6E"/>
      </a:accent2>
      <a:accent3>
        <a:srgbClr val="C94500"/>
      </a:accent3>
      <a:accent4>
        <a:srgbClr val="FFA97E"/>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ACSQHC - Long form document - AURA - July 2025.DOTX</Template>
  <TotalTime>1</TotalTime>
  <Pages>25</Pages>
  <Words>15327</Words>
  <Characters>87365</Characters>
  <Application>Microsoft Office Word</Application>
  <DocSecurity>4</DocSecurity>
  <Lines>728</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CALDWELL, Jennifer</dc:creator>
  <cp:keywords/>
  <cp:lastModifiedBy>MERTENS, Kate</cp:lastModifiedBy>
  <cp:revision>2</cp:revision>
  <cp:lastPrinted>2025-07-10T05:31:00Z</cp:lastPrinted>
  <dcterms:created xsi:type="dcterms:W3CDTF">2025-08-27T04:28:00Z</dcterms:created>
  <dcterms:modified xsi:type="dcterms:W3CDTF">2025-08-27T04:28:00Z</dcterms:modified>
</cp:coreProperties>
</file>