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5AF2" w14:textId="3AF494BF" w:rsidR="00295887" w:rsidRDefault="007454DB" w:rsidP="00295887">
      <w:pPr>
        <w:pStyle w:val="PublicationDate"/>
        <w:jc w:val="both"/>
      </w:pPr>
      <w:r>
        <w:t xml:space="preserve"> </w:t>
      </w:r>
      <w:r w:rsidR="00295887">
        <w:t xml:space="preserve"> </w:t>
      </w:r>
    </w:p>
    <w:p w14:paraId="6115D24D" w14:textId="62D8A4C3" w:rsidR="00295887" w:rsidRDefault="007454DB" w:rsidP="001E058D">
      <w:pPr>
        <w:pStyle w:val="Title"/>
        <w:spacing w:after="480"/>
      </w:pPr>
      <w:bookmarkStart w:id="0" w:name="_Hlk150860530"/>
      <w:r w:rsidRPr="0028021F">
        <w:t xml:space="preserve">Cosmetic Surgery </w:t>
      </w:r>
      <w:bookmarkEnd w:id="0"/>
      <w:r w:rsidR="00E34E07" w:rsidRPr="0028021F">
        <w:t>Module</w:t>
      </w:r>
    </w:p>
    <w:p w14:paraId="04270510" w14:textId="2839C5B2" w:rsidR="001E058D" w:rsidRPr="00C87426" w:rsidRDefault="001E058D" w:rsidP="001E058D">
      <w:pPr>
        <w:spacing w:after="9000"/>
        <w:rPr>
          <w:color w:val="005370"/>
          <w:sz w:val="44"/>
          <w:szCs w:val="44"/>
        </w:rPr>
      </w:pPr>
      <w:r w:rsidRPr="00C87426">
        <w:rPr>
          <w:color w:val="005370"/>
          <w:sz w:val="44"/>
          <w:szCs w:val="44"/>
        </w:rPr>
        <w:t>May 2024</w:t>
      </w:r>
    </w:p>
    <w:p w14:paraId="0D9F323C" w14:textId="77777777" w:rsidR="00B96E11" w:rsidRDefault="00B96E11" w:rsidP="00B96E11">
      <w:pPr>
        <w:rPr>
          <w:lang w:val="en-GB"/>
        </w:rPr>
      </w:pPr>
    </w:p>
    <w:p w14:paraId="15AF38B2" w14:textId="601AEE07" w:rsidR="00B96E11" w:rsidRPr="00B96E11" w:rsidRDefault="00B96E11" w:rsidP="00B96E11">
      <w:pPr>
        <w:jc w:val="right"/>
        <w:rPr>
          <w:lang w:val="en-GB"/>
        </w:rPr>
        <w:sectPr w:rsidR="00B96E11" w:rsidRPr="00B96E11" w:rsidSect="0065015C">
          <w:headerReference w:type="even" r:id="rId11"/>
          <w:headerReference w:type="default" r:id="rId12"/>
          <w:footerReference w:type="even" r:id="rId13"/>
          <w:headerReference w:type="first" r:id="rId14"/>
          <w:pgSz w:w="11906" w:h="16838"/>
          <w:pgMar w:top="2475" w:right="1134" w:bottom="851" w:left="1134" w:header="709" w:footer="567" w:gutter="0"/>
          <w:cols w:space="708"/>
          <w:titlePg/>
          <w:docGrid w:linePitch="360"/>
        </w:sectPr>
      </w:pPr>
      <w:r>
        <w:rPr>
          <w:noProof/>
          <w:lang w:val="en-GB"/>
        </w:rPr>
        <w:drawing>
          <wp:inline distT="0" distB="0" distL="0" distR="0" wp14:anchorId="494424D2" wp14:editId="6FFD2592">
            <wp:extent cx="612000" cy="612000"/>
            <wp:effectExtent l="0" t="0" r="0" b="0"/>
            <wp:docPr id="930546140" name="Picture 2" descr="Clinical Governance Standa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46140" name="Picture 2" descr="Clinical Governance Standard Icon"/>
                    <pic:cNvPicPr/>
                  </pic:nvPicPr>
                  <pic:blipFill>
                    <a:blip r:embed="rId15"/>
                    <a:stretch>
                      <a:fillRect/>
                    </a:stretch>
                  </pic:blipFill>
                  <pic:spPr>
                    <a:xfrm>
                      <a:off x="0" y="0"/>
                      <a:ext cx="612000" cy="612000"/>
                    </a:xfrm>
                    <a:prstGeom prst="rect">
                      <a:avLst/>
                    </a:prstGeom>
                  </pic:spPr>
                </pic:pic>
              </a:graphicData>
            </a:graphic>
          </wp:inline>
        </w:drawing>
      </w:r>
      <w:r>
        <w:rPr>
          <w:noProof/>
          <w:lang w:val="en-GB"/>
        </w:rPr>
        <w:drawing>
          <wp:inline distT="0" distB="0" distL="0" distR="0" wp14:anchorId="4855B132" wp14:editId="39E66F5F">
            <wp:extent cx="612000" cy="612000"/>
            <wp:effectExtent l="0" t="0" r="0" b="0"/>
            <wp:docPr id="1738190638" name="Picture 3" descr="Partnering With Consumers Standa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90638" name="Picture 3" descr="Partnering With Consumers Standard Icon"/>
                    <pic:cNvPicPr/>
                  </pic:nvPicPr>
                  <pic:blipFill>
                    <a:blip r:embed="rId16"/>
                    <a:stretch>
                      <a:fillRect/>
                    </a:stretch>
                  </pic:blipFill>
                  <pic:spPr>
                    <a:xfrm>
                      <a:off x="0" y="0"/>
                      <a:ext cx="612000" cy="612000"/>
                    </a:xfrm>
                    <a:prstGeom prst="rect">
                      <a:avLst/>
                    </a:prstGeom>
                  </pic:spPr>
                </pic:pic>
              </a:graphicData>
            </a:graphic>
          </wp:inline>
        </w:drawing>
      </w:r>
      <w:r>
        <w:rPr>
          <w:noProof/>
          <w:lang w:val="en-GB"/>
        </w:rPr>
        <w:drawing>
          <wp:inline distT="0" distB="0" distL="0" distR="0" wp14:anchorId="7530B3A2" wp14:editId="69B0A369">
            <wp:extent cx="612000" cy="612000"/>
            <wp:effectExtent l="0" t="0" r="0" b="0"/>
            <wp:docPr id="1967927474" name="Picture 4" descr="Preventing and Controlling Infections Standa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27474" name="Picture 4" descr="Preventing and Controlling Infections Standard Icon"/>
                    <pic:cNvPicPr/>
                  </pic:nvPicPr>
                  <pic:blipFill>
                    <a:blip r:embed="rId17"/>
                    <a:stretch>
                      <a:fillRect/>
                    </a:stretch>
                  </pic:blipFill>
                  <pic:spPr>
                    <a:xfrm>
                      <a:off x="0" y="0"/>
                      <a:ext cx="612000" cy="612000"/>
                    </a:xfrm>
                    <a:prstGeom prst="rect">
                      <a:avLst/>
                    </a:prstGeom>
                  </pic:spPr>
                </pic:pic>
              </a:graphicData>
            </a:graphic>
          </wp:inline>
        </w:drawing>
      </w:r>
      <w:r>
        <w:rPr>
          <w:noProof/>
          <w:lang w:val="en-GB"/>
        </w:rPr>
        <w:drawing>
          <wp:inline distT="0" distB="0" distL="0" distR="0" wp14:anchorId="3E66CA9B" wp14:editId="34C22552">
            <wp:extent cx="612000" cy="612000"/>
            <wp:effectExtent l="0" t="0" r="0" b="0"/>
            <wp:docPr id="2015980858" name="Picture 5" descr="Medication Safety Standa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80858" name="Picture 5" descr="Medication Safety Standard Icon"/>
                    <pic:cNvPicPr/>
                  </pic:nvPicPr>
                  <pic:blipFill>
                    <a:blip r:embed="rId18"/>
                    <a:stretch>
                      <a:fillRect/>
                    </a:stretch>
                  </pic:blipFill>
                  <pic:spPr>
                    <a:xfrm>
                      <a:off x="0" y="0"/>
                      <a:ext cx="612000" cy="612000"/>
                    </a:xfrm>
                    <a:prstGeom prst="rect">
                      <a:avLst/>
                    </a:prstGeom>
                  </pic:spPr>
                </pic:pic>
              </a:graphicData>
            </a:graphic>
          </wp:inline>
        </w:drawing>
      </w:r>
      <w:r>
        <w:rPr>
          <w:noProof/>
          <w:lang w:val="en-GB"/>
        </w:rPr>
        <w:drawing>
          <wp:inline distT="0" distB="0" distL="0" distR="0" wp14:anchorId="4E82445B" wp14:editId="0BD3EF2E">
            <wp:extent cx="612000" cy="612000"/>
            <wp:effectExtent l="0" t="0" r="0" b="0"/>
            <wp:docPr id="1974915106" name="Picture 6" descr="Comprehensive Care Standa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915106" name="Picture 6" descr="Comprehensive Care Standard Icon"/>
                    <pic:cNvPicPr/>
                  </pic:nvPicPr>
                  <pic:blipFill>
                    <a:blip r:embed="rId19"/>
                    <a:stretch>
                      <a:fillRect/>
                    </a:stretch>
                  </pic:blipFill>
                  <pic:spPr>
                    <a:xfrm>
                      <a:off x="0" y="0"/>
                      <a:ext cx="612000" cy="612000"/>
                    </a:xfrm>
                    <a:prstGeom prst="rect">
                      <a:avLst/>
                    </a:prstGeom>
                  </pic:spPr>
                </pic:pic>
              </a:graphicData>
            </a:graphic>
          </wp:inline>
        </w:drawing>
      </w:r>
      <w:r>
        <w:rPr>
          <w:noProof/>
          <w:lang w:val="en-GB"/>
        </w:rPr>
        <w:drawing>
          <wp:inline distT="0" distB="0" distL="0" distR="0" wp14:anchorId="17825DDD" wp14:editId="6CAFD5B1">
            <wp:extent cx="612000" cy="612000"/>
            <wp:effectExtent l="0" t="0" r="0" b="0"/>
            <wp:docPr id="1975725384" name="Picture 7" descr="Communicating for Safety Standa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725384" name="Picture 7" descr="Communicating for Safety Standard Icon"/>
                    <pic:cNvPicPr/>
                  </pic:nvPicPr>
                  <pic:blipFill>
                    <a:blip r:embed="rId20"/>
                    <a:stretch>
                      <a:fillRect/>
                    </a:stretch>
                  </pic:blipFill>
                  <pic:spPr>
                    <a:xfrm>
                      <a:off x="0" y="0"/>
                      <a:ext cx="612000" cy="612000"/>
                    </a:xfrm>
                    <a:prstGeom prst="rect">
                      <a:avLst/>
                    </a:prstGeom>
                  </pic:spPr>
                </pic:pic>
              </a:graphicData>
            </a:graphic>
          </wp:inline>
        </w:drawing>
      </w:r>
      <w:r>
        <w:rPr>
          <w:noProof/>
          <w:lang w:val="en-GB"/>
        </w:rPr>
        <w:drawing>
          <wp:inline distT="0" distB="0" distL="0" distR="0" wp14:anchorId="042A5AE3" wp14:editId="65D1E713">
            <wp:extent cx="612000" cy="612000"/>
            <wp:effectExtent l="0" t="0" r="0" b="0"/>
            <wp:docPr id="1793857089" name="Picture 8" descr="Recognising and Responding to Acute Deterioration Standa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57089" name="Picture 8" descr="Recognising and Responding to Acute Deterioration Standard Icon"/>
                    <pic:cNvPicPr/>
                  </pic:nvPicPr>
                  <pic:blipFill>
                    <a:blip r:embed="rId21"/>
                    <a:stretch>
                      <a:fillRect/>
                    </a:stretch>
                  </pic:blipFill>
                  <pic:spPr>
                    <a:xfrm>
                      <a:off x="0" y="0"/>
                      <a:ext cx="612000" cy="612000"/>
                    </a:xfrm>
                    <a:prstGeom prst="rect">
                      <a:avLst/>
                    </a:prstGeom>
                  </pic:spPr>
                </pic:pic>
              </a:graphicData>
            </a:graphic>
          </wp:inline>
        </w:drawing>
      </w:r>
    </w:p>
    <w:p w14:paraId="7BB62CCF" w14:textId="77777777" w:rsidR="00295887" w:rsidRPr="000F6B39" w:rsidRDefault="00295887" w:rsidP="00295887">
      <w:pPr>
        <w:pStyle w:val="ImprintText"/>
      </w:pPr>
      <w:r w:rsidRPr="000F6B39">
        <w:lastRenderedPageBreak/>
        <w:t>Published by the Australian Commission on Safety and Quality in Health Care</w:t>
      </w:r>
    </w:p>
    <w:p w14:paraId="16E1E994" w14:textId="77777777" w:rsidR="00295887" w:rsidRDefault="00295887" w:rsidP="00295887">
      <w:pPr>
        <w:pStyle w:val="ImprintText"/>
      </w:pPr>
      <w:r>
        <w:t>Level 5, 255 Elizabeth Street, Sydney NSW 2000</w:t>
      </w:r>
      <w:r>
        <w:br/>
        <w:t>Phone: (02) 9126 3600</w:t>
      </w:r>
      <w:r w:rsidRPr="0054718D">
        <w:t> </w:t>
      </w:r>
      <w:r>
        <w:br/>
        <w:t xml:space="preserve">Email: </w:t>
      </w:r>
      <w:hyperlink r:id="rId22" w:history="1">
        <w:r w:rsidRPr="00985F55">
          <w:rPr>
            <w:rStyle w:val="Hyperlink"/>
          </w:rPr>
          <w:t>mail@safetyandquality.gov.au</w:t>
        </w:r>
      </w:hyperlink>
      <w:r>
        <w:t xml:space="preserve"> </w:t>
      </w:r>
      <w:r>
        <w:br/>
        <w:t xml:space="preserve">Website: </w:t>
      </w:r>
      <w:hyperlink r:id="rId23" w:history="1">
        <w:r w:rsidRPr="00985F55">
          <w:rPr>
            <w:rStyle w:val="Hyperlink"/>
          </w:rPr>
          <w:t>www.safetyandquality.gov.au</w:t>
        </w:r>
      </w:hyperlink>
      <w:r>
        <w:t xml:space="preserve"> </w:t>
      </w:r>
    </w:p>
    <w:p w14:paraId="73CA874A" w14:textId="48A18AD4" w:rsidR="00295887" w:rsidRPr="002E617C" w:rsidRDefault="00295887" w:rsidP="00295887">
      <w:pPr>
        <w:pStyle w:val="ImprintText"/>
      </w:pPr>
      <w:r w:rsidRPr="002E617C">
        <w:t>ISBN</w:t>
      </w:r>
      <w:r w:rsidR="00F64333">
        <w:t xml:space="preserve">: </w:t>
      </w:r>
      <w:r w:rsidR="00F64333" w:rsidRPr="00F64333">
        <w:t>978-1-922880-</w:t>
      </w:r>
      <w:r w:rsidR="00462DA0">
        <w:t>80-2</w:t>
      </w:r>
    </w:p>
    <w:p w14:paraId="3BB50863" w14:textId="571BBF6C" w:rsidR="00295887" w:rsidRPr="00F64333" w:rsidRDefault="00295887" w:rsidP="00295887">
      <w:pPr>
        <w:pStyle w:val="ImprintText"/>
        <w:rPr>
          <w:color w:val="auto"/>
        </w:rPr>
      </w:pPr>
      <w:r w:rsidRPr="00F64333">
        <w:rPr>
          <w:color w:val="auto"/>
        </w:rPr>
        <w:t xml:space="preserve">© Australian Commission on Safety and Quality in Health Care </w:t>
      </w:r>
      <w:r w:rsidRPr="00F64333">
        <w:rPr>
          <w:rStyle w:val="DraftingNotesChar"/>
          <w:color w:val="auto"/>
        </w:rPr>
        <w:t>202</w:t>
      </w:r>
      <w:r w:rsidR="00462DA0">
        <w:rPr>
          <w:rStyle w:val="DraftingNotesChar"/>
          <w:color w:val="auto"/>
        </w:rPr>
        <w:t>4</w:t>
      </w:r>
    </w:p>
    <w:p w14:paraId="2B0F8406" w14:textId="77777777" w:rsidR="00295887" w:rsidRDefault="00295887" w:rsidP="00295887">
      <w:pPr>
        <w:pStyle w:val="ImprintText"/>
      </w:pPr>
      <w:r>
        <w:t>All material and work produced by the Australian Commission on Safety and Quality in Health Care is protected by copyright. The Commission reserves the right to set out the terms and conditions for the use of such material.</w:t>
      </w:r>
      <w:r w:rsidRPr="0054718D">
        <w:t> </w:t>
      </w:r>
    </w:p>
    <w:p w14:paraId="0D48ADA7" w14:textId="77777777" w:rsidR="00295887" w:rsidRDefault="00295887" w:rsidP="00295887">
      <w:pPr>
        <w:pStyle w:val="ImprintText"/>
      </w:pPr>
      <w:r>
        <w:t>As far as practicable, material for which the copyright is owned by a third party will be clearly labelled. The Commission has made all reasonable efforts to ensure that this material has been reproduced in this publication with the full consent of the copyright owners.</w:t>
      </w:r>
    </w:p>
    <w:p w14:paraId="383AA07B" w14:textId="77777777" w:rsidR="00295887" w:rsidRDefault="00295887" w:rsidP="00295887">
      <w:pPr>
        <w:pStyle w:val="ImprintText"/>
      </w:pPr>
      <w:r>
        <w:t xml:space="preserve">With the exception of any material protected by a trademark, any content provided by third parties, and where otherwise noted, all material presented in this publication is licensed under a </w:t>
      </w:r>
      <w:hyperlink r:id="rId24" w:history="1">
        <w:r w:rsidRPr="007705C5">
          <w:rPr>
            <w:rStyle w:val="Hyperlink"/>
          </w:rPr>
          <w:t>Creative Commons Attribution-</w:t>
        </w:r>
        <w:proofErr w:type="spellStart"/>
        <w:r w:rsidRPr="007705C5">
          <w:rPr>
            <w:rStyle w:val="Hyperlink"/>
          </w:rPr>
          <w:t>NonCommercial</w:t>
        </w:r>
        <w:proofErr w:type="spellEnd"/>
        <w:r w:rsidRPr="007705C5">
          <w:rPr>
            <w:rStyle w:val="Hyperlink"/>
          </w:rPr>
          <w:t>-</w:t>
        </w:r>
        <w:proofErr w:type="spellStart"/>
        <w:r w:rsidRPr="007705C5">
          <w:rPr>
            <w:rStyle w:val="Hyperlink"/>
          </w:rPr>
          <w:t>NoDerivatives</w:t>
        </w:r>
        <w:proofErr w:type="spellEnd"/>
        <w:r w:rsidRPr="007705C5">
          <w:rPr>
            <w:rStyle w:val="Hyperlink"/>
          </w:rPr>
          <w:t xml:space="preserve"> 4.0 International licence</w:t>
        </w:r>
      </w:hyperlink>
      <w:r>
        <w:t>.</w:t>
      </w:r>
    </w:p>
    <w:p w14:paraId="3C2B6D18" w14:textId="77777777" w:rsidR="00295887" w:rsidRDefault="00295887" w:rsidP="00295887">
      <w:pPr>
        <w:pStyle w:val="ImprintText"/>
      </w:pPr>
      <w:r w:rsidRPr="00B56D4D">
        <w:rPr>
          <w:noProof/>
        </w:rPr>
        <w:drawing>
          <wp:inline distT="0" distB="0" distL="0" distR="0" wp14:anchorId="67BAE8E0" wp14:editId="0884BD42">
            <wp:extent cx="765810" cy="267335"/>
            <wp:effectExtent l="0" t="0" r="0" b="0"/>
            <wp:docPr id="8" name="Picture 8" descr="Creative Comm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Creative Common logo"/>
                    <pic:cNvPicPr>
                      <a:picLocks/>
                    </pic:cNvPicPr>
                  </pic:nvPicPr>
                  <pic:blipFill>
                    <a:blip r:embed="rId25">
                      <a:extLst>
                        <a:ext uri="{28A0092B-C50C-407E-A947-70E740481C1C}">
                          <a14:useLocalDpi xmlns:a14="http://schemas.microsoft.com/office/drawing/2010/main"/>
                        </a:ext>
                      </a:extLst>
                    </a:blip>
                    <a:srcRect/>
                    <a:stretch>
                      <a:fillRect/>
                    </a:stretch>
                  </pic:blipFill>
                  <pic:spPr bwMode="auto">
                    <a:xfrm>
                      <a:off x="0" y="0"/>
                      <a:ext cx="765810" cy="267335"/>
                    </a:xfrm>
                    <a:prstGeom prst="rect">
                      <a:avLst/>
                    </a:prstGeom>
                    <a:noFill/>
                    <a:ln>
                      <a:noFill/>
                    </a:ln>
                  </pic:spPr>
                </pic:pic>
              </a:graphicData>
            </a:graphic>
          </wp:inline>
        </w:drawing>
      </w:r>
    </w:p>
    <w:p w14:paraId="69050676" w14:textId="77777777" w:rsidR="00295887" w:rsidRDefault="00295887" w:rsidP="00295887">
      <w:pPr>
        <w:pStyle w:val="ImprintText"/>
      </w:pPr>
      <w:r>
        <w:t xml:space="preserve">Enquiries about the licence and any use of this publication are welcome and can be sent to </w:t>
      </w:r>
      <w:hyperlink r:id="rId26" w:tooltip="Send an email to the Commission" w:history="1">
        <w:r w:rsidRPr="00963018">
          <w:rPr>
            <w:rStyle w:val="Hyperlink"/>
          </w:rPr>
          <w:t>communications@safetyandquality.gov.au</w:t>
        </w:r>
      </w:hyperlink>
      <w:r>
        <w:t>.</w:t>
      </w:r>
    </w:p>
    <w:p w14:paraId="00D5C76B" w14:textId="77777777" w:rsidR="00295887" w:rsidRDefault="00295887" w:rsidP="00295887">
      <w:pPr>
        <w:pStyle w:val="ImprintText"/>
      </w:pPr>
      <w:r>
        <w:t>The Commission’s preference is that you attribute this publication (and any material sourced from it) using the following citation:</w:t>
      </w:r>
      <w:r w:rsidRPr="0054718D">
        <w:t> </w:t>
      </w:r>
    </w:p>
    <w:p w14:paraId="415F4FB3" w14:textId="77777777" w:rsidR="00256DD2" w:rsidRPr="00256DD2" w:rsidRDefault="00256DD2" w:rsidP="00256DD2">
      <w:r w:rsidRPr="00256DD2">
        <w:t>Australian Commission on Safety and Quality in Health Care. National Safety and Quality Cosmetic Surgery Module. Sydney: ACSQHC; 2024</w:t>
      </w:r>
    </w:p>
    <w:p w14:paraId="2EE5DF9C" w14:textId="77777777" w:rsidR="00295887" w:rsidRPr="002E617C" w:rsidRDefault="00295887" w:rsidP="00295887">
      <w:pPr>
        <w:pStyle w:val="ImprintText"/>
        <w:rPr>
          <w:rStyle w:val="Strong"/>
        </w:rPr>
      </w:pPr>
      <w:r w:rsidRPr="002E617C">
        <w:rPr>
          <w:rStyle w:val="Strong"/>
        </w:rPr>
        <w:t>Disclaimer</w:t>
      </w:r>
    </w:p>
    <w:p w14:paraId="487D85FC" w14:textId="77777777" w:rsidR="00F64333" w:rsidRDefault="00295887" w:rsidP="00295887">
      <w:pPr>
        <w:pStyle w:val="ImprintText"/>
      </w:pPr>
      <w:r>
        <w:t>The content of this document is published in good faith by the Australian Commission on Safety and Quality in Health Care for information purposes. The document is not intended to provide guidance on particular healthcare choices. You should contact your healthcare provider on particular healthcare choices</w:t>
      </w:r>
      <w:r w:rsidR="00F64333">
        <w:t>.</w:t>
      </w:r>
      <w:r w:rsidR="00F64333" w:rsidRPr="00F64333">
        <w:t xml:space="preserve"> </w:t>
      </w:r>
    </w:p>
    <w:p w14:paraId="69B5CCE2" w14:textId="50855DE5" w:rsidR="00295887" w:rsidRPr="00F64333" w:rsidRDefault="00F64333" w:rsidP="00295887">
      <w:pPr>
        <w:pStyle w:val="ImprintText"/>
        <w:rPr>
          <w:rStyle w:val="DraftingNotesChar"/>
          <w:noProof w:val="0"/>
          <w:color w:val="000000"/>
        </w:rPr>
      </w:pPr>
      <w:r w:rsidRPr="00F64333">
        <w:t>The Commission does not accept any legal liability for any injury, loss or damage incurred by the use of, or reliance on, this document.</w:t>
      </w:r>
      <w:r>
        <w:t xml:space="preserve"> </w:t>
      </w:r>
    </w:p>
    <w:p w14:paraId="7E81F98D" w14:textId="77777777" w:rsidR="00295887" w:rsidRDefault="00295887" w:rsidP="00295887">
      <w:pPr>
        <w:spacing w:before="0" w:after="80"/>
        <w:rPr>
          <w:rStyle w:val="DraftingNotesChar"/>
          <w:sz w:val="20"/>
          <w:szCs w:val="20"/>
        </w:rPr>
      </w:pPr>
      <w:r>
        <w:rPr>
          <w:rStyle w:val="DraftingNotesChar"/>
        </w:rPr>
        <w:br w:type="page"/>
      </w:r>
    </w:p>
    <w:p w14:paraId="5B4F954D" w14:textId="77777777" w:rsidR="00295887" w:rsidRDefault="00295887" w:rsidP="00295887">
      <w:pPr>
        <w:pStyle w:val="Heading1a"/>
      </w:pPr>
      <w:r>
        <w:lastRenderedPageBreak/>
        <w:t>Contents</w:t>
      </w:r>
    </w:p>
    <w:p w14:paraId="155950EB" w14:textId="163B7054" w:rsidR="00496394" w:rsidRDefault="00496394">
      <w:pPr>
        <w:pStyle w:val="TOC2"/>
        <w:rPr>
          <w:rFonts w:eastAsiaTheme="minorEastAsia" w:cstheme="minorBidi"/>
          <w:sz w:val="24"/>
          <w:szCs w:val="24"/>
          <w:lang w:eastAsia="en-US"/>
        </w:rPr>
      </w:pPr>
      <w:r>
        <w:rPr>
          <w:b/>
          <w:bCs/>
        </w:rPr>
        <w:fldChar w:fldCharType="begin"/>
      </w:r>
      <w:r>
        <w:rPr>
          <w:b/>
          <w:bCs/>
        </w:rPr>
        <w:instrText xml:space="preserve"> TOC \o "1-1" \t "Heading 2,2,Heading 2a,2" </w:instrText>
      </w:r>
      <w:r>
        <w:rPr>
          <w:b/>
          <w:bCs/>
        </w:rPr>
        <w:fldChar w:fldCharType="separate"/>
      </w:r>
      <w:r>
        <w:t>Cosmetic Surgery Module</w:t>
      </w:r>
      <w:r>
        <w:tab/>
      </w:r>
      <w:r>
        <w:fldChar w:fldCharType="begin"/>
      </w:r>
      <w:r>
        <w:instrText xml:space="preserve"> PAGEREF _Toc164328610 \h </w:instrText>
      </w:r>
      <w:r>
        <w:fldChar w:fldCharType="separate"/>
      </w:r>
      <w:r w:rsidR="00EB5496">
        <w:t>4</w:t>
      </w:r>
      <w:r>
        <w:fldChar w:fldCharType="end"/>
      </w:r>
    </w:p>
    <w:p w14:paraId="1E81F215" w14:textId="1E6A6AB8" w:rsidR="00496394" w:rsidRDefault="00496394">
      <w:pPr>
        <w:pStyle w:val="TOC2"/>
        <w:rPr>
          <w:rFonts w:eastAsiaTheme="minorEastAsia" w:cstheme="minorBidi"/>
          <w:sz w:val="24"/>
          <w:szCs w:val="24"/>
          <w:lang w:eastAsia="en-US"/>
        </w:rPr>
      </w:pPr>
      <w:r>
        <w:t>Intent of the module</w:t>
      </w:r>
      <w:r>
        <w:tab/>
      </w:r>
      <w:r>
        <w:fldChar w:fldCharType="begin"/>
      </w:r>
      <w:r>
        <w:instrText xml:space="preserve"> PAGEREF _Toc164328611 \h </w:instrText>
      </w:r>
      <w:r>
        <w:fldChar w:fldCharType="separate"/>
      </w:r>
      <w:r w:rsidR="00EB5496">
        <w:t>4</w:t>
      </w:r>
      <w:r>
        <w:fldChar w:fldCharType="end"/>
      </w:r>
    </w:p>
    <w:p w14:paraId="7A30D7A2" w14:textId="7C5DBE68" w:rsidR="00496394" w:rsidRDefault="00496394">
      <w:pPr>
        <w:pStyle w:val="TOC2"/>
        <w:rPr>
          <w:rFonts w:eastAsiaTheme="minorEastAsia" w:cstheme="minorBidi"/>
          <w:sz w:val="24"/>
          <w:szCs w:val="24"/>
          <w:lang w:eastAsia="en-US"/>
        </w:rPr>
      </w:pPr>
      <w:r>
        <w:t>Scope</w:t>
      </w:r>
      <w:r>
        <w:tab/>
      </w:r>
      <w:r>
        <w:fldChar w:fldCharType="begin"/>
      </w:r>
      <w:r>
        <w:instrText xml:space="preserve"> PAGEREF _Toc164328612 \h </w:instrText>
      </w:r>
      <w:r>
        <w:fldChar w:fldCharType="separate"/>
      </w:r>
      <w:r w:rsidR="00EB5496">
        <w:t>4</w:t>
      </w:r>
      <w:r>
        <w:fldChar w:fldCharType="end"/>
      </w:r>
    </w:p>
    <w:p w14:paraId="3ECD510C" w14:textId="4D653D62" w:rsidR="00496394" w:rsidRDefault="00496394">
      <w:pPr>
        <w:pStyle w:val="TOC2"/>
        <w:rPr>
          <w:rFonts w:eastAsiaTheme="minorEastAsia" w:cstheme="minorBidi"/>
          <w:sz w:val="24"/>
          <w:szCs w:val="24"/>
          <w:lang w:eastAsia="en-US"/>
        </w:rPr>
      </w:pPr>
      <w:r>
        <w:t>Regulation</w:t>
      </w:r>
      <w:r>
        <w:tab/>
      </w:r>
      <w:r>
        <w:fldChar w:fldCharType="begin"/>
      </w:r>
      <w:r>
        <w:instrText xml:space="preserve"> PAGEREF _Toc164328613 \h </w:instrText>
      </w:r>
      <w:r>
        <w:fldChar w:fldCharType="separate"/>
      </w:r>
      <w:r w:rsidR="00EB5496">
        <w:t>5</w:t>
      </w:r>
      <w:r>
        <w:fldChar w:fldCharType="end"/>
      </w:r>
    </w:p>
    <w:p w14:paraId="65AB021D" w14:textId="1008CA14" w:rsidR="00496394" w:rsidRDefault="00496394">
      <w:pPr>
        <w:pStyle w:val="TOC1"/>
        <w:rPr>
          <w:rFonts w:eastAsiaTheme="minorEastAsia" w:cstheme="minorBidi"/>
          <w:b w:val="0"/>
          <w:bCs w:val="0"/>
          <w:noProof/>
          <w:color w:val="auto"/>
          <w:szCs w:val="24"/>
          <w:lang w:eastAsia="en-US"/>
        </w:rPr>
      </w:pPr>
      <w:r w:rsidRPr="00C67C68">
        <w:rPr>
          <w:noProof/>
          <w:lang w:val="en-GB"/>
        </w:rPr>
        <w:t>Clinical Governance Standard</w:t>
      </w:r>
      <w:r>
        <w:rPr>
          <w:noProof/>
        </w:rPr>
        <w:tab/>
      </w:r>
      <w:r>
        <w:rPr>
          <w:noProof/>
        </w:rPr>
        <w:fldChar w:fldCharType="begin"/>
      </w:r>
      <w:r>
        <w:rPr>
          <w:noProof/>
        </w:rPr>
        <w:instrText xml:space="preserve"> PAGEREF _Toc164328614 \h </w:instrText>
      </w:r>
      <w:r>
        <w:rPr>
          <w:noProof/>
        </w:rPr>
      </w:r>
      <w:r>
        <w:rPr>
          <w:noProof/>
        </w:rPr>
        <w:fldChar w:fldCharType="separate"/>
      </w:r>
      <w:r w:rsidR="00EB5496">
        <w:rPr>
          <w:noProof/>
        </w:rPr>
        <w:t>6</w:t>
      </w:r>
      <w:r>
        <w:rPr>
          <w:noProof/>
        </w:rPr>
        <w:fldChar w:fldCharType="end"/>
      </w:r>
    </w:p>
    <w:p w14:paraId="6C7CFAAF" w14:textId="10E990D3" w:rsidR="00496394" w:rsidRDefault="00496394">
      <w:pPr>
        <w:pStyle w:val="TOC2"/>
        <w:rPr>
          <w:rFonts w:eastAsiaTheme="minorEastAsia" w:cstheme="minorBidi"/>
          <w:sz w:val="24"/>
          <w:szCs w:val="24"/>
          <w:lang w:eastAsia="en-US"/>
        </w:rPr>
      </w:pPr>
      <w:r>
        <w:t>Governance, leadership and culture</w:t>
      </w:r>
      <w:r>
        <w:tab/>
      </w:r>
      <w:r>
        <w:fldChar w:fldCharType="begin"/>
      </w:r>
      <w:r>
        <w:instrText xml:space="preserve"> PAGEREF _Toc164328615 \h </w:instrText>
      </w:r>
      <w:r>
        <w:fldChar w:fldCharType="separate"/>
      </w:r>
      <w:r w:rsidR="00EB5496">
        <w:t>6</w:t>
      </w:r>
      <w:r>
        <w:fldChar w:fldCharType="end"/>
      </w:r>
    </w:p>
    <w:p w14:paraId="11A9F7D9" w14:textId="36097227" w:rsidR="00496394" w:rsidRDefault="00496394">
      <w:pPr>
        <w:pStyle w:val="TOC2"/>
        <w:rPr>
          <w:rFonts w:eastAsiaTheme="minorEastAsia" w:cstheme="minorBidi"/>
          <w:sz w:val="24"/>
          <w:szCs w:val="24"/>
          <w:lang w:eastAsia="en-US"/>
        </w:rPr>
      </w:pPr>
      <w:r>
        <w:t>Patient safety and quality systems</w:t>
      </w:r>
      <w:r>
        <w:tab/>
      </w:r>
      <w:r>
        <w:fldChar w:fldCharType="begin"/>
      </w:r>
      <w:r>
        <w:instrText xml:space="preserve"> PAGEREF _Toc164328616 \h </w:instrText>
      </w:r>
      <w:r>
        <w:fldChar w:fldCharType="separate"/>
      </w:r>
      <w:r w:rsidR="00EB5496">
        <w:t>7</w:t>
      </w:r>
      <w:r>
        <w:fldChar w:fldCharType="end"/>
      </w:r>
    </w:p>
    <w:p w14:paraId="40960571" w14:textId="2890F02A" w:rsidR="00496394" w:rsidRDefault="00496394">
      <w:pPr>
        <w:pStyle w:val="TOC2"/>
        <w:rPr>
          <w:rFonts w:eastAsiaTheme="minorEastAsia" w:cstheme="minorBidi"/>
          <w:sz w:val="24"/>
          <w:szCs w:val="24"/>
          <w:lang w:eastAsia="en-US"/>
        </w:rPr>
      </w:pPr>
      <w:r>
        <w:t>Clinical performance and effectiveness</w:t>
      </w:r>
      <w:r>
        <w:tab/>
      </w:r>
      <w:r>
        <w:fldChar w:fldCharType="begin"/>
      </w:r>
      <w:r>
        <w:instrText xml:space="preserve"> PAGEREF _Toc164328617 \h </w:instrText>
      </w:r>
      <w:r>
        <w:fldChar w:fldCharType="separate"/>
      </w:r>
      <w:r w:rsidR="00EB5496">
        <w:t>9</w:t>
      </w:r>
      <w:r>
        <w:fldChar w:fldCharType="end"/>
      </w:r>
    </w:p>
    <w:p w14:paraId="565B9013" w14:textId="2FCADC6F" w:rsidR="00496394" w:rsidRDefault="00496394">
      <w:pPr>
        <w:pStyle w:val="TOC1"/>
        <w:rPr>
          <w:rFonts w:eastAsiaTheme="minorEastAsia" w:cstheme="minorBidi"/>
          <w:b w:val="0"/>
          <w:bCs w:val="0"/>
          <w:noProof/>
          <w:color w:val="auto"/>
          <w:szCs w:val="24"/>
          <w:lang w:eastAsia="en-US"/>
        </w:rPr>
      </w:pPr>
      <w:r w:rsidRPr="00C67C68">
        <w:rPr>
          <w:noProof/>
          <w:lang w:val="en-GB"/>
        </w:rPr>
        <w:t>Partnering with Consumers Standard</w:t>
      </w:r>
      <w:r>
        <w:rPr>
          <w:noProof/>
        </w:rPr>
        <w:tab/>
      </w:r>
      <w:r>
        <w:rPr>
          <w:noProof/>
        </w:rPr>
        <w:fldChar w:fldCharType="begin"/>
      </w:r>
      <w:r>
        <w:rPr>
          <w:noProof/>
        </w:rPr>
        <w:instrText xml:space="preserve"> PAGEREF _Toc164328618 \h </w:instrText>
      </w:r>
      <w:r>
        <w:rPr>
          <w:noProof/>
        </w:rPr>
      </w:r>
      <w:r>
        <w:rPr>
          <w:noProof/>
        </w:rPr>
        <w:fldChar w:fldCharType="separate"/>
      </w:r>
      <w:r w:rsidR="00EB5496">
        <w:rPr>
          <w:noProof/>
        </w:rPr>
        <w:t>10</w:t>
      </w:r>
      <w:r>
        <w:rPr>
          <w:noProof/>
        </w:rPr>
        <w:fldChar w:fldCharType="end"/>
      </w:r>
    </w:p>
    <w:p w14:paraId="11B30272" w14:textId="40A80A2D" w:rsidR="00496394" w:rsidRDefault="00496394">
      <w:pPr>
        <w:pStyle w:val="TOC2"/>
        <w:rPr>
          <w:rFonts w:eastAsiaTheme="minorEastAsia" w:cstheme="minorBidi"/>
          <w:sz w:val="24"/>
          <w:szCs w:val="24"/>
          <w:lang w:eastAsia="en-US"/>
        </w:rPr>
      </w:pPr>
      <w:r>
        <w:t>Partnering with consumers in their own care</w:t>
      </w:r>
      <w:r>
        <w:tab/>
      </w:r>
      <w:r>
        <w:fldChar w:fldCharType="begin"/>
      </w:r>
      <w:r>
        <w:instrText xml:space="preserve"> PAGEREF _Toc164328619 \h </w:instrText>
      </w:r>
      <w:r>
        <w:fldChar w:fldCharType="separate"/>
      </w:r>
      <w:r w:rsidR="00EB5496">
        <w:t>10</w:t>
      </w:r>
      <w:r>
        <w:fldChar w:fldCharType="end"/>
      </w:r>
    </w:p>
    <w:p w14:paraId="1B718537" w14:textId="22A6DA07" w:rsidR="00496394" w:rsidRDefault="00496394">
      <w:pPr>
        <w:pStyle w:val="TOC2"/>
        <w:rPr>
          <w:rFonts w:eastAsiaTheme="minorEastAsia" w:cstheme="minorBidi"/>
          <w:sz w:val="24"/>
          <w:szCs w:val="24"/>
          <w:lang w:eastAsia="en-US"/>
        </w:rPr>
      </w:pPr>
      <w:r>
        <w:t>Health literacy</w:t>
      </w:r>
      <w:r>
        <w:tab/>
      </w:r>
      <w:r>
        <w:fldChar w:fldCharType="begin"/>
      </w:r>
      <w:r>
        <w:instrText xml:space="preserve"> PAGEREF _Toc164328620 \h </w:instrText>
      </w:r>
      <w:r>
        <w:fldChar w:fldCharType="separate"/>
      </w:r>
      <w:r w:rsidR="00EB5496">
        <w:t>11</w:t>
      </w:r>
      <w:r>
        <w:fldChar w:fldCharType="end"/>
      </w:r>
    </w:p>
    <w:p w14:paraId="6D10527D" w14:textId="03E6F6D6" w:rsidR="00496394" w:rsidRDefault="00496394">
      <w:pPr>
        <w:pStyle w:val="TOC1"/>
        <w:rPr>
          <w:rFonts w:eastAsiaTheme="minorEastAsia" w:cstheme="minorBidi"/>
          <w:b w:val="0"/>
          <w:bCs w:val="0"/>
          <w:noProof/>
          <w:color w:val="auto"/>
          <w:szCs w:val="24"/>
          <w:lang w:eastAsia="en-US"/>
        </w:rPr>
      </w:pPr>
      <w:r w:rsidRPr="00C67C68">
        <w:rPr>
          <w:noProof/>
          <w:lang w:val="en-GB"/>
        </w:rPr>
        <w:t>Medication Safety Standard</w:t>
      </w:r>
      <w:r>
        <w:rPr>
          <w:noProof/>
        </w:rPr>
        <w:tab/>
      </w:r>
      <w:r>
        <w:rPr>
          <w:noProof/>
        </w:rPr>
        <w:fldChar w:fldCharType="begin"/>
      </w:r>
      <w:r>
        <w:rPr>
          <w:noProof/>
        </w:rPr>
        <w:instrText xml:space="preserve"> PAGEREF _Toc164328621 \h </w:instrText>
      </w:r>
      <w:r>
        <w:rPr>
          <w:noProof/>
        </w:rPr>
      </w:r>
      <w:r>
        <w:rPr>
          <w:noProof/>
        </w:rPr>
        <w:fldChar w:fldCharType="separate"/>
      </w:r>
      <w:r w:rsidR="00EB5496">
        <w:rPr>
          <w:noProof/>
        </w:rPr>
        <w:t>13</w:t>
      </w:r>
      <w:r>
        <w:rPr>
          <w:noProof/>
        </w:rPr>
        <w:fldChar w:fldCharType="end"/>
      </w:r>
    </w:p>
    <w:p w14:paraId="26397880" w14:textId="3E43E4BD" w:rsidR="00496394" w:rsidRDefault="00496394">
      <w:pPr>
        <w:pStyle w:val="TOC2"/>
        <w:rPr>
          <w:rFonts w:eastAsiaTheme="minorEastAsia" w:cstheme="minorBidi"/>
          <w:sz w:val="24"/>
          <w:szCs w:val="24"/>
          <w:lang w:eastAsia="en-US"/>
        </w:rPr>
      </w:pPr>
      <w:r>
        <w:t>Documentation of patient information</w:t>
      </w:r>
      <w:r>
        <w:tab/>
      </w:r>
      <w:r>
        <w:fldChar w:fldCharType="begin"/>
      </w:r>
      <w:r>
        <w:instrText xml:space="preserve"> PAGEREF _Toc164328622 \h </w:instrText>
      </w:r>
      <w:r>
        <w:fldChar w:fldCharType="separate"/>
      </w:r>
      <w:r w:rsidR="00EB5496">
        <w:t>13</w:t>
      </w:r>
      <w:r>
        <w:fldChar w:fldCharType="end"/>
      </w:r>
    </w:p>
    <w:p w14:paraId="05D0A058" w14:textId="34E5B8AC" w:rsidR="00496394" w:rsidRDefault="00496394">
      <w:pPr>
        <w:pStyle w:val="TOC2"/>
        <w:rPr>
          <w:rFonts w:eastAsiaTheme="minorEastAsia" w:cstheme="minorBidi"/>
          <w:sz w:val="24"/>
          <w:szCs w:val="24"/>
          <w:lang w:eastAsia="en-US"/>
        </w:rPr>
      </w:pPr>
      <w:r>
        <w:t>Continuity of medication management</w:t>
      </w:r>
      <w:r>
        <w:tab/>
      </w:r>
      <w:r>
        <w:fldChar w:fldCharType="begin"/>
      </w:r>
      <w:r>
        <w:instrText xml:space="preserve"> PAGEREF _Toc164328623 \h </w:instrText>
      </w:r>
      <w:r>
        <w:fldChar w:fldCharType="separate"/>
      </w:r>
      <w:r w:rsidR="00EB5496">
        <w:t>14</w:t>
      </w:r>
      <w:r>
        <w:fldChar w:fldCharType="end"/>
      </w:r>
    </w:p>
    <w:p w14:paraId="2FA3FB47" w14:textId="1BB269DD" w:rsidR="00496394" w:rsidRDefault="00496394">
      <w:pPr>
        <w:pStyle w:val="TOC1"/>
        <w:rPr>
          <w:rFonts w:eastAsiaTheme="minorEastAsia" w:cstheme="minorBidi"/>
          <w:b w:val="0"/>
          <w:bCs w:val="0"/>
          <w:noProof/>
          <w:color w:val="auto"/>
          <w:szCs w:val="24"/>
          <w:lang w:eastAsia="en-US"/>
        </w:rPr>
      </w:pPr>
      <w:r w:rsidRPr="00C67C68">
        <w:rPr>
          <w:noProof/>
          <w:lang w:val="en-GB"/>
        </w:rPr>
        <w:t>Comprehensive Care Standard</w:t>
      </w:r>
      <w:r>
        <w:rPr>
          <w:noProof/>
        </w:rPr>
        <w:tab/>
      </w:r>
      <w:r>
        <w:rPr>
          <w:noProof/>
        </w:rPr>
        <w:fldChar w:fldCharType="begin"/>
      </w:r>
      <w:r>
        <w:rPr>
          <w:noProof/>
        </w:rPr>
        <w:instrText xml:space="preserve"> PAGEREF _Toc164328624 \h </w:instrText>
      </w:r>
      <w:r>
        <w:rPr>
          <w:noProof/>
        </w:rPr>
      </w:r>
      <w:r>
        <w:rPr>
          <w:noProof/>
        </w:rPr>
        <w:fldChar w:fldCharType="separate"/>
      </w:r>
      <w:r w:rsidR="00EB5496">
        <w:rPr>
          <w:noProof/>
        </w:rPr>
        <w:t>15</w:t>
      </w:r>
      <w:r>
        <w:rPr>
          <w:noProof/>
        </w:rPr>
        <w:fldChar w:fldCharType="end"/>
      </w:r>
    </w:p>
    <w:p w14:paraId="40EBAC2F" w14:textId="173A53D3" w:rsidR="00496394" w:rsidRDefault="00496394">
      <w:pPr>
        <w:pStyle w:val="TOC2"/>
        <w:rPr>
          <w:rFonts w:eastAsiaTheme="minorEastAsia" w:cstheme="minorBidi"/>
          <w:sz w:val="24"/>
          <w:szCs w:val="24"/>
          <w:lang w:eastAsia="en-US"/>
        </w:rPr>
      </w:pPr>
      <w:r>
        <w:t>Planning and delivering comprehensive care</w:t>
      </w:r>
      <w:r>
        <w:tab/>
      </w:r>
      <w:r>
        <w:fldChar w:fldCharType="begin"/>
      </w:r>
      <w:r>
        <w:instrText xml:space="preserve"> PAGEREF _Toc164328625 \h </w:instrText>
      </w:r>
      <w:r>
        <w:fldChar w:fldCharType="separate"/>
      </w:r>
      <w:r w:rsidR="00EB5496">
        <w:t>15</w:t>
      </w:r>
      <w:r>
        <w:fldChar w:fldCharType="end"/>
      </w:r>
    </w:p>
    <w:p w14:paraId="2C39554D" w14:textId="464485DA" w:rsidR="00496394" w:rsidRDefault="00496394">
      <w:pPr>
        <w:pStyle w:val="TOC1"/>
        <w:rPr>
          <w:rFonts w:eastAsiaTheme="minorEastAsia" w:cstheme="minorBidi"/>
          <w:b w:val="0"/>
          <w:bCs w:val="0"/>
          <w:noProof/>
          <w:color w:val="auto"/>
          <w:szCs w:val="24"/>
          <w:lang w:eastAsia="en-US"/>
        </w:rPr>
      </w:pPr>
      <w:r w:rsidRPr="00C67C68">
        <w:rPr>
          <w:noProof/>
          <w:lang w:val="en-GB"/>
        </w:rPr>
        <w:t>Recognising and Responding to Acute Deterioration Standard</w:t>
      </w:r>
      <w:r>
        <w:rPr>
          <w:noProof/>
        </w:rPr>
        <w:tab/>
      </w:r>
      <w:r>
        <w:rPr>
          <w:noProof/>
        </w:rPr>
        <w:fldChar w:fldCharType="begin"/>
      </w:r>
      <w:r>
        <w:rPr>
          <w:noProof/>
        </w:rPr>
        <w:instrText xml:space="preserve"> PAGEREF _Toc164328626 \h </w:instrText>
      </w:r>
      <w:r>
        <w:rPr>
          <w:noProof/>
        </w:rPr>
      </w:r>
      <w:r>
        <w:rPr>
          <w:noProof/>
        </w:rPr>
        <w:fldChar w:fldCharType="separate"/>
      </w:r>
      <w:r w:rsidR="00EB5496">
        <w:rPr>
          <w:noProof/>
        </w:rPr>
        <w:t>16</w:t>
      </w:r>
      <w:r>
        <w:rPr>
          <w:noProof/>
        </w:rPr>
        <w:fldChar w:fldCharType="end"/>
      </w:r>
    </w:p>
    <w:p w14:paraId="2E8A36BA" w14:textId="39026C90" w:rsidR="00496394" w:rsidRDefault="00496394">
      <w:pPr>
        <w:pStyle w:val="TOC2"/>
        <w:rPr>
          <w:rFonts w:eastAsiaTheme="minorEastAsia" w:cstheme="minorBidi"/>
          <w:sz w:val="24"/>
          <w:szCs w:val="24"/>
          <w:lang w:eastAsia="en-US"/>
        </w:rPr>
      </w:pPr>
      <w:r>
        <w:t>Detecting and recognising acute deterioration,  and escalating care</w:t>
      </w:r>
      <w:r>
        <w:tab/>
      </w:r>
      <w:r>
        <w:fldChar w:fldCharType="begin"/>
      </w:r>
      <w:r>
        <w:instrText xml:space="preserve"> PAGEREF _Toc164328627 \h </w:instrText>
      </w:r>
      <w:r>
        <w:fldChar w:fldCharType="separate"/>
      </w:r>
      <w:r w:rsidR="00EB5496">
        <w:t>16</w:t>
      </w:r>
      <w:r>
        <w:fldChar w:fldCharType="end"/>
      </w:r>
    </w:p>
    <w:p w14:paraId="0762498D" w14:textId="3385AC19" w:rsidR="00496394" w:rsidRDefault="00496394">
      <w:pPr>
        <w:pStyle w:val="TOC1"/>
        <w:rPr>
          <w:rFonts w:eastAsiaTheme="minorEastAsia" w:cstheme="minorBidi"/>
          <w:b w:val="0"/>
          <w:bCs w:val="0"/>
          <w:noProof/>
          <w:color w:val="auto"/>
          <w:szCs w:val="24"/>
          <w:lang w:eastAsia="en-US"/>
        </w:rPr>
      </w:pPr>
      <w:r>
        <w:rPr>
          <w:noProof/>
        </w:rPr>
        <w:t>Glossary</w:t>
      </w:r>
      <w:r>
        <w:rPr>
          <w:noProof/>
        </w:rPr>
        <w:tab/>
      </w:r>
      <w:r>
        <w:rPr>
          <w:noProof/>
        </w:rPr>
        <w:fldChar w:fldCharType="begin"/>
      </w:r>
      <w:r>
        <w:rPr>
          <w:noProof/>
        </w:rPr>
        <w:instrText xml:space="preserve"> PAGEREF _Toc164328628 \h </w:instrText>
      </w:r>
      <w:r>
        <w:rPr>
          <w:noProof/>
        </w:rPr>
      </w:r>
      <w:r>
        <w:rPr>
          <w:noProof/>
        </w:rPr>
        <w:fldChar w:fldCharType="separate"/>
      </w:r>
      <w:r w:rsidR="00EB5496">
        <w:rPr>
          <w:noProof/>
        </w:rPr>
        <w:t>17</w:t>
      </w:r>
      <w:r>
        <w:rPr>
          <w:noProof/>
        </w:rPr>
        <w:fldChar w:fldCharType="end"/>
      </w:r>
    </w:p>
    <w:p w14:paraId="60AC60BD" w14:textId="5FE265F4" w:rsidR="00496394" w:rsidRDefault="00496394">
      <w:pPr>
        <w:pStyle w:val="TOC1"/>
        <w:rPr>
          <w:rFonts w:eastAsiaTheme="minorEastAsia" w:cstheme="minorBidi"/>
          <w:b w:val="0"/>
          <w:bCs w:val="0"/>
          <w:noProof/>
          <w:color w:val="auto"/>
          <w:szCs w:val="24"/>
          <w:lang w:eastAsia="en-US"/>
        </w:rPr>
      </w:pPr>
      <w:r>
        <w:rPr>
          <w:noProof/>
        </w:rPr>
        <w:t>Appendix</w:t>
      </w:r>
      <w:r>
        <w:rPr>
          <w:noProof/>
        </w:rPr>
        <w:tab/>
      </w:r>
      <w:r>
        <w:rPr>
          <w:noProof/>
        </w:rPr>
        <w:fldChar w:fldCharType="begin"/>
      </w:r>
      <w:r>
        <w:rPr>
          <w:noProof/>
        </w:rPr>
        <w:instrText xml:space="preserve"> PAGEREF _Toc164328629 \h </w:instrText>
      </w:r>
      <w:r>
        <w:rPr>
          <w:noProof/>
        </w:rPr>
      </w:r>
      <w:r>
        <w:rPr>
          <w:noProof/>
        </w:rPr>
        <w:fldChar w:fldCharType="separate"/>
      </w:r>
      <w:r w:rsidR="00EB5496">
        <w:rPr>
          <w:noProof/>
        </w:rPr>
        <w:t>18</w:t>
      </w:r>
      <w:r>
        <w:rPr>
          <w:noProof/>
        </w:rPr>
        <w:fldChar w:fldCharType="end"/>
      </w:r>
    </w:p>
    <w:p w14:paraId="50082D8B" w14:textId="1ED2994D" w:rsidR="00496394" w:rsidRDefault="00496394">
      <w:pPr>
        <w:pStyle w:val="TOC2"/>
        <w:rPr>
          <w:rFonts w:eastAsiaTheme="minorEastAsia" w:cstheme="minorBidi"/>
          <w:sz w:val="24"/>
          <w:szCs w:val="24"/>
          <w:lang w:eastAsia="en-US"/>
        </w:rPr>
      </w:pPr>
      <w:r>
        <w:t>Mapping of the Cosmetic Surgery Standards to the NSQHS Standards</w:t>
      </w:r>
      <w:r>
        <w:tab/>
      </w:r>
      <w:r>
        <w:fldChar w:fldCharType="begin"/>
      </w:r>
      <w:r>
        <w:instrText xml:space="preserve"> PAGEREF _Toc164328630 \h </w:instrText>
      </w:r>
      <w:r>
        <w:fldChar w:fldCharType="separate"/>
      </w:r>
      <w:r w:rsidR="00EB5496">
        <w:t>18</w:t>
      </w:r>
      <w:r>
        <w:fldChar w:fldCharType="end"/>
      </w:r>
    </w:p>
    <w:p w14:paraId="0D3B0694" w14:textId="03294716" w:rsidR="00295887" w:rsidRDefault="00496394" w:rsidP="003762D1">
      <w:pPr>
        <w:pStyle w:val="TOC1"/>
        <w:rPr>
          <w:noProof/>
        </w:rPr>
      </w:pPr>
      <w:r>
        <w:rPr>
          <w:b w:val="0"/>
          <w:bCs w:val="0"/>
        </w:rPr>
        <w:fldChar w:fldCharType="end"/>
      </w:r>
      <w:r w:rsidR="00295887">
        <w:rPr>
          <w:noProof/>
        </w:rPr>
        <w:br w:type="page"/>
      </w:r>
    </w:p>
    <w:p w14:paraId="4DD517A6" w14:textId="77777777" w:rsidR="00506124" w:rsidRDefault="00506124" w:rsidP="00506124">
      <w:pPr>
        <w:sectPr w:rsidR="00506124" w:rsidSect="00F04450">
          <w:footerReference w:type="default" r:id="rId27"/>
          <w:headerReference w:type="first" r:id="rId28"/>
          <w:footerReference w:type="first" r:id="rId29"/>
          <w:footnotePr>
            <w:numFmt w:val="chicago"/>
          </w:footnotePr>
          <w:endnotePr>
            <w:numFmt w:val="decimal"/>
          </w:endnotePr>
          <w:pgSz w:w="11900" w:h="16840"/>
          <w:pgMar w:top="1701" w:right="1134" w:bottom="1134" w:left="1134" w:header="709" w:footer="851" w:gutter="0"/>
          <w:cols w:space="708"/>
          <w:docGrid w:linePitch="360"/>
        </w:sectPr>
      </w:pPr>
    </w:p>
    <w:p w14:paraId="237ECD18" w14:textId="77777777" w:rsidR="00506124" w:rsidRDefault="00506124" w:rsidP="00E828EF">
      <w:pPr>
        <w:pStyle w:val="Heading1a"/>
      </w:pPr>
      <w:r>
        <w:lastRenderedPageBreak/>
        <w:t>Introduction</w:t>
      </w:r>
    </w:p>
    <w:p w14:paraId="528EE57D" w14:textId="3ADCA996" w:rsidR="00506124" w:rsidRDefault="00506124" w:rsidP="00E828EF">
      <w:r>
        <w:t>The Cosmetic Surgery Module has been designed to be implemented with the National Safety and Quality Health Service (NSQHS) Standards.</w:t>
      </w:r>
    </w:p>
    <w:p w14:paraId="4F06C919" w14:textId="77777777" w:rsidR="00506124" w:rsidRDefault="00506124" w:rsidP="00E828EF">
      <w:r>
        <w:t xml:space="preserve">The NSQHS Standards were developed by the Australian Commission on Safety and Quality in Health Care (the Commission), in collaboration with the Australian government, states and territories, the private sector, clinical experts, patients and carers. The NSQHS Standards provide a nationally consistent statement about the standard of care consumers can expect from their health service organisations. </w:t>
      </w:r>
    </w:p>
    <w:p w14:paraId="525D9202" w14:textId="77777777" w:rsidR="00506124" w:rsidRDefault="00506124" w:rsidP="00E828EF">
      <w:r>
        <w:t xml:space="preserve">Organisations providing cosmetic surgery are also required to comply with the National Safety and Quality Cosmetic Surgery Standards (Cosmetic Surgery Standards). The Cosmetic Surgery Standards have been developed for implementation in Australia in every Service where cosmetic surgery is performed. They are aligned in structure and intent to the NSQHS Standards and are comprised of seven individual standards. The Clinical Governance Standard and the Partnering with Consumers Standard set the overarching requirements, or clinical governance framework, for the effective implementation of all other standards. </w:t>
      </w:r>
    </w:p>
    <w:p w14:paraId="1045028F" w14:textId="3227BF49" w:rsidR="00506124" w:rsidRDefault="00506124" w:rsidP="00E828EF">
      <w:r>
        <w:t>Independent assessment against the Cosmetic Surgery Standards, and the awarding of accreditation, provides confidence to the community that a Service where cosmetic surgery is performed has the safety and quality systems and processes in place to meet expected standards of care.</w:t>
      </w:r>
    </w:p>
    <w:p w14:paraId="427FE0F8" w14:textId="77777777" w:rsidR="00506124" w:rsidRDefault="00506124" w:rsidP="00E828EF">
      <w:pPr>
        <w:pStyle w:val="Heading2"/>
      </w:pPr>
      <w:bookmarkStart w:id="1" w:name="_Toc164328610"/>
      <w:r>
        <w:t>Cosmetic Surgery Module</w:t>
      </w:r>
      <w:bookmarkEnd w:id="1"/>
    </w:p>
    <w:p w14:paraId="3EE66CB3" w14:textId="29AC1A99" w:rsidR="00506124" w:rsidRPr="0028021F" w:rsidRDefault="00506124" w:rsidP="00E828EF">
      <w:r>
        <w:t>The purpose of the Cosmetic Surgery Module is to provide a limited set of actions that Services are required to implement in addition to the NSQHS Standards, allowing them to comply with both the NSQHS Standards (2nd Edition) and the Cosmetic Surgery Standards</w:t>
      </w:r>
      <w:r w:rsidRPr="0028021F">
        <w:t>.</w:t>
      </w:r>
      <w:r w:rsidR="00CA05EE" w:rsidRPr="0028021F">
        <w:t xml:space="preserve"> </w:t>
      </w:r>
      <w:r w:rsidR="00137F19" w:rsidRPr="0028021F">
        <w:t xml:space="preserve">Although </w:t>
      </w:r>
      <w:r w:rsidR="00880629" w:rsidRPr="0028021F">
        <w:t>the NSQHS Standards and the Cosmetic Surgery Standards</w:t>
      </w:r>
      <w:r w:rsidR="000B0B30" w:rsidRPr="0028021F">
        <w:t xml:space="preserve"> </w:t>
      </w:r>
      <w:r w:rsidR="00FA3F1F" w:rsidRPr="0028021F">
        <w:t>have similar action numbering, the content in each set of Standards is unique</w:t>
      </w:r>
      <w:r w:rsidR="00EF22AE" w:rsidRPr="0028021F">
        <w:t>.</w:t>
      </w:r>
    </w:p>
    <w:p w14:paraId="28E4EA5E" w14:textId="2E95EE34" w:rsidR="00506124" w:rsidRPr="0028021F" w:rsidRDefault="00506124" w:rsidP="00E828EF">
      <w:r w:rsidRPr="0028021F">
        <w:t xml:space="preserve">The Cosmetic Surgery Standards have been mapped to the NSQHS Standards to identify the additional actions organisations accredited to the NSQHS Standards must meet if they are performing cosmetic surgery procedures (the mapping is provided in the </w:t>
      </w:r>
      <w:r w:rsidRPr="0028021F">
        <w:rPr>
          <w:rStyle w:val="Strong"/>
        </w:rPr>
        <w:t>Appendix</w:t>
      </w:r>
      <w:r w:rsidRPr="0028021F">
        <w:t xml:space="preserve">). The Cosmetic Surgery Module describes, in 20 actions, the requirements of the Cosmetic Surgery Standards that are not covered by the NSQHS Standards. </w:t>
      </w:r>
    </w:p>
    <w:p w14:paraId="10C609E0" w14:textId="1137373D" w:rsidR="00E03094" w:rsidRPr="0028021F" w:rsidRDefault="00E03094" w:rsidP="00E03094">
      <w:r w:rsidRPr="0028021F">
        <w:t xml:space="preserve">For actions that are considered </w:t>
      </w:r>
      <w:r w:rsidRPr="0028021F">
        <w:rPr>
          <w:b/>
          <w:bCs/>
        </w:rPr>
        <w:t>partially matched</w:t>
      </w:r>
      <w:r w:rsidRPr="0028021F">
        <w:t xml:space="preserve"> to the NSQHS Standards, Services </w:t>
      </w:r>
      <w:r w:rsidR="004E7623" w:rsidRPr="0028021F">
        <w:t xml:space="preserve">must </w:t>
      </w:r>
      <w:r w:rsidR="00CE01CB" w:rsidRPr="0028021F">
        <w:t xml:space="preserve">implement </w:t>
      </w:r>
      <w:r w:rsidR="00873815" w:rsidRPr="0028021F">
        <w:t>the relevant NSQHS Standards</w:t>
      </w:r>
      <w:r w:rsidR="00CE01CB" w:rsidRPr="0028021F">
        <w:t xml:space="preserve"> requirements </w:t>
      </w:r>
      <w:r w:rsidRPr="0028021F">
        <w:t xml:space="preserve">(where applicable) </w:t>
      </w:r>
      <w:r w:rsidR="002F5A9A" w:rsidRPr="0028021F">
        <w:t>as well as</w:t>
      </w:r>
      <w:r w:rsidRPr="0028021F">
        <w:t xml:space="preserve"> the additional </w:t>
      </w:r>
      <w:r w:rsidR="00CE01CB" w:rsidRPr="0028021F">
        <w:t xml:space="preserve">changes </w:t>
      </w:r>
      <w:r w:rsidR="00851786" w:rsidRPr="0028021F">
        <w:t xml:space="preserve">needed </w:t>
      </w:r>
      <w:r w:rsidR="00CE01CB" w:rsidRPr="0028021F">
        <w:t xml:space="preserve">to meet the action </w:t>
      </w:r>
      <w:r w:rsidRPr="0028021F">
        <w:t>in the Cosmetic Surgery Module.</w:t>
      </w:r>
      <w:r w:rsidR="00EB2912" w:rsidRPr="0028021F">
        <w:t xml:space="preserve"> T</w:t>
      </w:r>
      <w:r w:rsidR="00E77D4C" w:rsidRPr="0028021F">
        <w:t xml:space="preserve">he additional </w:t>
      </w:r>
      <w:r w:rsidR="00B601CD" w:rsidRPr="0028021F">
        <w:t>requirements are in</w:t>
      </w:r>
      <w:r w:rsidR="00EB2912" w:rsidRPr="0028021F">
        <w:t xml:space="preserve"> </w:t>
      </w:r>
      <w:r w:rsidR="00EB2912" w:rsidRPr="0028021F">
        <w:rPr>
          <w:b/>
          <w:bCs/>
        </w:rPr>
        <w:t>bold</w:t>
      </w:r>
      <w:r w:rsidR="00EB2912" w:rsidRPr="0028021F">
        <w:t xml:space="preserve"> </w:t>
      </w:r>
      <w:r w:rsidR="00B601CD" w:rsidRPr="0028021F">
        <w:t xml:space="preserve">in </w:t>
      </w:r>
      <w:r w:rsidR="00327301" w:rsidRPr="0028021F">
        <w:t>the Cosmetic Surgery Module.</w:t>
      </w:r>
    </w:p>
    <w:p w14:paraId="3802B6B7" w14:textId="0B00BFEB" w:rsidR="00E03094" w:rsidRPr="0028021F" w:rsidRDefault="00E03094" w:rsidP="00E828EF">
      <w:r w:rsidRPr="0028021F">
        <w:t xml:space="preserve">For actions that have </w:t>
      </w:r>
      <w:r w:rsidRPr="0028021F">
        <w:rPr>
          <w:b/>
          <w:bCs/>
        </w:rPr>
        <w:t>no direct match</w:t>
      </w:r>
      <w:r w:rsidRPr="0028021F">
        <w:t xml:space="preserve"> to the NSQHS Standards, the Service is required to </w:t>
      </w:r>
      <w:r w:rsidRPr="0028021F">
        <w:rPr>
          <w:b/>
          <w:bCs/>
        </w:rPr>
        <w:t>full</w:t>
      </w:r>
      <w:r w:rsidR="00B601CD" w:rsidRPr="0028021F">
        <w:rPr>
          <w:b/>
          <w:bCs/>
        </w:rPr>
        <w:t>y</w:t>
      </w:r>
      <w:r w:rsidRPr="0028021F">
        <w:rPr>
          <w:b/>
          <w:bCs/>
        </w:rPr>
        <w:t xml:space="preserve"> </w:t>
      </w:r>
      <w:r w:rsidR="00B601CD" w:rsidRPr="0028021F">
        <w:rPr>
          <w:b/>
          <w:bCs/>
        </w:rPr>
        <w:t>comply</w:t>
      </w:r>
      <w:r w:rsidR="00B601CD" w:rsidRPr="0028021F">
        <w:t xml:space="preserve"> with the requirement from </w:t>
      </w:r>
      <w:r w:rsidR="00AE5B46" w:rsidRPr="0028021F">
        <w:t>the Cosmetic Surgery</w:t>
      </w:r>
      <w:r w:rsidR="008B4C6B" w:rsidRPr="0028021F">
        <w:t xml:space="preserve"> Standards</w:t>
      </w:r>
      <w:r w:rsidR="00B601CD" w:rsidRPr="0028021F">
        <w:t xml:space="preserve"> related to this action</w:t>
      </w:r>
      <w:r w:rsidR="00DC33BF" w:rsidRPr="0028021F">
        <w:t>.</w:t>
      </w:r>
    </w:p>
    <w:p w14:paraId="27B19143" w14:textId="77777777" w:rsidR="00B601CD" w:rsidRPr="0028021F" w:rsidRDefault="00506124" w:rsidP="00B601CD">
      <w:r w:rsidRPr="0028021F">
        <w:t xml:space="preserve">Organisations completing the NSQHS Standards and the Cosmetic Surgery Module will be assessed in a single assessment process, thereby reducing compliance burden. </w:t>
      </w:r>
      <w:r w:rsidR="00942F00" w:rsidRPr="0028021F">
        <w:t xml:space="preserve">The module is only intended for Services who already implement the NSQHS </w:t>
      </w:r>
      <w:r w:rsidR="00DA6CA4" w:rsidRPr="0028021F">
        <w:t>Standards</w:t>
      </w:r>
      <w:r w:rsidR="00A261AD" w:rsidRPr="0028021F">
        <w:t>.</w:t>
      </w:r>
      <w:r w:rsidR="00B601CD" w:rsidRPr="0028021F">
        <w:t xml:space="preserve"> </w:t>
      </w:r>
    </w:p>
    <w:p w14:paraId="00076800" w14:textId="5D02EDAC" w:rsidR="00B601CD" w:rsidRDefault="00B601CD" w:rsidP="00B601CD">
      <w:r w:rsidRPr="0028021F">
        <w:t xml:space="preserve">For organisations not already accredited to the NSQHS Standards, the Cosmetic Surgery Standards will need to be </w:t>
      </w:r>
      <w:r w:rsidR="00851786" w:rsidRPr="0028021F">
        <w:t xml:space="preserve">fully </w:t>
      </w:r>
      <w:r w:rsidRPr="0028021F">
        <w:t>implemented</w:t>
      </w:r>
      <w:r w:rsidR="00851786" w:rsidRPr="0028021F">
        <w:t xml:space="preserve">. These standards </w:t>
      </w:r>
      <w:r w:rsidRPr="0028021F">
        <w:t xml:space="preserve">are available on the </w:t>
      </w:r>
      <w:hyperlink r:id="rId30" w:history="1">
        <w:r w:rsidR="00542F8B" w:rsidRPr="00542F8B">
          <w:rPr>
            <w:rStyle w:val="Hyperlink"/>
          </w:rPr>
          <w:t>Commission’s website</w:t>
        </w:r>
        <w:r w:rsidRPr="00542F8B">
          <w:rPr>
            <w:rStyle w:val="Hyperlink"/>
          </w:rPr>
          <w:t>.</w:t>
        </w:r>
      </w:hyperlink>
    </w:p>
    <w:p w14:paraId="70FFDBBB" w14:textId="372D7110" w:rsidR="00506124" w:rsidRDefault="00506124" w:rsidP="00E828EF"/>
    <w:p w14:paraId="7C3B7130" w14:textId="77777777" w:rsidR="00506124" w:rsidRDefault="00506124" w:rsidP="00E828EF">
      <w:pPr>
        <w:pStyle w:val="Heading2"/>
      </w:pPr>
      <w:bookmarkStart w:id="2" w:name="_Toc164328611"/>
      <w:r>
        <w:lastRenderedPageBreak/>
        <w:t>Intent of the module</w:t>
      </w:r>
      <w:bookmarkEnd w:id="2"/>
    </w:p>
    <w:p w14:paraId="0F72368D" w14:textId="77777777" w:rsidR="00506124" w:rsidRDefault="00506124" w:rsidP="00E828EF">
      <w:r>
        <w:t>Services ensure that people seeking cosmetic surgery can make informed choices and that they receive safe and high-quality care.</w:t>
      </w:r>
    </w:p>
    <w:p w14:paraId="2BA3794B" w14:textId="77777777" w:rsidR="00506124" w:rsidRDefault="00506124" w:rsidP="00E828EF">
      <w:pPr>
        <w:pStyle w:val="Heading2"/>
      </w:pPr>
      <w:bookmarkStart w:id="3" w:name="_Toc164328612"/>
      <w:r>
        <w:t>Scope</w:t>
      </w:r>
      <w:bookmarkEnd w:id="3"/>
    </w:p>
    <w:p w14:paraId="39710352" w14:textId="77777777" w:rsidR="00506124" w:rsidRDefault="00506124" w:rsidP="00E828EF">
      <w:r>
        <w:t xml:space="preserve">Cosmetic surgery employs invasive surgical procedures, to revise or change the appearance, colour, texture, structure or </w:t>
      </w:r>
      <w:r w:rsidRPr="00E828EF">
        <w:t>position of normal bodily features and involves cutting beneath the skin, with the purpose of achieving what the patient perceives to be a more desirable appearance. Cosmetic surgery is not used to prevent, diagnose or treat illness, disease</w:t>
      </w:r>
      <w:r>
        <w:t xml:space="preserve"> or other medical conditions. </w:t>
      </w:r>
    </w:p>
    <w:p w14:paraId="3F9928CC" w14:textId="77777777" w:rsidR="00506124" w:rsidRDefault="00506124" w:rsidP="00E828EF">
      <w:r>
        <w:t>In this context, and in line with the Medical Board of Australia definitions, cosmetic surgery does not include:</w:t>
      </w:r>
    </w:p>
    <w:p w14:paraId="71BEE2F0" w14:textId="77777777" w:rsidR="00506124" w:rsidRDefault="00506124" w:rsidP="00717270">
      <w:pPr>
        <w:pStyle w:val="ListParagraph"/>
        <w:numPr>
          <w:ilvl w:val="0"/>
          <w:numId w:val="16"/>
        </w:numPr>
      </w:pPr>
      <w:r>
        <w:t>Non-surgical cosmetic procedures that do not involve cutting beneath the skin (including mole removal for the purposes of appearance)</w:t>
      </w:r>
    </w:p>
    <w:p w14:paraId="4315004E" w14:textId="77777777" w:rsidR="00506124" w:rsidRDefault="00506124" w:rsidP="00717270">
      <w:pPr>
        <w:pStyle w:val="ListParagraph"/>
        <w:numPr>
          <w:ilvl w:val="0"/>
          <w:numId w:val="16"/>
        </w:numPr>
      </w:pPr>
      <w:r>
        <w:t>Surgery and procedures that have a medical justification and which may also lead to improvement in appearance</w:t>
      </w:r>
    </w:p>
    <w:p w14:paraId="17B99890" w14:textId="77777777" w:rsidR="00506124" w:rsidRDefault="00506124" w:rsidP="00717270">
      <w:pPr>
        <w:pStyle w:val="ListParagraph"/>
        <w:numPr>
          <w:ilvl w:val="0"/>
          <w:numId w:val="16"/>
        </w:numPr>
      </w:pPr>
      <w:r>
        <w:t>Reconstructive surgery</w:t>
      </w:r>
    </w:p>
    <w:p w14:paraId="461E9930" w14:textId="77777777" w:rsidR="00506124" w:rsidRDefault="00506124" w:rsidP="00717270">
      <w:pPr>
        <w:pStyle w:val="ListParagraph"/>
        <w:numPr>
          <w:ilvl w:val="0"/>
          <w:numId w:val="16"/>
        </w:numPr>
      </w:pPr>
      <w:r>
        <w:t>Gender affirmation surgery.</w:t>
      </w:r>
    </w:p>
    <w:p w14:paraId="1EE7AE37" w14:textId="77777777" w:rsidR="00506124" w:rsidRDefault="00506124" w:rsidP="00E828EF">
      <w:pPr>
        <w:pStyle w:val="Heading2"/>
      </w:pPr>
      <w:bookmarkStart w:id="4" w:name="_Toc164328613"/>
      <w:r>
        <w:t>Regulation</w:t>
      </w:r>
      <w:bookmarkEnd w:id="4"/>
    </w:p>
    <w:p w14:paraId="39133D69" w14:textId="77777777" w:rsidR="00506124" w:rsidRDefault="00506124" w:rsidP="00E828EF">
      <w:r>
        <w:t>At all times, a Service must adhere to regulatory requirements as prescribed in relevant Australian, state and territory legislation, such as licensing or work health and safety obligations. The Commission is working with state and territory governments to ensure cosmetic surgery is conducted in appropriately licensed facilities that are accredited to national safety and quality standards, such as the Cosmetic Surgery Standards. State and territory regulators will determine any specific definitions to be applied in this context consistent with their jurisdictional licensing schemes.</w:t>
      </w:r>
    </w:p>
    <w:p w14:paraId="6537CA75" w14:textId="77777777" w:rsidR="00506124" w:rsidRDefault="00506124" w:rsidP="00506124">
      <w:pPr>
        <w:sectPr w:rsidR="00506124" w:rsidSect="00F04450">
          <w:footnotePr>
            <w:numFmt w:val="chicago"/>
          </w:footnotePr>
          <w:endnotePr>
            <w:numFmt w:val="decimal"/>
          </w:endnotePr>
          <w:pgSz w:w="11900" w:h="16840"/>
          <w:pgMar w:top="1701" w:right="1134" w:bottom="1134" w:left="1134" w:header="709" w:footer="851" w:gutter="0"/>
          <w:cols w:space="708"/>
          <w:docGrid w:linePitch="360"/>
        </w:sectPr>
      </w:pPr>
    </w:p>
    <w:p w14:paraId="2C46C727" w14:textId="0FD49975" w:rsidR="00681EC5" w:rsidRPr="00681EC5" w:rsidRDefault="00681EC5" w:rsidP="00681EC5">
      <w:pPr>
        <w:pStyle w:val="Heading1"/>
        <w:rPr>
          <w:lang w:val="en-GB"/>
        </w:rPr>
      </w:pPr>
      <w:bookmarkStart w:id="5" w:name="_Toc164328614"/>
      <w:r w:rsidRPr="00681EC5">
        <w:rPr>
          <w:lang w:val="en-GB"/>
        </w:rPr>
        <w:lastRenderedPageBreak/>
        <w:t>Clinical Governance Standard</w:t>
      </w:r>
      <w:bookmarkEnd w:id="5"/>
    </w:p>
    <w:p w14:paraId="107E0D9D" w14:textId="77777777" w:rsidR="00506124" w:rsidRDefault="00506124" w:rsidP="00C86B79">
      <w:pPr>
        <w:pStyle w:val="Heading2"/>
      </w:pPr>
      <w:bookmarkStart w:id="6" w:name="_Toc164328615"/>
      <w:r>
        <w:t>Governance, leadership and culture</w:t>
      </w:r>
      <w:bookmarkEnd w:id="6"/>
    </w:p>
    <w:p w14:paraId="4EDD0664" w14:textId="77777777" w:rsidR="00506124" w:rsidRDefault="00506124" w:rsidP="00E828EF">
      <w:r>
        <w:t>A Service sets up and uses clinical governance systems to improve the safety and quality of services delivered to patients.</w:t>
      </w:r>
    </w:p>
    <w:p w14:paraId="104B19AD" w14:textId="77777777" w:rsidR="00506124" w:rsidRPr="00C86B79" w:rsidRDefault="00506124" w:rsidP="00C86B79">
      <w:pPr>
        <w:pStyle w:val="ECHeading2"/>
      </w:pPr>
      <w:r w:rsidRPr="00C86B79">
        <w:t xml:space="preserve">Consumer outcome </w:t>
      </w:r>
    </w:p>
    <w:p w14:paraId="2C24B22E" w14:textId="2123CCC7" w:rsidR="00506124" w:rsidRDefault="00506124" w:rsidP="00E828EF">
      <w:r>
        <w:t xml:space="preserve">I know the services delivered are high-quality and the Service continuously makes improvements.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4535"/>
        <w:gridCol w:w="2665"/>
      </w:tblGrid>
      <w:tr w:rsidR="00506124" w:rsidRPr="00506124" w14:paraId="345774DF" w14:textId="77777777" w:rsidTr="0089679C">
        <w:trPr>
          <w:trHeight w:hRule="exact" w:val="340"/>
          <w:tblHeader/>
        </w:trPr>
        <w:tc>
          <w:tcPr>
            <w:tcW w:w="1871" w:type="dxa"/>
            <w:shd w:val="clear" w:color="auto" w:fill="005C8F"/>
            <w:tcMar>
              <w:top w:w="0" w:type="dxa"/>
              <w:left w:w="85" w:type="dxa"/>
              <w:bottom w:w="0" w:type="dxa"/>
              <w:right w:w="85" w:type="dxa"/>
            </w:tcMar>
            <w:vAlign w:val="center"/>
          </w:tcPr>
          <w:p w14:paraId="623E9B6C" w14:textId="77777777" w:rsidR="00506124" w:rsidRPr="0089679C" w:rsidRDefault="00506124" w:rsidP="00EF71C9">
            <w:pPr>
              <w:pStyle w:val="TableTextTables"/>
              <w:rPr>
                <w:b/>
                <w:color w:val="FFFFFF" w:themeColor="background1"/>
              </w:rPr>
            </w:pPr>
            <w:r w:rsidRPr="0089679C">
              <w:rPr>
                <w:b/>
                <w:color w:val="FFFFFF" w:themeColor="background1"/>
              </w:rPr>
              <w:t>Item</w:t>
            </w:r>
          </w:p>
        </w:tc>
        <w:tc>
          <w:tcPr>
            <w:tcW w:w="4535" w:type="dxa"/>
            <w:shd w:val="clear" w:color="auto" w:fill="005C8F"/>
            <w:tcMar>
              <w:top w:w="0" w:type="dxa"/>
              <w:left w:w="170" w:type="dxa"/>
              <w:bottom w:w="0" w:type="dxa"/>
              <w:right w:w="85" w:type="dxa"/>
            </w:tcMar>
            <w:vAlign w:val="center"/>
          </w:tcPr>
          <w:p w14:paraId="16DD778C" w14:textId="77777777" w:rsidR="00506124" w:rsidRPr="0089679C" w:rsidRDefault="00506124" w:rsidP="00EF71C9">
            <w:pPr>
              <w:pStyle w:val="TableTextTables"/>
              <w:rPr>
                <w:b/>
                <w:color w:val="FFFFFF" w:themeColor="background1"/>
              </w:rPr>
            </w:pPr>
            <w:r w:rsidRPr="0089679C">
              <w:rPr>
                <w:b/>
                <w:color w:val="FFFFFF" w:themeColor="background1"/>
              </w:rPr>
              <w:t>Cosmetic Surgery Standards action</w:t>
            </w:r>
          </w:p>
        </w:tc>
        <w:tc>
          <w:tcPr>
            <w:tcW w:w="2665" w:type="dxa"/>
            <w:shd w:val="clear" w:color="auto" w:fill="005C8F"/>
            <w:tcMar>
              <w:top w:w="0" w:type="dxa"/>
              <w:left w:w="170" w:type="dxa"/>
              <w:bottom w:w="0" w:type="dxa"/>
              <w:right w:w="85" w:type="dxa"/>
            </w:tcMar>
            <w:vAlign w:val="center"/>
          </w:tcPr>
          <w:p w14:paraId="493FEC42" w14:textId="77777777" w:rsidR="00506124" w:rsidRPr="0089679C" w:rsidRDefault="00506124" w:rsidP="00EF71C9">
            <w:pPr>
              <w:pStyle w:val="TableTextTables"/>
              <w:rPr>
                <w:b/>
                <w:color w:val="FFFFFF" w:themeColor="background1"/>
              </w:rPr>
            </w:pPr>
            <w:r w:rsidRPr="0089679C">
              <w:rPr>
                <w:b/>
                <w:color w:val="FFFFFF" w:themeColor="background1"/>
              </w:rPr>
              <w:t>Additional requirements</w:t>
            </w:r>
          </w:p>
        </w:tc>
      </w:tr>
      <w:tr w:rsidR="00EF71C9" w:rsidRPr="00506124" w14:paraId="088C7A5D" w14:textId="77777777" w:rsidTr="00053B8C">
        <w:trPr>
          <w:trHeight w:val="7406"/>
        </w:trPr>
        <w:tc>
          <w:tcPr>
            <w:tcW w:w="1871" w:type="dxa"/>
            <w:vMerge w:val="restart"/>
            <w:shd w:val="clear" w:color="auto" w:fill="DBE4F1"/>
            <w:tcMar>
              <w:top w:w="170" w:type="dxa"/>
              <w:left w:w="85" w:type="dxa"/>
              <w:bottom w:w="170" w:type="dxa"/>
              <w:right w:w="227" w:type="dxa"/>
            </w:tcMar>
          </w:tcPr>
          <w:p w14:paraId="1A2B6123" w14:textId="77777777" w:rsidR="00EF71C9" w:rsidRPr="00EF71C9" w:rsidRDefault="00EF71C9" w:rsidP="00EF71C9">
            <w:pPr>
              <w:pStyle w:val="TableTextTables"/>
              <w:rPr>
                <w:b/>
                <w:lang w:val="en-GB"/>
              </w:rPr>
            </w:pPr>
            <w:r w:rsidRPr="00EF71C9">
              <w:rPr>
                <w:b/>
                <w:lang w:val="en-GB"/>
              </w:rPr>
              <w:t>Governance, leadership and culture</w:t>
            </w:r>
          </w:p>
        </w:tc>
        <w:tc>
          <w:tcPr>
            <w:tcW w:w="4535" w:type="dxa"/>
            <w:shd w:val="clear" w:color="auto" w:fill="auto"/>
            <w:tcMar>
              <w:top w:w="170" w:type="dxa"/>
              <w:left w:w="170" w:type="dxa"/>
              <w:bottom w:w="170" w:type="dxa"/>
              <w:right w:w="85" w:type="dxa"/>
            </w:tcMar>
          </w:tcPr>
          <w:p w14:paraId="0D3A3231" w14:textId="77777777" w:rsidR="00EF71C9" w:rsidRPr="00EF71C9" w:rsidRDefault="00EF71C9" w:rsidP="00EF71C9">
            <w:pPr>
              <w:pStyle w:val="Tabletexthang"/>
            </w:pPr>
            <w:r w:rsidRPr="0064496B">
              <w:rPr>
                <w:b/>
                <w:bCs/>
              </w:rPr>
              <w:t>1.01</w:t>
            </w:r>
            <w:r w:rsidRPr="00EF71C9">
              <w:tab/>
            </w:r>
            <w:r w:rsidRPr="0064496B">
              <w:rPr>
                <w:b/>
                <w:bCs/>
              </w:rPr>
              <w:t>The Service:</w:t>
            </w:r>
          </w:p>
          <w:p w14:paraId="0CA4374E" w14:textId="77777777" w:rsidR="00EF71C9" w:rsidRPr="00EF71C9" w:rsidRDefault="00EF71C9" w:rsidP="00EF71C9">
            <w:pPr>
              <w:pStyle w:val="tablenumbered"/>
            </w:pPr>
            <w:r w:rsidRPr="00506124">
              <w:t>a.</w:t>
            </w:r>
            <w:r w:rsidRPr="00506124">
              <w:tab/>
            </w:r>
            <w:r w:rsidRPr="00EF71C9">
              <w:t>Provides leadership to develop a culture of safety and quality improvement, and satisfies itself that this culture exists</w:t>
            </w:r>
          </w:p>
          <w:p w14:paraId="12EA52FA" w14:textId="77777777" w:rsidR="00EF71C9" w:rsidRPr="00506124" w:rsidRDefault="00EF71C9" w:rsidP="00EF71C9">
            <w:pPr>
              <w:pStyle w:val="tablenumbered"/>
            </w:pPr>
            <w:r w:rsidRPr="00506124">
              <w:t>b.</w:t>
            </w:r>
            <w:r w:rsidRPr="00506124">
              <w:tab/>
              <w:t>Provides leadership to ensure partnering with patients, carers and consumers</w:t>
            </w:r>
          </w:p>
          <w:p w14:paraId="427DF7AB" w14:textId="77777777" w:rsidR="00EF71C9" w:rsidRPr="00506124" w:rsidRDefault="00EF71C9" w:rsidP="00EF71C9">
            <w:pPr>
              <w:pStyle w:val="tablenumbered"/>
            </w:pPr>
            <w:r w:rsidRPr="00506124">
              <w:t>c.</w:t>
            </w:r>
            <w:r w:rsidRPr="00506124">
              <w:tab/>
              <w:t>Sets priorities and strategic directions for safe and high-quality clinical care, and ensures these are communicated effectively to the workforce</w:t>
            </w:r>
          </w:p>
          <w:p w14:paraId="424DF707" w14:textId="77777777" w:rsidR="00EF71C9" w:rsidRPr="00506124" w:rsidRDefault="00EF71C9" w:rsidP="00EF71C9">
            <w:pPr>
              <w:pStyle w:val="tablenumbered"/>
            </w:pPr>
            <w:r w:rsidRPr="00506124">
              <w:t>d.</w:t>
            </w:r>
            <w:r w:rsidRPr="00506124">
              <w:tab/>
              <w:t xml:space="preserve">Establishes and maintains a clinical governance framework and uses </w:t>
            </w:r>
            <w:r w:rsidRPr="00506124">
              <w:br/>
              <w:t xml:space="preserve">the processes within the framework </w:t>
            </w:r>
            <w:r w:rsidRPr="00506124">
              <w:br/>
              <w:t xml:space="preserve">to drive improvements in safety </w:t>
            </w:r>
            <w:r w:rsidRPr="00506124">
              <w:br/>
              <w:t>and quality</w:t>
            </w:r>
          </w:p>
          <w:p w14:paraId="440A9DA3" w14:textId="77777777" w:rsidR="00EF71C9" w:rsidRPr="00506124" w:rsidRDefault="00EF71C9" w:rsidP="00EF71C9">
            <w:pPr>
              <w:pStyle w:val="tablenumbered"/>
            </w:pPr>
            <w:r w:rsidRPr="00506124">
              <w:t>e.</w:t>
            </w:r>
            <w:r w:rsidRPr="00506124">
              <w:tab/>
              <w:t xml:space="preserve">Clearly defines the safety and quality roles, responsibilities and accountabilities for those governing </w:t>
            </w:r>
            <w:r w:rsidRPr="00506124">
              <w:br/>
              <w:t xml:space="preserve">the service, management, clinicians </w:t>
            </w:r>
            <w:r w:rsidRPr="00506124">
              <w:br/>
              <w:t xml:space="preserve">and the workforce </w:t>
            </w:r>
          </w:p>
          <w:p w14:paraId="664E44BD" w14:textId="77777777" w:rsidR="00EF71C9" w:rsidRPr="00506124" w:rsidRDefault="00EF71C9" w:rsidP="00EF71C9">
            <w:pPr>
              <w:pStyle w:val="tablenumbered"/>
            </w:pPr>
            <w:r w:rsidRPr="00506124">
              <w:t>f.</w:t>
            </w:r>
            <w:r w:rsidRPr="00506124">
              <w:tab/>
              <w:t>Monitors the action taken as a result of clinical incidents</w:t>
            </w:r>
          </w:p>
          <w:p w14:paraId="63AFEE49" w14:textId="77777777" w:rsidR="00EF71C9" w:rsidRPr="00506124" w:rsidRDefault="00EF71C9" w:rsidP="00EF71C9">
            <w:pPr>
              <w:pStyle w:val="tablenumbered"/>
            </w:pPr>
            <w:r w:rsidRPr="00506124">
              <w:t>g.</w:t>
            </w:r>
            <w:r w:rsidRPr="00506124">
              <w:tab/>
              <w:t>Reviews and monitors its progress on safety and quality performance</w:t>
            </w:r>
          </w:p>
          <w:p w14:paraId="75933375" w14:textId="6F554860" w:rsidR="00EF71C9" w:rsidRPr="00EF71C9" w:rsidRDefault="00EF71C9" w:rsidP="00EF71C9">
            <w:pPr>
              <w:pStyle w:val="tablenumbered"/>
            </w:pPr>
            <w:r w:rsidRPr="0064496B">
              <w:rPr>
                <w:b/>
                <w:bCs/>
              </w:rPr>
              <w:t>h.</w:t>
            </w:r>
            <w:r w:rsidRPr="00EF71C9">
              <w:tab/>
            </w:r>
            <w:r w:rsidRPr="0064496B">
              <w:rPr>
                <w:b/>
                <w:bCs/>
              </w:rPr>
              <w:t>Establishes and maintains systems for integrating care with other services involved in a patient’s care</w:t>
            </w:r>
          </w:p>
        </w:tc>
        <w:tc>
          <w:tcPr>
            <w:tcW w:w="2665" w:type="dxa"/>
            <w:shd w:val="clear" w:color="auto" w:fill="auto"/>
            <w:tcMar>
              <w:top w:w="170" w:type="dxa"/>
              <w:left w:w="170" w:type="dxa"/>
              <w:bottom w:w="170" w:type="dxa"/>
              <w:right w:w="85" w:type="dxa"/>
            </w:tcMar>
          </w:tcPr>
          <w:p w14:paraId="6BD9B774" w14:textId="4A05CACD" w:rsidR="00AD7A63" w:rsidRPr="0028021F" w:rsidRDefault="00EF71C9" w:rsidP="00EF71C9">
            <w:pPr>
              <w:pStyle w:val="TableTextTables"/>
              <w:rPr>
                <w:rFonts w:asciiTheme="majorHAnsi" w:hAnsiTheme="majorHAnsi" w:cstheme="majorHAnsi"/>
                <w:b/>
                <w:bCs/>
                <w:szCs w:val="18"/>
                <w:lang w:val="en-GB"/>
              </w:rPr>
            </w:pPr>
            <w:r w:rsidRPr="0028021F">
              <w:rPr>
                <w:rFonts w:asciiTheme="majorHAnsi" w:hAnsiTheme="majorHAnsi" w:cstheme="majorHAnsi"/>
                <w:szCs w:val="18"/>
                <w:lang w:val="en-GB"/>
              </w:rPr>
              <w:t>This action</w:t>
            </w:r>
            <w:r w:rsidR="00084336" w:rsidRPr="0028021F">
              <w:rPr>
                <w:rFonts w:asciiTheme="majorHAnsi" w:hAnsiTheme="majorHAnsi" w:cstheme="majorHAnsi"/>
                <w:szCs w:val="18"/>
                <w:lang w:val="en-GB"/>
              </w:rPr>
              <w:t xml:space="preserve"> is a </w:t>
            </w:r>
            <w:r w:rsidR="00084336" w:rsidRPr="0028021F">
              <w:rPr>
                <w:rFonts w:asciiTheme="majorHAnsi" w:hAnsiTheme="majorHAnsi" w:cstheme="majorHAnsi"/>
                <w:b/>
                <w:bCs/>
                <w:szCs w:val="18"/>
                <w:lang w:val="en-GB"/>
              </w:rPr>
              <w:t>partial match</w:t>
            </w:r>
            <w:r w:rsidR="00AD7A63" w:rsidRPr="0028021F">
              <w:rPr>
                <w:rFonts w:asciiTheme="majorHAnsi" w:hAnsiTheme="majorHAnsi" w:cstheme="majorHAnsi"/>
                <w:szCs w:val="18"/>
                <w:lang w:val="en-GB"/>
              </w:rPr>
              <w:t xml:space="preserve"> to the </w:t>
            </w:r>
            <w:r w:rsidR="00AD7A63" w:rsidRPr="0028021F">
              <w:rPr>
                <w:rFonts w:asciiTheme="majorHAnsi" w:hAnsiTheme="majorHAnsi" w:cstheme="majorHAnsi"/>
                <w:b/>
                <w:bCs/>
                <w:szCs w:val="18"/>
                <w:lang w:val="en-GB"/>
              </w:rPr>
              <w:t>NSQHS Standards action 1.01</w:t>
            </w:r>
          </w:p>
          <w:p w14:paraId="53E886F6" w14:textId="77777777" w:rsidR="00115FBE" w:rsidRPr="0028021F" w:rsidRDefault="00115FBE" w:rsidP="00115FBE">
            <w:pPr>
              <w:pStyle w:val="NoParagraphStyle"/>
              <w:rPr>
                <w:rFonts w:asciiTheme="majorHAnsi" w:hAnsiTheme="majorHAnsi" w:cstheme="majorHAnsi"/>
                <w:sz w:val="18"/>
                <w:szCs w:val="18"/>
                <w:lang w:val="en-GB"/>
              </w:rPr>
            </w:pPr>
          </w:p>
          <w:p w14:paraId="4CC19D78" w14:textId="3CFFF34E" w:rsidR="00EF71C9" w:rsidRDefault="000B7464" w:rsidP="00EF71C9">
            <w:pPr>
              <w:pStyle w:val="TableTextTables"/>
              <w:rPr>
                <w:rFonts w:asciiTheme="majorHAnsi" w:hAnsiTheme="majorHAnsi" w:cstheme="majorHAnsi"/>
                <w:b/>
                <w:bCs/>
                <w:szCs w:val="18"/>
                <w:lang w:val="en-GB"/>
              </w:rPr>
            </w:pPr>
            <w:r w:rsidRPr="0028021F">
              <w:rPr>
                <w:lang w:val="en-GB"/>
              </w:rPr>
              <w:t xml:space="preserve">This action only requires additional compliance strategies for </w:t>
            </w:r>
            <w:r w:rsidR="00EF71C9" w:rsidRPr="0028021F">
              <w:rPr>
                <w:rFonts w:asciiTheme="majorHAnsi" w:hAnsiTheme="majorHAnsi" w:cstheme="majorHAnsi"/>
                <w:b/>
                <w:bCs/>
                <w:szCs w:val="18"/>
                <w:lang w:val="en-GB"/>
              </w:rPr>
              <w:t>sub-action h</w:t>
            </w:r>
          </w:p>
          <w:p w14:paraId="6DD0C14F" w14:textId="77777777" w:rsidR="00707CD7" w:rsidRDefault="00707CD7" w:rsidP="00707CD7">
            <w:pPr>
              <w:pStyle w:val="NoParagraphStyle"/>
              <w:rPr>
                <w:rFonts w:ascii="Arial" w:hAnsi="Arial" w:cs="Arial"/>
                <w:sz w:val="18"/>
                <w:szCs w:val="18"/>
                <w:lang w:val="en-GB"/>
              </w:rPr>
            </w:pPr>
          </w:p>
          <w:p w14:paraId="2B2A15A1" w14:textId="104B0196" w:rsidR="00707CD7" w:rsidRPr="00707CD7" w:rsidRDefault="00707CD7" w:rsidP="00707CD7">
            <w:pPr>
              <w:pStyle w:val="NoParagraphStyle"/>
              <w:rPr>
                <w:rFonts w:ascii="Arial" w:hAnsi="Arial" w:cs="Arial"/>
                <w:sz w:val="18"/>
                <w:szCs w:val="18"/>
                <w:lang w:val="en-GB"/>
              </w:rPr>
            </w:pPr>
          </w:p>
        </w:tc>
      </w:tr>
      <w:tr w:rsidR="00EF71C9" w:rsidRPr="00506124" w14:paraId="35D16DEB" w14:textId="77777777" w:rsidTr="0089679C">
        <w:trPr>
          <w:trHeight w:val="60"/>
        </w:trPr>
        <w:tc>
          <w:tcPr>
            <w:tcW w:w="1871" w:type="dxa"/>
            <w:vMerge/>
            <w:shd w:val="clear" w:color="auto" w:fill="DBE4F1"/>
          </w:tcPr>
          <w:p w14:paraId="3E1068AC" w14:textId="77777777" w:rsidR="00EF71C9" w:rsidRPr="00506124" w:rsidRDefault="00EF71C9" w:rsidP="00EF71C9">
            <w:pPr>
              <w:pStyle w:val="TableTextTables"/>
              <w:rPr>
                <w:rFonts w:ascii="Calluna-Regular" w:hAnsi="Calluna-Regular"/>
                <w:sz w:val="24"/>
                <w:szCs w:val="24"/>
              </w:rPr>
            </w:pPr>
          </w:p>
        </w:tc>
        <w:tc>
          <w:tcPr>
            <w:tcW w:w="4535" w:type="dxa"/>
            <w:shd w:val="clear" w:color="auto" w:fill="auto"/>
            <w:tcMar>
              <w:top w:w="170" w:type="dxa"/>
              <w:left w:w="170" w:type="dxa"/>
              <w:bottom w:w="170" w:type="dxa"/>
              <w:right w:w="85" w:type="dxa"/>
            </w:tcMar>
          </w:tcPr>
          <w:p w14:paraId="168C67BA" w14:textId="5CBE62B4" w:rsidR="00EF71C9" w:rsidRPr="00EF71C9" w:rsidRDefault="00EF71C9" w:rsidP="00EF71C9">
            <w:pPr>
              <w:pStyle w:val="Tabletexthang"/>
              <w:rPr>
                <w:b/>
              </w:rPr>
            </w:pPr>
            <w:r w:rsidRPr="00EF71C9">
              <w:rPr>
                <w:b/>
              </w:rPr>
              <w:t>1.03</w:t>
            </w:r>
            <w:r w:rsidRPr="00EF71C9">
              <w:rPr>
                <w:b/>
              </w:rPr>
              <w:tab/>
              <w:t>The Service establishes and maintains systems to adapt clinical practices to reduce and mitigate its contribution to emissions</w:t>
            </w:r>
          </w:p>
        </w:tc>
        <w:tc>
          <w:tcPr>
            <w:tcW w:w="2665" w:type="dxa"/>
            <w:shd w:val="clear" w:color="auto" w:fill="auto"/>
            <w:tcMar>
              <w:top w:w="170" w:type="dxa"/>
              <w:left w:w="170" w:type="dxa"/>
              <w:bottom w:w="170" w:type="dxa"/>
              <w:right w:w="85" w:type="dxa"/>
            </w:tcMar>
          </w:tcPr>
          <w:p w14:paraId="23740ADC" w14:textId="083F5EEF" w:rsidR="00EF71C9" w:rsidRPr="00506124" w:rsidRDefault="00553370" w:rsidP="00EF71C9">
            <w:pPr>
              <w:pStyle w:val="TableTextTables"/>
              <w:rPr>
                <w:lang w:val="en-GB"/>
              </w:rPr>
            </w:pPr>
            <w:r w:rsidRPr="0028021F">
              <w:rPr>
                <w:lang w:val="en-GB"/>
              </w:rPr>
              <w:t xml:space="preserve">Requires full compliance with this action as it is specific to the Cosmetic Surgery </w:t>
            </w:r>
            <w:r w:rsidRPr="0028021F">
              <w:t>Standards</w:t>
            </w:r>
          </w:p>
        </w:tc>
      </w:tr>
      <w:tr w:rsidR="00EF71C9" w:rsidRPr="00506124" w14:paraId="24912967" w14:textId="77777777" w:rsidTr="0089679C">
        <w:trPr>
          <w:trHeight w:val="60"/>
        </w:trPr>
        <w:tc>
          <w:tcPr>
            <w:tcW w:w="1871" w:type="dxa"/>
            <w:vMerge/>
            <w:shd w:val="clear" w:color="auto" w:fill="DBE4F1"/>
          </w:tcPr>
          <w:p w14:paraId="3E729B99" w14:textId="77777777" w:rsidR="00EF71C9" w:rsidRPr="00506124" w:rsidRDefault="00EF71C9" w:rsidP="00EF71C9">
            <w:pPr>
              <w:pStyle w:val="TableTextTables"/>
              <w:rPr>
                <w:rFonts w:ascii="Calluna-Regular" w:hAnsi="Calluna-Regular"/>
                <w:sz w:val="24"/>
                <w:szCs w:val="24"/>
              </w:rPr>
            </w:pPr>
          </w:p>
        </w:tc>
        <w:tc>
          <w:tcPr>
            <w:tcW w:w="4535" w:type="dxa"/>
            <w:shd w:val="clear" w:color="auto" w:fill="auto"/>
            <w:tcMar>
              <w:top w:w="170" w:type="dxa"/>
              <w:left w:w="170" w:type="dxa"/>
              <w:bottom w:w="170" w:type="dxa"/>
              <w:right w:w="85" w:type="dxa"/>
            </w:tcMar>
          </w:tcPr>
          <w:p w14:paraId="4DC82482" w14:textId="77777777" w:rsidR="00EF71C9" w:rsidRPr="00EF71C9" w:rsidRDefault="00EF71C9" w:rsidP="00EF71C9">
            <w:pPr>
              <w:pStyle w:val="Tabletexthang"/>
              <w:rPr>
                <w:b/>
              </w:rPr>
            </w:pPr>
            <w:r w:rsidRPr="00EF71C9">
              <w:rPr>
                <w:b/>
              </w:rPr>
              <w:t>1.04</w:t>
            </w:r>
            <w:r w:rsidRPr="00EF71C9">
              <w:rPr>
                <w:b/>
              </w:rPr>
              <w:tab/>
              <w:t>The Service has processes to assure itself that medical practitioners conducting cosmetic surgery:</w:t>
            </w:r>
          </w:p>
          <w:p w14:paraId="122D6699" w14:textId="77777777" w:rsidR="00EF71C9" w:rsidRPr="00EF71C9" w:rsidRDefault="00EF71C9" w:rsidP="00EF71C9">
            <w:pPr>
              <w:pStyle w:val="tablenumbered"/>
              <w:rPr>
                <w:b/>
              </w:rPr>
            </w:pPr>
            <w:r w:rsidRPr="00EF71C9">
              <w:rPr>
                <w:b/>
              </w:rPr>
              <w:t>a.</w:t>
            </w:r>
            <w:r w:rsidRPr="00EF71C9">
              <w:rPr>
                <w:b/>
              </w:rPr>
              <w:tab/>
              <w:t>Fully comply with Medical Board of Australia and jurisdictional requirements</w:t>
            </w:r>
          </w:p>
          <w:p w14:paraId="72C5A71D" w14:textId="77777777" w:rsidR="00EF71C9" w:rsidRPr="00EF71C9" w:rsidRDefault="00EF71C9" w:rsidP="00EF71C9">
            <w:pPr>
              <w:pStyle w:val="tablenumbered"/>
              <w:rPr>
                <w:b/>
              </w:rPr>
            </w:pPr>
            <w:r w:rsidRPr="00EF71C9">
              <w:rPr>
                <w:b/>
              </w:rPr>
              <w:t>b.</w:t>
            </w:r>
            <w:r w:rsidRPr="00EF71C9">
              <w:rPr>
                <w:b/>
              </w:rPr>
              <w:tab/>
              <w:t>Allow sufficient time for informed consent processes to occur</w:t>
            </w:r>
          </w:p>
          <w:p w14:paraId="23A8F1D5" w14:textId="0B7E0B6F" w:rsidR="00EF71C9" w:rsidRPr="00506124" w:rsidRDefault="00EF71C9" w:rsidP="00EF71C9">
            <w:pPr>
              <w:pStyle w:val="tablenumbered"/>
            </w:pPr>
            <w:r w:rsidRPr="00EF71C9">
              <w:rPr>
                <w:b/>
              </w:rPr>
              <w:t>c.</w:t>
            </w:r>
            <w:r w:rsidRPr="00EF71C9">
              <w:rPr>
                <w:b/>
              </w:rPr>
              <w:tab/>
              <w:t xml:space="preserve">Ensure advertising of cosmetic surgery that they commission or are referenced in complies with legislation, national codes </w:t>
            </w:r>
            <w:r w:rsidRPr="00EF71C9">
              <w:rPr>
                <w:b/>
              </w:rPr>
              <w:br/>
              <w:t>and guidelines</w:t>
            </w:r>
          </w:p>
        </w:tc>
        <w:tc>
          <w:tcPr>
            <w:tcW w:w="2665" w:type="dxa"/>
            <w:shd w:val="clear" w:color="auto" w:fill="auto"/>
            <w:tcMar>
              <w:top w:w="170" w:type="dxa"/>
              <w:left w:w="170" w:type="dxa"/>
              <w:bottom w:w="170" w:type="dxa"/>
              <w:right w:w="85" w:type="dxa"/>
            </w:tcMar>
          </w:tcPr>
          <w:p w14:paraId="23523A3E" w14:textId="110759B6" w:rsidR="00EF71C9" w:rsidRPr="00506124" w:rsidRDefault="00553370" w:rsidP="006754AE">
            <w:pPr>
              <w:pStyle w:val="Tabletext"/>
              <w:jc w:val="left"/>
            </w:pPr>
            <w:r w:rsidRPr="0028021F">
              <w:rPr>
                <w:lang w:val="en-GB"/>
              </w:rPr>
              <w:t xml:space="preserve">Requires full compliance with this action as it is specific to the Cosmetic Surgery </w:t>
            </w:r>
            <w:r w:rsidRPr="0028021F">
              <w:t>Standards</w:t>
            </w:r>
          </w:p>
        </w:tc>
      </w:tr>
    </w:tbl>
    <w:p w14:paraId="6FEE15D4" w14:textId="77777777" w:rsidR="00506124" w:rsidRPr="00506124" w:rsidRDefault="00506124" w:rsidP="00506124">
      <w:pPr>
        <w:suppressAutoHyphens/>
        <w:autoSpaceDE w:val="0"/>
        <w:autoSpaceDN w:val="0"/>
        <w:adjustRightInd w:val="0"/>
        <w:spacing w:before="0" w:after="113" w:line="288" w:lineRule="auto"/>
        <w:textAlignment w:val="center"/>
        <w:rPr>
          <w:rFonts w:ascii="Calluna-Regular" w:hAnsi="Calluna-Regular" w:cs="Calluna-Regular"/>
          <w:color w:val="000000"/>
          <w:sz w:val="21"/>
          <w:szCs w:val="21"/>
          <w:lang w:val="en-GB"/>
        </w:rPr>
      </w:pPr>
    </w:p>
    <w:p w14:paraId="1BC855D0" w14:textId="77777777" w:rsidR="00506124" w:rsidRPr="00506124" w:rsidRDefault="00506124" w:rsidP="00800D77">
      <w:pPr>
        <w:pStyle w:val="Heading2"/>
      </w:pPr>
      <w:bookmarkStart w:id="7" w:name="_Toc164328616"/>
      <w:r w:rsidRPr="00506124">
        <w:t>Patient safety and quality systems</w:t>
      </w:r>
      <w:bookmarkEnd w:id="7"/>
    </w:p>
    <w:p w14:paraId="6F90C056" w14:textId="77777777" w:rsidR="00506124" w:rsidRPr="00506124" w:rsidRDefault="00506124" w:rsidP="00800D77">
      <w:pPr>
        <w:rPr>
          <w:lang w:val="en-GB"/>
        </w:rPr>
      </w:pPr>
      <w:r w:rsidRPr="00506124">
        <w:rPr>
          <w:lang w:val="en-GB"/>
        </w:rPr>
        <w:t>Safety and quality systems are integrated with governance processes to enable the Service to actively manage and improve the safety and quality of care for patients.</w:t>
      </w:r>
    </w:p>
    <w:p w14:paraId="1F2F90CA" w14:textId="77777777" w:rsidR="00506124" w:rsidRPr="00506124" w:rsidRDefault="00506124" w:rsidP="00800D77">
      <w:pPr>
        <w:pStyle w:val="ECHeading2"/>
      </w:pPr>
      <w:r w:rsidRPr="00506124">
        <w:t>Consumer outcome</w:t>
      </w:r>
    </w:p>
    <w:p w14:paraId="7ED25E6F" w14:textId="77777777" w:rsidR="00506124" w:rsidRPr="00506124" w:rsidRDefault="00506124" w:rsidP="00800D77">
      <w:pPr>
        <w:rPr>
          <w:lang w:val="en-GB"/>
        </w:rPr>
      </w:pPr>
      <w:r w:rsidRPr="00506124">
        <w:rPr>
          <w:lang w:val="en-GB"/>
        </w:rPr>
        <w:t>I know the services I receive are well organised and my feedback is heard and is actioned.</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4535"/>
        <w:gridCol w:w="2665"/>
      </w:tblGrid>
      <w:tr w:rsidR="00506124" w:rsidRPr="00506124" w14:paraId="40516C5C" w14:textId="77777777" w:rsidTr="00AB4155">
        <w:trPr>
          <w:trHeight w:hRule="exact" w:val="340"/>
          <w:tblHeader/>
        </w:trPr>
        <w:tc>
          <w:tcPr>
            <w:tcW w:w="1871" w:type="dxa"/>
            <w:shd w:val="clear" w:color="auto" w:fill="005C8F"/>
            <w:tcMar>
              <w:top w:w="0" w:type="dxa"/>
              <w:left w:w="85" w:type="dxa"/>
              <w:bottom w:w="0" w:type="dxa"/>
              <w:right w:w="85" w:type="dxa"/>
            </w:tcMar>
            <w:vAlign w:val="center"/>
          </w:tcPr>
          <w:p w14:paraId="677DCC59" w14:textId="77777777" w:rsidR="00506124" w:rsidRPr="0089679C" w:rsidRDefault="00506124" w:rsidP="00EF71C9">
            <w:pPr>
              <w:pStyle w:val="TableTextTables"/>
              <w:rPr>
                <w:b/>
                <w:color w:val="FFFFFF" w:themeColor="background1"/>
              </w:rPr>
            </w:pPr>
            <w:r w:rsidRPr="0089679C">
              <w:rPr>
                <w:b/>
                <w:color w:val="FFFFFF" w:themeColor="background1"/>
              </w:rPr>
              <w:t>Item</w:t>
            </w:r>
          </w:p>
        </w:tc>
        <w:tc>
          <w:tcPr>
            <w:tcW w:w="4535" w:type="dxa"/>
            <w:shd w:val="clear" w:color="auto" w:fill="005C8F"/>
            <w:tcMar>
              <w:top w:w="0" w:type="dxa"/>
              <w:left w:w="170" w:type="dxa"/>
              <w:bottom w:w="0" w:type="dxa"/>
              <w:right w:w="85" w:type="dxa"/>
            </w:tcMar>
            <w:vAlign w:val="center"/>
          </w:tcPr>
          <w:p w14:paraId="60154E44" w14:textId="77777777" w:rsidR="00506124" w:rsidRPr="0089679C" w:rsidRDefault="00506124" w:rsidP="00EF71C9">
            <w:pPr>
              <w:pStyle w:val="TableTextTables"/>
              <w:rPr>
                <w:b/>
                <w:color w:val="FFFFFF" w:themeColor="background1"/>
              </w:rPr>
            </w:pPr>
            <w:r w:rsidRPr="0089679C">
              <w:rPr>
                <w:b/>
                <w:color w:val="FFFFFF" w:themeColor="background1"/>
              </w:rPr>
              <w:t>Cosmetic Surgery Standards action</w:t>
            </w:r>
          </w:p>
        </w:tc>
        <w:tc>
          <w:tcPr>
            <w:tcW w:w="2665" w:type="dxa"/>
            <w:shd w:val="clear" w:color="auto" w:fill="005C8F"/>
            <w:tcMar>
              <w:top w:w="0" w:type="dxa"/>
              <w:left w:w="170" w:type="dxa"/>
              <w:bottom w:w="0" w:type="dxa"/>
              <w:right w:w="85" w:type="dxa"/>
            </w:tcMar>
            <w:vAlign w:val="center"/>
          </w:tcPr>
          <w:p w14:paraId="2C688209" w14:textId="77777777" w:rsidR="00506124" w:rsidRPr="0089679C" w:rsidRDefault="00506124" w:rsidP="00EF71C9">
            <w:pPr>
              <w:pStyle w:val="TableTextTables"/>
              <w:rPr>
                <w:b/>
                <w:color w:val="FFFFFF" w:themeColor="background1"/>
              </w:rPr>
            </w:pPr>
            <w:r w:rsidRPr="0089679C">
              <w:rPr>
                <w:b/>
                <w:color w:val="FFFFFF" w:themeColor="background1"/>
              </w:rPr>
              <w:t>Additional requirements</w:t>
            </w:r>
          </w:p>
        </w:tc>
      </w:tr>
      <w:tr w:rsidR="00506124" w:rsidRPr="00506124" w14:paraId="74EC3CDD" w14:textId="77777777" w:rsidTr="00AB4155">
        <w:trPr>
          <w:trHeight w:val="60"/>
        </w:trPr>
        <w:tc>
          <w:tcPr>
            <w:tcW w:w="1871" w:type="dxa"/>
            <w:vMerge w:val="restart"/>
            <w:shd w:val="clear" w:color="auto" w:fill="DBE4F1"/>
            <w:tcMar>
              <w:top w:w="170" w:type="dxa"/>
              <w:left w:w="85" w:type="dxa"/>
              <w:bottom w:w="170" w:type="dxa"/>
              <w:right w:w="170" w:type="dxa"/>
            </w:tcMar>
          </w:tcPr>
          <w:p w14:paraId="0EB6DE24" w14:textId="77777777" w:rsidR="00506124" w:rsidRPr="00EF71C9" w:rsidRDefault="00506124" w:rsidP="00EF71C9">
            <w:pPr>
              <w:pStyle w:val="TableTextTables"/>
              <w:rPr>
                <w:b/>
                <w:lang w:val="en-GB"/>
              </w:rPr>
            </w:pPr>
            <w:r w:rsidRPr="00EF71C9">
              <w:rPr>
                <w:b/>
                <w:lang w:val="en-GB"/>
              </w:rPr>
              <w:t>Measurement and quality improvement</w:t>
            </w:r>
          </w:p>
        </w:tc>
        <w:tc>
          <w:tcPr>
            <w:tcW w:w="4535" w:type="dxa"/>
            <w:shd w:val="clear" w:color="auto" w:fill="auto"/>
            <w:tcMar>
              <w:top w:w="170" w:type="dxa"/>
              <w:left w:w="170" w:type="dxa"/>
              <w:bottom w:w="170" w:type="dxa"/>
              <w:right w:w="85" w:type="dxa"/>
            </w:tcMar>
          </w:tcPr>
          <w:p w14:paraId="1874C0F4" w14:textId="77777777" w:rsidR="00506124" w:rsidRPr="002054FE" w:rsidRDefault="00506124" w:rsidP="002054FE">
            <w:pPr>
              <w:pStyle w:val="Tabletexthang"/>
              <w:rPr>
                <w:b/>
              </w:rPr>
            </w:pPr>
            <w:r w:rsidRPr="002054FE">
              <w:rPr>
                <w:b/>
              </w:rPr>
              <w:t>1.07</w:t>
            </w:r>
            <w:r w:rsidRPr="002054FE">
              <w:rPr>
                <w:b/>
              </w:rPr>
              <w:tab/>
              <w:t>The Service supports clinicians to contribute complete and accurate clinical data to clinical quality registries specified by the Medical Board of Australia relevant to clinicians’ scope of clinical practice</w:t>
            </w:r>
          </w:p>
        </w:tc>
        <w:tc>
          <w:tcPr>
            <w:tcW w:w="2665" w:type="dxa"/>
            <w:shd w:val="clear" w:color="auto" w:fill="auto"/>
            <w:tcMar>
              <w:top w:w="170" w:type="dxa"/>
              <w:left w:w="170" w:type="dxa"/>
              <w:bottom w:w="170" w:type="dxa"/>
              <w:right w:w="85" w:type="dxa"/>
            </w:tcMar>
          </w:tcPr>
          <w:p w14:paraId="521B1B1E" w14:textId="1BD0D21C" w:rsidR="00506124" w:rsidRPr="0028021F" w:rsidRDefault="00553370" w:rsidP="00EF71C9">
            <w:pPr>
              <w:pStyle w:val="TableTextTables"/>
              <w:rPr>
                <w:lang w:val="en-GB"/>
              </w:rPr>
            </w:pPr>
            <w:r w:rsidRPr="0028021F">
              <w:rPr>
                <w:lang w:val="en-GB"/>
              </w:rPr>
              <w:t xml:space="preserve">Requires full compliance with this action as it is specific to the Cosmetic Surgery </w:t>
            </w:r>
            <w:r w:rsidRPr="0028021F">
              <w:t>Standards</w:t>
            </w:r>
          </w:p>
        </w:tc>
      </w:tr>
      <w:tr w:rsidR="00506124" w:rsidRPr="00506124" w14:paraId="42215D47" w14:textId="77777777" w:rsidTr="00AB4155">
        <w:trPr>
          <w:trHeight w:val="60"/>
        </w:trPr>
        <w:tc>
          <w:tcPr>
            <w:tcW w:w="1871" w:type="dxa"/>
            <w:vMerge/>
            <w:shd w:val="clear" w:color="auto" w:fill="DBE4F1"/>
          </w:tcPr>
          <w:p w14:paraId="25E7EADD" w14:textId="77777777" w:rsidR="00506124" w:rsidRPr="00506124" w:rsidRDefault="00506124" w:rsidP="00EF71C9">
            <w:pPr>
              <w:pStyle w:val="TableTextTables"/>
              <w:rPr>
                <w:rFonts w:ascii="Calluna-Regular" w:hAnsi="Calluna-Regular"/>
                <w:sz w:val="24"/>
                <w:szCs w:val="24"/>
              </w:rPr>
            </w:pPr>
          </w:p>
        </w:tc>
        <w:tc>
          <w:tcPr>
            <w:tcW w:w="4535" w:type="dxa"/>
            <w:shd w:val="clear" w:color="auto" w:fill="auto"/>
            <w:tcMar>
              <w:top w:w="170" w:type="dxa"/>
              <w:left w:w="170" w:type="dxa"/>
              <w:bottom w:w="170" w:type="dxa"/>
              <w:right w:w="85" w:type="dxa"/>
            </w:tcMar>
          </w:tcPr>
          <w:p w14:paraId="4D29EE6F" w14:textId="77777777" w:rsidR="00506124" w:rsidRPr="002054FE" w:rsidRDefault="00506124" w:rsidP="002054FE">
            <w:pPr>
              <w:pStyle w:val="Tabletexthang"/>
              <w:rPr>
                <w:b/>
              </w:rPr>
            </w:pPr>
            <w:r w:rsidRPr="002054FE">
              <w:rPr>
                <w:b/>
              </w:rPr>
              <w:t>1.08</w:t>
            </w:r>
            <w:r w:rsidRPr="002054FE">
              <w:rPr>
                <w:b/>
              </w:rPr>
              <w:tab/>
              <w:t xml:space="preserve">The Service: </w:t>
            </w:r>
          </w:p>
          <w:p w14:paraId="5CAD0378" w14:textId="77777777" w:rsidR="00506124" w:rsidRPr="002054FE" w:rsidRDefault="00506124" w:rsidP="00EF71C9">
            <w:pPr>
              <w:pStyle w:val="tablenumbered"/>
              <w:rPr>
                <w:b/>
              </w:rPr>
            </w:pPr>
            <w:r w:rsidRPr="002054FE">
              <w:rPr>
                <w:b/>
              </w:rPr>
              <w:t>a.</w:t>
            </w:r>
            <w:r w:rsidRPr="002054FE">
              <w:rPr>
                <w:b/>
              </w:rPr>
              <w:tab/>
              <w:t>Uses reports from clinical quality registries, its administrative, clinical and performance data to identify priorities for safety and quality improvement</w:t>
            </w:r>
          </w:p>
          <w:p w14:paraId="746B090D" w14:textId="77777777" w:rsidR="00506124" w:rsidRPr="00506124" w:rsidRDefault="00506124" w:rsidP="00EF71C9">
            <w:pPr>
              <w:pStyle w:val="tablenumbered"/>
            </w:pPr>
            <w:r w:rsidRPr="00506124">
              <w:t>b.</w:t>
            </w:r>
            <w:r w:rsidRPr="00506124">
              <w:tab/>
              <w:t xml:space="preserve">Acts on, reviews and monitors identified priorities for safety and quality improvement </w:t>
            </w:r>
          </w:p>
          <w:p w14:paraId="49473E98" w14:textId="77777777" w:rsidR="00506124" w:rsidRPr="00506124" w:rsidRDefault="00506124" w:rsidP="00EF71C9">
            <w:pPr>
              <w:pStyle w:val="tablenumbered"/>
            </w:pPr>
            <w:r w:rsidRPr="00506124">
              <w:t>c.</w:t>
            </w:r>
            <w:r w:rsidRPr="00506124">
              <w:tab/>
              <w:t>Measures changes in safety and quality indicators and outcomes</w:t>
            </w:r>
          </w:p>
          <w:p w14:paraId="4D392542" w14:textId="77777777" w:rsidR="00506124" w:rsidRPr="00506124" w:rsidRDefault="00506124" w:rsidP="00EF71C9">
            <w:pPr>
              <w:pStyle w:val="tablenumbered"/>
            </w:pPr>
            <w:r w:rsidRPr="00506124">
              <w:t>d.</w:t>
            </w:r>
            <w:r w:rsidRPr="00506124">
              <w:tab/>
              <w:t xml:space="preserve">Provides timely information on safety and quality improvement and performance to the governing body, the workforce and patients </w:t>
            </w:r>
          </w:p>
        </w:tc>
        <w:tc>
          <w:tcPr>
            <w:tcW w:w="2665" w:type="dxa"/>
            <w:shd w:val="clear" w:color="auto" w:fill="auto"/>
            <w:tcMar>
              <w:top w:w="170" w:type="dxa"/>
              <w:left w:w="170" w:type="dxa"/>
              <w:bottom w:w="170" w:type="dxa"/>
              <w:right w:w="85" w:type="dxa"/>
            </w:tcMar>
          </w:tcPr>
          <w:p w14:paraId="76FBB451" w14:textId="5BFBE10A" w:rsidR="00AD305C" w:rsidRPr="0028021F" w:rsidRDefault="00AD305C" w:rsidP="00AD305C">
            <w:pPr>
              <w:pStyle w:val="TableTextTables"/>
              <w:rPr>
                <w:lang w:val="en-GB"/>
              </w:rPr>
            </w:pPr>
            <w:r w:rsidRPr="0028021F">
              <w:rPr>
                <w:lang w:val="en-GB"/>
              </w:rPr>
              <w:t xml:space="preserve">This action is a </w:t>
            </w:r>
            <w:r w:rsidRPr="0028021F">
              <w:rPr>
                <w:b/>
                <w:bCs/>
                <w:lang w:val="en-GB"/>
              </w:rPr>
              <w:t>partial match</w:t>
            </w:r>
            <w:r w:rsidRPr="0028021F">
              <w:rPr>
                <w:lang w:val="en-GB"/>
              </w:rPr>
              <w:t xml:space="preserve"> to the </w:t>
            </w:r>
            <w:r w:rsidRPr="0028021F">
              <w:rPr>
                <w:b/>
                <w:bCs/>
                <w:lang w:val="en-GB"/>
              </w:rPr>
              <w:t>NSQHS Standards action</w:t>
            </w:r>
            <w:r w:rsidR="002F0C3A" w:rsidRPr="0028021F">
              <w:rPr>
                <w:b/>
                <w:bCs/>
                <w:lang w:val="en-GB"/>
              </w:rPr>
              <w:t>s</w:t>
            </w:r>
            <w:r w:rsidRPr="0028021F">
              <w:rPr>
                <w:b/>
                <w:bCs/>
                <w:lang w:val="en-GB"/>
              </w:rPr>
              <w:t xml:space="preserve"> 1.</w:t>
            </w:r>
            <w:r w:rsidR="002F0C3A" w:rsidRPr="0028021F">
              <w:rPr>
                <w:b/>
                <w:bCs/>
                <w:lang w:val="en-GB"/>
              </w:rPr>
              <w:t xml:space="preserve">08 </w:t>
            </w:r>
            <w:r w:rsidR="00290C62" w:rsidRPr="0028021F">
              <w:rPr>
                <w:b/>
                <w:bCs/>
                <w:lang w:val="en-GB"/>
              </w:rPr>
              <w:t xml:space="preserve">and </w:t>
            </w:r>
            <w:r w:rsidR="002F0C3A" w:rsidRPr="0028021F">
              <w:rPr>
                <w:b/>
                <w:bCs/>
                <w:lang w:val="en-GB"/>
              </w:rPr>
              <w:t>1.09</w:t>
            </w:r>
          </w:p>
          <w:p w14:paraId="345F9A31" w14:textId="038CA765" w:rsidR="004A073D" w:rsidRPr="0028021F" w:rsidRDefault="008C4293" w:rsidP="004A073D">
            <w:pPr>
              <w:pStyle w:val="TableTextTables"/>
              <w:rPr>
                <w:rFonts w:asciiTheme="majorHAnsi" w:hAnsiTheme="majorHAnsi" w:cstheme="majorHAnsi"/>
                <w:b/>
                <w:bCs/>
                <w:szCs w:val="18"/>
                <w:lang w:val="en-GB"/>
              </w:rPr>
            </w:pPr>
            <w:r w:rsidRPr="0028021F">
              <w:rPr>
                <w:lang w:val="en-GB"/>
              </w:rPr>
              <w:t xml:space="preserve">This action only requires additional compliance strategies for </w:t>
            </w:r>
            <w:r w:rsidR="00AD305C" w:rsidRPr="0028021F">
              <w:rPr>
                <w:b/>
                <w:bCs/>
                <w:lang w:val="en-GB"/>
              </w:rPr>
              <w:t xml:space="preserve">sub-action </w:t>
            </w:r>
            <w:r w:rsidR="002F0C3A" w:rsidRPr="0028021F">
              <w:rPr>
                <w:b/>
                <w:bCs/>
                <w:lang w:val="en-GB"/>
              </w:rPr>
              <w:t>a</w:t>
            </w:r>
          </w:p>
          <w:p w14:paraId="24573F3A" w14:textId="52AB175A" w:rsidR="00506124" w:rsidRPr="0028021F" w:rsidRDefault="00506124" w:rsidP="00AD305C">
            <w:pPr>
              <w:pStyle w:val="TableTextTables"/>
              <w:rPr>
                <w:lang w:val="en-GB"/>
              </w:rPr>
            </w:pPr>
          </w:p>
        </w:tc>
      </w:tr>
      <w:tr w:rsidR="00506124" w:rsidRPr="00506124" w14:paraId="063F34D8" w14:textId="77777777" w:rsidTr="00AB4155">
        <w:trPr>
          <w:trHeight w:val="1301"/>
        </w:trPr>
        <w:tc>
          <w:tcPr>
            <w:tcW w:w="1871" w:type="dxa"/>
            <w:shd w:val="clear" w:color="auto" w:fill="DBE4F1"/>
            <w:tcMar>
              <w:top w:w="170" w:type="dxa"/>
              <w:left w:w="85" w:type="dxa"/>
              <w:bottom w:w="170" w:type="dxa"/>
              <w:right w:w="170" w:type="dxa"/>
            </w:tcMar>
          </w:tcPr>
          <w:p w14:paraId="15043208" w14:textId="77777777" w:rsidR="00506124" w:rsidRPr="002054FE" w:rsidRDefault="00506124" w:rsidP="00EF71C9">
            <w:pPr>
              <w:pStyle w:val="TableTextTables"/>
              <w:rPr>
                <w:b/>
                <w:lang w:val="en-GB"/>
              </w:rPr>
            </w:pPr>
            <w:r w:rsidRPr="002054FE">
              <w:rPr>
                <w:b/>
                <w:lang w:val="en-GB"/>
              </w:rPr>
              <w:lastRenderedPageBreak/>
              <w:t>Feedback and complaints management</w:t>
            </w:r>
          </w:p>
        </w:tc>
        <w:tc>
          <w:tcPr>
            <w:tcW w:w="4535" w:type="dxa"/>
            <w:shd w:val="clear" w:color="auto" w:fill="auto"/>
            <w:tcMar>
              <w:top w:w="170" w:type="dxa"/>
              <w:left w:w="170" w:type="dxa"/>
              <w:bottom w:w="170" w:type="dxa"/>
              <w:right w:w="85" w:type="dxa"/>
            </w:tcMar>
          </w:tcPr>
          <w:p w14:paraId="5D000A16" w14:textId="77777777" w:rsidR="00506124" w:rsidRPr="002054FE" w:rsidRDefault="00506124" w:rsidP="002054FE">
            <w:pPr>
              <w:pStyle w:val="Tabletexthang"/>
              <w:rPr>
                <w:b/>
              </w:rPr>
            </w:pPr>
            <w:r w:rsidRPr="002054FE">
              <w:rPr>
                <w:b/>
              </w:rPr>
              <w:t>1.13</w:t>
            </w:r>
            <w:r w:rsidRPr="002054FE">
              <w:rPr>
                <w:b/>
              </w:rPr>
              <w:tab/>
              <w:t>The Service:</w:t>
            </w:r>
          </w:p>
          <w:p w14:paraId="658FDC23" w14:textId="77777777" w:rsidR="00506124" w:rsidRPr="00EF71C9" w:rsidRDefault="00506124" w:rsidP="00EF71C9">
            <w:pPr>
              <w:pStyle w:val="tablenumbered"/>
            </w:pPr>
            <w:r w:rsidRPr="00506124">
              <w:t>a.</w:t>
            </w:r>
            <w:r w:rsidRPr="00506124">
              <w:tab/>
            </w:r>
            <w:r w:rsidRPr="00EF71C9">
              <w:t xml:space="preserve">Supports patients to report complaints </w:t>
            </w:r>
          </w:p>
          <w:p w14:paraId="5AFD0501" w14:textId="77777777" w:rsidR="00506124" w:rsidRPr="00EF71C9" w:rsidRDefault="00506124" w:rsidP="00EF71C9">
            <w:pPr>
              <w:pStyle w:val="tablenumbered"/>
            </w:pPr>
            <w:r w:rsidRPr="00EF71C9">
              <w:t>b.</w:t>
            </w:r>
            <w:r w:rsidRPr="00EF71C9">
              <w:tab/>
              <w:t>Has processes to address complaints in a timely way</w:t>
            </w:r>
          </w:p>
          <w:p w14:paraId="37B5CC7C" w14:textId="77777777" w:rsidR="00506124" w:rsidRPr="00EF71C9" w:rsidRDefault="00506124" w:rsidP="00EF71C9">
            <w:pPr>
              <w:pStyle w:val="tablenumbered"/>
            </w:pPr>
            <w:r w:rsidRPr="00EF71C9">
              <w:t>c.</w:t>
            </w:r>
            <w:r w:rsidRPr="00EF71C9">
              <w:tab/>
              <w:t xml:space="preserve">Uses information from the analysis </w:t>
            </w:r>
            <w:r w:rsidRPr="00EF71C9">
              <w:br/>
              <w:t xml:space="preserve">of complaints to improve safety </w:t>
            </w:r>
            <w:r w:rsidRPr="00EF71C9">
              <w:br/>
              <w:t>and quality</w:t>
            </w:r>
          </w:p>
          <w:p w14:paraId="547271B6" w14:textId="77777777" w:rsidR="00506124" w:rsidRPr="002054FE" w:rsidRDefault="00506124" w:rsidP="00EF71C9">
            <w:pPr>
              <w:pStyle w:val="tablenumbered"/>
              <w:rPr>
                <w:b/>
              </w:rPr>
            </w:pPr>
            <w:r w:rsidRPr="002054FE">
              <w:rPr>
                <w:b/>
              </w:rPr>
              <w:t>d.</w:t>
            </w:r>
            <w:r w:rsidRPr="002054FE">
              <w:rPr>
                <w:b/>
              </w:rPr>
              <w:tab/>
              <w:t>Provides patients with the contact details of relevant healthcare complaints authorities when there are unresolved complaints</w:t>
            </w:r>
          </w:p>
        </w:tc>
        <w:tc>
          <w:tcPr>
            <w:tcW w:w="2665" w:type="dxa"/>
            <w:shd w:val="clear" w:color="auto" w:fill="auto"/>
            <w:tcMar>
              <w:top w:w="170" w:type="dxa"/>
              <w:left w:w="170" w:type="dxa"/>
              <w:bottom w:w="170" w:type="dxa"/>
              <w:right w:w="85" w:type="dxa"/>
            </w:tcMar>
          </w:tcPr>
          <w:p w14:paraId="1355AD3B" w14:textId="59ACBAC4" w:rsidR="002F0C3A" w:rsidRPr="0028021F" w:rsidRDefault="002F0C3A" w:rsidP="002F0C3A">
            <w:pPr>
              <w:pStyle w:val="TableTextTables"/>
              <w:rPr>
                <w:lang w:val="en-GB"/>
              </w:rPr>
            </w:pPr>
            <w:r w:rsidRPr="0028021F">
              <w:rPr>
                <w:lang w:val="en-GB"/>
              </w:rPr>
              <w:t xml:space="preserve">This action is a </w:t>
            </w:r>
            <w:r w:rsidRPr="0028021F">
              <w:rPr>
                <w:b/>
                <w:bCs/>
                <w:lang w:val="en-GB"/>
              </w:rPr>
              <w:t>partial match</w:t>
            </w:r>
            <w:r w:rsidRPr="0028021F">
              <w:rPr>
                <w:lang w:val="en-GB"/>
              </w:rPr>
              <w:t xml:space="preserve"> to the </w:t>
            </w:r>
            <w:r w:rsidRPr="0028021F">
              <w:rPr>
                <w:b/>
                <w:bCs/>
                <w:lang w:val="en-GB"/>
              </w:rPr>
              <w:t>NSQHS Standards action 1.</w:t>
            </w:r>
            <w:r w:rsidR="00E76175" w:rsidRPr="0028021F">
              <w:rPr>
                <w:b/>
                <w:bCs/>
                <w:lang w:val="en-GB"/>
              </w:rPr>
              <w:t>14</w:t>
            </w:r>
          </w:p>
          <w:p w14:paraId="45812397" w14:textId="505D7867" w:rsidR="00506124" w:rsidRPr="0028021F" w:rsidRDefault="008C4293" w:rsidP="002F0C3A">
            <w:pPr>
              <w:pStyle w:val="TableTextTables"/>
              <w:rPr>
                <w:lang w:val="en-GB"/>
              </w:rPr>
            </w:pPr>
            <w:r w:rsidRPr="0028021F">
              <w:rPr>
                <w:lang w:val="en-GB"/>
              </w:rPr>
              <w:t xml:space="preserve">This action only requires additional compliance strategies for </w:t>
            </w:r>
            <w:r w:rsidR="002F0C3A" w:rsidRPr="0028021F">
              <w:rPr>
                <w:b/>
                <w:bCs/>
                <w:lang w:val="en-GB"/>
              </w:rPr>
              <w:t>sub-action d</w:t>
            </w:r>
          </w:p>
        </w:tc>
      </w:tr>
      <w:tr w:rsidR="00506124" w:rsidRPr="00506124" w14:paraId="7B41091D" w14:textId="77777777" w:rsidTr="00AB4155">
        <w:trPr>
          <w:trHeight w:val="60"/>
        </w:trPr>
        <w:tc>
          <w:tcPr>
            <w:tcW w:w="1871" w:type="dxa"/>
            <w:shd w:val="clear" w:color="auto" w:fill="DBE4F1"/>
            <w:tcMar>
              <w:top w:w="170" w:type="dxa"/>
              <w:left w:w="85" w:type="dxa"/>
              <w:bottom w:w="170" w:type="dxa"/>
              <w:right w:w="170" w:type="dxa"/>
            </w:tcMar>
          </w:tcPr>
          <w:p w14:paraId="41DB05E8" w14:textId="77777777" w:rsidR="00506124" w:rsidRPr="002054FE" w:rsidRDefault="00506124" w:rsidP="00EF71C9">
            <w:pPr>
              <w:pStyle w:val="TableTextTables"/>
              <w:rPr>
                <w:b/>
                <w:lang w:val="en-GB"/>
              </w:rPr>
            </w:pPr>
            <w:r w:rsidRPr="002054FE">
              <w:rPr>
                <w:b/>
                <w:lang w:val="en-GB"/>
              </w:rPr>
              <w:t>Healthcare records</w:t>
            </w:r>
          </w:p>
        </w:tc>
        <w:tc>
          <w:tcPr>
            <w:tcW w:w="4535" w:type="dxa"/>
            <w:shd w:val="clear" w:color="auto" w:fill="auto"/>
            <w:tcMar>
              <w:top w:w="170" w:type="dxa"/>
              <w:left w:w="170" w:type="dxa"/>
              <w:bottom w:w="170" w:type="dxa"/>
              <w:right w:w="85" w:type="dxa"/>
            </w:tcMar>
          </w:tcPr>
          <w:p w14:paraId="0A7E5B0B" w14:textId="77777777" w:rsidR="00506124" w:rsidRPr="002054FE" w:rsidRDefault="00506124" w:rsidP="002054FE">
            <w:pPr>
              <w:pStyle w:val="Tabletexthang"/>
              <w:rPr>
                <w:b/>
              </w:rPr>
            </w:pPr>
            <w:r w:rsidRPr="002054FE">
              <w:rPr>
                <w:b/>
              </w:rPr>
              <w:t>1.15</w:t>
            </w:r>
            <w:r w:rsidRPr="002054FE">
              <w:rPr>
                <w:b/>
              </w:rPr>
              <w:tab/>
              <w:t>The Service has processes to:</w:t>
            </w:r>
          </w:p>
          <w:p w14:paraId="2C776C98" w14:textId="77777777" w:rsidR="00506124" w:rsidRPr="002054FE" w:rsidRDefault="00506124" w:rsidP="00EF71C9">
            <w:pPr>
              <w:pStyle w:val="tablenumbered"/>
              <w:rPr>
                <w:b/>
              </w:rPr>
            </w:pPr>
            <w:r w:rsidRPr="002054FE">
              <w:rPr>
                <w:b/>
              </w:rPr>
              <w:t>a.</w:t>
            </w:r>
            <w:r w:rsidRPr="002054FE">
              <w:rPr>
                <w:b/>
              </w:rPr>
              <w:tab/>
              <w:t xml:space="preserve">Collect patient information prior </w:t>
            </w:r>
            <w:r w:rsidRPr="002054FE">
              <w:rPr>
                <w:b/>
              </w:rPr>
              <w:br/>
              <w:t>to admission</w:t>
            </w:r>
          </w:p>
          <w:p w14:paraId="7C8DD483" w14:textId="77777777" w:rsidR="00506124" w:rsidRPr="00506124" w:rsidRDefault="00506124" w:rsidP="00EF71C9">
            <w:pPr>
              <w:pStyle w:val="tablenumbered"/>
            </w:pPr>
            <w:r w:rsidRPr="002054FE">
              <w:rPr>
                <w:b/>
              </w:rPr>
              <w:t>b.</w:t>
            </w:r>
            <w:r w:rsidRPr="002054FE">
              <w:rPr>
                <w:b/>
              </w:rPr>
              <w:tab/>
              <w:t>Ensure patients that are admitted comply with the Service’s admission policies</w:t>
            </w:r>
          </w:p>
        </w:tc>
        <w:tc>
          <w:tcPr>
            <w:tcW w:w="2665" w:type="dxa"/>
            <w:shd w:val="clear" w:color="auto" w:fill="auto"/>
            <w:tcMar>
              <w:top w:w="170" w:type="dxa"/>
              <w:left w:w="170" w:type="dxa"/>
              <w:bottom w:w="170" w:type="dxa"/>
              <w:right w:w="85" w:type="dxa"/>
            </w:tcMar>
          </w:tcPr>
          <w:p w14:paraId="681EA8DD" w14:textId="1CE708C4" w:rsidR="00506124" w:rsidRPr="0028021F" w:rsidRDefault="00553370" w:rsidP="00EF71C9">
            <w:pPr>
              <w:pStyle w:val="TableTextTables"/>
              <w:rPr>
                <w:lang w:val="en-GB"/>
              </w:rPr>
            </w:pPr>
            <w:r w:rsidRPr="0028021F">
              <w:rPr>
                <w:lang w:val="en-GB"/>
              </w:rPr>
              <w:t xml:space="preserve">Requires full compliance with this action as it is specific to the Cosmetic Surgery </w:t>
            </w:r>
            <w:r w:rsidRPr="0028021F">
              <w:t>Standards</w:t>
            </w:r>
          </w:p>
        </w:tc>
      </w:tr>
    </w:tbl>
    <w:p w14:paraId="09078DC8" w14:textId="77777777" w:rsidR="00506124" w:rsidRPr="00506124" w:rsidRDefault="00506124" w:rsidP="00506124">
      <w:pPr>
        <w:suppressAutoHyphens/>
        <w:autoSpaceDE w:val="0"/>
        <w:autoSpaceDN w:val="0"/>
        <w:adjustRightInd w:val="0"/>
        <w:spacing w:before="0" w:after="113" w:line="288" w:lineRule="auto"/>
        <w:textAlignment w:val="center"/>
        <w:rPr>
          <w:rFonts w:ascii="Calluna-Regular" w:hAnsi="Calluna-Regular" w:cs="Calluna-Regular"/>
          <w:color w:val="000000"/>
          <w:sz w:val="19"/>
          <w:szCs w:val="19"/>
          <w:lang w:val="en-GB"/>
        </w:rPr>
      </w:pPr>
    </w:p>
    <w:p w14:paraId="2F61529F" w14:textId="77777777" w:rsidR="002054FE" w:rsidRDefault="002054FE" w:rsidP="00800D77">
      <w:pPr>
        <w:pStyle w:val="Heading2"/>
        <w:sectPr w:rsidR="002054FE" w:rsidSect="00F04450">
          <w:footnotePr>
            <w:numFmt w:val="chicago"/>
          </w:footnotePr>
          <w:endnotePr>
            <w:numFmt w:val="decimal"/>
          </w:endnotePr>
          <w:pgSz w:w="11900" w:h="16840"/>
          <w:pgMar w:top="1701" w:right="1134" w:bottom="1134" w:left="1134" w:header="709" w:footer="851" w:gutter="0"/>
          <w:cols w:space="708"/>
          <w:docGrid w:linePitch="360"/>
        </w:sectPr>
      </w:pPr>
    </w:p>
    <w:p w14:paraId="01D6E908" w14:textId="1D8C6DE9" w:rsidR="00506124" w:rsidRPr="00506124" w:rsidRDefault="00506124" w:rsidP="00800D77">
      <w:pPr>
        <w:pStyle w:val="Heading2"/>
      </w:pPr>
      <w:bookmarkStart w:id="8" w:name="_Toc164328617"/>
      <w:r w:rsidRPr="00506124">
        <w:lastRenderedPageBreak/>
        <w:t>Clinical performance and effectiveness</w:t>
      </w:r>
      <w:bookmarkEnd w:id="8"/>
      <w:r w:rsidRPr="00506124">
        <w:t xml:space="preserve"> </w:t>
      </w:r>
    </w:p>
    <w:p w14:paraId="2CB6944D" w14:textId="77777777" w:rsidR="00506124" w:rsidRPr="00506124" w:rsidRDefault="00506124" w:rsidP="00800D77">
      <w:pPr>
        <w:rPr>
          <w:lang w:val="en-GB"/>
        </w:rPr>
      </w:pPr>
      <w:r w:rsidRPr="00506124">
        <w:rPr>
          <w:lang w:val="en-GB"/>
        </w:rPr>
        <w:t>The workforce has the right qualifications, knowledge and skills to deliver safe, high-quality services to patients.</w:t>
      </w:r>
    </w:p>
    <w:p w14:paraId="736410E2" w14:textId="77777777" w:rsidR="00506124" w:rsidRPr="00506124" w:rsidRDefault="00506124" w:rsidP="00800D77">
      <w:pPr>
        <w:pStyle w:val="ECHeading2"/>
      </w:pPr>
      <w:r w:rsidRPr="00506124">
        <w:t>Consumer outcome</w:t>
      </w:r>
    </w:p>
    <w:p w14:paraId="60E8A6CF" w14:textId="77777777" w:rsidR="00506124" w:rsidRPr="00506124" w:rsidRDefault="00506124" w:rsidP="00800D77">
      <w:pPr>
        <w:rPr>
          <w:lang w:val="en-GB"/>
        </w:rPr>
      </w:pPr>
      <w:r w:rsidRPr="00506124">
        <w:rPr>
          <w:lang w:val="en-GB"/>
        </w:rPr>
        <w:t xml:space="preserve">I get the services that I need from people who are qualified to provide my care.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4535"/>
        <w:gridCol w:w="2665"/>
      </w:tblGrid>
      <w:tr w:rsidR="00506124" w:rsidRPr="00506124" w14:paraId="09A42DAF" w14:textId="77777777" w:rsidTr="00AB4155">
        <w:trPr>
          <w:trHeight w:hRule="exact" w:val="340"/>
          <w:tblHeader/>
        </w:trPr>
        <w:tc>
          <w:tcPr>
            <w:tcW w:w="1871" w:type="dxa"/>
            <w:shd w:val="clear" w:color="auto" w:fill="005C8F"/>
            <w:tcMar>
              <w:top w:w="0" w:type="dxa"/>
              <w:left w:w="85" w:type="dxa"/>
              <w:bottom w:w="0" w:type="dxa"/>
              <w:right w:w="85" w:type="dxa"/>
            </w:tcMar>
            <w:vAlign w:val="center"/>
          </w:tcPr>
          <w:p w14:paraId="58544504" w14:textId="77777777" w:rsidR="00506124" w:rsidRPr="00AB4155" w:rsidRDefault="00506124" w:rsidP="00EF71C9">
            <w:pPr>
              <w:pStyle w:val="TableTextTables"/>
              <w:rPr>
                <w:b/>
                <w:color w:val="FFFFFF" w:themeColor="background1"/>
              </w:rPr>
            </w:pPr>
            <w:r w:rsidRPr="00AB4155">
              <w:rPr>
                <w:b/>
                <w:color w:val="FFFFFF" w:themeColor="background1"/>
              </w:rPr>
              <w:t>Item</w:t>
            </w:r>
          </w:p>
        </w:tc>
        <w:tc>
          <w:tcPr>
            <w:tcW w:w="4535" w:type="dxa"/>
            <w:shd w:val="clear" w:color="auto" w:fill="005C8F"/>
            <w:tcMar>
              <w:top w:w="0" w:type="dxa"/>
              <w:left w:w="170" w:type="dxa"/>
              <w:bottom w:w="0" w:type="dxa"/>
              <w:right w:w="85" w:type="dxa"/>
            </w:tcMar>
            <w:vAlign w:val="center"/>
          </w:tcPr>
          <w:p w14:paraId="33E880EC" w14:textId="77777777" w:rsidR="00506124" w:rsidRPr="00AB4155" w:rsidRDefault="00506124" w:rsidP="00EF71C9">
            <w:pPr>
              <w:pStyle w:val="TableTextTables"/>
              <w:rPr>
                <w:b/>
                <w:color w:val="FFFFFF" w:themeColor="background1"/>
              </w:rPr>
            </w:pPr>
            <w:r w:rsidRPr="00AB4155">
              <w:rPr>
                <w:b/>
                <w:color w:val="FFFFFF" w:themeColor="background1"/>
              </w:rPr>
              <w:t>Cosmetic Surgery Standards action</w:t>
            </w:r>
          </w:p>
        </w:tc>
        <w:tc>
          <w:tcPr>
            <w:tcW w:w="2665" w:type="dxa"/>
            <w:shd w:val="clear" w:color="auto" w:fill="005C8F"/>
            <w:tcMar>
              <w:top w:w="0" w:type="dxa"/>
              <w:left w:w="170" w:type="dxa"/>
              <w:bottom w:w="0" w:type="dxa"/>
              <w:right w:w="85" w:type="dxa"/>
            </w:tcMar>
            <w:vAlign w:val="center"/>
          </w:tcPr>
          <w:p w14:paraId="79A6A8BC" w14:textId="77777777" w:rsidR="00506124" w:rsidRPr="00AB4155" w:rsidRDefault="00506124" w:rsidP="00EF71C9">
            <w:pPr>
              <w:pStyle w:val="TableTextTables"/>
              <w:rPr>
                <w:b/>
                <w:color w:val="FFFFFF" w:themeColor="background1"/>
              </w:rPr>
            </w:pPr>
            <w:r w:rsidRPr="00AB4155">
              <w:rPr>
                <w:b/>
                <w:color w:val="FFFFFF" w:themeColor="background1"/>
              </w:rPr>
              <w:t>Additional requirements</w:t>
            </w:r>
          </w:p>
        </w:tc>
      </w:tr>
      <w:tr w:rsidR="00506124" w:rsidRPr="0028021F" w14:paraId="32E29F23" w14:textId="77777777" w:rsidTr="00AB4155">
        <w:trPr>
          <w:trHeight w:val="60"/>
        </w:trPr>
        <w:tc>
          <w:tcPr>
            <w:tcW w:w="1871" w:type="dxa"/>
            <w:shd w:val="clear" w:color="auto" w:fill="DBE4F1"/>
            <w:tcMar>
              <w:top w:w="170" w:type="dxa"/>
              <w:left w:w="85" w:type="dxa"/>
              <w:bottom w:w="170" w:type="dxa"/>
              <w:right w:w="170" w:type="dxa"/>
            </w:tcMar>
          </w:tcPr>
          <w:p w14:paraId="7A794FF0" w14:textId="77777777" w:rsidR="00506124" w:rsidRPr="0028021F" w:rsidRDefault="00506124" w:rsidP="00EF71C9">
            <w:pPr>
              <w:pStyle w:val="TableTextTables"/>
              <w:rPr>
                <w:b/>
                <w:lang w:val="en-GB"/>
              </w:rPr>
            </w:pPr>
            <w:r w:rsidRPr="0028021F">
              <w:rPr>
                <w:b/>
                <w:lang w:val="en-GB"/>
              </w:rPr>
              <w:t xml:space="preserve">Evaluating performance </w:t>
            </w:r>
          </w:p>
        </w:tc>
        <w:tc>
          <w:tcPr>
            <w:tcW w:w="4535" w:type="dxa"/>
            <w:shd w:val="clear" w:color="auto" w:fill="auto"/>
            <w:tcMar>
              <w:top w:w="170" w:type="dxa"/>
              <w:left w:w="170" w:type="dxa"/>
              <w:bottom w:w="170" w:type="dxa"/>
              <w:right w:w="85" w:type="dxa"/>
            </w:tcMar>
          </w:tcPr>
          <w:p w14:paraId="1AFCA153" w14:textId="77777777" w:rsidR="00506124" w:rsidRPr="0028021F" w:rsidRDefault="00506124" w:rsidP="002054FE">
            <w:pPr>
              <w:pStyle w:val="Tabletexthang"/>
              <w:rPr>
                <w:b/>
              </w:rPr>
            </w:pPr>
            <w:r w:rsidRPr="0028021F">
              <w:rPr>
                <w:b/>
              </w:rPr>
              <w:t>1.19</w:t>
            </w:r>
            <w:r w:rsidRPr="0028021F">
              <w:rPr>
                <w:b/>
              </w:rPr>
              <w:tab/>
              <w:t xml:space="preserve">The Service has effective and reliable processes to: </w:t>
            </w:r>
          </w:p>
          <w:p w14:paraId="68C5BFCC" w14:textId="77777777" w:rsidR="00506124" w:rsidRPr="0028021F" w:rsidRDefault="00506124" w:rsidP="00EF71C9">
            <w:pPr>
              <w:pStyle w:val="tablenumbered"/>
            </w:pPr>
            <w:r w:rsidRPr="0028021F">
              <w:t>a.</w:t>
            </w:r>
            <w:r w:rsidRPr="0028021F">
              <w:tab/>
              <w:t>Regularly review the performance of its workforce</w:t>
            </w:r>
          </w:p>
          <w:p w14:paraId="055BDC5D" w14:textId="77777777" w:rsidR="00506124" w:rsidRPr="0028021F" w:rsidRDefault="00506124" w:rsidP="00EF71C9">
            <w:pPr>
              <w:pStyle w:val="tablenumbered"/>
              <w:rPr>
                <w:b/>
                <w:bCs/>
              </w:rPr>
            </w:pPr>
            <w:r w:rsidRPr="0028021F">
              <w:rPr>
                <w:b/>
                <w:bCs/>
              </w:rPr>
              <w:t>b.</w:t>
            </w:r>
            <w:r w:rsidRPr="0028021F">
              <w:rPr>
                <w:b/>
                <w:bCs/>
              </w:rPr>
              <w:tab/>
              <w:t xml:space="preserve">Monitor performance to ensure clinicians are adhering to professional standards, codes and guidelines </w:t>
            </w:r>
          </w:p>
          <w:p w14:paraId="30219ACD" w14:textId="77777777" w:rsidR="00506124" w:rsidRPr="0028021F" w:rsidRDefault="00506124" w:rsidP="00EF71C9">
            <w:pPr>
              <w:pStyle w:val="tablenumbered"/>
            </w:pPr>
            <w:r w:rsidRPr="0028021F">
              <w:t>c.</w:t>
            </w:r>
            <w:r w:rsidRPr="0028021F">
              <w:tab/>
              <w:t xml:space="preserve">Identify needs for training and development of safety and quality </w:t>
            </w:r>
          </w:p>
          <w:p w14:paraId="143C7B19" w14:textId="77777777" w:rsidR="00506124" w:rsidRPr="0028021F" w:rsidRDefault="00506124" w:rsidP="00EF71C9">
            <w:pPr>
              <w:pStyle w:val="tablenumbered"/>
              <w:rPr>
                <w:b/>
              </w:rPr>
            </w:pPr>
            <w:r w:rsidRPr="0028021F">
              <w:rPr>
                <w:b/>
              </w:rPr>
              <w:t>d.</w:t>
            </w:r>
            <w:r w:rsidRPr="0028021F">
              <w:rPr>
                <w:b/>
              </w:rPr>
              <w:tab/>
              <w:t>Make mandatory notifications about clinicians as required by legislation and jurisdictional requirements</w:t>
            </w:r>
          </w:p>
        </w:tc>
        <w:tc>
          <w:tcPr>
            <w:tcW w:w="2665" w:type="dxa"/>
            <w:shd w:val="clear" w:color="auto" w:fill="auto"/>
            <w:tcMar>
              <w:top w:w="170" w:type="dxa"/>
              <w:left w:w="170" w:type="dxa"/>
              <w:bottom w:w="170" w:type="dxa"/>
              <w:right w:w="85" w:type="dxa"/>
            </w:tcMar>
          </w:tcPr>
          <w:p w14:paraId="7369240B" w14:textId="0E448DFA" w:rsidR="00E76175" w:rsidRPr="0028021F" w:rsidRDefault="00E76175" w:rsidP="00E76175">
            <w:pPr>
              <w:pStyle w:val="TableTextTables"/>
              <w:rPr>
                <w:lang w:val="en-GB"/>
              </w:rPr>
            </w:pPr>
            <w:r w:rsidRPr="0028021F">
              <w:rPr>
                <w:lang w:val="en-GB"/>
              </w:rPr>
              <w:t xml:space="preserve">This action is a </w:t>
            </w:r>
            <w:r w:rsidRPr="0028021F">
              <w:rPr>
                <w:b/>
                <w:bCs/>
                <w:lang w:val="en-GB"/>
              </w:rPr>
              <w:t>partial match</w:t>
            </w:r>
            <w:r w:rsidRPr="0028021F">
              <w:rPr>
                <w:lang w:val="en-GB"/>
              </w:rPr>
              <w:t xml:space="preserve"> to the </w:t>
            </w:r>
            <w:r w:rsidRPr="0028021F">
              <w:rPr>
                <w:b/>
                <w:bCs/>
                <w:lang w:val="en-GB"/>
              </w:rPr>
              <w:t>NSQHS Standards action 1.22</w:t>
            </w:r>
          </w:p>
          <w:p w14:paraId="6F4B32A4" w14:textId="21A5695F" w:rsidR="00506124" w:rsidRPr="0028021F" w:rsidRDefault="00E76175" w:rsidP="00E76175">
            <w:pPr>
              <w:pStyle w:val="TableTextTables"/>
              <w:rPr>
                <w:lang w:val="en-GB"/>
              </w:rPr>
            </w:pPr>
            <w:r w:rsidRPr="0028021F">
              <w:rPr>
                <w:lang w:val="en-GB"/>
              </w:rPr>
              <w:t xml:space="preserve">This action only requires additional </w:t>
            </w:r>
            <w:r w:rsidR="00B601CD" w:rsidRPr="0028021F">
              <w:rPr>
                <w:lang w:val="en-GB"/>
              </w:rPr>
              <w:t>compliance strategies for</w:t>
            </w:r>
            <w:r w:rsidRPr="0028021F">
              <w:rPr>
                <w:lang w:val="en-GB"/>
              </w:rPr>
              <w:t xml:space="preserve"> </w:t>
            </w:r>
            <w:r w:rsidRPr="0028021F">
              <w:rPr>
                <w:b/>
                <w:bCs/>
                <w:lang w:val="en-GB"/>
              </w:rPr>
              <w:t>sub-action</w:t>
            </w:r>
            <w:r w:rsidR="00584ACF" w:rsidRPr="0028021F">
              <w:rPr>
                <w:b/>
                <w:bCs/>
                <w:lang w:val="en-GB"/>
              </w:rPr>
              <w:t>s</w:t>
            </w:r>
            <w:r w:rsidRPr="0028021F">
              <w:rPr>
                <w:b/>
                <w:bCs/>
                <w:lang w:val="en-GB"/>
              </w:rPr>
              <w:t xml:space="preserve"> </w:t>
            </w:r>
            <w:r w:rsidR="00584ACF" w:rsidRPr="0028021F">
              <w:rPr>
                <w:b/>
                <w:bCs/>
                <w:lang w:val="en-GB"/>
              </w:rPr>
              <w:t xml:space="preserve">b </w:t>
            </w:r>
            <w:r w:rsidR="00290C62" w:rsidRPr="0028021F">
              <w:rPr>
                <w:b/>
                <w:bCs/>
                <w:lang w:val="en-GB"/>
              </w:rPr>
              <w:t>and</w:t>
            </w:r>
            <w:r w:rsidR="00584ACF" w:rsidRPr="0028021F">
              <w:rPr>
                <w:b/>
                <w:bCs/>
                <w:lang w:val="en-GB"/>
              </w:rPr>
              <w:t xml:space="preserve"> </w:t>
            </w:r>
            <w:r w:rsidRPr="0028021F">
              <w:rPr>
                <w:b/>
                <w:bCs/>
                <w:lang w:val="en-GB"/>
              </w:rPr>
              <w:t>d</w:t>
            </w:r>
          </w:p>
        </w:tc>
      </w:tr>
    </w:tbl>
    <w:p w14:paraId="0AC78202" w14:textId="77777777" w:rsidR="00E828EF" w:rsidRPr="0028021F" w:rsidRDefault="00E828EF" w:rsidP="00506124">
      <w:pPr>
        <w:suppressAutoHyphens/>
        <w:autoSpaceDE w:val="0"/>
        <w:autoSpaceDN w:val="0"/>
        <w:adjustRightInd w:val="0"/>
        <w:spacing w:before="0" w:after="113" w:line="288" w:lineRule="auto"/>
        <w:textAlignment w:val="center"/>
        <w:rPr>
          <w:rFonts w:ascii="Open Sans" w:hAnsi="Open Sans" w:cs="Open Sans"/>
          <w:color w:val="000000"/>
          <w:sz w:val="19"/>
          <w:szCs w:val="19"/>
          <w:lang w:val="en-GB"/>
        </w:rPr>
        <w:sectPr w:rsidR="00E828EF" w:rsidRPr="0028021F" w:rsidSect="00F04450">
          <w:footnotePr>
            <w:numFmt w:val="chicago"/>
          </w:footnotePr>
          <w:endnotePr>
            <w:numFmt w:val="decimal"/>
          </w:endnotePr>
          <w:pgSz w:w="11900" w:h="16840"/>
          <w:pgMar w:top="1701" w:right="1134" w:bottom="1134" w:left="1134" w:header="709" w:footer="851" w:gutter="0"/>
          <w:cols w:space="708"/>
          <w:docGrid w:linePitch="360"/>
        </w:sectPr>
      </w:pPr>
    </w:p>
    <w:p w14:paraId="66C1720F" w14:textId="40364DC6" w:rsidR="007C4E5D" w:rsidRPr="0028021F" w:rsidRDefault="007C4E5D" w:rsidP="007C4E5D">
      <w:pPr>
        <w:pStyle w:val="Heading1"/>
        <w:rPr>
          <w:lang w:val="en-GB"/>
        </w:rPr>
      </w:pPr>
      <w:bookmarkStart w:id="9" w:name="_Toc164328618"/>
      <w:r w:rsidRPr="0028021F">
        <w:rPr>
          <w:lang w:val="en-GB"/>
        </w:rPr>
        <w:lastRenderedPageBreak/>
        <w:t>Partnering with Consumers Standard</w:t>
      </w:r>
      <w:bookmarkEnd w:id="9"/>
    </w:p>
    <w:p w14:paraId="6034192E" w14:textId="77777777" w:rsidR="00E828EF" w:rsidRPr="0028021F" w:rsidRDefault="00E828EF" w:rsidP="00800D77">
      <w:pPr>
        <w:pStyle w:val="Heading2"/>
      </w:pPr>
      <w:bookmarkStart w:id="10" w:name="_Toc164328619"/>
      <w:r w:rsidRPr="0028021F">
        <w:t>Partnering with consumers in their own care</w:t>
      </w:r>
      <w:bookmarkEnd w:id="10"/>
    </w:p>
    <w:p w14:paraId="49B6D593" w14:textId="77777777" w:rsidR="00E828EF" w:rsidRPr="0028021F" w:rsidRDefault="00E828EF" w:rsidP="00800D77">
      <w:pPr>
        <w:rPr>
          <w:lang w:val="en-GB"/>
        </w:rPr>
      </w:pPr>
      <w:r w:rsidRPr="0028021F">
        <w:rPr>
          <w:lang w:val="en-GB"/>
        </w:rPr>
        <w:t xml:space="preserve">Partnering with patients underpins the delivery of services. Patients are partners in their own care to the extent they choose. </w:t>
      </w:r>
    </w:p>
    <w:p w14:paraId="062C3668" w14:textId="77777777" w:rsidR="00E828EF" w:rsidRPr="0028021F" w:rsidRDefault="00E828EF" w:rsidP="00800D77">
      <w:pPr>
        <w:pStyle w:val="ECHeading2"/>
      </w:pPr>
      <w:r w:rsidRPr="0028021F">
        <w:t>Consumer outcome</w:t>
      </w:r>
    </w:p>
    <w:p w14:paraId="692FEAA0" w14:textId="77777777" w:rsidR="00E828EF" w:rsidRPr="0028021F" w:rsidRDefault="00E828EF" w:rsidP="00800D77">
      <w:pPr>
        <w:rPr>
          <w:lang w:val="en-GB"/>
        </w:rPr>
      </w:pPr>
      <w:r w:rsidRPr="0028021F">
        <w:rPr>
          <w:lang w:val="en-GB"/>
        </w:rPr>
        <w:t>I can choose how I partner in my care.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4535"/>
        <w:gridCol w:w="2665"/>
      </w:tblGrid>
      <w:tr w:rsidR="00E828EF" w:rsidRPr="0028021F" w14:paraId="2A0744EE" w14:textId="77777777" w:rsidTr="00AB4155">
        <w:trPr>
          <w:trHeight w:hRule="exact" w:val="340"/>
          <w:tblHeader/>
        </w:trPr>
        <w:tc>
          <w:tcPr>
            <w:tcW w:w="1871" w:type="dxa"/>
            <w:shd w:val="clear" w:color="auto" w:fill="00B4CC"/>
            <w:tcMar>
              <w:top w:w="0" w:type="dxa"/>
              <w:left w:w="85" w:type="dxa"/>
              <w:bottom w:w="0" w:type="dxa"/>
              <w:right w:w="85" w:type="dxa"/>
            </w:tcMar>
            <w:vAlign w:val="center"/>
          </w:tcPr>
          <w:p w14:paraId="6E48FAD4" w14:textId="77777777" w:rsidR="00E828EF" w:rsidRPr="0028021F" w:rsidRDefault="00E828EF" w:rsidP="00EF71C9">
            <w:pPr>
              <w:pStyle w:val="TableTextTables"/>
              <w:rPr>
                <w:b/>
                <w:color w:val="FFFFFF" w:themeColor="background1"/>
              </w:rPr>
            </w:pPr>
            <w:r w:rsidRPr="0028021F">
              <w:rPr>
                <w:b/>
                <w:color w:val="FFFFFF" w:themeColor="background1"/>
              </w:rPr>
              <w:t>Item</w:t>
            </w:r>
          </w:p>
        </w:tc>
        <w:tc>
          <w:tcPr>
            <w:tcW w:w="4535" w:type="dxa"/>
            <w:shd w:val="clear" w:color="auto" w:fill="00B4CC"/>
            <w:tcMar>
              <w:top w:w="0" w:type="dxa"/>
              <w:left w:w="170" w:type="dxa"/>
              <w:bottom w:w="0" w:type="dxa"/>
              <w:right w:w="85" w:type="dxa"/>
            </w:tcMar>
            <w:vAlign w:val="center"/>
          </w:tcPr>
          <w:p w14:paraId="00CB76C7" w14:textId="77777777" w:rsidR="00E828EF" w:rsidRPr="0028021F" w:rsidRDefault="00E828EF" w:rsidP="00EF71C9">
            <w:pPr>
              <w:pStyle w:val="TableTextTables"/>
              <w:rPr>
                <w:b/>
                <w:color w:val="FFFFFF" w:themeColor="background1"/>
              </w:rPr>
            </w:pPr>
            <w:r w:rsidRPr="0028021F">
              <w:rPr>
                <w:b/>
                <w:color w:val="FFFFFF" w:themeColor="background1"/>
              </w:rPr>
              <w:t>Cosmetic Surgery Standards action</w:t>
            </w:r>
          </w:p>
        </w:tc>
        <w:tc>
          <w:tcPr>
            <w:tcW w:w="2665" w:type="dxa"/>
            <w:shd w:val="clear" w:color="auto" w:fill="00B4CC"/>
            <w:tcMar>
              <w:top w:w="0" w:type="dxa"/>
              <w:left w:w="170" w:type="dxa"/>
              <w:bottom w:w="0" w:type="dxa"/>
              <w:right w:w="85" w:type="dxa"/>
            </w:tcMar>
            <w:vAlign w:val="center"/>
          </w:tcPr>
          <w:p w14:paraId="1898692B" w14:textId="77777777" w:rsidR="00E828EF" w:rsidRPr="0028021F" w:rsidRDefault="00E828EF" w:rsidP="00EF71C9">
            <w:pPr>
              <w:pStyle w:val="TableTextTables"/>
              <w:rPr>
                <w:b/>
                <w:color w:val="FFFFFF" w:themeColor="background1"/>
              </w:rPr>
            </w:pPr>
            <w:r w:rsidRPr="0028021F">
              <w:rPr>
                <w:b/>
                <w:color w:val="FFFFFF" w:themeColor="background1"/>
              </w:rPr>
              <w:t>Additional requirements</w:t>
            </w:r>
          </w:p>
        </w:tc>
      </w:tr>
      <w:tr w:rsidR="00E828EF" w:rsidRPr="0028021F" w14:paraId="77A156B4" w14:textId="77777777" w:rsidTr="00AB4155">
        <w:trPr>
          <w:trHeight w:val="60"/>
        </w:trPr>
        <w:tc>
          <w:tcPr>
            <w:tcW w:w="1871" w:type="dxa"/>
            <w:vMerge w:val="restart"/>
            <w:shd w:val="clear" w:color="auto" w:fill="EAF6FA"/>
            <w:tcMar>
              <w:top w:w="170" w:type="dxa"/>
              <w:left w:w="85" w:type="dxa"/>
              <w:bottom w:w="170" w:type="dxa"/>
              <w:right w:w="227" w:type="dxa"/>
            </w:tcMar>
          </w:tcPr>
          <w:p w14:paraId="73EC272D" w14:textId="77777777" w:rsidR="00E828EF" w:rsidRPr="0028021F" w:rsidRDefault="00E828EF" w:rsidP="00EF71C9">
            <w:pPr>
              <w:pStyle w:val="TableTextTables"/>
              <w:rPr>
                <w:b/>
                <w:lang w:val="en-GB"/>
              </w:rPr>
            </w:pPr>
            <w:r w:rsidRPr="0028021F">
              <w:rPr>
                <w:b/>
                <w:lang w:val="en-GB"/>
              </w:rPr>
              <w:t>Informed consent</w:t>
            </w:r>
          </w:p>
        </w:tc>
        <w:tc>
          <w:tcPr>
            <w:tcW w:w="4535" w:type="dxa"/>
            <w:shd w:val="clear" w:color="auto" w:fill="auto"/>
            <w:tcMar>
              <w:top w:w="170" w:type="dxa"/>
              <w:left w:w="170" w:type="dxa"/>
              <w:bottom w:w="170" w:type="dxa"/>
              <w:right w:w="85" w:type="dxa"/>
            </w:tcMar>
          </w:tcPr>
          <w:p w14:paraId="45A7E132" w14:textId="0EDD8AAE" w:rsidR="00E828EF" w:rsidRPr="0028021F" w:rsidRDefault="00E828EF" w:rsidP="002054FE">
            <w:pPr>
              <w:pStyle w:val="Tabletexthang"/>
              <w:rPr>
                <w:b/>
              </w:rPr>
            </w:pPr>
            <w:r w:rsidRPr="0028021F">
              <w:rPr>
                <w:b/>
              </w:rPr>
              <w:t>2.05</w:t>
            </w:r>
            <w:r w:rsidRPr="0028021F">
              <w:rPr>
                <w:b/>
              </w:rPr>
              <w:tab/>
              <w:t>The Service has processes to provide patients with informed financial consent relating to cosmetic surgery prior to admission</w:t>
            </w:r>
          </w:p>
        </w:tc>
        <w:tc>
          <w:tcPr>
            <w:tcW w:w="2665" w:type="dxa"/>
            <w:shd w:val="clear" w:color="auto" w:fill="auto"/>
            <w:tcMar>
              <w:top w:w="170" w:type="dxa"/>
              <w:left w:w="170" w:type="dxa"/>
              <w:bottom w:w="170" w:type="dxa"/>
              <w:right w:w="85" w:type="dxa"/>
            </w:tcMar>
          </w:tcPr>
          <w:p w14:paraId="5477165A" w14:textId="6AACF88C" w:rsidR="00E828EF" w:rsidRPr="0028021F" w:rsidRDefault="00553370" w:rsidP="00EF71C9">
            <w:pPr>
              <w:pStyle w:val="TableTextTables"/>
              <w:rPr>
                <w:lang w:val="en-GB"/>
              </w:rPr>
            </w:pPr>
            <w:r w:rsidRPr="0028021F">
              <w:rPr>
                <w:lang w:val="en-GB"/>
              </w:rPr>
              <w:t>R</w:t>
            </w:r>
            <w:r w:rsidR="00E1721C" w:rsidRPr="0028021F">
              <w:rPr>
                <w:lang w:val="en-GB"/>
              </w:rPr>
              <w:t>equire</w:t>
            </w:r>
            <w:r w:rsidRPr="0028021F">
              <w:rPr>
                <w:lang w:val="en-GB"/>
              </w:rPr>
              <w:t>s</w:t>
            </w:r>
            <w:r w:rsidR="00E1721C" w:rsidRPr="0028021F">
              <w:rPr>
                <w:lang w:val="en-GB"/>
              </w:rPr>
              <w:t xml:space="preserve"> full </w:t>
            </w:r>
            <w:r w:rsidR="00B601CD" w:rsidRPr="0028021F">
              <w:rPr>
                <w:lang w:val="en-GB"/>
              </w:rPr>
              <w:t xml:space="preserve">compliance with this action </w:t>
            </w:r>
            <w:r w:rsidR="00E1721C" w:rsidRPr="0028021F">
              <w:rPr>
                <w:lang w:val="en-GB"/>
              </w:rPr>
              <w:t xml:space="preserve">as it is specific to the Cosmetic Surgery </w:t>
            </w:r>
            <w:r w:rsidR="00E1721C" w:rsidRPr="0028021F">
              <w:t>Standards</w:t>
            </w:r>
          </w:p>
        </w:tc>
      </w:tr>
      <w:tr w:rsidR="00E828EF" w:rsidRPr="0028021F" w14:paraId="02104F08" w14:textId="77777777" w:rsidTr="00AB4155">
        <w:trPr>
          <w:trHeight w:val="60"/>
        </w:trPr>
        <w:tc>
          <w:tcPr>
            <w:tcW w:w="1871" w:type="dxa"/>
            <w:vMerge/>
            <w:shd w:val="clear" w:color="auto" w:fill="EAF6FA"/>
          </w:tcPr>
          <w:p w14:paraId="038839B2" w14:textId="77777777" w:rsidR="00E828EF" w:rsidRPr="0028021F" w:rsidRDefault="00E828EF" w:rsidP="00EF71C9">
            <w:pPr>
              <w:pStyle w:val="TableTextTables"/>
              <w:rPr>
                <w:rFonts w:ascii="ProximaNova-Bold" w:hAnsi="ProximaNova-Bold"/>
                <w:sz w:val="24"/>
                <w:szCs w:val="24"/>
              </w:rPr>
            </w:pPr>
          </w:p>
        </w:tc>
        <w:tc>
          <w:tcPr>
            <w:tcW w:w="4535" w:type="dxa"/>
            <w:shd w:val="clear" w:color="auto" w:fill="auto"/>
            <w:tcMar>
              <w:top w:w="170" w:type="dxa"/>
              <w:left w:w="170" w:type="dxa"/>
              <w:bottom w:w="170" w:type="dxa"/>
              <w:right w:w="85" w:type="dxa"/>
            </w:tcMar>
          </w:tcPr>
          <w:p w14:paraId="1C1A1059" w14:textId="77777777" w:rsidR="00E828EF" w:rsidRPr="0028021F" w:rsidRDefault="00E828EF" w:rsidP="002054FE">
            <w:pPr>
              <w:pStyle w:val="Tabletexthang"/>
              <w:rPr>
                <w:b/>
              </w:rPr>
            </w:pPr>
            <w:r w:rsidRPr="0028021F">
              <w:rPr>
                <w:b/>
              </w:rPr>
              <w:t>2.06</w:t>
            </w:r>
            <w:r w:rsidRPr="0028021F">
              <w:rPr>
                <w:b/>
              </w:rPr>
              <w:tab/>
              <w:t>The Service has processes to assure itself that clinicians conducting cosmetic surgery have provided patients:</w:t>
            </w:r>
          </w:p>
          <w:p w14:paraId="2EF1E007" w14:textId="77777777" w:rsidR="00E828EF" w:rsidRPr="0028021F" w:rsidRDefault="00E828EF" w:rsidP="00EF71C9">
            <w:pPr>
              <w:pStyle w:val="tablenumbered"/>
              <w:rPr>
                <w:b/>
              </w:rPr>
            </w:pPr>
            <w:r w:rsidRPr="0028021F">
              <w:rPr>
                <w:b/>
              </w:rPr>
              <w:t>a.</w:t>
            </w:r>
            <w:r w:rsidRPr="0028021F">
              <w:rPr>
                <w:b/>
              </w:rPr>
              <w:tab/>
              <w:t>Information about the cosmetic surgery including expected outcomes, duration of expected outcomes, risks relevant to the patient and possible complications</w:t>
            </w:r>
          </w:p>
          <w:p w14:paraId="102C4124" w14:textId="77777777" w:rsidR="00E828EF" w:rsidRPr="0028021F" w:rsidRDefault="00E828EF" w:rsidP="00EF71C9">
            <w:pPr>
              <w:pStyle w:val="tablenumbered"/>
              <w:rPr>
                <w:b/>
              </w:rPr>
            </w:pPr>
            <w:r w:rsidRPr="0028021F">
              <w:rPr>
                <w:b/>
              </w:rPr>
              <w:t>b.</w:t>
            </w:r>
            <w:r w:rsidRPr="0028021F">
              <w:rPr>
                <w:b/>
              </w:rPr>
              <w:tab/>
              <w:t xml:space="preserve">Information about any medical devices planned for use </w:t>
            </w:r>
          </w:p>
          <w:p w14:paraId="0CCBB854" w14:textId="77777777" w:rsidR="00E828EF" w:rsidRPr="0028021F" w:rsidRDefault="00E828EF" w:rsidP="00EF71C9">
            <w:pPr>
              <w:pStyle w:val="tablenumbered"/>
              <w:rPr>
                <w:b/>
              </w:rPr>
            </w:pPr>
            <w:r w:rsidRPr="0028021F">
              <w:rPr>
                <w:b/>
              </w:rPr>
              <w:t>c.</w:t>
            </w:r>
            <w:r w:rsidRPr="0028021F">
              <w:rPr>
                <w:b/>
              </w:rPr>
              <w:tab/>
              <w:t xml:space="preserve">Information on all financial costs relating to the cosmetic surgery </w:t>
            </w:r>
          </w:p>
          <w:p w14:paraId="7E6B3578" w14:textId="77777777" w:rsidR="00E828EF" w:rsidRPr="0028021F" w:rsidRDefault="00E828EF" w:rsidP="00EF71C9">
            <w:pPr>
              <w:pStyle w:val="tablenumbered"/>
              <w:rPr>
                <w:b/>
              </w:rPr>
            </w:pPr>
            <w:r w:rsidRPr="0028021F">
              <w:rPr>
                <w:b/>
              </w:rPr>
              <w:t>d.</w:t>
            </w:r>
            <w:r w:rsidRPr="0028021F">
              <w:rPr>
                <w:b/>
              </w:rPr>
              <w:tab/>
              <w:t>Information on any possible future costs including management of complications</w:t>
            </w:r>
          </w:p>
        </w:tc>
        <w:tc>
          <w:tcPr>
            <w:tcW w:w="2665" w:type="dxa"/>
            <w:shd w:val="clear" w:color="auto" w:fill="auto"/>
            <w:tcMar>
              <w:top w:w="170" w:type="dxa"/>
              <w:left w:w="170" w:type="dxa"/>
              <w:bottom w:w="170" w:type="dxa"/>
              <w:right w:w="85" w:type="dxa"/>
            </w:tcMar>
          </w:tcPr>
          <w:p w14:paraId="71EF3D51" w14:textId="1D71EDFC" w:rsidR="00E828EF" w:rsidRPr="0028021F" w:rsidRDefault="00553370" w:rsidP="00EF71C9">
            <w:pPr>
              <w:pStyle w:val="TableTextTables"/>
              <w:rPr>
                <w:lang w:val="en-GB"/>
              </w:rPr>
            </w:pPr>
            <w:r w:rsidRPr="0028021F">
              <w:rPr>
                <w:lang w:val="en-GB"/>
              </w:rPr>
              <w:t xml:space="preserve">Requires full compliance with this action as it is specific to the Cosmetic Surgery </w:t>
            </w:r>
            <w:r w:rsidRPr="0028021F">
              <w:t>Standards</w:t>
            </w:r>
          </w:p>
        </w:tc>
      </w:tr>
      <w:tr w:rsidR="00E828EF" w:rsidRPr="00E828EF" w14:paraId="070152DE" w14:textId="77777777" w:rsidTr="008744A1">
        <w:trPr>
          <w:trHeight w:val="60"/>
        </w:trPr>
        <w:tc>
          <w:tcPr>
            <w:tcW w:w="1871" w:type="dxa"/>
            <w:shd w:val="clear" w:color="auto" w:fill="EAF6FA"/>
            <w:tcMar>
              <w:top w:w="170" w:type="dxa"/>
              <w:left w:w="85" w:type="dxa"/>
              <w:bottom w:w="170" w:type="dxa"/>
              <w:right w:w="227" w:type="dxa"/>
            </w:tcMar>
          </w:tcPr>
          <w:p w14:paraId="1722B0A9" w14:textId="641DEF47" w:rsidR="00E828EF" w:rsidRPr="0028021F" w:rsidRDefault="00E828EF" w:rsidP="00EF71C9">
            <w:pPr>
              <w:pStyle w:val="TableTextTables"/>
              <w:rPr>
                <w:lang w:val="en-GB"/>
              </w:rPr>
            </w:pPr>
          </w:p>
        </w:tc>
        <w:tc>
          <w:tcPr>
            <w:tcW w:w="4535" w:type="dxa"/>
            <w:shd w:val="clear" w:color="auto" w:fill="auto"/>
            <w:tcMar>
              <w:top w:w="170" w:type="dxa"/>
              <w:left w:w="170" w:type="dxa"/>
              <w:bottom w:w="170" w:type="dxa"/>
              <w:right w:w="85" w:type="dxa"/>
            </w:tcMar>
          </w:tcPr>
          <w:p w14:paraId="28E00A21" w14:textId="77777777" w:rsidR="00E828EF" w:rsidRPr="0028021F" w:rsidRDefault="00E828EF" w:rsidP="002054FE">
            <w:pPr>
              <w:pStyle w:val="Tabletexthang"/>
              <w:rPr>
                <w:b/>
              </w:rPr>
            </w:pPr>
            <w:r w:rsidRPr="0028021F">
              <w:rPr>
                <w:b/>
              </w:rPr>
              <w:t>2.07</w:t>
            </w:r>
            <w:r w:rsidRPr="0028021F">
              <w:rPr>
                <w:b/>
              </w:rPr>
              <w:tab/>
              <w:t xml:space="preserve">The Service has processes to ensure </w:t>
            </w:r>
            <w:r w:rsidRPr="0028021F">
              <w:rPr>
                <w:b/>
              </w:rPr>
              <w:br/>
              <w:t xml:space="preserve">informed consent is given by a legally </w:t>
            </w:r>
            <w:r w:rsidRPr="0028021F">
              <w:rPr>
                <w:b/>
              </w:rPr>
              <w:br/>
              <w:t xml:space="preserve">eligible decision-maker for patients under the legal age of consent </w:t>
            </w:r>
          </w:p>
        </w:tc>
        <w:tc>
          <w:tcPr>
            <w:tcW w:w="2665" w:type="dxa"/>
            <w:shd w:val="clear" w:color="auto" w:fill="auto"/>
            <w:tcMar>
              <w:top w:w="170" w:type="dxa"/>
              <w:left w:w="170" w:type="dxa"/>
              <w:bottom w:w="170" w:type="dxa"/>
              <w:right w:w="85" w:type="dxa"/>
            </w:tcMar>
          </w:tcPr>
          <w:p w14:paraId="35F15973" w14:textId="766808D7" w:rsidR="00E828EF" w:rsidRPr="0028021F" w:rsidRDefault="00553370" w:rsidP="00EF71C9">
            <w:pPr>
              <w:pStyle w:val="TableTextTables"/>
              <w:rPr>
                <w:lang w:val="en-GB"/>
              </w:rPr>
            </w:pPr>
            <w:r w:rsidRPr="0028021F">
              <w:rPr>
                <w:lang w:val="en-GB"/>
              </w:rPr>
              <w:t xml:space="preserve">Requires full compliance with this action as it is specific to the Cosmetic Surgery </w:t>
            </w:r>
            <w:r w:rsidRPr="0028021F">
              <w:t>Standards</w:t>
            </w:r>
          </w:p>
        </w:tc>
      </w:tr>
    </w:tbl>
    <w:p w14:paraId="58D4CA11" w14:textId="77777777" w:rsidR="00E828EF" w:rsidRPr="00E828EF" w:rsidRDefault="00E828EF" w:rsidP="00E828EF">
      <w:pPr>
        <w:suppressAutoHyphens/>
        <w:autoSpaceDE w:val="0"/>
        <w:autoSpaceDN w:val="0"/>
        <w:adjustRightInd w:val="0"/>
        <w:spacing w:before="0" w:after="113" w:line="288" w:lineRule="auto"/>
        <w:textAlignment w:val="center"/>
        <w:rPr>
          <w:rFonts w:ascii="Calluna-Regular" w:hAnsi="Calluna-Regular" w:cs="Calluna-Regular"/>
          <w:color w:val="000000"/>
          <w:sz w:val="21"/>
          <w:szCs w:val="21"/>
          <w:lang w:val="en-GB"/>
        </w:rPr>
      </w:pPr>
    </w:p>
    <w:p w14:paraId="799E9570" w14:textId="77777777" w:rsidR="00EF71C9" w:rsidRDefault="00EF71C9" w:rsidP="00800D77">
      <w:pPr>
        <w:pStyle w:val="Heading2"/>
        <w:sectPr w:rsidR="00EF71C9" w:rsidSect="00102457">
          <w:footnotePr>
            <w:numFmt w:val="chicago"/>
          </w:footnotePr>
          <w:pgSz w:w="11900" w:h="16840"/>
          <w:pgMar w:top="1735" w:right="1134" w:bottom="1418" w:left="1134" w:header="709" w:footer="851" w:gutter="0"/>
          <w:cols w:space="708"/>
          <w:docGrid w:linePitch="360"/>
        </w:sectPr>
      </w:pPr>
    </w:p>
    <w:p w14:paraId="7658C996" w14:textId="6B716E3A" w:rsidR="00E828EF" w:rsidRPr="00E828EF" w:rsidRDefault="00E828EF" w:rsidP="00800D77">
      <w:pPr>
        <w:pStyle w:val="Heading2"/>
      </w:pPr>
      <w:bookmarkStart w:id="11" w:name="_Toc164328620"/>
      <w:r w:rsidRPr="00E828EF">
        <w:lastRenderedPageBreak/>
        <w:t>Health literacy</w:t>
      </w:r>
      <w:bookmarkEnd w:id="11"/>
      <w:r w:rsidRPr="00E828EF">
        <w:t xml:space="preserve"> </w:t>
      </w:r>
    </w:p>
    <w:p w14:paraId="473A7069" w14:textId="77777777" w:rsidR="00E828EF" w:rsidRPr="00E828EF" w:rsidRDefault="00E828EF" w:rsidP="00800D77">
      <w:pPr>
        <w:rPr>
          <w:lang w:val="en-GB"/>
        </w:rPr>
      </w:pPr>
      <w:r w:rsidRPr="00E828EF">
        <w:rPr>
          <w:lang w:val="en-GB"/>
        </w:rPr>
        <w:t xml:space="preserve">A Service communicates with consumers in a way that supports effective partnerships. </w:t>
      </w:r>
    </w:p>
    <w:p w14:paraId="27F73BCC" w14:textId="77777777" w:rsidR="00E828EF" w:rsidRPr="00E828EF" w:rsidRDefault="00E828EF" w:rsidP="00800D77">
      <w:pPr>
        <w:pStyle w:val="ECHeading2"/>
      </w:pPr>
      <w:r w:rsidRPr="00E828EF">
        <w:t xml:space="preserve">Consumer outcome </w:t>
      </w:r>
    </w:p>
    <w:p w14:paraId="52BDB7CE" w14:textId="77777777" w:rsidR="00E828EF" w:rsidRPr="00E828EF" w:rsidRDefault="00E828EF" w:rsidP="00800D77">
      <w:pPr>
        <w:rPr>
          <w:lang w:val="en-GB"/>
        </w:rPr>
      </w:pPr>
      <w:r w:rsidRPr="00E828EF">
        <w:rPr>
          <w:lang w:val="en-GB"/>
        </w:rPr>
        <w:t xml:space="preserve">I am given the information I need, in a way I can understand, to support me in making decisions about the services I receive.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4535"/>
        <w:gridCol w:w="2665"/>
      </w:tblGrid>
      <w:tr w:rsidR="00E828EF" w:rsidRPr="00E828EF" w14:paraId="0BA14407" w14:textId="77777777" w:rsidTr="00AB4155">
        <w:trPr>
          <w:trHeight w:hRule="exact" w:val="340"/>
          <w:tblHeader/>
        </w:trPr>
        <w:tc>
          <w:tcPr>
            <w:tcW w:w="1871" w:type="dxa"/>
            <w:shd w:val="clear" w:color="auto" w:fill="00B4CC"/>
            <w:tcMar>
              <w:top w:w="0" w:type="dxa"/>
              <w:left w:w="85" w:type="dxa"/>
              <w:bottom w:w="0" w:type="dxa"/>
              <w:right w:w="0" w:type="dxa"/>
            </w:tcMar>
            <w:vAlign w:val="center"/>
          </w:tcPr>
          <w:p w14:paraId="53414A9A" w14:textId="77777777" w:rsidR="00E828EF" w:rsidRPr="00AB4155" w:rsidRDefault="00E828EF" w:rsidP="00EF71C9">
            <w:pPr>
              <w:pStyle w:val="TableTextTables"/>
              <w:rPr>
                <w:b/>
                <w:color w:val="FFFFFF" w:themeColor="background1"/>
              </w:rPr>
            </w:pPr>
            <w:r w:rsidRPr="00AB4155">
              <w:rPr>
                <w:b/>
                <w:color w:val="FFFFFF" w:themeColor="background1"/>
              </w:rPr>
              <w:t>Item</w:t>
            </w:r>
          </w:p>
        </w:tc>
        <w:tc>
          <w:tcPr>
            <w:tcW w:w="4535" w:type="dxa"/>
            <w:shd w:val="clear" w:color="auto" w:fill="00B4CC"/>
            <w:tcMar>
              <w:top w:w="0" w:type="dxa"/>
              <w:left w:w="170" w:type="dxa"/>
              <w:bottom w:w="0" w:type="dxa"/>
              <w:right w:w="85" w:type="dxa"/>
            </w:tcMar>
            <w:vAlign w:val="center"/>
          </w:tcPr>
          <w:p w14:paraId="0AD7DDF3" w14:textId="77777777" w:rsidR="00E828EF" w:rsidRPr="00AB4155" w:rsidRDefault="00E828EF" w:rsidP="00EF71C9">
            <w:pPr>
              <w:pStyle w:val="TableTextTables"/>
              <w:rPr>
                <w:b/>
                <w:color w:val="FFFFFF" w:themeColor="background1"/>
              </w:rPr>
            </w:pPr>
            <w:r w:rsidRPr="00AB4155">
              <w:rPr>
                <w:b/>
                <w:color w:val="FFFFFF" w:themeColor="background1"/>
              </w:rPr>
              <w:t>Cosmetic Surgery Standards action</w:t>
            </w:r>
          </w:p>
        </w:tc>
        <w:tc>
          <w:tcPr>
            <w:tcW w:w="2665" w:type="dxa"/>
            <w:shd w:val="clear" w:color="auto" w:fill="00B4CC"/>
            <w:tcMar>
              <w:top w:w="0" w:type="dxa"/>
              <w:left w:w="170" w:type="dxa"/>
              <w:bottom w:w="0" w:type="dxa"/>
              <w:right w:w="85" w:type="dxa"/>
            </w:tcMar>
            <w:vAlign w:val="center"/>
          </w:tcPr>
          <w:p w14:paraId="166A6B40" w14:textId="77777777" w:rsidR="00E828EF" w:rsidRPr="00AB4155" w:rsidRDefault="00E828EF" w:rsidP="00EF71C9">
            <w:pPr>
              <w:pStyle w:val="TableTextTables"/>
              <w:rPr>
                <w:b/>
                <w:color w:val="FFFFFF" w:themeColor="background1"/>
              </w:rPr>
            </w:pPr>
            <w:r w:rsidRPr="00AB4155">
              <w:rPr>
                <w:b/>
                <w:color w:val="FFFFFF" w:themeColor="background1"/>
              </w:rPr>
              <w:t>Additional requirements</w:t>
            </w:r>
          </w:p>
        </w:tc>
      </w:tr>
      <w:tr w:rsidR="00E828EF" w:rsidRPr="00E828EF" w14:paraId="182FFF49" w14:textId="77777777" w:rsidTr="00AB4155">
        <w:trPr>
          <w:trHeight w:val="60"/>
        </w:trPr>
        <w:tc>
          <w:tcPr>
            <w:tcW w:w="1871" w:type="dxa"/>
            <w:shd w:val="clear" w:color="auto" w:fill="EAF6FA"/>
            <w:tcMar>
              <w:top w:w="170" w:type="dxa"/>
              <w:left w:w="85" w:type="dxa"/>
              <w:bottom w:w="170" w:type="dxa"/>
              <w:right w:w="0" w:type="dxa"/>
            </w:tcMar>
          </w:tcPr>
          <w:p w14:paraId="44BB88D9" w14:textId="77777777" w:rsidR="00E828EF" w:rsidRPr="002054FE" w:rsidRDefault="00E828EF" w:rsidP="00EF71C9">
            <w:pPr>
              <w:pStyle w:val="TableTextTables"/>
              <w:rPr>
                <w:b/>
                <w:lang w:val="en-GB"/>
              </w:rPr>
            </w:pPr>
            <w:r w:rsidRPr="002054FE">
              <w:rPr>
                <w:b/>
                <w:lang w:val="en-GB"/>
              </w:rPr>
              <w:t>Accessing service information</w:t>
            </w:r>
          </w:p>
        </w:tc>
        <w:tc>
          <w:tcPr>
            <w:tcW w:w="4535" w:type="dxa"/>
            <w:shd w:val="clear" w:color="auto" w:fill="auto"/>
            <w:tcMar>
              <w:top w:w="170" w:type="dxa"/>
              <w:left w:w="170" w:type="dxa"/>
              <w:bottom w:w="170" w:type="dxa"/>
              <w:right w:w="85" w:type="dxa"/>
            </w:tcMar>
          </w:tcPr>
          <w:p w14:paraId="697DD189" w14:textId="77777777" w:rsidR="00E828EF" w:rsidRPr="002054FE" w:rsidRDefault="00E828EF" w:rsidP="002054FE">
            <w:pPr>
              <w:pStyle w:val="Tabletexthang"/>
              <w:rPr>
                <w:b/>
              </w:rPr>
            </w:pPr>
            <w:r w:rsidRPr="002054FE">
              <w:rPr>
                <w:b/>
              </w:rPr>
              <w:t>2.10</w:t>
            </w:r>
            <w:r w:rsidRPr="002054FE">
              <w:rPr>
                <w:b/>
              </w:rPr>
              <w:tab/>
              <w:t>The Service makes information freely available to consumers on:</w:t>
            </w:r>
          </w:p>
          <w:p w14:paraId="1ADC5368" w14:textId="77777777" w:rsidR="00E828EF" w:rsidRPr="002054FE" w:rsidRDefault="00E828EF" w:rsidP="00EF71C9">
            <w:pPr>
              <w:pStyle w:val="tablenumbered"/>
              <w:rPr>
                <w:b/>
              </w:rPr>
            </w:pPr>
            <w:r w:rsidRPr="002054FE">
              <w:rPr>
                <w:b/>
              </w:rPr>
              <w:t>a.</w:t>
            </w:r>
            <w:r w:rsidRPr="002054FE">
              <w:rPr>
                <w:b/>
              </w:rPr>
              <w:tab/>
              <w:t>Service location(s) and access details</w:t>
            </w:r>
          </w:p>
          <w:p w14:paraId="11788012" w14:textId="77777777" w:rsidR="00E828EF" w:rsidRPr="002054FE" w:rsidRDefault="00E828EF" w:rsidP="00EF71C9">
            <w:pPr>
              <w:pStyle w:val="tablenumbered"/>
              <w:rPr>
                <w:b/>
              </w:rPr>
            </w:pPr>
            <w:r w:rsidRPr="002054FE">
              <w:rPr>
                <w:b/>
              </w:rPr>
              <w:t>b.</w:t>
            </w:r>
            <w:r w:rsidRPr="002054FE">
              <w:rPr>
                <w:b/>
              </w:rPr>
              <w:tab/>
              <w:t xml:space="preserve">The medical practitioners conducting cosmetic surgery in </w:t>
            </w:r>
            <w:r w:rsidRPr="002054FE">
              <w:rPr>
                <w:b/>
              </w:rPr>
              <w:br/>
              <w:t>the facility</w:t>
            </w:r>
          </w:p>
          <w:p w14:paraId="56D5EA5C" w14:textId="77777777" w:rsidR="00E828EF" w:rsidRPr="002054FE" w:rsidRDefault="00E828EF" w:rsidP="00EF71C9">
            <w:pPr>
              <w:pStyle w:val="tablenumbered"/>
              <w:rPr>
                <w:b/>
              </w:rPr>
            </w:pPr>
            <w:r w:rsidRPr="002054FE">
              <w:rPr>
                <w:b/>
              </w:rPr>
              <w:t>c.</w:t>
            </w:r>
            <w:r w:rsidRPr="002054FE">
              <w:rPr>
                <w:b/>
              </w:rPr>
              <w:tab/>
              <w:t xml:space="preserve">Estimated costs associated with cosmetic surgery performed in </w:t>
            </w:r>
            <w:r w:rsidRPr="002054FE">
              <w:rPr>
                <w:b/>
              </w:rPr>
              <w:br/>
              <w:t xml:space="preserve">the facility </w:t>
            </w:r>
          </w:p>
          <w:p w14:paraId="678CB19F" w14:textId="77777777" w:rsidR="00E828EF" w:rsidRPr="002054FE" w:rsidRDefault="00E828EF" w:rsidP="00EF71C9">
            <w:pPr>
              <w:pStyle w:val="tablenumbered"/>
              <w:rPr>
                <w:b/>
              </w:rPr>
            </w:pPr>
            <w:r w:rsidRPr="002054FE">
              <w:rPr>
                <w:b/>
              </w:rPr>
              <w:t>d.</w:t>
            </w:r>
            <w:r w:rsidRPr="002054FE">
              <w:rPr>
                <w:b/>
              </w:rPr>
              <w:tab/>
              <w:t>Where estimated costs of services not directly charged by the Service can be obtained</w:t>
            </w:r>
          </w:p>
          <w:p w14:paraId="1B8717AD" w14:textId="77777777" w:rsidR="00E828EF" w:rsidRPr="002054FE" w:rsidRDefault="00E828EF" w:rsidP="00EF71C9">
            <w:pPr>
              <w:pStyle w:val="tablenumbered"/>
              <w:rPr>
                <w:b/>
              </w:rPr>
            </w:pPr>
            <w:r w:rsidRPr="002054FE">
              <w:rPr>
                <w:b/>
              </w:rPr>
              <w:t>e.</w:t>
            </w:r>
            <w:r w:rsidRPr="002054FE">
              <w:rPr>
                <w:b/>
              </w:rPr>
              <w:tab/>
              <w:t>Where to access post-operative health care if the Service is closed, and in an emergency</w:t>
            </w:r>
          </w:p>
          <w:p w14:paraId="28A40571" w14:textId="77777777" w:rsidR="00E828EF" w:rsidRPr="00E828EF" w:rsidRDefault="00E828EF" w:rsidP="00EF71C9">
            <w:pPr>
              <w:pStyle w:val="tablenumbered"/>
            </w:pPr>
            <w:r w:rsidRPr="002054FE">
              <w:rPr>
                <w:b/>
              </w:rPr>
              <w:t>f.</w:t>
            </w:r>
            <w:r w:rsidRPr="002054FE">
              <w:rPr>
                <w:b/>
              </w:rPr>
              <w:tab/>
              <w:t>Mechanisms for providing feedback and contact details for the appropriate healthcare complaints authority</w:t>
            </w:r>
          </w:p>
        </w:tc>
        <w:tc>
          <w:tcPr>
            <w:tcW w:w="2665" w:type="dxa"/>
            <w:shd w:val="clear" w:color="auto" w:fill="auto"/>
            <w:tcMar>
              <w:top w:w="170" w:type="dxa"/>
              <w:left w:w="170" w:type="dxa"/>
              <w:bottom w:w="170" w:type="dxa"/>
              <w:right w:w="85" w:type="dxa"/>
            </w:tcMar>
          </w:tcPr>
          <w:p w14:paraId="37717F5E" w14:textId="6CF69942" w:rsidR="00E828EF" w:rsidRPr="0028021F" w:rsidRDefault="00553370" w:rsidP="00EF71C9">
            <w:pPr>
              <w:pStyle w:val="TableTextTables"/>
              <w:rPr>
                <w:lang w:val="en-GB"/>
              </w:rPr>
            </w:pPr>
            <w:r w:rsidRPr="0028021F">
              <w:rPr>
                <w:lang w:val="en-GB"/>
              </w:rPr>
              <w:t xml:space="preserve">Requires full compliance with this action as it is specific to the Cosmetic Surgery </w:t>
            </w:r>
            <w:r w:rsidRPr="0028021F">
              <w:t>Standards</w:t>
            </w:r>
          </w:p>
        </w:tc>
      </w:tr>
      <w:tr w:rsidR="00E828EF" w:rsidRPr="00E828EF" w14:paraId="12260842" w14:textId="77777777" w:rsidTr="003F669A">
        <w:trPr>
          <w:trHeight w:val="60"/>
        </w:trPr>
        <w:tc>
          <w:tcPr>
            <w:tcW w:w="1871" w:type="dxa"/>
            <w:shd w:val="clear" w:color="auto" w:fill="EAF6FA"/>
            <w:tcMar>
              <w:top w:w="170" w:type="dxa"/>
              <w:left w:w="85" w:type="dxa"/>
              <w:bottom w:w="170" w:type="dxa"/>
              <w:right w:w="0" w:type="dxa"/>
            </w:tcMar>
          </w:tcPr>
          <w:p w14:paraId="04614799" w14:textId="77777777" w:rsidR="00E828EF" w:rsidRPr="002054FE" w:rsidRDefault="00E828EF" w:rsidP="00EF71C9">
            <w:pPr>
              <w:pStyle w:val="TableTextTables"/>
              <w:rPr>
                <w:b/>
                <w:lang w:val="en-GB"/>
              </w:rPr>
            </w:pPr>
            <w:r w:rsidRPr="002054FE">
              <w:rPr>
                <w:b/>
                <w:lang w:val="en-GB"/>
              </w:rPr>
              <w:t>Communication</w:t>
            </w:r>
          </w:p>
        </w:tc>
        <w:tc>
          <w:tcPr>
            <w:tcW w:w="4535" w:type="dxa"/>
            <w:shd w:val="clear" w:color="auto" w:fill="auto"/>
            <w:tcMar>
              <w:top w:w="170" w:type="dxa"/>
              <w:left w:w="170" w:type="dxa"/>
              <w:bottom w:w="170" w:type="dxa"/>
              <w:right w:w="85" w:type="dxa"/>
            </w:tcMar>
          </w:tcPr>
          <w:p w14:paraId="23047547" w14:textId="77777777" w:rsidR="00E828EF" w:rsidRPr="002054FE" w:rsidRDefault="00E828EF" w:rsidP="002054FE">
            <w:pPr>
              <w:pStyle w:val="Tabletexthang"/>
              <w:rPr>
                <w:b/>
              </w:rPr>
            </w:pPr>
            <w:r w:rsidRPr="002054FE">
              <w:rPr>
                <w:b/>
              </w:rPr>
              <w:t>2.11</w:t>
            </w:r>
            <w:r w:rsidRPr="002054FE">
              <w:rPr>
                <w:b/>
              </w:rPr>
              <w:tab/>
              <w:t xml:space="preserve">The Service supports clinicians to communicate with patients, about cosmetic surgery to ensure: </w:t>
            </w:r>
          </w:p>
          <w:p w14:paraId="7D13DD36" w14:textId="77777777" w:rsidR="00E828EF" w:rsidRPr="00E828EF" w:rsidRDefault="00E828EF" w:rsidP="00EF71C9">
            <w:pPr>
              <w:pStyle w:val="tablenumbered"/>
            </w:pPr>
            <w:r w:rsidRPr="00E828EF">
              <w:t>a.</w:t>
            </w:r>
            <w:r w:rsidRPr="00E828EF">
              <w:tab/>
              <w:t xml:space="preserve">Information is provided in a way that meets the needs of patients, and is easy to understand and use </w:t>
            </w:r>
          </w:p>
          <w:p w14:paraId="7E1A5833" w14:textId="77777777" w:rsidR="00E828EF" w:rsidRPr="00E828EF" w:rsidRDefault="00E828EF" w:rsidP="00EF71C9">
            <w:pPr>
              <w:pStyle w:val="tablenumbered"/>
            </w:pPr>
            <w:r w:rsidRPr="00E828EF">
              <w:t>b.</w:t>
            </w:r>
            <w:r w:rsidRPr="00E828EF">
              <w:tab/>
              <w:t xml:space="preserve">The clinical needs of patients are addressed while they are accessing cosmetic surgery </w:t>
            </w:r>
          </w:p>
          <w:p w14:paraId="53B698D5" w14:textId="77777777" w:rsidR="00E828EF" w:rsidRPr="002054FE" w:rsidRDefault="00E828EF" w:rsidP="00EF71C9">
            <w:pPr>
              <w:pStyle w:val="tablenumbered"/>
              <w:rPr>
                <w:b/>
              </w:rPr>
            </w:pPr>
            <w:r w:rsidRPr="002054FE">
              <w:rPr>
                <w:b/>
              </w:rPr>
              <w:t>c.</w:t>
            </w:r>
            <w:r w:rsidRPr="002054FE">
              <w:rPr>
                <w:b/>
              </w:rPr>
              <w:tab/>
              <w:t>On discharge, patients are provided with verbal and written information about their ongoing care and what to do if emergency assistance is required</w:t>
            </w:r>
          </w:p>
        </w:tc>
        <w:tc>
          <w:tcPr>
            <w:tcW w:w="2665" w:type="dxa"/>
            <w:shd w:val="clear" w:color="auto" w:fill="auto"/>
            <w:tcMar>
              <w:top w:w="170" w:type="dxa"/>
              <w:left w:w="170" w:type="dxa"/>
              <w:bottom w:w="170" w:type="dxa"/>
              <w:right w:w="85" w:type="dxa"/>
            </w:tcMar>
          </w:tcPr>
          <w:p w14:paraId="61A4E3C7" w14:textId="103642B1" w:rsidR="003F669A" w:rsidRPr="0028021F" w:rsidRDefault="003F669A" w:rsidP="003F669A">
            <w:pPr>
              <w:pStyle w:val="TableTextTables"/>
              <w:rPr>
                <w:lang w:val="en-GB"/>
              </w:rPr>
            </w:pPr>
            <w:r w:rsidRPr="0028021F">
              <w:rPr>
                <w:lang w:val="en-GB"/>
              </w:rPr>
              <w:t xml:space="preserve">This action is a </w:t>
            </w:r>
            <w:r w:rsidRPr="0028021F">
              <w:rPr>
                <w:b/>
                <w:bCs/>
                <w:lang w:val="en-GB"/>
              </w:rPr>
              <w:t>partial match</w:t>
            </w:r>
            <w:r w:rsidRPr="0028021F">
              <w:rPr>
                <w:lang w:val="en-GB"/>
              </w:rPr>
              <w:t xml:space="preserve"> to the </w:t>
            </w:r>
            <w:r w:rsidRPr="0028021F">
              <w:rPr>
                <w:b/>
                <w:bCs/>
                <w:lang w:val="en-GB"/>
              </w:rPr>
              <w:t xml:space="preserve">NSQHS Standards action </w:t>
            </w:r>
            <w:r w:rsidR="00D35CE4" w:rsidRPr="0028021F">
              <w:rPr>
                <w:b/>
                <w:bCs/>
                <w:lang w:val="en-GB"/>
              </w:rPr>
              <w:t>2.10</w:t>
            </w:r>
          </w:p>
          <w:p w14:paraId="1F120A68" w14:textId="4CAF75CF" w:rsidR="00E828EF" w:rsidRPr="0028021F" w:rsidRDefault="008C4293" w:rsidP="003F669A">
            <w:pPr>
              <w:pStyle w:val="TableTextTables"/>
              <w:rPr>
                <w:lang w:val="en-GB"/>
              </w:rPr>
            </w:pPr>
            <w:r w:rsidRPr="0028021F">
              <w:rPr>
                <w:lang w:val="en-GB"/>
              </w:rPr>
              <w:t xml:space="preserve">This action only requires additional compliance strategies for </w:t>
            </w:r>
            <w:r w:rsidR="003F669A" w:rsidRPr="0028021F">
              <w:rPr>
                <w:b/>
                <w:bCs/>
                <w:lang w:val="en-GB"/>
              </w:rPr>
              <w:t>sub-action</w:t>
            </w:r>
            <w:r w:rsidR="002108C7" w:rsidRPr="0028021F">
              <w:rPr>
                <w:b/>
                <w:bCs/>
                <w:lang w:val="en-GB"/>
              </w:rPr>
              <w:t xml:space="preserve"> c</w:t>
            </w:r>
          </w:p>
        </w:tc>
      </w:tr>
      <w:tr w:rsidR="00E828EF" w:rsidRPr="00E828EF" w14:paraId="0639D018" w14:textId="77777777" w:rsidTr="003F669A">
        <w:trPr>
          <w:trHeight w:val="60"/>
        </w:trPr>
        <w:tc>
          <w:tcPr>
            <w:tcW w:w="1871" w:type="dxa"/>
            <w:shd w:val="clear" w:color="auto" w:fill="EAF6FA"/>
            <w:tcMar>
              <w:top w:w="170" w:type="dxa"/>
              <w:left w:w="85" w:type="dxa"/>
              <w:bottom w:w="170" w:type="dxa"/>
              <w:right w:w="0" w:type="dxa"/>
            </w:tcMar>
          </w:tcPr>
          <w:p w14:paraId="58178299" w14:textId="77777777" w:rsidR="00E828EF" w:rsidRPr="002054FE" w:rsidRDefault="00E828EF" w:rsidP="00EF71C9">
            <w:pPr>
              <w:pStyle w:val="TableTextTables"/>
              <w:rPr>
                <w:b/>
                <w:lang w:val="en-GB"/>
              </w:rPr>
            </w:pPr>
            <w:r w:rsidRPr="002054FE">
              <w:rPr>
                <w:b/>
                <w:lang w:val="en-GB"/>
              </w:rPr>
              <w:t>Advertising</w:t>
            </w:r>
          </w:p>
        </w:tc>
        <w:tc>
          <w:tcPr>
            <w:tcW w:w="4535" w:type="dxa"/>
            <w:shd w:val="clear" w:color="auto" w:fill="auto"/>
            <w:tcMar>
              <w:top w:w="170" w:type="dxa"/>
              <w:left w:w="170" w:type="dxa"/>
              <w:bottom w:w="170" w:type="dxa"/>
              <w:right w:w="85" w:type="dxa"/>
            </w:tcMar>
          </w:tcPr>
          <w:p w14:paraId="18FA1162" w14:textId="77777777" w:rsidR="00E828EF" w:rsidRPr="002108C7" w:rsidRDefault="00E828EF" w:rsidP="002054FE">
            <w:pPr>
              <w:pStyle w:val="Tabletexthang"/>
              <w:rPr>
                <w:b/>
                <w:bCs/>
              </w:rPr>
            </w:pPr>
            <w:r w:rsidRPr="002108C7">
              <w:rPr>
                <w:b/>
                <w:bCs/>
              </w:rPr>
              <w:t>2.12</w:t>
            </w:r>
            <w:r w:rsidRPr="002108C7">
              <w:rPr>
                <w:b/>
                <w:bCs/>
              </w:rPr>
              <w:tab/>
              <w:t>The Service has processes to assure itself that advertising of cosmetic surgery it commissions or is referenced in:</w:t>
            </w:r>
          </w:p>
          <w:p w14:paraId="4C79A25C" w14:textId="77777777" w:rsidR="00E828EF" w:rsidRPr="002108C7" w:rsidRDefault="00E828EF" w:rsidP="00EF71C9">
            <w:pPr>
              <w:pStyle w:val="tablenumbered"/>
              <w:rPr>
                <w:b/>
                <w:bCs/>
              </w:rPr>
            </w:pPr>
            <w:r w:rsidRPr="002108C7">
              <w:rPr>
                <w:b/>
                <w:bCs/>
              </w:rPr>
              <w:lastRenderedPageBreak/>
              <w:t>a.</w:t>
            </w:r>
            <w:r w:rsidRPr="002108C7">
              <w:rPr>
                <w:b/>
                <w:bCs/>
              </w:rPr>
              <w:tab/>
              <w:t>Is not false, misleading or deceptive, or likely to be misleading, or deceptive</w:t>
            </w:r>
          </w:p>
          <w:p w14:paraId="71568161" w14:textId="77777777" w:rsidR="00E828EF" w:rsidRPr="002108C7" w:rsidRDefault="00E828EF" w:rsidP="00EF71C9">
            <w:pPr>
              <w:pStyle w:val="tablenumbered"/>
              <w:rPr>
                <w:b/>
                <w:bCs/>
              </w:rPr>
            </w:pPr>
            <w:r w:rsidRPr="002108C7">
              <w:rPr>
                <w:b/>
                <w:bCs/>
              </w:rPr>
              <w:t>b.</w:t>
            </w:r>
            <w:r w:rsidRPr="002108C7">
              <w:rPr>
                <w:b/>
                <w:bCs/>
              </w:rPr>
              <w:tab/>
              <w:t>Does not offer a gift, discount or other inducement</w:t>
            </w:r>
          </w:p>
          <w:p w14:paraId="1EAE5DE7" w14:textId="77777777" w:rsidR="00E828EF" w:rsidRPr="002108C7" w:rsidRDefault="00E828EF" w:rsidP="00EF71C9">
            <w:pPr>
              <w:pStyle w:val="tablenumbered"/>
              <w:rPr>
                <w:b/>
                <w:bCs/>
              </w:rPr>
            </w:pPr>
            <w:r w:rsidRPr="002108C7">
              <w:rPr>
                <w:b/>
                <w:bCs/>
              </w:rPr>
              <w:t>c.</w:t>
            </w:r>
            <w:r w:rsidRPr="002108C7">
              <w:rPr>
                <w:b/>
                <w:bCs/>
              </w:rPr>
              <w:tab/>
              <w:t xml:space="preserve">Does not use testimonials or purported testimonials about </w:t>
            </w:r>
            <w:r w:rsidRPr="002108C7">
              <w:rPr>
                <w:b/>
                <w:bCs/>
              </w:rPr>
              <w:br/>
              <w:t xml:space="preserve">the surgery </w:t>
            </w:r>
          </w:p>
          <w:p w14:paraId="22551D8B" w14:textId="77777777" w:rsidR="00E828EF" w:rsidRPr="002108C7" w:rsidRDefault="00E828EF" w:rsidP="00EF71C9">
            <w:pPr>
              <w:pStyle w:val="tablenumbered"/>
              <w:rPr>
                <w:b/>
                <w:bCs/>
              </w:rPr>
            </w:pPr>
            <w:r w:rsidRPr="002108C7">
              <w:rPr>
                <w:b/>
                <w:bCs/>
              </w:rPr>
              <w:t>d.</w:t>
            </w:r>
            <w:r w:rsidRPr="002108C7">
              <w:rPr>
                <w:b/>
                <w:bCs/>
              </w:rPr>
              <w:tab/>
              <w:t xml:space="preserve">Does not create unreasonable expectation of beneficial treatment </w:t>
            </w:r>
          </w:p>
          <w:p w14:paraId="365B20EF" w14:textId="77777777" w:rsidR="00E828EF" w:rsidRPr="002108C7" w:rsidRDefault="00E828EF" w:rsidP="00EF71C9">
            <w:pPr>
              <w:pStyle w:val="tablenumbered"/>
              <w:rPr>
                <w:b/>
                <w:bCs/>
              </w:rPr>
            </w:pPr>
            <w:r w:rsidRPr="002108C7">
              <w:rPr>
                <w:b/>
                <w:bCs/>
              </w:rPr>
              <w:t>e.</w:t>
            </w:r>
            <w:r w:rsidRPr="002108C7">
              <w:rPr>
                <w:b/>
                <w:bCs/>
              </w:rPr>
              <w:tab/>
              <w:t>Does not directly or indirectly encourage the indiscriminate use of cosmetic surgery</w:t>
            </w:r>
          </w:p>
        </w:tc>
        <w:tc>
          <w:tcPr>
            <w:tcW w:w="2665" w:type="dxa"/>
            <w:shd w:val="clear" w:color="auto" w:fill="auto"/>
            <w:tcMar>
              <w:top w:w="170" w:type="dxa"/>
              <w:left w:w="170" w:type="dxa"/>
              <w:bottom w:w="170" w:type="dxa"/>
              <w:right w:w="85" w:type="dxa"/>
            </w:tcMar>
          </w:tcPr>
          <w:p w14:paraId="610B3695" w14:textId="16D644AD" w:rsidR="00E828EF" w:rsidRPr="0028021F" w:rsidRDefault="00553370" w:rsidP="00EF71C9">
            <w:pPr>
              <w:pStyle w:val="TableTextTables"/>
              <w:rPr>
                <w:lang w:val="en-GB"/>
              </w:rPr>
            </w:pPr>
            <w:r w:rsidRPr="0028021F">
              <w:rPr>
                <w:lang w:val="en-GB"/>
              </w:rPr>
              <w:lastRenderedPageBreak/>
              <w:t xml:space="preserve">Requires full compliance with this action as it is specific to the Cosmetic Surgery </w:t>
            </w:r>
            <w:r w:rsidRPr="0028021F">
              <w:t>Standards</w:t>
            </w:r>
          </w:p>
        </w:tc>
      </w:tr>
    </w:tbl>
    <w:p w14:paraId="72F0D3A6" w14:textId="77777777" w:rsidR="00E828EF" w:rsidRPr="00E828EF" w:rsidRDefault="00E828EF" w:rsidP="00E828EF">
      <w:pPr>
        <w:suppressAutoHyphens/>
        <w:autoSpaceDE w:val="0"/>
        <w:autoSpaceDN w:val="0"/>
        <w:adjustRightInd w:val="0"/>
        <w:spacing w:before="0" w:after="113" w:line="288" w:lineRule="auto"/>
        <w:textAlignment w:val="center"/>
        <w:rPr>
          <w:rFonts w:ascii="Calluna-Regular" w:hAnsi="Calluna-Regular" w:cs="Calluna-Regular"/>
          <w:color w:val="000000"/>
          <w:sz w:val="21"/>
          <w:szCs w:val="21"/>
          <w:lang w:val="en-GB"/>
        </w:rPr>
      </w:pPr>
    </w:p>
    <w:p w14:paraId="14B6458C" w14:textId="7FDDCE6B" w:rsidR="00B96E11" w:rsidRPr="006F72A2" w:rsidRDefault="00B96E11" w:rsidP="006F72A2">
      <w:pPr>
        <w:spacing w:before="0" w:after="80"/>
        <w:rPr>
          <w:lang w:val="en-GB"/>
        </w:rPr>
      </w:pPr>
      <w:r>
        <w:rPr>
          <w:lang w:val="en-GB"/>
        </w:rPr>
        <w:br w:type="page"/>
      </w:r>
    </w:p>
    <w:p w14:paraId="1BE7C20C" w14:textId="17D37EB6" w:rsidR="007D6499" w:rsidRPr="007D6499" w:rsidRDefault="007D6499" w:rsidP="007D6499">
      <w:pPr>
        <w:pStyle w:val="Heading1"/>
        <w:rPr>
          <w:lang w:val="en-GB"/>
        </w:rPr>
      </w:pPr>
      <w:bookmarkStart w:id="12" w:name="_Toc164328621"/>
      <w:r w:rsidRPr="007D6499">
        <w:rPr>
          <w:lang w:val="en-GB"/>
        </w:rPr>
        <w:lastRenderedPageBreak/>
        <w:t>Medication Safety Standard</w:t>
      </w:r>
      <w:bookmarkEnd w:id="12"/>
    </w:p>
    <w:p w14:paraId="12EB4FFE" w14:textId="77777777" w:rsidR="00E828EF" w:rsidRPr="00E828EF" w:rsidRDefault="00E828EF" w:rsidP="00800D77">
      <w:pPr>
        <w:pStyle w:val="Heading2"/>
      </w:pPr>
      <w:bookmarkStart w:id="13" w:name="_Toc164328622"/>
      <w:r w:rsidRPr="00E828EF">
        <w:t>Documentation of patient information</w:t>
      </w:r>
      <w:bookmarkEnd w:id="13"/>
      <w:r w:rsidRPr="00E828EF">
        <w:t xml:space="preserve"> </w:t>
      </w:r>
    </w:p>
    <w:p w14:paraId="68686D15" w14:textId="77777777" w:rsidR="00E828EF" w:rsidRPr="00E828EF" w:rsidRDefault="00E828EF" w:rsidP="00800D77">
      <w:pPr>
        <w:rPr>
          <w:lang w:val="en-GB"/>
        </w:rPr>
      </w:pPr>
      <w:r w:rsidRPr="00E828EF">
        <w:rPr>
          <w:lang w:val="en-GB"/>
        </w:rPr>
        <w:t xml:space="preserve">The Service records and makes available the best possible medication history, including information relating to medicine allergies and adverse events involving medicines when commencing an </w:t>
      </w:r>
      <w:r w:rsidRPr="00E828EF">
        <w:rPr>
          <w:lang w:val="en-GB"/>
        </w:rPr>
        <w:br/>
        <w:t>episode of care.</w:t>
      </w:r>
    </w:p>
    <w:p w14:paraId="092DA61C" w14:textId="77777777" w:rsidR="00E828EF" w:rsidRPr="00E828EF" w:rsidRDefault="00E828EF" w:rsidP="00800D77">
      <w:pPr>
        <w:pStyle w:val="ECHeading2"/>
      </w:pPr>
      <w:r w:rsidRPr="00E828EF">
        <w:t xml:space="preserve">Consumer outcome </w:t>
      </w:r>
    </w:p>
    <w:p w14:paraId="374A2DBB" w14:textId="77777777" w:rsidR="00E828EF" w:rsidRPr="00E828EF" w:rsidRDefault="00E828EF" w:rsidP="00800D77">
      <w:pPr>
        <w:rPr>
          <w:lang w:val="en-GB"/>
        </w:rPr>
      </w:pPr>
      <w:r w:rsidRPr="00E828EF">
        <w:rPr>
          <w:lang w:val="en-GB"/>
        </w:rPr>
        <w:t>My medication history is recorded and referred to during my care.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4535"/>
        <w:gridCol w:w="2665"/>
      </w:tblGrid>
      <w:tr w:rsidR="00E828EF" w:rsidRPr="00E828EF" w14:paraId="6ACDCD11" w14:textId="77777777" w:rsidTr="00AB4155">
        <w:trPr>
          <w:trHeight w:hRule="exact" w:val="340"/>
          <w:tblHeader/>
        </w:trPr>
        <w:tc>
          <w:tcPr>
            <w:tcW w:w="1871" w:type="dxa"/>
            <w:shd w:val="clear" w:color="auto" w:fill="94C947"/>
            <w:tcMar>
              <w:top w:w="0" w:type="dxa"/>
              <w:left w:w="85" w:type="dxa"/>
              <w:bottom w:w="0" w:type="dxa"/>
              <w:right w:w="85" w:type="dxa"/>
            </w:tcMar>
            <w:vAlign w:val="center"/>
          </w:tcPr>
          <w:p w14:paraId="33C92332" w14:textId="77777777" w:rsidR="00E828EF" w:rsidRPr="00AB4155" w:rsidRDefault="00E828EF" w:rsidP="00EF71C9">
            <w:pPr>
              <w:pStyle w:val="TableTextTables"/>
              <w:rPr>
                <w:b/>
                <w:color w:val="FFFFFF" w:themeColor="background1"/>
              </w:rPr>
            </w:pPr>
            <w:r w:rsidRPr="00AB4155">
              <w:rPr>
                <w:b/>
                <w:color w:val="FFFFFF" w:themeColor="background1"/>
              </w:rPr>
              <w:t>Item</w:t>
            </w:r>
          </w:p>
        </w:tc>
        <w:tc>
          <w:tcPr>
            <w:tcW w:w="4535" w:type="dxa"/>
            <w:shd w:val="clear" w:color="auto" w:fill="94C947"/>
            <w:tcMar>
              <w:top w:w="0" w:type="dxa"/>
              <w:left w:w="170" w:type="dxa"/>
              <w:bottom w:w="0" w:type="dxa"/>
              <w:right w:w="85" w:type="dxa"/>
            </w:tcMar>
            <w:vAlign w:val="center"/>
          </w:tcPr>
          <w:p w14:paraId="4657FAD9" w14:textId="77777777" w:rsidR="00E828EF" w:rsidRPr="00AB4155" w:rsidRDefault="00E828EF" w:rsidP="00EF71C9">
            <w:pPr>
              <w:pStyle w:val="TableTextTables"/>
              <w:rPr>
                <w:b/>
                <w:color w:val="FFFFFF" w:themeColor="background1"/>
              </w:rPr>
            </w:pPr>
            <w:r w:rsidRPr="00AB4155">
              <w:rPr>
                <w:b/>
                <w:color w:val="FFFFFF" w:themeColor="background1"/>
              </w:rPr>
              <w:t>Cosmetic Surgery Standards action</w:t>
            </w:r>
          </w:p>
        </w:tc>
        <w:tc>
          <w:tcPr>
            <w:tcW w:w="2665" w:type="dxa"/>
            <w:shd w:val="clear" w:color="auto" w:fill="94C947"/>
            <w:tcMar>
              <w:top w:w="0" w:type="dxa"/>
              <w:left w:w="170" w:type="dxa"/>
              <w:bottom w:w="0" w:type="dxa"/>
              <w:right w:w="85" w:type="dxa"/>
            </w:tcMar>
            <w:vAlign w:val="center"/>
          </w:tcPr>
          <w:p w14:paraId="383F2DD3" w14:textId="77777777" w:rsidR="00E828EF" w:rsidRPr="00AB4155" w:rsidRDefault="00E828EF" w:rsidP="00EF71C9">
            <w:pPr>
              <w:pStyle w:val="TableTextTables"/>
              <w:rPr>
                <w:b/>
                <w:color w:val="FFFFFF" w:themeColor="background1"/>
              </w:rPr>
            </w:pPr>
            <w:r w:rsidRPr="00AB4155">
              <w:rPr>
                <w:b/>
                <w:color w:val="FFFFFF" w:themeColor="background1"/>
              </w:rPr>
              <w:t>Additional requirements</w:t>
            </w:r>
          </w:p>
        </w:tc>
      </w:tr>
      <w:tr w:rsidR="00E828EF" w:rsidRPr="00E828EF" w14:paraId="479DAFA1" w14:textId="77777777" w:rsidTr="00AB4155">
        <w:trPr>
          <w:trHeight w:val="60"/>
        </w:trPr>
        <w:tc>
          <w:tcPr>
            <w:tcW w:w="1871" w:type="dxa"/>
            <w:vMerge w:val="restart"/>
            <w:shd w:val="clear" w:color="auto" w:fill="FEF8EA"/>
            <w:tcMar>
              <w:top w:w="170" w:type="dxa"/>
              <w:left w:w="85" w:type="dxa"/>
              <w:bottom w:w="227" w:type="dxa"/>
              <w:right w:w="170" w:type="dxa"/>
            </w:tcMar>
          </w:tcPr>
          <w:p w14:paraId="74410813" w14:textId="77777777" w:rsidR="00E828EF" w:rsidRPr="002054FE" w:rsidRDefault="00E828EF" w:rsidP="00EF71C9">
            <w:pPr>
              <w:pStyle w:val="TableTextTables"/>
              <w:rPr>
                <w:b/>
                <w:lang w:val="en-GB"/>
              </w:rPr>
            </w:pPr>
            <w:r w:rsidRPr="002054FE">
              <w:rPr>
                <w:b/>
                <w:lang w:val="en-GB"/>
              </w:rPr>
              <w:t>Adverse events involving medicines</w:t>
            </w:r>
          </w:p>
        </w:tc>
        <w:tc>
          <w:tcPr>
            <w:tcW w:w="4535" w:type="dxa"/>
            <w:shd w:val="clear" w:color="auto" w:fill="auto"/>
            <w:tcMar>
              <w:top w:w="170" w:type="dxa"/>
              <w:left w:w="170" w:type="dxa"/>
              <w:bottom w:w="227" w:type="dxa"/>
              <w:right w:w="85" w:type="dxa"/>
            </w:tcMar>
          </w:tcPr>
          <w:p w14:paraId="7DDFA753" w14:textId="53D7D8F5" w:rsidR="00E828EF" w:rsidRPr="002054FE" w:rsidRDefault="00E828EF" w:rsidP="002054FE">
            <w:pPr>
              <w:pStyle w:val="Tabletexthang"/>
              <w:rPr>
                <w:b/>
              </w:rPr>
            </w:pPr>
            <w:r w:rsidRPr="002054FE">
              <w:rPr>
                <w:b/>
              </w:rPr>
              <w:t>4.06</w:t>
            </w:r>
            <w:r w:rsidRPr="002054FE">
              <w:rPr>
                <w:b/>
              </w:rPr>
              <w:tab/>
              <w:t>The Service has processes for documenting adverse events involving medicines and medical devices experienced by patients during an episode of care in the healthcare record and in the Service’s incident reporting system</w:t>
            </w:r>
          </w:p>
        </w:tc>
        <w:tc>
          <w:tcPr>
            <w:tcW w:w="2665" w:type="dxa"/>
            <w:shd w:val="clear" w:color="auto" w:fill="auto"/>
            <w:tcMar>
              <w:top w:w="170" w:type="dxa"/>
              <w:left w:w="170" w:type="dxa"/>
              <w:bottom w:w="227" w:type="dxa"/>
              <w:right w:w="85" w:type="dxa"/>
            </w:tcMar>
          </w:tcPr>
          <w:p w14:paraId="0E40BECA" w14:textId="1C713981" w:rsidR="00771BFA" w:rsidRPr="0028021F" w:rsidRDefault="00771BFA" w:rsidP="00771BFA">
            <w:pPr>
              <w:pStyle w:val="TableTextTables"/>
              <w:rPr>
                <w:lang w:val="en-GB"/>
              </w:rPr>
            </w:pPr>
            <w:r w:rsidRPr="0028021F">
              <w:rPr>
                <w:lang w:val="en-GB"/>
              </w:rPr>
              <w:t xml:space="preserve">This action is a </w:t>
            </w:r>
            <w:r w:rsidRPr="0028021F">
              <w:rPr>
                <w:b/>
                <w:bCs/>
                <w:lang w:val="en-GB"/>
              </w:rPr>
              <w:t>partial match</w:t>
            </w:r>
            <w:r w:rsidRPr="0028021F">
              <w:rPr>
                <w:lang w:val="en-GB"/>
              </w:rPr>
              <w:t xml:space="preserve"> to the </w:t>
            </w:r>
            <w:r w:rsidRPr="0028021F">
              <w:rPr>
                <w:b/>
                <w:bCs/>
                <w:lang w:val="en-GB"/>
              </w:rPr>
              <w:t>NSQHS Standards action 4.08</w:t>
            </w:r>
          </w:p>
          <w:p w14:paraId="0823270C" w14:textId="1E9E2692" w:rsidR="00E828EF" w:rsidRPr="0028021F" w:rsidRDefault="008C4293" w:rsidP="00771BFA">
            <w:pPr>
              <w:pStyle w:val="TableTextTables"/>
              <w:rPr>
                <w:lang w:val="en-GB"/>
              </w:rPr>
            </w:pPr>
            <w:r w:rsidRPr="0028021F">
              <w:rPr>
                <w:lang w:val="en-GB"/>
              </w:rPr>
              <w:t>This action only requires additional compliance strategies for</w:t>
            </w:r>
            <w:r w:rsidR="00771BFA" w:rsidRPr="0028021F">
              <w:rPr>
                <w:lang w:val="en-GB"/>
              </w:rPr>
              <w:t xml:space="preserve"> </w:t>
            </w:r>
            <w:r w:rsidR="00BA60BF" w:rsidRPr="0028021F">
              <w:rPr>
                <w:lang w:val="en-GB"/>
              </w:rPr>
              <w:t xml:space="preserve">the documentation and reporting of adverse events involving </w:t>
            </w:r>
            <w:r w:rsidR="00B21FC8" w:rsidRPr="0028021F">
              <w:rPr>
                <w:b/>
                <w:bCs/>
                <w:lang w:val="en-GB"/>
              </w:rPr>
              <w:t>medical devices</w:t>
            </w:r>
          </w:p>
        </w:tc>
      </w:tr>
      <w:tr w:rsidR="00E828EF" w:rsidRPr="00E828EF" w14:paraId="5364A107" w14:textId="77777777" w:rsidTr="00AB4155">
        <w:trPr>
          <w:trHeight w:val="60"/>
        </w:trPr>
        <w:tc>
          <w:tcPr>
            <w:tcW w:w="1871" w:type="dxa"/>
            <w:vMerge/>
            <w:shd w:val="clear" w:color="auto" w:fill="FEF8EA"/>
          </w:tcPr>
          <w:p w14:paraId="07679D24" w14:textId="77777777" w:rsidR="00E828EF" w:rsidRPr="00E828EF" w:rsidRDefault="00E828EF" w:rsidP="00EF71C9">
            <w:pPr>
              <w:pStyle w:val="TableTextTables"/>
              <w:rPr>
                <w:rFonts w:ascii="ProximaNova-Bold" w:hAnsi="ProximaNova-Bold"/>
                <w:sz w:val="24"/>
                <w:szCs w:val="24"/>
              </w:rPr>
            </w:pPr>
          </w:p>
        </w:tc>
        <w:tc>
          <w:tcPr>
            <w:tcW w:w="4535" w:type="dxa"/>
            <w:shd w:val="clear" w:color="auto" w:fill="auto"/>
            <w:tcMar>
              <w:top w:w="170" w:type="dxa"/>
              <w:left w:w="170" w:type="dxa"/>
              <w:bottom w:w="227" w:type="dxa"/>
              <w:right w:w="85" w:type="dxa"/>
            </w:tcMar>
          </w:tcPr>
          <w:p w14:paraId="2D0425E7" w14:textId="77777777" w:rsidR="00E828EF" w:rsidRPr="002054FE" w:rsidRDefault="00E828EF" w:rsidP="002054FE">
            <w:pPr>
              <w:pStyle w:val="Tabletexthang"/>
              <w:rPr>
                <w:b/>
              </w:rPr>
            </w:pPr>
            <w:r w:rsidRPr="002054FE">
              <w:rPr>
                <w:b/>
              </w:rPr>
              <w:t>4.07</w:t>
            </w:r>
            <w:r w:rsidRPr="002054FE">
              <w:rPr>
                <w:b/>
              </w:rPr>
              <w:tab/>
              <w:t xml:space="preserve">The Service has processes for reporting adverse events involving medicines and medical devices experienced by </w:t>
            </w:r>
            <w:r w:rsidRPr="002054FE">
              <w:rPr>
                <w:b/>
              </w:rPr>
              <w:br/>
              <w:t>patients to:</w:t>
            </w:r>
          </w:p>
          <w:p w14:paraId="132ECEC3" w14:textId="77777777" w:rsidR="00E828EF" w:rsidRPr="002054FE" w:rsidRDefault="00E828EF" w:rsidP="00EF71C9">
            <w:pPr>
              <w:pStyle w:val="tablenumbered"/>
              <w:rPr>
                <w:b/>
              </w:rPr>
            </w:pPr>
            <w:r w:rsidRPr="002054FE">
              <w:rPr>
                <w:b/>
              </w:rPr>
              <w:t>a.</w:t>
            </w:r>
            <w:r w:rsidRPr="002054FE">
              <w:rPr>
                <w:b/>
              </w:rPr>
              <w:tab/>
              <w:t>Relevant clinicians involved in the patient’s care</w:t>
            </w:r>
          </w:p>
          <w:p w14:paraId="05BEB907" w14:textId="77777777" w:rsidR="00E828EF" w:rsidRPr="002054FE" w:rsidRDefault="00E828EF" w:rsidP="00EF71C9">
            <w:pPr>
              <w:pStyle w:val="tablenumbered"/>
              <w:rPr>
                <w:b/>
              </w:rPr>
            </w:pPr>
            <w:r w:rsidRPr="002054FE">
              <w:rPr>
                <w:b/>
              </w:rPr>
              <w:t>b.</w:t>
            </w:r>
            <w:r w:rsidRPr="002054FE">
              <w:rPr>
                <w:b/>
              </w:rPr>
              <w:tab/>
              <w:t>Therapeutic Goods Administration, in accordance with its requirements</w:t>
            </w:r>
          </w:p>
        </w:tc>
        <w:tc>
          <w:tcPr>
            <w:tcW w:w="2665" w:type="dxa"/>
            <w:shd w:val="clear" w:color="auto" w:fill="auto"/>
            <w:tcMar>
              <w:top w:w="170" w:type="dxa"/>
              <w:left w:w="170" w:type="dxa"/>
              <w:bottom w:w="227" w:type="dxa"/>
              <w:right w:w="85" w:type="dxa"/>
            </w:tcMar>
          </w:tcPr>
          <w:p w14:paraId="31A529DA" w14:textId="4A0C88A3" w:rsidR="00771BFA" w:rsidRPr="0028021F" w:rsidRDefault="00771BFA" w:rsidP="00771BFA">
            <w:pPr>
              <w:pStyle w:val="TableTextTables"/>
              <w:rPr>
                <w:lang w:val="en-GB"/>
              </w:rPr>
            </w:pPr>
            <w:r w:rsidRPr="0028021F">
              <w:rPr>
                <w:lang w:val="en-GB"/>
              </w:rPr>
              <w:t xml:space="preserve">This action is a </w:t>
            </w:r>
            <w:r w:rsidRPr="0028021F">
              <w:rPr>
                <w:b/>
                <w:bCs/>
                <w:lang w:val="en-GB"/>
              </w:rPr>
              <w:t>partial match</w:t>
            </w:r>
            <w:r w:rsidRPr="0028021F">
              <w:rPr>
                <w:lang w:val="en-GB"/>
              </w:rPr>
              <w:t xml:space="preserve"> to the </w:t>
            </w:r>
            <w:r w:rsidRPr="0028021F">
              <w:rPr>
                <w:b/>
                <w:bCs/>
                <w:lang w:val="en-GB"/>
              </w:rPr>
              <w:t>NSQHS Standards action</w:t>
            </w:r>
            <w:r w:rsidR="001720EB" w:rsidRPr="0028021F">
              <w:rPr>
                <w:b/>
                <w:bCs/>
                <w:lang w:val="en-GB"/>
              </w:rPr>
              <w:t>s</w:t>
            </w:r>
            <w:r w:rsidRPr="0028021F">
              <w:rPr>
                <w:b/>
                <w:bCs/>
                <w:lang w:val="en-GB"/>
              </w:rPr>
              <w:t xml:space="preserve"> 4.09</w:t>
            </w:r>
            <w:r w:rsidR="007A7162" w:rsidRPr="0028021F">
              <w:rPr>
                <w:b/>
                <w:bCs/>
                <w:lang w:val="en-GB"/>
              </w:rPr>
              <w:t xml:space="preserve"> </w:t>
            </w:r>
            <w:r w:rsidR="00290C62" w:rsidRPr="0028021F">
              <w:rPr>
                <w:b/>
                <w:bCs/>
                <w:lang w:val="en-GB"/>
              </w:rPr>
              <w:t>and</w:t>
            </w:r>
            <w:r w:rsidR="007A7162" w:rsidRPr="0028021F">
              <w:rPr>
                <w:b/>
                <w:bCs/>
                <w:lang w:val="en-GB"/>
              </w:rPr>
              <w:t xml:space="preserve"> 1.28</w:t>
            </w:r>
          </w:p>
          <w:p w14:paraId="00CCFF23" w14:textId="49455BDB" w:rsidR="00E828EF" w:rsidRPr="0028021F" w:rsidRDefault="00257075" w:rsidP="00771BFA">
            <w:pPr>
              <w:pStyle w:val="TableTextTables"/>
              <w:rPr>
                <w:lang w:val="en-GB"/>
              </w:rPr>
            </w:pPr>
            <w:r w:rsidRPr="0028021F">
              <w:rPr>
                <w:lang w:val="en-GB"/>
              </w:rPr>
              <w:t>This action only requires additional compliance strategies for</w:t>
            </w:r>
            <w:r w:rsidR="00771BFA" w:rsidRPr="0028021F">
              <w:rPr>
                <w:lang w:val="en-GB"/>
              </w:rPr>
              <w:t xml:space="preserve"> </w:t>
            </w:r>
            <w:r w:rsidR="001720EB" w:rsidRPr="0028021F">
              <w:rPr>
                <w:lang w:val="en-GB"/>
              </w:rPr>
              <w:t>the</w:t>
            </w:r>
            <w:r w:rsidR="001720EB" w:rsidRPr="0028021F">
              <w:rPr>
                <w:b/>
                <w:bCs/>
                <w:lang w:val="en-GB"/>
              </w:rPr>
              <w:t xml:space="preserve"> reporting </w:t>
            </w:r>
            <w:r w:rsidR="001720EB" w:rsidRPr="0028021F">
              <w:rPr>
                <w:lang w:val="en-GB"/>
              </w:rPr>
              <w:t xml:space="preserve">of </w:t>
            </w:r>
            <w:r w:rsidR="00B110F0" w:rsidRPr="0028021F">
              <w:rPr>
                <w:lang w:val="en-GB"/>
              </w:rPr>
              <w:t>adverse events involving</w:t>
            </w:r>
            <w:r w:rsidR="00B110F0" w:rsidRPr="0028021F">
              <w:rPr>
                <w:b/>
                <w:bCs/>
                <w:lang w:val="en-GB"/>
              </w:rPr>
              <w:t xml:space="preserve"> </w:t>
            </w:r>
            <w:r w:rsidR="001720EB" w:rsidRPr="0028021F">
              <w:rPr>
                <w:b/>
                <w:bCs/>
                <w:lang w:val="en-GB"/>
              </w:rPr>
              <w:t xml:space="preserve">medical devices </w:t>
            </w:r>
            <w:r w:rsidR="00B110F0" w:rsidRPr="0028021F">
              <w:rPr>
                <w:lang w:val="en-GB"/>
              </w:rPr>
              <w:t>to relevant clinicians and the Therapeutic Goods Administration</w:t>
            </w:r>
          </w:p>
        </w:tc>
      </w:tr>
    </w:tbl>
    <w:p w14:paraId="5682760A" w14:textId="77777777" w:rsidR="00E828EF" w:rsidRPr="00E828EF" w:rsidRDefault="00E828EF" w:rsidP="00E828EF">
      <w:pPr>
        <w:suppressAutoHyphens/>
        <w:autoSpaceDE w:val="0"/>
        <w:autoSpaceDN w:val="0"/>
        <w:adjustRightInd w:val="0"/>
        <w:spacing w:before="0" w:after="227" w:line="250" w:lineRule="atLeast"/>
        <w:textAlignment w:val="center"/>
        <w:rPr>
          <w:rFonts w:ascii="Open Sans" w:hAnsi="Open Sans" w:cs="Open Sans"/>
          <w:color w:val="000000"/>
          <w:sz w:val="19"/>
          <w:szCs w:val="19"/>
          <w:lang w:val="en-GB"/>
        </w:rPr>
      </w:pPr>
    </w:p>
    <w:p w14:paraId="4B5E7B45" w14:textId="77777777" w:rsidR="002054FE" w:rsidRDefault="002054FE" w:rsidP="00800D77">
      <w:pPr>
        <w:pStyle w:val="Heading2"/>
        <w:sectPr w:rsidR="002054FE" w:rsidSect="00102457">
          <w:footnotePr>
            <w:numFmt w:val="chicago"/>
          </w:footnotePr>
          <w:pgSz w:w="11900" w:h="16840"/>
          <w:pgMar w:top="1735" w:right="1134" w:bottom="1418" w:left="1134" w:header="709" w:footer="851" w:gutter="0"/>
          <w:cols w:space="708"/>
          <w:docGrid w:linePitch="360"/>
        </w:sectPr>
      </w:pPr>
    </w:p>
    <w:p w14:paraId="65F74389" w14:textId="28D9ECCF" w:rsidR="00E828EF" w:rsidRPr="00E828EF" w:rsidRDefault="00E828EF" w:rsidP="00800D77">
      <w:pPr>
        <w:pStyle w:val="Heading2"/>
      </w:pPr>
      <w:bookmarkStart w:id="14" w:name="_Toc164328623"/>
      <w:r w:rsidRPr="00E828EF">
        <w:lastRenderedPageBreak/>
        <w:t>Continuity of medication management</w:t>
      </w:r>
      <w:bookmarkEnd w:id="14"/>
      <w:r w:rsidRPr="00E828EF">
        <w:t xml:space="preserve"> </w:t>
      </w:r>
    </w:p>
    <w:p w14:paraId="59E6B9CE" w14:textId="77777777" w:rsidR="00E828EF" w:rsidRPr="00E828EF" w:rsidRDefault="00E828EF" w:rsidP="00800D77">
      <w:pPr>
        <w:rPr>
          <w:lang w:val="en-GB"/>
        </w:rPr>
      </w:pPr>
      <w:r w:rsidRPr="00E828EF">
        <w:rPr>
          <w:lang w:val="en-GB"/>
        </w:rPr>
        <w:t xml:space="preserve">The Service reviews a patient’s medicines, and information is provided to the patient about their medicine needs and risks. A medicines list is provided to the patient and the receiving clinician when handing over care. </w:t>
      </w:r>
    </w:p>
    <w:p w14:paraId="03730847" w14:textId="77777777" w:rsidR="00E828EF" w:rsidRPr="00E828EF" w:rsidRDefault="00E828EF" w:rsidP="00800D77">
      <w:pPr>
        <w:pStyle w:val="ECHeading2"/>
      </w:pPr>
      <w:r w:rsidRPr="00E828EF">
        <w:t xml:space="preserve">Consumer outcome </w:t>
      </w:r>
    </w:p>
    <w:p w14:paraId="6F11499B" w14:textId="77777777" w:rsidR="00E828EF" w:rsidRPr="00E828EF" w:rsidRDefault="00E828EF" w:rsidP="00800D77">
      <w:pPr>
        <w:rPr>
          <w:lang w:val="en-GB"/>
        </w:rPr>
      </w:pPr>
      <w:r w:rsidRPr="00E828EF">
        <w:rPr>
          <w:lang w:val="en-GB"/>
        </w:rPr>
        <w:t xml:space="preserve">I receive a medicines list and am supported to understand and make decisions about </w:t>
      </w:r>
      <w:r w:rsidRPr="00E828EF">
        <w:rPr>
          <w:lang w:val="en-GB"/>
        </w:rPr>
        <w:br/>
        <w:t>my medicines.</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4535"/>
        <w:gridCol w:w="2665"/>
      </w:tblGrid>
      <w:tr w:rsidR="00E828EF" w:rsidRPr="00E828EF" w14:paraId="53B1D1F3" w14:textId="77777777" w:rsidTr="00AB4155">
        <w:trPr>
          <w:trHeight w:hRule="exact" w:val="340"/>
          <w:tblHeader/>
        </w:trPr>
        <w:tc>
          <w:tcPr>
            <w:tcW w:w="1871" w:type="dxa"/>
            <w:shd w:val="clear" w:color="auto" w:fill="94C947"/>
            <w:tcMar>
              <w:top w:w="0" w:type="dxa"/>
              <w:left w:w="85" w:type="dxa"/>
              <w:bottom w:w="0" w:type="dxa"/>
              <w:right w:w="85" w:type="dxa"/>
            </w:tcMar>
            <w:vAlign w:val="center"/>
          </w:tcPr>
          <w:p w14:paraId="0541B9E5" w14:textId="77777777" w:rsidR="00E828EF" w:rsidRPr="002054FE" w:rsidRDefault="00E828EF" w:rsidP="00EF71C9">
            <w:pPr>
              <w:pStyle w:val="TableTextTables"/>
              <w:rPr>
                <w:b/>
              </w:rPr>
            </w:pPr>
            <w:r w:rsidRPr="002054FE">
              <w:rPr>
                <w:b/>
              </w:rPr>
              <w:t>Item</w:t>
            </w:r>
          </w:p>
        </w:tc>
        <w:tc>
          <w:tcPr>
            <w:tcW w:w="4535" w:type="dxa"/>
            <w:shd w:val="clear" w:color="auto" w:fill="94C947"/>
            <w:tcMar>
              <w:top w:w="0" w:type="dxa"/>
              <w:left w:w="170" w:type="dxa"/>
              <w:bottom w:w="0" w:type="dxa"/>
              <w:right w:w="85" w:type="dxa"/>
            </w:tcMar>
            <w:vAlign w:val="center"/>
          </w:tcPr>
          <w:p w14:paraId="45853FF6" w14:textId="77777777" w:rsidR="00E828EF" w:rsidRPr="002054FE" w:rsidRDefault="00E828EF" w:rsidP="00EF71C9">
            <w:pPr>
              <w:pStyle w:val="TableTextTables"/>
              <w:rPr>
                <w:b/>
              </w:rPr>
            </w:pPr>
            <w:r w:rsidRPr="002054FE">
              <w:rPr>
                <w:b/>
              </w:rPr>
              <w:t>Cosmetic Surgery Standards action</w:t>
            </w:r>
          </w:p>
        </w:tc>
        <w:tc>
          <w:tcPr>
            <w:tcW w:w="2665" w:type="dxa"/>
            <w:shd w:val="clear" w:color="auto" w:fill="94C947"/>
            <w:tcMar>
              <w:top w:w="0" w:type="dxa"/>
              <w:left w:w="170" w:type="dxa"/>
              <w:bottom w:w="0" w:type="dxa"/>
              <w:right w:w="85" w:type="dxa"/>
            </w:tcMar>
            <w:vAlign w:val="center"/>
          </w:tcPr>
          <w:p w14:paraId="23F39BEE" w14:textId="77777777" w:rsidR="00E828EF" w:rsidRPr="002054FE" w:rsidRDefault="00E828EF" w:rsidP="00EF71C9">
            <w:pPr>
              <w:pStyle w:val="TableTextTables"/>
              <w:rPr>
                <w:b/>
              </w:rPr>
            </w:pPr>
            <w:r w:rsidRPr="002054FE">
              <w:rPr>
                <w:b/>
              </w:rPr>
              <w:t>Additional requirements</w:t>
            </w:r>
          </w:p>
        </w:tc>
      </w:tr>
      <w:tr w:rsidR="00E828EF" w:rsidRPr="00E828EF" w14:paraId="3A6786FF" w14:textId="77777777" w:rsidTr="00AB4155">
        <w:trPr>
          <w:trHeight w:val="60"/>
        </w:trPr>
        <w:tc>
          <w:tcPr>
            <w:tcW w:w="1871" w:type="dxa"/>
            <w:shd w:val="clear" w:color="auto" w:fill="FEF8EA"/>
            <w:tcMar>
              <w:top w:w="170" w:type="dxa"/>
              <w:left w:w="85" w:type="dxa"/>
              <w:bottom w:w="227" w:type="dxa"/>
              <w:right w:w="170" w:type="dxa"/>
            </w:tcMar>
          </w:tcPr>
          <w:p w14:paraId="67D044F8" w14:textId="77777777" w:rsidR="00E828EF" w:rsidRPr="0028021F" w:rsidRDefault="00E828EF" w:rsidP="00EF71C9">
            <w:pPr>
              <w:pStyle w:val="TableTextTables"/>
              <w:rPr>
                <w:b/>
                <w:lang w:val="en-GB"/>
              </w:rPr>
            </w:pPr>
            <w:r w:rsidRPr="0028021F">
              <w:rPr>
                <w:b/>
                <w:lang w:val="en-GB"/>
              </w:rPr>
              <w:t>Information for patients</w:t>
            </w:r>
          </w:p>
        </w:tc>
        <w:tc>
          <w:tcPr>
            <w:tcW w:w="4535" w:type="dxa"/>
            <w:shd w:val="clear" w:color="auto" w:fill="auto"/>
            <w:tcMar>
              <w:top w:w="170" w:type="dxa"/>
              <w:left w:w="170" w:type="dxa"/>
              <w:bottom w:w="227" w:type="dxa"/>
              <w:right w:w="85" w:type="dxa"/>
            </w:tcMar>
          </w:tcPr>
          <w:p w14:paraId="3BF2DB4D" w14:textId="77777777" w:rsidR="00E828EF" w:rsidRPr="0028021F" w:rsidRDefault="00E828EF" w:rsidP="002054FE">
            <w:pPr>
              <w:pStyle w:val="Tabletexthang"/>
              <w:rPr>
                <w:b/>
              </w:rPr>
            </w:pPr>
            <w:r w:rsidRPr="0028021F">
              <w:rPr>
                <w:b/>
              </w:rPr>
              <w:t>4.09</w:t>
            </w:r>
            <w:r w:rsidRPr="0028021F">
              <w:rPr>
                <w:b/>
              </w:rPr>
              <w:tab/>
              <w:t xml:space="preserve">The Service has processes to: </w:t>
            </w:r>
          </w:p>
          <w:p w14:paraId="6ED3E074" w14:textId="77777777" w:rsidR="00E828EF" w:rsidRPr="0028021F" w:rsidRDefault="00E828EF" w:rsidP="00EF71C9">
            <w:pPr>
              <w:pStyle w:val="tablenumbered"/>
              <w:rPr>
                <w:b/>
              </w:rPr>
            </w:pPr>
            <w:r w:rsidRPr="0028021F">
              <w:rPr>
                <w:b/>
              </w:rPr>
              <w:t>a.</w:t>
            </w:r>
            <w:r w:rsidRPr="0028021F">
              <w:rPr>
                <w:b/>
              </w:rPr>
              <w:tab/>
              <w:t>Support patients to maintain a current and accurate medicines list</w:t>
            </w:r>
          </w:p>
          <w:p w14:paraId="5156A6EB" w14:textId="77777777" w:rsidR="00E828EF" w:rsidRPr="0028021F" w:rsidRDefault="00E828EF" w:rsidP="00EF71C9">
            <w:pPr>
              <w:pStyle w:val="tablenumbered"/>
              <w:rPr>
                <w:b/>
              </w:rPr>
            </w:pPr>
            <w:r w:rsidRPr="0028021F">
              <w:rPr>
                <w:b/>
              </w:rPr>
              <w:t>b.</w:t>
            </w:r>
            <w:r w:rsidRPr="0028021F">
              <w:rPr>
                <w:b/>
              </w:rPr>
              <w:tab/>
              <w:t xml:space="preserve">Encourage patients to share their medicines list with receiving clinicians at transitions of care and/or does so on a patient’s behalf with their consent </w:t>
            </w:r>
          </w:p>
          <w:p w14:paraId="044E6B0E" w14:textId="77777777" w:rsidR="00E828EF" w:rsidRPr="0028021F" w:rsidRDefault="00E828EF" w:rsidP="00EF71C9">
            <w:pPr>
              <w:pStyle w:val="tablenumbered"/>
            </w:pPr>
            <w:r w:rsidRPr="0028021F">
              <w:rPr>
                <w:b/>
              </w:rPr>
              <w:t>c.</w:t>
            </w:r>
            <w:r w:rsidRPr="0028021F">
              <w:rPr>
                <w:b/>
              </w:rPr>
              <w:tab/>
              <w:t>Use information on a patient’s medication history to minimise risks in the planning and delivery of cosmetic surgery</w:t>
            </w:r>
          </w:p>
        </w:tc>
        <w:tc>
          <w:tcPr>
            <w:tcW w:w="2665" w:type="dxa"/>
            <w:shd w:val="clear" w:color="auto" w:fill="auto"/>
            <w:tcMar>
              <w:top w:w="170" w:type="dxa"/>
              <w:left w:w="170" w:type="dxa"/>
              <w:bottom w:w="227" w:type="dxa"/>
              <w:right w:w="85" w:type="dxa"/>
            </w:tcMar>
          </w:tcPr>
          <w:p w14:paraId="68936D13" w14:textId="27449BB2" w:rsidR="00B110F0" w:rsidRPr="0028021F" w:rsidRDefault="00B110F0" w:rsidP="00B110F0">
            <w:pPr>
              <w:pStyle w:val="TableTextTables"/>
              <w:rPr>
                <w:lang w:val="en-GB"/>
              </w:rPr>
            </w:pPr>
            <w:r w:rsidRPr="0028021F">
              <w:rPr>
                <w:lang w:val="en-GB"/>
              </w:rPr>
              <w:t xml:space="preserve">This action is a </w:t>
            </w:r>
            <w:r w:rsidRPr="0028021F">
              <w:rPr>
                <w:b/>
                <w:bCs/>
                <w:lang w:val="en-GB"/>
              </w:rPr>
              <w:t>partial match</w:t>
            </w:r>
            <w:r w:rsidRPr="0028021F">
              <w:rPr>
                <w:lang w:val="en-GB"/>
              </w:rPr>
              <w:t xml:space="preserve"> to the </w:t>
            </w:r>
            <w:r w:rsidRPr="0028021F">
              <w:rPr>
                <w:b/>
                <w:bCs/>
                <w:lang w:val="en-GB"/>
              </w:rPr>
              <w:t>NSQHS Standards action 4.12</w:t>
            </w:r>
          </w:p>
          <w:p w14:paraId="4F6D97DB" w14:textId="5FC9CFE0" w:rsidR="00E828EF" w:rsidRPr="00E828EF" w:rsidRDefault="00257075" w:rsidP="00B110F0">
            <w:pPr>
              <w:pStyle w:val="TableTextTables"/>
              <w:rPr>
                <w:lang w:val="en-GB"/>
              </w:rPr>
            </w:pPr>
            <w:r w:rsidRPr="0028021F">
              <w:rPr>
                <w:lang w:val="en-GB"/>
              </w:rPr>
              <w:t xml:space="preserve">This action only requires additional compliance strategies </w:t>
            </w:r>
            <w:r w:rsidR="003C5F99" w:rsidRPr="0028021F">
              <w:rPr>
                <w:lang w:val="en-GB"/>
              </w:rPr>
              <w:t>to demonstrate t</w:t>
            </w:r>
            <w:r w:rsidR="008E7E4D" w:rsidRPr="0028021F">
              <w:rPr>
                <w:lang w:val="en-GB"/>
              </w:rPr>
              <w:t xml:space="preserve">hat the </w:t>
            </w:r>
            <w:r w:rsidR="008E7E4D" w:rsidRPr="0028021F">
              <w:t xml:space="preserve">Service has processes to </w:t>
            </w:r>
            <w:r w:rsidR="008E7E4D" w:rsidRPr="0028021F">
              <w:rPr>
                <w:b/>
                <w:bCs/>
              </w:rPr>
              <w:t>support patients to maintain and share an accurate medicines list</w:t>
            </w:r>
            <w:r w:rsidR="008E7E4D" w:rsidRPr="0028021F">
              <w:t xml:space="preserve">, and </w:t>
            </w:r>
            <w:r w:rsidR="008E7E4D" w:rsidRPr="0028021F">
              <w:rPr>
                <w:b/>
                <w:bCs/>
              </w:rPr>
              <w:t xml:space="preserve">uses a patient’s medication history to </w:t>
            </w:r>
            <w:proofErr w:type="spellStart"/>
            <w:r w:rsidR="008E7E4D" w:rsidRPr="0028021F">
              <w:rPr>
                <w:b/>
                <w:bCs/>
              </w:rPr>
              <w:t>minimise</w:t>
            </w:r>
            <w:proofErr w:type="spellEnd"/>
            <w:r w:rsidR="008E7E4D" w:rsidRPr="0028021F">
              <w:rPr>
                <w:b/>
                <w:bCs/>
              </w:rPr>
              <w:t xml:space="preserve"> risks</w:t>
            </w:r>
            <w:r w:rsidR="008E7E4D" w:rsidRPr="0028021F">
              <w:t xml:space="preserve"> in the planning and delivery of </w:t>
            </w:r>
            <w:r w:rsidR="008E7E4D" w:rsidRPr="0028021F">
              <w:rPr>
                <w:b/>
                <w:bCs/>
              </w:rPr>
              <w:t>cosmetic surgery</w:t>
            </w:r>
          </w:p>
        </w:tc>
      </w:tr>
    </w:tbl>
    <w:p w14:paraId="30B2C7B1" w14:textId="77777777" w:rsidR="00E828EF" w:rsidRPr="00E828EF" w:rsidRDefault="00E828EF" w:rsidP="00E828EF">
      <w:pPr>
        <w:suppressAutoHyphens/>
        <w:autoSpaceDE w:val="0"/>
        <w:autoSpaceDN w:val="0"/>
        <w:adjustRightInd w:val="0"/>
        <w:spacing w:before="0" w:after="227" w:line="250" w:lineRule="atLeast"/>
        <w:textAlignment w:val="center"/>
        <w:rPr>
          <w:rFonts w:ascii="Open Sans" w:hAnsi="Open Sans" w:cs="Open Sans"/>
          <w:color w:val="000000"/>
          <w:sz w:val="19"/>
          <w:szCs w:val="19"/>
          <w:lang w:val="en-GB"/>
        </w:rPr>
      </w:pPr>
    </w:p>
    <w:p w14:paraId="7F68304A" w14:textId="77777777" w:rsidR="00715EBA" w:rsidRDefault="00715EBA" w:rsidP="00715EBA">
      <w:pPr>
        <w:pStyle w:val="Heading1"/>
        <w:rPr>
          <w:lang w:val="en-GB"/>
        </w:rPr>
      </w:pPr>
      <w:r>
        <w:rPr>
          <w:lang w:val="en-GB"/>
        </w:rPr>
        <w:br w:type="page"/>
      </w:r>
    </w:p>
    <w:p w14:paraId="17124B3E" w14:textId="5B118DFA" w:rsidR="00715EBA" w:rsidRPr="00715EBA" w:rsidRDefault="00715EBA" w:rsidP="00715EBA">
      <w:pPr>
        <w:pStyle w:val="Heading1"/>
        <w:rPr>
          <w:lang w:val="en-GB"/>
        </w:rPr>
      </w:pPr>
      <w:bookmarkStart w:id="15" w:name="_Toc164328624"/>
      <w:r w:rsidRPr="00715EBA">
        <w:rPr>
          <w:lang w:val="en-GB"/>
        </w:rPr>
        <w:lastRenderedPageBreak/>
        <w:t>Comprehensive Care Standard</w:t>
      </w:r>
      <w:bookmarkEnd w:id="15"/>
    </w:p>
    <w:p w14:paraId="5EBEE88A" w14:textId="77777777" w:rsidR="00E828EF" w:rsidRPr="00E828EF" w:rsidRDefault="00E828EF" w:rsidP="00800D77">
      <w:pPr>
        <w:pStyle w:val="Heading2"/>
      </w:pPr>
      <w:bookmarkStart w:id="16" w:name="_Toc164328625"/>
      <w:r w:rsidRPr="00E828EF">
        <w:t>Planning and delivering comprehensive care</w:t>
      </w:r>
      <w:bookmarkEnd w:id="16"/>
    </w:p>
    <w:p w14:paraId="5CEBE121" w14:textId="77777777" w:rsidR="00E828EF" w:rsidRPr="00E828EF" w:rsidRDefault="00E828EF" w:rsidP="00800D77">
      <w:pPr>
        <w:rPr>
          <w:lang w:val="en-GB"/>
        </w:rPr>
      </w:pPr>
      <w:r w:rsidRPr="00E828EF">
        <w:rPr>
          <w:lang w:val="en-GB"/>
        </w:rPr>
        <w:t xml:space="preserve">Integrated screening and assessment processes are used in collaboration with patients, carers and families to develop and deliver on a goal-directed comprehensive care plan. </w:t>
      </w:r>
    </w:p>
    <w:p w14:paraId="60289783" w14:textId="77777777" w:rsidR="00E828EF" w:rsidRPr="00E828EF" w:rsidRDefault="00E828EF" w:rsidP="00800D77">
      <w:pPr>
        <w:pStyle w:val="ECHeading2"/>
      </w:pPr>
      <w:r w:rsidRPr="00E828EF">
        <w:t xml:space="preserve">Consumer outcome </w:t>
      </w:r>
    </w:p>
    <w:p w14:paraId="10496558" w14:textId="77777777" w:rsidR="00E828EF" w:rsidRPr="00E828EF" w:rsidRDefault="00E828EF" w:rsidP="00800D77">
      <w:pPr>
        <w:rPr>
          <w:lang w:val="en-GB"/>
        </w:rPr>
      </w:pPr>
      <w:r w:rsidRPr="00E828EF">
        <w:rPr>
          <w:lang w:val="en-GB"/>
        </w:rPr>
        <w:t>My care is delivered in partnership with me and is tailored to meet my needs and preferences.</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4535"/>
        <w:gridCol w:w="2665"/>
      </w:tblGrid>
      <w:tr w:rsidR="00E828EF" w:rsidRPr="00E828EF" w14:paraId="69C18AEE" w14:textId="77777777" w:rsidTr="00AB4155">
        <w:trPr>
          <w:trHeight w:hRule="exact" w:val="340"/>
          <w:tblHeader/>
        </w:trPr>
        <w:tc>
          <w:tcPr>
            <w:tcW w:w="1871" w:type="dxa"/>
            <w:shd w:val="clear" w:color="auto" w:fill="BB1B8D"/>
            <w:tcMar>
              <w:top w:w="0" w:type="dxa"/>
              <w:left w:w="85" w:type="dxa"/>
              <w:bottom w:w="0" w:type="dxa"/>
              <w:right w:w="85" w:type="dxa"/>
            </w:tcMar>
            <w:vAlign w:val="center"/>
          </w:tcPr>
          <w:p w14:paraId="6AC191E5" w14:textId="77777777" w:rsidR="00E828EF" w:rsidRPr="00AB4155" w:rsidRDefault="00E828EF" w:rsidP="00EF71C9">
            <w:pPr>
              <w:pStyle w:val="TableTextTables"/>
              <w:rPr>
                <w:b/>
                <w:color w:val="FFFFFF" w:themeColor="background1"/>
              </w:rPr>
            </w:pPr>
            <w:r w:rsidRPr="00AB4155">
              <w:rPr>
                <w:b/>
                <w:color w:val="FFFFFF" w:themeColor="background1"/>
              </w:rPr>
              <w:t>Item</w:t>
            </w:r>
          </w:p>
        </w:tc>
        <w:tc>
          <w:tcPr>
            <w:tcW w:w="4535" w:type="dxa"/>
            <w:shd w:val="clear" w:color="auto" w:fill="BB1B8D"/>
            <w:tcMar>
              <w:top w:w="0" w:type="dxa"/>
              <w:left w:w="170" w:type="dxa"/>
              <w:bottom w:w="0" w:type="dxa"/>
              <w:right w:w="85" w:type="dxa"/>
            </w:tcMar>
            <w:vAlign w:val="center"/>
          </w:tcPr>
          <w:p w14:paraId="1F06EF7C" w14:textId="77777777" w:rsidR="00E828EF" w:rsidRPr="00AB4155" w:rsidRDefault="00E828EF" w:rsidP="00EF71C9">
            <w:pPr>
              <w:pStyle w:val="TableTextTables"/>
              <w:rPr>
                <w:b/>
                <w:color w:val="FFFFFF" w:themeColor="background1"/>
              </w:rPr>
            </w:pPr>
            <w:r w:rsidRPr="00AB4155">
              <w:rPr>
                <w:b/>
                <w:color w:val="FFFFFF" w:themeColor="background1"/>
              </w:rPr>
              <w:t>Cosmetic Surgery Standards action</w:t>
            </w:r>
          </w:p>
        </w:tc>
        <w:tc>
          <w:tcPr>
            <w:tcW w:w="2665" w:type="dxa"/>
            <w:shd w:val="clear" w:color="auto" w:fill="BB1B8D"/>
            <w:tcMar>
              <w:top w:w="0" w:type="dxa"/>
              <w:left w:w="170" w:type="dxa"/>
              <w:bottom w:w="0" w:type="dxa"/>
              <w:right w:w="85" w:type="dxa"/>
            </w:tcMar>
            <w:vAlign w:val="center"/>
          </w:tcPr>
          <w:p w14:paraId="681E3419" w14:textId="77777777" w:rsidR="00E828EF" w:rsidRPr="00AB4155" w:rsidRDefault="00E828EF" w:rsidP="00EF71C9">
            <w:pPr>
              <w:pStyle w:val="TableTextTables"/>
              <w:rPr>
                <w:b/>
                <w:color w:val="FFFFFF" w:themeColor="background1"/>
              </w:rPr>
            </w:pPr>
            <w:r w:rsidRPr="00AB4155">
              <w:rPr>
                <w:b/>
                <w:color w:val="FFFFFF" w:themeColor="background1"/>
              </w:rPr>
              <w:t>Additional requirements</w:t>
            </w:r>
          </w:p>
        </w:tc>
      </w:tr>
      <w:tr w:rsidR="00E828EF" w:rsidRPr="00E828EF" w14:paraId="06A1F173" w14:textId="77777777" w:rsidTr="00AB4155">
        <w:trPr>
          <w:trHeight w:val="60"/>
        </w:trPr>
        <w:tc>
          <w:tcPr>
            <w:tcW w:w="1871" w:type="dxa"/>
            <w:shd w:val="clear" w:color="auto" w:fill="F5E6F1"/>
            <w:tcMar>
              <w:top w:w="170" w:type="dxa"/>
              <w:left w:w="85" w:type="dxa"/>
              <w:bottom w:w="227" w:type="dxa"/>
              <w:right w:w="170" w:type="dxa"/>
            </w:tcMar>
          </w:tcPr>
          <w:p w14:paraId="40FBC339" w14:textId="77777777" w:rsidR="00E828EF" w:rsidRPr="002054FE" w:rsidRDefault="00E828EF" w:rsidP="00EF71C9">
            <w:pPr>
              <w:pStyle w:val="TableTextTables"/>
              <w:rPr>
                <w:b/>
                <w:lang w:val="en-GB"/>
              </w:rPr>
            </w:pPr>
            <w:r w:rsidRPr="002054FE">
              <w:rPr>
                <w:b/>
                <w:lang w:val="en-GB"/>
              </w:rPr>
              <w:t xml:space="preserve">Suitability for cosmetic surgery </w:t>
            </w:r>
          </w:p>
        </w:tc>
        <w:tc>
          <w:tcPr>
            <w:tcW w:w="4535" w:type="dxa"/>
            <w:shd w:val="clear" w:color="auto" w:fill="auto"/>
            <w:tcMar>
              <w:top w:w="170" w:type="dxa"/>
              <w:left w:w="170" w:type="dxa"/>
              <w:bottom w:w="227" w:type="dxa"/>
              <w:right w:w="85" w:type="dxa"/>
            </w:tcMar>
          </w:tcPr>
          <w:p w14:paraId="157D37BA" w14:textId="77777777" w:rsidR="00E828EF" w:rsidRPr="002054FE" w:rsidRDefault="00E828EF" w:rsidP="002054FE">
            <w:pPr>
              <w:pStyle w:val="Tabletexthang"/>
              <w:rPr>
                <w:b/>
              </w:rPr>
            </w:pPr>
            <w:r w:rsidRPr="002054FE">
              <w:rPr>
                <w:b/>
              </w:rPr>
              <w:t>5.07</w:t>
            </w:r>
            <w:r w:rsidRPr="002054FE">
              <w:rPr>
                <w:b/>
              </w:rPr>
              <w:tab/>
              <w:t>The Service has processes to assure itself that clinicians conducting cosmetic surgery assess a patient’s suitability for the cosmetic surgery and is informed by:</w:t>
            </w:r>
          </w:p>
          <w:p w14:paraId="7FCFA220" w14:textId="77777777" w:rsidR="00E828EF" w:rsidRPr="002054FE" w:rsidRDefault="00E828EF" w:rsidP="00EF71C9">
            <w:pPr>
              <w:pStyle w:val="tablenumbered"/>
              <w:rPr>
                <w:b/>
              </w:rPr>
            </w:pPr>
            <w:r w:rsidRPr="002054FE">
              <w:rPr>
                <w:b/>
              </w:rPr>
              <w:t>a.</w:t>
            </w:r>
            <w:r w:rsidRPr="002054FE">
              <w:rPr>
                <w:b/>
              </w:rPr>
              <w:tab/>
              <w:t>A patient’s general health, including psychological health and other medical conditions that may impact suitability for cosmetic surgery</w:t>
            </w:r>
          </w:p>
          <w:p w14:paraId="5B8B915F" w14:textId="77777777" w:rsidR="00E828EF" w:rsidRPr="002054FE" w:rsidRDefault="00E828EF" w:rsidP="00EF71C9">
            <w:pPr>
              <w:pStyle w:val="tablenumbered"/>
              <w:rPr>
                <w:b/>
              </w:rPr>
            </w:pPr>
            <w:r w:rsidRPr="002054FE">
              <w:rPr>
                <w:b/>
              </w:rPr>
              <w:t>b.</w:t>
            </w:r>
            <w:r w:rsidRPr="002054FE">
              <w:rPr>
                <w:b/>
              </w:rPr>
              <w:tab/>
              <w:t>Where available, information from a patient’s referring clinician</w:t>
            </w:r>
          </w:p>
          <w:p w14:paraId="1454CB25" w14:textId="77777777" w:rsidR="00E828EF" w:rsidRPr="002054FE" w:rsidRDefault="00E828EF" w:rsidP="00EF71C9">
            <w:pPr>
              <w:pStyle w:val="tablenumbered"/>
              <w:rPr>
                <w:b/>
              </w:rPr>
            </w:pPr>
            <w:r w:rsidRPr="002054FE">
              <w:rPr>
                <w:b/>
              </w:rPr>
              <w:t>c.</w:t>
            </w:r>
            <w:r w:rsidRPr="002054FE">
              <w:rPr>
                <w:b/>
              </w:rPr>
              <w:tab/>
              <w:t xml:space="preserve">The patient’s goals </w:t>
            </w:r>
          </w:p>
          <w:p w14:paraId="140217EC" w14:textId="77777777" w:rsidR="00E828EF" w:rsidRPr="002054FE" w:rsidRDefault="00E828EF" w:rsidP="00EF71C9">
            <w:pPr>
              <w:pStyle w:val="tablenumbered"/>
              <w:rPr>
                <w:b/>
              </w:rPr>
            </w:pPr>
            <w:r w:rsidRPr="002054FE">
              <w:rPr>
                <w:b/>
              </w:rPr>
              <w:t>d.</w:t>
            </w:r>
            <w:r w:rsidRPr="002054FE">
              <w:rPr>
                <w:b/>
              </w:rPr>
              <w:tab/>
              <w:t>Outcomes of independent psychological assessments when further assessment is undertaken</w:t>
            </w:r>
          </w:p>
        </w:tc>
        <w:tc>
          <w:tcPr>
            <w:tcW w:w="2665" w:type="dxa"/>
            <w:shd w:val="clear" w:color="auto" w:fill="auto"/>
            <w:tcMar>
              <w:top w:w="170" w:type="dxa"/>
              <w:left w:w="170" w:type="dxa"/>
              <w:bottom w:w="227" w:type="dxa"/>
              <w:right w:w="85" w:type="dxa"/>
            </w:tcMar>
          </w:tcPr>
          <w:p w14:paraId="2F5C652B" w14:textId="11A0BFAD" w:rsidR="00E828EF" w:rsidRPr="0028021F" w:rsidRDefault="00553370" w:rsidP="00EF71C9">
            <w:pPr>
              <w:pStyle w:val="TableTextTables"/>
              <w:rPr>
                <w:lang w:val="en-GB"/>
              </w:rPr>
            </w:pPr>
            <w:r w:rsidRPr="0028021F">
              <w:rPr>
                <w:lang w:val="en-GB"/>
              </w:rPr>
              <w:t xml:space="preserve">Requires full compliance with this action as it is specific to the Cosmetic Surgery </w:t>
            </w:r>
            <w:r w:rsidRPr="0028021F">
              <w:t>Standards</w:t>
            </w:r>
          </w:p>
        </w:tc>
      </w:tr>
      <w:tr w:rsidR="00E828EF" w:rsidRPr="00E828EF" w14:paraId="3024ED5B" w14:textId="77777777" w:rsidTr="00AB4155">
        <w:trPr>
          <w:trHeight w:val="60"/>
        </w:trPr>
        <w:tc>
          <w:tcPr>
            <w:tcW w:w="1871" w:type="dxa"/>
            <w:shd w:val="clear" w:color="auto" w:fill="F5E6F1"/>
            <w:tcMar>
              <w:top w:w="170" w:type="dxa"/>
              <w:left w:w="85" w:type="dxa"/>
              <w:bottom w:w="227" w:type="dxa"/>
              <w:right w:w="170" w:type="dxa"/>
            </w:tcMar>
          </w:tcPr>
          <w:p w14:paraId="0DB87F8E" w14:textId="77777777" w:rsidR="00E828EF" w:rsidRPr="002054FE" w:rsidRDefault="00E828EF" w:rsidP="00EF71C9">
            <w:pPr>
              <w:pStyle w:val="TableTextTables"/>
              <w:rPr>
                <w:b/>
                <w:lang w:val="en-GB"/>
              </w:rPr>
            </w:pPr>
            <w:r w:rsidRPr="002054FE">
              <w:rPr>
                <w:b/>
                <w:lang w:val="en-GB"/>
              </w:rPr>
              <w:t xml:space="preserve">Planning and delivering comprehensive care </w:t>
            </w:r>
          </w:p>
        </w:tc>
        <w:tc>
          <w:tcPr>
            <w:tcW w:w="4535" w:type="dxa"/>
            <w:shd w:val="clear" w:color="auto" w:fill="auto"/>
            <w:tcMar>
              <w:top w:w="170" w:type="dxa"/>
              <w:left w:w="170" w:type="dxa"/>
              <w:bottom w:w="227" w:type="dxa"/>
              <w:right w:w="85" w:type="dxa"/>
            </w:tcMar>
          </w:tcPr>
          <w:p w14:paraId="7A021597" w14:textId="77777777" w:rsidR="00E828EF" w:rsidRPr="002054FE" w:rsidRDefault="00E828EF" w:rsidP="002054FE">
            <w:pPr>
              <w:pStyle w:val="Tabletexthang"/>
              <w:rPr>
                <w:b/>
              </w:rPr>
            </w:pPr>
            <w:r w:rsidRPr="002054FE">
              <w:rPr>
                <w:b/>
              </w:rPr>
              <w:t>5.09</w:t>
            </w:r>
            <w:r w:rsidRPr="002054FE">
              <w:rPr>
                <w:b/>
              </w:rPr>
              <w:tab/>
              <w:t xml:space="preserve">The Service has processes to assure </w:t>
            </w:r>
            <w:r w:rsidRPr="002054FE">
              <w:rPr>
                <w:b/>
              </w:rPr>
              <w:br/>
              <w:t xml:space="preserve">itself that clinicians conducting </w:t>
            </w:r>
            <w:r w:rsidRPr="002054FE">
              <w:rPr>
                <w:b/>
              </w:rPr>
              <w:br/>
              <w:t xml:space="preserve">cosmetic surgery: </w:t>
            </w:r>
          </w:p>
          <w:p w14:paraId="3D034C19" w14:textId="77777777" w:rsidR="00E828EF" w:rsidRPr="002054FE" w:rsidRDefault="00E828EF" w:rsidP="00EF71C9">
            <w:pPr>
              <w:pStyle w:val="tablenumbered"/>
              <w:rPr>
                <w:b/>
              </w:rPr>
            </w:pPr>
            <w:r w:rsidRPr="002054FE">
              <w:rPr>
                <w:b/>
              </w:rPr>
              <w:t>a.</w:t>
            </w:r>
            <w:r w:rsidRPr="002054FE">
              <w:rPr>
                <w:b/>
              </w:rPr>
              <w:tab/>
              <w:t xml:space="preserve">Develop and agree to a plan for the cosmetic surgery with the patient </w:t>
            </w:r>
          </w:p>
          <w:p w14:paraId="428B39DE" w14:textId="77777777" w:rsidR="00E828EF" w:rsidRPr="002054FE" w:rsidRDefault="00E828EF" w:rsidP="00EF71C9">
            <w:pPr>
              <w:pStyle w:val="tablenumbered"/>
              <w:rPr>
                <w:b/>
              </w:rPr>
            </w:pPr>
            <w:r w:rsidRPr="002054FE">
              <w:rPr>
                <w:b/>
              </w:rPr>
              <w:t>b.</w:t>
            </w:r>
            <w:r w:rsidRPr="002054FE">
              <w:rPr>
                <w:b/>
              </w:rPr>
              <w:tab/>
              <w:t xml:space="preserve">Deliver cosmetic surgery in </w:t>
            </w:r>
            <w:r w:rsidRPr="002054FE">
              <w:rPr>
                <w:b/>
              </w:rPr>
              <w:br/>
              <w:t xml:space="preserve">accordance with the agreed plan </w:t>
            </w:r>
            <w:r w:rsidRPr="002054FE">
              <w:rPr>
                <w:b/>
              </w:rPr>
              <w:br/>
              <w:t>for cosmetic surgery</w:t>
            </w:r>
          </w:p>
          <w:p w14:paraId="7237CADE" w14:textId="77777777" w:rsidR="00E828EF" w:rsidRPr="002054FE" w:rsidRDefault="00E828EF" w:rsidP="00EF71C9">
            <w:pPr>
              <w:pStyle w:val="tablenumbered"/>
              <w:rPr>
                <w:b/>
              </w:rPr>
            </w:pPr>
            <w:r w:rsidRPr="002054FE">
              <w:rPr>
                <w:b/>
              </w:rPr>
              <w:t>c.</w:t>
            </w:r>
            <w:r w:rsidRPr="002054FE">
              <w:rPr>
                <w:b/>
              </w:rPr>
              <w:tab/>
              <w:t xml:space="preserve">Monitor patients following </w:t>
            </w:r>
            <w:r w:rsidRPr="002054FE">
              <w:rPr>
                <w:b/>
              </w:rPr>
              <w:br/>
              <w:t>cosmetic surgery</w:t>
            </w:r>
          </w:p>
          <w:p w14:paraId="616EA2F4" w14:textId="77777777" w:rsidR="00E828EF" w:rsidRPr="002054FE" w:rsidRDefault="00E828EF" w:rsidP="00EF71C9">
            <w:pPr>
              <w:pStyle w:val="tablenumbered"/>
              <w:rPr>
                <w:b/>
              </w:rPr>
            </w:pPr>
            <w:r w:rsidRPr="002054FE">
              <w:rPr>
                <w:b/>
              </w:rPr>
              <w:t>d.</w:t>
            </w:r>
            <w:r w:rsidRPr="002054FE">
              <w:rPr>
                <w:b/>
              </w:rPr>
              <w:tab/>
              <w:t xml:space="preserve">Provide post-operative discharge instructions to the patient, including when to seek emergency assistance </w:t>
            </w:r>
          </w:p>
          <w:p w14:paraId="6C6E51AA" w14:textId="77777777" w:rsidR="00E828EF" w:rsidRPr="00E828EF" w:rsidRDefault="00E828EF" w:rsidP="00EF71C9">
            <w:pPr>
              <w:pStyle w:val="tablenumbered"/>
            </w:pPr>
            <w:r w:rsidRPr="002054FE">
              <w:rPr>
                <w:b/>
              </w:rPr>
              <w:t>e.</w:t>
            </w:r>
            <w:r w:rsidRPr="002054FE">
              <w:rPr>
                <w:b/>
              </w:rPr>
              <w:tab/>
              <w:t xml:space="preserve">Schedule follow-up health care </w:t>
            </w:r>
            <w:r w:rsidRPr="002054FE">
              <w:rPr>
                <w:b/>
              </w:rPr>
              <w:br/>
              <w:t>when required</w:t>
            </w:r>
          </w:p>
        </w:tc>
        <w:tc>
          <w:tcPr>
            <w:tcW w:w="2665" w:type="dxa"/>
            <w:shd w:val="clear" w:color="auto" w:fill="auto"/>
            <w:tcMar>
              <w:top w:w="170" w:type="dxa"/>
              <w:left w:w="170" w:type="dxa"/>
              <w:bottom w:w="227" w:type="dxa"/>
              <w:right w:w="85" w:type="dxa"/>
            </w:tcMar>
          </w:tcPr>
          <w:p w14:paraId="5F3FDD98" w14:textId="3AD2250A" w:rsidR="00E828EF" w:rsidRPr="0028021F" w:rsidRDefault="00553370" w:rsidP="00EF71C9">
            <w:pPr>
              <w:pStyle w:val="TableTextTables"/>
              <w:rPr>
                <w:lang w:val="en-GB"/>
              </w:rPr>
            </w:pPr>
            <w:r w:rsidRPr="0028021F">
              <w:rPr>
                <w:lang w:val="en-GB"/>
              </w:rPr>
              <w:t xml:space="preserve">Requires full compliance with this action as it is specific to the Cosmetic Surgery </w:t>
            </w:r>
            <w:r w:rsidRPr="0028021F">
              <w:t>Standards</w:t>
            </w:r>
          </w:p>
        </w:tc>
      </w:tr>
    </w:tbl>
    <w:p w14:paraId="07BC52A2" w14:textId="1AB0342A" w:rsidR="00CA37F6" w:rsidRDefault="00715EBA" w:rsidP="002054FE">
      <w:pPr>
        <w:rPr>
          <w:lang w:val="en-GB"/>
        </w:rPr>
      </w:pPr>
      <w:r>
        <w:rPr>
          <w:lang w:val="en-GB"/>
        </w:rPr>
        <w:br w:type="page"/>
      </w:r>
    </w:p>
    <w:p w14:paraId="1BB83E22" w14:textId="74CDE61A" w:rsidR="00CA37F6" w:rsidRPr="00CA37F6" w:rsidRDefault="00CA37F6" w:rsidP="00CA37F6">
      <w:pPr>
        <w:pStyle w:val="Heading1"/>
        <w:rPr>
          <w:lang w:val="en-GB"/>
        </w:rPr>
      </w:pPr>
      <w:bookmarkStart w:id="17" w:name="_Toc164328626"/>
      <w:r w:rsidRPr="00CA37F6">
        <w:rPr>
          <w:lang w:val="en-GB"/>
        </w:rPr>
        <w:lastRenderedPageBreak/>
        <w:t>Recognising and Responding to Acute Deterioration Standard</w:t>
      </w:r>
      <w:bookmarkEnd w:id="17"/>
    </w:p>
    <w:p w14:paraId="5878963D" w14:textId="77777777" w:rsidR="00E828EF" w:rsidRDefault="00E828EF" w:rsidP="00800D77">
      <w:pPr>
        <w:pStyle w:val="Heading2"/>
      </w:pPr>
      <w:bookmarkStart w:id="18" w:name="_Toc164328627"/>
      <w:r>
        <w:t xml:space="preserve">Detecting and recognising acute deterioration, </w:t>
      </w:r>
      <w:r>
        <w:br/>
        <w:t>and escalating care</w:t>
      </w:r>
      <w:bookmarkEnd w:id="18"/>
    </w:p>
    <w:p w14:paraId="2528745C" w14:textId="77777777" w:rsidR="00E828EF" w:rsidRDefault="00E828EF" w:rsidP="00800D77">
      <w:r>
        <w:t>Acute deterioration is detected and recognised, and action is taken to escalate care.</w:t>
      </w:r>
    </w:p>
    <w:p w14:paraId="1C04AADE" w14:textId="77777777" w:rsidR="00E828EF" w:rsidRDefault="00E828EF" w:rsidP="00800D77">
      <w:pPr>
        <w:pStyle w:val="ECHeading2"/>
      </w:pPr>
      <w:r>
        <w:t xml:space="preserve">Consumer outcome </w:t>
      </w:r>
    </w:p>
    <w:p w14:paraId="7A1BB806" w14:textId="77777777" w:rsidR="00E828EF" w:rsidRDefault="00E828EF" w:rsidP="00800D77">
      <w:r>
        <w:t xml:space="preserve">The people involved in my care are able to recognise and respond in a timely way if my </w:t>
      </w:r>
      <w:r>
        <w:br/>
        <w:t>health deteriorates.</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4535"/>
        <w:gridCol w:w="2665"/>
      </w:tblGrid>
      <w:tr w:rsidR="00E828EF" w14:paraId="6FCF6845" w14:textId="77777777" w:rsidTr="00AB4155">
        <w:trPr>
          <w:trHeight w:hRule="exact" w:val="340"/>
          <w:tblHeader/>
        </w:trPr>
        <w:tc>
          <w:tcPr>
            <w:tcW w:w="1871" w:type="dxa"/>
            <w:shd w:val="clear" w:color="auto" w:fill="732B90"/>
            <w:tcMar>
              <w:top w:w="0" w:type="dxa"/>
              <w:left w:w="85" w:type="dxa"/>
              <w:bottom w:w="0" w:type="dxa"/>
              <w:right w:w="85" w:type="dxa"/>
            </w:tcMar>
            <w:vAlign w:val="center"/>
          </w:tcPr>
          <w:p w14:paraId="146FB2EC" w14:textId="77777777" w:rsidR="00E828EF" w:rsidRPr="00AB4155" w:rsidRDefault="00E828EF" w:rsidP="002054FE">
            <w:pPr>
              <w:pStyle w:val="TableTextTables"/>
              <w:rPr>
                <w:b/>
                <w:color w:val="FFFFFF" w:themeColor="background1"/>
              </w:rPr>
            </w:pPr>
            <w:r w:rsidRPr="00AB4155">
              <w:rPr>
                <w:rStyle w:val="Strong"/>
                <w:bCs w:val="0"/>
                <w:color w:val="FFFFFF" w:themeColor="background1"/>
              </w:rPr>
              <w:t>Item</w:t>
            </w:r>
          </w:p>
        </w:tc>
        <w:tc>
          <w:tcPr>
            <w:tcW w:w="4535" w:type="dxa"/>
            <w:shd w:val="clear" w:color="auto" w:fill="732B90"/>
            <w:tcMar>
              <w:top w:w="0" w:type="dxa"/>
              <w:left w:w="170" w:type="dxa"/>
              <w:bottom w:w="0" w:type="dxa"/>
              <w:right w:w="85" w:type="dxa"/>
            </w:tcMar>
            <w:vAlign w:val="center"/>
          </w:tcPr>
          <w:p w14:paraId="1C2FBB36" w14:textId="77777777" w:rsidR="00E828EF" w:rsidRPr="00AB4155" w:rsidRDefault="00E828EF" w:rsidP="002054FE">
            <w:pPr>
              <w:pStyle w:val="TableTextTables"/>
              <w:rPr>
                <w:b/>
                <w:color w:val="FFFFFF" w:themeColor="background1"/>
              </w:rPr>
            </w:pPr>
            <w:r w:rsidRPr="00AB4155">
              <w:rPr>
                <w:b/>
                <w:color w:val="FFFFFF" w:themeColor="background1"/>
              </w:rPr>
              <w:t>Cosmetic Surgery Standards action</w:t>
            </w:r>
          </w:p>
        </w:tc>
        <w:tc>
          <w:tcPr>
            <w:tcW w:w="2665" w:type="dxa"/>
            <w:shd w:val="clear" w:color="auto" w:fill="732B90"/>
            <w:tcMar>
              <w:top w:w="0" w:type="dxa"/>
              <w:left w:w="170" w:type="dxa"/>
              <w:bottom w:w="0" w:type="dxa"/>
              <w:right w:w="85" w:type="dxa"/>
            </w:tcMar>
            <w:vAlign w:val="center"/>
          </w:tcPr>
          <w:p w14:paraId="6E2DD849" w14:textId="77777777" w:rsidR="00E828EF" w:rsidRPr="00AB4155" w:rsidRDefault="00E828EF" w:rsidP="002054FE">
            <w:pPr>
              <w:pStyle w:val="TableTextTables"/>
              <w:rPr>
                <w:b/>
                <w:color w:val="FFFFFF" w:themeColor="background1"/>
              </w:rPr>
            </w:pPr>
            <w:r w:rsidRPr="00AB4155">
              <w:rPr>
                <w:b/>
                <w:color w:val="FFFFFF" w:themeColor="background1"/>
              </w:rPr>
              <w:t>Additional requirements</w:t>
            </w:r>
          </w:p>
        </w:tc>
      </w:tr>
      <w:tr w:rsidR="00E828EF" w14:paraId="1B43282C" w14:textId="77777777" w:rsidTr="00AB4155">
        <w:trPr>
          <w:trHeight w:val="60"/>
        </w:trPr>
        <w:tc>
          <w:tcPr>
            <w:tcW w:w="1871" w:type="dxa"/>
            <w:shd w:val="clear" w:color="auto" w:fill="EAE2F0"/>
            <w:tcMar>
              <w:top w:w="170" w:type="dxa"/>
              <w:left w:w="85" w:type="dxa"/>
              <w:bottom w:w="227" w:type="dxa"/>
              <w:right w:w="170" w:type="dxa"/>
            </w:tcMar>
          </w:tcPr>
          <w:p w14:paraId="02E013BC" w14:textId="77777777" w:rsidR="00E828EF" w:rsidRPr="0028021F" w:rsidRDefault="00E828EF" w:rsidP="002054FE">
            <w:pPr>
              <w:pStyle w:val="TableTextTables"/>
            </w:pPr>
            <w:r w:rsidRPr="0028021F">
              <w:rPr>
                <w:rStyle w:val="Strong"/>
                <w:bCs w:val="0"/>
              </w:rPr>
              <w:t>Escalating care</w:t>
            </w:r>
          </w:p>
        </w:tc>
        <w:tc>
          <w:tcPr>
            <w:tcW w:w="4535" w:type="dxa"/>
            <w:shd w:val="clear" w:color="auto" w:fill="auto"/>
            <w:tcMar>
              <w:top w:w="170" w:type="dxa"/>
              <w:left w:w="170" w:type="dxa"/>
              <w:bottom w:w="227" w:type="dxa"/>
              <w:right w:w="85" w:type="dxa"/>
            </w:tcMar>
          </w:tcPr>
          <w:p w14:paraId="6961BFBA" w14:textId="77777777" w:rsidR="00E828EF" w:rsidRPr="0028021F" w:rsidRDefault="00E828EF" w:rsidP="002054FE">
            <w:pPr>
              <w:pStyle w:val="Tabletexthang"/>
              <w:rPr>
                <w:b/>
              </w:rPr>
            </w:pPr>
            <w:r w:rsidRPr="0028021F">
              <w:rPr>
                <w:b/>
              </w:rPr>
              <w:t>7.05</w:t>
            </w:r>
            <w:r w:rsidRPr="0028021F">
              <w:rPr>
                <w:b/>
              </w:rPr>
              <w:tab/>
              <w:t xml:space="preserve">The Service supports the workforce to: </w:t>
            </w:r>
          </w:p>
          <w:p w14:paraId="660537C2" w14:textId="77777777" w:rsidR="00E828EF" w:rsidRPr="0028021F" w:rsidRDefault="00E828EF" w:rsidP="002054FE">
            <w:pPr>
              <w:pStyle w:val="tablenumbered"/>
              <w:rPr>
                <w:b/>
              </w:rPr>
            </w:pPr>
            <w:r w:rsidRPr="0028021F">
              <w:rPr>
                <w:b/>
              </w:rPr>
              <w:t>a.</w:t>
            </w:r>
            <w:r w:rsidRPr="0028021F">
              <w:rPr>
                <w:b/>
              </w:rPr>
              <w:tab/>
              <w:t xml:space="preserve">Use protocols that specify criteria </w:t>
            </w:r>
            <w:r w:rsidRPr="0028021F">
              <w:rPr>
                <w:b/>
              </w:rPr>
              <w:br/>
              <w:t>and pathways for escalating care to call for emergency assistance in a timely way</w:t>
            </w:r>
          </w:p>
          <w:p w14:paraId="7139019D" w14:textId="77777777" w:rsidR="00E828EF" w:rsidRPr="0028021F" w:rsidRDefault="00E828EF" w:rsidP="002054FE">
            <w:pPr>
              <w:pStyle w:val="tablenumbered"/>
            </w:pPr>
            <w:r w:rsidRPr="0028021F">
              <w:rPr>
                <w:b/>
              </w:rPr>
              <w:t>b.</w:t>
            </w:r>
            <w:r w:rsidRPr="0028021F">
              <w:rPr>
                <w:b/>
              </w:rPr>
              <w:tab/>
              <w:t>Notify a patient’s other care providers, family and carers when their care is escalated</w:t>
            </w:r>
          </w:p>
        </w:tc>
        <w:tc>
          <w:tcPr>
            <w:tcW w:w="2665" w:type="dxa"/>
            <w:shd w:val="clear" w:color="auto" w:fill="auto"/>
            <w:tcMar>
              <w:top w:w="170" w:type="dxa"/>
              <w:left w:w="170" w:type="dxa"/>
              <w:bottom w:w="227" w:type="dxa"/>
              <w:right w:w="85" w:type="dxa"/>
            </w:tcMar>
          </w:tcPr>
          <w:p w14:paraId="10C52998" w14:textId="541EA3E0" w:rsidR="0022557C" w:rsidRPr="0028021F" w:rsidRDefault="0022557C" w:rsidP="0022557C">
            <w:pPr>
              <w:pStyle w:val="TableTextTables"/>
              <w:rPr>
                <w:lang w:val="en-GB"/>
              </w:rPr>
            </w:pPr>
            <w:r w:rsidRPr="0028021F">
              <w:rPr>
                <w:lang w:val="en-GB"/>
              </w:rPr>
              <w:t xml:space="preserve">This action is a </w:t>
            </w:r>
            <w:r w:rsidRPr="0028021F">
              <w:rPr>
                <w:b/>
                <w:bCs/>
                <w:lang w:val="en-GB"/>
              </w:rPr>
              <w:t>partial match</w:t>
            </w:r>
            <w:r w:rsidRPr="0028021F">
              <w:rPr>
                <w:lang w:val="en-GB"/>
              </w:rPr>
              <w:t xml:space="preserve"> to the </w:t>
            </w:r>
            <w:r w:rsidRPr="0028021F">
              <w:rPr>
                <w:b/>
                <w:bCs/>
                <w:lang w:val="en-GB"/>
              </w:rPr>
              <w:t xml:space="preserve">NSQHS Standards action </w:t>
            </w:r>
            <w:r w:rsidR="002655CC" w:rsidRPr="0028021F">
              <w:rPr>
                <w:b/>
                <w:bCs/>
                <w:lang w:val="en-GB"/>
              </w:rPr>
              <w:t>8.08</w:t>
            </w:r>
          </w:p>
          <w:p w14:paraId="32FFD2B5" w14:textId="611C35A3" w:rsidR="00E828EF" w:rsidRPr="002054FE" w:rsidRDefault="003C5F99" w:rsidP="0022557C">
            <w:pPr>
              <w:pStyle w:val="TableTextTables"/>
            </w:pPr>
            <w:r w:rsidRPr="0028021F">
              <w:rPr>
                <w:lang w:val="en-GB"/>
              </w:rPr>
              <w:t xml:space="preserve">This action only requires additional compliance strategies for </w:t>
            </w:r>
            <w:r w:rsidR="00336DC3" w:rsidRPr="0028021F">
              <w:rPr>
                <w:b/>
                <w:bCs/>
                <w:lang w:val="en-GB"/>
              </w:rPr>
              <w:t xml:space="preserve">notifying a </w:t>
            </w:r>
            <w:r w:rsidR="00503689" w:rsidRPr="0028021F">
              <w:rPr>
                <w:b/>
                <w:bCs/>
                <w:lang w:val="en-GB"/>
              </w:rPr>
              <w:t>patient’s</w:t>
            </w:r>
            <w:r w:rsidR="00336DC3" w:rsidRPr="0028021F">
              <w:rPr>
                <w:b/>
                <w:bCs/>
                <w:lang w:val="en-GB"/>
              </w:rPr>
              <w:t xml:space="preserve"> other care providers, family and carers when care is escalated</w:t>
            </w:r>
          </w:p>
        </w:tc>
      </w:tr>
    </w:tbl>
    <w:p w14:paraId="7A68DF38" w14:textId="77777777" w:rsidR="00E828EF" w:rsidRDefault="00E828EF" w:rsidP="00E828EF">
      <w:pPr>
        <w:pStyle w:val="ECBody1"/>
      </w:pPr>
    </w:p>
    <w:p w14:paraId="2448733D" w14:textId="77777777" w:rsidR="00E828EF" w:rsidRDefault="00E828EF" w:rsidP="00E828EF">
      <w:pPr>
        <w:pStyle w:val="ECBody1"/>
      </w:pPr>
    </w:p>
    <w:p w14:paraId="69B3CD17" w14:textId="77777777" w:rsidR="00800D77" w:rsidRDefault="00800D77" w:rsidP="00E828EF">
      <w:pPr>
        <w:pStyle w:val="ECHeading1"/>
        <w:sectPr w:rsidR="00800D77" w:rsidSect="00102457">
          <w:footnotePr>
            <w:numFmt w:val="chicago"/>
          </w:footnotePr>
          <w:pgSz w:w="11900" w:h="16840"/>
          <w:pgMar w:top="1735" w:right="1134" w:bottom="1418" w:left="1134" w:header="709" w:footer="851" w:gutter="0"/>
          <w:cols w:space="708"/>
          <w:docGrid w:linePitch="360"/>
        </w:sectPr>
      </w:pPr>
    </w:p>
    <w:p w14:paraId="0A79A36F" w14:textId="3DC27FF6" w:rsidR="00E828EF" w:rsidRDefault="00E828EF" w:rsidP="00800D77">
      <w:pPr>
        <w:pStyle w:val="Heading1"/>
      </w:pPr>
      <w:bookmarkStart w:id="19" w:name="_Toc164328628"/>
      <w:r>
        <w:lastRenderedPageBreak/>
        <w:t>Glossary</w:t>
      </w:r>
      <w:bookmarkEnd w:id="19"/>
    </w:p>
    <w:p w14:paraId="777F9C9B" w14:textId="77777777" w:rsidR="00E828EF" w:rsidRDefault="00E828EF" w:rsidP="00800D77">
      <w:r>
        <w:t xml:space="preserve">The following terminology has been adopted in the Cosmetic Surgery Module. A full list of glossary definitions can be found in the </w:t>
      </w:r>
      <w:r>
        <w:br/>
      </w:r>
      <w:hyperlink r:id="rId31" w:history="1">
        <w:r>
          <w:rPr>
            <w:rStyle w:val="Hyperlink"/>
          </w:rPr>
          <w:t>Cosmetic Surgery Standards</w:t>
        </w:r>
      </w:hyperlink>
      <w:r>
        <w:t>.</w:t>
      </w:r>
    </w:p>
    <w:p w14:paraId="75A7EADB" w14:textId="77777777" w:rsidR="00E828EF" w:rsidRDefault="00E828EF" w:rsidP="00800D77">
      <w:r>
        <w:rPr>
          <w:rStyle w:val="Strong"/>
        </w:rPr>
        <w:t>Clinician</w:t>
      </w:r>
      <w:r>
        <w:t xml:space="preserve"> – a registered health practitioner who is involved in the provision of cosmetic surgery. Clinicians may also be referred to as healthcare professionals, healthcare providers or practitioners, or a profession-specific description, for example ‘medical practitioner’, ‘surgeon’, ‘nurse’, or ‘psychologist’.</w:t>
      </w:r>
    </w:p>
    <w:p w14:paraId="45E9B9D6" w14:textId="77777777" w:rsidR="00E828EF" w:rsidRDefault="00E828EF" w:rsidP="00800D77">
      <w:r>
        <w:rPr>
          <w:rStyle w:val="Strong"/>
        </w:rPr>
        <w:t>Consumer</w:t>
      </w:r>
      <w:r>
        <w:t xml:space="preserve"> – a person, or carer of a person, who has or may potentially use a Service where cosmetic surgery is performed.</w:t>
      </w:r>
    </w:p>
    <w:p w14:paraId="328B1E56" w14:textId="77777777" w:rsidR="00E828EF" w:rsidRDefault="00E828EF" w:rsidP="00800D77">
      <w:r>
        <w:rPr>
          <w:rStyle w:val="Strong"/>
        </w:rPr>
        <w:t>Patient</w:t>
      </w:r>
      <w:r>
        <w:t xml:space="preserve"> – a person or group considering or receiving cosmetic surgery. ‘Client’ and all other relevant terms used by the cosmetic surgery industry are encompassed by the term ‘patient’.</w:t>
      </w:r>
    </w:p>
    <w:p w14:paraId="1E1789AF" w14:textId="77777777" w:rsidR="00E828EF" w:rsidRDefault="00E828EF" w:rsidP="00800D77">
      <w:r>
        <w:rPr>
          <w:rStyle w:val="Strong"/>
        </w:rPr>
        <w:t>Scope of clinical practice</w:t>
      </w:r>
      <w:r>
        <w:t xml:space="preserve"> – the extent of an individual clinician’s practice, based on the individual’s skills, knowledge, professional registration, performance and suitability, in the context of the needs, resources and capacity of the Service. This is distinct from ‘scope of practice’, a term commonly used by Australian health practitioner national boards and refers to an individual clinician’s practice. </w:t>
      </w:r>
    </w:p>
    <w:p w14:paraId="0809BA25" w14:textId="77777777" w:rsidR="00E828EF" w:rsidRDefault="00E828EF" w:rsidP="00800D77">
      <w:r>
        <w:rPr>
          <w:rStyle w:val="Strong"/>
        </w:rPr>
        <w:t>Service</w:t>
      </w:r>
      <w:r>
        <w:t xml:space="preserve"> – also referred to as a facility, means the physical setting where cosmetic surgery is performed. The organisation may vary in size (small day-only Services) and complexity (large organisations). Small day-only Services may be where the clinical, administrative and management operations of the organisation are the responsibility of a single person or a small number of people. This differs to complex organisations consisting of multiple clinicians who may not be directly employed, are part of the supporting workforce, or involved in the management and governance of the organisation. Wherever ‘Service’ is used, this refers to those responsible for leading and governing the Service and setting where cosmetic surgery is performed. How actions in the Cosmetic Surgery Standards are implemented by a Service will depend on its size, organisational complexity and relevant members of the workforce. </w:t>
      </w:r>
    </w:p>
    <w:p w14:paraId="7836E06D" w14:textId="77777777" w:rsidR="00E828EF" w:rsidRDefault="00E828EF" w:rsidP="00800D77">
      <w:r>
        <w:rPr>
          <w:rStyle w:val="Strong"/>
        </w:rPr>
        <w:t>Systems</w:t>
      </w:r>
      <w:r>
        <w:t xml:space="preserve"> – the resources, policies, processes and procedures which are organised, integrated, regulated and administered to accomplish a stated goal. Safety and quality systems will vary depending on the size of the Service and the risks associated with cosmetic surgery being delivered. The Cosmetic Surgery Standards rely on Services establishing safety and quality systems to minimise the risk of harm to patients.</w:t>
      </w:r>
    </w:p>
    <w:p w14:paraId="6C4C9E45" w14:textId="77777777" w:rsidR="00E828EF" w:rsidRDefault="00E828EF" w:rsidP="00800D77">
      <w:r>
        <w:rPr>
          <w:rStyle w:val="Strong"/>
        </w:rPr>
        <w:t>Workforce</w:t>
      </w:r>
      <w:r>
        <w:t xml:space="preserve"> – all people working in a Service, including clinicians and any other (medical or non-clinical) employed, credentialled or contracted, locum, agency, trainee, student, volunteer or peer workers.</w:t>
      </w:r>
    </w:p>
    <w:p w14:paraId="5260B3D4" w14:textId="77777777" w:rsidR="00E828EF" w:rsidRDefault="00E828EF" w:rsidP="00E828EF">
      <w:pPr>
        <w:pStyle w:val="ECBody3Glossary"/>
      </w:pPr>
    </w:p>
    <w:p w14:paraId="108C9EA0" w14:textId="77777777" w:rsidR="00800D77" w:rsidRDefault="00800D77" w:rsidP="00E828EF">
      <w:pPr>
        <w:pStyle w:val="ECHeading1"/>
        <w:sectPr w:rsidR="00800D77" w:rsidSect="00102457">
          <w:footnotePr>
            <w:numFmt w:val="chicago"/>
          </w:footnotePr>
          <w:pgSz w:w="11900" w:h="16840"/>
          <w:pgMar w:top="1735" w:right="1134" w:bottom="1418" w:left="1134" w:header="709" w:footer="851" w:gutter="0"/>
          <w:cols w:space="708"/>
          <w:docGrid w:linePitch="360"/>
        </w:sectPr>
      </w:pPr>
    </w:p>
    <w:p w14:paraId="62DFA21B" w14:textId="31CFEB8F" w:rsidR="00E828EF" w:rsidRDefault="00E828EF" w:rsidP="00800D77">
      <w:pPr>
        <w:pStyle w:val="Heading1"/>
      </w:pPr>
      <w:bookmarkStart w:id="20" w:name="_Toc164328629"/>
      <w:r>
        <w:lastRenderedPageBreak/>
        <w:t>Appendix</w:t>
      </w:r>
      <w:bookmarkEnd w:id="20"/>
    </w:p>
    <w:p w14:paraId="385ADAB3" w14:textId="485BB96D" w:rsidR="00E828EF" w:rsidRDefault="00E828EF" w:rsidP="00800D77">
      <w:pPr>
        <w:pStyle w:val="Heading2"/>
      </w:pPr>
      <w:bookmarkStart w:id="21" w:name="_Toc164328630"/>
      <w:r>
        <w:t xml:space="preserve">Mapping of the Cosmetic Surgery </w:t>
      </w:r>
      <w:r w:rsidRPr="00800D77">
        <w:t>Standards</w:t>
      </w:r>
      <w:r>
        <w:t xml:space="preserve"> to the NSQHS Standards</w:t>
      </w:r>
      <w:bookmarkEnd w:id="21"/>
      <w:r>
        <w:t xml:space="preserve"> </w:t>
      </w:r>
      <w:r w:rsidR="00290C62">
        <w:t>Summary</w:t>
      </w:r>
    </w:p>
    <w:p w14:paraId="1084C64B" w14:textId="77777777" w:rsidR="00E828EF" w:rsidRPr="006D11D1" w:rsidRDefault="00E828EF" w:rsidP="00E828EF">
      <w:pPr>
        <w:pStyle w:val="ECBody1"/>
        <w:rPr>
          <w:rFonts w:ascii="Arial" w:hAnsi="Arial" w:cs="Arial"/>
          <w:sz w:val="22"/>
          <w:szCs w:val="22"/>
        </w:rPr>
      </w:pPr>
      <w:r w:rsidRPr="006D11D1">
        <w:rPr>
          <w:rFonts w:ascii="Arial" w:hAnsi="Arial" w:cs="Arial"/>
          <w:sz w:val="22"/>
          <w:szCs w:val="22"/>
        </w:rPr>
        <w:t xml:space="preserve">There are 101 actions in the Cosmetic Surgery Standards; mapping against the NSQHS Standards identified: </w:t>
      </w:r>
    </w:p>
    <w:p w14:paraId="50B7E6BD" w14:textId="77777777" w:rsidR="00E828EF" w:rsidRPr="006D11D1" w:rsidRDefault="00E828EF" w:rsidP="00800D77">
      <w:pPr>
        <w:pStyle w:val="ListParagraph"/>
        <w:numPr>
          <w:ilvl w:val="0"/>
          <w:numId w:val="26"/>
        </w:numPr>
        <w:rPr>
          <w:rFonts w:ascii="Arial" w:hAnsi="Arial" w:cs="Arial"/>
        </w:rPr>
      </w:pPr>
      <w:r w:rsidRPr="006D11D1">
        <w:rPr>
          <w:rStyle w:val="Strong"/>
          <w:rFonts w:ascii="Arial" w:hAnsi="Arial" w:cs="Arial"/>
        </w:rPr>
        <w:t>81 actions</w:t>
      </w:r>
      <w:r w:rsidRPr="006D11D1">
        <w:rPr>
          <w:rFonts w:ascii="Arial" w:hAnsi="Arial" w:cs="Arial"/>
        </w:rPr>
        <w:t xml:space="preserve"> as a full match with actions in the NSQHS Standards </w:t>
      </w:r>
    </w:p>
    <w:p w14:paraId="3A1BC30B" w14:textId="77777777" w:rsidR="00E828EF" w:rsidRPr="006D11D1" w:rsidRDefault="00E828EF" w:rsidP="00800D77">
      <w:pPr>
        <w:pStyle w:val="ListParagraph"/>
        <w:numPr>
          <w:ilvl w:val="0"/>
          <w:numId w:val="26"/>
        </w:numPr>
        <w:rPr>
          <w:rFonts w:ascii="Arial" w:hAnsi="Arial" w:cs="Arial"/>
        </w:rPr>
      </w:pPr>
      <w:r w:rsidRPr="006D11D1">
        <w:rPr>
          <w:rStyle w:val="Strong"/>
          <w:rFonts w:ascii="Arial" w:hAnsi="Arial" w:cs="Arial"/>
        </w:rPr>
        <w:t>9 actions</w:t>
      </w:r>
      <w:r w:rsidRPr="006D11D1">
        <w:rPr>
          <w:rFonts w:ascii="Arial" w:hAnsi="Arial" w:cs="Arial"/>
        </w:rPr>
        <w:t xml:space="preserve"> as a partial match, where further implementation activities are required</w:t>
      </w:r>
    </w:p>
    <w:p w14:paraId="5616436D" w14:textId="77777777" w:rsidR="00E828EF" w:rsidRPr="006D11D1" w:rsidRDefault="00E828EF" w:rsidP="00800D77">
      <w:pPr>
        <w:pStyle w:val="ListParagraph"/>
        <w:numPr>
          <w:ilvl w:val="0"/>
          <w:numId w:val="26"/>
        </w:numPr>
        <w:rPr>
          <w:rFonts w:ascii="Arial" w:hAnsi="Arial" w:cs="Arial"/>
        </w:rPr>
      </w:pPr>
      <w:r w:rsidRPr="006D11D1">
        <w:rPr>
          <w:rStyle w:val="Strong"/>
          <w:rFonts w:ascii="Arial" w:hAnsi="Arial" w:cs="Arial"/>
        </w:rPr>
        <w:t>11 actions</w:t>
      </w:r>
      <w:r w:rsidRPr="006D11D1">
        <w:rPr>
          <w:rFonts w:ascii="Arial" w:hAnsi="Arial" w:cs="Arial"/>
        </w:rPr>
        <w:t xml:space="preserve"> having no direct match.</w:t>
      </w:r>
    </w:p>
    <w:p w14:paraId="2F25A2E9" w14:textId="7678B9D0" w:rsidR="00E828EF" w:rsidRPr="006D11D1" w:rsidRDefault="00290C62" w:rsidP="00800D77">
      <w:pPr>
        <w:rPr>
          <w:rFonts w:ascii="Arial" w:hAnsi="Arial" w:cs="Arial"/>
        </w:rPr>
      </w:pPr>
      <w:r w:rsidRPr="006D11D1">
        <w:rPr>
          <w:rFonts w:ascii="Arial" w:hAnsi="Arial" w:cs="Arial"/>
        </w:rPr>
        <w:t xml:space="preserve">The full mapping document can be found on the </w:t>
      </w:r>
      <w:hyperlink r:id="rId32" w:history="1">
        <w:r w:rsidR="00E828EF" w:rsidRPr="00DF58A1">
          <w:rPr>
            <w:rStyle w:val="Hyperlink"/>
            <w:rFonts w:ascii="Arial" w:hAnsi="Arial" w:cs="Arial"/>
          </w:rPr>
          <w:t>Commission’s website.</w:t>
        </w:r>
      </w:hyperlink>
    </w:p>
    <w:p w14:paraId="4914AD60" w14:textId="77777777" w:rsidR="006D761A" w:rsidRDefault="006D761A" w:rsidP="006D761A">
      <w:pPr>
        <w:pStyle w:val="Heading2SummaryiconspanHeadings"/>
        <w:ind w:left="0"/>
        <w:sectPr w:rsidR="006D761A" w:rsidSect="00102457">
          <w:footnotePr>
            <w:numFmt w:val="chicago"/>
          </w:footnotePr>
          <w:pgSz w:w="11900" w:h="16840"/>
          <w:pgMar w:top="1735" w:right="1134" w:bottom="1418" w:left="1134" w:header="709" w:footer="851" w:gutter="0"/>
          <w:cols w:space="708"/>
          <w:docGrid w:linePitch="360"/>
        </w:sectPr>
      </w:pPr>
    </w:p>
    <w:p w14:paraId="1A29AD01" w14:textId="77777777" w:rsidR="00EB5496" w:rsidRPr="00B85C66" w:rsidRDefault="00EB5496" w:rsidP="00EB5496">
      <w:pPr>
        <w:pStyle w:val="Heading2Headings"/>
        <w:rPr>
          <w:lang w:val="en-AU"/>
        </w:rPr>
      </w:pPr>
      <w:bookmarkStart w:id="22" w:name="_Toc164254575"/>
      <w:r w:rsidRPr="00B85C66">
        <w:rPr>
          <w:lang w:val="en-AU"/>
        </w:rPr>
        <w:lastRenderedPageBreak/>
        <w:t>Overview – mapping of Cosmetic Surgery Standards to NSQHS Standards</w:t>
      </w:r>
      <w:bookmarkEnd w:id="22"/>
      <w:r w:rsidRPr="00B85C66">
        <w:rPr>
          <w:lang w:val="en-AU"/>
        </w:rPr>
        <w:t xml:space="preserve"> </w:t>
      </w:r>
    </w:p>
    <w:p w14:paraId="4BDEC14D" w14:textId="77777777" w:rsidR="00EB5496" w:rsidRPr="00B85C66" w:rsidRDefault="00EB5496" w:rsidP="00EB5496">
      <w:pPr>
        <w:pStyle w:val="NormalBodystyles"/>
        <w:rPr>
          <w:lang w:val="en-AU"/>
        </w:rPr>
      </w:pPr>
    </w:p>
    <w:p w14:paraId="2847DB75" w14:textId="38EB55A4" w:rsidR="00465AB0" w:rsidRDefault="00C046D4" w:rsidP="00EB5496">
      <w:pPr>
        <w:pStyle w:val="Heading2SummaryiconspanHeadings"/>
        <w:ind w:left="0"/>
      </w:pPr>
      <w:r>
        <w:rPr>
          <w:noProof/>
          <w:lang w:val="en-AU"/>
        </w:rPr>
        <w:drawing>
          <wp:inline distT="0" distB="0" distL="0" distR="0" wp14:anchorId="37413D69" wp14:editId="5CDDADE6">
            <wp:extent cx="8299450" cy="5384800"/>
            <wp:effectExtent l="0" t="0" r="6350" b="0"/>
            <wp:docPr id="43" name="Picture 43" descr="This diagram shows a quick visual colour-coded overview in table format of the 101 actions in the Cosmetic Surgery Standards, of which 81 actions are a full match with actions in the NSQHS Standards, 9 actions are a partial match, where further implementation activities are required, and  11 actions have no direct match." title="Overview: mapping of Cosmetic Surgery Standards to NSQHS 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ACSQHC Map of Cosmetic Surgery Standards Mapping Overview edited.jpg"/>
                    <pic:cNvPicPr/>
                  </pic:nvPicPr>
                  <pic:blipFill rotWithShape="1">
                    <a:blip r:embed="rId33"/>
                    <a:srcRect l="4108" t="11960"/>
                    <a:stretch/>
                  </pic:blipFill>
                  <pic:spPr bwMode="auto">
                    <a:xfrm>
                      <a:off x="0" y="0"/>
                      <a:ext cx="8299450" cy="5384800"/>
                    </a:xfrm>
                    <a:prstGeom prst="rect">
                      <a:avLst/>
                    </a:prstGeom>
                    <a:ln>
                      <a:noFill/>
                    </a:ln>
                    <a:extLst>
                      <a:ext uri="{53640926-AAD7-44D8-BBD7-CCE9431645EC}">
                        <a14:shadowObscured xmlns:a14="http://schemas.microsoft.com/office/drawing/2010/main"/>
                      </a:ext>
                    </a:extLst>
                  </pic:spPr>
                </pic:pic>
              </a:graphicData>
            </a:graphic>
          </wp:inline>
        </w:drawing>
      </w:r>
    </w:p>
    <w:sectPr w:rsidR="00465AB0" w:rsidSect="00EB5496">
      <w:footnotePr>
        <w:numFmt w:val="chicago"/>
      </w:footnotePr>
      <w:pgSz w:w="16840" w:h="11900" w:orient="landscape"/>
      <w:pgMar w:top="1134" w:right="1735" w:bottom="1134"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DDA3D" w14:textId="77777777" w:rsidR="00747ED0" w:rsidRPr="008310DC" w:rsidRDefault="00747ED0" w:rsidP="008310DC">
      <w:pPr>
        <w:pStyle w:val="Footer"/>
      </w:pPr>
    </w:p>
  </w:endnote>
  <w:endnote w:type="continuationSeparator" w:id="0">
    <w:p w14:paraId="21D31564" w14:textId="77777777" w:rsidR="00747ED0" w:rsidRPr="008310DC" w:rsidRDefault="00747ED0" w:rsidP="008310DC">
      <w:pPr>
        <w:pStyle w:val="Footer"/>
      </w:pPr>
    </w:p>
  </w:endnote>
  <w:endnote w:type="continuationNotice" w:id="1">
    <w:p w14:paraId="256A2738" w14:textId="77777777" w:rsidR="00747ED0" w:rsidRDefault="00747E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Arial (Body)">
    <w:altName w:val="Arial"/>
    <w:charset w:val="00"/>
    <w:family w:val="roman"/>
    <w:pitch w:val="default"/>
  </w:font>
  <w:font w:name="Gotham Medium">
    <w:altName w:val="Arial"/>
    <w:panose1 w:val="00000000000000000000"/>
    <w:charset w:val="00"/>
    <w:family w:val="auto"/>
    <w:notTrueType/>
    <w:pitch w:val="variable"/>
    <w:sig w:usb0="A100007F" w:usb1="4000005B" w:usb2="00000000" w:usb3="00000000" w:csb0="0000009B" w:csb1="00000000"/>
  </w:font>
  <w:font w:name="Lucida Grande">
    <w:charset w:val="00"/>
    <w:family w:val="swiss"/>
    <w:pitch w:val="variable"/>
    <w:sig w:usb0="E1000AEF" w:usb1="5000A1FF" w:usb2="00000000" w:usb3="00000000" w:csb0="000001BF" w:csb1="00000000"/>
  </w:font>
  <w:font w:name="Open Sans">
    <w:charset w:val="00"/>
    <w:family w:val="swiss"/>
    <w:pitch w:val="variable"/>
    <w:sig w:usb0="E00002EF" w:usb1="4000205B" w:usb2="00000028" w:usb3="00000000" w:csb0="0000019F" w:csb1="00000000"/>
  </w:font>
  <w:font w:name="ProximaNova-Bold">
    <w:altName w:val="Arial"/>
    <w:charset w:val="4D"/>
    <w:family w:val="auto"/>
    <w:pitch w:val="default"/>
    <w:sig w:usb0="00000003" w:usb1="00000000" w:usb2="00000000" w:usb3="00000000" w:csb0="00000001" w:csb1="00000000"/>
  </w:font>
  <w:font w:name="Calluna-Regular">
    <w:altName w:val="Calibri"/>
    <w:panose1 w:val="00000000000000000000"/>
    <w:charset w:val="4D"/>
    <w:family w:val="auto"/>
    <w:notTrueType/>
    <w:pitch w:val="default"/>
    <w:sig w:usb0="00000003" w:usb1="00000000" w:usb2="00000000" w:usb3="00000000" w:csb0="00000001" w:csb1="00000000"/>
  </w:font>
  <w:font w:name="ProximaNova-Extrabld">
    <w:altName w:val="Calibri"/>
    <w:charset w:val="4D"/>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8AA2" w14:textId="77777777" w:rsidR="00760AA3" w:rsidRDefault="00760AA3" w:rsidP="00D84622">
    <w:pPr>
      <w:pStyle w:val="Footer"/>
    </w:pPr>
  </w:p>
  <w:p w14:paraId="01472120" w14:textId="77777777" w:rsidR="00760AA3" w:rsidRDefault="00760AA3"/>
  <w:p w14:paraId="20CE8BEA" w14:textId="77777777" w:rsidR="00760AA3" w:rsidRDefault="00760AA3"/>
  <w:p w14:paraId="2EDA47D5" w14:textId="77777777" w:rsidR="00760AA3" w:rsidRDefault="00760A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DA17" w14:textId="361BF9F4" w:rsidR="00760AA3" w:rsidRPr="00B669A9" w:rsidRDefault="00760AA3" w:rsidP="00B669A9">
    <w:pPr>
      <w:pStyle w:val="Footer"/>
    </w:pPr>
    <w:r w:rsidRPr="00EA3AA7">
      <w:t xml:space="preserve">Cosmetic Surgery </w:t>
    </w:r>
    <w:r>
      <w:t>Module</w:t>
    </w:r>
    <w:r w:rsidRPr="00D84622">
      <w:tab/>
    </w:r>
    <w:r w:rsidRPr="00D84622">
      <w:fldChar w:fldCharType="begin"/>
    </w:r>
    <w:r w:rsidRPr="00D84622">
      <w:instrText xml:space="preserve"> PAGE   \* MERGEFORMAT </w:instrText>
    </w:r>
    <w:r w:rsidRPr="00D84622">
      <w:fldChar w:fldCharType="separate"/>
    </w:r>
    <w:r>
      <w:t>57</w:t>
    </w:r>
    <w:r w:rsidRPr="00D8462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9610" w14:textId="77777777" w:rsidR="00760AA3" w:rsidRPr="006D4CD4" w:rsidRDefault="00760AA3" w:rsidP="006D4CD4">
    <w:pPr>
      <w:pStyle w:val="Footer"/>
    </w:pPr>
    <w:r>
      <w:t>Report name goes here</w:t>
    </w:r>
    <w:r w:rsidRPr="00D84622">
      <w:tab/>
    </w:r>
    <w:r w:rsidRPr="00D84622">
      <w:fldChar w:fldCharType="begin"/>
    </w:r>
    <w:r w:rsidRPr="00D84622">
      <w:instrText xml:space="preserve"> PAGE   \* MERGEFORMAT </w:instrText>
    </w:r>
    <w:r w:rsidRPr="00D84622">
      <w:fldChar w:fldCharType="separate"/>
    </w:r>
    <w:r>
      <w:t>2</w:t>
    </w:r>
    <w:r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DA8DD" w14:textId="77777777" w:rsidR="00747ED0" w:rsidRDefault="00747ED0" w:rsidP="000B0274">
      <w:r>
        <w:separator/>
      </w:r>
    </w:p>
    <w:p w14:paraId="6A83F987" w14:textId="77777777" w:rsidR="00747ED0" w:rsidRDefault="00747ED0"/>
    <w:p w14:paraId="6408A8AD" w14:textId="77777777" w:rsidR="00747ED0" w:rsidRDefault="00747ED0"/>
    <w:p w14:paraId="3B3BDF9F" w14:textId="77777777" w:rsidR="00747ED0" w:rsidRDefault="00747ED0"/>
    <w:p w14:paraId="02FEAA63" w14:textId="77777777" w:rsidR="00747ED0" w:rsidRDefault="00747ED0"/>
  </w:footnote>
  <w:footnote w:type="continuationSeparator" w:id="0">
    <w:p w14:paraId="3C4092DE" w14:textId="77777777" w:rsidR="00747ED0" w:rsidRDefault="00747ED0" w:rsidP="000B0274">
      <w:r>
        <w:continuationSeparator/>
      </w:r>
    </w:p>
    <w:p w14:paraId="144F14DC" w14:textId="77777777" w:rsidR="00747ED0" w:rsidRDefault="00747ED0"/>
    <w:p w14:paraId="38DFF6F7" w14:textId="77777777" w:rsidR="00747ED0" w:rsidRDefault="00747ED0"/>
    <w:p w14:paraId="031240AB" w14:textId="77777777" w:rsidR="00747ED0" w:rsidRDefault="00747ED0"/>
    <w:p w14:paraId="6E4798EA" w14:textId="77777777" w:rsidR="00747ED0" w:rsidRDefault="00747E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753F" w14:textId="77777777" w:rsidR="00760AA3" w:rsidRDefault="00760AA3"/>
  <w:p w14:paraId="16FACA61" w14:textId="77777777" w:rsidR="00760AA3" w:rsidRDefault="00760AA3"/>
  <w:p w14:paraId="2E32B292" w14:textId="77777777" w:rsidR="00760AA3" w:rsidRDefault="00760AA3"/>
  <w:p w14:paraId="69F961E1" w14:textId="77777777" w:rsidR="00760AA3" w:rsidRDefault="00760A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52E9" w14:textId="12E1F4F1" w:rsidR="00760AA3" w:rsidRPr="002E4B35" w:rsidRDefault="00760AA3" w:rsidP="002E4B35">
    <w:pPr>
      <w:tabs>
        <w:tab w:val="left" w:pos="7062"/>
        <w:tab w:val="right" w:pos="9638"/>
      </w:tabs>
      <w:spacing w:before="0"/>
      <w:ind w:left="-142"/>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5B28" w14:textId="5DA64F1C" w:rsidR="00760AA3" w:rsidRDefault="00760AA3">
    <w:pPr>
      <w:pStyle w:val="Header"/>
    </w:pPr>
    <w:r w:rsidRPr="00FB375B">
      <w:rPr>
        <w:rFonts w:eastAsiaTheme="majorEastAsia"/>
        <w:noProof/>
        <w:lang w:val="en-US" w:eastAsia="en-US"/>
      </w:rPr>
      <w:drawing>
        <wp:inline distT="0" distB="0" distL="0" distR="0" wp14:anchorId="5035C408" wp14:editId="39AE3F19">
          <wp:extent cx="4307149" cy="543600"/>
          <wp:effectExtent l="0" t="0" r="0" b="2540"/>
          <wp:docPr id="11" name="Picture 11"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1F35" w14:textId="77777777" w:rsidR="00760AA3" w:rsidRDefault="00760AA3">
    <w:pPr>
      <w:pStyle w:val="Header"/>
    </w:pPr>
    <w:r w:rsidRPr="00FB375B">
      <w:rPr>
        <w:rFonts w:eastAsiaTheme="majorEastAsia"/>
        <w:noProof/>
        <w:lang w:val="en-US" w:eastAsia="en-US"/>
      </w:rPr>
      <w:drawing>
        <wp:inline distT="0" distB="0" distL="0" distR="0" wp14:anchorId="3F25687E" wp14:editId="1926814B">
          <wp:extent cx="4307149" cy="543600"/>
          <wp:effectExtent l="0" t="0" r="0" b="2540"/>
          <wp:docPr id="1064948675" name="Picture 1064948675"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B08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D478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8266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1ED6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9C88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422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3857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62D4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E6F7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B079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1491364F"/>
    <w:multiLevelType w:val="hybridMultilevel"/>
    <w:tmpl w:val="55C6E26A"/>
    <w:lvl w:ilvl="0" w:tplc="299E0C1C">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A9483B"/>
    <w:multiLevelType w:val="hybridMultilevel"/>
    <w:tmpl w:val="FE4A2640"/>
    <w:lvl w:ilvl="0" w:tplc="0F081FB4">
      <w:start w:val="1"/>
      <w:numFmt w:val="lowerLetter"/>
      <w:pStyle w:val="TableStyle3"/>
      <w:lvlText w:val="%1."/>
      <w:lvlJc w:val="left"/>
      <w:pPr>
        <w:tabs>
          <w:tab w:val="num" w:pos="567"/>
        </w:tabs>
        <w:ind w:left="851" w:hanging="284"/>
      </w:pPr>
      <w:rPr>
        <w:rFonts w:hint="default"/>
      </w:rPr>
    </w:lvl>
    <w:lvl w:ilvl="1" w:tplc="FFFFFFFF">
      <w:start w:val="1"/>
      <w:numFmt w:val="bullet"/>
      <w:lvlText w:val="o"/>
      <w:lvlJc w:val="left"/>
      <w:pPr>
        <w:ind w:left="2639" w:hanging="360"/>
      </w:pPr>
      <w:rPr>
        <w:rFonts w:ascii="Courier New" w:hAnsi="Courier New" w:cs="Courier New" w:hint="default"/>
      </w:rPr>
    </w:lvl>
    <w:lvl w:ilvl="2" w:tplc="FFFFFFFF">
      <w:start w:val="1"/>
      <w:numFmt w:val="bullet"/>
      <w:lvlText w:val=""/>
      <w:lvlJc w:val="left"/>
      <w:pPr>
        <w:ind w:left="3359" w:hanging="360"/>
      </w:pPr>
      <w:rPr>
        <w:rFonts w:ascii="Wingdings" w:hAnsi="Wingdings" w:cs="Wingdings" w:hint="default"/>
      </w:rPr>
    </w:lvl>
    <w:lvl w:ilvl="3" w:tplc="FFFFFFFF" w:tentative="1">
      <w:start w:val="1"/>
      <w:numFmt w:val="bullet"/>
      <w:lvlText w:val=""/>
      <w:lvlJc w:val="left"/>
      <w:pPr>
        <w:ind w:left="4079" w:hanging="360"/>
      </w:pPr>
      <w:rPr>
        <w:rFonts w:ascii="Symbol" w:hAnsi="Symbol" w:cs="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cs="Wingdings" w:hint="default"/>
      </w:rPr>
    </w:lvl>
    <w:lvl w:ilvl="6" w:tplc="FFFFFFFF" w:tentative="1">
      <w:start w:val="1"/>
      <w:numFmt w:val="bullet"/>
      <w:lvlText w:val=""/>
      <w:lvlJc w:val="left"/>
      <w:pPr>
        <w:ind w:left="6239" w:hanging="360"/>
      </w:pPr>
      <w:rPr>
        <w:rFonts w:ascii="Symbol" w:hAnsi="Symbol" w:cs="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cs="Wingdings" w:hint="default"/>
      </w:rPr>
    </w:lvl>
  </w:abstractNum>
  <w:abstractNum w:abstractNumId="15" w15:restartNumberingAfterBreak="0">
    <w:nsid w:val="1FE70E90"/>
    <w:multiLevelType w:val="hybridMultilevel"/>
    <w:tmpl w:val="45227670"/>
    <w:lvl w:ilvl="0" w:tplc="299E0C1C">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328E3597"/>
    <w:multiLevelType w:val="hybridMultilevel"/>
    <w:tmpl w:val="2386389A"/>
    <w:lvl w:ilvl="0" w:tplc="299E0C1C">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3B34EFE"/>
    <w:multiLevelType w:val="hybridMultilevel"/>
    <w:tmpl w:val="4D1C8DDC"/>
    <w:lvl w:ilvl="0" w:tplc="299E0C1C">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7E7FE9"/>
    <w:multiLevelType w:val="hybridMultilevel"/>
    <w:tmpl w:val="AE7AF8CE"/>
    <w:lvl w:ilvl="0" w:tplc="299E0C1C">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2F7000"/>
    <w:multiLevelType w:val="hybridMultilevel"/>
    <w:tmpl w:val="0AB63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A163B7"/>
    <w:multiLevelType w:val="hybridMultilevel"/>
    <w:tmpl w:val="275C69AC"/>
    <w:lvl w:ilvl="0" w:tplc="0CEE6FA8">
      <w:start w:val="1"/>
      <w:numFmt w:val="bullet"/>
      <w:pStyle w:val="TableStyle4"/>
      <w:lvlText w:val=""/>
      <w:lvlJc w:val="left"/>
      <w:pPr>
        <w:ind w:left="1134" w:hanging="283"/>
      </w:pPr>
      <w:rPr>
        <w:rFonts w:ascii="Symbol" w:hAnsi="Symbol" w:hint="default"/>
        <w:color w:val="000000" w:themeColor="text1"/>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3" w15:restartNumberingAfterBreak="0">
    <w:nsid w:val="7DAD1A21"/>
    <w:multiLevelType w:val="hybridMultilevel"/>
    <w:tmpl w:val="2872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356358">
    <w:abstractNumId w:val="10"/>
  </w:num>
  <w:num w:numId="2" w16cid:durableId="31853868">
    <w:abstractNumId w:val="11"/>
  </w:num>
  <w:num w:numId="3" w16cid:durableId="935601215">
    <w:abstractNumId w:val="16"/>
  </w:num>
  <w:num w:numId="4" w16cid:durableId="1862469350">
    <w:abstractNumId w:val="18"/>
  </w:num>
  <w:num w:numId="5" w16cid:durableId="2044868050">
    <w:abstractNumId w:val="9"/>
  </w:num>
  <w:num w:numId="6" w16cid:durableId="1417242528">
    <w:abstractNumId w:val="22"/>
  </w:num>
  <w:num w:numId="7" w16cid:durableId="2099523895">
    <w:abstractNumId w:val="14"/>
    <w:lvlOverride w:ilvl="0">
      <w:startOverride w:val="1"/>
    </w:lvlOverride>
  </w:num>
  <w:num w:numId="8" w16cid:durableId="831413080">
    <w:abstractNumId w:val="14"/>
    <w:lvlOverride w:ilvl="0">
      <w:startOverride w:val="1"/>
    </w:lvlOverride>
  </w:num>
  <w:num w:numId="9" w16cid:durableId="83647032">
    <w:abstractNumId w:val="14"/>
    <w:lvlOverride w:ilvl="0">
      <w:startOverride w:val="1"/>
    </w:lvlOverride>
  </w:num>
  <w:num w:numId="10" w16cid:durableId="881330201">
    <w:abstractNumId w:val="14"/>
    <w:lvlOverride w:ilvl="0">
      <w:startOverride w:val="1"/>
    </w:lvlOverride>
  </w:num>
  <w:num w:numId="11" w16cid:durableId="701983443">
    <w:abstractNumId w:val="14"/>
    <w:lvlOverride w:ilvl="0">
      <w:startOverride w:val="1"/>
    </w:lvlOverride>
  </w:num>
  <w:num w:numId="12" w16cid:durableId="663246297">
    <w:abstractNumId w:val="14"/>
  </w:num>
  <w:num w:numId="13" w16cid:durableId="1675306363">
    <w:abstractNumId w:val="14"/>
    <w:lvlOverride w:ilvl="0">
      <w:startOverride w:val="1"/>
    </w:lvlOverride>
  </w:num>
  <w:num w:numId="14" w16cid:durableId="1388839948">
    <w:abstractNumId w:val="14"/>
    <w:lvlOverride w:ilvl="0">
      <w:startOverride w:val="1"/>
    </w:lvlOverride>
  </w:num>
  <w:num w:numId="15" w16cid:durableId="1419329957">
    <w:abstractNumId w:val="14"/>
    <w:lvlOverride w:ilvl="0">
      <w:startOverride w:val="1"/>
    </w:lvlOverride>
  </w:num>
  <w:num w:numId="16" w16cid:durableId="174923978">
    <w:abstractNumId w:val="21"/>
  </w:num>
  <w:num w:numId="17" w16cid:durableId="1169058038">
    <w:abstractNumId w:val="0"/>
  </w:num>
  <w:num w:numId="18" w16cid:durableId="2111270983">
    <w:abstractNumId w:val="1"/>
  </w:num>
  <w:num w:numId="19" w16cid:durableId="1435857945">
    <w:abstractNumId w:val="2"/>
  </w:num>
  <w:num w:numId="20" w16cid:durableId="630747360">
    <w:abstractNumId w:val="3"/>
  </w:num>
  <w:num w:numId="21" w16cid:durableId="2032413686">
    <w:abstractNumId w:val="8"/>
  </w:num>
  <w:num w:numId="22" w16cid:durableId="1374109698">
    <w:abstractNumId w:val="4"/>
  </w:num>
  <w:num w:numId="23" w16cid:durableId="558588494">
    <w:abstractNumId w:val="5"/>
  </w:num>
  <w:num w:numId="24" w16cid:durableId="1781533523">
    <w:abstractNumId w:val="6"/>
  </w:num>
  <w:num w:numId="25" w16cid:durableId="1628470686">
    <w:abstractNumId w:val="7"/>
  </w:num>
  <w:num w:numId="26" w16cid:durableId="1774863193">
    <w:abstractNumId w:val="23"/>
  </w:num>
  <w:num w:numId="27" w16cid:durableId="269167208">
    <w:abstractNumId w:val="12"/>
  </w:num>
  <w:num w:numId="28" w16cid:durableId="1458523284">
    <w:abstractNumId w:val="15"/>
  </w:num>
  <w:num w:numId="29" w16cid:durableId="2046054167">
    <w:abstractNumId w:val="13"/>
  </w:num>
  <w:num w:numId="30" w16cid:durableId="1263220728">
    <w:abstractNumId w:val="19"/>
  </w:num>
  <w:num w:numId="31" w16cid:durableId="601303800">
    <w:abstractNumId w:val="17"/>
  </w:num>
  <w:num w:numId="32" w16cid:durableId="653070542">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22"/>
    <w:rsid w:val="00002668"/>
    <w:rsid w:val="00002692"/>
    <w:rsid w:val="00003743"/>
    <w:rsid w:val="000077FA"/>
    <w:rsid w:val="0001053B"/>
    <w:rsid w:val="00012782"/>
    <w:rsid w:val="0001573E"/>
    <w:rsid w:val="00020DBD"/>
    <w:rsid w:val="00025A92"/>
    <w:rsid w:val="0003162D"/>
    <w:rsid w:val="00034861"/>
    <w:rsid w:val="00036AB8"/>
    <w:rsid w:val="00036F5E"/>
    <w:rsid w:val="000406F8"/>
    <w:rsid w:val="00041CC2"/>
    <w:rsid w:val="00042146"/>
    <w:rsid w:val="000423A3"/>
    <w:rsid w:val="00043671"/>
    <w:rsid w:val="00050775"/>
    <w:rsid w:val="00051BFF"/>
    <w:rsid w:val="00053B8C"/>
    <w:rsid w:val="00054B74"/>
    <w:rsid w:val="00054E14"/>
    <w:rsid w:val="00067456"/>
    <w:rsid w:val="00067CE9"/>
    <w:rsid w:val="00070812"/>
    <w:rsid w:val="000720AA"/>
    <w:rsid w:val="00074553"/>
    <w:rsid w:val="0008065C"/>
    <w:rsid w:val="00083CD1"/>
    <w:rsid w:val="00084336"/>
    <w:rsid w:val="00090EFF"/>
    <w:rsid w:val="00091FC5"/>
    <w:rsid w:val="00092229"/>
    <w:rsid w:val="00092E65"/>
    <w:rsid w:val="00095DA6"/>
    <w:rsid w:val="00095DC5"/>
    <w:rsid w:val="000A3F0D"/>
    <w:rsid w:val="000A4C01"/>
    <w:rsid w:val="000A6905"/>
    <w:rsid w:val="000B0274"/>
    <w:rsid w:val="000B0B30"/>
    <w:rsid w:val="000B0BFE"/>
    <w:rsid w:val="000B4610"/>
    <w:rsid w:val="000B7464"/>
    <w:rsid w:val="000B79D3"/>
    <w:rsid w:val="000C1722"/>
    <w:rsid w:val="000C1DD4"/>
    <w:rsid w:val="000C3522"/>
    <w:rsid w:val="000C544C"/>
    <w:rsid w:val="000C5B0F"/>
    <w:rsid w:val="000C75C1"/>
    <w:rsid w:val="000C7A69"/>
    <w:rsid w:val="000D017D"/>
    <w:rsid w:val="000D6372"/>
    <w:rsid w:val="000D6405"/>
    <w:rsid w:val="000E15DA"/>
    <w:rsid w:val="000E22B8"/>
    <w:rsid w:val="000E2F2E"/>
    <w:rsid w:val="000F0AB6"/>
    <w:rsid w:val="000F0D77"/>
    <w:rsid w:val="000F29C7"/>
    <w:rsid w:val="000F3D74"/>
    <w:rsid w:val="000F6B39"/>
    <w:rsid w:val="001000DE"/>
    <w:rsid w:val="001017EF"/>
    <w:rsid w:val="00102457"/>
    <w:rsid w:val="00105878"/>
    <w:rsid w:val="0010673D"/>
    <w:rsid w:val="00106CF5"/>
    <w:rsid w:val="00115403"/>
    <w:rsid w:val="00115E61"/>
    <w:rsid w:val="00115FBE"/>
    <w:rsid w:val="00120FCB"/>
    <w:rsid w:val="00125C9B"/>
    <w:rsid w:val="001271B4"/>
    <w:rsid w:val="001305ED"/>
    <w:rsid w:val="00131E52"/>
    <w:rsid w:val="00137F19"/>
    <w:rsid w:val="00140002"/>
    <w:rsid w:val="00143A76"/>
    <w:rsid w:val="00145BE3"/>
    <w:rsid w:val="00146A66"/>
    <w:rsid w:val="001507C6"/>
    <w:rsid w:val="00153238"/>
    <w:rsid w:val="00157B31"/>
    <w:rsid w:val="00160453"/>
    <w:rsid w:val="00163A86"/>
    <w:rsid w:val="001652A9"/>
    <w:rsid w:val="00165A8B"/>
    <w:rsid w:val="00167F18"/>
    <w:rsid w:val="001720EB"/>
    <w:rsid w:val="00174141"/>
    <w:rsid w:val="00174535"/>
    <w:rsid w:val="0017675C"/>
    <w:rsid w:val="00182C0F"/>
    <w:rsid w:val="00182C61"/>
    <w:rsid w:val="00183675"/>
    <w:rsid w:val="00184C86"/>
    <w:rsid w:val="001852DE"/>
    <w:rsid w:val="001859B5"/>
    <w:rsid w:val="001860B2"/>
    <w:rsid w:val="001918F7"/>
    <w:rsid w:val="00191BDC"/>
    <w:rsid w:val="001921ED"/>
    <w:rsid w:val="00195458"/>
    <w:rsid w:val="001962DE"/>
    <w:rsid w:val="00196A54"/>
    <w:rsid w:val="00196AC8"/>
    <w:rsid w:val="001A11A5"/>
    <w:rsid w:val="001A1EBD"/>
    <w:rsid w:val="001A4A68"/>
    <w:rsid w:val="001A5317"/>
    <w:rsid w:val="001B15D1"/>
    <w:rsid w:val="001B23AE"/>
    <w:rsid w:val="001B3443"/>
    <w:rsid w:val="001B7C8B"/>
    <w:rsid w:val="001C0F51"/>
    <w:rsid w:val="001C6CA1"/>
    <w:rsid w:val="001D0D87"/>
    <w:rsid w:val="001E058D"/>
    <w:rsid w:val="001E1042"/>
    <w:rsid w:val="001E38B8"/>
    <w:rsid w:val="001E77C4"/>
    <w:rsid w:val="001F5AD3"/>
    <w:rsid w:val="001F6D10"/>
    <w:rsid w:val="002014F7"/>
    <w:rsid w:val="002054FE"/>
    <w:rsid w:val="002108C7"/>
    <w:rsid w:val="002128D9"/>
    <w:rsid w:val="002132AE"/>
    <w:rsid w:val="00214A25"/>
    <w:rsid w:val="002166E4"/>
    <w:rsid w:val="00220B50"/>
    <w:rsid w:val="00221351"/>
    <w:rsid w:val="0022557C"/>
    <w:rsid w:val="002255F7"/>
    <w:rsid w:val="0023112B"/>
    <w:rsid w:val="0023231A"/>
    <w:rsid w:val="00236835"/>
    <w:rsid w:val="0023690A"/>
    <w:rsid w:val="00237ADF"/>
    <w:rsid w:val="00237F1B"/>
    <w:rsid w:val="0024421E"/>
    <w:rsid w:val="00245D81"/>
    <w:rsid w:val="0024767D"/>
    <w:rsid w:val="002503C3"/>
    <w:rsid w:val="00251167"/>
    <w:rsid w:val="002550A7"/>
    <w:rsid w:val="00255596"/>
    <w:rsid w:val="00255DCB"/>
    <w:rsid w:val="00256DD2"/>
    <w:rsid w:val="00257075"/>
    <w:rsid w:val="00261F43"/>
    <w:rsid w:val="00262327"/>
    <w:rsid w:val="002625FB"/>
    <w:rsid w:val="00263A63"/>
    <w:rsid w:val="00263B55"/>
    <w:rsid w:val="00264387"/>
    <w:rsid w:val="00264A5A"/>
    <w:rsid w:val="002655CC"/>
    <w:rsid w:val="002662B4"/>
    <w:rsid w:val="0026675D"/>
    <w:rsid w:val="002674D8"/>
    <w:rsid w:val="00267635"/>
    <w:rsid w:val="00277A59"/>
    <w:rsid w:val="0028021F"/>
    <w:rsid w:val="0028150E"/>
    <w:rsid w:val="00281FD4"/>
    <w:rsid w:val="002851F2"/>
    <w:rsid w:val="00287F82"/>
    <w:rsid w:val="00290C62"/>
    <w:rsid w:val="00291493"/>
    <w:rsid w:val="00291EBD"/>
    <w:rsid w:val="00292D1B"/>
    <w:rsid w:val="00293CDE"/>
    <w:rsid w:val="00295887"/>
    <w:rsid w:val="00295DCA"/>
    <w:rsid w:val="002A5442"/>
    <w:rsid w:val="002B7FDE"/>
    <w:rsid w:val="002C1CA0"/>
    <w:rsid w:val="002C529B"/>
    <w:rsid w:val="002C6AF0"/>
    <w:rsid w:val="002C6E07"/>
    <w:rsid w:val="002D0B52"/>
    <w:rsid w:val="002D0EB0"/>
    <w:rsid w:val="002D247E"/>
    <w:rsid w:val="002E195D"/>
    <w:rsid w:val="002E2DBA"/>
    <w:rsid w:val="002E3986"/>
    <w:rsid w:val="002E4B35"/>
    <w:rsid w:val="002E6A48"/>
    <w:rsid w:val="002E7082"/>
    <w:rsid w:val="002F0C3A"/>
    <w:rsid w:val="002F3AE3"/>
    <w:rsid w:val="002F5A9A"/>
    <w:rsid w:val="002F7E6F"/>
    <w:rsid w:val="0030786C"/>
    <w:rsid w:val="00312A62"/>
    <w:rsid w:val="003162CC"/>
    <w:rsid w:val="00316683"/>
    <w:rsid w:val="0032565C"/>
    <w:rsid w:val="00327301"/>
    <w:rsid w:val="00334859"/>
    <w:rsid w:val="00336DC3"/>
    <w:rsid w:val="00341A36"/>
    <w:rsid w:val="00341BEE"/>
    <w:rsid w:val="003422E7"/>
    <w:rsid w:val="00343286"/>
    <w:rsid w:val="0034680F"/>
    <w:rsid w:val="0035066E"/>
    <w:rsid w:val="00350BE1"/>
    <w:rsid w:val="00354BCF"/>
    <w:rsid w:val="003559EA"/>
    <w:rsid w:val="003657DB"/>
    <w:rsid w:val="0036588B"/>
    <w:rsid w:val="00370326"/>
    <w:rsid w:val="003720D4"/>
    <w:rsid w:val="003762D1"/>
    <w:rsid w:val="003768E4"/>
    <w:rsid w:val="00380792"/>
    <w:rsid w:val="003808E4"/>
    <w:rsid w:val="0038248B"/>
    <w:rsid w:val="00382B2D"/>
    <w:rsid w:val="00386683"/>
    <w:rsid w:val="003873C6"/>
    <w:rsid w:val="00387E2A"/>
    <w:rsid w:val="00390A0C"/>
    <w:rsid w:val="00392002"/>
    <w:rsid w:val="00392A85"/>
    <w:rsid w:val="00394B9A"/>
    <w:rsid w:val="00396AFB"/>
    <w:rsid w:val="003A1388"/>
    <w:rsid w:val="003A36C9"/>
    <w:rsid w:val="003A4E56"/>
    <w:rsid w:val="003A70CE"/>
    <w:rsid w:val="003B38E0"/>
    <w:rsid w:val="003C0E23"/>
    <w:rsid w:val="003C297A"/>
    <w:rsid w:val="003C4825"/>
    <w:rsid w:val="003C540E"/>
    <w:rsid w:val="003C59DF"/>
    <w:rsid w:val="003C5F0C"/>
    <w:rsid w:val="003C5F99"/>
    <w:rsid w:val="003D17F9"/>
    <w:rsid w:val="003D2265"/>
    <w:rsid w:val="003D3806"/>
    <w:rsid w:val="003D437B"/>
    <w:rsid w:val="003D4829"/>
    <w:rsid w:val="003E115C"/>
    <w:rsid w:val="003E197F"/>
    <w:rsid w:val="003E442B"/>
    <w:rsid w:val="003E6E73"/>
    <w:rsid w:val="003E76C8"/>
    <w:rsid w:val="003F3F0B"/>
    <w:rsid w:val="003F669A"/>
    <w:rsid w:val="0040152C"/>
    <w:rsid w:val="00402CBA"/>
    <w:rsid w:val="00406F70"/>
    <w:rsid w:val="00412E9D"/>
    <w:rsid w:val="004148B6"/>
    <w:rsid w:val="00414952"/>
    <w:rsid w:val="00423210"/>
    <w:rsid w:val="00425504"/>
    <w:rsid w:val="0042727E"/>
    <w:rsid w:val="0042765F"/>
    <w:rsid w:val="004305D6"/>
    <w:rsid w:val="004377EE"/>
    <w:rsid w:val="00440CC0"/>
    <w:rsid w:val="00440D73"/>
    <w:rsid w:val="004437F3"/>
    <w:rsid w:val="00445E25"/>
    <w:rsid w:val="00447D31"/>
    <w:rsid w:val="00452849"/>
    <w:rsid w:val="00455560"/>
    <w:rsid w:val="00455C04"/>
    <w:rsid w:val="00456385"/>
    <w:rsid w:val="00462DA0"/>
    <w:rsid w:val="00465AB0"/>
    <w:rsid w:val="00470AB8"/>
    <w:rsid w:val="00477E9B"/>
    <w:rsid w:val="00482ECA"/>
    <w:rsid w:val="00484A4D"/>
    <w:rsid w:val="00485776"/>
    <w:rsid w:val="00485794"/>
    <w:rsid w:val="004867E2"/>
    <w:rsid w:val="00486826"/>
    <w:rsid w:val="0048784D"/>
    <w:rsid w:val="00490065"/>
    <w:rsid w:val="00493AA0"/>
    <w:rsid w:val="00496394"/>
    <w:rsid w:val="004A0670"/>
    <w:rsid w:val="004A073D"/>
    <w:rsid w:val="004A299A"/>
    <w:rsid w:val="004A3543"/>
    <w:rsid w:val="004A4851"/>
    <w:rsid w:val="004A5C81"/>
    <w:rsid w:val="004B0417"/>
    <w:rsid w:val="004B2999"/>
    <w:rsid w:val="004C04EB"/>
    <w:rsid w:val="004C3664"/>
    <w:rsid w:val="004C4927"/>
    <w:rsid w:val="004C6833"/>
    <w:rsid w:val="004D11BE"/>
    <w:rsid w:val="004D237C"/>
    <w:rsid w:val="004D448C"/>
    <w:rsid w:val="004E067A"/>
    <w:rsid w:val="004E179B"/>
    <w:rsid w:val="004E2389"/>
    <w:rsid w:val="004E50C2"/>
    <w:rsid w:val="004E58C1"/>
    <w:rsid w:val="004E5D52"/>
    <w:rsid w:val="004E7623"/>
    <w:rsid w:val="004F412D"/>
    <w:rsid w:val="00503689"/>
    <w:rsid w:val="00505824"/>
    <w:rsid w:val="00506124"/>
    <w:rsid w:val="005134B6"/>
    <w:rsid w:val="005141AD"/>
    <w:rsid w:val="0051563D"/>
    <w:rsid w:val="005179C7"/>
    <w:rsid w:val="0052107C"/>
    <w:rsid w:val="005221B7"/>
    <w:rsid w:val="00523C42"/>
    <w:rsid w:val="0052677B"/>
    <w:rsid w:val="00530100"/>
    <w:rsid w:val="0053231E"/>
    <w:rsid w:val="00536E0C"/>
    <w:rsid w:val="005408C7"/>
    <w:rsid w:val="005422E7"/>
    <w:rsid w:val="00542F8B"/>
    <w:rsid w:val="005437FD"/>
    <w:rsid w:val="00544A4E"/>
    <w:rsid w:val="0054623D"/>
    <w:rsid w:val="00551529"/>
    <w:rsid w:val="0055205D"/>
    <w:rsid w:val="00553370"/>
    <w:rsid w:val="00553E33"/>
    <w:rsid w:val="00555C4C"/>
    <w:rsid w:val="00555D6E"/>
    <w:rsid w:val="00561C26"/>
    <w:rsid w:val="00562F72"/>
    <w:rsid w:val="0056304B"/>
    <w:rsid w:val="00565356"/>
    <w:rsid w:val="00566B97"/>
    <w:rsid w:val="00570C6C"/>
    <w:rsid w:val="00572D97"/>
    <w:rsid w:val="00584334"/>
    <w:rsid w:val="00584545"/>
    <w:rsid w:val="00584ACF"/>
    <w:rsid w:val="00590130"/>
    <w:rsid w:val="00591A14"/>
    <w:rsid w:val="0059380A"/>
    <w:rsid w:val="0059724C"/>
    <w:rsid w:val="005A16E7"/>
    <w:rsid w:val="005A1AA7"/>
    <w:rsid w:val="005A4D0B"/>
    <w:rsid w:val="005A578C"/>
    <w:rsid w:val="005A61B4"/>
    <w:rsid w:val="005A65E0"/>
    <w:rsid w:val="005A735B"/>
    <w:rsid w:val="005B04D8"/>
    <w:rsid w:val="005B0B3A"/>
    <w:rsid w:val="005B3B16"/>
    <w:rsid w:val="005B593F"/>
    <w:rsid w:val="005C09CF"/>
    <w:rsid w:val="005C0D11"/>
    <w:rsid w:val="005C1496"/>
    <w:rsid w:val="005C5EF4"/>
    <w:rsid w:val="005C6AAE"/>
    <w:rsid w:val="005D022D"/>
    <w:rsid w:val="005D1073"/>
    <w:rsid w:val="005D1804"/>
    <w:rsid w:val="005D2770"/>
    <w:rsid w:val="005D5D06"/>
    <w:rsid w:val="005D62B5"/>
    <w:rsid w:val="005D7A15"/>
    <w:rsid w:val="005E2614"/>
    <w:rsid w:val="005E2695"/>
    <w:rsid w:val="005E7144"/>
    <w:rsid w:val="005F1E4A"/>
    <w:rsid w:val="00602980"/>
    <w:rsid w:val="006044B4"/>
    <w:rsid w:val="006050A3"/>
    <w:rsid w:val="00607B0B"/>
    <w:rsid w:val="00611870"/>
    <w:rsid w:val="00614E29"/>
    <w:rsid w:val="00617410"/>
    <w:rsid w:val="00617A51"/>
    <w:rsid w:val="0062216A"/>
    <w:rsid w:val="0062531C"/>
    <w:rsid w:val="00625634"/>
    <w:rsid w:val="00625EC1"/>
    <w:rsid w:val="00626F7D"/>
    <w:rsid w:val="00630199"/>
    <w:rsid w:val="006317C9"/>
    <w:rsid w:val="00631DE2"/>
    <w:rsid w:val="00632475"/>
    <w:rsid w:val="00632C35"/>
    <w:rsid w:val="006339F1"/>
    <w:rsid w:val="006340B0"/>
    <w:rsid w:val="00636395"/>
    <w:rsid w:val="006400F7"/>
    <w:rsid w:val="00641773"/>
    <w:rsid w:val="00641CB0"/>
    <w:rsid w:val="0064239F"/>
    <w:rsid w:val="006441CC"/>
    <w:rsid w:val="0064496B"/>
    <w:rsid w:val="006456F1"/>
    <w:rsid w:val="0065015C"/>
    <w:rsid w:val="006501AE"/>
    <w:rsid w:val="00651756"/>
    <w:rsid w:val="00653E73"/>
    <w:rsid w:val="00656425"/>
    <w:rsid w:val="00656A90"/>
    <w:rsid w:val="00657DD2"/>
    <w:rsid w:val="00662E5A"/>
    <w:rsid w:val="00664B6D"/>
    <w:rsid w:val="00664F67"/>
    <w:rsid w:val="006655E2"/>
    <w:rsid w:val="00670F54"/>
    <w:rsid w:val="006728F9"/>
    <w:rsid w:val="00673AAB"/>
    <w:rsid w:val="006746DA"/>
    <w:rsid w:val="00675351"/>
    <w:rsid w:val="006754AE"/>
    <w:rsid w:val="006765C3"/>
    <w:rsid w:val="006767BC"/>
    <w:rsid w:val="006803BA"/>
    <w:rsid w:val="00681EC5"/>
    <w:rsid w:val="0068322E"/>
    <w:rsid w:val="00684FB9"/>
    <w:rsid w:val="006922F5"/>
    <w:rsid w:val="00694113"/>
    <w:rsid w:val="006947D9"/>
    <w:rsid w:val="006A16DD"/>
    <w:rsid w:val="006A1E44"/>
    <w:rsid w:val="006A2587"/>
    <w:rsid w:val="006A641D"/>
    <w:rsid w:val="006B2EBD"/>
    <w:rsid w:val="006B3CFC"/>
    <w:rsid w:val="006B5541"/>
    <w:rsid w:val="006C0CD8"/>
    <w:rsid w:val="006C2AE3"/>
    <w:rsid w:val="006C45E7"/>
    <w:rsid w:val="006C5AEE"/>
    <w:rsid w:val="006C679A"/>
    <w:rsid w:val="006D09FE"/>
    <w:rsid w:val="006D0C40"/>
    <w:rsid w:val="006D11D1"/>
    <w:rsid w:val="006D15C1"/>
    <w:rsid w:val="006D2783"/>
    <w:rsid w:val="006D3865"/>
    <w:rsid w:val="006D4CD4"/>
    <w:rsid w:val="006D732F"/>
    <w:rsid w:val="006D761A"/>
    <w:rsid w:val="006E110B"/>
    <w:rsid w:val="006E27DA"/>
    <w:rsid w:val="006E4597"/>
    <w:rsid w:val="006E688D"/>
    <w:rsid w:val="006F078A"/>
    <w:rsid w:val="006F1432"/>
    <w:rsid w:val="006F618A"/>
    <w:rsid w:val="006F72A2"/>
    <w:rsid w:val="006F7964"/>
    <w:rsid w:val="007028EC"/>
    <w:rsid w:val="007035D8"/>
    <w:rsid w:val="00706466"/>
    <w:rsid w:val="0070703E"/>
    <w:rsid w:val="00707CD7"/>
    <w:rsid w:val="00707D22"/>
    <w:rsid w:val="007103BE"/>
    <w:rsid w:val="00711E21"/>
    <w:rsid w:val="00712832"/>
    <w:rsid w:val="00713F05"/>
    <w:rsid w:val="00715168"/>
    <w:rsid w:val="00715EBA"/>
    <w:rsid w:val="0071637F"/>
    <w:rsid w:val="00716597"/>
    <w:rsid w:val="00716FED"/>
    <w:rsid w:val="00717270"/>
    <w:rsid w:val="0072053D"/>
    <w:rsid w:val="007211AD"/>
    <w:rsid w:val="00722691"/>
    <w:rsid w:val="007238E8"/>
    <w:rsid w:val="0072413F"/>
    <w:rsid w:val="00725FB9"/>
    <w:rsid w:val="00730020"/>
    <w:rsid w:val="00732B8D"/>
    <w:rsid w:val="007333AD"/>
    <w:rsid w:val="00735D82"/>
    <w:rsid w:val="007360BF"/>
    <w:rsid w:val="00737D4D"/>
    <w:rsid w:val="007406E6"/>
    <w:rsid w:val="007454DB"/>
    <w:rsid w:val="00746CCD"/>
    <w:rsid w:val="00747CE1"/>
    <w:rsid w:val="00747ED0"/>
    <w:rsid w:val="007517A6"/>
    <w:rsid w:val="007545C7"/>
    <w:rsid w:val="0076005C"/>
    <w:rsid w:val="00760AA3"/>
    <w:rsid w:val="00760B04"/>
    <w:rsid w:val="0076111D"/>
    <w:rsid w:val="007635C1"/>
    <w:rsid w:val="0076638D"/>
    <w:rsid w:val="00766B42"/>
    <w:rsid w:val="0076731D"/>
    <w:rsid w:val="00767650"/>
    <w:rsid w:val="00767A90"/>
    <w:rsid w:val="00770588"/>
    <w:rsid w:val="0077086C"/>
    <w:rsid w:val="00770EDE"/>
    <w:rsid w:val="00771BFA"/>
    <w:rsid w:val="0078070C"/>
    <w:rsid w:val="007819FB"/>
    <w:rsid w:val="00784541"/>
    <w:rsid w:val="00787790"/>
    <w:rsid w:val="00794DF2"/>
    <w:rsid w:val="007968CC"/>
    <w:rsid w:val="00796FB7"/>
    <w:rsid w:val="0079708B"/>
    <w:rsid w:val="007A0971"/>
    <w:rsid w:val="007A3E84"/>
    <w:rsid w:val="007A4FD1"/>
    <w:rsid w:val="007A7162"/>
    <w:rsid w:val="007B04A9"/>
    <w:rsid w:val="007B16AC"/>
    <w:rsid w:val="007B1D5C"/>
    <w:rsid w:val="007B54E0"/>
    <w:rsid w:val="007B5D05"/>
    <w:rsid w:val="007B5D1E"/>
    <w:rsid w:val="007C2217"/>
    <w:rsid w:val="007C2E29"/>
    <w:rsid w:val="007C471C"/>
    <w:rsid w:val="007C4E5D"/>
    <w:rsid w:val="007C52D3"/>
    <w:rsid w:val="007C74A6"/>
    <w:rsid w:val="007D2BF3"/>
    <w:rsid w:val="007D2C01"/>
    <w:rsid w:val="007D4258"/>
    <w:rsid w:val="007D6499"/>
    <w:rsid w:val="007D7221"/>
    <w:rsid w:val="007D79F6"/>
    <w:rsid w:val="007E000D"/>
    <w:rsid w:val="007E175B"/>
    <w:rsid w:val="007E32A7"/>
    <w:rsid w:val="007E3F8A"/>
    <w:rsid w:val="007F2B66"/>
    <w:rsid w:val="007F2D8F"/>
    <w:rsid w:val="007F3645"/>
    <w:rsid w:val="007F58DD"/>
    <w:rsid w:val="007F6791"/>
    <w:rsid w:val="00800D77"/>
    <w:rsid w:val="00802131"/>
    <w:rsid w:val="00805E44"/>
    <w:rsid w:val="00811C26"/>
    <w:rsid w:val="00812A44"/>
    <w:rsid w:val="00820059"/>
    <w:rsid w:val="008264EB"/>
    <w:rsid w:val="00827924"/>
    <w:rsid w:val="00830756"/>
    <w:rsid w:val="008310DC"/>
    <w:rsid w:val="00837A90"/>
    <w:rsid w:val="0084624A"/>
    <w:rsid w:val="00851786"/>
    <w:rsid w:val="00851912"/>
    <w:rsid w:val="00855A49"/>
    <w:rsid w:val="00856DF5"/>
    <w:rsid w:val="00857E76"/>
    <w:rsid w:val="0086059A"/>
    <w:rsid w:val="00865932"/>
    <w:rsid w:val="00866E4E"/>
    <w:rsid w:val="00872059"/>
    <w:rsid w:val="00873673"/>
    <w:rsid w:val="00873815"/>
    <w:rsid w:val="008744A1"/>
    <w:rsid w:val="008803A1"/>
    <w:rsid w:val="00880629"/>
    <w:rsid w:val="0088122A"/>
    <w:rsid w:val="008839CD"/>
    <w:rsid w:val="00885384"/>
    <w:rsid w:val="00885D3D"/>
    <w:rsid w:val="00886A3D"/>
    <w:rsid w:val="00892AC8"/>
    <w:rsid w:val="0089679C"/>
    <w:rsid w:val="00896E89"/>
    <w:rsid w:val="00897E5A"/>
    <w:rsid w:val="008A07AF"/>
    <w:rsid w:val="008A4580"/>
    <w:rsid w:val="008A4AC8"/>
    <w:rsid w:val="008A4E8B"/>
    <w:rsid w:val="008A58F9"/>
    <w:rsid w:val="008B014E"/>
    <w:rsid w:val="008B0236"/>
    <w:rsid w:val="008B0EE7"/>
    <w:rsid w:val="008B4C6B"/>
    <w:rsid w:val="008C1853"/>
    <w:rsid w:val="008C4293"/>
    <w:rsid w:val="008D09DE"/>
    <w:rsid w:val="008D5AFD"/>
    <w:rsid w:val="008D6E8C"/>
    <w:rsid w:val="008D7939"/>
    <w:rsid w:val="008E3658"/>
    <w:rsid w:val="008E59EB"/>
    <w:rsid w:val="008E5D6A"/>
    <w:rsid w:val="008E6B2A"/>
    <w:rsid w:val="008E7E4D"/>
    <w:rsid w:val="008F26C0"/>
    <w:rsid w:val="008F4C01"/>
    <w:rsid w:val="00900853"/>
    <w:rsid w:val="00901462"/>
    <w:rsid w:val="00901D6C"/>
    <w:rsid w:val="00902A76"/>
    <w:rsid w:val="00904474"/>
    <w:rsid w:val="00904D1C"/>
    <w:rsid w:val="0091137C"/>
    <w:rsid w:val="0091384C"/>
    <w:rsid w:val="0091791A"/>
    <w:rsid w:val="009213F3"/>
    <w:rsid w:val="0092204C"/>
    <w:rsid w:val="00922DEE"/>
    <w:rsid w:val="009238AA"/>
    <w:rsid w:val="009244B8"/>
    <w:rsid w:val="00925748"/>
    <w:rsid w:val="00930C31"/>
    <w:rsid w:val="00932407"/>
    <w:rsid w:val="00933B21"/>
    <w:rsid w:val="00933EC2"/>
    <w:rsid w:val="00935F4B"/>
    <w:rsid w:val="009374DD"/>
    <w:rsid w:val="00941048"/>
    <w:rsid w:val="00941222"/>
    <w:rsid w:val="009424A5"/>
    <w:rsid w:val="00942F00"/>
    <w:rsid w:val="00950089"/>
    <w:rsid w:val="0095539D"/>
    <w:rsid w:val="00955D95"/>
    <w:rsid w:val="00957E88"/>
    <w:rsid w:val="00961B39"/>
    <w:rsid w:val="00961FBE"/>
    <w:rsid w:val="00964277"/>
    <w:rsid w:val="0097582E"/>
    <w:rsid w:val="00977D26"/>
    <w:rsid w:val="00977E26"/>
    <w:rsid w:val="009805EC"/>
    <w:rsid w:val="00983F7A"/>
    <w:rsid w:val="009840FA"/>
    <w:rsid w:val="00984227"/>
    <w:rsid w:val="009904EA"/>
    <w:rsid w:val="00991AF5"/>
    <w:rsid w:val="0099343F"/>
    <w:rsid w:val="00993CFC"/>
    <w:rsid w:val="00994602"/>
    <w:rsid w:val="00995094"/>
    <w:rsid w:val="009A007B"/>
    <w:rsid w:val="009A0425"/>
    <w:rsid w:val="009A263C"/>
    <w:rsid w:val="009A3EF1"/>
    <w:rsid w:val="009A40DB"/>
    <w:rsid w:val="009B053D"/>
    <w:rsid w:val="009B3E5D"/>
    <w:rsid w:val="009B64E3"/>
    <w:rsid w:val="009C041C"/>
    <w:rsid w:val="009C320C"/>
    <w:rsid w:val="009C5964"/>
    <w:rsid w:val="009C672E"/>
    <w:rsid w:val="009C77A3"/>
    <w:rsid w:val="009D0B90"/>
    <w:rsid w:val="009D1A6C"/>
    <w:rsid w:val="009D3827"/>
    <w:rsid w:val="009D40BE"/>
    <w:rsid w:val="009D61B2"/>
    <w:rsid w:val="009D6852"/>
    <w:rsid w:val="009E0725"/>
    <w:rsid w:val="009E0D48"/>
    <w:rsid w:val="009E1F38"/>
    <w:rsid w:val="009E5D18"/>
    <w:rsid w:val="009E6520"/>
    <w:rsid w:val="009E6B78"/>
    <w:rsid w:val="009E6D37"/>
    <w:rsid w:val="009F1EC9"/>
    <w:rsid w:val="009F33F8"/>
    <w:rsid w:val="009F430A"/>
    <w:rsid w:val="009F4ACF"/>
    <w:rsid w:val="009F5557"/>
    <w:rsid w:val="009F5CA1"/>
    <w:rsid w:val="00A02BFF"/>
    <w:rsid w:val="00A03E3D"/>
    <w:rsid w:val="00A045AC"/>
    <w:rsid w:val="00A0554C"/>
    <w:rsid w:val="00A1015B"/>
    <w:rsid w:val="00A1210B"/>
    <w:rsid w:val="00A12B60"/>
    <w:rsid w:val="00A139AB"/>
    <w:rsid w:val="00A14828"/>
    <w:rsid w:val="00A15082"/>
    <w:rsid w:val="00A16AEE"/>
    <w:rsid w:val="00A25AF1"/>
    <w:rsid w:val="00A261AD"/>
    <w:rsid w:val="00A26846"/>
    <w:rsid w:val="00A369E8"/>
    <w:rsid w:val="00A4199A"/>
    <w:rsid w:val="00A44515"/>
    <w:rsid w:val="00A4512D"/>
    <w:rsid w:val="00A541E1"/>
    <w:rsid w:val="00A54775"/>
    <w:rsid w:val="00A5502C"/>
    <w:rsid w:val="00A5694A"/>
    <w:rsid w:val="00A62B2E"/>
    <w:rsid w:val="00A63D42"/>
    <w:rsid w:val="00A65795"/>
    <w:rsid w:val="00A65941"/>
    <w:rsid w:val="00A6672E"/>
    <w:rsid w:val="00A66E59"/>
    <w:rsid w:val="00A705AF"/>
    <w:rsid w:val="00A7126D"/>
    <w:rsid w:val="00A73C2F"/>
    <w:rsid w:val="00A75B58"/>
    <w:rsid w:val="00A77349"/>
    <w:rsid w:val="00A81D72"/>
    <w:rsid w:val="00A931E2"/>
    <w:rsid w:val="00A93A18"/>
    <w:rsid w:val="00A964DB"/>
    <w:rsid w:val="00A96DED"/>
    <w:rsid w:val="00AA0055"/>
    <w:rsid w:val="00AA0892"/>
    <w:rsid w:val="00AA0A90"/>
    <w:rsid w:val="00AA3A3E"/>
    <w:rsid w:val="00AA603A"/>
    <w:rsid w:val="00AA6DC2"/>
    <w:rsid w:val="00AA7B58"/>
    <w:rsid w:val="00AB05F5"/>
    <w:rsid w:val="00AB0A6E"/>
    <w:rsid w:val="00AB40AB"/>
    <w:rsid w:val="00AB4155"/>
    <w:rsid w:val="00AB64E5"/>
    <w:rsid w:val="00AB67C9"/>
    <w:rsid w:val="00AB6E76"/>
    <w:rsid w:val="00AB6ED9"/>
    <w:rsid w:val="00AB6F9B"/>
    <w:rsid w:val="00AC6331"/>
    <w:rsid w:val="00AC637F"/>
    <w:rsid w:val="00AC6A6A"/>
    <w:rsid w:val="00AD01B4"/>
    <w:rsid w:val="00AD055C"/>
    <w:rsid w:val="00AD25A6"/>
    <w:rsid w:val="00AD305C"/>
    <w:rsid w:val="00AD52A0"/>
    <w:rsid w:val="00AD5717"/>
    <w:rsid w:val="00AD7A63"/>
    <w:rsid w:val="00AE05BB"/>
    <w:rsid w:val="00AE0BA6"/>
    <w:rsid w:val="00AE3267"/>
    <w:rsid w:val="00AE404C"/>
    <w:rsid w:val="00AE5B46"/>
    <w:rsid w:val="00AF6154"/>
    <w:rsid w:val="00B00182"/>
    <w:rsid w:val="00B004EB"/>
    <w:rsid w:val="00B01770"/>
    <w:rsid w:val="00B07615"/>
    <w:rsid w:val="00B110F0"/>
    <w:rsid w:val="00B143B4"/>
    <w:rsid w:val="00B163F6"/>
    <w:rsid w:val="00B17FDF"/>
    <w:rsid w:val="00B20701"/>
    <w:rsid w:val="00B213FD"/>
    <w:rsid w:val="00B21FC8"/>
    <w:rsid w:val="00B2338E"/>
    <w:rsid w:val="00B24A42"/>
    <w:rsid w:val="00B24DF4"/>
    <w:rsid w:val="00B2665E"/>
    <w:rsid w:val="00B30753"/>
    <w:rsid w:val="00B31511"/>
    <w:rsid w:val="00B328AF"/>
    <w:rsid w:val="00B32DD1"/>
    <w:rsid w:val="00B37148"/>
    <w:rsid w:val="00B3720C"/>
    <w:rsid w:val="00B37974"/>
    <w:rsid w:val="00B41409"/>
    <w:rsid w:val="00B4251C"/>
    <w:rsid w:val="00B42851"/>
    <w:rsid w:val="00B42EA6"/>
    <w:rsid w:val="00B432EE"/>
    <w:rsid w:val="00B433FA"/>
    <w:rsid w:val="00B456E0"/>
    <w:rsid w:val="00B459E9"/>
    <w:rsid w:val="00B47076"/>
    <w:rsid w:val="00B5113E"/>
    <w:rsid w:val="00B55FCC"/>
    <w:rsid w:val="00B56B37"/>
    <w:rsid w:val="00B57759"/>
    <w:rsid w:val="00B601CD"/>
    <w:rsid w:val="00B60D44"/>
    <w:rsid w:val="00B60D86"/>
    <w:rsid w:val="00B669A9"/>
    <w:rsid w:val="00B76F16"/>
    <w:rsid w:val="00B85D16"/>
    <w:rsid w:val="00B904EC"/>
    <w:rsid w:val="00B909D1"/>
    <w:rsid w:val="00B91269"/>
    <w:rsid w:val="00B91454"/>
    <w:rsid w:val="00B929D9"/>
    <w:rsid w:val="00B93CD5"/>
    <w:rsid w:val="00B9432A"/>
    <w:rsid w:val="00B944C2"/>
    <w:rsid w:val="00B95A67"/>
    <w:rsid w:val="00B962E3"/>
    <w:rsid w:val="00B96A84"/>
    <w:rsid w:val="00B96E11"/>
    <w:rsid w:val="00BA0015"/>
    <w:rsid w:val="00BA2A5D"/>
    <w:rsid w:val="00BA2DE8"/>
    <w:rsid w:val="00BA4AEE"/>
    <w:rsid w:val="00BA6098"/>
    <w:rsid w:val="00BA60BF"/>
    <w:rsid w:val="00BB2D0A"/>
    <w:rsid w:val="00BB334E"/>
    <w:rsid w:val="00BC07E4"/>
    <w:rsid w:val="00BC4293"/>
    <w:rsid w:val="00BC4D09"/>
    <w:rsid w:val="00BD0B57"/>
    <w:rsid w:val="00BD18CF"/>
    <w:rsid w:val="00BD2834"/>
    <w:rsid w:val="00BD5F76"/>
    <w:rsid w:val="00BD649D"/>
    <w:rsid w:val="00BD741B"/>
    <w:rsid w:val="00BE0DE7"/>
    <w:rsid w:val="00BE2054"/>
    <w:rsid w:val="00BE6832"/>
    <w:rsid w:val="00BF2561"/>
    <w:rsid w:val="00BF5905"/>
    <w:rsid w:val="00BF6152"/>
    <w:rsid w:val="00C025A9"/>
    <w:rsid w:val="00C046D4"/>
    <w:rsid w:val="00C04AB6"/>
    <w:rsid w:val="00C06314"/>
    <w:rsid w:val="00C10135"/>
    <w:rsid w:val="00C123DF"/>
    <w:rsid w:val="00C16215"/>
    <w:rsid w:val="00C206EE"/>
    <w:rsid w:val="00C23604"/>
    <w:rsid w:val="00C261EA"/>
    <w:rsid w:val="00C308FA"/>
    <w:rsid w:val="00C31839"/>
    <w:rsid w:val="00C31A7F"/>
    <w:rsid w:val="00C32280"/>
    <w:rsid w:val="00C33D29"/>
    <w:rsid w:val="00C35287"/>
    <w:rsid w:val="00C35DEC"/>
    <w:rsid w:val="00C35F32"/>
    <w:rsid w:val="00C4341A"/>
    <w:rsid w:val="00C436EE"/>
    <w:rsid w:val="00C477AC"/>
    <w:rsid w:val="00C51A96"/>
    <w:rsid w:val="00C51BE7"/>
    <w:rsid w:val="00C53C65"/>
    <w:rsid w:val="00C565EF"/>
    <w:rsid w:val="00C57614"/>
    <w:rsid w:val="00C618D7"/>
    <w:rsid w:val="00C624CC"/>
    <w:rsid w:val="00C63431"/>
    <w:rsid w:val="00C63C14"/>
    <w:rsid w:val="00C64BBB"/>
    <w:rsid w:val="00C64D00"/>
    <w:rsid w:val="00C72C76"/>
    <w:rsid w:val="00C74935"/>
    <w:rsid w:val="00C7543A"/>
    <w:rsid w:val="00C84B06"/>
    <w:rsid w:val="00C85E91"/>
    <w:rsid w:val="00C86B79"/>
    <w:rsid w:val="00C87426"/>
    <w:rsid w:val="00C90F20"/>
    <w:rsid w:val="00C911AD"/>
    <w:rsid w:val="00C929AD"/>
    <w:rsid w:val="00CA04C6"/>
    <w:rsid w:val="00CA05EE"/>
    <w:rsid w:val="00CA37F6"/>
    <w:rsid w:val="00CB0684"/>
    <w:rsid w:val="00CB2190"/>
    <w:rsid w:val="00CB2789"/>
    <w:rsid w:val="00CB368D"/>
    <w:rsid w:val="00CB5999"/>
    <w:rsid w:val="00CB5B1A"/>
    <w:rsid w:val="00CB733F"/>
    <w:rsid w:val="00CC36EF"/>
    <w:rsid w:val="00CC4B4F"/>
    <w:rsid w:val="00CC4B8E"/>
    <w:rsid w:val="00CC5CD8"/>
    <w:rsid w:val="00CC697B"/>
    <w:rsid w:val="00CC7207"/>
    <w:rsid w:val="00CD7F51"/>
    <w:rsid w:val="00CE01CB"/>
    <w:rsid w:val="00CE10C2"/>
    <w:rsid w:val="00CE16CC"/>
    <w:rsid w:val="00CE1712"/>
    <w:rsid w:val="00CE3387"/>
    <w:rsid w:val="00CE3A39"/>
    <w:rsid w:val="00CE7355"/>
    <w:rsid w:val="00CF34D6"/>
    <w:rsid w:val="00CF4118"/>
    <w:rsid w:val="00CF419C"/>
    <w:rsid w:val="00CF702F"/>
    <w:rsid w:val="00D05CB2"/>
    <w:rsid w:val="00D067F8"/>
    <w:rsid w:val="00D07C0D"/>
    <w:rsid w:val="00D10D90"/>
    <w:rsid w:val="00D116AD"/>
    <w:rsid w:val="00D13C42"/>
    <w:rsid w:val="00D16B25"/>
    <w:rsid w:val="00D20AD1"/>
    <w:rsid w:val="00D24922"/>
    <w:rsid w:val="00D301EA"/>
    <w:rsid w:val="00D31DC2"/>
    <w:rsid w:val="00D35CE4"/>
    <w:rsid w:val="00D41AE5"/>
    <w:rsid w:val="00D41FB0"/>
    <w:rsid w:val="00D429E0"/>
    <w:rsid w:val="00D42B9A"/>
    <w:rsid w:val="00D44207"/>
    <w:rsid w:val="00D443A1"/>
    <w:rsid w:val="00D446AF"/>
    <w:rsid w:val="00D469E4"/>
    <w:rsid w:val="00D4728F"/>
    <w:rsid w:val="00D50BCB"/>
    <w:rsid w:val="00D50F47"/>
    <w:rsid w:val="00D5354B"/>
    <w:rsid w:val="00D54C44"/>
    <w:rsid w:val="00D563D0"/>
    <w:rsid w:val="00D63B32"/>
    <w:rsid w:val="00D738DB"/>
    <w:rsid w:val="00D73FE2"/>
    <w:rsid w:val="00D7465B"/>
    <w:rsid w:val="00D77741"/>
    <w:rsid w:val="00D81026"/>
    <w:rsid w:val="00D812BD"/>
    <w:rsid w:val="00D84622"/>
    <w:rsid w:val="00D87CBD"/>
    <w:rsid w:val="00D9306A"/>
    <w:rsid w:val="00D944BF"/>
    <w:rsid w:val="00D96327"/>
    <w:rsid w:val="00D975CE"/>
    <w:rsid w:val="00DA6CA4"/>
    <w:rsid w:val="00DB07A4"/>
    <w:rsid w:val="00DB5454"/>
    <w:rsid w:val="00DB5911"/>
    <w:rsid w:val="00DC0477"/>
    <w:rsid w:val="00DC0D24"/>
    <w:rsid w:val="00DC33BF"/>
    <w:rsid w:val="00DC5274"/>
    <w:rsid w:val="00DD047B"/>
    <w:rsid w:val="00DD5D99"/>
    <w:rsid w:val="00DD6F15"/>
    <w:rsid w:val="00DE3C4E"/>
    <w:rsid w:val="00DE5D9E"/>
    <w:rsid w:val="00DE75D8"/>
    <w:rsid w:val="00DF0B12"/>
    <w:rsid w:val="00DF3751"/>
    <w:rsid w:val="00DF515C"/>
    <w:rsid w:val="00DF5695"/>
    <w:rsid w:val="00DF58A1"/>
    <w:rsid w:val="00E00E10"/>
    <w:rsid w:val="00E015E6"/>
    <w:rsid w:val="00E02BEB"/>
    <w:rsid w:val="00E03094"/>
    <w:rsid w:val="00E04BC6"/>
    <w:rsid w:val="00E0548E"/>
    <w:rsid w:val="00E05B44"/>
    <w:rsid w:val="00E066B4"/>
    <w:rsid w:val="00E13C5C"/>
    <w:rsid w:val="00E1721C"/>
    <w:rsid w:val="00E209BF"/>
    <w:rsid w:val="00E2144C"/>
    <w:rsid w:val="00E22604"/>
    <w:rsid w:val="00E236C6"/>
    <w:rsid w:val="00E25424"/>
    <w:rsid w:val="00E30E2E"/>
    <w:rsid w:val="00E3115C"/>
    <w:rsid w:val="00E34E07"/>
    <w:rsid w:val="00E34F33"/>
    <w:rsid w:val="00E35CBB"/>
    <w:rsid w:val="00E35DC5"/>
    <w:rsid w:val="00E40F95"/>
    <w:rsid w:val="00E41CF8"/>
    <w:rsid w:val="00E42612"/>
    <w:rsid w:val="00E4269D"/>
    <w:rsid w:val="00E4312B"/>
    <w:rsid w:val="00E46F35"/>
    <w:rsid w:val="00E5222C"/>
    <w:rsid w:val="00E55207"/>
    <w:rsid w:val="00E57576"/>
    <w:rsid w:val="00E604B3"/>
    <w:rsid w:val="00E60650"/>
    <w:rsid w:val="00E60EE1"/>
    <w:rsid w:val="00E6109E"/>
    <w:rsid w:val="00E61DE4"/>
    <w:rsid w:val="00E62A89"/>
    <w:rsid w:val="00E708F6"/>
    <w:rsid w:val="00E716B4"/>
    <w:rsid w:val="00E7210E"/>
    <w:rsid w:val="00E72290"/>
    <w:rsid w:val="00E76175"/>
    <w:rsid w:val="00E77D4C"/>
    <w:rsid w:val="00E828EF"/>
    <w:rsid w:val="00E86B67"/>
    <w:rsid w:val="00E9314D"/>
    <w:rsid w:val="00E93CF1"/>
    <w:rsid w:val="00E95DFC"/>
    <w:rsid w:val="00EA33D5"/>
    <w:rsid w:val="00EA3AA7"/>
    <w:rsid w:val="00EA5C37"/>
    <w:rsid w:val="00EA5E02"/>
    <w:rsid w:val="00EA5FD0"/>
    <w:rsid w:val="00EA63B1"/>
    <w:rsid w:val="00EA7E96"/>
    <w:rsid w:val="00EB0020"/>
    <w:rsid w:val="00EB2912"/>
    <w:rsid w:val="00EB3985"/>
    <w:rsid w:val="00EB5496"/>
    <w:rsid w:val="00EC7D3F"/>
    <w:rsid w:val="00ED0468"/>
    <w:rsid w:val="00ED0DD3"/>
    <w:rsid w:val="00ED5818"/>
    <w:rsid w:val="00ED648B"/>
    <w:rsid w:val="00EE16DD"/>
    <w:rsid w:val="00EE2AE5"/>
    <w:rsid w:val="00EE31B0"/>
    <w:rsid w:val="00EE356F"/>
    <w:rsid w:val="00EE397E"/>
    <w:rsid w:val="00EE552C"/>
    <w:rsid w:val="00EE65B1"/>
    <w:rsid w:val="00EF1C55"/>
    <w:rsid w:val="00EF1C95"/>
    <w:rsid w:val="00EF22AE"/>
    <w:rsid w:val="00EF23C0"/>
    <w:rsid w:val="00EF2774"/>
    <w:rsid w:val="00EF4059"/>
    <w:rsid w:val="00EF5586"/>
    <w:rsid w:val="00EF645E"/>
    <w:rsid w:val="00EF71C9"/>
    <w:rsid w:val="00F00403"/>
    <w:rsid w:val="00F04450"/>
    <w:rsid w:val="00F067A6"/>
    <w:rsid w:val="00F078B7"/>
    <w:rsid w:val="00F07B77"/>
    <w:rsid w:val="00F100D6"/>
    <w:rsid w:val="00F1278D"/>
    <w:rsid w:val="00F14BFD"/>
    <w:rsid w:val="00F17566"/>
    <w:rsid w:val="00F20F84"/>
    <w:rsid w:val="00F23598"/>
    <w:rsid w:val="00F238F2"/>
    <w:rsid w:val="00F332B3"/>
    <w:rsid w:val="00F346D1"/>
    <w:rsid w:val="00F34D63"/>
    <w:rsid w:val="00F35F7A"/>
    <w:rsid w:val="00F41C35"/>
    <w:rsid w:val="00F4438C"/>
    <w:rsid w:val="00F46ED7"/>
    <w:rsid w:val="00F549D7"/>
    <w:rsid w:val="00F556DB"/>
    <w:rsid w:val="00F560D5"/>
    <w:rsid w:val="00F56325"/>
    <w:rsid w:val="00F63397"/>
    <w:rsid w:val="00F64333"/>
    <w:rsid w:val="00F73D95"/>
    <w:rsid w:val="00F7441E"/>
    <w:rsid w:val="00F77044"/>
    <w:rsid w:val="00F776F9"/>
    <w:rsid w:val="00F8015E"/>
    <w:rsid w:val="00F83598"/>
    <w:rsid w:val="00F85766"/>
    <w:rsid w:val="00F866FA"/>
    <w:rsid w:val="00F86D31"/>
    <w:rsid w:val="00F87AD4"/>
    <w:rsid w:val="00F91869"/>
    <w:rsid w:val="00F91CCA"/>
    <w:rsid w:val="00F931D3"/>
    <w:rsid w:val="00F946C1"/>
    <w:rsid w:val="00F9524F"/>
    <w:rsid w:val="00F952CF"/>
    <w:rsid w:val="00F95769"/>
    <w:rsid w:val="00FA1C18"/>
    <w:rsid w:val="00FA289A"/>
    <w:rsid w:val="00FA3C5E"/>
    <w:rsid w:val="00FA3F1F"/>
    <w:rsid w:val="00FA4197"/>
    <w:rsid w:val="00FB375B"/>
    <w:rsid w:val="00FB6425"/>
    <w:rsid w:val="00FB722E"/>
    <w:rsid w:val="00FC16A7"/>
    <w:rsid w:val="00FC3BB9"/>
    <w:rsid w:val="00FC7F5D"/>
    <w:rsid w:val="00FD1BC7"/>
    <w:rsid w:val="00FD1D84"/>
    <w:rsid w:val="00FD4E9C"/>
    <w:rsid w:val="00FD50A4"/>
    <w:rsid w:val="00FD744A"/>
    <w:rsid w:val="00FE041B"/>
    <w:rsid w:val="00FE4E4E"/>
    <w:rsid w:val="00FE58D5"/>
    <w:rsid w:val="00FE5CA3"/>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D8F988"/>
  <w15:docId w15:val="{1A62F44D-3F5F-4479-A400-461A7DC4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99"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66E4E"/>
    <w:pPr>
      <w:spacing w:before="120" w:after="120"/>
    </w:pPr>
  </w:style>
  <w:style w:type="paragraph" w:styleId="Heading1">
    <w:name w:val="heading 1"/>
    <w:basedOn w:val="Normal"/>
    <w:next w:val="Normal"/>
    <w:qFormat/>
    <w:rsid w:val="008C1853"/>
    <w:pPr>
      <w:spacing w:before="480" w:after="240"/>
      <w:outlineLvl w:val="0"/>
    </w:pPr>
    <w:rPr>
      <w:rFonts w:cs="Arial"/>
      <w:b/>
      <w:bCs/>
      <w:color w:val="005370" w:themeColor="text2"/>
      <w:kern w:val="28"/>
      <w:sz w:val="40"/>
      <w:szCs w:val="32"/>
    </w:rPr>
  </w:style>
  <w:style w:type="paragraph" w:styleId="Heading2">
    <w:name w:val="heading 2"/>
    <w:aliases w:val="Heading 2 (headings)"/>
    <w:basedOn w:val="NoParagraphStyle"/>
    <w:next w:val="NoParagraphStyle"/>
    <w:link w:val="Heading2Char"/>
    <w:autoRedefine/>
    <w:qFormat/>
    <w:rsid w:val="00800D77"/>
    <w:pPr>
      <w:spacing w:before="360"/>
      <w:outlineLvl w:val="1"/>
    </w:pPr>
    <w:rPr>
      <w:rFonts w:ascii="Arial" w:hAnsi="Arial"/>
      <w:b/>
      <w:bCs/>
      <w:iCs/>
      <w:sz w:val="32"/>
      <w:szCs w:val="28"/>
    </w:rPr>
  </w:style>
  <w:style w:type="paragraph" w:styleId="Heading3">
    <w:name w:val="heading 3"/>
    <w:basedOn w:val="Heading2"/>
    <w:next w:val="Normal"/>
    <w:qFormat/>
    <w:rsid w:val="00A81D72"/>
    <w:pPr>
      <w:spacing w:before="300" w:after="180"/>
      <w:outlineLvl w:val="2"/>
    </w:pPr>
    <w:rPr>
      <w:bCs w:val="0"/>
      <w:sz w:val="28"/>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2A5442"/>
    <w:pPr>
      <w:keepNext/>
      <w:spacing w:before="240"/>
      <w:outlineLvl w:val="4"/>
    </w:pPr>
    <w:rPr>
      <w:b/>
      <w:bCs/>
      <w:iCs/>
      <w:color w:val="000000" w:themeColor="text1"/>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F866FA"/>
    <w:pPr>
      <w:numPr>
        <w:ilvl w:val="1"/>
      </w:numPr>
      <w:spacing w:after="240"/>
      <w:ind w:right="397"/>
    </w:pPr>
    <w:rPr>
      <w:rFonts w:asciiTheme="majorHAnsi" w:eastAsiaTheme="majorEastAsia" w:hAnsiTheme="majorHAnsi" w:cs="Times New Roman (Headings CS)"/>
      <w:b/>
      <w:iCs/>
      <w:color w:val="1178A0" w:themeColor="background2"/>
      <w:sz w:val="40"/>
    </w:rPr>
  </w:style>
  <w:style w:type="character" w:customStyle="1" w:styleId="SubtitleChar">
    <w:name w:val="Subtitle Char"/>
    <w:basedOn w:val="DefaultParagraphFont"/>
    <w:link w:val="Subtitle"/>
    <w:uiPriority w:val="98"/>
    <w:rsid w:val="00F866FA"/>
    <w:rPr>
      <w:rFonts w:asciiTheme="majorHAnsi" w:eastAsiaTheme="majorEastAsia" w:hAnsiTheme="majorHAnsi" w:cs="Times New Roman (Headings CS)"/>
      <w:b/>
      <w:iCs/>
      <w:color w:val="1178A0" w:themeColor="background2"/>
      <w:sz w:val="40"/>
    </w:rPr>
  </w:style>
  <w:style w:type="paragraph" w:styleId="Title">
    <w:name w:val="Title"/>
    <w:basedOn w:val="Normal"/>
    <w:next w:val="Normal"/>
    <w:link w:val="TitleChar"/>
    <w:uiPriority w:val="99"/>
    <w:qFormat/>
    <w:rsid w:val="00F64333"/>
    <w:pPr>
      <w:spacing w:before="480" w:after="8400"/>
      <w:contextualSpacing/>
    </w:pPr>
    <w:rPr>
      <w:rFonts w:asciiTheme="majorHAnsi" w:eastAsiaTheme="majorEastAsia" w:hAnsiTheme="majorHAnsi" w:cs="Times New Roman (Headings CS)"/>
      <w:b/>
      <w:color w:val="005370" w:themeColor="text2"/>
      <w:spacing w:val="-6"/>
      <w:kern w:val="28"/>
      <w:sz w:val="60"/>
      <w:szCs w:val="56"/>
    </w:rPr>
  </w:style>
  <w:style w:type="character" w:customStyle="1" w:styleId="TitleChar">
    <w:name w:val="Title Char"/>
    <w:basedOn w:val="DefaultParagraphFont"/>
    <w:link w:val="Title"/>
    <w:uiPriority w:val="99"/>
    <w:rsid w:val="00F64333"/>
    <w:rPr>
      <w:rFonts w:asciiTheme="majorHAnsi" w:eastAsiaTheme="majorEastAsia" w:hAnsiTheme="majorHAnsi" w:cs="Times New Roman (Headings CS)"/>
      <w:b/>
      <w:color w:val="005370" w:themeColor="text2"/>
      <w:spacing w:val="-6"/>
      <w:kern w:val="28"/>
      <w:sz w:val="60"/>
      <w:szCs w:val="56"/>
    </w:rPr>
  </w:style>
  <w:style w:type="paragraph" w:customStyle="1" w:styleId="PulloutTextHead">
    <w:name w:val="Pullout Text Head"/>
    <w:basedOn w:val="Heading3"/>
    <w:qFormat/>
    <w:rsid w:val="00036AB8"/>
    <w:pPr>
      <w:pBdr>
        <w:left w:val="single" w:sz="48" w:space="8" w:color="1178A0" w:themeColor="background2"/>
      </w:pBdr>
      <w:spacing w:before="180" w:after="120"/>
      <w:ind w:left="284"/>
    </w:pPr>
    <w:rPr>
      <w:caps/>
      <w:sz w:val="22"/>
      <w:lang w:val="en-GB"/>
    </w:rPr>
  </w:style>
  <w:style w:type="paragraph" w:styleId="TOC1">
    <w:name w:val="toc 1"/>
    <w:basedOn w:val="Normal"/>
    <w:next w:val="Normal"/>
    <w:autoRedefine/>
    <w:uiPriority w:val="39"/>
    <w:qFormat/>
    <w:rsid w:val="003762D1"/>
    <w:pPr>
      <w:tabs>
        <w:tab w:val="right" w:leader="dot" w:pos="9639"/>
      </w:tabs>
    </w:pPr>
    <w:rPr>
      <w:rFonts w:cstheme="minorHAnsi"/>
      <w:b/>
      <w:bCs/>
      <w:color w:val="005370" w:themeColor="text2"/>
      <w:sz w:val="24"/>
      <w:szCs w:val="20"/>
    </w:rPr>
  </w:style>
  <w:style w:type="paragraph" w:styleId="TOC2">
    <w:name w:val="toc 2"/>
    <w:basedOn w:val="Normal"/>
    <w:next w:val="Normal"/>
    <w:autoRedefine/>
    <w:uiPriority w:val="39"/>
    <w:qFormat/>
    <w:rsid w:val="003762D1"/>
    <w:pPr>
      <w:tabs>
        <w:tab w:val="right" w:leader="dot" w:pos="9639"/>
      </w:tabs>
    </w:pPr>
    <w:rPr>
      <w:rFonts w:cstheme="minorHAnsi"/>
      <w:noProof/>
      <w:szCs w:val="20"/>
    </w:rPr>
  </w:style>
  <w:style w:type="paragraph" w:styleId="TOC3">
    <w:name w:val="toc 3"/>
    <w:basedOn w:val="Normal"/>
    <w:next w:val="Normal"/>
    <w:autoRedefine/>
    <w:uiPriority w:val="39"/>
    <w:qFormat/>
    <w:rsid w:val="007A4FD1"/>
    <w:pPr>
      <w:tabs>
        <w:tab w:val="right" w:leader="dot" w:pos="9015"/>
      </w:tabs>
      <w:spacing w:after="0"/>
      <w:ind w:left="442"/>
    </w:pPr>
    <w:rPr>
      <w:rFonts w:cs="Arial (Body)"/>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167F18"/>
    <w:pPr>
      <w:spacing w:before="180" w:after="180"/>
      <w:ind w:left="170" w:hanging="170"/>
      <w:contextualSpacing/>
    </w:pPr>
    <w:rPr>
      <w:sz w:val="18"/>
      <w:szCs w:val="20"/>
    </w:rPr>
  </w:style>
  <w:style w:type="character" w:customStyle="1" w:styleId="FootnoteTextChar">
    <w:name w:val="Footnote Text Char"/>
    <w:basedOn w:val="DefaultParagraphFont"/>
    <w:link w:val="FootnoteText"/>
    <w:rsid w:val="00167F18"/>
    <w:rPr>
      <w:sz w:val="18"/>
      <w:szCs w:val="20"/>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Light Heading"/>
    <w:basedOn w:val="TableNormal"/>
    <w:locked/>
    <w:rsid w:val="00FB722E"/>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000000" w:themeColor="text1"/>
        <w:sz w:val="20"/>
      </w:rPr>
      <w:tblPr/>
      <w:tcPr>
        <w:shd w:val="clear" w:color="auto" w:fill="E6F1F8" w:themeFill="accent2"/>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iPriority w:val="99"/>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uiPriority w:val="99"/>
    <w:rsid w:val="00555D6E"/>
  </w:style>
  <w:style w:type="character" w:styleId="Hyperlink">
    <w:name w:val="Hyperlink"/>
    <w:basedOn w:val="DefaultParagraphFont"/>
    <w:uiPriority w:val="99"/>
    <w:rsid w:val="009374DD"/>
    <w:rPr>
      <w:color w:val="005370" w:themeColor="text2"/>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line="276" w:lineRule="auto"/>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6E110B"/>
    <w:pPr>
      <w:spacing w:before="480" w:after="0"/>
    </w:pPr>
    <w:rPr>
      <w:color w:val="005370" w:themeColor="text2"/>
      <w:sz w:val="32"/>
      <w:szCs w:val="40"/>
    </w:rPr>
  </w:style>
  <w:style w:type="character" w:customStyle="1" w:styleId="PublicationDateChar">
    <w:name w:val="Publication Date Char"/>
    <w:basedOn w:val="DefaultParagraphFont"/>
    <w:link w:val="PublicationDate"/>
    <w:uiPriority w:val="99"/>
    <w:rsid w:val="006E110B"/>
    <w:rPr>
      <w:color w:val="005370" w:themeColor="text2"/>
      <w:sz w:val="32"/>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pPr>
      <w:spacing w:after="0"/>
    </w:pPr>
    <w:rPr>
      <w:sz w:val="20"/>
    </w:rPr>
    <w:tblPr>
      <w:tblStyleRowBandSize w:val="1"/>
      <w:tblStyleColBandSize w:val="1"/>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pPr>
        <w:jc w:val="left"/>
      </w:pPr>
      <w:rPr>
        <w:b/>
        <w:color w:val="FFFFFF" w:themeColor="background1"/>
      </w:rPr>
      <w:tblPr/>
      <w:tcPr>
        <w:shd w:val="clear" w:color="auto" w:fill="1178A0" w:themeFill="background2"/>
      </w:tcPr>
    </w:tblStylePr>
    <w:tblStylePr w:type="band2Horz">
      <w:tblPr/>
      <w:tcPr>
        <w:shd w:val="clear" w:color="auto" w:fill="F2F2F2" w:themeFill="background1" w:themeFillShade="F2"/>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737D4D"/>
    <w:pPr>
      <w:spacing w:after="0"/>
    </w:pPr>
    <w:rPr>
      <w:sz w:val="20"/>
    </w:r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000000" w:themeColor="text1"/>
      </w:rPr>
      <w:tblPr/>
      <w:tcPr>
        <w:shd w:val="clear" w:color="auto" w:fill="E6F1F8" w:themeFill="accent2"/>
      </w:tcPr>
    </w:tblStylePr>
    <w:tblStylePr w:type="band2Horz">
      <w:tblPr/>
      <w:tcPr>
        <w:shd w:val="clear" w:color="auto" w:fill="F2F2F2" w:themeFill="background1" w:themeFillShade="F2"/>
      </w:tcPr>
    </w:tblStylePr>
  </w:style>
  <w:style w:type="paragraph" w:customStyle="1" w:styleId="PulloutBoxHeading">
    <w:name w:val="Pullout Box Heading"/>
    <w:basedOn w:val="Heading3"/>
    <w:qFormat/>
    <w:rsid w:val="00390A0C"/>
    <w:pPr>
      <w:keepNext/>
      <w:spacing w:before="120" w:after="60"/>
    </w:pPr>
  </w:style>
  <w:style w:type="table" w:customStyle="1" w:styleId="PulloutBox">
    <w:name w:val="Pullout Box"/>
    <w:basedOn w:val="TableNormal"/>
    <w:uiPriority w:val="99"/>
    <w:rsid w:val="00F866FA"/>
    <w:pPr>
      <w:spacing w:after="0"/>
    </w:pPr>
    <w:tblPr>
      <w:tblCellMar>
        <w:top w:w="284" w:type="dxa"/>
        <w:left w:w="284" w:type="dxa"/>
        <w:bottom w:w="284" w:type="dxa"/>
        <w:right w:w="284" w:type="dxa"/>
      </w:tblCellMar>
    </w:tblPr>
    <w:tcPr>
      <w:shd w:val="clear" w:color="auto" w:fill="E6F1F8" w:themeFill="accent2"/>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F04450"/>
    <w:pPr>
      <w:suppressAutoHyphens/>
      <w:spacing w:after="0"/>
      <w:ind w:left="425" w:hanging="425"/>
    </w:pPr>
    <w:rPr>
      <w:rFonts w:ascii="Arial" w:hAnsi="Arial"/>
      <w:sz w:val="20"/>
      <w:szCs w:val="20"/>
      <w:lang w:val="en-GB" w:eastAsia="en-US"/>
    </w:rPr>
  </w:style>
  <w:style w:type="character" w:customStyle="1" w:styleId="EndnoteTextChar">
    <w:name w:val="Endnote Text Char"/>
    <w:basedOn w:val="DefaultParagraphFont"/>
    <w:link w:val="EndnoteText"/>
    <w:rsid w:val="00F04450"/>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036AB8"/>
    <w:pPr>
      <w:pBdr>
        <w:left w:val="single" w:sz="48" w:space="8" w:color="1178A0" w:themeColor="background2"/>
      </w:pBdr>
      <w:spacing w:before="180"/>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Heading1a">
    <w:name w:val="Heading 1a"/>
    <w:basedOn w:val="Heading1"/>
    <w:next w:val="Normal"/>
    <w:rsid w:val="008C1853"/>
    <w:pPr>
      <w:spacing w:before="0" w:after="480"/>
      <w:outlineLvl w:val="9"/>
    </w:pPr>
    <w:rPr>
      <w:rFonts w:ascii="Arial" w:hAnsi="Arial"/>
      <w:color w:val="0B6080"/>
      <w:kern w:val="32"/>
      <w:sz w:val="44"/>
    </w:rPr>
  </w:style>
  <w:style w:type="paragraph" w:customStyle="1" w:styleId="ImprintText">
    <w:name w:val="ImprintText"/>
    <w:basedOn w:val="Normal"/>
    <w:rsid w:val="000F6B39"/>
    <w:pPr>
      <w:spacing w:before="0"/>
    </w:pPr>
    <w:rPr>
      <w:rFonts w:ascii="Arial" w:hAnsi="Arial"/>
      <w:color w:val="000000"/>
      <w:szCs w:val="20"/>
    </w:rPr>
  </w:style>
  <w:style w:type="character" w:customStyle="1" w:styleId="DraftingNotesChar">
    <w:name w:val="DraftingNotesChar"/>
    <w:basedOn w:val="DefaultParagraphFont"/>
    <w:uiPriority w:val="1"/>
    <w:rsid w:val="000F6B39"/>
    <w:rPr>
      <w:rFonts w:ascii="Arial" w:hAnsi="Arial"/>
      <w:noProof/>
      <w:color w:val="FF40FF"/>
      <w:sz w:val="22"/>
    </w:rPr>
  </w:style>
  <w:style w:type="paragraph" w:customStyle="1" w:styleId="DraftingNotes">
    <w:name w:val="DraftingNotes"/>
    <w:basedOn w:val="Normal"/>
    <w:rsid w:val="008C1853"/>
    <w:pPr>
      <w:spacing w:before="0" w:after="240"/>
    </w:pPr>
    <w:rPr>
      <w:rFonts w:ascii="Arial" w:hAnsi="Arial"/>
      <w:b/>
      <w:color w:val="FF40FF"/>
      <w:szCs w:val="20"/>
    </w:rPr>
  </w:style>
  <w:style w:type="paragraph" w:customStyle="1" w:styleId="Backpagelogoholder">
    <w:name w:val="Back page logo holder"/>
    <w:basedOn w:val="Normal"/>
    <w:qFormat/>
    <w:rsid w:val="000E15DA"/>
    <w:pPr>
      <w:keepLines/>
      <w:spacing w:before="10920" w:after="240"/>
      <w:ind w:hanging="142"/>
    </w:pPr>
    <w:rPr>
      <w:rFonts w:eastAsiaTheme="majorEastAsia"/>
      <w:noProof/>
    </w:rPr>
  </w:style>
  <w:style w:type="character" w:styleId="LineNumber">
    <w:name w:val="line number"/>
    <w:basedOn w:val="DefaultParagraphFont"/>
    <w:uiPriority w:val="98"/>
    <w:semiHidden/>
    <w:unhideWhenUsed/>
    <w:locked/>
    <w:rsid w:val="006C45E7"/>
  </w:style>
  <w:style w:type="paragraph" w:customStyle="1" w:styleId="SandQwebaddress">
    <w:name w:val="S and Q web address"/>
    <w:basedOn w:val="Normal"/>
    <w:qFormat/>
    <w:rsid w:val="00262327"/>
    <w:pPr>
      <w:spacing w:before="480" w:after="60"/>
    </w:pPr>
  </w:style>
  <w:style w:type="character" w:customStyle="1" w:styleId="Bold">
    <w:name w:val="Bold"/>
    <w:uiPriority w:val="99"/>
    <w:rsid w:val="00F64333"/>
    <w:rPr>
      <w:b/>
      <w:bCs/>
    </w:rPr>
  </w:style>
  <w:style w:type="paragraph" w:customStyle="1" w:styleId="TableStyle2">
    <w:name w:val="Table Style 2"/>
    <w:basedOn w:val="Normal"/>
    <w:qFormat/>
    <w:rsid w:val="00390A0C"/>
    <w:pPr>
      <w:tabs>
        <w:tab w:val="left" w:pos="567"/>
      </w:tabs>
      <w:ind w:left="567" w:hanging="567"/>
    </w:pPr>
    <w:rPr>
      <w:sz w:val="20"/>
      <w:szCs w:val="20"/>
    </w:rPr>
  </w:style>
  <w:style w:type="paragraph" w:customStyle="1" w:styleId="TableStyle3">
    <w:name w:val="Table Style 3"/>
    <w:basedOn w:val="ListParagraph"/>
    <w:qFormat/>
    <w:rsid w:val="009C320C"/>
    <w:pPr>
      <w:numPr>
        <w:numId w:val="12"/>
      </w:numPr>
    </w:pPr>
    <w:rPr>
      <w:sz w:val="20"/>
      <w:szCs w:val="20"/>
    </w:rPr>
  </w:style>
  <w:style w:type="paragraph" w:customStyle="1" w:styleId="TableStyle1">
    <w:name w:val="Table Style 1"/>
    <w:qFormat/>
    <w:rsid w:val="00390A0C"/>
    <w:pPr>
      <w:spacing w:before="120" w:after="120"/>
    </w:pPr>
    <w:rPr>
      <w:sz w:val="20"/>
      <w:szCs w:val="20"/>
    </w:rPr>
  </w:style>
  <w:style w:type="paragraph" w:styleId="ListBullet">
    <w:name w:val="List Bullet"/>
    <w:basedOn w:val="Normal"/>
    <w:uiPriority w:val="98"/>
    <w:locked/>
    <w:rsid w:val="00153238"/>
    <w:pPr>
      <w:numPr>
        <w:numId w:val="5"/>
      </w:numPr>
      <w:contextualSpacing/>
    </w:pPr>
  </w:style>
  <w:style w:type="paragraph" w:customStyle="1" w:styleId="TableStyle4">
    <w:name w:val="Table Style 4"/>
    <w:qFormat/>
    <w:rsid w:val="0076638D"/>
    <w:pPr>
      <w:numPr>
        <w:numId w:val="6"/>
      </w:numPr>
      <w:spacing w:after="0"/>
      <w:ind w:left="1135" w:hanging="284"/>
    </w:pPr>
    <w:rPr>
      <w:sz w:val="20"/>
      <w:szCs w:val="20"/>
    </w:rPr>
  </w:style>
  <w:style w:type="character" w:customStyle="1" w:styleId="Heading2Char">
    <w:name w:val="Heading 2 Char"/>
    <w:aliases w:val="Heading 2 (headings) Char"/>
    <w:basedOn w:val="DefaultParagraphFont"/>
    <w:link w:val="Heading2"/>
    <w:rsid w:val="00800D77"/>
    <w:rPr>
      <w:rFonts w:ascii="Arial" w:hAnsi="Arial" w:cs="MinionPro-Regular"/>
      <w:b/>
      <w:bCs/>
      <w:iCs/>
      <w:color w:val="000000"/>
      <w:sz w:val="32"/>
      <w:szCs w:val="28"/>
      <w:lang w:val="en-US"/>
    </w:rPr>
  </w:style>
  <w:style w:type="paragraph" w:customStyle="1" w:styleId="Heading2a">
    <w:name w:val="Heading 2a"/>
    <w:basedOn w:val="Heading2"/>
    <w:qFormat/>
    <w:rsid w:val="003762D1"/>
    <w:rPr>
      <w:lang w:val="en-GB"/>
    </w:rPr>
  </w:style>
  <w:style w:type="paragraph" w:customStyle="1" w:styleId="ECImprint2Imprint">
    <w:name w:val="EC Imprint 2 (Imprint)"/>
    <w:basedOn w:val="Normal"/>
    <w:uiPriority w:val="99"/>
    <w:rsid w:val="00256DD2"/>
    <w:pPr>
      <w:suppressAutoHyphens/>
      <w:autoSpaceDE w:val="0"/>
      <w:autoSpaceDN w:val="0"/>
      <w:adjustRightInd w:val="0"/>
      <w:spacing w:before="0" w:after="142" w:line="250" w:lineRule="atLeast"/>
      <w:textAlignment w:val="center"/>
    </w:pPr>
    <w:rPr>
      <w:rFonts w:ascii="Open Sans" w:hAnsi="Open Sans" w:cs="Open Sans"/>
      <w:color w:val="000000"/>
      <w:sz w:val="19"/>
      <w:szCs w:val="19"/>
      <w:lang w:val="en-GB"/>
    </w:rPr>
  </w:style>
  <w:style w:type="paragraph" w:customStyle="1" w:styleId="ECHeading1">
    <w:name w:val="EC Heading 1"/>
    <w:basedOn w:val="Normal"/>
    <w:uiPriority w:val="99"/>
    <w:rsid w:val="00506124"/>
    <w:pPr>
      <w:keepNext/>
      <w:keepLines/>
      <w:tabs>
        <w:tab w:val="left" w:pos="567"/>
      </w:tabs>
      <w:suppressAutoHyphens/>
      <w:autoSpaceDE w:val="0"/>
      <w:autoSpaceDN w:val="0"/>
      <w:adjustRightInd w:val="0"/>
      <w:spacing w:before="0" w:after="680" w:line="640" w:lineRule="atLeast"/>
      <w:textAlignment w:val="center"/>
    </w:pPr>
    <w:rPr>
      <w:rFonts w:ascii="ProximaNova-Bold" w:hAnsi="ProximaNova-Bold" w:cs="ProximaNova-Bold"/>
      <w:b/>
      <w:bCs/>
      <w:color w:val="000000"/>
      <w:sz w:val="60"/>
      <w:szCs w:val="60"/>
      <w:lang w:val="en-GB"/>
    </w:rPr>
  </w:style>
  <w:style w:type="paragraph" w:customStyle="1" w:styleId="ECBody1Intro">
    <w:name w:val="EC Body 1 Intro"/>
    <w:basedOn w:val="Normal"/>
    <w:uiPriority w:val="99"/>
    <w:rsid w:val="00506124"/>
    <w:pPr>
      <w:suppressAutoHyphens/>
      <w:autoSpaceDE w:val="0"/>
      <w:autoSpaceDN w:val="0"/>
      <w:adjustRightInd w:val="0"/>
      <w:spacing w:before="0" w:after="624" w:line="340" w:lineRule="atLeast"/>
      <w:textAlignment w:val="center"/>
    </w:pPr>
    <w:rPr>
      <w:rFonts w:ascii="Open Sans" w:hAnsi="Open Sans" w:cs="Open Sans"/>
      <w:color w:val="000000"/>
      <w:sz w:val="26"/>
      <w:szCs w:val="26"/>
      <w:lang w:val="en-GB"/>
    </w:rPr>
  </w:style>
  <w:style w:type="paragraph" w:customStyle="1" w:styleId="ECBody1">
    <w:name w:val="EC Body 1"/>
    <w:basedOn w:val="Normal"/>
    <w:uiPriority w:val="99"/>
    <w:rsid w:val="00506124"/>
    <w:pPr>
      <w:suppressAutoHyphens/>
      <w:autoSpaceDE w:val="0"/>
      <w:autoSpaceDN w:val="0"/>
      <w:adjustRightInd w:val="0"/>
      <w:spacing w:before="0" w:after="227" w:line="250" w:lineRule="atLeast"/>
      <w:textAlignment w:val="center"/>
    </w:pPr>
    <w:rPr>
      <w:rFonts w:ascii="Open Sans" w:hAnsi="Open Sans" w:cs="Open Sans"/>
      <w:color w:val="000000"/>
      <w:sz w:val="19"/>
      <w:szCs w:val="19"/>
      <w:lang w:val="en-GB"/>
    </w:rPr>
  </w:style>
  <w:style w:type="paragraph" w:customStyle="1" w:styleId="ECHeading2">
    <w:name w:val="EC Heading 2"/>
    <w:basedOn w:val="Normal"/>
    <w:uiPriority w:val="99"/>
    <w:rsid w:val="00800D77"/>
    <w:pPr>
      <w:suppressAutoHyphens/>
      <w:autoSpaceDE w:val="0"/>
      <w:autoSpaceDN w:val="0"/>
      <w:adjustRightInd w:val="0"/>
      <w:spacing w:before="340" w:after="227" w:line="360" w:lineRule="atLeast"/>
      <w:textAlignment w:val="center"/>
    </w:pPr>
    <w:rPr>
      <w:rFonts w:ascii="Arial" w:hAnsi="Arial" w:cs="ProximaNova-Bold"/>
      <w:b/>
      <w:bCs/>
      <w:color w:val="000000"/>
      <w:sz w:val="28"/>
      <w:szCs w:val="32"/>
      <w:lang w:val="en-GB"/>
    </w:rPr>
  </w:style>
  <w:style w:type="paragraph" w:customStyle="1" w:styleId="ECBullet1">
    <w:name w:val="EC Bullet 1"/>
    <w:basedOn w:val="Normal"/>
    <w:uiPriority w:val="99"/>
    <w:rsid w:val="00506124"/>
    <w:pPr>
      <w:keepLines/>
      <w:tabs>
        <w:tab w:val="left" w:pos="255"/>
      </w:tabs>
      <w:suppressAutoHyphens/>
      <w:autoSpaceDE w:val="0"/>
      <w:autoSpaceDN w:val="0"/>
      <w:adjustRightInd w:val="0"/>
      <w:spacing w:before="0" w:after="170" w:line="250" w:lineRule="atLeast"/>
      <w:ind w:left="255" w:hanging="227"/>
      <w:textAlignment w:val="center"/>
    </w:pPr>
    <w:rPr>
      <w:rFonts w:ascii="Open Sans" w:hAnsi="Open Sans" w:cs="Open Sans"/>
      <w:color w:val="000000"/>
      <w:sz w:val="19"/>
      <w:szCs w:val="19"/>
      <w:lang w:val="en-GB"/>
    </w:rPr>
  </w:style>
  <w:style w:type="paragraph" w:customStyle="1" w:styleId="Heading3S1Box">
    <w:name w:val="Heading 3 S1 Box"/>
    <w:basedOn w:val="Normal"/>
    <w:uiPriority w:val="99"/>
    <w:rsid w:val="00506124"/>
    <w:pPr>
      <w:suppressAutoHyphens/>
      <w:autoSpaceDE w:val="0"/>
      <w:autoSpaceDN w:val="0"/>
      <w:adjustRightInd w:val="0"/>
      <w:spacing w:before="283" w:after="0" w:line="270" w:lineRule="atLeast"/>
      <w:ind w:left="454" w:right="454"/>
      <w:textAlignment w:val="center"/>
    </w:pPr>
    <w:rPr>
      <w:rFonts w:ascii="ProximaNova-Bold" w:hAnsi="ProximaNova-Bold" w:cs="ProximaNova-Bold"/>
      <w:b/>
      <w:bCs/>
      <w:color w:val="005ED1"/>
      <w:sz w:val="25"/>
      <w:szCs w:val="25"/>
      <w:lang w:val="en-GB"/>
    </w:rPr>
  </w:style>
  <w:style w:type="paragraph" w:customStyle="1" w:styleId="ConsumerBodySmall">
    <w:name w:val="Consumer Body Small"/>
    <w:basedOn w:val="Normal"/>
    <w:uiPriority w:val="99"/>
    <w:rsid w:val="00506124"/>
    <w:pPr>
      <w:suppressAutoHyphens/>
      <w:autoSpaceDE w:val="0"/>
      <w:autoSpaceDN w:val="0"/>
      <w:adjustRightInd w:val="0"/>
      <w:spacing w:before="57" w:after="624" w:line="250" w:lineRule="atLeast"/>
      <w:ind w:left="454" w:right="454"/>
      <w:textAlignment w:val="center"/>
    </w:pPr>
    <w:rPr>
      <w:rFonts w:ascii="Open Sans" w:hAnsi="Open Sans" w:cs="Open Sans"/>
      <w:i/>
      <w:iCs/>
      <w:color w:val="000000"/>
      <w:sz w:val="19"/>
      <w:szCs w:val="19"/>
      <w:lang w:val="en-GB"/>
    </w:rPr>
  </w:style>
  <w:style w:type="paragraph" w:customStyle="1" w:styleId="NoParagraphStyle">
    <w:name w:val="[No Paragraph Style]"/>
    <w:rsid w:val="00506124"/>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ECBody1Table">
    <w:name w:val="EC Body 1 Table"/>
    <w:basedOn w:val="NoParagraphStyle"/>
    <w:uiPriority w:val="99"/>
    <w:rsid w:val="00506124"/>
    <w:pPr>
      <w:suppressAutoHyphens/>
      <w:spacing w:after="113"/>
    </w:pPr>
    <w:rPr>
      <w:rFonts w:ascii="Calluna-Regular" w:hAnsi="Calluna-Regular" w:cs="Calluna-Regular"/>
      <w:sz w:val="21"/>
      <w:szCs w:val="21"/>
      <w:lang w:val="en-GB"/>
    </w:rPr>
  </w:style>
  <w:style w:type="paragraph" w:customStyle="1" w:styleId="ECTableHeading1">
    <w:name w:val="EC Table Heading 1"/>
    <w:basedOn w:val="NoParagraphStyle"/>
    <w:uiPriority w:val="99"/>
    <w:rsid w:val="00506124"/>
    <w:pPr>
      <w:suppressAutoHyphens/>
      <w:spacing w:after="57" w:line="250" w:lineRule="atLeast"/>
    </w:pPr>
    <w:rPr>
      <w:rFonts w:ascii="Open Sans" w:hAnsi="Open Sans" w:cs="Open Sans"/>
      <w:b/>
      <w:bCs/>
      <w:sz w:val="19"/>
      <w:szCs w:val="19"/>
    </w:rPr>
  </w:style>
  <w:style w:type="paragraph" w:customStyle="1" w:styleId="ECTableCategory1">
    <w:name w:val="EC Table Category 1"/>
    <w:basedOn w:val="NoParagraphStyle"/>
    <w:uiPriority w:val="99"/>
    <w:rsid w:val="00506124"/>
    <w:pPr>
      <w:tabs>
        <w:tab w:val="left" w:pos="567"/>
      </w:tabs>
      <w:suppressAutoHyphens/>
      <w:spacing w:after="57" w:line="250" w:lineRule="atLeast"/>
    </w:pPr>
    <w:rPr>
      <w:rFonts w:ascii="Open Sans" w:hAnsi="Open Sans" w:cs="Open Sans"/>
      <w:sz w:val="19"/>
      <w:szCs w:val="19"/>
      <w:lang w:val="en-GB"/>
    </w:rPr>
  </w:style>
  <w:style w:type="paragraph" w:customStyle="1" w:styleId="ECTableBody1LGPcopy">
    <w:name w:val="EC Table Body 1 LGP copy"/>
    <w:basedOn w:val="NoParagraphStyle"/>
    <w:uiPriority w:val="99"/>
    <w:rsid w:val="00506124"/>
    <w:pPr>
      <w:tabs>
        <w:tab w:val="left" w:pos="567"/>
      </w:tabs>
      <w:suppressAutoHyphens/>
      <w:spacing w:after="57" w:line="250" w:lineRule="atLeast"/>
      <w:ind w:left="850" w:hanging="283"/>
    </w:pPr>
    <w:rPr>
      <w:rFonts w:ascii="Open Sans" w:hAnsi="Open Sans" w:cs="Open Sans"/>
      <w:sz w:val="19"/>
      <w:szCs w:val="19"/>
      <w:lang w:val="en-GB"/>
    </w:rPr>
  </w:style>
  <w:style w:type="paragraph" w:customStyle="1" w:styleId="ECTableBody1">
    <w:name w:val="EC Table Body 1"/>
    <w:basedOn w:val="NoParagraphStyle"/>
    <w:uiPriority w:val="99"/>
    <w:rsid w:val="00506124"/>
    <w:pPr>
      <w:tabs>
        <w:tab w:val="left" w:pos="567"/>
      </w:tabs>
      <w:suppressAutoHyphens/>
      <w:spacing w:after="113" w:line="250" w:lineRule="atLeast"/>
      <w:ind w:left="567" w:hanging="567"/>
    </w:pPr>
    <w:rPr>
      <w:rFonts w:ascii="Open Sans" w:hAnsi="Open Sans" w:cs="Open Sans"/>
      <w:sz w:val="19"/>
      <w:szCs w:val="19"/>
      <w:lang w:val="en-GB"/>
    </w:rPr>
  </w:style>
  <w:style w:type="paragraph" w:customStyle="1" w:styleId="Heading3S2Box">
    <w:name w:val="Heading 3 S2 Box"/>
    <w:basedOn w:val="NoParagraphStyle"/>
    <w:uiPriority w:val="99"/>
    <w:rsid w:val="00E828EF"/>
    <w:pPr>
      <w:suppressAutoHyphens/>
      <w:spacing w:before="283" w:line="270" w:lineRule="atLeast"/>
      <w:ind w:left="454" w:right="454"/>
    </w:pPr>
    <w:rPr>
      <w:rFonts w:ascii="ProximaNova-Bold" w:hAnsi="ProximaNova-Bold" w:cs="ProximaNova-Bold"/>
      <w:b/>
      <w:bCs/>
      <w:color w:val="198EAF"/>
      <w:sz w:val="25"/>
      <w:szCs w:val="25"/>
      <w:lang w:val="en-GB"/>
    </w:rPr>
  </w:style>
  <w:style w:type="paragraph" w:customStyle="1" w:styleId="Heading3S4Box">
    <w:name w:val="Heading 3 S4 Box"/>
    <w:basedOn w:val="NoParagraphStyle"/>
    <w:uiPriority w:val="99"/>
    <w:rsid w:val="00E828EF"/>
    <w:pPr>
      <w:suppressAutoHyphens/>
      <w:spacing w:before="283" w:line="270" w:lineRule="atLeast"/>
      <w:ind w:left="454" w:right="454"/>
    </w:pPr>
    <w:rPr>
      <w:rFonts w:ascii="ProximaNova-Bold" w:hAnsi="ProximaNova-Bold" w:cs="ProximaNova-Bold"/>
      <w:b/>
      <w:bCs/>
      <w:color w:val="2B8900"/>
      <w:sz w:val="25"/>
      <w:szCs w:val="25"/>
      <w:lang w:val="en-GB"/>
    </w:rPr>
  </w:style>
  <w:style w:type="paragraph" w:customStyle="1" w:styleId="Heading3S5Box">
    <w:name w:val="Heading 3 S5 Box"/>
    <w:basedOn w:val="NoParagraphStyle"/>
    <w:uiPriority w:val="99"/>
    <w:rsid w:val="00E828EF"/>
    <w:pPr>
      <w:suppressAutoHyphens/>
      <w:spacing w:before="283" w:line="270" w:lineRule="atLeast"/>
      <w:ind w:left="454" w:right="454"/>
    </w:pPr>
    <w:rPr>
      <w:rFonts w:ascii="ProximaNova-Bold" w:hAnsi="ProximaNova-Bold" w:cs="ProximaNova-Bold"/>
      <w:b/>
      <w:bCs/>
      <w:color w:val="BC00FF"/>
      <w:sz w:val="25"/>
      <w:szCs w:val="25"/>
      <w:lang w:val="en-GB"/>
    </w:rPr>
  </w:style>
  <w:style w:type="paragraph" w:customStyle="1" w:styleId="Heading3S8Box">
    <w:name w:val="Heading 3 S8 Box"/>
    <w:basedOn w:val="NoParagraphStyle"/>
    <w:uiPriority w:val="99"/>
    <w:rsid w:val="00E828EF"/>
    <w:pPr>
      <w:suppressAutoHyphens/>
      <w:spacing w:before="283" w:line="270" w:lineRule="atLeast"/>
      <w:ind w:left="454" w:right="454"/>
    </w:pPr>
    <w:rPr>
      <w:rFonts w:ascii="ProximaNova-Bold" w:hAnsi="ProximaNova-Bold" w:cs="ProximaNova-Bold"/>
      <w:b/>
      <w:bCs/>
      <w:color w:val="5100FF"/>
      <w:sz w:val="25"/>
      <w:szCs w:val="25"/>
      <w:lang w:val="en-GB"/>
    </w:rPr>
  </w:style>
  <w:style w:type="paragraph" w:customStyle="1" w:styleId="ECBody3Glossary">
    <w:name w:val="EC Body 3 Glossary"/>
    <w:basedOn w:val="NoParagraphStyle"/>
    <w:uiPriority w:val="99"/>
    <w:rsid w:val="00E828EF"/>
    <w:pPr>
      <w:suppressAutoHyphens/>
      <w:spacing w:after="85" w:line="250" w:lineRule="atLeast"/>
    </w:pPr>
    <w:rPr>
      <w:rFonts w:ascii="Open Sans" w:hAnsi="Open Sans" w:cs="Open Sans"/>
      <w:sz w:val="19"/>
      <w:szCs w:val="19"/>
      <w:lang w:val="en-GB"/>
    </w:rPr>
  </w:style>
  <w:style w:type="paragraph" w:customStyle="1" w:styleId="Heading2SummaryiconspanHeadings">
    <w:name w:val="Heading 2 Summary (icon) (span) •  (Headings)"/>
    <w:basedOn w:val="Normal"/>
    <w:uiPriority w:val="99"/>
    <w:rsid w:val="00E828EF"/>
    <w:pPr>
      <w:keepNext/>
      <w:suppressAutoHyphens/>
      <w:autoSpaceDE w:val="0"/>
      <w:autoSpaceDN w:val="0"/>
      <w:adjustRightInd w:val="0"/>
      <w:spacing w:before="170" w:after="227" w:line="264" w:lineRule="auto"/>
      <w:ind w:left="624"/>
      <w:textAlignment w:val="center"/>
    </w:pPr>
    <w:rPr>
      <w:rFonts w:ascii="ProximaNova-Bold" w:hAnsi="ProximaNova-Bold" w:cs="ProximaNova-Bold"/>
      <w:b/>
      <w:bCs/>
      <w:color w:val="000000"/>
      <w:sz w:val="24"/>
      <w:szCs w:val="24"/>
      <w:lang w:val="en-GB"/>
    </w:rPr>
  </w:style>
  <w:style w:type="paragraph" w:customStyle="1" w:styleId="NormalBodystyles">
    <w:name w:val="Normal (Body styles)"/>
    <w:basedOn w:val="Normal"/>
    <w:uiPriority w:val="99"/>
    <w:rsid w:val="00E828EF"/>
    <w:pPr>
      <w:suppressAutoHyphens/>
      <w:autoSpaceDE w:val="0"/>
      <w:autoSpaceDN w:val="0"/>
      <w:adjustRightInd w:val="0"/>
      <w:spacing w:before="0" w:after="142" w:line="250" w:lineRule="atLeast"/>
      <w:textAlignment w:val="center"/>
    </w:pPr>
    <w:rPr>
      <w:rFonts w:ascii="Open Sans" w:hAnsi="Open Sans" w:cs="Open Sans"/>
      <w:color w:val="000000"/>
      <w:sz w:val="19"/>
      <w:szCs w:val="19"/>
      <w:lang w:val="en-GB"/>
    </w:rPr>
  </w:style>
  <w:style w:type="paragraph" w:customStyle="1" w:styleId="TFHolderBodystyles">
    <w:name w:val="# TF Holder # (Body styles)"/>
    <w:basedOn w:val="NormalBodystyles"/>
    <w:uiPriority w:val="99"/>
    <w:rsid w:val="00E828EF"/>
    <w:pPr>
      <w:spacing w:after="340"/>
    </w:pPr>
  </w:style>
  <w:style w:type="paragraph" w:customStyle="1" w:styleId="Heading2SummaryiconHeadings">
    <w:name w:val="Heading 2 Summary (icon) (Headings)"/>
    <w:basedOn w:val="Normal"/>
    <w:uiPriority w:val="99"/>
    <w:rsid w:val="00E828EF"/>
    <w:pPr>
      <w:keepNext/>
      <w:suppressAutoHyphens/>
      <w:autoSpaceDE w:val="0"/>
      <w:autoSpaceDN w:val="0"/>
      <w:adjustRightInd w:val="0"/>
      <w:spacing w:before="170" w:after="227" w:line="264" w:lineRule="auto"/>
      <w:ind w:left="624"/>
      <w:textAlignment w:val="center"/>
    </w:pPr>
    <w:rPr>
      <w:rFonts w:ascii="ProximaNova-Bold" w:hAnsi="ProximaNova-Bold" w:cs="ProximaNova-Bold"/>
      <w:b/>
      <w:bCs/>
      <w:color w:val="000000"/>
      <w:sz w:val="24"/>
      <w:szCs w:val="24"/>
      <w:lang w:val="en-GB"/>
    </w:rPr>
  </w:style>
  <w:style w:type="paragraph" w:customStyle="1" w:styleId="ECTableHeading1LGPcopyREVforAppendixtables">
    <w:name w:val="EC Table Heading 1 LGP copy REV for Appendix tables"/>
    <w:basedOn w:val="NoParagraphStyle"/>
    <w:uiPriority w:val="99"/>
    <w:rsid w:val="00E828EF"/>
    <w:pPr>
      <w:suppressAutoHyphens/>
      <w:spacing w:after="57" w:line="220" w:lineRule="atLeast"/>
      <w:jc w:val="center"/>
    </w:pPr>
    <w:rPr>
      <w:rFonts w:ascii="Open Sans" w:hAnsi="Open Sans" w:cs="Open Sans"/>
      <w:b/>
      <w:bCs/>
      <w:color w:val="FFFFFF"/>
      <w:spacing w:val="-4"/>
      <w:sz w:val="18"/>
      <w:szCs w:val="18"/>
    </w:rPr>
  </w:style>
  <w:style w:type="paragraph" w:customStyle="1" w:styleId="TableTextTables">
    <w:name w:val="Table Text (Tables)"/>
    <w:basedOn w:val="NoParagraphStyle"/>
    <w:next w:val="NoParagraphStyle"/>
    <w:uiPriority w:val="99"/>
    <w:rsid w:val="006D761A"/>
    <w:pPr>
      <w:suppressAutoHyphens/>
      <w:spacing w:after="57" w:line="250" w:lineRule="atLeast"/>
    </w:pPr>
    <w:rPr>
      <w:rFonts w:ascii="Arial" w:hAnsi="Arial" w:cs="Open Sans"/>
      <w:sz w:val="18"/>
      <w:szCs w:val="19"/>
    </w:rPr>
  </w:style>
  <w:style w:type="paragraph" w:customStyle="1" w:styleId="Tabletext">
    <w:name w:val="Table text"/>
    <w:basedOn w:val="TableTextTables"/>
    <w:uiPriority w:val="99"/>
    <w:rsid w:val="006D761A"/>
    <w:pPr>
      <w:spacing w:after="0" w:line="230" w:lineRule="atLeast"/>
      <w:jc w:val="center"/>
    </w:pPr>
    <w:rPr>
      <w:rFonts w:cs="ProximaNova-Extrabld"/>
      <w:szCs w:val="21"/>
    </w:rPr>
  </w:style>
  <w:style w:type="paragraph" w:customStyle="1" w:styleId="NSQHSActionTables">
    <w:name w:val="NSQHS Action (Tables)"/>
    <w:basedOn w:val="Tabletext"/>
    <w:uiPriority w:val="99"/>
    <w:rsid w:val="00E828EF"/>
  </w:style>
  <w:style w:type="paragraph" w:customStyle="1" w:styleId="ContinuedoverTables">
    <w:name w:val="Continued over (Tables)"/>
    <w:basedOn w:val="TableTextTables"/>
    <w:uiPriority w:val="99"/>
    <w:rsid w:val="00E828EF"/>
    <w:pPr>
      <w:spacing w:line="220" w:lineRule="atLeast"/>
    </w:pPr>
    <w:rPr>
      <w:i/>
      <w:iCs/>
      <w:sz w:val="14"/>
      <w:szCs w:val="14"/>
      <w:u w:color="26FFFF"/>
    </w:rPr>
  </w:style>
  <w:style w:type="paragraph" w:customStyle="1" w:styleId="Heading3headings">
    <w:name w:val="Heading 3 (headings)"/>
    <w:basedOn w:val="Heading2"/>
    <w:qFormat/>
    <w:rsid w:val="00E828EF"/>
    <w:rPr>
      <w:sz w:val="28"/>
    </w:rPr>
  </w:style>
  <w:style w:type="paragraph" w:customStyle="1" w:styleId="H2">
    <w:name w:val="H2"/>
    <w:basedOn w:val="Heading2"/>
    <w:qFormat/>
    <w:rsid w:val="00E828EF"/>
  </w:style>
  <w:style w:type="paragraph" w:customStyle="1" w:styleId="Heading4headings">
    <w:name w:val="Heading 4 (headings)"/>
    <w:qFormat/>
    <w:rsid w:val="00C86B79"/>
    <w:rPr>
      <w:rFonts w:cs="Arial"/>
      <w:b/>
      <w:iCs/>
      <w:color w:val="005370" w:themeColor="text2"/>
      <w:kern w:val="28"/>
      <w:sz w:val="24"/>
      <w:szCs w:val="28"/>
    </w:rPr>
  </w:style>
  <w:style w:type="paragraph" w:customStyle="1" w:styleId="H3headings">
    <w:name w:val="H 3 (headings)"/>
    <w:basedOn w:val="NoParagraphStyle"/>
    <w:qFormat/>
    <w:rsid w:val="00C86B79"/>
    <w:rPr>
      <w:rFonts w:ascii="Arial" w:hAnsi="Arial"/>
      <w:b/>
    </w:rPr>
  </w:style>
  <w:style w:type="paragraph" w:customStyle="1" w:styleId="tablenumbered">
    <w:name w:val="table numbered"/>
    <w:basedOn w:val="TableTextTables"/>
    <w:qFormat/>
    <w:rsid w:val="00EF71C9"/>
    <w:pPr>
      <w:ind w:left="947" w:hanging="283"/>
    </w:pPr>
  </w:style>
  <w:style w:type="paragraph" w:customStyle="1" w:styleId="Tabletexthang">
    <w:name w:val="Table text hang"/>
    <w:basedOn w:val="TableTextTables"/>
    <w:qFormat/>
    <w:rsid w:val="00EF71C9"/>
    <w:pPr>
      <w:ind w:left="663" w:hanging="709"/>
    </w:pPr>
  </w:style>
  <w:style w:type="character" w:styleId="CommentReference">
    <w:name w:val="annotation reference"/>
    <w:basedOn w:val="DefaultParagraphFont"/>
    <w:semiHidden/>
    <w:unhideWhenUsed/>
    <w:locked/>
    <w:rsid w:val="00EB5496"/>
    <w:rPr>
      <w:sz w:val="16"/>
      <w:szCs w:val="16"/>
    </w:rPr>
  </w:style>
  <w:style w:type="paragraph" w:styleId="CommentText">
    <w:name w:val="annotation text"/>
    <w:basedOn w:val="Normal"/>
    <w:link w:val="CommentTextChar"/>
    <w:unhideWhenUsed/>
    <w:locked/>
    <w:rsid w:val="00EB5496"/>
    <w:rPr>
      <w:sz w:val="20"/>
      <w:szCs w:val="20"/>
    </w:rPr>
  </w:style>
  <w:style w:type="character" w:customStyle="1" w:styleId="CommentTextChar">
    <w:name w:val="Comment Text Char"/>
    <w:basedOn w:val="DefaultParagraphFont"/>
    <w:link w:val="CommentText"/>
    <w:rsid w:val="00EB5496"/>
    <w:rPr>
      <w:sz w:val="20"/>
      <w:szCs w:val="20"/>
    </w:rPr>
  </w:style>
  <w:style w:type="paragraph" w:styleId="CommentSubject">
    <w:name w:val="annotation subject"/>
    <w:basedOn w:val="CommentText"/>
    <w:next w:val="CommentText"/>
    <w:link w:val="CommentSubjectChar"/>
    <w:uiPriority w:val="98"/>
    <w:semiHidden/>
    <w:unhideWhenUsed/>
    <w:locked/>
    <w:rsid w:val="00EB5496"/>
    <w:rPr>
      <w:b/>
      <w:bCs/>
    </w:rPr>
  </w:style>
  <w:style w:type="character" w:customStyle="1" w:styleId="CommentSubjectChar">
    <w:name w:val="Comment Subject Char"/>
    <w:basedOn w:val="CommentTextChar"/>
    <w:link w:val="CommentSubject"/>
    <w:uiPriority w:val="98"/>
    <w:semiHidden/>
    <w:rsid w:val="00EB5496"/>
    <w:rPr>
      <w:b/>
      <w:bCs/>
      <w:sz w:val="20"/>
      <w:szCs w:val="20"/>
    </w:rPr>
  </w:style>
  <w:style w:type="paragraph" w:customStyle="1" w:styleId="Heading2Headings">
    <w:name w:val="Heading 2 (Headings)"/>
    <w:basedOn w:val="Normal"/>
    <w:next w:val="NormalBodystyles"/>
    <w:uiPriority w:val="99"/>
    <w:rsid w:val="00EB5496"/>
    <w:pPr>
      <w:suppressAutoHyphens/>
      <w:autoSpaceDE w:val="0"/>
      <w:autoSpaceDN w:val="0"/>
      <w:adjustRightInd w:val="0"/>
      <w:spacing w:before="170" w:after="170" w:line="320" w:lineRule="atLeast"/>
      <w:textAlignment w:val="center"/>
    </w:pPr>
    <w:rPr>
      <w:rFonts w:ascii="Arial" w:hAnsi="Arial" w:cs="ProximaNova-Bold"/>
      <w:b/>
      <w:bCs/>
      <w:color w:val="003565"/>
      <w:sz w:val="32"/>
      <w:szCs w:val="32"/>
      <w:lang w:val="en-GB"/>
    </w:rPr>
  </w:style>
  <w:style w:type="paragraph" w:customStyle="1" w:styleId="Tabletextbold">
    <w:name w:val="Table text bold"/>
    <w:basedOn w:val="Tabletext"/>
    <w:qFormat/>
    <w:rsid w:val="00EB5496"/>
    <w:pPr>
      <w:spacing w:after="57" w:line="220" w:lineRule="atLeast"/>
    </w:pPr>
    <w:rPr>
      <w:rFonts w:cs="Open Sans"/>
      <w:b/>
      <w:bCs/>
      <w:szCs w:val="19"/>
    </w:rPr>
  </w:style>
  <w:style w:type="paragraph" w:styleId="BalloonText">
    <w:name w:val="Balloon Text"/>
    <w:basedOn w:val="Normal"/>
    <w:link w:val="BalloonTextChar"/>
    <w:locked/>
    <w:rsid w:val="00C046D4"/>
    <w:pPr>
      <w:spacing w:before="0" w:after="0"/>
    </w:pPr>
    <w:rPr>
      <w:rFonts w:ascii="Times New Roman" w:hAnsi="Times New Roman"/>
      <w:sz w:val="18"/>
      <w:szCs w:val="18"/>
    </w:rPr>
  </w:style>
  <w:style w:type="character" w:customStyle="1" w:styleId="BalloonTextChar">
    <w:name w:val="Balloon Text Char"/>
    <w:basedOn w:val="DefaultParagraphFont"/>
    <w:link w:val="BalloonText"/>
    <w:rsid w:val="00C046D4"/>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 w:id="1882087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mailto:communications@safetyandquality.gov.au?subject=Enquiry"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image" Target="media/image9.jpeg"/><Relationship Id="rId33" Type="http://schemas.openxmlformats.org/officeDocument/2006/relationships/image" Target="media/image10.jp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reativecommons.org/licenses/by-nc-nd/4.0/" TargetMode="External"/><Relationship Id="rId32" Type="http://schemas.openxmlformats.org/officeDocument/2006/relationships/hyperlink" Target="https://www.safetyandquality.gov.au/publications-and-resources/resource-library/map-cosmetic-surgery-standards-national-safety-and-quality-health-service-standards"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safetyandquality.gov.au"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www.safetyandquality.gov.au/sites/default/files/2023-12/national_safety_and_quality_cosmetic_surgery_standard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mail@safetyandquality.gov.au" TargetMode="External"/><Relationship Id="rId27" Type="http://schemas.openxmlformats.org/officeDocument/2006/relationships/footer" Target="footer2.xml"/><Relationship Id="rId30" Type="http://schemas.openxmlformats.org/officeDocument/2006/relationships/hyperlink" Target="https://www.safetyandquality.gov.au/standards/national-safety-and-quality-cosmetic-surgery-standards" TargetMode="Externa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Storage3\ACSQHC\J8338%20AMS%20Book%20-%20MS%20WCAG\Files%20supplied%20by%20Sally%20for%20Word%20design\11_files_from_Word_file_references\TEMPLATE-Long-Form-Word%2021July%202023.dotx" TargetMode="External"/></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e610a26a2f41cde67e182aa95addfbc2">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4da6c367ebc3fcdcc5d7f249ee432c9d"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1C3D3-2B3A-4E54-8A75-513EA6A431F3}">
  <ds:schemaRefs>
    <ds:schemaRef ds:uri="http://schemas.microsoft.com/sharepoint/v3/contenttype/forms"/>
  </ds:schemaRefs>
</ds:datastoreItem>
</file>

<file path=customXml/itemProps2.xml><?xml version="1.0" encoding="utf-8"?>
<ds:datastoreItem xmlns:ds="http://schemas.openxmlformats.org/officeDocument/2006/customXml" ds:itemID="{7E94FBB9-FAD3-4960-8969-F1BB3B740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0993F-C032-4EB5-B966-AAD7DBE5B118}">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4.xml><?xml version="1.0" encoding="utf-8"?>
<ds:datastoreItem xmlns:ds="http://schemas.openxmlformats.org/officeDocument/2006/customXml" ds:itemID="{A7E8305F-3EED-AC44-A7A7-273B19AF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TEMPLATE-Long-Form-Word 21July 2023.dotx</Template>
  <TotalTime>2</TotalTime>
  <Pages>19</Pages>
  <Words>3898</Words>
  <Characters>22223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National Safety and Quality Cosmetic Surgery Standards</vt:lpstr>
    </vt:vector>
  </TitlesOfParts>
  <Manager/>
  <Company>Australian Commission on Safety and Quality in Health Care</Company>
  <LinksUpToDate>false</LinksUpToDate>
  <CharactersWithSpaces>26069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Safety and Quality Cosmetic Surgery Standards</dc:title>
  <dc:subject>The Cosmetic Surgery Standards aim to protect the public from harm and improve the quality of cosmetic surgery in Australia.</dc:subject>
  <dc:creator>Australian Commission on Safety and Quality in Health Care</dc:creator>
  <cp:keywords/>
  <dc:description>© Australian Commission on Safety and Quality in Health Care 2023
All material and work produced by the Australian Commission on Safety and Quality in Health Care (the Commission) is protected by copyright. The Commission reserves the right to set out the terms and conditions for the use of such material. 
As far as practicable, material for which the copyright is owned by a third party will be clearly labelled. The Commission has made all reasonable efforts to ensure that this material has been reproduced in this publication with the full consent of the copyright owners.
With the exception of any material protected by a trademark, any content provided by third parties and where otherwise noted, all material presented in this publication is licensed under a Creative Commons Attribution-NonCommercial-NoDerivatives 4.0 International licence.</dc:description>
  <cp:lastModifiedBy>HUMPHREYS, Alex</cp:lastModifiedBy>
  <cp:revision>4</cp:revision>
  <cp:lastPrinted>2024-05-07T03:09:00Z</cp:lastPrinted>
  <dcterms:created xsi:type="dcterms:W3CDTF">2024-05-22T06:32:00Z</dcterms:created>
  <dcterms:modified xsi:type="dcterms:W3CDTF">2024-05-23T21:52:00Z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ies>
</file>