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935F" w14:textId="77777777" w:rsidR="002E003F" w:rsidRPr="00204C47" w:rsidRDefault="002E003F" w:rsidP="005256DE">
      <w:pPr>
        <w:pStyle w:val="FactSheetType"/>
        <w:spacing w:after="0"/>
      </w:pPr>
      <w:r w:rsidRPr="0056304B">
        <w:rPr>
          <w:b/>
          <w:bCs w:val="0"/>
        </w:rPr>
        <w:t>INFORMATION</w:t>
      </w:r>
      <w:r w:rsidRPr="0056304B">
        <w:br/>
      </w:r>
      <w:r w:rsidRPr="00204C47">
        <w:t xml:space="preserve">for </w:t>
      </w:r>
      <w:r w:rsidR="00350DBE">
        <w:t>clinicians</w:t>
      </w:r>
    </w:p>
    <w:p w14:paraId="2054E3F3" w14:textId="6F1BEB19" w:rsidR="009F6AD7" w:rsidRDefault="00CB6558" w:rsidP="00450946">
      <w:pPr>
        <w:spacing w:before="0" w:after="240"/>
        <w:contextualSpacing/>
        <w:rPr>
          <w:rFonts w:eastAsia="MS Gothic" w:cs="Times New Roman (Headings CS)"/>
          <w:b/>
          <w:color w:val="005370"/>
          <w:spacing w:val="-6"/>
          <w:kern w:val="28"/>
          <w:sz w:val="56"/>
          <w:szCs w:val="56"/>
        </w:rPr>
      </w:pPr>
      <w:bookmarkStart w:id="0" w:name="_Hlk146803485"/>
      <w:r>
        <w:rPr>
          <w:rFonts w:eastAsia="MS Gothic" w:cs="Times New Roman (Headings CS)"/>
          <w:b/>
          <w:color w:val="005370"/>
          <w:spacing w:val="-6"/>
          <w:kern w:val="28"/>
          <w:sz w:val="56"/>
          <w:szCs w:val="56"/>
        </w:rPr>
        <w:t>Validating infection surveillance data</w:t>
      </w:r>
    </w:p>
    <w:p w14:paraId="2317ABFB" w14:textId="77777777" w:rsidR="005256DE" w:rsidRPr="005256DE" w:rsidRDefault="005256DE" w:rsidP="005256DE">
      <w:pPr>
        <w:spacing w:before="240" w:after="240"/>
        <w:contextualSpacing/>
        <w:rPr>
          <w:rFonts w:eastAsia="MS Gothic" w:cs="Times New Roman (Headings CS)"/>
          <w:b/>
          <w:color w:val="005370"/>
          <w:spacing w:val="-6"/>
          <w:kern w:val="28"/>
          <w:sz w:val="16"/>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F6AD7" w14:paraId="0C089314" w14:textId="77777777" w:rsidTr="009F6AD7">
        <w:trPr>
          <w:cnfStyle w:val="100000000000" w:firstRow="1" w:lastRow="0" w:firstColumn="0" w:lastColumn="0" w:oddVBand="0" w:evenVBand="0" w:oddHBand="0" w:evenHBand="0" w:firstRowFirstColumn="0" w:firstRowLastColumn="0" w:lastRowFirstColumn="0" w:lastRowLastColumn="0"/>
        </w:trPr>
        <w:tc>
          <w:tcPr>
            <w:tcW w:w="9628" w:type="dxa"/>
          </w:tcPr>
          <w:p w14:paraId="77CF83A8" w14:textId="40D0E028" w:rsidR="00D978EF" w:rsidRPr="007E3FE9" w:rsidRDefault="00D21AD5" w:rsidP="00450946">
            <w:pPr>
              <w:spacing w:before="0" w:after="0" w:line="276" w:lineRule="auto"/>
              <w:ind w:left="224" w:right="214"/>
              <w:rPr>
                <w:b w:val="0"/>
                <w:bCs/>
              </w:rPr>
            </w:pPr>
            <w:r w:rsidRPr="007E3FE9">
              <w:rPr>
                <w:b w:val="0"/>
                <w:bCs/>
              </w:rPr>
              <w:t xml:space="preserve">Surveillance refers to the ongoing, systematic collection, analysis, interpretation, and dissemination of data </w:t>
            </w:r>
            <w:r w:rsidR="007473A1">
              <w:rPr>
                <w:b w:val="0"/>
                <w:bCs/>
              </w:rPr>
              <w:t xml:space="preserve">about </w:t>
            </w:r>
            <w:r w:rsidRPr="007E3FE9">
              <w:rPr>
                <w:b w:val="0"/>
                <w:bCs/>
              </w:rPr>
              <w:t xml:space="preserve">a health-related event for use </w:t>
            </w:r>
            <w:r w:rsidR="007473A1">
              <w:rPr>
                <w:b w:val="0"/>
                <w:bCs/>
              </w:rPr>
              <w:t xml:space="preserve">for </w:t>
            </w:r>
            <w:r w:rsidRPr="007E3FE9">
              <w:rPr>
                <w:b w:val="0"/>
                <w:bCs/>
              </w:rPr>
              <w:t>public health action to reduce morbidity</w:t>
            </w:r>
            <w:r w:rsidR="007473A1">
              <w:rPr>
                <w:b w:val="0"/>
                <w:bCs/>
              </w:rPr>
              <w:t xml:space="preserve"> and</w:t>
            </w:r>
            <w:r w:rsidRPr="007E3FE9">
              <w:rPr>
                <w:b w:val="0"/>
                <w:bCs/>
              </w:rPr>
              <w:t xml:space="preserve"> mortality and to improve health.</w:t>
            </w:r>
            <w:r w:rsidR="00450946" w:rsidRPr="00450946">
              <w:rPr>
                <w:b w:val="0"/>
                <w:bCs/>
                <w:vertAlign w:val="superscript"/>
              </w:rPr>
              <w:t>1</w:t>
            </w:r>
            <w:r w:rsidRPr="007E3FE9">
              <w:rPr>
                <w:b w:val="0"/>
                <w:bCs/>
              </w:rPr>
              <w:t xml:space="preserve"> </w:t>
            </w:r>
            <w:r w:rsidR="009F6AD7" w:rsidRPr="007E3FE9">
              <w:rPr>
                <w:b w:val="0"/>
                <w:bCs/>
              </w:rPr>
              <w:t xml:space="preserve">The main purpose of infection surveillance is to </w:t>
            </w:r>
            <w:r w:rsidR="007473A1">
              <w:rPr>
                <w:b w:val="0"/>
                <w:bCs/>
              </w:rPr>
              <w:t xml:space="preserve">collect </w:t>
            </w:r>
            <w:r w:rsidRPr="007E3FE9">
              <w:rPr>
                <w:b w:val="0"/>
                <w:bCs/>
              </w:rPr>
              <w:t xml:space="preserve">information about the infectious agent, </w:t>
            </w:r>
            <w:r w:rsidR="007E3FE9" w:rsidRPr="007E3FE9">
              <w:rPr>
                <w:b w:val="0"/>
                <w:bCs/>
              </w:rPr>
              <w:t xml:space="preserve">its </w:t>
            </w:r>
            <w:r w:rsidRPr="007E3FE9">
              <w:rPr>
                <w:b w:val="0"/>
                <w:bCs/>
              </w:rPr>
              <w:t>host, the healthcare environment</w:t>
            </w:r>
            <w:r w:rsidR="007E3FE9" w:rsidRPr="007E3FE9">
              <w:rPr>
                <w:b w:val="0"/>
                <w:bCs/>
              </w:rPr>
              <w:t>,</w:t>
            </w:r>
            <w:r w:rsidRPr="007E3FE9">
              <w:rPr>
                <w:b w:val="0"/>
                <w:bCs/>
              </w:rPr>
              <w:t xml:space="preserve"> and other risk factors </w:t>
            </w:r>
            <w:r w:rsidR="009F6AD7" w:rsidRPr="007E3FE9">
              <w:rPr>
                <w:b w:val="0"/>
                <w:bCs/>
              </w:rPr>
              <w:t>that contribute to the spread of infectio</w:t>
            </w:r>
            <w:r w:rsidRPr="007E3FE9">
              <w:rPr>
                <w:b w:val="0"/>
                <w:bCs/>
              </w:rPr>
              <w:t>n</w:t>
            </w:r>
            <w:r w:rsidR="007E3FE9" w:rsidRPr="007E3FE9">
              <w:rPr>
                <w:b w:val="0"/>
                <w:bCs/>
              </w:rPr>
              <w:t>.</w:t>
            </w:r>
            <w:r w:rsidR="00450946" w:rsidRPr="00450946">
              <w:rPr>
                <w:b w:val="0"/>
                <w:bCs/>
                <w:vertAlign w:val="superscript"/>
              </w:rPr>
              <w:t>1</w:t>
            </w:r>
            <w:r w:rsidR="007E3FE9" w:rsidRPr="007E3FE9">
              <w:rPr>
                <w:b w:val="0"/>
                <w:bCs/>
              </w:rPr>
              <w:t xml:space="preserve"> T</w:t>
            </w:r>
            <w:r w:rsidRPr="007E3FE9">
              <w:rPr>
                <w:b w:val="0"/>
                <w:bCs/>
              </w:rPr>
              <w:t xml:space="preserve">his information </w:t>
            </w:r>
            <w:r w:rsidR="007E3FE9" w:rsidRPr="007E3FE9">
              <w:rPr>
                <w:b w:val="0"/>
                <w:bCs/>
              </w:rPr>
              <w:t>can then be used to</w:t>
            </w:r>
            <w:r w:rsidRPr="007E3FE9">
              <w:rPr>
                <w:b w:val="0"/>
                <w:bCs/>
              </w:rPr>
              <w:t xml:space="preserve"> implement</w:t>
            </w:r>
            <w:r w:rsidR="007E3FE9" w:rsidRPr="007E3FE9">
              <w:rPr>
                <w:b w:val="0"/>
                <w:bCs/>
              </w:rPr>
              <w:t xml:space="preserve"> effective</w:t>
            </w:r>
            <w:r w:rsidRPr="007E3FE9">
              <w:rPr>
                <w:b w:val="0"/>
                <w:bCs/>
              </w:rPr>
              <w:t xml:space="preserve"> infection prevention and control </w:t>
            </w:r>
            <w:r w:rsidR="000013B3">
              <w:rPr>
                <w:b w:val="0"/>
                <w:bCs/>
              </w:rPr>
              <w:t xml:space="preserve">(IPC) </w:t>
            </w:r>
            <w:r w:rsidRPr="007E3FE9">
              <w:rPr>
                <w:b w:val="0"/>
                <w:bCs/>
              </w:rPr>
              <w:t>measures</w:t>
            </w:r>
            <w:r w:rsidR="007E3FE9" w:rsidRPr="007E3FE9">
              <w:rPr>
                <w:b w:val="0"/>
                <w:bCs/>
              </w:rPr>
              <w:t xml:space="preserve"> to reduce </w:t>
            </w:r>
            <w:r w:rsidR="009F6AD7" w:rsidRPr="007E3FE9">
              <w:rPr>
                <w:b w:val="0"/>
                <w:bCs/>
              </w:rPr>
              <w:t>risk of infection.</w:t>
            </w:r>
          </w:p>
          <w:p w14:paraId="33B74AAF" w14:textId="77777777" w:rsidR="00D978EF" w:rsidRPr="00AE31F2" w:rsidRDefault="00D978EF" w:rsidP="00450946">
            <w:pPr>
              <w:spacing w:before="0" w:after="0" w:line="276" w:lineRule="auto"/>
              <w:ind w:left="224" w:right="214"/>
              <w:rPr>
                <w:bCs/>
                <w:sz w:val="16"/>
                <w:szCs w:val="16"/>
              </w:rPr>
            </w:pPr>
          </w:p>
          <w:p w14:paraId="77619CD0" w14:textId="14E24B36" w:rsidR="009F6AD7" w:rsidRPr="00D978EF" w:rsidRDefault="00D978EF" w:rsidP="00450946">
            <w:pPr>
              <w:spacing w:before="0" w:after="0" w:line="276" w:lineRule="auto"/>
              <w:ind w:left="224" w:right="214"/>
              <w:rPr>
                <w:bCs/>
              </w:rPr>
            </w:pPr>
            <w:r>
              <w:rPr>
                <w:b w:val="0"/>
                <w:bCs/>
              </w:rPr>
              <w:t>Depending on the type of health service, i</w:t>
            </w:r>
            <w:r w:rsidR="009F6AD7" w:rsidRPr="009F6AD7">
              <w:rPr>
                <w:b w:val="0"/>
                <w:bCs/>
              </w:rPr>
              <w:t xml:space="preserve">nfection surveillance </w:t>
            </w:r>
            <w:r>
              <w:rPr>
                <w:b w:val="0"/>
                <w:bCs/>
              </w:rPr>
              <w:t xml:space="preserve">may </w:t>
            </w:r>
            <w:r w:rsidR="009F6AD7" w:rsidRPr="009F6AD7">
              <w:rPr>
                <w:b w:val="0"/>
                <w:bCs/>
              </w:rPr>
              <w:t>include:</w:t>
            </w:r>
          </w:p>
          <w:p w14:paraId="76C9D0CB" w14:textId="28342797" w:rsidR="009F6AD7" w:rsidRPr="009F6AD7" w:rsidRDefault="00C77F3B" w:rsidP="00450946">
            <w:pPr>
              <w:numPr>
                <w:ilvl w:val="0"/>
                <w:numId w:val="30"/>
              </w:numPr>
              <w:spacing w:before="0" w:after="0" w:line="276" w:lineRule="auto"/>
              <w:ind w:left="933" w:right="214" w:hanging="284"/>
              <w:contextualSpacing/>
              <w:rPr>
                <w:b w:val="0"/>
                <w:bCs/>
              </w:rPr>
            </w:pPr>
            <w:r w:rsidRPr="009F6AD7">
              <w:rPr>
                <w:b w:val="0"/>
                <w:bCs/>
              </w:rPr>
              <w:t>Monitoring processe</w:t>
            </w:r>
            <w:r w:rsidR="00D978EF">
              <w:rPr>
                <w:b w:val="0"/>
                <w:bCs/>
              </w:rPr>
              <w:t>s</w:t>
            </w:r>
            <w:r w:rsidR="009F6AD7" w:rsidRPr="009F6AD7">
              <w:rPr>
                <w:b w:val="0"/>
                <w:bCs/>
              </w:rPr>
              <w:t xml:space="preserve"> that affect the risk of infection</w:t>
            </w:r>
            <w:r w:rsidR="00D978EF">
              <w:rPr>
                <w:b w:val="0"/>
                <w:bCs/>
              </w:rPr>
              <w:t xml:space="preserve">, </w:t>
            </w:r>
            <w:r w:rsidR="00D978EF" w:rsidRPr="009F6AD7">
              <w:rPr>
                <w:b w:val="0"/>
                <w:bCs/>
              </w:rPr>
              <w:t xml:space="preserve">such as hand hygiene, aseptic </w:t>
            </w:r>
            <w:proofErr w:type="gramStart"/>
            <w:r w:rsidR="00D978EF" w:rsidRPr="009F6AD7">
              <w:rPr>
                <w:b w:val="0"/>
                <w:bCs/>
              </w:rPr>
              <w:t>technique</w:t>
            </w:r>
            <w:proofErr w:type="gramEnd"/>
            <w:r w:rsidR="007473A1">
              <w:rPr>
                <w:b w:val="0"/>
                <w:bCs/>
              </w:rPr>
              <w:t xml:space="preserve"> or</w:t>
            </w:r>
            <w:r w:rsidR="00D978EF" w:rsidRPr="009F6AD7">
              <w:rPr>
                <w:b w:val="0"/>
                <w:bCs/>
              </w:rPr>
              <w:t xml:space="preserve"> correct use of</w:t>
            </w:r>
            <w:r w:rsidR="00D978EF">
              <w:rPr>
                <w:b w:val="0"/>
                <w:bCs/>
              </w:rPr>
              <w:t xml:space="preserve"> </w:t>
            </w:r>
            <w:r w:rsidR="00D978EF" w:rsidRPr="009F6AD7">
              <w:rPr>
                <w:b w:val="0"/>
                <w:bCs/>
              </w:rPr>
              <w:t>personal protective equipment</w:t>
            </w:r>
          </w:p>
          <w:p w14:paraId="375BF80E" w14:textId="6F3B2F23" w:rsidR="009F6AD7" w:rsidRPr="009F6AD7" w:rsidRDefault="00C77F3B" w:rsidP="00450946">
            <w:pPr>
              <w:numPr>
                <w:ilvl w:val="0"/>
                <w:numId w:val="30"/>
              </w:numPr>
              <w:spacing w:before="0" w:after="0" w:line="276" w:lineRule="auto"/>
              <w:ind w:left="933" w:right="214" w:hanging="284"/>
              <w:contextualSpacing/>
              <w:rPr>
                <w:b w:val="0"/>
                <w:bCs/>
              </w:rPr>
            </w:pPr>
            <w:r w:rsidRPr="009F6AD7">
              <w:rPr>
                <w:b w:val="0"/>
                <w:bCs/>
              </w:rPr>
              <w:t>M</w:t>
            </w:r>
            <w:r w:rsidR="00544AB8">
              <w:rPr>
                <w:b w:val="0"/>
                <w:bCs/>
              </w:rPr>
              <w:t xml:space="preserve">onitoring for </w:t>
            </w:r>
            <w:r w:rsidR="009F6AD7" w:rsidRPr="009F6AD7">
              <w:rPr>
                <w:b w:val="0"/>
                <w:bCs/>
              </w:rPr>
              <w:t>clinical outcomes, such as infection.</w:t>
            </w:r>
          </w:p>
          <w:p w14:paraId="1F820160" w14:textId="77777777" w:rsidR="00D978EF" w:rsidRPr="00AE31F2" w:rsidRDefault="00D978EF" w:rsidP="00450946">
            <w:pPr>
              <w:spacing w:before="0" w:after="0" w:line="276" w:lineRule="auto"/>
              <w:ind w:left="224" w:right="214"/>
              <w:rPr>
                <w:rFonts w:cs="Arial"/>
                <w:bCs/>
                <w:sz w:val="16"/>
                <w:szCs w:val="16"/>
              </w:rPr>
            </w:pPr>
          </w:p>
          <w:p w14:paraId="4EED98B7" w14:textId="73DF8326" w:rsidR="009F6AD7" w:rsidRPr="00D978EF" w:rsidRDefault="009F6AD7" w:rsidP="00450946">
            <w:pPr>
              <w:spacing w:before="0" w:after="0" w:line="276" w:lineRule="auto"/>
              <w:ind w:left="224" w:right="214"/>
              <w:rPr>
                <w:rFonts w:cs="Arial"/>
                <w:b w:val="0"/>
                <w:bCs/>
                <w:shd w:val="clear" w:color="auto" w:fill="FFFFFF"/>
              </w:rPr>
            </w:pPr>
            <w:r w:rsidRPr="009F6AD7">
              <w:rPr>
                <w:rFonts w:cs="Arial"/>
                <w:b w:val="0"/>
                <w:bCs/>
              </w:rPr>
              <w:t>It is critical to ensure that infection surveillance data is high quality and reflects the true risk of infection in a population or setting</w:t>
            </w:r>
            <w:r w:rsidR="00D978EF">
              <w:rPr>
                <w:rFonts w:cs="Arial"/>
                <w:b w:val="0"/>
                <w:bCs/>
              </w:rPr>
              <w:t xml:space="preserve"> before using it to</w:t>
            </w:r>
            <w:r w:rsidRPr="009F6AD7">
              <w:rPr>
                <w:rFonts w:cs="Arial"/>
                <w:b w:val="0"/>
                <w:bCs/>
              </w:rPr>
              <w:t xml:space="preserve"> </w:t>
            </w:r>
            <w:r w:rsidR="00D978EF">
              <w:rPr>
                <w:rFonts w:cs="Arial"/>
                <w:b w:val="0"/>
                <w:bCs/>
              </w:rPr>
              <w:t>inform</w:t>
            </w:r>
            <w:r w:rsidRPr="009F6AD7">
              <w:rPr>
                <w:rFonts w:cs="Arial"/>
                <w:b w:val="0"/>
                <w:bCs/>
              </w:rPr>
              <w:t xml:space="preserve"> IPC strategies</w:t>
            </w:r>
            <w:r w:rsidR="00D978EF">
              <w:rPr>
                <w:rFonts w:cs="Arial"/>
                <w:b w:val="0"/>
                <w:bCs/>
              </w:rPr>
              <w:t xml:space="preserve">. </w:t>
            </w:r>
            <w:r w:rsidRPr="00D978EF">
              <w:rPr>
                <w:rFonts w:cs="Arial"/>
                <w:b w:val="0"/>
                <w:bCs/>
                <w:color w:val="auto"/>
              </w:rPr>
              <w:t xml:space="preserve">High quality surveillance </w:t>
            </w:r>
            <w:r w:rsidRPr="009F6AD7">
              <w:rPr>
                <w:rFonts w:cs="Arial"/>
                <w:b w:val="0"/>
                <w:bCs/>
                <w:color w:val="000000" w:themeColor="text1"/>
              </w:rPr>
              <w:t xml:space="preserve">data can be </w:t>
            </w:r>
            <w:r w:rsidR="007473A1">
              <w:rPr>
                <w:rFonts w:cs="Arial"/>
                <w:b w:val="0"/>
                <w:bCs/>
                <w:color w:val="000000" w:themeColor="text1"/>
              </w:rPr>
              <w:t xml:space="preserve">obtained </w:t>
            </w:r>
            <w:r w:rsidR="00544AB8">
              <w:rPr>
                <w:rFonts w:cs="Arial"/>
                <w:b w:val="0"/>
                <w:bCs/>
                <w:color w:val="000000" w:themeColor="text1"/>
              </w:rPr>
              <w:t>by using</w:t>
            </w:r>
            <w:r w:rsidRPr="009F6AD7">
              <w:rPr>
                <w:rFonts w:cs="Arial"/>
                <w:b w:val="0"/>
                <w:bCs/>
                <w:color w:val="000000" w:themeColor="text1"/>
              </w:rPr>
              <w:t xml:space="preserve"> standardised surveillance methods and definitions, and </w:t>
            </w:r>
            <w:r w:rsidR="007473A1">
              <w:rPr>
                <w:rFonts w:cs="Arial"/>
                <w:b w:val="0"/>
                <w:bCs/>
                <w:color w:val="000000" w:themeColor="text1"/>
              </w:rPr>
              <w:t xml:space="preserve">by </w:t>
            </w:r>
            <w:r w:rsidRPr="009F6AD7">
              <w:rPr>
                <w:rFonts w:cs="Arial"/>
                <w:b w:val="0"/>
                <w:bCs/>
                <w:color w:val="000000" w:themeColor="text1"/>
              </w:rPr>
              <w:t>data validation.</w:t>
            </w:r>
          </w:p>
        </w:tc>
      </w:tr>
    </w:tbl>
    <w:p w14:paraId="4C13AFF6" w14:textId="5D860AD2" w:rsidR="00D978EF" w:rsidRPr="00D978EF" w:rsidRDefault="00D978EF" w:rsidP="00D978EF">
      <w:pPr>
        <w:keepNext/>
        <w:keepLines/>
        <w:tabs>
          <w:tab w:val="left" w:pos="1990"/>
        </w:tabs>
        <w:spacing w:before="0" w:after="240"/>
        <w:outlineLvl w:val="1"/>
        <w:rPr>
          <w:rFonts w:cs="Arial"/>
          <w:sz w:val="6"/>
          <w:szCs w:val="4"/>
          <w:lang w:val="en-GB"/>
        </w:rPr>
        <w:sectPr w:rsidR="00D978EF" w:rsidRPr="00D978EF" w:rsidSect="00450946">
          <w:headerReference w:type="even" r:id="rId11"/>
          <w:headerReference w:type="default" r:id="rId12"/>
          <w:footerReference w:type="even" r:id="rId13"/>
          <w:footerReference w:type="default" r:id="rId14"/>
          <w:headerReference w:type="first" r:id="rId15"/>
          <w:pgSz w:w="11906" w:h="16838"/>
          <w:pgMar w:top="1170" w:right="1134" w:bottom="1440" w:left="1134" w:header="709" w:footer="397" w:gutter="0"/>
          <w:cols w:space="708"/>
          <w:docGrid w:linePitch="360"/>
        </w:sectPr>
      </w:pPr>
      <w:r>
        <w:rPr>
          <w:rFonts w:cs="Arial"/>
          <w:b/>
          <w:bCs/>
          <w:iCs/>
          <w:color w:val="005370"/>
          <w:kern w:val="28"/>
          <w:sz w:val="32"/>
          <w:szCs w:val="28"/>
          <w:lang w:val="en-GB"/>
        </w:rPr>
        <w:tab/>
      </w:r>
    </w:p>
    <w:p w14:paraId="08DD3411" w14:textId="77777777" w:rsidR="00F9342D" w:rsidRPr="00F9342D" w:rsidRDefault="00F9342D" w:rsidP="00450946">
      <w:pPr>
        <w:keepNext/>
        <w:keepLines/>
        <w:spacing w:before="0" w:after="0"/>
        <w:outlineLvl w:val="1"/>
        <w:rPr>
          <w:rFonts w:cs="Arial"/>
          <w:b/>
          <w:bCs/>
          <w:iCs/>
          <w:color w:val="005370"/>
          <w:kern w:val="28"/>
          <w:sz w:val="32"/>
          <w:szCs w:val="28"/>
          <w:lang w:val="en-GB"/>
        </w:rPr>
      </w:pPr>
      <w:r w:rsidRPr="00F9342D">
        <w:rPr>
          <w:rFonts w:cs="Arial"/>
          <w:b/>
          <w:bCs/>
          <w:iCs/>
          <w:color w:val="005370"/>
          <w:kern w:val="28"/>
          <w:sz w:val="32"/>
          <w:szCs w:val="28"/>
          <w:lang w:val="en-GB"/>
        </w:rPr>
        <w:t>What is data validation?</w:t>
      </w:r>
    </w:p>
    <w:p w14:paraId="29232AD9" w14:textId="72C3601C" w:rsidR="00F9342D" w:rsidRPr="00F9342D" w:rsidRDefault="00F9342D" w:rsidP="00F9342D">
      <w:pPr>
        <w:rPr>
          <w:rFonts w:eastAsiaTheme="minorHAnsi" w:cstheme="minorBidi"/>
          <w:lang w:eastAsia="en-US"/>
        </w:rPr>
      </w:pPr>
      <w:r w:rsidRPr="00F9342D">
        <w:rPr>
          <w:rFonts w:eastAsiaTheme="minorHAnsi" w:cstheme="minorBidi"/>
          <w:lang w:eastAsia="en-US"/>
        </w:rPr>
        <w:t xml:space="preserve">Data validation refers to processes used to ensure that surveillance data is correct, complete, timely and plausible. If data is not validated, </w:t>
      </w:r>
      <w:r w:rsidR="00F20986">
        <w:rPr>
          <w:rFonts w:eastAsiaTheme="minorHAnsi" w:cstheme="minorBidi"/>
          <w:lang w:eastAsia="en-US"/>
        </w:rPr>
        <w:t>actions taken</w:t>
      </w:r>
      <w:r w:rsidRPr="00F9342D">
        <w:rPr>
          <w:rFonts w:eastAsiaTheme="minorHAnsi" w:cstheme="minorBidi"/>
          <w:lang w:eastAsia="en-US"/>
        </w:rPr>
        <w:t xml:space="preserve"> to</w:t>
      </w:r>
      <w:r w:rsidR="00F20986">
        <w:rPr>
          <w:rFonts w:eastAsiaTheme="minorHAnsi" w:cstheme="minorBidi"/>
          <w:lang w:eastAsia="en-US"/>
        </w:rPr>
        <w:t xml:space="preserve"> respond</w:t>
      </w:r>
      <w:r w:rsidRPr="00F9342D">
        <w:rPr>
          <w:rFonts w:eastAsiaTheme="minorHAnsi" w:cstheme="minorBidi"/>
          <w:lang w:eastAsia="en-US"/>
        </w:rPr>
        <w:t xml:space="preserve"> </w:t>
      </w:r>
      <w:r w:rsidR="004E393D">
        <w:rPr>
          <w:rFonts w:eastAsiaTheme="minorHAnsi" w:cstheme="minorBidi"/>
          <w:lang w:eastAsia="en-US"/>
        </w:rPr>
        <w:t xml:space="preserve">to </w:t>
      </w:r>
      <w:r w:rsidRPr="00F9342D">
        <w:rPr>
          <w:rFonts w:eastAsiaTheme="minorHAnsi" w:cstheme="minorBidi"/>
          <w:lang w:eastAsia="en-US"/>
        </w:rPr>
        <w:t>the data may be ill-informed and ineffective.</w:t>
      </w:r>
    </w:p>
    <w:p w14:paraId="452F82ED" w14:textId="0307A6F2" w:rsidR="00F9342D" w:rsidRPr="00F9342D" w:rsidRDefault="00F9342D" w:rsidP="00477753">
      <w:r w:rsidRPr="00F9342D">
        <w:t xml:space="preserve">Data validation relies on </w:t>
      </w:r>
      <w:r w:rsidR="007473A1">
        <w:t xml:space="preserve">the </w:t>
      </w:r>
      <w:r w:rsidRPr="00F9342D">
        <w:t>establish</w:t>
      </w:r>
      <w:r w:rsidR="007473A1">
        <w:t>ment of</w:t>
      </w:r>
      <w:r w:rsidRPr="00F9342D">
        <w:t xml:space="preserve"> a set of criteria to assess the quality of the surveillance data. Th</w:t>
      </w:r>
      <w:r w:rsidR="007473A1">
        <w:t>ese</w:t>
      </w:r>
      <w:r w:rsidRPr="00F9342D">
        <w:t xml:space="preserve"> </w:t>
      </w:r>
      <w:r w:rsidR="00F20986">
        <w:t xml:space="preserve">validation criteria </w:t>
      </w:r>
      <w:r w:rsidRPr="00F9342D">
        <w:t>provide a reference point that defines:</w:t>
      </w:r>
    </w:p>
    <w:p w14:paraId="4ABE8B80" w14:textId="3E9F9126" w:rsidR="00F9342D" w:rsidRPr="00F9342D" w:rsidRDefault="00C77F3B" w:rsidP="00477753">
      <w:pPr>
        <w:numPr>
          <w:ilvl w:val="0"/>
          <w:numId w:val="30"/>
        </w:numPr>
        <w:ind w:left="720"/>
        <w:contextualSpacing/>
      </w:pPr>
      <w:r w:rsidRPr="00F9342D">
        <w:t xml:space="preserve">What data needs to be recorded </w:t>
      </w:r>
    </w:p>
    <w:p w14:paraId="0AFA7955" w14:textId="5AC878E1" w:rsidR="00F9342D" w:rsidRPr="00F9342D" w:rsidRDefault="00C77F3B" w:rsidP="00477753">
      <w:pPr>
        <w:numPr>
          <w:ilvl w:val="0"/>
          <w:numId w:val="30"/>
        </w:numPr>
        <w:ind w:left="720"/>
        <w:contextualSpacing/>
      </w:pPr>
      <w:r w:rsidRPr="00F9342D">
        <w:t xml:space="preserve">How data needs to be presented </w:t>
      </w:r>
    </w:p>
    <w:p w14:paraId="09EDB1A2" w14:textId="34FC3FA7" w:rsidR="00F9342D" w:rsidRPr="00F20986" w:rsidRDefault="00C77F3B" w:rsidP="00477753">
      <w:pPr>
        <w:numPr>
          <w:ilvl w:val="0"/>
          <w:numId w:val="30"/>
        </w:numPr>
        <w:ind w:left="714" w:hanging="357"/>
        <w:contextualSpacing/>
      </w:pPr>
      <w:r w:rsidRPr="00F9342D">
        <w:t>What limits and parameters should be used to analyse the data</w:t>
      </w:r>
      <w:r w:rsidR="00F9342D" w:rsidRPr="00F9342D">
        <w:t>.</w:t>
      </w:r>
    </w:p>
    <w:p w14:paraId="3CFE3690" w14:textId="77777777" w:rsidR="00477753" w:rsidRDefault="00477753" w:rsidP="00477753">
      <w:pPr>
        <w:rPr>
          <w:rFonts w:cs="Arial"/>
          <w:b/>
          <w:bCs/>
        </w:rPr>
      </w:pPr>
    </w:p>
    <w:p w14:paraId="7EC44261" w14:textId="6343D98F" w:rsidR="00F9342D" w:rsidRPr="00F9342D" w:rsidRDefault="00F9342D" w:rsidP="00477753">
      <w:pPr>
        <w:rPr>
          <w:rFonts w:cs="Arial"/>
        </w:rPr>
      </w:pPr>
      <w:r w:rsidRPr="00F20986">
        <w:rPr>
          <w:rFonts w:cs="Arial"/>
          <w:b/>
          <w:bCs/>
        </w:rPr>
        <w:t>Table 1</w:t>
      </w:r>
      <w:r w:rsidRPr="00F9342D">
        <w:rPr>
          <w:rFonts w:cs="Arial"/>
        </w:rPr>
        <w:t xml:space="preserve"> includes a list of checks that form the basis of validation criteria for infection surveillance. </w:t>
      </w:r>
    </w:p>
    <w:p w14:paraId="325104AC" w14:textId="77777777" w:rsidR="00450946" w:rsidRDefault="00F9342D" w:rsidP="00F9342D">
      <w:pPr>
        <w:spacing w:after="0"/>
        <w:rPr>
          <w:rFonts w:eastAsiaTheme="minorHAnsi" w:cs="Arial"/>
          <w:lang w:eastAsia="en-US"/>
        </w:rPr>
      </w:pPr>
      <w:r w:rsidRPr="00F9342D">
        <w:rPr>
          <w:rFonts w:eastAsiaTheme="minorHAnsi" w:cs="Arial"/>
          <w:lang w:eastAsia="en-US"/>
        </w:rPr>
        <w:t xml:space="preserve">Some validation criteria will need to be specific to the process or clinical outcome that is being monitored. For example, the criteria to validate </w:t>
      </w:r>
      <w:r w:rsidRPr="00F9342D">
        <w:rPr>
          <w:rFonts w:eastAsiaTheme="minorHAnsi" w:cs="Arial"/>
          <w:i/>
          <w:iCs/>
          <w:lang w:eastAsia="en-US"/>
        </w:rPr>
        <w:t xml:space="preserve">Clostridioides difficile </w:t>
      </w:r>
      <w:r w:rsidRPr="00F9342D">
        <w:rPr>
          <w:rFonts w:eastAsiaTheme="minorHAnsi" w:cs="Arial"/>
          <w:lang w:eastAsia="en-US"/>
        </w:rPr>
        <w:t xml:space="preserve">infection surveillance data will be different to the criteria used to validate surveillance data </w:t>
      </w:r>
      <w:r w:rsidRPr="00F9342D">
        <w:rPr>
          <w:rFonts w:eastAsiaTheme="minorHAnsi" w:cs="Arial"/>
          <w:lang w:eastAsia="en-US"/>
        </w:rPr>
        <w:t>for infections related to total knee arthroplasty surgery.</w:t>
      </w:r>
      <w:r w:rsidR="00544AB8">
        <w:rPr>
          <w:rFonts w:eastAsiaTheme="minorHAnsi" w:cs="Arial"/>
          <w:lang w:eastAsia="en-US"/>
        </w:rPr>
        <w:t xml:space="preserve"> </w:t>
      </w:r>
    </w:p>
    <w:p w14:paraId="4A337BB9" w14:textId="349A37B3" w:rsidR="00F9342D" w:rsidRPr="00F9342D" w:rsidRDefault="00F9342D" w:rsidP="00F9342D">
      <w:pPr>
        <w:spacing w:after="0"/>
        <w:rPr>
          <w:rFonts w:eastAsiaTheme="minorHAnsi" w:cs="Arial"/>
          <w:lang w:eastAsia="en-US"/>
        </w:rPr>
      </w:pPr>
      <w:r w:rsidRPr="00F9342D">
        <w:rPr>
          <w:rFonts w:eastAsiaTheme="minorHAnsi" w:cs="Arial"/>
          <w:lang w:eastAsia="en-US"/>
        </w:rPr>
        <w:t>Criteria may also change over time in response to changes in benchmarks, or due to changes in clinical and surveillance practices.</w:t>
      </w:r>
      <w:r w:rsidR="00450946">
        <w:rPr>
          <w:rFonts w:eastAsiaTheme="minorHAnsi" w:cs="Arial"/>
          <w:vertAlign w:val="superscript"/>
          <w:lang w:eastAsia="en-US"/>
        </w:rPr>
        <w:t>2</w:t>
      </w:r>
    </w:p>
    <w:p w14:paraId="341E450B" w14:textId="77777777" w:rsidR="00F9342D" w:rsidRPr="00F9342D" w:rsidRDefault="00F9342D" w:rsidP="00F9342D">
      <w:pPr>
        <w:spacing w:after="0"/>
        <w:rPr>
          <w:rFonts w:eastAsiaTheme="minorHAnsi" w:cs="Arial"/>
          <w:lang w:eastAsia="en-US"/>
        </w:rPr>
      </w:pPr>
      <w:r w:rsidRPr="00F9342D">
        <w:rPr>
          <w:rFonts w:eastAsiaTheme="minorHAnsi" w:cs="Arial"/>
          <w:lang w:eastAsia="en-US"/>
        </w:rPr>
        <w:t xml:space="preserve">Data validation should be done during surveillance data collection, data entry, and, crucially, before the data is analysed or used. Additional checking of the data may be required if: </w:t>
      </w:r>
    </w:p>
    <w:p w14:paraId="084B92DD" w14:textId="6CC742FE" w:rsidR="00F9342D" w:rsidRPr="00F9342D" w:rsidRDefault="00C77F3B" w:rsidP="00F9342D">
      <w:pPr>
        <w:numPr>
          <w:ilvl w:val="0"/>
          <w:numId w:val="30"/>
        </w:numPr>
        <w:ind w:left="720"/>
        <w:contextualSpacing/>
      </w:pPr>
      <w:r w:rsidRPr="00F9342D">
        <w:rPr>
          <w:rFonts w:eastAsiaTheme="minorHAnsi" w:cs="Arial"/>
          <w:lang w:eastAsia="en-US"/>
        </w:rPr>
        <w:t>T</w:t>
      </w:r>
      <w:r w:rsidR="00F9342D" w:rsidRPr="00F9342D">
        <w:t>here has been a recent history of poor data quality</w:t>
      </w:r>
    </w:p>
    <w:p w14:paraId="564DCFEC" w14:textId="4ED4CE8F" w:rsidR="00F9342D" w:rsidRPr="00F9342D" w:rsidRDefault="00C77F3B" w:rsidP="00F9342D">
      <w:pPr>
        <w:numPr>
          <w:ilvl w:val="0"/>
          <w:numId w:val="30"/>
        </w:numPr>
        <w:ind w:left="720"/>
        <w:contextualSpacing/>
      </w:pPr>
      <w:r w:rsidRPr="00F9342D">
        <w:t>A new ward, service or facility is opened or commissioned</w:t>
      </w:r>
    </w:p>
    <w:p w14:paraId="022E6DF3" w14:textId="404640B4" w:rsidR="00F9342D" w:rsidRPr="00F9342D" w:rsidRDefault="00C77F3B" w:rsidP="00F9342D">
      <w:pPr>
        <w:numPr>
          <w:ilvl w:val="0"/>
          <w:numId w:val="30"/>
        </w:numPr>
        <w:ind w:left="720"/>
        <w:contextualSpacing/>
      </w:pPr>
      <w:r w:rsidRPr="00F9342D">
        <w:t>New surveillance staff have commenced</w:t>
      </w:r>
    </w:p>
    <w:p w14:paraId="4A3CB541" w14:textId="738D0F87" w:rsidR="00F9342D" w:rsidRPr="00F9342D" w:rsidRDefault="00C77F3B" w:rsidP="00F9342D">
      <w:pPr>
        <w:numPr>
          <w:ilvl w:val="0"/>
          <w:numId w:val="30"/>
        </w:numPr>
        <w:ind w:left="720"/>
        <w:contextualSpacing/>
      </w:pPr>
      <w:r w:rsidRPr="00F9342D">
        <w:t>A new data system contributing to surveillance data is in operation</w:t>
      </w:r>
    </w:p>
    <w:p w14:paraId="1BB5217D" w14:textId="744592A1" w:rsidR="00F20986" w:rsidRPr="005256DE" w:rsidRDefault="00C77F3B" w:rsidP="00830594">
      <w:pPr>
        <w:numPr>
          <w:ilvl w:val="0"/>
          <w:numId w:val="30"/>
        </w:numPr>
        <w:spacing w:after="0"/>
        <w:ind w:left="714" w:hanging="357"/>
        <w:rPr>
          <w:rFonts w:eastAsiaTheme="minorHAnsi" w:cs="Arial"/>
          <w:lang w:eastAsia="en-US"/>
        </w:rPr>
      </w:pPr>
      <w:r w:rsidRPr="00F9342D">
        <w:t xml:space="preserve">There are changes in </w:t>
      </w:r>
      <w:r w:rsidR="00F9342D" w:rsidRPr="00F9342D">
        <w:t>laboratory testing or reporting practices that affect surveillance.</w:t>
      </w:r>
    </w:p>
    <w:p w14:paraId="73EB5899" w14:textId="1AF838AA" w:rsidR="00F9342D" w:rsidRPr="00F9342D" w:rsidRDefault="00F9342D" w:rsidP="00830594">
      <w:pPr>
        <w:spacing w:after="0"/>
        <w:rPr>
          <w:rFonts w:cs="Arial"/>
          <w:vertAlign w:val="superscript"/>
        </w:rPr>
      </w:pPr>
      <w:r w:rsidRPr="00F9342D">
        <w:rPr>
          <w:rFonts w:cs="Arial"/>
        </w:rPr>
        <w:t>Ideally, independent audits of surveillance data (</w:t>
      </w:r>
      <w:r w:rsidR="004E393D">
        <w:rPr>
          <w:rFonts w:cs="Arial"/>
        </w:rPr>
        <w:t>for example,</w:t>
      </w:r>
      <w:r w:rsidRPr="00F9342D">
        <w:rPr>
          <w:rFonts w:cs="Arial"/>
        </w:rPr>
        <w:t xml:space="preserve"> spot checks) should also </w:t>
      </w:r>
      <w:r w:rsidRPr="00F9342D">
        <w:rPr>
          <w:rFonts w:cs="Arial"/>
        </w:rPr>
        <w:lastRenderedPageBreak/>
        <w:t xml:space="preserve">be undertaken to complement </w:t>
      </w:r>
      <w:r w:rsidR="00CB6558">
        <w:rPr>
          <w:rFonts w:cs="Arial"/>
        </w:rPr>
        <w:t xml:space="preserve">routine </w:t>
      </w:r>
      <w:r w:rsidRPr="00F9342D">
        <w:rPr>
          <w:rFonts w:cs="Arial"/>
        </w:rPr>
        <w:t>data validation processes.</w:t>
      </w:r>
      <w:r w:rsidR="00450946">
        <w:rPr>
          <w:rFonts w:cs="Arial"/>
          <w:vertAlign w:val="superscript"/>
        </w:rPr>
        <w:t>3</w:t>
      </w:r>
    </w:p>
    <w:p w14:paraId="7326AF3C" w14:textId="77777777" w:rsidR="005256DE" w:rsidRDefault="005256DE" w:rsidP="00544AB8">
      <w:pPr>
        <w:spacing w:before="0" w:after="0"/>
        <w:rPr>
          <w:rFonts w:eastAsiaTheme="minorHAnsi" w:cs="Arial"/>
          <w:lang w:eastAsia="en-US"/>
        </w:rPr>
      </w:pPr>
    </w:p>
    <w:p w14:paraId="26B2C99D" w14:textId="095D7E44" w:rsidR="00F9342D" w:rsidRPr="00F9342D" w:rsidRDefault="00F9342D" w:rsidP="00544AB8">
      <w:pPr>
        <w:spacing w:before="0" w:after="0"/>
        <w:rPr>
          <w:rFonts w:eastAsiaTheme="minorHAnsi" w:cs="Arial"/>
          <w:lang w:eastAsia="en-US"/>
        </w:rPr>
      </w:pPr>
      <w:r w:rsidRPr="00F9342D">
        <w:rPr>
          <w:rFonts w:eastAsiaTheme="minorHAnsi" w:cs="Arial"/>
          <w:lang w:eastAsia="en-US"/>
        </w:rPr>
        <w:t>Data validation can be done:</w:t>
      </w:r>
    </w:p>
    <w:p w14:paraId="33ED5265" w14:textId="0BCB684C" w:rsidR="00F9342D" w:rsidRPr="00F9342D" w:rsidRDefault="00C77F3B" w:rsidP="00F9342D">
      <w:pPr>
        <w:numPr>
          <w:ilvl w:val="0"/>
          <w:numId w:val="30"/>
        </w:numPr>
        <w:ind w:left="720"/>
        <w:contextualSpacing/>
      </w:pPr>
      <w:r>
        <w:t xml:space="preserve">By </w:t>
      </w:r>
      <w:r w:rsidR="00F9342D" w:rsidRPr="00F9342D">
        <w:t xml:space="preserve">manually reviewing </w:t>
      </w:r>
      <w:r w:rsidR="00F20986">
        <w:t>data</w:t>
      </w:r>
      <w:r w:rsidR="00F9342D" w:rsidRPr="00F9342D">
        <w:t xml:space="preserve"> </w:t>
      </w:r>
    </w:p>
    <w:p w14:paraId="327EB5AC" w14:textId="579C501A" w:rsidR="00F9342D" w:rsidRPr="00F9342D" w:rsidRDefault="00C77F3B" w:rsidP="00F9342D">
      <w:pPr>
        <w:numPr>
          <w:ilvl w:val="0"/>
          <w:numId w:val="30"/>
        </w:numPr>
        <w:ind w:left="720"/>
        <w:contextualSpacing/>
      </w:pPr>
      <w:r>
        <w:t>Using</w:t>
      </w:r>
      <w:r w:rsidR="00F9342D" w:rsidRPr="00F9342D">
        <w:t xml:space="preserve"> automated processes</w:t>
      </w:r>
      <w:r w:rsidR="00BE4A46">
        <w:t xml:space="preserve"> that</w:t>
      </w:r>
      <w:r w:rsidR="00F9342D" w:rsidRPr="00F9342D">
        <w:t xml:space="preserve"> link </w:t>
      </w:r>
      <w:r w:rsidR="00BE4A46">
        <w:t xml:space="preserve">information systems, such as </w:t>
      </w:r>
      <w:r w:rsidR="00F9342D" w:rsidRPr="00F9342D">
        <w:t>surveillance databases</w:t>
      </w:r>
      <w:r w:rsidR="00BE4A46">
        <w:t xml:space="preserve">, </w:t>
      </w:r>
      <w:r w:rsidR="00F9342D" w:rsidRPr="00F9342D">
        <w:t xml:space="preserve">patient admission </w:t>
      </w:r>
      <w:r w:rsidR="00BE4A46">
        <w:t xml:space="preserve">records </w:t>
      </w:r>
      <w:r w:rsidR="00F9342D" w:rsidRPr="00F9342D">
        <w:t xml:space="preserve">and pathology systems, </w:t>
      </w:r>
      <w:r w:rsidR="00BE4A46">
        <w:t xml:space="preserve">and use </w:t>
      </w:r>
      <w:r w:rsidR="00F9342D" w:rsidRPr="00F9342D">
        <w:t xml:space="preserve">programming software to clean and check </w:t>
      </w:r>
      <w:r w:rsidR="00BE4A46">
        <w:t>the</w:t>
      </w:r>
      <w:r w:rsidR="00F9342D" w:rsidRPr="00F9342D">
        <w:t xml:space="preserve"> data</w:t>
      </w:r>
    </w:p>
    <w:p w14:paraId="420C5E2D" w14:textId="3E1CD802" w:rsidR="00F9342D" w:rsidRPr="00F9342D" w:rsidRDefault="00C77F3B" w:rsidP="004E393D">
      <w:pPr>
        <w:numPr>
          <w:ilvl w:val="0"/>
          <w:numId w:val="30"/>
        </w:numPr>
        <w:ind w:left="714" w:hanging="357"/>
      </w:pPr>
      <w:r w:rsidRPr="00F9342D">
        <w:t>Using a combination of manual and automated pr</w:t>
      </w:r>
      <w:r w:rsidR="00F9342D" w:rsidRPr="00F9342D">
        <w:t xml:space="preserve">ocesses. </w:t>
      </w:r>
    </w:p>
    <w:p w14:paraId="0BBEDDB3" w14:textId="22B9EC83" w:rsidR="004E393D" w:rsidRDefault="00F9342D" w:rsidP="004E393D">
      <w:pPr>
        <w:spacing w:after="0"/>
        <w:rPr>
          <w:rFonts w:eastAsiaTheme="minorHAnsi" w:cs="Arial"/>
          <w:lang w:eastAsia="en-US"/>
        </w:rPr>
      </w:pPr>
      <w:r w:rsidRPr="00F9342D">
        <w:rPr>
          <w:rFonts w:eastAsiaTheme="minorHAnsi" w:cs="Arial"/>
          <w:lang w:eastAsia="en-US"/>
        </w:rPr>
        <w:t xml:space="preserve">Manual data validation can be labour intensive and require specialised surveillance skills and knowledge to review the data.  However, errors are </w:t>
      </w:r>
      <w:r w:rsidR="007473A1" w:rsidRPr="007473A1">
        <w:rPr>
          <w:rFonts w:eastAsiaTheme="minorHAnsi" w:cs="Arial"/>
          <w:lang w:eastAsia="en-US"/>
        </w:rPr>
        <w:t xml:space="preserve">often </w:t>
      </w:r>
      <w:r w:rsidRPr="00F9342D">
        <w:rPr>
          <w:rFonts w:eastAsiaTheme="minorHAnsi" w:cs="Arial"/>
          <w:lang w:eastAsia="en-US"/>
        </w:rPr>
        <w:t xml:space="preserve">easy to fix when found through manual data validation. </w:t>
      </w:r>
    </w:p>
    <w:p w14:paraId="59CF0BC5" w14:textId="77777777" w:rsidR="004E393D" w:rsidRDefault="00F9342D" w:rsidP="004E393D">
      <w:pPr>
        <w:spacing w:after="0"/>
        <w:rPr>
          <w:rFonts w:eastAsiaTheme="minorHAnsi" w:cs="Arial"/>
          <w:lang w:eastAsia="en-US"/>
        </w:rPr>
      </w:pPr>
      <w:r w:rsidRPr="00F9342D">
        <w:rPr>
          <w:rFonts w:eastAsiaTheme="minorHAnsi" w:cs="Arial"/>
          <w:lang w:eastAsia="en-US"/>
        </w:rPr>
        <w:t>Automated data validation can provide more accurate data</w:t>
      </w:r>
      <w:r w:rsidR="00450946">
        <w:rPr>
          <w:rFonts w:eastAsiaTheme="minorHAnsi" w:cs="Arial"/>
          <w:vertAlign w:val="superscript"/>
          <w:lang w:eastAsia="en-US"/>
        </w:rPr>
        <w:t>4</w:t>
      </w:r>
      <w:r w:rsidRPr="00F9342D">
        <w:rPr>
          <w:rFonts w:eastAsiaTheme="minorHAnsi" w:cs="Arial"/>
          <w:lang w:eastAsia="en-US"/>
        </w:rPr>
        <w:t xml:space="preserve">, however setup can be expensive and will require biostatistical and programming skills and software. </w:t>
      </w:r>
      <w:r w:rsidR="00C77F3B" w:rsidRPr="00C77F3B">
        <w:rPr>
          <w:rFonts w:eastAsiaTheme="minorHAnsi" w:cs="Arial"/>
          <w:lang w:eastAsia="en-US"/>
        </w:rPr>
        <w:t xml:space="preserve">There is also a risk that any errors made during the setup of the automated data validation can inadvertently introduce errors into surveillance data. </w:t>
      </w:r>
    </w:p>
    <w:p w14:paraId="46B246CD" w14:textId="5EEFFBD8" w:rsidR="00BE4A46" w:rsidRDefault="00F9342D" w:rsidP="004E393D">
      <w:pPr>
        <w:spacing w:after="0"/>
        <w:rPr>
          <w:rFonts w:eastAsiaTheme="minorHAnsi" w:cs="Arial"/>
          <w:lang w:eastAsia="en-US"/>
        </w:rPr>
      </w:pPr>
      <w:r w:rsidRPr="00F9342D">
        <w:rPr>
          <w:rFonts w:eastAsiaTheme="minorHAnsi" w:cs="Arial"/>
          <w:lang w:eastAsia="en-US"/>
        </w:rPr>
        <w:t>Organisations should consider the advantages and disadvantages of manual and automated data validation, relative to the</w:t>
      </w:r>
      <w:r w:rsidR="007473A1">
        <w:rPr>
          <w:rFonts w:eastAsiaTheme="minorHAnsi" w:cs="Arial"/>
          <w:lang w:eastAsia="en-US"/>
        </w:rPr>
        <w:t>ir</w:t>
      </w:r>
      <w:r w:rsidRPr="00F9342D">
        <w:rPr>
          <w:rFonts w:eastAsiaTheme="minorHAnsi" w:cs="Arial"/>
          <w:lang w:eastAsia="en-US"/>
        </w:rPr>
        <w:t xml:space="preserve"> infection surveillance needs. </w:t>
      </w:r>
    </w:p>
    <w:p w14:paraId="257666EE" w14:textId="77777777" w:rsidR="00544AB8" w:rsidRPr="00BE4A46" w:rsidRDefault="00544AB8" w:rsidP="00544AB8">
      <w:pPr>
        <w:spacing w:before="0" w:after="0"/>
        <w:rPr>
          <w:rFonts w:eastAsiaTheme="minorHAnsi" w:cs="Arial"/>
          <w:lang w:eastAsia="en-US"/>
        </w:rPr>
      </w:pPr>
    </w:p>
    <w:p w14:paraId="40530E66" w14:textId="77777777" w:rsidR="00BE4A46" w:rsidRPr="00F9342D" w:rsidRDefault="00BE4A46" w:rsidP="00544AB8">
      <w:pPr>
        <w:keepNext/>
        <w:keepLines/>
        <w:spacing w:before="0" w:after="240"/>
        <w:outlineLvl w:val="1"/>
        <w:rPr>
          <w:rFonts w:cs="Arial"/>
          <w:b/>
          <w:bCs/>
          <w:iCs/>
          <w:color w:val="005370"/>
          <w:kern w:val="28"/>
          <w:sz w:val="32"/>
          <w:szCs w:val="28"/>
          <w:lang w:val="en-GB"/>
        </w:rPr>
      </w:pPr>
      <w:r w:rsidRPr="00F9342D">
        <w:rPr>
          <w:rFonts w:cs="Arial"/>
          <w:b/>
          <w:bCs/>
          <w:iCs/>
          <w:color w:val="005370"/>
          <w:kern w:val="28"/>
          <w:sz w:val="32"/>
          <w:szCs w:val="28"/>
          <w:lang w:val="en-GB"/>
        </w:rPr>
        <w:t>Data validation in practice</w:t>
      </w:r>
    </w:p>
    <w:p w14:paraId="7B360130" w14:textId="7122F15D" w:rsidR="00BE4A46" w:rsidRPr="00707D22" w:rsidRDefault="00BE4A46" w:rsidP="00BE4A46">
      <w:pPr>
        <w:pStyle w:val="PulloutTextHead"/>
        <w:spacing w:after="0"/>
        <w:jc w:val="both"/>
      </w:pPr>
      <w:r>
        <w:t>CASE SCENARIO 1</w:t>
      </w:r>
    </w:p>
    <w:p w14:paraId="52102A64" w14:textId="498D1C75" w:rsidR="00BE4A46" w:rsidRDefault="00BE4A46" w:rsidP="00544AB8">
      <w:pPr>
        <w:pStyle w:val="PulloutTextBody"/>
        <w:spacing w:before="0" w:after="0"/>
        <w:rPr>
          <w:rFonts w:cs="Arial"/>
        </w:rPr>
      </w:pPr>
      <w:r w:rsidRPr="00F9342D">
        <w:rPr>
          <w:rFonts w:cs="Arial"/>
        </w:rPr>
        <w:t>A hospital’s IPC team is preparing a twelve-month chart of bloodstream infections (BSIs). Based on the data that has been collected, at least eight infections occurred in each month,</w:t>
      </w:r>
      <w:r w:rsidRPr="00BE4A46">
        <w:rPr>
          <w:rFonts w:cs="Arial"/>
        </w:rPr>
        <w:t xml:space="preserve"> </w:t>
      </w:r>
      <w:r w:rsidRPr="00F9342D">
        <w:rPr>
          <w:rFonts w:cs="Arial"/>
        </w:rPr>
        <w:t>except for June, when there were two BSIs</w:t>
      </w:r>
      <w:r>
        <w:rPr>
          <w:rFonts w:cs="Arial"/>
        </w:rPr>
        <w:t>.</w:t>
      </w:r>
    </w:p>
    <w:p w14:paraId="48E47A9D" w14:textId="0F18091F" w:rsidR="00BE4A46" w:rsidRDefault="00BE4A46" w:rsidP="00BE4A46">
      <w:pPr>
        <w:spacing w:after="200"/>
        <w:rPr>
          <w:rFonts w:cs="Arial"/>
        </w:rPr>
      </w:pPr>
      <w:r w:rsidRPr="00F9342D">
        <w:rPr>
          <w:rFonts w:cs="Arial"/>
        </w:rPr>
        <w:t xml:space="preserve">IPC teams have a good understanding and awareness of the surveillance data being collected and understand the usual infection trends in their organisation. </w:t>
      </w:r>
    </w:p>
    <w:p w14:paraId="5E05A348" w14:textId="45898C9F" w:rsidR="00BE4A46" w:rsidRPr="00F9342D" w:rsidRDefault="00BE4A46" w:rsidP="00BE4A46">
      <w:pPr>
        <w:spacing w:after="200"/>
        <w:rPr>
          <w:rFonts w:cs="Arial"/>
        </w:rPr>
      </w:pPr>
      <w:r w:rsidRPr="00F9342D">
        <w:rPr>
          <w:rFonts w:cs="Arial"/>
        </w:rPr>
        <w:t xml:space="preserve">The two cases in June, in the context of the rest of the data, should alert the IPC team to crosscheck the surveillance data for the month of June to ensure that all BSI cases have been included in the surveillance data. </w:t>
      </w:r>
    </w:p>
    <w:p w14:paraId="413E07EF" w14:textId="66963142" w:rsidR="00BE4A46" w:rsidRPr="00707D22" w:rsidRDefault="00BE4A46" w:rsidP="00BE4A46">
      <w:pPr>
        <w:pStyle w:val="PulloutTextHead"/>
        <w:spacing w:after="0"/>
        <w:jc w:val="both"/>
      </w:pPr>
      <w:r>
        <w:t>CASE SCENARIO 2</w:t>
      </w:r>
    </w:p>
    <w:p w14:paraId="1955E962" w14:textId="379D7B8A" w:rsidR="00BE4A46" w:rsidRPr="00BE4A46" w:rsidRDefault="00BE4A46" w:rsidP="00544AB8">
      <w:pPr>
        <w:pStyle w:val="PulloutTextBody"/>
        <w:spacing w:before="0" w:after="0"/>
        <w:rPr>
          <w:rFonts w:cs="Arial"/>
        </w:rPr>
      </w:pPr>
      <w:r w:rsidRPr="00F9342D">
        <w:rPr>
          <w:rFonts w:eastAsiaTheme="minorHAnsi" w:cs="Arial"/>
          <w:lang w:eastAsia="en-US"/>
        </w:rPr>
        <w:t xml:space="preserve">When an organisation submits data to the </w:t>
      </w:r>
      <w:hyperlink r:id="rId16" w:history="1">
        <w:r w:rsidRPr="00F9342D">
          <w:rPr>
            <w:color w:val="005370"/>
            <w:u w:val="single"/>
          </w:rPr>
          <w:t>National Hand Hygiene Initiative Hand Hygiene Compliance Application (</w:t>
        </w:r>
        <w:proofErr w:type="spellStart"/>
        <w:r w:rsidRPr="00F9342D">
          <w:rPr>
            <w:color w:val="005370"/>
            <w:u w:val="single"/>
          </w:rPr>
          <w:t>HHCApp</w:t>
        </w:r>
        <w:proofErr w:type="spellEnd"/>
        <w:r w:rsidRPr="00F9342D">
          <w:rPr>
            <w:color w:val="005370"/>
            <w:u w:val="single"/>
          </w:rPr>
          <w:t>)</w:t>
        </w:r>
      </w:hyperlink>
      <w:r w:rsidRPr="00F9342D">
        <w:rPr>
          <w:rFonts w:eastAsiaTheme="minorHAnsi" w:cs="Arial"/>
          <w:lang w:eastAsia="en-US"/>
        </w:rPr>
        <w:t xml:space="preserve">, the </w:t>
      </w:r>
      <w:proofErr w:type="spellStart"/>
      <w:r w:rsidRPr="00F9342D">
        <w:rPr>
          <w:rFonts w:eastAsiaTheme="minorHAnsi" w:cs="Arial"/>
          <w:lang w:eastAsia="en-US"/>
        </w:rPr>
        <w:t>HHCApp</w:t>
      </w:r>
      <w:proofErr w:type="spellEnd"/>
      <w:r w:rsidRPr="00F9342D">
        <w:rPr>
          <w:rFonts w:eastAsiaTheme="minorHAnsi" w:cs="Arial"/>
          <w:lang w:eastAsia="en-US"/>
        </w:rPr>
        <w:t xml:space="preserve"> validation report will indicate if </w:t>
      </w:r>
      <w:r w:rsidR="007473A1">
        <w:rPr>
          <w:rFonts w:eastAsiaTheme="minorHAnsi" w:cs="Arial"/>
          <w:lang w:eastAsia="en-US"/>
        </w:rPr>
        <w:t xml:space="preserve">more than </w:t>
      </w:r>
      <w:r w:rsidRPr="00F9342D">
        <w:rPr>
          <w:rFonts w:eastAsiaTheme="minorHAnsi" w:cs="Arial"/>
          <w:lang w:eastAsia="en-US"/>
        </w:rPr>
        <w:t xml:space="preserve">700 moments against an auditor’s name. </w:t>
      </w:r>
    </w:p>
    <w:p w14:paraId="486368EE" w14:textId="77777777" w:rsidR="00CB6558" w:rsidRPr="00CB6558" w:rsidRDefault="00CB6558" w:rsidP="00CB6558">
      <w:pPr>
        <w:spacing w:before="0" w:after="0"/>
        <w:rPr>
          <w:rFonts w:eastAsiaTheme="minorHAnsi" w:cs="Arial"/>
          <w:sz w:val="14"/>
          <w:szCs w:val="14"/>
          <w:lang w:eastAsia="en-US"/>
        </w:rPr>
      </w:pPr>
    </w:p>
    <w:p w14:paraId="0FE7217B" w14:textId="147F2DE2" w:rsidR="00BE4A46" w:rsidRDefault="00BE4A46" w:rsidP="00CB6558">
      <w:pPr>
        <w:spacing w:before="0" w:after="0"/>
        <w:rPr>
          <w:rFonts w:eastAsiaTheme="minorHAnsi" w:cs="Arial"/>
          <w:lang w:eastAsia="en-US"/>
        </w:rPr>
      </w:pPr>
      <w:r w:rsidRPr="00F9342D">
        <w:rPr>
          <w:rFonts w:eastAsiaTheme="minorHAnsi" w:cs="Arial"/>
          <w:lang w:eastAsia="en-US"/>
        </w:rPr>
        <w:t xml:space="preserve">Data </w:t>
      </w:r>
      <w:r w:rsidR="007473A1">
        <w:rPr>
          <w:rFonts w:eastAsiaTheme="minorHAnsi" w:cs="Arial"/>
          <w:lang w:eastAsia="en-US"/>
        </w:rPr>
        <w:t xml:space="preserve">that </w:t>
      </w:r>
      <w:r w:rsidRPr="00F9342D">
        <w:rPr>
          <w:rFonts w:eastAsiaTheme="minorHAnsi" w:cs="Arial"/>
          <w:lang w:eastAsia="en-US"/>
        </w:rPr>
        <w:t xml:space="preserve">has been collected in the </w:t>
      </w:r>
      <w:proofErr w:type="spellStart"/>
      <w:r w:rsidRPr="00F9342D">
        <w:rPr>
          <w:rFonts w:eastAsiaTheme="minorHAnsi" w:cs="Arial"/>
          <w:lang w:eastAsia="en-US"/>
        </w:rPr>
        <w:t>HHCApp</w:t>
      </w:r>
      <w:proofErr w:type="spellEnd"/>
      <w:r w:rsidRPr="00F9342D">
        <w:rPr>
          <w:rFonts w:eastAsiaTheme="minorHAnsi" w:cs="Arial"/>
          <w:lang w:eastAsia="en-US"/>
        </w:rPr>
        <w:t xml:space="preserve"> since 2010, provid</w:t>
      </w:r>
      <w:r w:rsidR="007473A1">
        <w:rPr>
          <w:rFonts w:eastAsiaTheme="minorHAnsi" w:cs="Arial"/>
          <w:lang w:eastAsia="en-US"/>
        </w:rPr>
        <w:t>es</w:t>
      </w:r>
      <w:r w:rsidRPr="00F9342D">
        <w:rPr>
          <w:rFonts w:eastAsiaTheme="minorHAnsi" w:cs="Arial"/>
          <w:lang w:eastAsia="en-US"/>
        </w:rPr>
        <w:t xml:space="preserve"> the National Hand Hygiene Initiative with a data model on the usual auditing practice in Australian health service organisations. Based on this model, most auditors do not submit more than 600 moments </w:t>
      </w:r>
      <w:r w:rsidR="007473A1">
        <w:rPr>
          <w:rFonts w:eastAsiaTheme="minorHAnsi" w:cs="Arial"/>
          <w:lang w:eastAsia="en-US"/>
        </w:rPr>
        <w:t xml:space="preserve">for </w:t>
      </w:r>
      <w:r w:rsidRPr="00F9342D">
        <w:rPr>
          <w:rFonts w:eastAsiaTheme="minorHAnsi" w:cs="Arial"/>
          <w:lang w:eastAsia="en-US"/>
        </w:rPr>
        <w:t xml:space="preserve">each audit period. This is an assumption </w:t>
      </w:r>
      <w:r w:rsidR="007473A1">
        <w:rPr>
          <w:rFonts w:eastAsiaTheme="minorHAnsi" w:cs="Arial"/>
          <w:lang w:eastAsia="en-US"/>
        </w:rPr>
        <w:t xml:space="preserve">that </w:t>
      </w:r>
      <w:r w:rsidRPr="00F9342D">
        <w:rPr>
          <w:rFonts w:eastAsiaTheme="minorHAnsi" w:cs="Arial"/>
          <w:lang w:eastAsia="en-US"/>
        </w:rPr>
        <w:t xml:space="preserve">is built into the </w:t>
      </w:r>
      <w:proofErr w:type="spellStart"/>
      <w:r w:rsidRPr="00F9342D">
        <w:rPr>
          <w:rFonts w:eastAsiaTheme="minorHAnsi" w:cs="Arial"/>
          <w:lang w:eastAsia="en-US"/>
        </w:rPr>
        <w:t>HHCApp</w:t>
      </w:r>
      <w:proofErr w:type="spellEnd"/>
      <w:r w:rsidRPr="00F9342D">
        <w:rPr>
          <w:rFonts w:eastAsiaTheme="minorHAnsi" w:cs="Arial"/>
          <w:lang w:eastAsia="en-US"/>
        </w:rPr>
        <w:t xml:space="preserve"> data validation process to assist organisation administrators </w:t>
      </w:r>
      <w:r w:rsidR="007473A1">
        <w:rPr>
          <w:rFonts w:eastAsiaTheme="minorHAnsi" w:cs="Arial"/>
          <w:lang w:eastAsia="en-US"/>
        </w:rPr>
        <w:t xml:space="preserve">to check </w:t>
      </w:r>
      <w:r w:rsidRPr="00F9342D">
        <w:rPr>
          <w:rFonts w:eastAsiaTheme="minorHAnsi" w:cs="Arial"/>
          <w:lang w:eastAsia="en-US"/>
        </w:rPr>
        <w:t>for inaccurate data. If this item</w:t>
      </w:r>
      <w:r>
        <w:rPr>
          <w:rFonts w:eastAsiaTheme="minorHAnsi" w:cs="Arial"/>
          <w:lang w:eastAsia="en-US"/>
        </w:rPr>
        <w:t xml:space="preserve"> is flagged at the end of an audit</w:t>
      </w:r>
      <w:r w:rsidRPr="00F9342D">
        <w:rPr>
          <w:rFonts w:eastAsiaTheme="minorHAnsi" w:cs="Arial"/>
          <w:lang w:eastAsia="en-US"/>
        </w:rPr>
        <w:t>, the organisation administrator should check the session lists to ensure that the auditor’s data has been entered correctly and t</w:t>
      </w:r>
      <w:r w:rsidR="007473A1">
        <w:rPr>
          <w:rFonts w:eastAsiaTheme="minorHAnsi" w:cs="Arial"/>
          <w:lang w:eastAsia="en-US"/>
        </w:rPr>
        <w:t>hat there is no</w:t>
      </w:r>
      <w:r w:rsidRPr="00F9342D">
        <w:rPr>
          <w:rFonts w:eastAsiaTheme="minorHAnsi" w:cs="Arial"/>
          <w:lang w:eastAsia="en-US"/>
        </w:rPr>
        <w:t xml:space="preserve"> duplication. </w:t>
      </w:r>
    </w:p>
    <w:p w14:paraId="4EDB5C7E" w14:textId="77777777" w:rsidR="00CB6558" w:rsidRPr="00CB6558" w:rsidRDefault="00CB6558" w:rsidP="00CB6558">
      <w:pPr>
        <w:spacing w:before="0" w:after="0"/>
        <w:rPr>
          <w:rFonts w:eastAsiaTheme="minorHAnsi" w:cs="Arial"/>
          <w:sz w:val="16"/>
          <w:szCs w:val="16"/>
          <w:lang w:eastAsia="en-US"/>
        </w:rPr>
      </w:pPr>
    </w:p>
    <w:p w14:paraId="3A55A557" w14:textId="6E38436C" w:rsidR="00BE4A46" w:rsidRPr="00707D22" w:rsidRDefault="00BE4A46" w:rsidP="005256DE">
      <w:pPr>
        <w:pStyle w:val="PulloutTextHead"/>
        <w:spacing w:before="0" w:after="0"/>
        <w:jc w:val="both"/>
      </w:pPr>
      <w:r>
        <w:t>CASE SCENARIO 3</w:t>
      </w:r>
    </w:p>
    <w:p w14:paraId="02B4D593" w14:textId="48B4D0BC" w:rsidR="00BE4A46" w:rsidRPr="00843618" w:rsidRDefault="00BE4A46" w:rsidP="00843618">
      <w:pPr>
        <w:pStyle w:val="PulloutTextBody"/>
        <w:spacing w:before="0" w:after="0"/>
        <w:rPr>
          <w:rFonts w:eastAsiaTheme="minorHAnsi" w:cs="Arial"/>
          <w:lang w:eastAsia="en-US"/>
        </w:rPr>
      </w:pPr>
      <w:r w:rsidRPr="00F9342D">
        <w:rPr>
          <w:rFonts w:eastAsiaTheme="minorHAnsi" w:cs="Arial"/>
          <w:iCs/>
          <w:lang w:eastAsia="en-US"/>
        </w:rPr>
        <w:t xml:space="preserve">A state health department </w:t>
      </w:r>
      <w:r w:rsidRPr="00F9342D">
        <w:rPr>
          <w:rFonts w:eastAsiaTheme="minorHAnsi" w:cs="Arial"/>
          <w:lang w:eastAsia="en-US"/>
        </w:rPr>
        <w:t xml:space="preserve">discovered that two health networks had much lower healthcare-associated (HA) </w:t>
      </w:r>
      <w:r w:rsidR="00843618" w:rsidRPr="00843618">
        <w:rPr>
          <w:rFonts w:eastAsiaTheme="minorHAnsi" w:cs="Arial"/>
          <w:i/>
          <w:iCs/>
          <w:lang w:eastAsia="en-US"/>
        </w:rPr>
        <w:t>Staphylococcus aureus</w:t>
      </w:r>
      <w:r w:rsidR="00843618" w:rsidRPr="00843618">
        <w:rPr>
          <w:rFonts w:eastAsiaTheme="minorHAnsi" w:cs="Arial"/>
          <w:lang w:eastAsia="en-US"/>
        </w:rPr>
        <w:t xml:space="preserve"> bloodstream infection</w:t>
      </w:r>
      <w:r w:rsidR="00843618">
        <w:rPr>
          <w:rFonts w:eastAsiaTheme="minorHAnsi" w:cs="Arial"/>
          <w:lang w:eastAsia="en-US"/>
        </w:rPr>
        <w:t xml:space="preserve"> (</w:t>
      </w:r>
      <w:r w:rsidRPr="00F9342D">
        <w:rPr>
          <w:rFonts w:eastAsiaTheme="minorHAnsi" w:cs="Arial"/>
          <w:lang w:eastAsia="en-US"/>
        </w:rPr>
        <w:t>SABSI</w:t>
      </w:r>
      <w:r w:rsidR="00843618">
        <w:rPr>
          <w:rFonts w:eastAsiaTheme="minorHAnsi" w:cs="Arial"/>
          <w:lang w:eastAsia="en-US"/>
        </w:rPr>
        <w:t>)</w:t>
      </w:r>
      <w:r w:rsidRPr="00F9342D">
        <w:rPr>
          <w:rFonts w:eastAsiaTheme="minorHAnsi" w:cs="Arial"/>
          <w:lang w:eastAsia="en-US"/>
        </w:rPr>
        <w:t xml:space="preserve"> rates compared to other health networks in the state. </w:t>
      </w:r>
    </w:p>
    <w:p w14:paraId="507FDA78" w14:textId="64A4C2AB" w:rsidR="00477753" w:rsidRDefault="00BE4A46" w:rsidP="005256DE">
      <w:pPr>
        <w:rPr>
          <w:rFonts w:eastAsiaTheme="minorHAnsi" w:cs="Arial"/>
          <w:lang w:eastAsia="en-US"/>
        </w:rPr>
      </w:pPr>
      <w:r w:rsidRPr="00F9342D">
        <w:rPr>
          <w:rFonts w:eastAsiaTheme="minorHAnsi" w:cs="Arial"/>
          <w:lang w:eastAsia="en-US"/>
        </w:rPr>
        <w:t xml:space="preserve">An investigation revealed that the two health networks were using an incorrect definition that resulted in lower HA-SABSI rates. These networks were </w:t>
      </w:r>
      <w:r w:rsidR="007473A1">
        <w:rPr>
          <w:rFonts w:eastAsiaTheme="minorHAnsi" w:cs="Arial"/>
          <w:lang w:eastAsia="en-US"/>
        </w:rPr>
        <w:t xml:space="preserve">recording </w:t>
      </w:r>
      <w:r w:rsidRPr="00F9342D">
        <w:rPr>
          <w:rFonts w:eastAsiaTheme="minorHAnsi" w:cs="Arial"/>
          <w:lang w:eastAsia="en-US"/>
        </w:rPr>
        <w:t>a HA-SABSI if the infection occurred 72 hours after admission or discharge. The other networks were using the national</w:t>
      </w:r>
      <w:r w:rsidR="005256DE">
        <w:rPr>
          <w:rFonts w:eastAsiaTheme="minorHAnsi" w:cs="Arial"/>
          <w:lang w:eastAsia="en-US"/>
        </w:rPr>
        <w:t xml:space="preserve"> s</w:t>
      </w:r>
      <w:r w:rsidRPr="00F9342D">
        <w:rPr>
          <w:rFonts w:eastAsiaTheme="minorHAnsi" w:cs="Arial"/>
          <w:lang w:eastAsia="en-US"/>
        </w:rPr>
        <w:t>tandard definition</w:t>
      </w:r>
      <w:r w:rsidR="007473A1">
        <w:rPr>
          <w:rFonts w:eastAsiaTheme="minorHAnsi" w:cs="Arial"/>
          <w:lang w:eastAsia="en-US"/>
        </w:rPr>
        <w:t>,</w:t>
      </w:r>
      <w:r w:rsidRPr="00F9342D">
        <w:rPr>
          <w:rFonts w:eastAsiaTheme="minorHAnsi" w:cs="Arial"/>
          <w:lang w:eastAsia="en-US"/>
        </w:rPr>
        <w:t xml:space="preserve"> </w:t>
      </w:r>
      <w:r w:rsidR="007473A1">
        <w:rPr>
          <w:rFonts w:eastAsiaTheme="minorHAnsi" w:cs="Arial"/>
          <w:lang w:eastAsia="en-US"/>
        </w:rPr>
        <w:t xml:space="preserve">for </w:t>
      </w:r>
      <w:r w:rsidRPr="00F9342D">
        <w:rPr>
          <w:rFonts w:eastAsiaTheme="minorHAnsi" w:cs="Arial"/>
          <w:lang w:eastAsia="en-US"/>
        </w:rPr>
        <w:t xml:space="preserve">which a HA-SABSI </w:t>
      </w:r>
      <w:r w:rsidR="007473A1">
        <w:rPr>
          <w:rFonts w:eastAsiaTheme="minorHAnsi" w:cs="Arial"/>
          <w:lang w:eastAsia="en-US"/>
        </w:rPr>
        <w:t xml:space="preserve">is recorded </w:t>
      </w:r>
      <w:r w:rsidRPr="00F9342D">
        <w:rPr>
          <w:rFonts w:eastAsiaTheme="minorHAnsi" w:cs="Arial"/>
          <w:lang w:eastAsia="en-US"/>
        </w:rPr>
        <w:t>if the infection is identified 48 hours after admission or discharge. The use of consistent national surveillance definitions allows for comparison across states and territories, and between organisations.</w:t>
      </w:r>
      <w:r w:rsidR="00450946">
        <w:rPr>
          <w:rFonts w:eastAsiaTheme="minorHAnsi" w:cs="Arial"/>
          <w:vertAlign w:val="superscript"/>
          <w:lang w:eastAsia="en-US"/>
        </w:rPr>
        <w:t>5</w:t>
      </w:r>
      <w:r w:rsidRPr="00F9342D">
        <w:rPr>
          <w:rFonts w:eastAsiaTheme="minorHAnsi" w:cs="Arial"/>
          <w:lang w:eastAsia="en-US"/>
        </w:rPr>
        <w:t xml:space="preserve"> </w:t>
      </w:r>
    </w:p>
    <w:p w14:paraId="2A525080" w14:textId="1FCD166E" w:rsidR="00BE4A46" w:rsidRPr="005256DE" w:rsidRDefault="00BE4A46" w:rsidP="005256DE">
      <w:pPr>
        <w:rPr>
          <w:rFonts w:eastAsiaTheme="minorHAnsi" w:cs="Arial"/>
          <w:iCs/>
          <w:lang w:eastAsia="en-US"/>
        </w:rPr>
        <w:sectPr w:rsidR="00BE4A46" w:rsidRPr="005256DE" w:rsidSect="00544AB8">
          <w:type w:val="continuous"/>
          <w:pgSz w:w="11906" w:h="16838"/>
          <w:pgMar w:top="1372" w:right="1134" w:bottom="57" w:left="1134" w:header="709" w:footer="471" w:gutter="0"/>
          <w:cols w:num="2" w:space="708"/>
          <w:docGrid w:linePitch="360"/>
        </w:sectPr>
      </w:pPr>
      <w:r w:rsidRPr="00F9342D">
        <w:rPr>
          <w:rFonts w:eastAsiaTheme="minorHAnsi" w:cs="Arial"/>
          <w:lang w:eastAsia="en-US"/>
        </w:rPr>
        <w:t>The Commission has produced</w:t>
      </w:r>
      <w:r w:rsidR="005256DE">
        <w:rPr>
          <w:rFonts w:eastAsiaTheme="minorHAnsi" w:cs="Arial"/>
          <w:lang w:eastAsia="en-US"/>
        </w:rPr>
        <w:t xml:space="preserve"> a series of national</w:t>
      </w:r>
      <w:r w:rsidRPr="00F9342D">
        <w:rPr>
          <w:rFonts w:eastAsiaTheme="minorHAnsi" w:cs="Arial"/>
          <w:lang w:eastAsia="en-US"/>
        </w:rPr>
        <w:t xml:space="preserve"> surveillance implementation guides to support a nationally standardised approach to the surveillance of these infections. The application of the surveillance case definition should be based on the results from the same diagnostic tests. If this is not possible, the different diagnostic tests must be shown to be comparable for surveillance data to be considered consistent and comparable for analysis.</w:t>
      </w:r>
    </w:p>
    <w:p w14:paraId="6383D6E8" w14:textId="77777777" w:rsidR="00450946" w:rsidRDefault="00450946" w:rsidP="005256DE">
      <w:pPr>
        <w:spacing w:before="0" w:after="0"/>
        <w:contextualSpacing/>
        <w:rPr>
          <w:b/>
        </w:rPr>
      </w:pPr>
    </w:p>
    <w:p w14:paraId="79C6DEA1" w14:textId="690E4542" w:rsidR="00F9342D" w:rsidRPr="00F9342D" w:rsidRDefault="00F9342D" w:rsidP="005256DE">
      <w:pPr>
        <w:spacing w:before="0" w:after="0"/>
        <w:contextualSpacing/>
        <w:rPr>
          <w:b/>
        </w:rPr>
      </w:pPr>
      <w:r w:rsidRPr="00F9342D">
        <w:rPr>
          <w:b/>
        </w:rPr>
        <w:t xml:space="preserve">Table </w:t>
      </w:r>
      <w:r w:rsidRPr="00F9342D">
        <w:rPr>
          <w:b/>
        </w:rPr>
        <w:fldChar w:fldCharType="begin"/>
      </w:r>
      <w:r w:rsidRPr="00F9342D">
        <w:rPr>
          <w:b/>
        </w:rPr>
        <w:instrText xml:space="preserve"> SEQ Table \* ARABIC </w:instrText>
      </w:r>
      <w:r w:rsidRPr="00F9342D">
        <w:rPr>
          <w:b/>
        </w:rPr>
        <w:fldChar w:fldCharType="separate"/>
      </w:r>
      <w:r w:rsidRPr="00F9342D">
        <w:rPr>
          <w:b/>
        </w:rPr>
        <w:t>1</w:t>
      </w:r>
      <w:r w:rsidRPr="00F9342D">
        <w:rPr>
          <w:b/>
        </w:rPr>
        <w:fldChar w:fldCharType="end"/>
      </w:r>
      <w:r w:rsidRPr="00F9342D">
        <w:rPr>
          <w:b/>
        </w:rPr>
        <w:t xml:space="preserve">. Data </w:t>
      </w:r>
      <w:r w:rsidR="00CB6558">
        <w:rPr>
          <w:b/>
        </w:rPr>
        <w:t>validation</w:t>
      </w:r>
      <w:r w:rsidRPr="00F9342D">
        <w:rPr>
          <w:b/>
        </w:rPr>
        <w:t xml:space="preserve"> checklist</w:t>
      </w:r>
      <w:r w:rsidR="00CB6558">
        <w:rPr>
          <w:b/>
        </w:rPr>
        <w:t xml:space="preserve"> for infection surveillance</w:t>
      </w:r>
    </w:p>
    <w:tbl>
      <w:tblPr>
        <w:tblStyle w:val="TableGrid1"/>
        <w:tblW w:w="9634" w:type="dxa"/>
        <w:tblLook w:val="04A0" w:firstRow="1" w:lastRow="0" w:firstColumn="1" w:lastColumn="0" w:noHBand="0" w:noVBand="1"/>
        <w:tblDescription w:val="Box 1"/>
      </w:tblPr>
      <w:tblGrid>
        <w:gridCol w:w="9634"/>
      </w:tblGrid>
      <w:tr w:rsidR="00F9342D" w:rsidRPr="00F9342D" w14:paraId="0D17B2E9" w14:textId="77777777" w:rsidTr="005256DE">
        <w:tc>
          <w:tcPr>
            <w:tcW w:w="9634" w:type="dxa"/>
            <w:shd w:val="clear" w:color="auto" w:fill="E6F1F8"/>
          </w:tcPr>
          <w:p w14:paraId="5D57D1C7" w14:textId="77777777" w:rsidR="00F9342D" w:rsidRPr="00F9342D" w:rsidRDefault="00F9342D" w:rsidP="005256DE">
            <w:pPr>
              <w:spacing w:before="0" w:after="0"/>
              <w:rPr>
                <w:rFonts w:ascii="Arial" w:hAnsi="Arial" w:cs="Arial"/>
                <w:bCs/>
                <w:lang w:eastAsia="en-US"/>
              </w:rPr>
            </w:pPr>
            <w:r w:rsidRPr="00F9342D">
              <w:rPr>
                <w:rFonts w:ascii="Arial" w:hAnsi="Arial" w:cs="Arial"/>
                <w:b/>
                <w:bCs/>
                <w:lang w:eastAsia="en-US"/>
              </w:rPr>
              <w:t>Has all data been correctly recorded?</w:t>
            </w:r>
          </w:p>
        </w:tc>
      </w:tr>
      <w:tr w:rsidR="00F9342D" w:rsidRPr="00F9342D" w14:paraId="22662CF6" w14:textId="77777777" w:rsidTr="005256DE">
        <w:tc>
          <w:tcPr>
            <w:tcW w:w="9634" w:type="dxa"/>
          </w:tcPr>
          <w:p w14:paraId="61375289"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sz w:val="20"/>
                <w:szCs w:val="20"/>
              </w:rPr>
              <w:t>Check</w:t>
            </w:r>
            <w:r w:rsidRPr="00C167EB">
              <w:rPr>
                <w:rFonts w:ascii="Arial" w:eastAsia="Times New Roman" w:hAnsi="Arial" w:cs="Arial"/>
                <w:color w:val="000000"/>
                <w:sz w:val="20"/>
                <w:szCs w:val="20"/>
              </w:rPr>
              <w:t xml:space="preserve"> for missing data entries</w:t>
            </w:r>
          </w:p>
        </w:tc>
      </w:tr>
      <w:tr w:rsidR="00F9342D" w:rsidRPr="00F9342D" w14:paraId="1C966865" w14:textId="77777777" w:rsidTr="005256DE">
        <w:tc>
          <w:tcPr>
            <w:tcW w:w="9634" w:type="dxa"/>
          </w:tcPr>
          <w:p w14:paraId="44D78F04"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for data that may have been recorded in duplicate by mistake</w:t>
            </w:r>
          </w:p>
        </w:tc>
      </w:tr>
      <w:tr w:rsidR="00F9342D" w:rsidRPr="00F9342D" w14:paraId="2A18D1B3" w14:textId="77777777" w:rsidTr="005256DE">
        <w:tc>
          <w:tcPr>
            <w:tcW w:w="9634" w:type="dxa"/>
          </w:tcPr>
          <w:p w14:paraId="512F994C" w14:textId="277B2D33"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w:t>
            </w:r>
            <w:r w:rsidR="00450946" w:rsidRPr="00C167EB">
              <w:rPr>
                <w:rFonts w:ascii="Arial" w:eastAsia="Times New Roman" w:hAnsi="Arial" w:cs="Arial"/>
                <w:color w:val="000000"/>
                <w:sz w:val="20"/>
                <w:szCs w:val="20"/>
              </w:rPr>
              <w:t xml:space="preserve"> the correctness of any</w:t>
            </w:r>
            <w:r w:rsidRPr="00C167EB">
              <w:rPr>
                <w:rFonts w:ascii="Arial" w:eastAsia="Times New Roman" w:hAnsi="Arial" w:cs="Arial"/>
                <w:color w:val="000000"/>
                <w:sz w:val="20"/>
                <w:szCs w:val="20"/>
              </w:rPr>
              <w:t xml:space="preserve"> data that has been</w:t>
            </w:r>
            <w:r w:rsidR="00450946" w:rsidRPr="00C167EB">
              <w:rPr>
                <w:rFonts w:ascii="Arial" w:eastAsia="Times New Roman" w:hAnsi="Arial" w:cs="Arial"/>
                <w:color w:val="000000"/>
                <w:sz w:val="20"/>
                <w:szCs w:val="20"/>
              </w:rPr>
              <w:t xml:space="preserve"> </w:t>
            </w:r>
            <w:r w:rsidR="00544AB8" w:rsidRPr="00C167EB">
              <w:rPr>
                <w:rFonts w:ascii="Arial" w:eastAsia="Times New Roman" w:hAnsi="Arial" w:cs="Arial"/>
                <w:color w:val="000000"/>
                <w:sz w:val="20"/>
                <w:szCs w:val="20"/>
              </w:rPr>
              <w:t>copied from another data source</w:t>
            </w:r>
          </w:p>
        </w:tc>
      </w:tr>
      <w:tr w:rsidR="00F9342D" w:rsidRPr="00F9342D" w14:paraId="2ABD8D43" w14:textId="77777777" w:rsidTr="005256DE">
        <w:tc>
          <w:tcPr>
            <w:tcW w:w="9634" w:type="dxa"/>
          </w:tcPr>
          <w:p w14:paraId="153198BF"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for any data that has been recorded as ‘0’ by mistake</w:t>
            </w:r>
          </w:p>
        </w:tc>
      </w:tr>
      <w:tr w:rsidR="00F9342D" w:rsidRPr="00F9342D" w14:paraId="08DBF9E6" w14:textId="77777777" w:rsidTr="005256DE">
        <w:trPr>
          <w:trHeight w:val="281"/>
        </w:trPr>
        <w:tc>
          <w:tcPr>
            <w:tcW w:w="9634" w:type="dxa"/>
          </w:tcPr>
          <w:p w14:paraId="44E10DD2"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any data that has been generated by an automated formula</w:t>
            </w:r>
          </w:p>
        </w:tc>
      </w:tr>
      <w:tr w:rsidR="00F9342D" w:rsidRPr="00F9342D" w14:paraId="1E2C83EF" w14:textId="77777777" w:rsidTr="005256DE">
        <w:trPr>
          <w:trHeight w:val="257"/>
        </w:trPr>
        <w:tc>
          <w:tcPr>
            <w:tcW w:w="9634" w:type="dxa"/>
          </w:tcPr>
          <w:p w14:paraId="7A0EA067"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that all recorded dates have occurred and are not in the future  </w:t>
            </w:r>
          </w:p>
        </w:tc>
      </w:tr>
      <w:tr w:rsidR="00F9342D" w:rsidRPr="00F9342D" w14:paraId="7C950CA3" w14:textId="77777777" w:rsidTr="005256DE">
        <w:tc>
          <w:tcPr>
            <w:tcW w:w="9634" w:type="dxa"/>
          </w:tcPr>
          <w:p w14:paraId="2CCE2CAF"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that all data directly relates to the surveillance that is being undertaken </w:t>
            </w:r>
            <w:r w:rsidRPr="00C167EB">
              <w:rPr>
                <w:rFonts w:ascii="Arial" w:eastAsia="Times New Roman" w:hAnsi="Arial" w:cs="Arial"/>
                <w:i/>
                <w:iCs/>
                <w:color w:val="000000"/>
                <w:sz w:val="20"/>
                <w:szCs w:val="20"/>
              </w:rPr>
              <w:t>e.g.</w:t>
            </w:r>
            <w:r w:rsidRPr="00C167EB">
              <w:rPr>
                <w:rFonts w:ascii="Arial" w:eastAsia="Times New Roman" w:hAnsi="Arial" w:cs="Arial"/>
                <w:color w:val="000000"/>
                <w:sz w:val="20"/>
                <w:szCs w:val="20"/>
              </w:rPr>
              <w:t xml:space="preserve"> </w:t>
            </w:r>
            <w:r w:rsidRPr="00C167EB">
              <w:rPr>
                <w:rFonts w:ascii="Arial" w:eastAsia="Times New Roman" w:hAnsi="Arial" w:cs="Arial"/>
                <w:i/>
                <w:iCs/>
                <w:color w:val="000000"/>
                <w:sz w:val="20"/>
                <w:szCs w:val="20"/>
              </w:rPr>
              <w:t>For environmental cleaning audits, have visual inspection results been recorded instead of adenosine triphosphate (ATP) bioluminescence results?</w:t>
            </w:r>
          </w:p>
        </w:tc>
      </w:tr>
      <w:tr w:rsidR="00F9342D" w:rsidRPr="00F9342D" w14:paraId="55279B38" w14:textId="77777777" w:rsidTr="005256DE">
        <w:tc>
          <w:tcPr>
            <w:tcW w:w="9634" w:type="dxa"/>
            <w:shd w:val="clear" w:color="auto" w:fill="E6F1F8"/>
          </w:tcPr>
          <w:p w14:paraId="7D12CBF6" w14:textId="77777777" w:rsidR="00F9342D" w:rsidRPr="00F9342D" w:rsidRDefault="00F9342D" w:rsidP="005256DE">
            <w:pPr>
              <w:spacing w:before="0" w:after="0"/>
              <w:rPr>
                <w:rFonts w:ascii="Arial" w:hAnsi="Arial" w:cs="Arial"/>
                <w:bCs/>
                <w:lang w:eastAsia="en-US"/>
              </w:rPr>
            </w:pPr>
            <w:r w:rsidRPr="00F9342D">
              <w:rPr>
                <w:rFonts w:ascii="Arial" w:hAnsi="Arial" w:cs="Arial"/>
                <w:b/>
                <w:bCs/>
                <w:lang w:eastAsia="en-US"/>
              </w:rPr>
              <w:t>Is all data presented in the correct format?</w:t>
            </w:r>
          </w:p>
        </w:tc>
      </w:tr>
      <w:tr w:rsidR="00F9342D" w:rsidRPr="00F9342D" w14:paraId="5A83B358" w14:textId="77777777" w:rsidTr="005256DE">
        <w:tc>
          <w:tcPr>
            <w:tcW w:w="9634" w:type="dxa"/>
          </w:tcPr>
          <w:p w14:paraId="6B7AA11D"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that data is recorded in the correct data field</w:t>
            </w:r>
          </w:p>
        </w:tc>
      </w:tr>
      <w:tr w:rsidR="00F9342D" w:rsidRPr="00F9342D" w14:paraId="2CE70B75" w14:textId="77777777" w:rsidTr="005256DE">
        <w:tc>
          <w:tcPr>
            <w:tcW w:w="9634" w:type="dxa"/>
          </w:tcPr>
          <w:p w14:paraId="098420B2"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that the data is recorded consistently in same format </w:t>
            </w:r>
          </w:p>
        </w:tc>
      </w:tr>
      <w:tr w:rsidR="00F9342D" w:rsidRPr="00F9342D" w14:paraId="7CB2B2A0" w14:textId="77777777" w:rsidTr="005256DE">
        <w:trPr>
          <w:trHeight w:val="274"/>
        </w:trPr>
        <w:tc>
          <w:tcPr>
            <w:tcW w:w="9634" w:type="dxa"/>
          </w:tcPr>
          <w:p w14:paraId="36AF4339"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that the data is presented consistent with historical or other reference data</w:t>
            </w:r>
          </w:p>
        </w:tc>
      </w:tr>
      <w:tr w:rsidR="00F9342D" w:rsidRPr="00F9342D" w14:paraId="1958F0E2" w14:textId="77777777" w:rsidTr="005256DE">
        <w:tc>
          <w:tcPr>
            <w:tcW w:w="9634" w:type="dxa"/>
            <w:shd w:val="clear" w:color="auto" w:fill="E6F1F8"/>
          </w:tcPr>
          <w:p w14:paraId="6E7BAAEB" w14:textId="67894B9C" w:rsidR="00F9342D" w:rsidRPr="00F9342D" w:rsidRDefault="005256DE" w:rsidP="005256DE">
            <w:pPr>
              <w:spacing w:before="0" w:after="0"/>
              <w:rPr>
                <w:rFonts w:ascii="Arial" w:hAnsi="Arial" w:cs="Arial"/>
                <w:bCs/>
                <w:lang w:eastAsia="en-US"/>
              </w:rPr>
            </w:pPr>
            <w:r>
              <w:rPr>
                <w:rFonts w:ascii="Arial" w:hAnsi="Arial" w:cs="Arial"/>
                <w:b/>
                <w:bCs/>
                <w:lang w:eastAsia="en-US"/>
              </w:rPr>
              <w:t>Is</w:t>
            </w:r>
            <w:r w:rsidR="00F9342D" w:rsidRPr="00F9342D">
              <w:rPr>
                <w:rFonts w:ascii="Arial" w:hAnsi="Arial" w:cs="Arial"/>
                <w:b/>
                <w:bCs/>
                <w:lang w:eastAsia="en-US"/>
              </w:rPr>
              <w:t xml:space="preserve"> there any</w:t>
            </w:r>
            <w:r>
              <w:rPr>
                <w:rFonts w:ascii="Arial" w:hAnsi="Arial" w:cs="Arial"/>
                <w:b/>
                <w:bCs/>
                <w:lang w:eastAsia="en-US"/>
              </w:rPr>
              <w:t xml:space="preserve"> unusual</w:t>
            </w:r>
            <w:r w:rsidR="00F9342D" w:rsidRPr="00F9342D">
              <w:rPr>
                <w:rFonts w:ascii="Arial" w:hAnsi="Arial" w:cs="Arial"/>
                <w:b/>
                <w:bCs/>
                <w:lang w:eastAsia="en-US"/>
              </w:rPr>
              <w:t xml:space="preserve"> data?</w:t>
            </w:r>
          </w:p>
        </w:tc>
      </w:tr>
      <w:tr w:rsidR="00F9342D" w:rsidRPr="00F9342D" w14:paraId="08B9ECD9" w14:textId="77777777" w:rsidTr="005256DE">
        <w:tc>
          <w:tcPr>
            <w:tcW w:w="9634" w:type="dxa"/>
          </w:tcPr>
          <w:p w14:paraId="041DDD28"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that data are within the expected or acceptable range</w:t>
            </w:r>
          </w:p>
        </w:tc>
      </w:tr>
      <w:tr w:rsidR="00F9342D" w:rsidRPr="00F9342D" w14:paraId="64ACEE1B" w14:textId="77777777" w:rsidTr="005256DE">
        <w:tc>
          <w:tcPr>
            <w:tcW w:w="9634" w:type="dxa"/>
          </w:tcPr>
          <w:p w14:paraId="5FC005D7"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data is consistent with historical or other reference data</w:t>
            </w:r>
          </w:p>
        </w:tc>
      </w:tr>
      <w:tr w:rsidR="00C77F3B" w:rsidRPr="00F9342D" w14:paraId="607B01E5" w14:textId="77777777" w:rsidTr="005256DE">
        <w:tc>
          <w:tcPr>
            <w:tcW w:w="9634" w:type="dxa"/>
          </w:tcPr>
          <w:p w14:paraId="0837D1DF" w14:textId="19E23A8D" w:rsidR="00C77F3B" w:rsidRPr="00C167EB" w:rsidRDefault="00C77F3B" w:rsidP="005256DE">
            <w:pPr>
              <w:numPr>
                <w:ilvl w:val="0"/>
                <w:numId w:val="32"/>
              </w:numPr>
              <w:spacing w:before="0" w:after="0"/>
              <w:rPr>
                <w:rFonts w:cs="Arial"/>
                <w:color w:val="000000"/>
                <w:sz w:val="20"/>
                <w:szCs w:val="20"/>
              </w:rPr>
            </w:pPr>
            <w:r w:rsidRPr="00C77F3B">
              <w:rPr>
                <w:rFonts w:ascii="Arial" w:eastAsia="Times New Roman" w:hAnsi="Arial" w:cs="Arial"/>
                <w:color w:val="000000"/>
                <w:sz w:val="20"/>
                <w:szCs w:val="20"/>
              </w:rPr>
              <w:t xml:space="preserve">Check </w:t>
            </w:r>
            <w:r w:rsidR="00477753">
              <w:rPr>
                <w:rFonts w:ascii="Arial" w:eastAsia="Times New Roman" w:hAnsi="Arial" w:cs="Arial"/>
                <w:color w:val="000000"/>
                <w:sz w:val="20"/>
                <w:szCs w:val="20"/>
              </w:rPr>
              <w:t>that</w:t>
            </w:r>
            <w:r w:rsidRPr="00C77F3B">
              <w:rPr>
                <w:rFonts w:ascii="Arial" w:eastAsia="Times New Roman" w:hAnsi="Arial" w:cs="Arial"/>
                <w:color w:val="000000"/>
                <w:sz w:val="20"/>
                <w:szCs w:val="20"/>
              </w:rPr>
              <w:t xml:space="preserve"> the setup of automated data validation is correct</w:t>
            </w:r>
          </w:p>
        </w:tc>
      </w:tr>
      <w:tr w:rsidR="00F9342D" w:rsidRPr="00F9342D" w14:paraId="40A90897" w14:textId="77777777" w:rsidTr="005256DE">
        <w:tc>
          <w:tcPr>
            <w:tcW w:w="9634" w:type="dxa"/>
          </w:tcPr>
          <w:p w14:paraId="59377C51" w14:textId="16ECFCBB"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w:t>
            </w:r>
            <w:r w:rsidR="00477753">
              <w:rPr>
                <w:rFonts w:ascii="Arial" w:eastAsia="Times New Roman" w:hAnsi="Arial" w:cs="Arial"/>
                <w:color w:val="000000"/>
                <w:sz w:val="20"/>
                <w:szCs w:val="20"/>
              </w:rPr>
              <w:t>that</w:t>
            </w:r>
            <w:r w:rsidRPr="00C167EB">
              <w:rPr>
                <w:rFonts w:ascii="Arial" w:eastAsia="Times New Roman" w:hAnsi="Arial" w:cs="Arial"/>
                <w:color w:val="000000"/>
                <w:sz w:val="20"/>
                <w:szCs w:val="20"/>
              </w:rPr>
              <w:t xml:space="preserve"> there is a plausible explanation for any outlying or unusual data</w:t>
            </w:r>
          </w:p>
        </w:tc>
      </w:tr>
      <w:tr w:rsidR="00F9342D" w:rsidRPr="00F9342D" w14:paraId="43A64E40" w14:textId="77777777" w:rsidTr="005256DE">
        <w:tc>
          <w:tcPr>
            <w:tcW w:w="9634" w:type="dxa"/>
            <w:shd w:val="clear" w:color="auto" w:fill="E6F1F8"/>
          </w:tcPr>
          <w:p w14:paraId="2FBB688A" w14:textId="77777777" w:rsidR="00F9342D" w:rsidRPr="00F9342D" w:rsidRDefault="00F9342D" w:rsidP="005256DE">
            <w:pPr>
              <w:spacing w:before="0" w:after="0"/>
              <w:rPr>
                <w:rFonts w:ascii="Arial" w:hAnsi="Arial" w:cs="Arial"/>
                <w:bCs/>
                <w:lang w:eastAsia="en-US"/>
              </w:rPr>
            </w:pPr>
            <w:r w:rsidRPr="00F9342D">
              <w:rPr>
                <w:rFonts w:ascii="Arial" w:hAnsi="Arial" w:cs="Arial"/>
                <w:b/>
                <w:bCs/>
                <w:lang w:eastAsia="en-US"/>
              </w:rPr>
              <w:t>Are linked data logical and consistent?</w:t>
            </w:r>
          </w:p>
        </w:tc>
      </w:tr>
      <w:tr w:rsidR="00F9342D" w:rsidRPr="00F9342D" w14:paraId="61471ECC" w14:textId="77777777" w:rsidTr="005256DE">
        <w:tc>
          <w:tcPr>
            <w:tcW w:w="9634" w:type="dxa"/>
          </w:tcPr>
          <w:p w14:paraId="5BE7A8E4" w14:textId="1CA84CAE" w:rsidR="00F9342D" w:rsidRPr="00F706C6" w:rsidRDefault="00F9342D" w:rsidP="00F706C6">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that linked data makes sense </w:t>
            </w:r>
            <w:r w:rsidRPr="00F706C6">
              <w:rPr>
                <w:rFonts w:ascii="Arial" w:eastAsia="Times New Roman" w:hAnsi="Arial" w:cs="Arial"/>
                <w:i/>
                <w:iCs/>
                <w:color w:val="000000"/>
                <w:sz w:val="20"/>
                <w:szCs w:val="20"/>
              </w:rPr>
              <w:t>e.g. Only infections from biological females</w:t>
            </w:r>
            <w:r w:rsidR="00477753">
              <w:rPr>
                <w:rFonts w:ascii="Arial" w:eastAsia="Times New Roman" w:hAnsi="Arial" w:cs="Arial"/>
                <w:i/>
                <w:iCs/>
                <w:color w:val="000000"/>
                <w:sz w:val="20"/>
                <w:szCs w:val="20"/>
              </w:rPr>
              <w:t xml:space="preserve"> are recorded</w:t>
            </w:r>
            <w:r w:rsidRPr="00F706C6">
              <w:rPr>
                <w:rFonts w:ascii="Arial" w:eastAsia="Times New Roman" w:hAnsi="Arial" w:cs="Arial"/>
                <w:i/>
                <w:iCs/>
                <w:color w:val="000000"/>
                <w:sz w:val="20"/>
                <w:szCs w:val="20"/>
              </w:rPr>
              <w:t xml:space="preserve"> for surveillance of caesarean-related surgical site infections</w:t>
            </w:r>
          </w:p>
        </w:tc>
      </w:tr>
      <w:tr w:rsidR="00F9342D" w:rsidRPr="00F9342D" w14:paraId="341CD7AD" w14:textId="77777777" w:rsidTr="005256DE">
        <w:trPr>
          <w:trHeight w:val="299"/>
        </w:trPr>
        <w:tc>
          <w:tcPr>
            <w:tcW w:w="9634" w:type="dxa"/>
            <w:shd w:val="clear" w:color="auto" w:fill="auto"/>
          </w:tcPr>
          <w:p w14:paraId="00756E80"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that data obtained from different data sources </w:t>
            </w:r>
            <w:proofErr w:type="gramStart"/>
            <w:r w:rsidRPr="00C167EB">
              <w:rPr>
                <w:rFonts w:ascii="Arial" w:eastAsia="Times New Roman" w:hAnsi="Arial" w:cs="Arial"/>
                <w:color w:val="000000"/>
                <w:sz w:val="20"/>
                <w:szCs w:val="20"/>
              </w:rPr>
              <w:t>are in agreement</w:t>
            </w:r>
            <w:proofErr w:type="gramEnd"/>
          </w:p>
        </w:tc>
      </w:tr>
      <w:tr w:rsidR="00F9342D" w:rsidRPr="00F9342D" w14:paraId="585A161A" w14:textId="77777777" w:rsidTr="005256DE">
        <w:trPr>
          <w:trHeight w:val="262"/>
        </w:trPr>
        <w:tc>
          <w:tcPr>
            <w:tcW w:w="9634" w:type="dxa"/>
            <w:shd w:val="clear" w:color="auto" w:fill="E6F1F8"/>
          </w:tcPr>
          <w:p w14:paraId="518AE403" w14:textId="77777777" w:rsidR="00F9342D" w:rsidRPr="00F9342D" w:rsidRDefault="00F9342D" w:rsidP="005256DE">
            <w:pPr>
              <w:spacing w:before="0" w:after="0"/>
              <w:rPr>
                <w:rFonts w:ascii="Arial" w:hAnsi="Arial" w:cs="Arial"/>
                <w:bCs/>
                <w:lang w:eastAsia="en-US"/>
              </w:rPr>
            </w:pPr>
            <w:r w:rsidRPr="00F9342D">
              <w:rPr>
                <w:rFonts w:ascii="Arial" w:hAnsi="Arial" w:cs="Arial"/>
                <w:b/>
                <w:bCs/>
                <w:lang w:eastAsia="en-US"/>
              </w:rPr>
              <w:t>Has the surveillance definition been used consistently?</w:t>
            </w:r>
          </w:p>
        </w:tc>
      </w:tr>
      <w:tr w:rsidR="00F9342D" w:rsidRPr="00F9342D" w14:paraId="37BCC87A" w14:textId="77777777" w:rsidTr="005256DE">
        <w:tc>
          <w:tcPr>
            <w:tcW w:w="9634" w:type="dxa"/>
            <w:shd w:val="clear" w:color="auto" w:fill="auto"/>
          </w:tcPr>
          <w:p w14:paraId="130EBEDC"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that appropriate information has been used to apply the surveillance definition </w:t>
            </w:r>
            <w:r w:rsidRPr="00C167EB">
              <w:rPr>
                <w:rFonts w:ascii="Arial" w:eastAsia="Times New Roman" w:hAnsi="Arial" w:cs="Arial"/>
                <w:i/>
                <w:iCs/>
                <w:color w:val="000000"/>
                <w:sz w:val="20"/>
                <w:szCs w:val="20"/>
              </w:rPr>
              <w:t>e.g. Can pathology results alone be used to determine an infection or are other data sources needed?</w:t>
            </w:r>
          </w:p>
        </w:tc>
      </w:tr>
      <w:tr w:rsidR="00F9342D" w:rsidRPr="00F9342D" w14:paraId="6DC58A48" w14:textId="77777777" w:rsidTr="005256DE">
        <w:tc>
          <w:tcPr>
            <w:tcW w:w="9634" w:type="dxa"/>
            <w:shd w:val="clear" w:color="auto" w:fill="auto"/>
          </w:tcPr>
          <w:p w14:paraId="6063BFE4"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Check that the data refers only to cases that occurred during the surveillance period</w:t>
            </w:r>
          </w:p>
        </w:tc>
      </w:tr>
      <w:tr w:rsidR="00F9342D" w:rsidRPr="00F9342D" w14:paraId="76044A9E" w14:textId="77777777" w:rsidTr="005256DE">
        <w:tc>
          <w:tcPr>
            <w:tcW w:w="9634" w:type="dxa"/>
            <w:shd w:val="clear" w:color="auto" w:fill="auto"/>
          </w:tcPr>
          <w:p w14:paraId="4E56E10B"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 xml:space="preserve">Check that data is based on the collection of appropriate specimens, where relevant </w:t>
            </w:r>
          </w:p>
        </w:tc>
      </w:tr>
      <w:tr w:rsidR="00F9342D" w:rsidRPr="00F9342D" w14:paraId="74586AED" w14:textId="77777777" w:rsidTr="005256DE">
        <w:tc>
          <w:tcPr>
            <w:tcW w:w="9634" w:type="dxa"/>
            <w:shd w:val="clear" w:color="auto" w:fill="auto"/>
          </w:tcPr>
          <w:p w14:paraId="1DAF979F" w14:textId="77777777" w:rsidR="00F9342D" w:rsidRPr="00C167EB" w:rsidRDefault="00F9342D" w:rsidP="005256DE">
            <w:pPr>
              <w:numPr>
                <w:ilvl w:val="0"/>
                <w:numId w:val="32"/>
              </w:numPr>
              <w:spacing w:before="0" w:after="0"/>
              <w:rPr>
                <w:rFonts w:ascii="Arial" w:eastAsia="Times New Roman" w:hAnsi="Arial" w:cs="Arial"/>
                <w:color w:val="000000"/>
                <w:sz w:val="20"/>
                <w:szCs w:val="20"/>
              </w:rPr>
            </w:pPr>
            <w:r w:rsidRPr="00C167EB">
              <w:rPr>
                <w:rFonts w:ascii="Arial" w:eastAsia="Times New Roman" w:hAnsi="Arial" w:cs="Arial"/>
                <w:color w:val="000000"/>
                <w:sz w:val="20"/>
                <w:szCs w:val="20"/>
              </w:rPr>
              <w:t>If multiple data sources are used for case finding, check that the data sources are used in a consistent order</w:t>
            </w:r>
          </w:p>
        </w:tc>
      </w:tr>
    </w:tbl>
    <w:p w14:paraId="48733B48" w14:textId="77777777" w:rsidR="00C167EB" w:rsidRDefault="00C167EB" w:rsidP="00DF7806">
      <w:pPr>
        <w:pStyle w:val="PulloutBoxHeading"/>
        <w:spacing w:before="0" w:after="0"/>
        <w:rPr>
          <w:szCs w:val="24"/>
          <w:lang w:val="en-GB"/>
        </w:rPr>
      </w:pPr>
    </w:p>
    <w:p w14:paraId="0C9DBCCC" w14:textId="038D7263" w:rsidR="00C77F3B" w:rsidRPr="00C77F3B" w:rsidRDefault="00C77F3B" w:rsidP="00DF7806">
      <w:pPr>
        <w:spacing w:before="0" w:after="0"/>
        <w:rPr>
          <w:lang w:val="en-GB"/>
        </w:rPr>
        <w:sectPr w:rsidR="00C77F3B" w:rsidRPr="00C77F3B" w:rsidSect="00AE31F2">
          <w:footerReference w:type="default" r:id="rId17"/>
          <w:type w:val="continuous"/>
          <w:pgSz w:w="11906" w:h="16838"/>
          <w:pgMar w:top="1372" w:right="1134" w:bottom="1440" w:left="1134" w:header="709" w:footer="471" w:gutter="0"/>
          <w:cols w:space="708"/>
          <w:docGrid w:linePitch="360"/>
        </w:sectPr>
      </w:pPr>
    </w:p>
    <w:tbl>
      <w:tblPr>
        <w:tblStyle w:val="PulloutBox"/>
        <w:tblpPr w:leftFromText="181" w:rightFromText="181" w:vertAnchor="text" w:horzAnchor="margin" w:tblpY="319"/>
        <w:tblOverlap w:val="never"/>
        <w:tblW w:w="5000" w:type="pct"/>
        <w:tblLook w:val="0020" w:firstRow="1" w:lastRow="0" w:firstColumn="0" w:lastColumn="0" w:noHBand="0" w:noVBand="0"/>
        <w:tblDescription w:val="Box 1"/>
      </w:tblPr>
      <w:tblGrid>
        <w:gridCol w:w="4465"/>
      </w:tblGrid>
      <w:tr w:rsidR="00AE31F2" w14:paraId="7E7D644E" w14:textId="77777777" w:rsidTr="00403B9A">
        <w:trPr>
          <w:trHeight w:val="15"/>
        </w:trPr>
        <w:tc>
          <w:tcPr>
            <w:tcW w:w="5000" w:type="pct"/>
            <w:tcMar>
              <w:bottom w:w="0" w:type="dxa"/>
            </w:tcMar>
          </w:tcPr>
          <w:p w14:paraId="4BCFD078" w14:textId="77777777" w:rsidR="00AE31F2" w:rsidRDefault="00AE31F2" w:rsidP="00403B9A">
            <w:pPr>
              <w:pStyle w:val="PulloutBoxHeading"/>
              <w:spacing w:before="0"/>
            </w:pPr>
            <w:r w:rsidRPr="00506053">
              <w:rPr>
                <w:szCs w:val="24"/>
                <w:lang w:val="en-GB"/>
              </w:rPr>
              <w:t>For more information</w:t>
            </w:r>
          </w:p>
        </w:tc>
      </w:tr>
      <w:tr w:rsidR="00AE31F2" w14:paraId="4D81E1A5" w14:textId="77777777" w:rsidTr="00403B9A">
        <w:trPr>
          <w:trHeight w:val="62"/>
        </w:trPr>
        <w:tc>
          <w:tcPr>
            <w:tcW w:w="5000" w:type="pct"/>
            <w:tcMar>
              <w:top w:w="0" w:type="dxa"/>
            </w:tcMar>
          </w:tcPr>
          <w:p w14:paraId="2B7E06F0" w14:textId="77777777" w:rsidR="00AE31F2" w:rsidRPr="00DF7806" w:rsidRDefault="00AE31F2" w:rsidP="00403B9A">
            <w:pPr>
              <w:spacing w:before="0"/>
              <w:rPr>
                <w:rFonts w:eastAsiaTheme="minorHAnsi" w:cs="Arial"/>
                <w:b/>
                <w:bCs/>
                <w:sz w:val="20"/>
                <w:szCs w:val="20"/>
                <w:lang w:eastAsia="en-US"/>
              </w:rPr>
            </w:pPr>
            <w:r w:rsidRPr="00DF7806">
              <w:rPr>
                <w:rFonts w:eastAsiaTheme="minorHAnsi" w:cs="Arial"/>
                <w:sz w:val="20"/>
                <w:szCs w:val="20"/>
                <w:lang w:eastAsia="en-US"/>
              </w:rPr>
              <w:t xml:space="preserve">The Commission has produced the following resources to support organisations with infection surveillance: </w:t>
            </w:r>
            <w:r w:rsidRPr="00DF7806">
              <w:rPr>
                <w:rFonts w:eastAsiaTheme="minorHAnsi" w:cs="Arial"/>
                <w:b/>
                <w:bCs/>
                <w:sz w:val="20"/>
                <w:szCs w:val="20"/>
                <w:lang w:eastAsia="en-US"/>
              </w:rPr>
              <w:t xml:space="preserve"> </w:t>
            </w:r>
          </w:p>
          <w:p w14:paraId="1CDCEFBE" w14:textId="60E21171" w:rsidR="00AE31F2" w:rsidRPr="00DF7806" w:rsidRDefault="008B5292" w:rsidP="00403B9A">
            <w:pPr>
              <w:spacing w:before="0"/>
              <w:rPr>
                <w:rStyle w:val="Hyperlink"/>
                <w:sz w:val="20"/>
                <w:szCs w:val="20"/>
              </w:rPr>
            </w:pPr>
            <w:r w:rsidRPr="00DF7806">
              <w:rPr>
                <w:color w:val="005370"/>
                <w:sz w:val="20"/>
                <w:szCs w:val="20"/>
                <w:u w:val="single"/>
              </w:rPr>
              <w:fldChar w:fldCharType="begin"/>
            </w:r>
            <w:r w:rsidRPr="00DF7806">
              <w:rPr>
                <w:color w:val="005370"/>
                <w:sz w:val="20"/>
                <w:szCs w:val="20"/>
                <w:u w:val="single"/>
              </w:rPr>
              <w:instrText>HYPERLINK "https://www.safetyandquality.gov.au/our-work/infection-prevention-and-control/hai-surveillance/surveillance-staphylococcus-aureus-bloodstream-infection-sabsi"</w:instrText>
            </w:r>
            <w:r w:rsidRPr="00DF7806">
              <w:rPr>
                <w:color w:val="005370"/>
                <w:sz w:val="20"/>
                <w:szCs w:val="20"/>
                <w:u w:val="single"/>
              </w:rPr>
            </w:r>
            <w:r w:rsidRPr="00DF7806">
              <w:rPr>
                <w:color w:val="005370"/>
                <w:sz w:val="20"/>
                <w:szCs w:val="20"/>
                <w:u w:val="single"/>
              </w:rPr>
              <w:fldChar w:fldCharType="separate"/>
            </w:r>
            <w:r w:rsidR="00AE31F2" w:rsidRPr="00DF7806">
              <w:rPr>
                <w:rStyle w:val="Hyperlink"/>
                <w:sz w:val="20"/>
                <w:szCs w:val="20"/>
              </w:rPr>
              <w:t xml:space="preserve">Implementation Guide for the Surveillance of </w:t>
            </w:r>
            <w:r w:rsidR="00AE31F2" w:rsidRPr="00DF7806">
              <w:rPr>
                <w:rStyle w:val="Hyperlink"/>
                <w:i/>
                <w:iCs/>
                <w:sz w:val="20"/>
                <w:szCs w:val="20"/>
              </w:rPr>
              <w:t>Staphylococcus aureus</w:t>
            </w:r>
            <w:r w:rsidR="00AE31F2" w:rsidRPr="00DF7806">
              <w:rPr>
                <w:rStyle w:val="Hyperlink"/>
                <w:sz w:val="20"/>
                <w:szCs w:val="20"/>
              </w:rPr>
              <w:t xml:space="preserve"> Bloodstream </w:t>
            </w:r>
            <w:r w:rsidR="00843618" w:rsidRPr="00DF7806">
              <w:rPr>
                <w:rStyle w:val="Hyperlink"/>
                <w:sz w:val="20"/>
                <w:szCs w:val="20"/>
              </w:rPr>
              <w:t>I</w:t>
            </w:r>
            <w:r w:rsidR="00AE31F2" w:rsidRPr="00DF7806">
              <w:rPr>
                <w:rStyle w:val="Hyperlink"/>
                <w:sz w:val="20"/>
                <w:szCs w:val="20"/>
              </w:rPr>
              <w:t>nfection</w:t>
            </w:r>
          </w:p>
          <w:p w14:paraId="62E61B98" w14:textId="7E60E88C" w:rsidR="00AE31F2" w:rsidRPr="00DF7806" w:rsidRDefault="008B5292" w:rsidP="00403B9A">
            <w:pPr>
              <w:spacing w:before="0"/>
              <w:rPr>
                <w:rFonts w:eastAsiaTheme="minorHAnsi" w:cs="Arial"/>
                <w:sz w:val="20"/>
                <w:szCs w:val="20"/>
                <w:lang w:eastAsia="en-US"/>
              </w:rPr>
            </w:pPr>
            <w:r w:rsidRPr="00DF7806">
              <w:rPr>
                <w:color w:val="005370"/>
                <w:sz w:val="20"/>
                <w:szCs w:val="20"/>
                <w:u w:val="single"/>
              </w:rPr>
              <w:fldChar w:fldCharType="end"/>
            </w:r>
            <w:hyperlink r:id="rId18" w:history="1">
              <w:r w:rsidR="00AE31F2" w:rsidRPr="00DF7806">
                <w:rPr>
                  <w:color w:val="005370"/>
                  <w:sz w:val="20"/>
                  <w:szCs w:val="20"/>
                  <w:u w:val="single"/>
                </w:rPr>
                <w:t xml:space="preserve">Implementation Guide: Surveillance of Central Line-Associated Bloodstream Infection </w:t>
              </w:r>
            </w:hyperlink>
          </w:p>
          <w:p w14:paraId="30BD92AD" w14:textId="77777777" w:rsidR="00AE31F2" w:rsidRPr="00DF7806" w:rsidRDefault="00273D63" w:rsidP="00403B9A">
            <w:pPr>
              <w:spacing w:before="0"/>
              <w:rPr>
                <w:color w:val="005370"/>
                <w:sz w:val="20"/>
                <w:szCs w:val="20"/>
                <w:u w:val="single"/>
              </w:rPr>
            </w:pPr>
            <w:hyperlink r:id="rId19" w:history="1">
              <w:r w:rsidR="00AE31F2" w:rsidRPr="00DF7806">
                <w:rPr>
                  <w:color w:val="005370"/>
                  <w:sz w:val="20"/>
                  <w:szCs w:val="20"/>
                  <w:u w:val="single"/>
                </w:rPr>
                <w:t xml:space="preserve">Implementation Guide for the Surveillance of </w:t>
              </w:r>
              <w:r w:rsidR="00AE31F2" w:rsidRPr="00DF7806">
                <w:rPr>
                  <w:i/>
                  <w:iCs/>
                  <w:color w:val="005370"/>
                  <w:sz w:val="20"/>
                  <w:szCs w:val="20"/>
                  <w:u w:val="single"/>
                </w:rPr>
                <w:t>Clostridioides difficile</w:t>
              </w:r>
              <w:r w:rsidR="00AE31F2" w:rsidRPr="00DF7806">
                <w:rPr>
                  <w:color w:val="005370"/>
                  <w:sz w:val="20"/>
                  <w:szCs w:val="20"/>
                  <w:u w:val="single"/>
                </w:rPr>
                <w:t xml:space="preserve"> Infection (CDI)</w:t>
              </w:r>
            </w:hyperlink>
          </w:p>
          <w:p w14:paraId="73B0C55F" w14:textId="77777777" w:rsidR="00AE31F2" w:rsidRPr="00DF7806" w:rsidRDefault="00273D63" w:rsidP="00403B9A">
            <w:pPr>
              <w:spacing w:before="0"/>
              <w:rPr>
                <w:color w:val="005370"/>
                <w:sz w:val="20"/>
                <w:szCs w:val="20"/>
                <w:u w:val="single"/>
              </w:rPr>
            </w:pPr>
            <w:hyperlink r:id="rId20" w:history="1">
              <w:r w:rsidR="00AE31F2" w:rsidRPr="00DF7806">
                <w:rPr>
                  <w:color w:val="005370"/>
                  <w:sz w:val="20"/>
                  <w:szCs w:val="20"/>
                  <w:u w:val="single"/>
                </w:rPr>
                <w:t>Surgical Site Infection Surveillance</w:t>
              </w:r>
            </w:hyperlink>
            <w:r w:rsidR="00AE31F2" w:rsidRPr="00DF7806">
              <w:rPr>
                <w:color w:val="005370"/>
                <w:sz w:val="20"/>
                <w:szCs w:val="20"/>
                <w:u w:val="single"/>
              </w:rPr>
              <w:t xml:space="preserve"> </w:t>
            </w:r>
          </w:p>
          <w:p w14:paraId="5F90B523" w14:textId="77777777" w:rsidR="00AE31F2" w:rsidRPr="00CB6558" w:rsidRDefault="00273D63" w:rsidP="00403B9A">
            <w:pPr>
              <w:spacing w:before="0" w:after="0"/>
              <w:rPr>
                <w:color w:val="005370"/>
                <w:sz w:val="20"/>
                <w:szCs w:val="20"/>
                <w:u w:val="single"/>
              </w:rPr>
            </w:pPr>
            <w:hyperlink r:id="rId21" w:history="1">
              <w:r w:rsidR="00AE31F2" w:rsidRPr="00DF7806">
                <w:rPr>
                  <w:color w:val="005370"/>
                  <w:sz w:val="20"/>
                  <w:szCs w:val="20"/>
                  <w:u w:val="single"/>
                </w:rPr>
                <w:t>Infection Prevention and Control eLearning Modules</w:t>
              </w:r>
            </w:hyperlink>
            <w:r w:rsidR="00AE31F2" w:rsidRPr="00DF7806">
              <w:rPr>
                <w:color w:val="005370"/>
                <w:sz w:val="20"/>
                <w:szCs w:val="20"/>
                <w:u w:val="single"/>
              </w:rPr>
              <w:t xml:space="preserve"> </w:t>
            </w:r>
            <w:r w:rsidR="00AE31F2" w:rsidRPr="00DF7806">
              <w:rPr>
                <w:rFonts w:cs="Arial"/>
                <w:noProof/>
                <w:sz w:val="20"/>
                <w:szCs w:val="20"/>
              </w:rPr>
              <w:t>(Basics of Surveillance and Quality Improvement)</w:t>
            </w:r>
          </w:p>
        </w:tc>
      </w:tr>
      <w:bookmarkEnd w:id="0"/>
    </w:tbl>
    <w:p w14:paraId="3A331523" w14:textId="4EA857F7" w:rsidR="00AE31F2" w:rsidRDefault="00AE31F2" w:rsidP="00F9342D">
      <w:pPr>
        <w:pStyle w:val="FootnoteText"/>
        <w:tabs>
          <w:tab w:val="right" w:pos="8931"/>
        </w:tabs>
        <w:spacing w:after="0"/>
        <w:rPr>
          <w:rStyle w:val="Roman"/>
          <w:rFonts w:eastAsia="MS Gothic"/>
        </w:rPr>
        <w:sectPr w:rsidR="00AE31F2" w:rsidSect="00C167EB">
          <w:type w:val="continuous"/>
          <w:pgSz w:w="11906" w:h="16838"/>
          <w:pgMar w:top="1372" w:right="1134" w:bottom="1440" w:left="1134" w:header="709" w:footer="471" w:gutter="0"/>
          <w:cols w:num="2" w:space="708"/>
          <w:docGrid w:linePitch="360"/>
        </w:sectPr>
      </w:pPr>
    </w:p>
    <w:p w14:paraId="0ABA604B" w14:textId="77777777" w:rsidR="00AE31F2" w:rsidRPr="00506053" w:rsidRDefault="00AE31F2" w:rsidP="00AE31F2">
      <w:pPr>
        <w:keepNext/>
        <w:keepLines/>
        <w:spacing w:before="0" w:after="0"/>
        <w:contextualSpacing/>
        <w:outlineLvl w:val="1"/>
        <w:rPr>
          <w:rFonts w:cs="Arial"/>
          <w:b/>
          <w:iCs/>
          <w:color w:val="005370"/>
          <w:kern w:val="28"/>
          <w:sz w:val="28"/>
          <w:szCs w:val="24"/>
        </w:rPr>
      </w:pPr>
      <w:r>
        <w:rPr>
          <w:rFonts w:cs="Arial"/>
          <w:b/>
          <w:iCs/>
          <w:color w:val="005370"/>
          <w:kern w:val="28"/>
          <w:sz w:val="28"/>
          <w:szCs w:val="24"/>
        </w:rPr>
        <w:t>R</w:t>
      </w:r>
      <w:r w:rsidRPr="00506053">
        <w:rPr>
          <w:rFonts w:cs="Arial"/>
          <w:b/>
          <w:iCs/>
          <w:color w:val="005370"/>
          <w:kern w:val="28"/>
          <w:sz w:val="28"/>
          <w:szCs w:val="24"/>
        </w:rPr>
        <w:t>eferences</w:t>
      </w:r>
    </w:p>
    <w:p w14:paraId="2B0CDF8F" w14:textId="77777777" w:rsidR="00AE31F2" w:rsidRPr="00C167EB" w:rsidRDefault="00AE31F2" w:rsidP="00AE31F2">
      <w:pPr>
        <w:numPr>
          <w:ilvl w:val="0"/>
          <w:numId w:val="31"/>
        </w:numPr>
        <w:spacing w:before="0" w:after="0"/>
        <w:ind w:left="284" w:hanging="284"/>
        <w:contextualSpacing/>
        <w:rPr>
          <w:rFonts w:eastAsiaTheme="minorHAnsi" w:cs="Arial"/>
          <w:sz w:val="18"/>
          <w:szCs w:val="18"/>
          <w:lang w:eastAsia="en-US"/>
        </w:rPr>
      </w:pPr>
      <w:r w:rsidRPr="00C167EB">
        <w:rPr>
          <w:sz w:val="18"/>
          <w:szCs w:val="18"/>
        </w:rPr>
        <w:t>National Health and Medical Research Council. Australian Guidelines for the Prevention and Control of Infection in Healthcare. Commonwealth of Australia, 2019.</w:t>
      </w:r>
    </w:p>
    <w:p w14:paraId="27E94146" w14:textId="77777777" w:rsidR="00AE31F2" w:rsidRPr="00C167EB" w:rsidRDefault="00AE31F2" w:rsidP="00AE31F2">
      <w:pPr>
        <w:numPr>
          <w:ilvl w:val="0"/>
          <w:numId w:val="31"/>
        </w:numPr>
        <w:spacing w:before="0" w:after="0"/>
        <w:ind w:left="284" w:hanging="284"/>
        <w:contextualSpacing/>
        <w:rPr>
          <w:rFonts w:eastAsiaTheme="minorHAnsi" w:cs="Arial"/>
          <w:sz w:val="18"/>
          <w:szCs w:val="18"/>
          <w:lang w:eastAsia="en-US"/>
        </w:rPr>
      </w:pPr>
      <w:r w:rsidRPr="00C167EB">
        <w:rPr>
          <w:rFonts w:eastAsiaTheme="minorHAnsi" w:cs="Arial"/>
          <w:sz w:val="18"/>
          <w:szCs w:val="18"/>
          <w:lang w:eastAsia="en-US"/>
        </w:rPr>
        <w:t xml:space="preserve">Mitchell BG, Gardner A. Addressing the need for an infection prevention and control framework that incorporates the role of surveillance: a discussion paper. J Adv </w:t>
      </w:r>
      <w:proofErr w:type="spellStart"/>
      <w:r w:rsidRPr="00C167EB">
        <w:rPr>
          <w:rFonts w:eastAsiaTheme="minorHAnsi" w:cs="Arial"/>
          <w:sz w:val="18"/>
          <w:szCs w:val="18"/>
          <w:lang w:eastAsia="en-US"/>
        </w:rPr>
        <w:t>Nurs</w:t>
      </w:r>
      <w:proofErr w:type="spellEnd"/>
      <w:r w:rsidRPr="00C167EB">
        <w:rPr>
          <w:rFonts w:eastAsiaTheme="minorHAnsi" w:cs="Arial"/>
          <w:sz w:val="18"/>
          <w:szCs w:val="18"/>
          <w:lang w:eastAsia="en-US"/>
        </w:rPr>
        <w:t>. 2014 Mar;70(3):533-542.</w:t>
      </w:r>
    </w:p>
    <w:p w14:paraId="3A79E97B" w14:textId="77777777" w:rsidR="00AE31F2" w:rsidRPr="00C167EB" w:rsidRDefault="00AE31F2" w:rsidP="00AE31F2">
      <w:pPr>
        <w:numPr>
          <w:ilvl w:val="0"/>
          <w:numId w:val="31"/>
        </w:numPr>
        <w:spacing w:before="0" w:after="0"/>
        <w:ind w:left="284" w:hanging="284"/>
        <w:contextualSpacing/>
        <w:rPr>
          <w:rFonts w:eastAsiaTheme="minorHAnsi" w:cs="Arial"/>
          <w:sz w:val="18"/>
          <w:szCs w:val="18"/>
          <w:lang w:eastAsia="en-US"/>
        </w:rPr>
      </w:pPr>
      <w:r w:rsidRPr="00C167EB">
        <w:rPr>
          <w:rFonts w:eastAsiaTheme="minorHAnsi" w:cs="Arial"/>
          <w:sz w:val="18"/>
          <w:szCs w:val="18"/>
          <w:lang w:eastAsia="en-US"/>
        </w:rPr>
        <w:t>Cato KD CB, Larson E. Data elements and validation methods used for electronic surveillance of health care-associated infections: a systematic review. Am J Infect Control. 2015;43(6):600-605.</w:t>
      </w:r>
    </w:p>
    <w:p w14:paraId="378626BA" w14:textId="77777777" w:rsidR="00442E67" w:rsidRPr="00C167EB" w:rsidRDefault="00AE31F2" w:rsidP="00442E67">
      <w:pPr>
        <w:numPr>
          <w:ilvl w:val="0"/>
          <w:numId w:val="31"/>
        </w:numPr>
        <w:spacing w:before="0" w:after="0"/>
        <w:ind w:left="284" w:hanging="284"/>
        <w:contextualSpacing/>
        <w:rPr>
          <w:rFonts w:cs="Arial"/>
          <w:noProof/>
          <w:sz w:val="18"/>
          <w:szCs w:val="18"/>
        </w:rPr>
      </w:pPr>
      <w:r w:rsidRPr="00C167EB">
        <w:rPr>
          <w:rFonts w:cs="Arial"/>
          <w:noProof/>
          <w:sz w:val="18"/>
          <w:szCs w:val="18"/>
        </w:rPr>
        <w:t>Lasry O, Ailon T, Charest-Morin R, Dea N, Dvorak M, Fisher C, et al. Accuracy of hospital-based surveillance systems for surgical site infection after adult spine surgery: a Bayesian latent class analysis. J Hosp Infect. 2021 Jul 14;117:117-123.</w:t>
      </w:r>
    </w:p>
    <w:p w14:paraId="78722752" w14:textId="15DEFD8E" w:rsidR="00A338BC" w:rsidRPr="00A338BC" w:rsidRDefault="00AE31F2" w:rsidP="00A338BC">
      <w:pPr>
        <w:numPr>
          <w:ilvl w:val="0"/>
          <w:numId w:val="31"/>
        </w:numPr>
        <w:spacing w:before="0" w:after="0"/>
        <w:ind w:left="284" w:hanging="284"/>
        <w:contextualSpacing/>
        <w:rPr>
          <w:rStyle w:val="Roman"/>
          <w:rFonts w:eastAsia="MS Gothic"/>
        </w:rPr>
      </w:pPr>
      <w:r w:rsidRPr="00C167EB">
        <w:rPr>
          <w:rFonts w:cs="Arial"/>
          <w:noProof/>
          <w:sz w:val="18"/>
          <w:szCs w:val="18"/>
        </w:rPr>
        <w:t>Russo PL, Cheng AC, Richards M, Graves N, Hall L. Healthcare-associated infections in Australia: time for national surveillance. Aust Health Rev. 2015 Feb;39(1):37-43</w:t>
      </w:r>
    </w:p>
    <w:sectPr w:rsidR="00A338BC" w:rsidRPr="00A338BC" w:rsidSect="00A338BC">
      <w:headerReference w:type="default" r:id="rId22"/>
      <w:footerReference w:type="default" r:id="rId23"/>
      <w:type w:val="continuous"/>
      <w:pgSz w:w="11906" w:h="16838"/>
      <w:pgMar w:top="1372" w:right="1134" w:bottom="567" w:left="1134" w:header="709" w:footer="18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7997" w14:textId="77777777" w:rsidR="00436200" w:rsidRDefault="00436200" w:rsidP="000B0274">
      <w:r>
        <w:separator/>
      </w:r>
    </w:p>
    <w:p w14:paraId="680A6E7E" w14:textId="77777777" w:rsidR="00436200" w:rsidRDefault="00436200"/>
    <w:p w14:paraId="733DD367" w14:textId="77777777" w:rsidR="00436200" w:rsidRDefault="00436200"/>
    <w:p w14:paraId="25E40B62" w14:textId="77777777" w:rsidR="00436200" w:rsidRDefault="00436200"/>
    <w:p w14:paraId="389576E8" w14:textId="77777777" w:rsidR="00436200" w:rsidRDefault="00436200"/>
  </w:endnote>
  <w:endnote w:type="continuationSeparator" w:id="0">
    <w:p w14:paraId="5DEA502E" w14:textId="77777777" w:rsidR="00436200" w:rsidRDefault="00436200" w:rsidP="000B0274">
      <w:r>
        <w:continuationSeparator/>
      </w:r>
    </w:p>
    <w:p w14:paraId="0112DE5D" w14:textId="77777777" w:rsidR="00436200" w:rsidRDefault="00436200"/>
    <w:p w14:paraId="4BE94D9B" w14:textId="77777777" w:rsidR="00436200" w:rsidRDefault="00436200"/>
    <w:p w14:paraId="50531983" w14:textId="77777777" w:rsidR="00436200" w:rsidRDefault="00436200"/>
    <w:p w14:paraId="1F06929B" w14:textId="77777777" w:rsidR="00436200" w:rsidRDefault="00436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5C50" w14:textId="77777777" w:rsidR="00A5694A" w:rsidRDefault="00A5694A" w:rsidP="00D84622">
    <w:pPr>
      <w:pStyle w:val="Footer"/>
    </w:pPr>
  </w:p>
  <w:p w14:paraId="7D806358" w14:textId="77777777" w:rsidR="00070812" w:rsidRDefault="00070812"/>
  <w:p w14:paraId="41701198" w14:textId="77777777" w:rsidR="008B014E" w:rsidRDefault="008B014E"/>
  <w:p w14:paraId="035FB9FB"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EF4" w14:textId="35D2732D" w:rsidR="008B014E" w:rsidRPr="00F9342D" w:rsidRDefault="00CB6558" w:rsidP="007E175B">
    <w:pPr>
      <w:pStyle w:val="Footer"/>
      <w:rPr>
        <w:b/>
      </w:rPr>
    </w:pPr>
    <w:r>
      <w:rPr>
        <w:b/>
      </w:rPr>
      <w:t>Validating infection surveillance data</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B04D" w14:textId="24B41790" w:rsidR="00A338BC" w:rsidRPr="00F9342D" w:rsidRDefault="00A338BC" w:rsidP="00A338BC">
    <w:pPr>
      <w:pStyle w:val="FootnoteText"/>
      <w:tabs>
        <w:tab w:val="right" w:pos="8931"/>
      </w:tabs>
      <w:spacing w:after="0"/>
      <w:rPr>
        <w:rFonts w:eastAsia="MS Gothic"/>
        <w:color w:val="FF00FF"/>
      </w:rPr>
    </w:pPr>
    <w:r>
      <w:rPr>
        <w:noProof/>
      </w:rPr>
      <w:drawing>
        <wp:anchor distT="0" distB="0" distL="114300" distR="114300" simplePos="0" relativeHeight="251669504" behindDoc="0" locked="0" layoutInCell="1" allowOverlap="1" wp14:anchorId="7D5A7766" wp14:editId="12A386CF">
          <wp:simplePos x="0" y="0"/>
          <wp:positionH relativeFrom="column">
            <wp:posOffset>0</wp:posOffset>
          </wp:positionH>
          <wp:positionV relativeFrom="paragraph">
            <wp:posOffset>34290</wp:posOffset>
          </wp:positionV>
          <wp:extent cx="840105" cy="297815"/>
          <wp:effectExtent l="0" t="0" r="0" b="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B96">
      <w:rPr>
        <w:rStyle w:val="Roman"/>
        <w:rFonts w:eastAsia="MS Gothic"/>
      </w:rPr>
      <w:t xml:space="preserve">© Australian Commission on Safety </w:t>
    </w:r>
    <w:r w:rsidRPr="00EA0B96">
      <w:rPr>
        <w:rStyle w:val="Roman"/>
        <w:rFonts w:eastAsia="MS Gothic"/>
      </w:rPr>
      <w:br/>
      <w:t xml:space="preserve">and Quality in Health </w:t>
    </w:r>
    <w:r w:rsidRPr="00F9342D">
      <w:rPr>
        <w:rStyle w:val="Roman"/>
        <w:rFonts w:eastAsia="MS Gothic"/>
      </w:rPr>
      <w:t>Care 202</w:t>
    </w:r>
    <w:r w:rsidR="002534C5">
      <w:rPr>
        <w:rStyle w:val="Roman"/>
        <w:rFonts w:eastAsia="MS Gothic"/>
      </w:rPr>
      <w:t>4</w:t>
    </w:r>
    <w:r w:rsidRPr="00F9342D" w:rsidDel="00174535">
      <w:rPr>
        <w:rStyle w:val="Roman"/>
        <w:rFonts w:eastAsia="MS Gothic"/>
      </w:rPr>
      <w:t xml:space="preserve"> </w:t>
    </w:r>
  </w:p>
  <w:p w14:paraId="7E2E6CCF" w14:textId="77777777" w:rsidR="00A338BC" w:rsidRPr="00F9342D" w:rsidRDefault="00A338BC" w:rsidP="007E175B">
    <w:pPr>
      <w:pStyle w:val="Footer"/>
      <w:rPr>
        <w:b/>
      </w:rPr>
    </w:pPr>
    <w:r>
      <w:rPr>
        <w:b/>
      </w:rPr>
      <w:t>Validating infection surveillance data</w:t>
    </w:r>
    <w:r w:rsidRPr="00D84622">
      <w:tab/>
    </w:r>
    <w:r w:rsidRPr="00D84622">
      <w:fldChar w:fldCharType="begin"/>
    </w:r>
    <w:r w:rsidRPr="00D84622">
      <w:instrText xml:space="preserve"> PAGE   \* MERGEFORMAT </w:instrText>
    </w:r>
    <w:r w:rsidRPr="00D84622">
      <w:fldChar w:fldCharType="separate"/>
    </w:r>
    <w:r w:rsidRPr="00D84622">
      <w:t>4</w:t>
    </w:r>
    <w:r w:rsidRPr="00D8462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B69D" w14:textId="77777777" w:rsidR="00A338BC" w:rsidRPr="00F9342D" w:rsidRDefault="00A338BC" w:rsidP="007E175B">
    <w:pPr>
      <w:pStyle w:val="Footer"/>
      <w:rPr>
        <w:b/>
      </w:rPr>
    </w:pPr>
    <w:r>
      <w:rPr>
        <w:b/>
      </w:rPr>
      <w:t>Validating infection surveillance data</w:t>
    </w:r>
    <w:r w:rsidRPr="00D84622">
      <w:tab/>
    </w:r>
    <w:r w:rsidRPr="00D84622">
      <w:fldChar w:fldCharType="begin"/>
    </w:r>
    <w:r w:rsidRPr="00D84622">
      <w:instrText xml:space="preserve"> PAGE   \* MERGEFORMAT </w:instrText>
    </w:r>
    <w:r w:rsidRPr="00D84622">
      <w:fldChar w:fldCharType="separate"/>
    </w:r>
    <w:r w:rsidRPr="00D84622">
      <w:t>4</w:t>
    </w:r>
    <w:r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2117" w14:textId="77777777" w:rsidR="00436200" w:rsidRDefault="00436200" w:rsidP="000B0274">
      <w:r>
        <w:separator/>
      </w:r>
    </w:p>
    <w:p w14:paraId="05934CDF" w14:textId="77777777" w:rsidR="00436200" w:rsidRDefault="00436200"/>
    <w:p w14:paraId="7EF8AE7F" w14:textId="77777777" w:rsidR="00436200" w:rsidRDefault="00436200"/>
    <w:p w14:paraId="254B33C7" w14:textId="77777777" w:rsidR="00436200" w:rsidRDefault="00436200"/>
    <w:p w14:paraId="510E13A9" w14:textId="77777777" w:rsidR="00436200" w:rsidRDefault="00436200"/>
  </w:footnote>
  <w:footnote w:type="continuationSeparator" w:id="0">
    <w:p w14:paraId="5A93127D" w14:textId="77777777" w:rsidR="00436200" w:rsidRDefault="00436200" w:rsidP="000B0274">
      <w:r>
        <w:continuationSeparator/>
      </w:r>
    </w:p>
    <w:p w14:paraId="5739361A" w14:textId="77777777" w:rsidR="00436200" w:rsidRDefault="00436200"/>
    <w:p w14:paraId="48DD647A" w14:textId="77777777" w:rsidR="00436200" w:rsidRDefault="00436200"/>
    <w:p w14:paraId="70647EC6" w14:textId="77777777" w:rsidR="00436200" w:rsidRDefault="00436200"/>
    <w:p w14:paraId="5A6065B1" w14:textId="77777777" w:rsidR="00436200" w:rsidRDefault="00436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5E03" w14:textId="534175B7" w:rsidR="00A5694A" w:rsidRDefault="00A5694A"/>
  <w:p w14:paraId="05597867" w14:textId="77777777" w:rsidR="00070812" w:rsidRDefault="00070812"/>
  <w:p w14:paraId="546CBCB1" w14:textId="77777777" w:rsidR="008B014E" w:rsidRDefault="008B014E"/>
  <w:p w14:paraId="6A8FB1C2"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783" w14:textId="114DC7FF" w:rsidR="008B014E" w:rsidRDefault="00190C81" w:rsidP="00F9342D">
    <w:pPr>
      <w:tabs>
        <w:tab w:val="right" w:pos="9638"/>
      </w:tabs>
      <w:spacing w:before="0" w:after="160"/>
      <w:ind w:left="-142"/>
    </w:pPr>
    <w:r w:rsidRPr="00EA0B96">
      <w:rPr>
        <w:rFonts w:eastAsia="MS Gothic"/>
        <w:noProof/>
        <w:lang w:val="en-US" w:eastAsia="en-US"/>
      </w:rPr>
      <w:drawing>
        <wp:inline distT="0" distB="0" distL="0" distR="0" wp14:anchorId="6A84B1F7" wp14:editId="7FAC2E50">
          <wp:extent cx="4304665" cy="544830"/>
          <wp:effectExtent l="0" t="0" r="0" b="0"/>
          <wp:docPr id="20" name="Picture 20"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sidR="00A139A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E675" w14:textId="0A1E9B88" w:rsidR="00CF49C6" w:rsidRDefault="00CF49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C0DF" w14:textId="77777777" w:rsidR="00A338BC" w:rsidRDefault="00273D63" w:rsidP="00F9342D">
    <w:pPr>
      <w:tabs>
        <w:tab w:val="right" w:pos="9638"/>
      </w:tabs>
      <w:spacing w:before="0" w:after="160"/>
      <w:ind w:left="-142"/>
    </w:pPr>
    <w:r>
      <w:rPr>
        <w:noProof/>
      </w:rPr>
      <w:pict w14:anchorId="75694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85.3pt;height:194.1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338BC" w:rsidRPr="00EA0B96">
      <w:rPr>
        <w:rFonts w:eastAsia="MS Gothic"/>
        <w:noProof/>
        <w:lang w:val="en-US" w:eastAsia="en-US"/>
      </w:rPr>
      <w:drawing>
        <wp:inline distT="0" distB="0" distL="0" distR="0" wp14:anchorId="6ABB1854" wp14:editId="26A14F3F">
          <wp:extent cx="4304665" cy="544830"/>
          <wp:effectExtent l="0" t="0" r="0" b="0"/>
          <wp:docPr id="22" name="Picture 22"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sidR="00A338B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B30A48"/>
    <w:multiLevelType w:val="hybridMultilevel"/>
    <w:tmpl w:val="A5E25E8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A057879"/>
    <w:multiLevelType w:val="hybridMultilevel"/>
    <w:tmpl w:val="6E2E73E2"/>
    <w:lvl w:ilvl="0" w:tplc="3612DACC">
      <w:start w:val="1"/>
      <w:numFmt w:val="decimal"/>
      <w:lvlText w:val="%1."/>
      <w:lvlJc w:val="left"/>
      <w:pPr>
        <w:ind w:left="720" w:hanging="360"/>
      </w:pPr>
      <w:rPr>
        <w:rFonts w:cstheme="minorHAns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4E72592"/>
    <w:multiLevelType w:val="hybridMultilevel"/>
    <w:tmpl w:val="DF76412A"/>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5"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34108780">
    <w:abstractNumId w:val="10"/>
  </w:num>
  <w:num w:numId="2" w16cid:durableId="1112822231">
    <w:abstractNumId w:val="13"/>
  </w:num>
  <w:num w:numId="3" w16cid:durableId="2010399634">
    <w:abstractNumId w:val="21"/>
  </w:num>
  <w:num w:numId="4" w16cid:durableId="1896118276">
    <w:abstractNumId w:val="26"/>
  </w:num>
  <w:num w:numId="5" w16cid:durableId="300960936">
    <w:abstractNumId w:val="25"/>
  </w:num>
  <w:num w:numId="6" w16cid:durableId="460001979">
    <w:abstractNumId w:val="14"/>
  </w:num>
  <w:num w:numId="7" w16cid:durableId="1272736034">
    <w:abstractNumId w:val="15"/>
  </w:num>
  <w:num w:numId="8" w16cid:durableId="281155201">
    <w:abstractNumId w:val="12"/>
  </w:num>
  <w:num w:numId="9" w16cid:durableId="1959675322">
    <w:abstractNumId w:val="30"/>
  </w:num>
  <w:num w:numId="10" w16cid:durableId="1185750376">
    <w:abstractNumId w:val="20"/>
  </w:num>
  <w:num w:numId="11" w16cid:durableId="1123500894">
    <w:abstractNumId w:val="17"/>
  </w:num>
  <w:num w:numId="12" w16cid:durableId="825979626">
    <w:abstractNumId w:val="29"/>
  </w:num>
  <w:num w:numId="13" w16cid:durableId="977683346">
    <w:abstractNumId w:val="18"/>
  </w:num>
  <w:num w:numId="14" w16cid:durableId="2057927306">
    <w:abstractNumId w:val="23"/>
  </w:num>
  <w:num w:numId="15" w16cid:durableId="1126317256">
    <w:abstractNumId w:val="31"/>
  </w:num>
  <w:num w:numId="16" w16cid:durableId="1986926756">
    <w:abstractNumId w:val="22"/>
  </w:num>
  <w:num w:numId="17" w16cid:durableId="230846978">
    <w:abstractNumId w:val="16"/>
  </w:num>
  <w:num w:numId="18" w16cid:durableId="222760772">
    <w:abstractNumId w:val="27"/>
  </w:num>
  <w:num w:numId="19" w16cid:durableId="1502430373">
    <w:abstractNumId w:val="28"/>
  </w:num>
  <w:num w:numId="20" w16cid:durableId="536162920">
    <w:abstractNumId w:val="0"/>
  </w:num>
  <w:num w:numId="21" w16cid:durableId="1871912386">
    <w:abstractNumId w:val="1"/>
  </w:num>
  <w:num w:numId="22" w16cid:durableId="1487092259">
    <w:abstractNumId w:val="2"/>
  </w:num>
  <w:num w:numId="23" w16cid:durableId="540870097">
    <w:abstractNumId w:val="3"/>
  </w:num>
  <w:num w:numId="24" w16cid:durableId="1091849680">
    <w:abstractNumId w:val="8"/>
  </w:num>
  <w:num w:numId="25" w16cid:durableId="1974864467">
    <w:abstractNumId w:val="4"/>
  </w:num>
  <w:num w:numId="26" w16cid:durableId="1078212562">
    <w:abstractNumId w:val="5"/>
  </w:num>
  <w:num w:numId="27" w16cid:durableId="1059859603">
    <w:abstractNumId w:val="6"/>
  </w:num>
  <w:num w:numId="28" w16cid:durableId="1271089856">
    <w:abstractNumId w:val="7"/>
  </w:num>
  <w:num w:numId="29" w16cid:durableId="1944413428">
    <w:abstractNumId w:val="9"/>
  </w:num>
  <w:num w:numId="30" w16cid:durableId="2087146724">
    <w:abstractNumId w:val="11"/>
  </w:num>
  <w:num w:numId="31" w16cid:durableId="2105833351">
    <w:abstractNumId w:val="19"/>
  </w:num>
  <w:num w:numId="32" w16cid:durableId="1234394474">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2D"/>
    <w:rsid w:val="000013B3"/>
    <w:rsid w:val="00002668"/>
    <w:rsid w:val="00003743"/>
    <w:rsid w:val="000077FA"/>
    <w:rsid w:val="0001053B"/>
    <w:rsid w:val="00011096"/>
    <w:rsid w:val="00012782"/>
    <w:rsid w:val="00013AF4"/>
    <w:rsid w:val="00020DBD"/>
    <w:rsid w:val="00025A92"/>
    <w:rsid w:val="0003162D"/>
    <w:rsid w:val="00036AB7"/>
    <w:rsid w:val="00036F5E"/>
    <w:rsid w:val="000406F8"/>
    <w:rsid w:val="00043671"/>
    <w:rsid w:val="00050775"/>
    <w:rsid w:val="00054B74"/>
    <w:rsid w:val="00067456"/>
    <w:rsid w:val="00067CE9"/>
    <w:rsid w:val="00070812"/>
    <w:rsid w:val="0008065C"/>
    <w:rsid w:val="000811F9"/>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6405"/>
    <w:rsid w:val="000E2F2E"/>
    <w:rsid w:val="000F0D77"/>
    <w:rsid w:val="000F29C7"/>
    <w:rsid w:val="0010673D"/>
    <w:rsid w:val="00106CF5"/>
    <w:rsid w:val="00115403"/>
    <w:rsid w:val="00115E61"/>
    <w:rsid w:val="00120FCB"/>
    <w:rsid w:val="00131E52"/>
    <w:rsid w:val="0013212C"/>
    <w:rsid w:val="00140002"/>
    <w:rsid w:val="00143A76"/>
    <w:rsid w:val="00145BE3"/>
    <w:rsid w:val="00146A66"/>
    <w:rsid w:val="001507C6"/>
    <w:rsid w:val="00153149"/>
    <w:rsid w:val="00157B31"/>
    <w:rsid w:val="00160453"/>
    <w:rsid w:val="00161CF7"/>
    <w:rsid w:val="001652A9"/>
    <w:rsid w:val="00174141"/>
    <w:rsid w:val="00174535"/>
    <w:rsid w:val="0017675C"/>
    <w:rsid w:val="00177E7B"/>
    <w:rsid w:val="00183675"/>
    <w:rsid w:val="00184C86"/>
    <w:rsid w:val="001852DE"/>
    <w:rsid w:val="001859B5"/>
    <w:rsid w:val="001860B2"/>
    <w:rsid w:val="00190C81"/>
    <w:rsid w:val="001918F7"/>
    <w:rsid w:val="001921ED"/>
    <w:rsid w:val="00195458"/>
    <w:rsid w:val="001962DE"/>
    <w:rsid w:val="00196AC8"/>
    <w:rsid w:val="001A11A5"/>
    <w:rsid w:val="001A1EBD"/>
    <w:rsid w:val="001A4A68"/>
    <w:rsid w:val="001B15D1"/>
    <w:rsid w:val="001B3443"/>
    <w:rsid w:val="001B7C8B"/>
    <w:rsid w:val="001C3D48"/>
    <w:rsid w:val="001D0D87"/>
    <w:rsid w:val="001E1042"/>
    <w:rsid w:val="001E38B8"/>
    <w:rsid w:val="001E77C4"/>
    <w:rsid w:val="001F6D10"/>
    <w:rsid w:val="001F7642"/>
    <w:rsid w:val="002006BD"/>
    <w:rsid w:val="00204C47"/>
    <w:rsid w:val="0020592F"/>
    <w:rsid w:val="00211447"/>
    <w:rsid w:val="002255F7"/>
    <w:rsid w:val="0023112B"/>
    <w:rsid w:val="0023231A"/>
    <w:rsid w:val="00237ADF"/>
    <w:rsid w:val="00245D81"/>
    <w:rsid w:val="0024767D"/>
    <w:rsid w:val="002503C3"/>
    <w:rsid w:val="00251167"/>
    <w:rsid w:val="002534C5"/>
    <w:rsid w:val="002550A7"/>
    <w:rsid w:val="00255596"/>
    <w:rsid w:val="00255DCB"/>
    <w:rsid w:val="00255EB0"/>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6E0C"/>
    <w:rsid w:val="002B37B6"/>
    <w:rsid w:val="002C1CA0"/>
    <w:rsid w:val="002C6AF0"/>
    <w:rsid w:val="002C6E07"/>
    <w:rsid w:val="002D0EB0"/>
    <w:rsid w:val="002D247E"/>
    <w:rsid w:val="002D35CA"/>
    <w:rsid w:val="002E003F"/>
    <w:rsid w:val="002E195D"/>
    <w:rsid w:val="002E2DBA"/>
    <w:rsid w:val="002E3986"/>
    <w:rsid w:val="002E6A48"/>
    <w:rsid w:val="002E7082"/>
    <w:rsid w:val="002F3AE3"/>
    <w:rsid w:val="002F7E6F"/>
    <w:rsid w:val="00304D91"/>
    <w:rsid w:val="0030786C"/>
    <w:rsid w:val="00312A62"/>
    <w:rsid w:val="00316683"/>
    <w:rsid w:val="00341202"/>
    <w:rsid w:val="00341A36"/>
    <w:rsid w:val="00341BEE"/>
    <w:rsid w:val="00343286"/>
    <w:rsid w:val="0034680F"/>
    <w:rsid w:val="0035066E"/>
    <w:rsid w:val="00350BE1"/>
    <w:rsid w:val="00350DBE"/>
    <w:rsid w:val="003657DB"/>
    <w:rsid w:val="0036588B"/>
    <w:rsid w:val="00370326"/>
    <w:rsid w:val="00380792"/>
    <w:rsid w:val="003808E4"/>
    <w:rsid w:val="0038248B"/>
    <w:rsid w:val="00386683"/>
    <w:rsid w:val="003873C6"/>
    <w:rsid w:val="00392002"/>
    <w:rsid w:val="00392A85"/>
    <w:rsid w:val="00396AFB"/>
    <w:rsid w:val="003A2C98"/>
    <w:rsid w:val="003A70CE"/>
    <w:rsid w:val="003C297A"/>
    <w:rsid w:val="003C540E"/>
    <w:rsid w:val="003C5F0C"/>
    <w:rsid w:val="003D17F9"/>
    <w:rsid w:val="003D3806"/>
    <w:rsid w:val="003D437B"/>
    <w:rsid w:val="003D4829"/>
    <w:rsid w:val="003D7ED7"/>
    <w:rsid w:val="003E197F"/>
    <w:rsid w:val="003E6E73"/>
    <w:rsid w:val="003E76C8"/>
    <w:rsid w:val="003F3F0B"/>
    <w:rsid w:val="0040152C"/>
    <w:rsid w:val="00402CBA"/>
    <w:rsid w:val="00403B9A"/>
    <w:rsid w:val="0040604F"/>
    <w:rsid w:val="00412E9D"/>
    <w:rsid w:val="00414952"/>
    <w:rsid w:val="00417B5C"/>
    <w:rsid w:val="00423210"/>
    <w:rsid w:val="00425504"/>
    <w:rsid w:val="0042727E"/>
    <w:rsid w:val="004305D6"/>
    <w:rsid w:val="00436200"/>
    <w:rsid w:val="004377EE"/>
    <w:rsid w:val="00440CC0"/>
    <w:rsid w:val="00440D73"/>
    <w:rsid w:val="00442E67"/>
    <w:rsid w:val="004437F3"/>
    <w:rsid w:val="004460F4"/>
    <w:rsid w:val="00447D31"/>
    <w:rsid w:val="00450946"/>
    <w:rsid w:val="00452849"/>
    <w:rsid w:val="00455560"/>
    <w:rsid w:val="00456385"/>
    <w:rsid w:val="00457050"/>
    <w:rsid w:val="00465AB0"/>
    <w:rsid w:val="00470AB8"/>
    <w:rsid w:val="00477753"/>
    <w:rsid w:val="00477E9B"/>
    <w:rsid w:val="00482ECA"/>
    <w:rsid w:val="00485776"/>
    <w:rsid w:val="00485794"/>
    <w:rsid w:val="004867E2"/>
    <w:rsid w:val="00486826"/>
    <w:rsid w:val="0048784D"/>
    <w:rsid w:val="00493AA0"/>
    <w:rsid w:val="004A0670"/>
    <w:rsid w:val="004A4851"/>
    <w:rsid w:val="004A5C81"/>
    <w:rsid w:val="004B0417"/>
    <w:rsid w:val="004B2999"/>
    <w:rsid w:val="004C04EB"/>
    <w:rsid w:val="004C3664"/>
    <w:rsid w:val="004C4927"/>
    <w:rsid w:val="004C6833"/>
    <w:rsid w:val="004D5E77"/>
    <w:rsid w:val="004E067A"/>
    <w:rsid w:val="004E179B"/>
    <w:rsid w:val="004E2389"/>
    <w:rsid w:val="004E393D"/>
    <w:rsid w:val="004E50C2"/>
    <w:rsid w:val="004E58C1"/>
    <w:rsid w:val="004F0DB8"/>
    <w:rsid w:val="004F412D"/>
    <w:rsid w:val="00505824"/>
    <w:rsid w:val="00506053"/>
    <w:rsid w:val="0051563D"/>
    <w:rsid w:val="005179C7"/>
    <w:rsid w:val="0052107C"/>
    <w:rsid w:val="005221B7"/>
    <w:rsid w:val="005256DE"/>
    <w:rsid w:val="00530100"/>
    <w:rsid w:val="00536E0C"/>
    <w:rsid w:val="005408C7"/>
    <w:rsid w:val="005422E7"/>
    <w:rsid w:val="005437FD"/>
    <w:rsid w:val="00544A4E"/>
    <w:rsid w:val="00544AB8"/>
    <w:rsid w:val="00552A92"/>
    <w:rsid w:val="00553E33"/>
    <w:rsid w:val="00555C4C"/>
    <w:rsid w:val="00555D6E"/>
    <w:rsid w:val="00562F72"/>
    <w:rsid w:val="0056304B"/>
    <w:rsid w:val="00565356"/>
    <w:rsid w:val="00566B97"/>
    <w:rsid w:val="00570C6C"/>
    <w:rsid w:val="00577EE4"/>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E4A"/>
    <w:rsid w:val="00604AAF"/>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10A2"/>
    <w:rsid w:val="006922F5"/>
    <w:rsid w:val="006947D9"/>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583E"/>
    <w:rsid w:val="0071637F"/>
    <w:rsid w:val="00716597"/>
    <w:rsid w:val="00716FED"/>
    <w:rsid w:val="00722691"/>
    <w:rsid w:val="007238E8"/>
    <w:rsid w:val="0072413F"/>
    <w:rsid w:val="00725FB9"/>
    <w:rsid w:val="00730020"/>
    <w:rsid w:val="007333AD"/>
    <w:rsid w:val="007360BF"/>
    <w:rsid w:val="00737D4D"/>
    <w:rsid w:val="007406E6"/>
    <w:rsid w:val="00746CCD"/>
    <w:rsid w:val="007473A1"/>
    <w:rsid w:val="00747CE1"/>
    <w:rsid w:val="007517A6"/>
    <w:rsid w:val="007545C7"/>
    <w:rsid w:val="0076005C"/>
    <w:rsid w:val="0076111D"/>
    <w:rsid w:val="007635C1"/>
    <w:rsid w:val="00766B42"/>
    <w:rsid w:val="0076731D"/>
    <w:rsid w:val="00767650"/>
    <w:rsid w:val="00767A90"/>
    <w:rsid w:val="00770588"/>
    <w:rsid w:val="00770EDE"/>
    <w:rsid w:val="0077624B"/>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E3FE9"/>
    <w:rsid w:val="007F3645"/>
    <w:rsid w:val="007F58DD"/>
    <w:rsid w:val="007F6791"/>
    <w:rsid w:val="00802131"/>
    <w:rsid w:val="00805E44"/>
    <w:rsid w:val="00811C26"/>
    <w:rsid w:val="00812029"/>
    <w:rsid w:val="00812A44"/>
    <w:rsid w:val="00820059"/>
    <w:rsid w:val="008264EB"/>
    <w:rsid w:val="00827924"/>
    <w:rsid w:val="00830594"/>
    <w:rsid w:val="00830756"/>
    <w:rsid w:val="00837A90"/>
    <w:rsid w:val="00843618"/>
    <w:rsid w:val="00855A49"/>
    <w:rsid w:val="00856DF5"/>
    <w:rsid w:val="00857E76"/>
    <w:rsid w:val="0086059A"/>
    <w:rsid w:val="008630E6"/>
    <w:rsid w:val="00865932"/>
    <w:rsid w:val="00872059"/>
    <w:rsid w:val="008724DB"/>
    <w:rsid w:val="00873673"/>
    <w:rsid w:val="008803A1"/>
    <w:rsid w:val="00880A91"/>
    <w:rsid w:val="0088122A"/>
    <w:rsid w:val="008839CD"/>
    <w:rsid w:val="00892AC8"/>
    <w:rsid w:val="00897E5A"/>
    <w:rsid w:val="008A07AF"/>
    <w:rsid w:val="008A4580"/>
    <w:rsid w:val="008A4AC8"/>
    <w:rsid w:val="008A4E8B"/>
    <w:rsid w:val="008A58F9"/>
    <w:rsid w:val="008B014E"/>
    <w:rsid w:val="008B5292"/>
    <w:rsid w:val="008D09DE"/>
    <w:rsid w:val="008D5AFD"/>
    <w:rsid w:val="008E3658"/>
    <w:rsid w:val="008E59EB"/>
    <w:rsid w:val="008E5D6A"/>
    <w:rsid w:val="008F26C0"/>
    <w:rsid w:val="008F6BE7"/>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4A5"/>
    <w:rsid w:val="00950089"/>
    <w:rsid w:val="0095539D"/>
    <w:rsid w:val="00957E40"/>
    <w:rsid w:val="00957E88"/>
    <w:rsid w:val="00961B39"/>
    <w:rsid w:val="00961FBE"/>
    <w:rsid w:val="00964277"/>
    <w:rsid w:val="0096474D"/>
    <w:rsid w:val="0097582E"/>
    <w:rsid w:val="00977D26"/>
    <w:rsid w:val="00977E26"/>
    <w:rsid w:val="009805EC"/>
    <w:rsid w:val="00983FA6"/>
    <w:rsid w:val="00984227"/>
    <w:rsid w:val="009904EA"/>
    <w:rsid w:val="009907D7"/>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9F6AD7"/>
    <w:rsid w:val="00A02BFF"/>
    <w:rsid w:val="00A02E7D"/>
    <w:rsid w:val="00A0554C"/>
    <w:rsid w:val="00A1015B"/>
    <w:rsid w:val="00A139AB"/>
    <w:rsid w:val="00A15082"/>
    <w:rsid w:val="00A16AEE"/>
    <w:rsid w:val="00A338BC"/>
    <w:rsid w:val="00A369E8"/>
    <w:rsid w:val="00A4199A"/>
    <w:rsid w:val="00A4512D"/>
    <w:rsid w:val="00A541E1"/>
    <w:rsid w:val="00A54775"/>
    <w:rsid w:val="00A5502C"/>
    <w:rsid w:val="00A5694A"/>
    <w:rsid w:val="00A65795"/>
    <w:rsid w:val="00A6672E"/>
    <w:rsid w:val="00A705AF"/>
    <w:rsid w:val="00A7126D"/>
    <w:rsid w:val="00A73C2F"/>
    <w:rsid w:val="00A75B58"/>
    <w:rsid w:val="00A76BE9"/>
    <w:rsid w:val="00A77349"/>
    <w:rsid w:val="00A81D72"/>
    <w:rsid w:val="00A931E2"/>
    <w:rsid w:val="00A93A18"/>
    <w:rsid w:val="00A947D9"/>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E05BB"/>
    <w:rsid w:val="00AE0BA6"/>
    <w:rsid w:val="00AE31F2"/>
    <w:rsid w:val="00AE3267"/>
    <w:rsid w:val="00AF6154"/>
    <w:rsid w:val="00B07615"/>
    <w:rsid w:val="00B1218D"/>
    <w:rsid w:val="00B163F6"/>
    <w:rsid w:val="00B20701"/>
    <w:rsid w:val="00B213FD"/>
    <w:rsid w:val="00B24DF4"/>
    <w:rsid w:val="00B2665E"/>
    <w:rsid w:val="00B30753"/>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759"/>
    <w:rsid w:val="00B60D44"/>
    <w:rsid w:val="00B60D86"/>
    <w:rsid w:val="00B67F09"/>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4A46"/>
    <w:rsid w:val="00BE6832"/>
    <w:rsid w:val="00BF2561"/>
    <w:rsid w:val="00BF5905"/>
    <w:rsid w:val="00BF6152"/>
    <w:rsid w:val="00C025A9"/>
    <w:rsid w:val="00C06314"/>
    <w:rsid w:val="00C10135"/>
    <w:rsid w:val="00C123DF"/>
    <w:rsid w:val="00C12706"/>
    <w:rsid w:val="00C167EB"/>
    <w:rsid w:val="00C206EE"/>
    <w:rsid w:val="00C23604"/>
    <w:rsid w:val="00C268AC"/>
    <w:rsid w:val="00C308FA"/>
    <w:rsid w:val="00C31839"/>
    <w:rsid w:val="00C31A7F"/>
    <w:rsid w:val="00C32280"/>
    <w:rsid w:val="00C33D29"/>
    <w:rsid w:val="00C35287"/>
    <w:rsid w:val="00C35DEC"/>
    <w:rsid w:val="00C35F32"/>
    <w:rsid w:val="00C436EE"/>
    <w:rsid w:val="00C477AC"/>
    <w:rsid w:val="00C51BE7"/>
    <w:rsid w:val="00C53712"/>
    <w:rsid w:val="00C53C65"/>
    <w:rsid w:val="00C565EF"/>
    <w:rsid w:val="00C57614"/>
    <w:rsid w:val="00C57EC0"/>
    <w:rsid w:val="00C618D7"/>
    <w:rsid w:val="00C624CC"/>
    <w:rsid w:val="00C625E7"/>
    <w:rsid w:val="00C63431"/>
    <w:rsid w:val="00C63C14"/>
    <w:rsid w:val="00C64BBB"/>
    <w:rsid w:val="00C64D00"/>
    <w:rsid w:val="00C66A41"/>
    <w:rsid w:val="00C74935"/>
    <w:rsid w:val="00C7543A"/>
    <w:rsid w:val="00C76AE0"/>
    <w:rsid w:val="00C77F3B"/>
    <w:rsid w:val="00C84B06"/>
    <w:rsid w:val="00C85E91"/>
    <w:rsid w:val="00C911AD"/>
    <w:rsid w:val="00CA04C6"/>
    <w:rsid w:val="00CB0684"/>
    <w:rsid w:val="00CB2190"/>
    <w:rsid w:val="00CB2787"/>
    <w:rsid w:val="00CB5999"/>
    <w:rsid w:val="00CB5B1A"/>
    <w:rsid w:val="00CB6558"/>
    <w:rsid w:val="00CB733F"/>
    <w:rsid w:val="00CC36EF"/>
    <w:rsid w:val="00CC4B4F"/>
    <w:rsid w:val="00CC4B8E"/>
    <w:rsid w:val="00CC697B"/>
    <w:rsid w:val="00CC7207"/>
    <w:rsid w:val="00CE16CC"/>
    <w:rsid w:val="00CE1712"/>
    <w:rsid w:val="00CE3387"/>
    <w:rsid w:val="00CE3A39"/>
    <w:rsid w:val="00CE7355"/>
    <w:rsid w:val="00CF3753"/>
    <w:rsid w:val="00CF4118"/>
    <w:rsid w:val="00CF49C6"/>
    <w:rsid w:val="00CF6318"/>
    <w:rsid w:val="00CF702F"/>
    <w:rsid w:val="00D05CB2"/>
    <w:rsid w:val="00D07C0D"/>
    <w:rsid w:val="00D10D90"/>
    <w:rsid w:val="00D116AD"/>
    <w:rsid w:val="00D13C42"/>
    <w:rsid w:val="00D16B25"/>
    <w:rsid w:val="00D20AD1"/>
    <w:rsid w:val="00D21AD5"/>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302"/>
    <w:rsid w:val="00D944BF"/>
    <w:rsid w:val="00D96327"/>
    <w:rsid w:val="00D96578"/>
    <w:rsid w:val="00D978EF"/>
    <w:rsid w:val="00DA3C7F"/>
    <w:rsid w:val="00DB07A4"/>
    <w:rsid w:val="00DB2318"/>
    <w:rsid w:val="00DB5454"/>
    <w:rsid w:val="00DB5911"/>
    <w:rsid w:val="00DB59C2"/>
    <w:rsid w:val="00DC0477"/>
    <w:rsid w:val="00DC0D24"/>
    <w:rsid w:val="00DD047B"/>
    <w:rsid w:val="00DD5D99"/>
    <w:rsid w:val="00DD6F15"/>
    <w:rsid w:val="00DE3C4E"/>
    <w:rsid w:val="00DE5D9E"/>
    <w:rsid w:val="00DE75D8"/>
    <w:rsid w:val="00DF0B12"/>
    <w:rsid w:val="00DF3751"/>
    <w:rsid w:val="00DF515C"/>
    <w:rsid w:val="00DF5695"/>
    <w:rsid w:val="00DF7806"/>
    <w:rsid w:val="00E015E6"/>
    <w:rsid w:val="00E05B44"/>
    <w:rsid w:val="00E066B4"/>
    <w:rsid w:val="00E136F8"/>
    <w:rsid w:val="00E13C5C"/>
    <w:rsid w:val="00E209BF"/>
    <w:rsid w:val="00E236C6"/>
    <w:rsid w:val="00E3115C"/>
    <w:rsid w:val="00E34876"/>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0B96"/>
    <w:rsid w:val="00EA33D5"/>
    <w:rsid w:val="00EA5E02"/>
    <w:rsid w:val="00EA5FD0"/>
    <w:rsid w:val="00EA63B1"/>
    <w:rsid w:val="00EB0020"/>
    <w:rsid w:val="00EB068A"/>
    <w:rsid w:val="00EB0FE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3163"/>
    <w:rsid w:val="00EF4059"/>
    <w:rsid w:val="00EF5586"/>
    <w:rsid w:val="00F00403"/>
    <w:rsid w:val="00F05832"/>
    <w:rsid w:val="00F067A6"/>
    <w:rsid w:val="00F078B7"/>
    <w:rsid w:val="00F07B77"/>
    <w:rsid w:val="00F100D6"/>
    <w:rsid w:val="00F1278D"/>
    <w:rsid w:val="00F14BFD"/>
    <w:rsid w:val="00F17566"/>
    <w:rsid w:val="00F20986"/>
    <w:rsid w:val="00F20F84"/>
    <w:rsid w:val="00F238F2"/>
    <w:rsid w:val="00F332B3"/>
    <w:rsid w:val="00F337D1"/>
    <w:rsid w:val="00F34D63"/>
    <w:rsid w:val="00F35F7A"/>
    <w:rsid w:val="00F41C35"/>
    <w:rsid w:val="00F4438C"/>
    <w:rsid w:val="00F46ED7"/>
    <w:rsid w:val="00F549D7"/>
    <w:rsid w:val="00F556DB"/>
    <w:rsid w:val="00F560D5"/>
    <w:rsid w:val="00F56325"/>
    <w:rsid w:val="00F706C6"/>
    <w:rsid w:val="00F73D95"/>
    <w:rsid w:val="00F77044"/>
    <w:rsid w:val="00F8015E"/>
    <w:rsid w:val="00F83598"/>
    <w:rsid w:val="00F85766"/>
    <w:rsid w:val="00F866FA"/>
    <w:rsid w:val="00F91869"/>
    <w:rsid w:val="00F91CCA"/>
    <w:rsid w:val="00F931D3"/>
    <w:rsid w:val="00F9342D"/>
    <w:rsid w:val="00F95769"/>
    <w:rsid w:val="00F96BA0"/>
    <w:rsid w:val="00FA289A"/>
    <w:rsid w:val="00FA3C5E"/>
    <w:rsid w:val="00FA4197"/>
    <w:rsid w:val="00FB375B"/>
    <w:rsid w:val="00FB6425"/>
    <w:rsid w:val="00FB722E"/>
    <w:rsid w:val="00FC56B4"/>
    <w:rsid w:val="00FC7F5D"/>
    <w:rsid w:val="00FD1BC7"/>
    <w:rsid w:val="00FD1D84"/>
    <w:rsid w:val="00FD1F7D"/>
    <w:rsid w:val="00FD4E9C"/>
    <w:rsid w:val="00FD50A4"/>
    <w:rsid w:val="00FD744A"/>
    <w:rsid w:val="00FE4538"/>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1E720A"/>
  <w15:docId w15:val="{B8F88EB6-1DB8-49DC-A7F5-B979CD22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71583E"/>
    <w:pPr>
      <w:pageBreakBefore w:val="0"/>
      <w:spacing w:before="360"/>
      <w:outlineLvl w:val="1"/>
    </w:pPr>
    <w:rPr>
      <w:bCs w:val="0"/>
      <w:iCs/>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D5318D"/>
    <w:pPr>
      <w:spacing w:before="240" w:after="240"/>
      <w:contextualSpacing/>
    </w:pPr>
    <w:rPr>
      <w:rFonts w:eastAsia="MS Gothic" w:cs="Times New Roman (Headings CS)"/>
      <w:b/>
      <w:color w:val="005370"/>
      <w:spacing w:val="-6"/>
      <w:kern w:val="28"/>
      <w:sz w:val="56"/>
      <w:szCs w:val="56"/>
    </w:rPr>
  </w:style>
  <w:style w:type="character" w:customStyle="1" w:styleId="TitleChar">
    <w:name w:val="Title Char"/>
    <w:link w:val="Title"/>
    <w:uiPriority w:val="99"/>
    <w:rsid w:val="00D5318D"/>
    <w:rPr>
      <w:rFonts w:ascii="Arial" w:eastAsia="MS Gothic" w:hAnsi="Arial" w:cs="Times New Roman (Headings CS)"/>
      <w:b/>
      <w:color w:val="005370"/>
      <w:spacing w:val="-6"/>
      <w:kern w:val="28"/>
      <w:sz w:val="56"/>
      <w:szCs w:val="56"/>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table" w:customStyle="1" w:styleId="TableGrid1">
    <w:name w:val="Table Grid1"/>
    <w:basedOn w:val="TableNormal"/>
    <w:next w:val="TableGrid"/>
    <w:uiPriority w:val="39"/>
    <w:rsid w:val="00F934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fetyandquality.gov.au/publications-and-resources/resource-library/implementation-guide-surveillance-central-line-associated-bloodstream-infection-2019" TargetMode="External"/><Relationship Id="rId3" Type="http://schemas.openxmlformats.org/officeDocument/2006/relationships/customXml" Target="../customXml/item3.xml"/><Relationship Id="rId21" Type="http://schemas.openxmlformats.org/officeDocument/2006/relationships/hyperlink" Target="https://nhhi.southrock.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hhi.safetyandquality.gov.au/en_AU/NHHI/" TargetMode="External"/><Relationship Id="rId20" Type="http://schemas.openxmlformats.org/officeDocument/2006/relationships/hyperlink" Target="https://www.safetyandquality.gov.au/our-work/infection-prevention-and-control/hai-surveillance/surgical-site-infection-surveill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safetyandquality.gov.au/publications-and-resources/resource-library/cdi-implementation-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A\Downloads\TEMPLATE%20-%20Accessible%20Word%20-%20Fact%20sheet%20for%20Clinicians%20-%20%2021%20Jul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2.xml><?xml version="1.0" encoding="utf-8"?>
<ds:datastoreItem xmlns:ds="http://schemas.openxmlformats.org/officeDocument/2006/customXml" ds:itemID="{2483B897-E861-4405-A971-35A477652985}">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Accessible Word - Fact sheet for Clinicians -  21 July 2023.DOTX</Template>
  <TotalTime>1</TotalTime>
  <Pages>3</Pages>
  <Words>1556</Words>
  <Characters>9464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10999</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Allan</dc:creator>
  <cp:keywords/>
  <dc:description/>
  <cp:lastModifiedBy>MERTENS, Kate</cp:lastModifiedBy>
  <cp:revision>2</cp:revision>
  <cp:lastPrinted>2020-03-04T03:32:00Z</cp:lastPrinted>
  <dcterms:created xsi:type="dcterms:W3CDTF">2024-04-09T03:38:00Z</dcterms:created>
  <dcterms:modified xsi:type="dcterms:W3CDTF">2024-04-09T03:38:00Z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