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893D" w14:textId="188AB545" w:rsidR="002E003F" w:rsidRPr="00204C47" w:rsidRDefault="002E0FDA" w:rsidP="00C40BBA">
      <w:pPr>
        <w:pStyle w:val="FactSheetType"/>
        <w:spacing w:after="240"/>
      </w:pPr>
      <w:r>
        <w:rPr>
          <w:b/>
          <w:bCs w:val="0"/>
        </w:rPr>
        <w:t>FACT SHEET</w:t>
      </w:r>
      <w:r w:rsidR="002E003F" w:rsidRPr="0056304B">
        <w:br/>
      </w:r>
      <w:r w:rsidR="002E003F" w:rsidRPr="00204C47">
        <w:t xml:space="preserve">for </w:t>
      </w:r>
      <w:r w:rsidR="00B97832">
        <w:t xml:space="preserve">health service organisations </w:t>
      </w:r>
      <w:r w:rsidR="00422596">
        <w:br/>
      </w:r>
      <w:r w:rsidR="00B97832">
        <w:t xml:space="preserve">and </w:t>
      </w:r>
      <w:r w:rsidR="00350DBE">
        <w:t>clinicians</w:t>
      </w:r>
    </w:p>
    <w:p w14:paraId="285FDFCF" w14:textId="7C7F0483" w:rsidR="00E209BF" w:rsidRPr="008A4E8B" w:rsidRDefault="0021173F" w:rsidP="008A4E8B">
      <w:pPr>
        <w:pStyle w:val="Title"/>
      </w:pPr>
      <w:bookmarkStart w:id="0" w:name="_Hlk195529724"/>
      <w:r>
        <w:t>Safety considerations during oxytocin</w:t>
      </w:r>
      <w:r w:rsidR="000357B0">
        <w:t xml:space="preserve"> </w:t>
      </w:r>
      <w:r w:rsidR="003F6DED">
        <w:t xml:space="preserve">injection </w:t>
      </w:r>
      <w:r w:rsidR="00307C44">
        <w:t>supply disruption</w:t>
      </w:r>
    </w:p>
    <w:tbl>
      <w:tblPr>
        <w:tblStyle w:val="PulloutBox"/>
        <w:tblpPr w:leftFromText="180" w:rightFromText="180" w:vertAnchor="text" w:horzAnchor="margin" w:tblpY="-61"/>
        <w:tblW w:w="5000" w:type="pct"/>
        <w:tblLook w:val="0020" w:firstRow="1" w:lastRow="0" w:firstColumn="0" w:lastColumn="0" w:noHBand="0" w:noVBand="0"/>
        <w:tblDescription w:val="Box 1"/>
      </w:tblPr>
      <w:tblGrid>
        <w:gridCol w:w="9638"/>
      </w:tblGrid>
      <w:tr w:rsidR="00B070B4" w14:paraId="3DBBA173" w14:textId="77777777" w:rsidTr="00B070B4">
        <w:trPr>
          <w:trHeight w:val="60"/>
        </w:trPr>
        <w:tc>
          <w:tcPr>
            <w:tcW w:w="5000" w:type="pct"/>
            <w:tcMar>
              <w:bottom w:w="0" w:type="dxa"/>
            </w:tcMar>
          </w:tcPr>
          <w:bookmarkEnd w:id="0"/>
          <w:p w14:paraId="11E949A9" w14:textId="5A2A9573" w:rsidR="00B070B4" w:rsidRDefault="00B070B4" w:rsidP="00B070B4">
            <w:pPr>
              <w:pStyle w:val="PulloutBoxHeading"/>
            </w:pPr>
            <w:r>
              <w:t>What you need to know</w:t>
            </w:r>
          </w:p>
        </w:tc>
      </w:tr>
      <w:tr w:rsidR="00B070B4" w14:paraId="62517B82" w14:textId="77777777" w:rsidTr="00B070B4">
        <w:trPr>
          <w:trHeight w:val="60"/>
        </w:trPr>
        <w:tc>
          <w:tcPr>
            <w:tcW w:w="5000" w:type="pct"/>
            <w:tcMar>
              <w:top w:w="0" w:type="dxa"/>
            </w:tcMar>
          </w:tcPr>
          <w:p w14:paraId="45E85CC6" w14:textId="42C6DB7D" w:rsidR="00F17143" w:rsidRDefault="00F17143" w:rsidP="00C31F58">
            <w:pPr>
              <w:pStyle w:val="ListParagraph"/>
              <w:numPr>
                <w:ilvl w:val="0"/>
                <w:numId w:val="9"/>
              </w:numPr>
            </w:pPr>
            <w:r>
              <w:t xml:space="preserve">There is a </w:t>
            </w:r>
            <w:hyperlink r:id="rId11" w:history="1">
              <w:r w:rsidR="0013093E">
                <w:rPr>
                  <w:rStyle w:val="Hyperlink"/>
                </w:rPr>
                <w:t>shortage of oxytocin injection</w:t>
              </w:r>
            </w:hyperlink>
            <w:r>
              <w:t xml:space="preserve"> in Australia</w:t>
            </w:r>
            <w:r w:rsidR="00DF4676">
              <w:t>.</w:t>
            </w:r>
            <w:r w:rsidR="0084362E">
              <w:fldChar w:fldCharType="begin"/>
            </w:r>
            <w:r w:rsidR="0084362E">
              <w:instrText xml:space="preserve"> ADDIN EN.CITE &lt;EndNote&gt;&lt;Cite&gt;&lt;Author&gt;Australian Government Department of Health and Aged Care&lt;/Author&gt;&lt;RecNum&gt;4&lt;/RecNum&gt;&lt;DisplayText&gt;&lt;style face="superscript"&gt;1&lt;/style&gt;&lt;/DisplayText&gt;&lt;record&gt;&lt;rec-number&gt;4&lt;/rec-number&gt;&lt;foreign-keys&gt;&lt;key app="EN" db-id="fdpwzzze1eewpyew2pepaffta05w0z0afzrr" timestamp="1744768750"&gt;4&lt;/key&gt;&lt;/foreign-keys&gt;&lt;ref-type name="Web Page"&gt;12&lt;/ref-type&gt;&lt;contributors&gt;&lt;authors&gt;&lt;author&gt;Australian Government Department of Health and Aged Care,&lt;/author&gt;&lt;/authors&gt;&lt;/contributors&gt;&lt;titles&gt;&lt;title&gt;Oxytocin - medicine shortage information&lt;/title&gt;&lt;/titles&gt;&lt;number&gt;Apr 2025&lt;/number&gt;&lt;dates&gt;&lt;/dates&gt;&lt;pub-location&gt;Canberra&lt;/pub-location&gt;&lt;publisher&gt;Australian Government Department of Health and Aged Care&lt;/publisher&gt;&lt;urls&gt;&lt;related-urls&gt;&lt;url&gt;https://apps.tga.gov.au/Prod/msi/Search/Details/oxytocin&lt;/url&gt;&lt;/related-urls&gt;&lt;/urls&gt;&lt;/record&gt;&lt;/Cite&gt;&lt;/EndNote&gt;</w:instrText>
            </w:r>
            <w:r w:rsidR="0084362E">
              <w:fldChar w:fldCharType="separate"/>
            </w:r>
            <w:r w:rsidR="0084362E" w:rsidRPr="008F2703">
              <w:rPr>
                <w:noProof/>
                <w:vertAlign w:val="superscript"/>
              </w:rPr>
              <w:t>1</w:t>
            </w:r>
            <w:r w:rsidR="0084362E">
              <w:fldChar w:fldCharType="end"/>
            </w:r>
          </w:p>
          <w:p w14:paraId="10F74A3C" w14:textId="3892C3B5" w:rsidR="004574B9" w:rsidRDefault="00F17143" w:rsidP="00C31F58">
            <w:pPr>
              <w:pStyle w:val="ListParagraph"/>
              <w:numPr>
                <w:ilvl w:val="0"/>
                <w:numId w:val="9"/>
              </w:numPr>
            </w:pPr>
            <w:r>
              <w:t>The</w:t>
            </w:r>
            <w:r w:rsidR="00B57408">
              <w:t xml:space="preserve"> </w:t>
            </w:r>
            <w:r w:rsidR="00D03325">
              <w:t>discontinuation</w:t>
            </w:r>
            <w:r w:rsidR="00B57408">
              <w:t xml:space="preserve"> of</w:t>
            </w:r>
            <w:r w:rsidR="00723342">
              <w:t xml:space="preserve"> </w:t>
            </w:r>
            <w:r w:rsidR="008D46AE">
              <w:t>multiple brands of oxytocin injection</w:t>
            </w:r>
            <w:r>
              <w:t xml:space="preserve"> </w:t>
            </w:r>
            <w:r w:rsidR="009B775D">
              <w:t>from the Australian Register of Therapeutic Goods</w:t>
            </w:r>
            <w:r w:rsidR="005404F7">
              <w:t xml:space="preserve"> (ARTG)</w:t>
            </w:r>
            <w:r w:rsidR="009B775D">
              <w:t xml:space="preserve"> </w:t>
            </w:r>
            <w:r>
              <w:t xml:space="preserve">has increased </w:t>
            </w:r>
            <w:r w:rsidR="00723342">
              <w:t xml:space="preserve">demand </w:t>
            </w:r>
            <w:r w:rsidR="00CC0325">
              <w:t>for</w:t>
            </w:r>
            <w:r w:rsidR="001E2EC1">
              <w:t xml:space="preserve"> the </w:t>
            </w:r>
            <w:r w:rsidR="00CC0325">
              <w:t xml:space="preserve">available </w:t>
            </w:r>
            <w:r w:rsidR="001E2EC1">
              <w:t>oxytocin</w:t>
            </w:r>
            <w:r w:rsidR="004574B9">
              <w:t xml:space="preserve"> </w:t>
            </w:r>
            <w:r w:rsidR="00D47C3F">
              <w:t>injection</w:t>
            </w:r>
            <w:r w:rsidR="00CC0325">
              <w:t xml:space="preserve"> products</w:t>
            </w:r>
            <w:r w:rsidR="00DF4676">
              <w:t>.</w:t>
            </w:r>
          </w:p>
          <w:p w14:paraId="51FF78B0" w14:textId="0335E933" w:rsidR="00B070B4" w:rsidRDefault="00B070B4" w:rsidP="00B070B4">
            <w:pPr>
              <w:pStyle w:val="ListParagraph"/>
              <w:numPr>
                <w:ilvl w:val="0"/>
                <w:numId w:val="9"/>
              </w:numPr>
              <w:spacing w:after="0"/>
              <w:ind w:left="714" w:hanging="357"/>
            </w:pPr>
            <w:r>
              <w:t>The Therapeutic Goods Administration (TGA) has approved alternative product</w:t>
            </w:r>
            <w:r w:rsidR="00992FDA">
              <w:t xml:space="preserve">s </w:t>
            </w:r>
            <w:r>
              <w:t xml:space="preserve">under </w:t>
            </w:r>
            <w:hyperlink r:id="rId12" w:history="1">
              <w:r w:rsidR="008076BF">
                <w:rPr>
                  <w:rStyle w:val="Hyperlink"/>
                </w:rPr>
                <w:t>Section 19A (S19A)</w:t>
              </w:r>
            </w:hyperlink>
            <w:r w:rsidR="00E97318">
              <w:t>:</w:t>
            </w:r>
            <w:r w:rsidR="00B86F01">
              <w:t xml:space="preserve"> </w:t>
            </w:r>
          </w:p>
          <w:p w14:paraId="19484E3D" w14:textId="218E3F23" w:rsidR="00E97318" w:rsidRDefault="00826488" w:rsidP="00E97318">
            <w:pPr>
              <w:pStyle w:val="ListParagraph"/>
              <w:numPr>
                <w:ilvl w:val="1"/>
                <w:numId w:val="9"/>
              </w:numPr>
              <w:spacing w:after="0"/>
            </w:pPr>
            <w:hyperlink r:id="rId13" w:history="1">
              <w:proofErr w:type="spellStart"/>
              <w:r>
                <w:rPr>
                  <w:rStyle w:val="Hyperlink"/>
                </w:rPr>
                <w:t>Panpharma</w:t>
              </w:r>
              <w:proofErr w:type="spellEnd"/>
              <w:r w:rsidR="002D3F27">
                <w:rPr>
                  <w:rStyle w:val="Hyperlink"/>
                </w:rPr>
                <w:t>,</w:t>
              </w:r>
              <w:r>
                <w:rPr>
                  <w:rStyle w:val="Hyperlink"/>
                </w:rPr>
                <w:t xml:space="preserve"> Germany</w:t>
              </w:r>
            </w:hyperlink>
            <w:r>
              <w:t xml:space="preserve"> brand</w:t>
            </w:r>
            <w:r w:rsidR="00E97318">
              <w:t xml:space="preserve"> which</w:t>
            </w:r>
            <w:r>
              <w:t xml:space="preserve"> is licensed</w:t>
            </w:r>
            <w:r w:rsidR="00DC7A9A">
              <w:t xml:space="preserve"> overseas</w:t>
            </w:r>
            <w:r>
              <w:t xml:space="preserve"> for both intravenous (IV) and intramuscular (IM) use</w:t>
            </w:r>
          </w:p>
          <w:p w14:paraId="79528099" w14:textId="0A0ED28B" w:rsidR="00E97278" w:rsidRDefault="00826488" w:rsidP="008E37A0">
            <w:pPr>
              <w:pStyle w:val="ListParagraph"/>
              <w:numPr>
                <w:ilvl w:val="1"/>
                <w:numId w:val="9"/>
              </w:numPr>
              <w:spacing w:after="0"/>
            </w:pPr>
            <w:hyperlink r:id="rId14" w:history="1">
              <w:r>
                <w:rPr>
                  <w:rStyle w:val="Hyperlink"/>
                </w:rPr>
                <w:t>Wockhardt</w:t>
              </w:r>
              <w:r w:rsidR="002D3F27">
                <w:rPr>
                  <w:rStyle w:val="Hyperlink"/>
                </w:rPr>
                <w:t>,</w:t>
              </w:r>
              <w:r>
                <w:rPr>
                  <w:rStyle w:val="Hyperlink"/>
                </w:rPr>
                <w:t xml:space="preserve"> UK</w:t>
              </w:r>
            </w:hyperlink>
            <w:r>
              <w:t xml:space="preserve"> brand </w:t>
            </w:r>
            <w:r w:rsidR="00E97318">
              <w:t xml:space="preserve">which </w:t>
            </w:r>
            <w:r>
              <w:t xml:space="preserve">is </w:t>
            </w:r>
            <w:r w:rsidR="00E97318">
              <w:t xml:space="preserve">only </w:t>
            </w:r>
            <w:r>
              <w:t>licensed</w:t>
            </w:r>
            <w:r w:rsidR="00DC7A9A">
              <w:t xml:space="preserve"> overseas</w:t>
            </w:r>
            <w:r>
              <w:t xml:space="preserve"> for </w:t>
            </w:r>
            <w:r w:rsidR="00DF222E">
              <w:t xml:space="preserve">IV </w:t>
            </w:r>
            <w:r>
              <w:t>use</w:t>
            </w:r>
            <w:r w:rsidR="00E97318">
              <w:t>.</w:t>
            </w:r>
            <w:r>
              <w:t xml:space="preserve"> </w:t>
            </w:r>
          </w:p>
          <w:p w14:paraId="08CDF61D" w14:textId="4717B775" w:rsidR="009C1D38" w:rsidRDefault="009C1D38" w:rsidP="009C1D38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>In Australia, oxytocin is administered IM for prevention</w:t>
            </w:r>
            <w:r w:rsidR="00345524">
              <w:t xml:space="preserve"> or treatment</w:t>
            </w:r>
            <w:r>
              <w:t xml:space="preserve"> of postpartum haemorrhage (PPH) following childbirth.</w:t>
            </w:r>
            <w:r w:rsidR="007E233F">
              <w:fldChar w:fldCharType="begin"/>
            </w:r>
            <w:r w:rsidR="007E233F">
              <w:instrText xml:space="preserve"> ADDIN EN.CITE &lt;EndNote&gt;&lt;Cite&gt;&lt;Author&gt;Australian Medicines Handbook&lt;/Author&gt;&lt;Year&gt;2025&lt;/Year&gt;&lt;RecNum&gt;6&lt;/RecNum&gt;&lt;DisplayText&gt;&lt;style face="superscript"&gt;2&lt;/style&gt;&lt;/DisplayText&gt;&lt;record&gt;&lt;rec-number&gt;6&lt;/rec-number&gt;&lt;foreign-keys&gt;&lt;key app="EN" db-id="fdpwzzze1eewpyew2pepaffta05w0z0afzrr" timestamp="1744769372"&gt;6&lt;/key&gt;&lt;/foreign-keys&gt;&lt;ref-type name="Electronic Book"&gt;44&lt;/ref-type&gt;&lt;contributors&gt;&lt;authors&gt;&lt;author&gt;Australian Medicines Handbook,&lt;/author&gt;&lt;/authors&gt;&lt;/contributors&gt;&lt;titles&gt;&lt;title&gt;Oxytocin&lt;/title&gt;&lt;/titles&gt;&lt;dates&gt;&lt;year&gt;2025&lt;/year&gt;&lt;pub-dates&gt;&lt;date&gt;April 2025&lt;/date&gt;&lt;/pub-dates&gt;&lt;/dates&gt;&lt;publisher&gt;Australian Medicines Handbook&lt;/publisher&gt;&lt;urls&gt;&lt;/urls&gt;&lt;/record&gt;&lt;/Cite&gt;&lt;/EndNote&gt;</w:instrText>
            </w:r>
            <w:r w:rsidR="007E233F">
              <w:fldChar w:fldCharType="separate"/>
            </w:r>
            <w:r w:rsidR="007E233F" w:rsidRPr="007E233F">
              <w:rPr>
                <w:noProof/>
                <w:vertAlign w:val="superscript"/>
              </w:rPr>
              <w:t>2</w:t>
            </w:r>
            <w:r w:rsidR="007E233F">
              <w:fldChar w:fldCharType="end"/>
            </w:r>
          </w:p>
          <w:p w14:paraId="14CC098C" w14:textId="2E183678" w:rsidR="00AA0975" w:rsidRDefault="00AA0975" w:rsidP="001615C6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 xml:space="preserve">The </w:t>
            </w:r>
            <w:r w:rsidRPr="00F95F73">
              <w:t xml:space="preserve">Royal Australian and New Zealand College of Obstetricians and Gynaecologists (RANZCOG) has </w:t>
            </w:r>
            <w:r>
              <w:t xml:space="preserve">provided </w:t>
            </w:r>
            <w:hyperlink r:id="rId15" w:history="1">
              <w:r w:rsidRPr="002D3F27">
                <w:rPr>
                  <w:rStyle w:val="Hyperlink"/>
                </w:rPr>
                <w:t>advice</w:t>
              </w:r>
            </w:hyperlink>
            <w:r>
              <w:t xml:space="preserve"> on the use of the Wockhardt</w:t>
            </w:r>
            <w:r w:rsidR="002D3F27">
              <w:t>,</w:t>
            </w:r>
            <w:r>
              <w:t xml:space="preserve"> UK product.</w:t>
            </w:r>
          </w:p>
          <w:p w14:paraId="440A8307" w14:textId="2CDF828F" w:rsidR="00D77624" w:rsidRDefault="00FB68DA" w:rsidP="00612C1B">
            <w:pPr>
              <w:pStyle w:val="ListParagraph"/>
              <w:numPr>
                <w:ilvl w:val="0"/>
                <w:numId w:val="9"/>
              </w:numPr>
              <w:spacing w:after="0"/>
            </w:pPr>
            <w:r>
              <w:t xml:space="preserve">The </w:t>
            </w:r>
            <w:hyperlink r:id="rId16" w:history="1">
              <w:r w:rsidR="0088183E" w:rsidRPr="0088183E">
                <w:rPr>
                  <w:rStyle w:val="Hyperlink"/>
                </w:rPr>
                <w:t>o</w:t>
              </w:r>
              <w:r w:rsidRPr="0088183E">
                <w:rPr>
                  <w:rStyle w:val="Hyperlink"/>
                </w:rPr>
                <w:t>xytocin monograph</w:t>
              </w:r>
            </w:hyperlink>
            <w:r>
              <w:t xml:space="preserve"> in the Australian Injectable Drugs Handbook </w:t>
            </w:r>
            <w:bookmarkStart w:id="1" w:name="_Hlk198394844"/>
            <w:r>
              <w:t xml:space="preserve">has been updated to provide clinicians with guidance on </w:t>
            </w:r>
            <w:r w:rsidR="0008392E">
              <w:t>the approved alternative products under S19A</w:t>
            </w:r>
            <w:r>
              <w:t xml:space="preserve"> during the shortage</w:t>
            </w:r>
            <w:bookmarkEnd w:id="1"/>
            <w:r w:rsidR="001A2A2C">
              <w:t>.</w:t>
            </w:r>
          </w:p>
        </w:tc>
      </w:tr>
    </w:tbl>
    <w:p w14:paraId="569D26DA" w14:textId="77777777" w:rsidR="00707D22" w:rsidRPr="00707D22" w:rsidRDefault="00707D22" w:rsidP="00A879C1">
      <w:pPr>
        <w:spacing w:before="0" w:after="0"/>
        <w:rPr>
          <w:lang w:val="en-GB"/>
        </w:rPr>
      </w:pPr>
    </w:p>
    <w:p w14:paraId="1C05C613" w14:textId="164DEC55" w:rsidR="00E209BF" w:rsidRPr="00707D22" w:rsidRDefault="00A879C1" w:rsidP="00C40BBA">
      <w:pPr>
        <w:pStyle w:val="Heading2"/>
        <w:spacing w:before="0" w:after="120"/>
        <w:rPr>
          <w:bCs/>
          <w:lang w:val="en-GB"/>
        </w:rPr>
      </w:pPr>
      <w:r>
        <w:rPr>
          <w:bCs/>
          <w:lang w:val="en-GB"/>
        </w:rPr>
        <w:t>Purpose</w:t>
      </w:r>
    </w:p>
    <w:p w14:paraId="248C797B" w14:textId="07D6C5CE" w:rsidR="00E209BF" w:rsidRDefault="00A879C1" w:rsidP="001A1EBD">
      <w:r>
        <w:t xml:space="preserve">This fact sheet has been developed by the Australia Commission on Safety and Quality in </w:t>
      </w:r>
      <w:r w:rsidR="0093119A">
        <w:t>H</w:t>
      </w:r>
      <w:r>
        <w:t xml:space="preserve">ealth Care to assist clinicians </w:t>
      </w:r>
      <w:r w:rsidR="003A51A3">
        <w:t xml:space="preserve">to </w:t>
      </w:r>
      <w:r w:rsidR="00216660">
        <w:t xml:space="preserve">provide safe and quality health care during the </w:t>
      </w:r>
      <w:hyperlink r:id="rId17" w:history="1">
        <w:r w:rsidR="004367DE">
          <w:rPr>
            <w:rStyle w:val="Hyperlink"/>
          </w:rPr>
          <w:t>oxytocin injection supply disruption</w:t>
        </w:r>
      </w:hyperlink>
      <w:r w:rsidR="00A07880">
        <w:t xml:space="preserve"> </w:t>
      </w:r>
      <w:r w:rsidR="00DA779C">
        <w:t>in Australia</w:t>
      </w:r>
      <w:r w:rsidR="00544F93">
        <w:t>.</w:t>
      </w:r>
      <w:r w:rsidR="00DF76A6">
        <w:t xml:space="preserve"> </w:t>
      </w:r>
    </w:p>
    <w:p w14:paraId="07C7E90A" w14:textId="6DD39681" w:rsidR="00B3478F" w:rsidRDefault="00D65B65" w:rsidP="001A71A8">
      <w:pPr>
        <w:pStyle w:val="Heading2"/>
        <w:spacing w:after="0"/>
      </w:pPr>
      <w:r w:rsidRPr="006A6731">
        <w:t>Safety conside</w:t>
      </w:r>
      <w:r w:rsidR="00DB4F6B" w:rsidRPr="006A6731">
        <w:t>rations</w:t>
      </w:r>
    </w:p>
    <w:p w14:paraId="547E4B81" w14:textId="227A494A" w:rsidR="00B477D9" w:rsidRDefault="00AE70BA" w:rsidP="001A71A8">
      <w:pPr>
        <w:spacing w:after="0"/>
      </w:pPr>
      <w:r>
        <w:t xml:space="preserve">There have been </w:t>
      </w:r>
      <w:r w:rsidR="00914949">
        <w:t xml:space="preserve">reports of incidents involving </w:t>
      </w:r>
      <w:r w:rsidR="003A51A3">
        <w:t xml:space="preserve">administration of </w:t>
      </w:r>
      <w:r w:rsidR="003A51A3" w:rsidRPr="003A51A3">
        <w:t>pre-prepared oxytocin infusion</w:t>
      </w:r>
      <w:r w:rsidR="003A51A3">
        <w:t>s</w:t>
      </w:r>
      <w:r w:rsidR="003A51A3" w:rsidRPr="003A51A3">
        <w:t xml:space="preserve"> in place of IV fluids </w:t>
      </w:r>
      <w:r w:rsidR="003A51A3">
        <w:t>to women in labour, which increase</w:t>
      </w:r>
      <w:r w:rsidR="0062299F">
        <w:t>s</w:t>
      </w:r>
      <w:r w:rsidR="003A51A3">
        <w:t xml:space="preserve"> the risk of harm to the woman and the baby</w:t>
      </w:r>
      <w:r>
        <w:t>.</w:t>
      </w:r>
      <w:r w:rsidR="007B2DA7">
        <w:fldChar w:fldCharType="begin"/>
      </w:r>
      <w:r w:rsidR="007E233F">
        <w:instrText xml:space="preserve"> ADDIN EN.CITE &lt;EndNote&gt;&lt;Cite&gt;&lt;Author&gt;National Health Service England&lt;/Author&gt;&lt;Year&gt;2024&lt;/Year&gt;&lt;RecNum&gt;1&lt;/RecNum&gt;&lt;DisplayText&gt;&lt;style face="superscript"&gt;3&lt;/style&gt;&lt;/DisplayText&gt;&lt;record&gt;&lt;rec-number&gt;1&lt;/rec-number&gt;&lt;foreign-keys&gt;&lt;key app="EN" db-id="fdpwzzze1eewpyew2pepaffta05w0z0afzrr" timestamp="1744767802"&gt;1&lt;/key&gt;&lt;/foreign-keys&gt;&lt;ref-type name="Government Document"&gt;46&lt;/ref-type&gt;&lt;contributors&gt;&lt;authors&gt;&lt;author&gt;National Health Service England,&lt;/author&gt;&lt;/authors&gt;&lt;/contributors&gt;&lt;titles&gt;&lt;title&gt;Risk of oxytocin overdose during labour and childbirth&lt;/title&gt;&lt;/titles&gt;&lt;dates&gt;&lt;year&gt;2024&lt;/year&gt;&lt;/dates&gt;&lt;pub-location&gt;Redditch&lt;/pub-location&gt;&lt;publisher&gt;NHS&lt;/publisher&gt;&lt;urls&gt;&lt;related-urls&gt;&lt;url&gt;https://www.england.nhs.uk/publication/national-patient-safety-alert-risk-of-oxytocin-overdose-during-labour-and-childbirth/&lt;/url&gt;&lt;/related-urls&gt;&lt;/urls&gt;&lt;access-date&gt;April 2025&lt;/access-date&gt;&lt;/record&gt;&lt;/Cite&gt;&lt;/EndNote&gt;</w:instrText>
      </w:r>
      <w:r w:rsidR="007B2DA7">
        <w:fldChar w:fldCharType="separate"/>
      </w:r>
      <w:r w:rsidR="007E233F" w:rsidRPr="007E233F">
        <w:rPr>
          <w:noProof/>
          <w:vertAlign w:val="superscript"/>
        </w:rPr>
        <w:t>3</w:t>
      </w:r>
      <w:r w:rsidR="007B2DA7">
        <w:fldChar w:fldCharType="end"/>
      </w:r>
      <w:r>
        <w:t xml:space="preserve"> In Australia, IM administration of oxytocin </w:t>
      </w:r>
      <w:r w:rsidR="00612C1B">
        <w:t xml:space="preserve">remains the standard method for </w:t>
      </w:r>
      <w:r w:rsidR="00190D41">
        <w:t xml:space="preserve">PPH </w:t>
      </w:r>
      <w:r w:rsidR="00612C1B">
        <w:t>prevention following childbirth</w:t>
      </w:r>
      <w:r>
        <w:t>.</w:t>
      </w:r>
      <w:r w:rsidR="00544F93">
        <w:t xml:space="preserve"> </w:t>
      </w:r>
      <w:r w:rsidR="00D34291">
        <w:t>R</w:t>
      </w:r>
      <w:r w:rsidR="00D34291" w:rsidRPr="005E2089">
        <w:t xml:space="preserve">outine placement of an </w:t>
      </w:r>
      <w:r w:rsidR="00190D41">
        <w:t>IV</w:t>
      </w:r>
      <w:r w:rsidR="00D34291" w:rsidRPr="005E2089">
        <w:t xml:space="preserve"> cannula in all birthing women</w:t>
      </w:r>
      <w:r w:rsidR="00D34291">
        <w:t xml:space="preserve"> is not recommended, as it could</w:t>
      </w:r>
      <w:r w:rsidR="00D34291" w:rsidRPr="005E2089">
        <w:t xml:space="preserve"> increas</w:t>
      </w:r>
      <w:r w:rsidR="00D34291">
        <w:t>e</w:t>
      </w:r>
      <w:r w:rsidR="00D34291" w:rsidRPr="005E2089">
        <w:t xml:space="preserve"> procedural interventions and the risk of medication errors</w:t>
      </w:r>
      <w:r w:rsidR="00D34291">
        <w:t>.</w:t>
      </w:r>
      <w:r w:rsidR="00917DBF">
        <w:fldChar w:fldCharType="begin"/>
      </w:r>
      <w:r w:rsidR="007E233F">
        <w:instrText xml:space="preserve"> ADDIN EN.CITE &lt;EndNote&gt;&lt;Cite&gt;&lt;Author&gt;The Royal Australian and New Zealand College of Obstetricians and Gynaecologists&lt;/Author&gt;&lt;Year&gt;2025&lt;/Year&gt;&lt;RecNum&gt;2&lt;/RecNum&gt;&lt;DisplayText&gt;&lt;style face="superscript"&gt;4&lt;/style&gt;&lt;/DisplayText&gt;&lt;record&gt;&lt;rec-number&gt;2&lt;/rec-number&gt;&lt;foreign-keys&gt;&lt;key app="EN" db-id="fdpwzzze1eewpyew2pepaffta05w0z0afzrr" timestamp="1744768144"&gt;2&lt;/key&gt;&lt;/foreign-keys&gt;&lt;ref-type name="Unpublished Work"&gt;34&lt;/ref-type&gt;&lt;contributors&gt;&lt;authors&gt;&lt;author&gt;The Royal Australian and New Zealand College of Obstetricians and Gynaecologists,&lt;/author&gt;&lt;/authors&gt;&lt;/contributors&gt;&lt;titles&gt;&lt;title&gt;Feedback on the Off-Label Intramuscular Administration of the Wockhardt Oxytocin Alternative&lt;/title&gt;&lt;/titles&gt;&lt;dates&gt;&lt;year&gt;2025&lt;/year&gt;&lt;/dates&gt;&lt;urls&gt;&lt;related-urls&gt;&lt;url&gt;https://www.tga.gov.au/sites/default/files/2025-05/RANZCOG%20statement%20about%20the%20IM%20use%20of%20Oxytocin%2010%20units%20in%201mL%20concentrate%20for%20solution%20for%20infusion%20ampoules%20%28Wockhardt%2C%20UK%29.pdf&lt;/url&gt;&lt;/related-urls&gt;&lt;/urls&gt;&lt;access-date&gt;April 2025&lt;/access-date&gt;&lt;/record&gt;&lt;/Cite&gt;&lt;/EndNote&gt;</w:instrText>
      </w:r>
      <w:r w:rsidR="00917DBF">
        <w:fldChar w:fldCharType="separate"/>
      </w:r>
      <w:r w:rsidR="007E233F" w:rsidRPr="007E233F">
        <w:rPr>
          <w:noProof/>
          <w:vertAlign w:val="superscript"/>
        </w:rPr>
        <w:t>4</w:t>
      </w:r>
      <w:r w:rsidR="00917DBF">
        <w:fldChar w:fldCharType="end"/>
      </w:r>
      <w:r w:rsidR="00D34291">
        <w:t xml:space="preserve"> </w:t>
      </w:r>
    </w:p>
    <w:p w14:paraId="4C9D417B" w14:textId="5FB94448" w:rsidR="006F52C1" w:rsidRDefault="007B4F18" w:rsidP="006F52C1">
      <w:pPr>
        <w:spacing w:before="0"/>
      </w:pPr>
      <w:r>
        <w:t xml:space="preserve">The </w:t>
      </w:r>
      <w:hyperlink r:id="rId18" w:history="1">
        <w:proofErr w:type="spellStart"/>
        <w:r w:rsidR="00444EB4">
          <w:rPr>
            <w:rStyle w:val="Hyperlink"/>
          </w:rPr>
          <w:t>Panpharma</w:t>
        </w:r>
        <w:proofErr w:type="spellEnd"/>
        <w:r w:rsidR="00444EB4">
          <w:rPr>
            <w:rStyle w:val="Hyperlink"/>
          </w:rPr>
          <w:t>, Germany</w:t>
        </w:r>
      </w:hyperlink>
      <w:r>
        <w:t xml:space="preserve"> brand of oxytocin can be administered via </w:t>
      </w:r>
      <w:r w:rsidR="002D3F27">
        <w:t xml:space="preserve">the </w:t>
      </w:r>
      <w:r w:rsidR="00190D41">
        <w:t>IM</w:t>
      </w:r>
      <w:r w:rsidR="00F8292B">
        <w:t xml:space="preserve"> route.</w:t>
      </w:r>
      <w:r w:rsidR="00DF4676">
        <w:t xml:space="preserve"> If </w:t>
      </w:r>
      <w:r w:rsidR="0084362E">
        <w:t xml:space="preserve">this product </w:t>
      </w:r>
      <w:r w:rsidR="00CB6F18">
        <w:t>i</w:t>
      </w:r>
      <w:r w:rsidR="0084362E">
        <w:t xml:space="preserve">s </w:t>
      </w:r>
      <w:r w:rsidR="00DF4676">
        <w:t>unavailable,</w:t>
      </w:r>
      <w:r w:rsidR="00F8292B">
        <w:t xml:space="preserve"> </w:t>
      </w:r>
      <w:r w:rsidR="0084362E">
        <w:t xml:space="preserve">the </w:t>
      </w:r>
      <w:hyperlink r:id="rId19" w:history="1">
        <w:r w:rsidR="0084362E">
          <w:rPr>
            <w:rStyle w:val="Hyperlink"/>
          </w:rPr>
          <w:t>Wockhardt, UK</w:t>
        </w:r>
      </w:hyperlink>
      <w:r w:rsidR="0084362E">
        <w:t xml:space="preserve"> brand </w:t>
      </w:r>
      <w:r w:rsidR="00440B76">
        <w:t>can be considered.</w:t>
      </w:r>
      <w:r w:rsidR="0084362E">
        <w:t xml:space="preserve"> </w:t>
      </w:r>
      <w:r w:rsidR="00F54AE8" w:rsidRPr="006F52C1">
        <w:t xml:space="preserve">RANZCOG has </w:t>
      </w:r>
      <w:r w:rsidR="00F54AE8">
        <w:t xml:space="preserve">provided </w:t>
      </w:r>
      <w:hyperlink r:id="rId20" w:history="1">
        <w:r w:rsidR="00F54AE8" w:rsidRPr="00F54AE8">
          <w:rPr>
            <w:rStyle w:val="Hyperlink"/>
          </w:rPr>
          <w:t>advice</w:t>
        </w:r>
      </w:hyperlink>
      <w:r w:rsidR="00F54AE8">
        <w:t xml:space="preserve"> on the use of the Wockhardt</w:t>
      </w:r>
      <w:r w:rsidR="002D3F27">
        <w:t>,</w:t>
      </w:r>
      <w:r w:rsidR="00F54AE8">
        <w:t xml:space="preserve"> UK product. If IM use is </w:t>
      </w:r>
      <w:r w:rsidR="00AA0975">
        <w:t>propose</w:t>
      </w:r>
      <w:r w:rsidR="00F54AE8">
        <w:t xml:space="preserve">d, then local guidelines on off-label use of medicines or the </w:t>
      </w:r>
      <w:hyperlink r:id="rId21" w:history="1">
        <w:r w:rsidR="001B7FA2">
          <w:rPr>
            <w:rStyle w:val="Hyperlink"/>
          </w:rPr>
          <w:t xml:space="preserve">CATAG Guiding Principles </w:t>
        </w:r>
        <w:r w:rsidR="001B7FA2" w:rsidRPr="001A62BE">
          <w:rPr>
            <w:rStyle w:val="Hyperlink"/>
          </w:rPr>
          <w:t>for the quality use of off-label medicines</w:t>
        </w:r>
      </w:hyperlink>
      <w:r w:rsidR="00F54AE8">
        <w:t xml:space="preserve"> should be considered</w:t>
      </w:r>
      <w:r w:rsidR="000543E0">
        <w:t>.</w:t>
      </w:r>
      <w:r w:rsidR="0084362E">
        <w:t xml:space="preserve"> </w:t>
      </w:r>
    </w:p>
    <w:p w14:paraId="67CF3953" w14:textId="7893D7ED" w:rsidR="008C645D" w:rsidRDefault="0084362E" w:rsidP="006F52C1">
      <w:pPr>
        <w:spacing w:before="0"/>
      </w:pPr>
      <w:r>
        <w:lastRenderedPageBreak/>
        <w:t xml:space="preserve">The  </w:t>
      </w:r>
      <w:hyperlink r:id="rId22" w:history="1">
        <w:r>
          <w:rPr>
            <w:rStyle w:val="Hyperlink"/>
          </w:rPr>
          <w:t>Australian Injectable Drugs Handbook – Oxytocin monograph</w:t>
        </w:r>
      </w:hyperlink>
      <w:r w:rsidR="00AA0975">
        <w:t xml:space="preserve"> </w:t>
      </w:r>
      <w:r w:rsidR="00AA0975" w:rsidRPr="00AA0975">
        <w:t>has been updated to provide guidance on safety considerations during the shortage</w:t>
      </w:r>
      <w:r>
        <w:t>.</w:t>
      </w:r>
      <w:r>
        <w:fldChar w:fldCharType="begin"/>
      </w:r>
      <w:r w:rsidR="007E233F">
        <w:instrText xml:space="preserve"> ADDIN EN.CITE &lt;EndNote&gt;&lt;Cite&gt;&lt;Author&gt;Advanced Pharmacy Australia&lt;/Author&gt;&lt;Year&gt;2025&lt;/Year&gt;&lt;RecNum&gt;3&lt;/RecNum&gt;&lt;DisplayText&gt;&lt;style face="superscript"&gt;5&lt;/style&gt;&lt;/DisplayText&gt;&lt;record&gt;&lt;rec-number&gt;3&lt;/rec-number&gt;&lt;foreign-keys&gt;&lt;key app="EN" db-id="fdpwzzze1eewpyew2pepaffta05w0z0afzrr" timestamp="1744768520"&gt;3&lt;/key&gt;&lt;/foreign-keys&gt;&lt;ref-type name="Electronic Book"&gt;44&lt;/ref-type&gt;&lt;contributors&gt;&lt;authors&gt;&lt;author&gt;Advanced Pharmacy Australia,&lt;/author&gt;&lt;/authors&gt;&lt;/contributors&gt;&lt;titles&gt;&lt;title&gt;Australian Injectable Drugs Handbook - Oxytocin&lt;/title&gt;&lt;/titles&gt;&lt;edition&gt;9th&lt;/edition&gt;&lt;dates&gt;&lt;year&gt;2025&lt;/year&gt;&lt;pub-dates&gt;&lt;date&gt;April 2025&lt;/date&gt;&lt;/pub-dates&gt;&lt;/dates&gt;&lt;publisher&gt;Advanced Pharmacy Australia &lt;/publisher&gt;&lt;isbn&gt;9780987110381&lt;/isbn&gt;&lt;urls&gt;&lt;/urls&gt;&lt;/record&gt;&lt;/Cite&gt;&lt;/EndNote&gt;</w:instrText>
      </w:r>
      <w:r>
        <w:fldChar w:fldCharType="separate"/>
      </w:r>
      <w:r w:rsidR="007E233F" w:rsidRPr="007E233F">
        <w:rPr>
          <w:noProof/>
          <w:vertAlign w:val="superscript"/>
        </w:rPr>
        <w:t>5</w:t>
      </w:r>
      <w:r>
        <w:fldChar w:fldCharType="end"/>
      </w:r>
      <w:r w:rsidR="00AA0975">
        <w:t xml:space="preserve"> The updated </w:t>
      </w:r>
      <w:r w:rsidR="00D740CC">
        <w:t xml:space="preserve">content includes information on the composition of the S19A products compared </w:t>
      </w:r>
      <w:r w:rsidR="00477585">
        <w:t xml:space="preserve">with products currently on the ARTG as well as those that have been recently discontinued. </w:t>
      </w:r>
    </w:p>
    <w:p w14:paraId="25DEC513" w14:textId="0C3CE736" w:rsidR="00635001" w:rsidRDefault="00635001" w:rsidP="008C645D">
      <w:pPr>
        <w:spacing w:after="0"/>
      </w:pPr>
      <w:r>
        <w:t xml:space="preserve">Visit the TGA website for more information on the </w:t>
      </w:r>
      <w:hyperlink r:id="rId23" w:history="1">
        <w:r w:rsidR="00404730">
          <w:rPr>
            <w:rStyle w:val="Hyperlink"/>
          </w:rPr>
          <w:t>oxytocin injection supply disruption</w:t>
        </w:r>
      </w:hyperlink>
      <w:r>
        <w:t>.</w:t>
      </w:r>
    </w:p>
    <w:p w14:paraId="165A0643" w14:textId="77777777" w:rsidR="0013093E" w:rsidRPr="00707D22" w:rsidRDefault="0013093E" w:rsidP="0013093E">
      <w:pPr>
        <w:pStyle w:val="Heading2"/>
        <w:spacing w:before="240" w:after="120"/>
        <w:rPr>
          <w:lang w:val="en-GB"/>
        </w:rPr>
      </w:pPr>
      <w:r>
        <w:rPr>
          <w:lang w:val="en-GB"/>
        </w:rPr>
        <w:t>Background</w:t>
      </w:r>
    </w:p>
    <w:p w14:paraId="16AEF9C1" w14:textId="001EE910" w:rsidR="0013093E" w:rsidRDefault="0013093E" w:rsidP="0013093E">
      <w:pPr>
        <w:spacing w:before="0" w:after="0"/>
      </w:pPr>
      <w:r>
        <w:t xml:space="preserve">Oxytocin is a synthetic pituitary hormone that stimulates uterine muscle contraction for the induction of labour, management of the third stage of labour, and prevention </w:t>
      </w:r>
      <w:r w:rsidR="000C6373">
        <w:t xml:space="preserve">or treatment </w:t>
      </w:r>
      <w:r>
        <w:t xml:space="preserve">of </w:t>
      </w:r>
      <w:r w:rsidR="003F3EC7">
        <w:t>PPH</w:t>
      </w:r>
      <w:r>
        <w:t xml:space="preserve">. The Australian registered </w:t>
      </w:r>
      <w:r w:rsidR="000C6373">
        <w:t>products</w:t>
      </w:r>
      <w:r>
        <w:t xml:space="preserve"> can be administered via both IV and IM routes.</w:t>
      </w:r>
      <w:r>
        <w:fldChar w:fldCharType="begin"/>
      </w:r>
      <w:r w:rsidR="007E233F">
        <w:instrText xml:space="preserve"> ADDIN EN.CITE &lt;EndNote&gt;&lt;Cite&gt;&lt;Author&gt;Advanced Pharmacy Australia&lt;/Author&gt;&lt;Year&gt;2025&lt;/Year&gt;&lt;RecNum&gt;3&lt;/RecNum&gt;&lt;DisplayText&gt;&lt;style face="superscript"&gt;2,5&lt;/style&gt;&lt;/DisplayText&gt;&lt;record&gt;&lt;rec-number&gt;3&lt;/rec-number&gt;&lt;foreign-keys&gt;&lt;key app="EN" db-id="fdpwzzze1eewpyew2pepaffta05w0z0afzrr" timestamp="1744768520"&gt;3&lt;/key&gt;&lt;/foreign-keys&gt;&lt;ref-type name="Electronic Book"&gt;44&lt;/ref-type&gt;&lt;contributors&gt;&lt;authors&gt;&lt;author&gt;Advanced Pharmacy Australia,&lt;/author&gt;&lt;/authors&gt;&lt;/contributors&gt;&lt;titles&gt;&lt;title&gt;Australian Injectable Drugs Handbook - Oxytocin&lt;/title&gt;&lt;/titles&gt;&lt;edition&gt;9th&lt;/edition&gt;&lt;dates&gt;&lt;year&gt;2025&lt;/year&gt;&lt;pub-dates&gt;&lt;date&gt;April 2025&lt;/date&gt;&lt;/pub-dates&gt;&lt;/dates&gt;&lt;publisher&gt;Advanced Pharmacy Australia &lt;/publisher&gt;&lt;isbn&gt;9780987110381&lt;/isbn&gt;&lt;urls&gt;&lt;/urls&gt;&lt;/record&gt;&lt;/Cite&gt;&lt;Cite&gt;&lt;Author&gt;Australian Medicines Handbook&lt;/Author&gt;&lt;Year&gt;2025&lt;/Year&gt;&lt;RecNum&gt;6&lt;/RecNum&gt;&lt;record&gt;&lt;rec-number&gt;6&lt;/rec-number&gt;&lt;foreign-keys&gt;&lt;key app="EN" db-id="fdpwzzze1eewpyew2pepaffta05w0z0afzrr" timestamp="1744769372"&gt;6&lt;/key&gt;&lt;/foreign-keys&gt;&lt;ref-type name="Electronic Book"&gt;44&lt;/ref-type&gt;&lt;contributors&gt;&lt;authors&gt;&lt;author&gt;Australian Medicines Handbook,&lt;/author&gt;&lt;/authors&gt;&lt;/contributors&gt;&lt;titles&gt;&lt;title&gt;Oxytocin&lt;/title&gt;&lt;/titles&gt;&lt;dates&gt;&lt;year&gt;2025&lt;/year&gt;&lt;pub-dates&gt;&lt;date&gt;April 2025&lt;/date&gt;&lt;/pub-dates&gt;&lt;/dates&gt;&lt;publisher&gt;Australian Medicines Handbook&lt;/publisher&gt;&lt;urls&gt;&lt;/urls&gt;&lt;/record&gt;&lt;/Cite&gt;&lt;/EndNote&gt;</w:instrText>
      </w:r>
      <w:r>
        <w:fldChar w:fldCharType="separate"/>
      </w:r>
      <w:r w:rsidR="007E233F" w:rsidRPr="007E233F">
        <w:rPr>
          <w:noProof/>
          <w:vertAlign w:val="superscript"/>
        </w:rPr>
        <w:t>2,5</w:t>
      </w:r>
      <w:r>
        <w:fldChar w:fldCharType="end"/>
      </w:r>
      <w:r>
        <w:t xml:space="preserve"> </w:t>
      </w:r>
    </w:p>
    <w:p w14:paraId="51B02A8B" w14:textId="77777777" w:rsidR="0013093E" w:rsidRDefault="0013093E" w:rsidP="0013093E">
      <w:pPr>
        <w:spacing w:before="0" w:after="0"/>
      </w:pPr>
    </w:p>
    <w:p w14:paraId="6E5CF0A2" w14:textId="300CAF0F" w:rsidR="0013093E" w:rsidRDefault="0013093E" w:rsidP="0013093E">
      <w:pPr>
        <w:spacing w:before="0" w:after="0"/>
      </w:pPr>
      <w:r>
        <w:t xml:space="preserve">The discontinuation of the </w:t>
      </w:r>
      <w:proofErr w:type="spellStart"/>
      <w:r w:rsidRPr="00AB38C5">
        <w:t>Viatocinon</w:t>
      </w:r>
      <w:proofErr w:type="spellEnd"/>
      <w:r w:rsidRPr="0088183E">
        <w:rPr>
          <w:vertAlign w:val="superscript"/>
        </w:rPr>
        <w:t>®</w:t>
      </w:r>
      <w:r w:rsidRPr="00AB38C5">
        <w:t xml:space="preserve"> </w:t>
      </w:r>
      <w:r>
        <w:t xml:space="preserve">and </w:t>
      </w:r>
      <w:proofErr w:type="spellStart"/>
      <w:r>
        <w:t>Syntocinon</w:t>
      </w:r>
      <w:proofErr w:type="spellEnd"/>
      <w:r w:rsidRPr="0088183E">
        <w:rPr>
          <w:vertAlign w:val="superscript"/>
        </w:rPr>
        <w:t>®</w:t>
      </w:r>
      <w:r>
        <w:rPr>
          <w:vertAlign w:val="superscript"/>
        </w:rPr>
        <w:t xml:space="preserve"> </w:t>
      </w:r>
      <w:r>
        <w:t xml:space="preserve">brands of oxytocin </w:t>
      </w:r>
      <w:r w:rsidRPr="00AB38C5">
        <w:t>injection</w:t>
      </w:r>
      <w:r>
        <w:t xml:space="preserve"> has increased demand for the Oxytocin </w:t>
      </w:r>
      <w:r w:rsidR="000C6373">
        <w:t>Generic Health (</w:t>
      </w:r>
      <w:r>
        <w:t>GH</w:t>
      </w:r>
      <w:r w:rsidR="000C6373">
        <w:t>)</w:t>
      </w:r>
      <w:r>
        <w:t xml:space="preserve"> brand, leading to a shortage in Australia. In response, the TGA has approved two overseas products under </w:t>
      </w:r>
      <w:hyperlink r:id="rId24" w:history="1">
        <w:r>
          <w:rPr>
            <w:rStyle w:val="Hyperlink"/>
          </w:rPr>
          <w:t>S19A of the Therapeutic Goods Act 1989</w:t>
        </w:r>
      </w:hyperlink>
      <w:r>
        <w:t xml:space="preserve">. These are the </w:t>
      </w:r>
      <w:hyperlink r:id="rId25" w:history="1">
        <w:proofErr w:type="spellStart"/>
        <w:r>
          <w:rPr>
            <w:rStyle w:val="Hyperlink"/>
          </w:rPr>
          <w:t>Panpharma</w:t>
        </w:r>
        <w:proofErr w:type="spellEnd"/>
        <w:r>
          <w:rPr>
            <w:rStyle w:val="Hyperlink"/>
          </w:rPr>
          <w:t>, Germany</w:t>
        </w:r>
      </w:hyperlink>
      <w:r>
        <w:t xml:space="preserve"> brand, which is licensed </w:t>
      </w:r>
      <w:r w:rsidR="003F3EC7">
        <w:t xml:space="preserve">overseas </w:t>
      </w:r>
      <w:r>
        <w:t xml:space="preserve">for both IV and IM administration and the </w:t>
      </w:r>
      <w:hyperlink r:id="rId26" w:history="1">
        <w:r>
          <w:rPr>
            <w:rStyle w:val="Hyperlink"/>
          </w:rPr>
          <w:t>Wockhardt, UK</w:t>
        </w:r>
      </w:hyperlink>
      <w:r>
        <w:t xml:space="preserve"> brand, which is only licensed</w:t>
      </w:r>
      <w:r w:rsidR="003F3EC7">
        <w:t xml:space="preserve"> overseas</w:t>
      </w:r>
      <w:r>
        <w:t xml:space="preserve"> for IV administration. </w:t>
      </w:r>
    </w:p>
    <w:p w14:paraId="76885889" w14:textId="77777777" w:rsidR="00635001" w:rsidRDefault="00635001" w:rsidP="008C645D">
      <w:pPr>
        <w:spacing w:before="0"/>
      </w:pPr>
    </w:p>
    <w:p w14:paraId="32FEC175" w14:textId="61A584A6" w:rsidR="00DE3C4E" w:rsidRDefault="007C0677" w:rsidP="00E52634">
      <w:pPr>
        <w:pStyle w:val="Heading2"/>
        <w:spacing w:before="0" w:after="0"/>
      </w:pPr>
      <w:r>
        <w:t>Useful resources</w:t>
      </w:r>
    </w:p>
    <w:p w14:paraId="28260CF3" w14:textId="77777777" w:rsidR="002C19F9" w:rsidRDefault="002C19F9" w:rsidP="00B01195">
      <w:pPr>
        <w:spacing w:after="0"/>
      </w:pPr>
      <w:hyperlink r:id="rId27" w:history="1">
        <w:r>
          <w:rPr>
            <w:rStyle w:val="Hyperlink"/>
          </w:rPr>
          <w:t>Australian Injectable Drugs Handbook – Oxytocin monograph</w:t>
        </w:r>
      </w:hyperlink>
    </w:p>
    <w:p w14:paraId="2F5C0B76" w14:textId="77777777" w:rsidR="003149D0" w:rsidRDefault="003149D0" w:rsidP="00B01195">
      <w:pPr>
        <w:spacing w:after="0"/>
      </w:pPr>
      <w:hyperlink r:id="rId28" w:anchor="third-stage-of-labour" w:history="1">
        <w:r>
          <w:rPr>
            <w:rStyle w:val="Hyperlink"/>
          </w:rPr>
          <w:t>NICE guideline – Intrapartum care</w:t>
        </w:r>
      </w:hyperlink>
    </w:p>
    <w:p w14:paraId="29D87029" w14:textId="77777777" w:rsidR="00B306F2" w:rsidRDefault="00B306F2" w:rsidP="00B01195">
      <w:pPr>
        <w:spacing w:after="0"/>
      </w:pPr>
      <w:hyperlink r:id="rId29" w:history="1">
        <w:r>
          <w:rPr>
            <w:rStyle w:val="Hyperlink"/>
          </w:rPr>
          <w:t>RANZCOG Management of Postpartum Haemorrhage</w:t>
        </w:r>
      </w:hyperlink>
    </w:p>
    <w:p w14:paraId="517F25F1" w14:textId="77777777" w:rsidR="00AF4477" w:rsidRDefault="00AF4477" w:rsidP="00B01195">
      <w:pPr>
        <w:spacing w:after="0"/>
      </w:pPr>
      <w:hyperlink r:id="rId30" w:history="1">
        <w:r>
          <w:rPr>
            <w:rStyle w:val="Hyperlink"/>
          </w:rPr>
          <w:t>RANZCOG Care in labour in the absence of pregnancy complications</w:t>
        </w:r>
      </w:hyperlink>
    </w:p>
    <w:p w14:paraId="7C8D059D" w14:textId="73EADB7C" w:rsidR="00AB1AF2" w:rsidRDefault="00AB1AF2" w:rsidP="00B01195">
      <w:pPr>
        <w:spacing w:after="0"/>
      </w:pPr>
      <w:hyperlink r:id="rId31" w:history="1">
        <w:r>
          <w:rPr>
            <w:rStyle w:val="Hyperlink"/>
          </w:rPr>
          <w:t>RANZCOG statement about the IM use of Oxytocin 10 units in 1mL concentrate for solution for infusion ampoules (Wockhardt, UK)</w:t>
        </w:r>
      </w:hyperlink>
      <w:r>
        <w:t xml:space="preserve"> </w:t>
      </w:r>
    </w:p>
    <w:p w14:paraId="7B2E9D79" w14:textId="77777777" w:rsidR="00E2556E" w:rsidRDefault="00E2556E" w:rsidP="00B01195">
      <w:pPr>
        <w:spacing w:after="0"/>
      </w:pPr>
      <w:hyperlink r:id="rId32" w:history="1">
        <w:r>
          <w:rPr>
            <w:rStyle w:val="Hyperlink"/>
          </w:rPr>
          <w:t>Rethinking medicines decision-making for off-label use of medicines</w:t>
        </w:r>
      </w:hyperlink>
    </w:p>
    <w:p w14:paraId="634844F4" w14:textId="135D3E60" w:rsidR="002C19F9" w:rsidRDefault="00726F9B" w:rsidP="00B01195">
      <w:pPr>
        <w:spacing w:after="0"/>
      </w:pPr>
      <w:hyperlink r:id="rId33" w:history="1">
        <w:r>
          <w:rPr>
            <w:rStyle w:val="Hyperlink"/>
          </w:rPr>
          <w:t>TGA Medicine shortage information – Oxytocin</w:t>
        </w:r>
      </w:hyperlink>
      <w:r>
        <w:t xml:space="preserve"> </w:t>
      </w:r>
      <w:r w:rsidR="00AF4477">
        <w:t xml:space="preserve"> </w:t>
      </w:r>
      <w:r w:rsidR="00B306F2">
        <w:t xml:space="preserve"> </w:t>
      </w:r>
    </w:p>
    <w:p w14:paraId="79D96361" w14:textId="77777777" w:rsidR="006F52C1" w:rsidRDefault="0048664E" w:rsidP="00B01195">
      <w:pPr>
        <w:spacing w:after="0"/>
      </w:pPr>
      <w:hyperlink r:id="rId34" w:history="1">
        <w:r>
          <w:rPr>
            <w:rStyle w:val="Hyperlink"/>
          </w:rPr>
          <w:t>TGA Section 19A approvals database</w:t>
        </w:r>
      </w:hyperlink>
      <w:r>
        <w:t xml:space="preserve"> </w:t>
      </w:r>
    </w:p>
    <w:p w14:paraId="76377C64" w14:textId="23C6895C" w:rsidR="00272048" w:rsidRDefault="00726144" w:rsidP="006F52C1">
      <w:pPr>
        <w:pStyle w:val="Heading2"/>
      </w:pPr>
      <w:r>
        <w:lastRenderedPageBreak/>
        <w:t>References</w:t>
      </w:r>
    </w:p>
    <w:p w14:paraId="2A17DC62" w14:textId="67807BBC" w:rsidR="007E233F" w:rsidRPr="007E233F" w:rsidRDefault="00BE2221" w:rsidP="007E233F">
      <w:pPr>
        <w:pStyle w:val="EndNoteBibliography"/>
        <w:framePr w:wrap="around"/>
        <w:spacing w:after="0"/>
        <w:ind w:left="720" w:hanging="720"/>
      </w:pPr>
      <w:r>
        <w:rPr>
          <w:rFonts w:eastAsia="MS Gothic"/>
          <w:color w:val="FF00FF"/>
        </w:rPr>
        <w:fldChar w:fldCharType="begin"/>
      </w:r>
      <w:r>
        <w:rPr>
          <w:rFonts w:eastAsia="MS Gothic"/>
          <w:color w:val="FF00FF"/>
        </w:rPr>
        <w:instrText xml:space="preserve"> ADDIN EN.REFLIST </w:instrText>
      </w:r>
      <w:r>
        <w:rPr>
          <w:rFonts w:eastAsia="MS Gothic"/>
          <w:color w:val="FF00FF"/>
        </w:rPr>
        <w:fldChar w:fldCharType="separate"/>
      </w:r>
      <w:r w:rsidR="007E233F" w:rsidRPr="007E233F">
        <w:t>1.</w:t>
      </w:r>
      <w:r w:rsidR="007E233F" w:rsidRPr="007E233F">
        <w:tab/>
        <w:t xml:space="preserve">Australian Government Department of Health and Aged Care. Oxytocin - medicine shortage information. [Internet] Canberra: Australian Government Department of Health and Aged Care;  [cited Apr 2025] Available from: </w:t>
      </w:r>
      <w:hyperlink r:id="rId35" w:history="1">
        <w:r w:rsidR="007E233F" w:rsidRPr="007E233F">
          <w:rPr>
            <w:rStyle w:val="Hyperlink"/>
          </w:rPr>
          <w:t>https://apps.tga.gov.au/Prod/msi/Search/Details/oxytocin</w:t>
        </w:r>
      </w:hyperlink>
      <w:r w:rsidR="007E233F" w:rsidRPr="007E233F">
        <w:t>.</w:t>
      </w:r>
    </w:p>
    <w:p w14:paraId="5846059A" w14:textId="77777777" w:rsidR="007E233F" w:rsidRPr="007E233F" w:rsidRDefault="007E233F" w:rsidP="007E233F">
      <w:pPr>
        <w:pStyle w:val="EndNoteBibliography"/>
        <w:framePr w:wrap="around"/>
        <w:spacing w:after="0"/>
        <w:ind w:left="720" w:hanging="720"/>
      </w:pPr>
      <w:r w:rsidRPr="007E233F">
        <w:t>2.</w:t>
      </w:r>
      <w:r w:rsidRPr="007E233F">
        <w:tab/>
        <w:t xml:space="preserve">Australian Medicines Handbook. Oxytocin: Australian Medicines Handbook; 2025. </w:t>
      </w:r>
    </w:p>
    <w:p w14:paraId="094768BA" w14:textId="77777777" w:rsidR="007E233F" w:rsidRPr="007E233F" w:rsidRDefault="007E233F" w:rsidP="007E233F">
      <w:pPr>
        <w:pStyle w:val="EndNoteBibliography"/>
        <w:framePr w:wrap="around"/>
        <w:spacing w:after="0"/>
        <w:ind w:left="720" w:hanging="720"/>
      </w:pPr>
      <w:r w:rsidRPr="007E233F">
        <w:t>3.</w:t>
      </w:r>
      <w:r w:rsidRPr="007E233F">
        <w:tab/>
        <w:t>National Health Service England. Risk of oxytocin overdose during labour and childbirth. Redditch: NHS; 2024.</w:t>
      </w:r>
    </w:p>
    <w:p w14:paraId="094ECBA7" w14:textId="77777777" w:rsidR="007E233F" w:rsidRPr="007E233F" w:rsidRDefault="007E233F" w:rsidP="007E233F">
      <w:pPr>
        <w:pStyle w:val="EndNoteBibliography"/>
        <w:framePr w:wrap="around"/>
        <w:spacing w:after="0"/>
        <w:ind w:left="720" w:hanging="720"/>
      </w:pPr>
      <w:r w:rsidRPr="007E233F">
        <w:t>4.</w:t>
      </w:r>
      <w:r w:rsidRPr="007E233F">
        <w:tab/>
        <w:t>The Royal Australian and New Zealand College of Obstetricians and Gynaecologists. Feedback on the Off-Label Intramuscular Administration of the Wockhardt Oxytocin Alternative. 2025.</w:t>
      </w:r>
    </w:p>
    <w:p w14:paraId="3FA1CE97" w14:textId="77777777" w:rsidR="007E233F" w:rsidRPr="007E233F" w:rsidRDefault="007E233F" w:rsidP="007E233F">
      <w:pPr>
        <w:pStyle w:val="EndNoteBibliography"/>
        <w:framePr w:wrap="around"/>
        <w:ind w:left="720" w:hanging="720"/>
      </w:pPr>
      <w:r w:rsidRPr="007E233F">
        <w:t>5.</w:t>
      </w:r>
      <w:r w:rsidRPr="007E233F">
        <w:tab/>
        <w:t xml:space="preserve">Advanced Pharmacy Australia. Australian Injectable Drugs Handbook - Oxytocin: Advanced Pharmacy Australia 2025. </w:t>
      </w:r>
    </w:p>
    <w:p w14:paraId="1CB18E9B" w14:textId="7F000A8D" w:rsidR="00272048" w:rsidRPr="0048664E" w:rsidRDefault="00BE2221" w:rsidP="00F53F2D">
      <w:r>
        <w:rPr>
          <w:rFonts w:eastAsia="MS Gothic"/>
        </w:rPr>
        <w:fldChar w:fldCharType="end"/>
      </w:r>
      <w:r w:rsidR="00E209BF">
        <w:t xml:space="preserve">For more information, please visit: </w:t>
      </w:r>
      <w:hyperlink r:id="rId36" w:history="1">
        <w:r w:rsidR="00272048">
          <w:rPr>
            <w:rStyle w:val="Hyperlink"/>
          </w:rPr>
          <w:t>TGA Medicine Shortage Reports Database</w:t>
        </w:r>
      </w:hyperlink>
      <w:r w:rsidR="00272048">
        <w:t xml:space="preserve"> or contact the Commission at </w:t>
      </w:r>
      <w:hyperlink r:id="rId37" w:history="1">
        <w:r w:rsidR="00272048" w:rsidRPr="0046547D">
          <w:rPr>
            <w:rStyle w:val="Hyperlink"/>
          </w:rPr>
          <w:t>medsafety@safetyandquality.gov.au</w:t>
        </w:r>
      </w:hyperlink>
      <w:r w:rsidR="007D3D59">
        <w:t>.</w:t>
      </w:r>
    </w:p>
    <w:p w14:paraId="5C3418AC" w14:textId="61EEAEB7" w:rsidR="00604AAF" w:rsidRPr="00EA0B96" w:rsidRDefault="00C76AE0" w:rsidP="00E2556E">
      <w:pPr>
        <w:pStyle w:val="SandQwebaddress"/>
        <w:spacing w:before="0"/>
        <w:rPr>
          <w:b/>
          <w:bCs/>
          <w:color w:val="005370"/>
          <w:sz w:val="26"/>
          <w:szCs w:val="26"/>
        </w:rPr>
      </w:pPr>
      <w:hyperlink r:id="rId38" w:history="1">
        <w:r w:rsidRPr="000811F9">
          <w:rPr>
            <w:rStyle w:val="Hyperlink"/>
            <w:b/>
            <w:bCs/>
            <w:sz w:val="26"/>
            <w:szCs w:val="26"/>
            <w:u w:val="none"/>
          </w:rPr>
          <w:t>safetyandquality.gov.au</w:t>
        </w:r>
      </w:hyperlink>
    </w:p>
    <w:p w14:paraId="1A92868B" w14:textId="77777777" w:rsidR="00A6264C" w:rsidRDefault="00FD1F7D" w:rsidP="00E2556E">
      <w:pPr>
        <w:pStyle w:val="FootnoteText"/>
        <w:tabs>
          <w:tab w:val="right" w:pos="8931"/>
        </w:tabs>
        <w:spacing w:after="0"/>
        <w:rPr>
          <w:rStyle w:val="Roman"/>
          <w:rFonts w:eastAsia="MS Gothic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BC5B7E" wp14:editId="350EDA59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AE0" w:rsidRPr="00EA0B96">
        <w:rPr>
          <w:rStyle w:val="Roman"/>
          <w:rFonts w:eastAsia="MS Gothic"/>
        </w:rPr>
        <w:t xml:space="preserve">© Australian Commission on Safety </w:t>
      </w:r>
      <w:r w:rsidR="00C76AE0" w:rsidRPr="00EA0B96">
        <w:rPr>
          <w:rStyle w:val="Roman"/>
          <w:rFonts w:eastAsia="MS Gothic"/>
        </w:rPr>
        <w:br/>
        <w:t>and Quality in Health Care</w:t>
      </w:r>
      <w:r w:rsidR="00C76AE0" w:rsidRPr="00113D87">
        <w:rPr>
          <w:rStyle w:val="Roman"/>
          <w:rFonts w:eastAsia="MS Gothic"/>
        </w:rPr>
        <w:t xml:space="preserve"> </w:t>
      </w:r>
      <w:r w:rsidR="00113D87" w:rsidRPr="00113D87">
        <w:rPr>
          <w:rStyle w:val="Roman"/>
          <w:rFonts w:eastAsia="MS Gothic"/>
        </w:rPr>
        <w:t>2025</w:t>
      </w:r>
    </w:p>
    <w:p w14:paraId="78E40F44" w14:textId="77777777" w:rsidR="00A6264C" w:rsidRDefault="00A6264C" w:rsidP="00E2556E">
      <w:pPr>
        <w:pStyle w:val="FootnoteText"/>
        <w:tabs>
          <w:tab w:val="right" w:pos="8931"/>
        </w:tabs>
        <w:spacing w:after="0"/>
        <w:rPr>
          <w:rStyle w:val="Roman"/>
          <w:rFonts w:eastAsia="MS Gothic"/>
        </w:rPr>
      </w:pPr>
    </w:p>
    <w:p w14:paraId="7AC488AD" w14:textId="382AFC4B" w:rsidR="00465AB0" w:rsidRPr="00E2556E" w:rsidRDefault="00465AB0" w:rsidP="00E2556E">
      <w:pPr>
        <w:pStyle w:val="FootnoteText"/>
        <w:tabs>
          <w:tab w:val="right" w:pos="8931"/>
        </w:tabs>
        <w:spacing w:after="0"/>
        <w:rPr>
          <w:rFonts w:eastAsia="MS Gothic"/>
          <w:color w:val="FF00FF"/>
        </w:rPr>
      </w:pPr>
    </w:p>
    <w:sectPr w:rsidR="00465AB0" w:rsidRPr="00E2556E" w:rsidSect="00B93CD5">
      <w:headerReference w:type="even" r:id="rId40"/>
      <w:headerReference w:type="default" r:id="rId41"/>
      <w:footerReference w:type="even" r:id="rId42"/>
      <w:footerReference w:type="default" r:id="rId43"/>
      <w:pgSz w:w="11906" w:h="16838"/>
      <w:pgMar w:top="212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0174" w14:textId="77777777" w:rsidR="00A43E38" w:rsidRDefault="00A43E38" w:rsidP="000B0274">
      <w:r>
        <w:separator/>
      </w:r>
    </w:p>
    <w:p w14:paraId="5DA89D66" w14:textId="77777777" w:rsidR="00A43E38" w:rsidRDefault="00A43E38"/>
    <w:p w14:paraId="28AB3F3A" w14:textId="77777777" w:rsidR="00A43E38" w:rsidRDefault="00A43E38"/>
    <w:p w14:paraId="4CA5607F" w14:textId="77777777" w:rsidR="00A43E38" w:rsidRDefault="00A43E38"/>
    <w:p w14:paraId="7F73CC76" w14:textId="77777777" w:rsidR="00A43E38" w:rsidRDefault="00A43E38"/>
  </w:endnote>
  <w:endnote w:type="continuationSeparator" w:id="0">
    <w:p w14:paraId="47F55501" w14:textId="77777777" w:rsidR="00A43E38" w:rsidRDefault="00A43E38" w:rsidP="000B0274">
      <w:r>
        <w:continuationSeparator/>
      </w:r>
    </w:p>
    <w:p w14:paraId="29CAF19D" w14:textId="77777777" w:rsidR="00A43E38" w:rsidRDefault="00A43E38"/>
    <w:p w14:paraId="69A3DD3D" w14:textId="77777777" w:rsidR="00A43E38" w:rsidRDefault="00A43E38"/>
    <w:p w14:paraId="4E6B58C2" w14:textId="77777777" w:rsidR="00A43E38" w:rsidRDefault="00A43E38"/>
    <w:p w14:paraId="0738DE07" w14:textId="77777777" w:rsidR="00A43E38" w:rsidRDefault="00A43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6A81" w14:textId="77777777" w:rsidR="00A5694A" w:rsidRDefault="00A5694A" w:rsidP="00D84622">
    <w:pPr>
      <w:pStyle w:val="Footer"/>
    </w:pPr>
  </w:p>
  <w:p w14:paraId="548AA34A" w14:textId="77777777" w:rsidR="00070812" w:rsidRDefault="00070812"/>
  <w:p w14:paraId="65A73236" w14:textId="77777777" w:rsidR="008B014E" w:rsidRDefault="008B014E"/>
  <w:p w14:paraId="5A3E23C6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669A" w14:textId="4B004F78" w:rsidR="008B014E" w:rsidRDefault="007103BE" w:rsidP="007E175B">
    <w:pPr>
      <w:pStyle w:val="Footer"/>
    </w:pPr>
    <w:r w:rsidRPr="00D84622">
      <w:t>Fact Sheet</w:t>
    </w:r>
    <w:r w:rsidR="00DB4F6B">
      <w:t xml:space="preserve"> –</w:t>
    </w:r>
    <w:r w:rsidR="00D56671" w:rsidRPr="00D56671">
      <w:t xml:space="preserve"> Safety considerations during oxytocin injection supply disruption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DD0A" w14:textId="77777777" w:rsidR="00A43E38" w:rsidRDefault="00A43E38" w:rsidP="000B0274">
      <w:r>
        <w:separator/>
      </w:r>
    </w:p>
    <w:p w14:paraId="4BF1919D" w14:textId="77777777" w:rsidR="00A43E38" w:rsidRDefault="00A43E38"/>
    <w:p w14:paraId="0D6C0ABB" w14:textId="77777777" w:rsidR="00A43E38" w:rsidRDefault="00A43E38"/>
    <w:p w14:paraId="04E4617C" w14:textId="77777777" w:rsidR="00A43E38" w:rsidRDefault="00A43E38"/>
    <w:p w14:paraId="487C7257" w14:textId="77777777" w:rsidR="00A43E38" w:rsidRDefault="00A43E38"/>
  </w:footnote>
  <w:footnote w:type="continuationSeparator" w:id="0">
    <w:p w14:paraId="24BD6D14" w14:textId="77777777" w:rsidR="00A43E38" w:rsidRDefault="00A43E38" w:rsidP="000B0274">
      <w:r>
        <w:continuationSeparator/>
      </w:r>
    </w:p>
    <w:p w14:paraId="120E5350" w14:textId="77777777" w:rsidR="00A43E38" w:rsidRDefault="00A43E38"/>
    <w:p w14:paraId="4A9EDCA2" w14:textId="77777777" w:rsidR="00A43E38" w:rsidRDefault="00A43E38"/>
    <w:p w14:paraId="4B831203" w14:textId="77777777" w:rsidR="00A43E38" w:rsidRDefault="00A43E38"/>
    <w:p w14:paraId="7E56CAC9" w14:textId="77777777" w:rsidR="00A43E38" w:rsidRDefault="00A43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B140" w14:textId="77777777" w:rsidR="00A5694A" w:rsidRDefault="00A5694A"/>
  <w:p w14:paraId="6D13B804" w14:textId="77777777" w:rsidR="00070812" w:rsidRDefault="00070812"/>
  <w:p w14:paraId="28877481" w14:textId="77777777" w:rsidR="008B014E" w:rsidRDefault="008B014E"/>
  <w:p w14:paraId="6F8D46DC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057A" w14:textId="1DD8C960" w:rsidR="008B014E" w:rsidRDefault="00190C81" w:rsidP="007C26F7">
    <w:pPr>
      <w:tabs>
        <w:tab w:val="right" w:pos="9638"/>
      </w:tabs>
      <w:spacing w:before="0"/>
      <w:ind w:left="-142"/>
    </w:pPr>
    <w:r w:rsidRPr="00EA0B96">
      <w:rPr>
        <w:rFonts w:eastAsia="MS Gothic"/>
        <w:noProof/>
        <w:lang w:val="en-US" w:eastAsia="en-US"/>
      </w:rPr>
      <w:drawing>
        <wp:inline distT="0" distB="0" distL="0" distR="0" wp14:anchorId="47E24EF0" wp14:editId="4FFB17D1">
          <wp:extent cx="4304665" cy="544830"/>
          <wp:effectExtent l="0" t="0" r="0" b="0"/>
          <wp:docPr id="721465361" name="Picture 10" descr="Australian Commission on Safety and Quality in Health Care logo 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ustralian Commission on Safety and Quality in Health Care logo &#10;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14"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9AB">
      <w:tab/>
    </w:r>
  </w:p>
  <w:p w14:paraId="7DCEF913" w14:textId="77777777" w:rsidR="008B014E" w:rsidRDefault="008B01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7B702A"/>
    <w:multiLevelType w:val="hybridMultilevel"/>
    <w:tmpl w:val="A2C27A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E606B"/>
    <w:multiLevelType w:val="hybridMultilevel"/>
    <w:tmpl w:val="493E26D0"/>
    <w:lvl w:ilvl="0" w:tplc="775A12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82255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8D63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D2FB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3AF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EFE6F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5843D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0A4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2D427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F82BE3"/>
    <w:multiLevelType w:val="hybridMultilevel"/>
    <w:tmpl w:val="C12E946C"/>
    <w:lvl w:ilvl="0" w:tplc="661A6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0"/>
  </w:num>
  <w:num w:numId="2" w16cid:durableId="1112822231">
    <w:abstractNumId w:val="14"/>
  </w:num>
  <w:num w:numId="3" w16cid:durableId="2010399634">
    <w:abstractNumId w:val="21"/>
  </w:num>
  <w:num w:numId="4" w16cid:durableId="1896118276">
    <w:abstractNumId w:val="25"/>
  </w:num>
  <w:num w:numId="5" w16cid:durableId="300960936">
    <w:abstractNumId w:val="24"/>
  </w:num>
  <w:num w:numId="6" w16cid:durableId="460001979">
    <w:abstractNumId w:val="15"/>
  </w:num>
  <w:num w:numId="7" w16cid:durableId="1272736034">
    <w:abstractNumId w:val="16"/>
  </w:num>
  <w:num w:numId="8" w16cid:durableId="281155201">
    <w:abstractNumId w:val="12"/>
  </w:num>
  <w:num w:numId="9" w16cid:durableId="1959675322">
    <w:abstractNumId w:val="29"/>
  </w:num>
  <w:num w:numId="10" w16cid:durableId="1185750376">
    <w:abstractNumId w:val="20"/>
  </w:num>
  <w:num w:numId="11" w16cid:durableId="1123500894">
    <w:abstractNumId w:val="18"/>
  </w:num>
  <w:num w:numId="12" w16cid:durableId="825979626">
    <w:abstractNumId w:val="28"/>
  </w:num>
  <w:num w:numId="13" w16cid:durableId="977683346">
    <w:abstractNumId w:val="19"/>
  </w:num>
  <w:num w:numId="14" w16cid:durableId="2057927306">
    <w:abstractNumId w:val="23"/>
  </w:num>
  <w:num w:numId="15" w16cid:durableId="1126317256">
    <w:abstractNumId w:val="30"/>
  </w:num>
  <w:num w:numId="16" w16cid:durableId="1986926756">
    <w:abstractNumId w:val="22"/>
  </w:num>
  <w:num w:numId="17" w16cid:durableId="230846978">
    <w:abstractNumId w:val="17"/>
  </w:num>
  <w:num w:numId="18" w16cid:durableId="222760772">
    <w:abstractNumId w:val="26"/>
  </w:num>
  <w:num w:numId="19" w16cid:durableId="1502430373">
    <w:abstractNumId w:val="27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518545677">
    <w:abstractNumId w:val="11"/>
  </w:num>
  <w:num w:numId="31" w16cid:durableId="127240164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Uniform Requirements V2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pwzzze1eewpyew2pepaffta05w0z0afzrr&quot;&gt;Oxytocin shortage&lt;record-ids&gt;&lt;item&gt;1&lt;/item&gt;&lt;item&gt;2&lt;/item&gt;&lt;item&gt;3&lt;/item&gt;&lt;item&gt;4&lt;/item&gt;&lt;item&gt;6&lt;/item&gt;&lt;/record-ids&gt;&lt;/item&gt;&lt;/Libraries&gt;"/>
  </w:docVars>
  <w:rsids>
    <w:rsidRoot w:val="00B070B4"/>
    <w:rsid w:val="00000FB7"/>
    <w:rsid w:val="00002668"/>
    <w:rsid w:val="00003743"/>
    <w:rsid w:val="000077FA"/>
    <w:rsid w:val="0001053B"/>
    <w:rsid w:val="00011096"/>
    <w:rsid w:val="00012782"/>
    <w:rsid w:val="00013AF4"/>
    <w:rsid w:val="0001728D"/>
    <w:rsid w:val="00020DBD"/>
    <w:rsid w:val="00025A92"/>
    <w:rsid w:val="0003162D"/>
    <w:rsid w:val="000357B0"/>
    <w:rsid w:val="00036AB7"/>
    <w:rsid w:val="00036F5E"/>
    <w:rsid w:val="00037B5C"/>
    <w:rsid w:val="000406F8"/>
    <w:rsid w:val="00043671"/>
    <w:rsid w:val="00044163"/>
    <w:rsid w:val="00045D37"/>
    <w:rsid w:val="00050775"/>
    <w:rsid w:val="000543E0"/>
    <w:rsid w:val="00054B74"/>
    <w:rsid w:val="00067456"/>
    <w:rsid w:val="00067CE9"/>
    <w:rsid w:val="00070812"/>
    <w:rsid w:val="00075AA4"/>
    <w:rsid w:val="00076ED3"/>
    <w:rsid w:val="0008065C"/>
    <w:rsid w:val="000811F9"/>
    <w:rsid w:val="00081DD4"/>
    <w:rsid w:val="0008392E"/>
    <w:rsid w:val="0008737C"/>
    <w:rsid w:val="00090EFF"/>
    <w:rsid w:val="00091202"/>
    <w:rsid w:val="00091FC5"/>
    <w:rsid w:val="00092229"/>
    <w:rsid w:val="00095DA6"/>
    <w:rsid w:val="00095DC5"/>
    <w:rsid w:val="000A3F0D"/>
    <w:rsid w:val="000A4C01"/>
    <w:rsid w:val="000A5F12"/>
    <w:rsid w:val="000A63FE"/>
    <w:rsid w:val="000B0274"/>
    <w:rsid w:val="000B0BFE"/>
    <w:rsid w:val="000B4610"/>
    <w:rsid w:val="000B782D"/>
    <w:rsid w:val="000B79D3"/>
    <w:rsid w:val="000C1722"/>
    <w:rsid w:val="000C1DD4"/>
    <w:rsid w:val="000C5B0F"/>
    <w:rsid w:val="000C6373"/>
    <w:rsid w:val="000C7A69"/>
    <w:rsid w:val="000D017D"/>
    <w:rsid w:val="000D1E60"/>
    <w:rsid w:val="000D6405"/>
    <w:rsid w:val="000E2EEF"/>
    <w:rsid w:val="000E2F2E"/>
    <w:rsid w:val="000F0D77"/>
    <w:rsid w:val="000F29C7"/>
    <w:rsid w:val="00101672"/>
    <w:rsid w:val="001052F5"/>
    <w:rsid w:val="0010553D"/>
    <w:rsid w:val="0010673D"/>
    <w:rsid w:val="00106CF5"/>
    <w:rsid w:val="00113D87"/>
    <w:rsid w:val="00115403"/>
    <w:rsid w:val="00115E61"/>
    <w:rsid w:val="00120FCB"/>
    <w:rsid w:val="0013093E"/>
    <w:rsid w:val="00131E52"/>
    <w:rsid w:val="0013212C"/>
    <w:rsid w:val="00140002"/>
    <w:rsid w:val="00141C41"/>
    <w:rsid w:val="00143A76"/>
    <w:rsid w:val="00145BE3"/>
    <w:rsid w:val="00146A66"/>
    <w:rsid w:val="001507C6"/>
    <w:rsid w:val="00152EB2"/>
    <w:rsid w:val="00153149"/>
    <w:rsid w:val="00157B31"/>
    <w:rsid w:val="00160453"/>
    <w:rsid w:val="001615C6"/>
    <w:rsid w:val="00161CF7"/>
    <w:rsid w:val="001652A9"/>
    <w:rsid w:val="0017231F"/>
    <w:rsid w:val="00174141"/>
    <w:rsid w:val="00174535"/>
    <w:rsid w:val="001766AF"/>
    <w:rsid w:val="0017675C"/>
    <w:rsid w:val="0018102F"/>
    <w:rsid w:val="00183675"/>
    <w:rsid w:val="00184C86"/>
    <w:rsid w:val="001852DE"/>
    <w:rsid w:val="001859B5"/>
    <w:rsid w:val="001860B2"/>
    <w:rsid w:val="001876F4"/>
    <w:rsid w:val="00190C81"/>
    <w:rsid w:val="00190D41"/>
    <w:rsid w:val="001918F7"/>
    <w:rsid w:val="001921ED"/>
    <w:rsid w:val="00195458"/>
    <w:rsid w:val="00195888"/>
    <w:rsid w:val="001962DE"/>
    <w:rsid w:val="00196AC8"/>
    <w:rsid w:val="001A11A5"/>
    <w:rsid w:val="001A1E8E"/>
    <w:rsid w:val="001A1EBD"/>
    <w:rsid w:val="001A2A2C"/>
    <w:rsid w:val="001A49AC"/>
    <w:rsid w:val="001A4A68"/>
    <w:rsid w:val="001A62BE"/>
    <w:rsid w:val="001A71A8"/>
    <w:rsid w:val="001B15D1"/>
    <w:rsid w:val="001B3443"/>
    <w:rsid w:val="001B7C8B"/>
    <w:rsid w:val="001B7FA2"/>
    <w:rsid w:val="001D0D87"/>
    <w:rsid w:val="001E07F2"/>
    <w:rsid w:val="001E1042"/>
    <w:rsid w:val="001E15BF"/>
    <w:rsid w:val="001E1C64"/>
    <w:rsid w:val="001E2EC1"/>
    <w:rsid w:val="001E38B8"/>
    <w:rsid w:val="001E77C4"/>
    <w:rsid w:val="001F2A0D"/>
    <w:rsid w:val="001F6D10"/>
    <w:rsid w:val="001F7642"/>
    <w:rsid w:val="002006BD"/>
    <w:rsid w:val="00204C47"/>
    <w:rsid w:val="0020592F"/>
    <w:rsid w:val="00211447"/>
    <w:rsid w:val="0021173F"/>
    <w:rsid w:val="00215786"/>
    <w:rsid w:val="002158F9"/>
    <w:rsid w:val="00216660"/>
    <w:rsid w:val="00221222"/>
    <w:rsid w:val="002255F7"/>
    <w:rsid w:val="0023112B"/>
    <w:rsid w:val="0023231A"/>
    <w:rsid w:val="00233BC6"/>
    <w:rsid w:val="00234E18"/>
    <w:rsid w:val="00237ADF"/>
    <w:rsid w:val="002437BE"/>
    <w:rsid w:val="00245D81"/>
    <w:rsid w:val="0024767D"/>
    <w:rsid w:val="00247A22"/>
    <w:rsid w:val="002503C3"/>
    <w:rsid w:val="00251167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61C5"/>
    <w:rsid w:val="002662B4"/>
    <w:rsid w:val="0026675D"/>
    <w:rsid w:val="00267635"/>
    <w:rsid w:val="00272048"/>
    <w:rsid w:val="00272D6B"/>
    <w:rsid w:val="00275471"/>
    <w:rsid w:val="00275520"/>
    <w:rsid w:val="00277A59"/>
    <w:rsid w:val="0028150E"/>
    <w:rsid w:val="00281FD4"/>
    <w:rsid w:val="002851F2"/>
    <w:rsid w:val="00291EBD"/>
    <w:rsid w:val="00293CDE"/>
    <w:rsid w:val="002B11D9"/>
    <w:rsid w:val="002B37B6"/>
    <w:rsid w:val="002B7D2F"/>
    <w:rsid w:val="002C0C32"/>
    <w:rsid w:val="002C19F9"/>
    <w:rsid w:val="002C1CA0"/>
    <w:rsid w:val="002C6AF0"/>
    <w:rsid w:val="002C6E07"/>
    <w:rsid w:val="002D0EB0"/>
    <w:rsid w:val="002D247E"/>
    <w:rsid w:val="002D35CA"/>
    <w:rsid w:val="002D3F27"/>
    <w:rsid w:val="002E003F"/>
    <w:rsid w:val="002E0FDA"/>
    <w:rsid w:val="002E195D"/>
    <w:rsid w:val="002E2DBA"/>
    <w:rsid w:val="002E3986"/>
    <w:rsid w:val="002E3F09"/>
    <w:rsid w:val="002E4AED"/>
    <w:rsid w:val="002E607F"/>
    <w:rsid w:val="002E6A48"/>
    <w:rsid w:val="002E7082"/>
    <w:rsid w:val="002F1582"/>
    <w:rsid w:val="002F3AE3"/>
    <w:rsid w:val="002F7E6F"/>
    <w:rsid w:val="00303E0A"/>
    <w:rsid w:val="00304D91"/>
    <w:rsid w:val="0030786C"/>
    <w:rsid w:val="00307C44"/>
    <w:rsid w:val="00311270"/>
    <w:rsid w:val="00312A62"/>
    <w:rsid w:val="003149D0"/>
    <w:rsid w:val="00314A32"/>
    <w:rsid w:val="00316683"/>
    <w:rsid w:val="00334208"/>
    <w:rsid w:val="00341202"/>
    <w:rsid w:val="00341757"/>
    <w:rsid w:val="00341A36"/>
    <w:rsid w:val="00341BEE"/>
    <w:rsid w:val="00343286"/>
    <w:rsid w:val="00345524"/>
    <w:rsid w:val="0034680F"/>
    <w:rsid w:val="0035066E"/>
    <w:rsid w:val="00350BE1"/>
    <w:rsid w:val="00350DBE"/>
    <w:rsid w:val="0035638A"/>
    <w:rsid w:val="003657DB"/>
    <w:rsid w:val="0036588B"/>
    <w:rsid w:val="00367A60"/>
    <w:rsid w:val="00370326"/>
    <w:rsid w:val="00370AF4"/>
    <w:rsid w:val="00380792"/>
    <w:rsid w:val="003808E4"/>
    <w:rsid w:val="0038248B"/>
    <w:rsid w:val="00384D1E"/>
    <w:rsid w:val="00386683"/>
    <w:rsid w:val="003873C6"/>
    <w:rsid w:val="00392002"/>
    <w:rsid w:val="00392A85"/>
    <w:rsid w:val="0039312F"/>
    <w:rsid w:val="00396A33"/>
    <w:rsid w:val="00396AFB"/>
    <w:rsid w:val="003A2C98"/>
    <w:rsid w:val="003A51A3"/>
    <w:rsid w:val="003A5C29"/>
    <w:rsid w:val="003A70CE"/>
    <w:rsid w:val="003B22AB"/>
    <w:rsid w:val="003B4D98"/>
    <w:rsid w:val="003C297A"/>
    <w:rsid w:val="003C540E"/>
    <w:rsid w:val="003C5F0C"/>
    <w:rsid w:val="003D17F9"/>
    <w:rsid w:val="003D1968"/>
    <w:rsid w:val="003D1DA2"/>
    <w:rsid w:val="003D3806"/>
    <w:rsid w:val="003D3C3B"/>
    <w:rsid w:val="003D437B"/>
    <w:rsid w:val="003D4829"/>
    <w:rsid w:val="003D66A8"/>
    <w:rsid w:val="003E197F"/>
    <w:rsid w:val="003E35E8"/>
    <w:rsid w:val="003E6E73"/>
    <w:rsid w:val="003E6EA4"/>
    <w:rsid w:val="003E76C8"/>
    <w:rsid w:val="003F3EC7"/>
    <w:rsid w:val="003F3F0B"/>
    <w:rsid w:val="003F6C79"/>
    <w:rsid w:val="003F6DED"/>
    <w:rsid w:val="00401059"/>
    <w:rsid w:val="0040152C"/>
    <w:rsid w:val="00402CBA"/>
    <w:rsid w:val="00404730"/>
    <w:rsid w:val="0040604F"/>
    <w:rsid w:val="00412E9D"/>
    <w:rsid w:val="004137DA"/>
    <w:rsid w:val="00414952"/>
    <w:rsid w:val="00422596"/>
    <w:rsid w:val="00422A0A"/>
    <w:rsid w:val="00423210"/>
    <w:rsid w:val="00424733"/>
    <w:rsid w:val="00425504"/>
    <w:rsid w:val="0042648D"/>
    <w:rsid w:val="0042727E"/>
    <w:rsid w:val="004305D6"/>
    <w:rsid w:val="004367DE"/>
    <w:rsid w:val="004377EE"/>
    <w:rsid w:val="00440B76"/>
    <w:rsid w:val="00440CC0"/>
    <w:rsid w:val="00440D73"/>
    <w:rsid w:val="004437F3"/>
    <w:rsid w:val="00444EB4"/>
    <w:rsid w:val="004460F4"/>
    <w:rsid w:val="00447D31"/>
    <w:rsid w:val="00452849"/>
    <w:rsid w:val="00455560"/>
    <w:rsid w:val="00456385"/>
    <w:rsid w:val="00457050"/>
    <w:rsid w:val="004574B9"/>
    <w:rsid w:val="0046571B"/>
    <w:rsid w:val="00465AB0"/>
    <w:rsid w:val="00470AB8"/>
    <w:rsid w:val="00477585"/>
    <w:rsid w:val="00477E9B"/>
    <w:rsid w:val="00482DE4"/>
    <w:rsid w:val="00482ECA"/>
    <w:rsid w:val="00483BA8"/>
    <w:rsid w:val="00485776"/>
    <w:rsid w:val="00485794"/>
    <w:rsid w:val="0048664E"/>
    <w:rsid w:val="004867E2"/>
    <w:rsid w:val="00486826"/>
    <w:rsid w:val="0048712D"/>
    <w:rsid w:val="0048784D"/>
    <w:rsid w:val="00493AA0"/>
    <w:rsid w:val="004A0670"/>
    <w:rsid w:val="004A4851"/>
    <w:rsid w:val="004A5C81"/>
    <w:rsid w:val="004B0417"/>
    <w:rsid w:val="004B265A"/>
    <w:rsid w:val="004B2999"/>
    <w:rsid w:val="004C04EB"/>
    <w:rsid w:val="004C1E29"/>
    <w:rsid w:val="004C3664"/>
    <w:rsid w:val="004C4927"/>
    <w:rsid w:val="004C6833"/>
    <w:rsid w:val="004D5E77"/>
    <w:rsid w:val="004E067A"/>
    <w:rsid w:val="004E0B85"/>
    <w:rsid w:val="004E179B"/>
    <w:rsid w:val="004E2389"/>
    <w:rsid w:val="004E320D"/>
    <w:rsid w:val="004E50C2"/>
    <w:rsid w:val="004E58C1"/>
    <w:rsid w:val="004F0DB8"/>
    <w:rsid w:val="004F1406"/>
    <w:rsid w:val="004F412D"/>
    <w:rsid w:val="005031C7"/>
    <w:rsid w:val="00505824"/>
    <w:rsid w:val="00505C0D"/>
    <w:rsid w:val="005061A5"/>
    <w:rsid w:val="0051563D"/>
    <w:rsid w:val="00516354"/>
    <w:rsid w:val="005179C7"/>
    <w:rsid w:val="0052107C"/>
    <w:rsid w:val="005221B7"/>
    <w:rsid w:val="00526F85"/>
    <w:rsid w:val="00527297"/>
    <w:rsid w:val="00530100"/>
    <w:rsid w:val="005313EF"/>
    <w:rsid w:val="00536E0C"/>
    <w:rsid w:val="005404F7"/>
    <w:rsid w:val="005408C7"/>
    <w:rsid w:val="005422E7"/>
    <w:rsid w:val="00542562"/>
    <w:rsid w:val="005434D3"/>
    <w:rsid w:val="005437FD"/>
    <w:rsid w:val="00544A4E"/>
    <w:rsid w:val="00544F93"/>
    <w:rsid w:val="0054675B"/>
    <w:rsid w:val="00546A50"/>
    <w:rsid w:val="005524A0"/>
    <w:rsid w:val="00552A92"/>
    <w:rsid w:val="00553E33"/>
    <w:rsid w:val="00555C4C"/>
    <w:rsid w:val="00555D6E"/>
    <w:rsid w:val="005577AB"/>
    <w:rsid w:val="005620C5"/>
    <w:rsid w:val="00562F72"/>
    <w:rsid w:val="0056304B"/>
    <w:rsid w:val="00565356"/>
    <w:rsid w:val="00566B97"/>
    <w:rsid w:val="00567CD0"/>
    <w:rsid w:val="00570C6C"/>
    <w:rsid w:val="00577EE4"/>
    <w:rsid w:val="00580DA8"/>
    <w:rsid w:val="0058145C"/>
    <w:rsid w:val="0058352E"/>
    <w:rsid w:val="00583838"/>
    <w:rsid w:val="00584334"/>
    <w:rsid w:val="00590E57"/>
    <w:rsid w:val="00591A14"/>
    <w:rsid w:val="0059380A"/>
    <w:rsid w:val="0059724C"/>
    <w:rsid w:val="005976CF"/>
    <w:rsid w:val="005A04FC"/>
    <w:rsid w:val="005A1AA7"/>
    <w:rsid w:val="005A4C53"/>
    <w:rsid w:val="005A4D0B"/>
    <w:rsid w:val="005A61B4"/>
    <w:rsid w:val="005A65E0"/>
    <w:rsid w:val="005A735B"/>
    <w:rsid w:val="005B04D8"/>
    <w:rsid w:val="005C1496"/>
    <w:rsid w:val="005C2FC4"/>
    <w:rsid w:val="005C5EF4"/>
    <w:rsid w:val="005C6AAE"/>
    <w:rsid w:val="005D1073"/>
    <w:rsid w:val="005D15FD"/>
    <w:rsid w:val="005D1804"/>
    <w:rsid w:val="005D2770"/>
    <w:rsid w:val="005D3899"/>
    <w:rsid w:val="005D5D06"/>
    <w:rsid w:val="005D62B5"/>
    <w:rsid w:val="005E2089"/>
    <w:rsid w:val="005E2614"/>
    <w:rsid w:val="005E5D35"/>
    <w:rsid w:val="005E7144"/>
    <w:rsid w:val="005F1E4A"/>
    <w:rsid w:val="005F2193"/>
    <w:rsid w:val="005F5731"/>
    <w:rsid w:val="005F6BB5"/>
    <w:rsid w:val="00602FD2"/>
    <w:rsid w:val="00604AAF"/>
    <w:rsid w:val="00606E12"/>
    <w:rsid w:val="00607B0B"/>
    <w:rsid w:val="00610FFD"/>
    <w:rsid w:val="00611870"/>
    <w:rsid w:val="00612C1B"/>
    <w:rsid w:val="00612FD2"/>
    <w:rsid w:val="00614E29"/>
    <w:rsid w:val="0062216A"/>
    <w:rsid w:val="0062299F"/>
    <w:rsid w:val="00625634"/>
    <w:rsid w:val="00625EC1"/>
    <w:rsid w:val="00626F7D"/>
    <w:rsid w:val="00630199"/>
    <w:rsid w:val="006317C9"/>
    <w:rsid w:val="00632475"/>
    <w:rsid w:val="006328F0"/>
    <w:rsid w:val="00632C35"/>
    <w:rsid w:val="006340B0"/>
    <w:rsid w:val="00635001"/>
    <w:rsid w:val="00641773"/>
    <w:rsid w:val="00641CB0"/>
    <w:rsid w:val="0064239F"/>
    <w:rsid w:val="006456F1"/>
    <w:rsid w:val="00654DB3"/>
    <w:rsid w:val="00656A90"/>
    <w:rsid w:val="006577C8"/>
    <w:rsid w:val="00657DD2"/>
    <w:rsid w:val="00664B6D"/>
    <w:rsid w:val="00664F67"/>
    <w:rsid w:val="006655E2"/>
    <w:rsid w:val="00667658"/>
    <w:rsid w:val="00670F54"/>
    <w:rsid w:val="00671D5E"/>
    <w:rsid w:val="006728F9"/>
    <w:rsid w:val="006746DA"/>
    <w:rsid w:val="006765C3"/>
    <w:rsid w:val="006767BC"/>
    <w:rsid w:val="006803BA"/>
    <w:rsid w:val="006840F2"/>
    <w:rsid w:val="00684A36"/>
    <w:rsid w:val="00685727"/>
    <w:rsid w:val="006922F5"/>
    <w:rsid w:val="006947D9"/>
    <w:rsid w:val="006A16DD"/>
    <w:rsid w:val="006A2587"/>
    <w:rsid w:val="006A6731"/>
    <w:rsid w:val="006B3CFC"/>
    <w:rsid w:val="006C0CD8"/>
    <w:rsid w:val="006C5AEE"/>
    <w:rsid w:val="006C679A"/>
    <w:rsid w:val="006D09FE"/>
    <w:rsid w:val="006D0C40"/>
    <w:rsid w:val="006D15C1"/>
    <w:rsid w:val="006D2087"/>
    <w:rsid w:val="006D4447"/>
    <w:rsid w:val="006D5A7B"/>
    <w:rsid w:val="006D732F"/>
    <w:rsid w:val="006E12E1"/>
    <w:rsid w:val="006E4597"/>
    <w:rsid w:val="006E688D"/>
    <w:rsid w:val="006F1432"/>
    <w:rsid w:val="006F52C1"/>
    <w:rsid w:val="006F7964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583E"/>
    <w:rsid w:val="0071637F"/>
    <w:rsid w:val="00716597"/>
    <w:rsid w:val="00716FED"/>
    <w:rsid w:val="00722691"/>
    <w:rsid w:val="00722B8D"/>
    <w:rsid w:val="00722CE7"/>
    <w:rsid w:val="00723342"/>
    <w:rsid w:val="007238E8"/>
    <w:rsid w:val="0072413F"/>
    <w:rsid w:val="00725FB9"/>
    <w:rsid w:val="00726144"/>
    <w:rsid w:val="00726F9B"/>
    <w:rsid w:val="00730020"/>
    <w:rsid w:val="007333AD"/>
    <w:rsid w:val="00734E1C"/>
    <w:rsid w:val="007360BF"/>
    <w:rsid w:val="007376B7"/>
    <w:rsid w:val="00737D4D"/>
    <w:rsid w:val="007406E6"/>
    <w:rsid w:val="00745B53"/>
    <w:rsid w:val="00746CCD"/>
    <w:rsid w:val="00747CE1"/>
    <w:rsid w:val="007517A6"/>
    <w:rsid w:val="007545C7"/>
    <w:rsid w:val="00757228"/>
    <w:rsid w:val="00757381"/>
    <w:rsid w:val="0076005C"/>
    <w:rsid w:val="0076111D"/>
    <w:rsid w:val="007635C1"/>
    <w:rsid w:val="00766B42"/>
    <w:rsid w:val="0076731D"/>
    <w:rsid w:val="007673AA"/>
    <w:rsid w:val="00767650"/>
    <w:rsid w:val="00767A90"/>
    <w:rsid w:val="00770588"/>
    <w:rsid w:val="00770EDE"/>
    <w:rsid w:val="00774599"/>
    <w:rsid w:val="0077624B"/>
    <w:rsid w:val="0078070C"/>
    <w:rsid w:val="00782E73"/>
    <w:rsid w:val="00784541"/>
    <w:rsid w:val="00786D9D"/>
    <w:rsid w:val="00787790"/>
    <w:rsid w:val="007907DF"/>
    <w:rsid w:val="0079204E"/>
    <w:rsid w:val="007948F7"/>
    <w:rsid w:val="00794DF2"/>
    <w:rsid w:val="007968CC"/>
    <w:rsid w:val="00796FB7"/>
    <w:rsid w:val="0079708B"/>
    <w:rsid w:val="007A1701"/>
    <w:rsid w:val="007A5F9D"/>
    <w:rsid w:val="007B04A9"/>
    <w:rsid w:val="007B16AC"/>
    <w:rsid w:val="007B1D5C"/>
    <w:rsid w:val="007B2DA7"/>
    <w:rsid w:val="007B4F18"/>
    <w:rsid w:val="007B5D05"/>
    <w:rsid w:val="007B5D1E"/>
    <w:rsid w:val="007B6115"/>
    <w:rsid w:val="007C0677"/>
    <w:rsid w:val="007C0827"/>
    <w:rsid w:val="007C2217"/>
    <w:rsid w:val="007C26F7"/>
    <w:rsid w:val="007C2E29"/>
    <w:rsid w:val="007C471C"/>
    <w:rsid w:val="007C52D3"/>
    <w:rsid w:val="007D18A8"/>
    <w:rsid w:val="007D3D59"/>
    <w:rsid w:val="007D4258"/>
    <w:rsid w:val="007D7925"/>
    <w:rsid w:val="007E000D"/>
    <w:rsid w:val="007E114C"/>
    <w:rsid w:val="007E1188"/>
    <w:rsid w:val="007E175B"/>
    <w:rsid w:val="007E233F"/>
    <w:rsid w:val="007E3F8A"/>
    <w:rsid w:val="007E73DD"/>
    <w:rsid w:val="007E74C1"/>
    <w:rsid w:val="007F0A83"/>
    <w:rsid w:val="007F1EE9"/>
    <w:rsid w:val="007F3645"/>
    <w:rsid w:val="007F58DD"/>
    <w:rsid w:val="007F6791"/>
    <w:rsid w:val="00802131"/>
    <w:rsid w:val="00805E44"/>
    <w:rsid w:val="008076BF"/>
    <w:rsid w:val="00811C26"/>
    <w:rsid w:val="00812029"/>
    <w:rsid w:val="00812A44"/>
    <w:rsid w:val="00820059"/>
    <w:rsid w:val="00825B2D"/>
    <w:rsid w:val="00825B33"/>
    <w:rsid w:val="00826488"/>
    <w:rsid w:val="008264EB"/>
    <w:rsid w:val="00827924"/>
    <w:rsid w:val="00830756"/>
    <w:rsid w:val="00837A90"/>
    <w:rsid w:val="0084362E"/>
    <w:rsid w:val="00847852"/>
    <w:rsid w:val="008504EC"/>
    <w:rsid w:val="00855A49"/>
    <w:rsid w:val="00856800"/>
    <w:rsid w:val="00856DF5"/>
    <w:rsid w:val="00857E76"/>
    <w:rsid w:val="0086059A"/>
    <w:rsid w:val="00864781"/>
    <w:rsid w:val="00865932"/>
    <w:rsid w:val="00867CEF"/>
    <w:rsid w:val="008713EE"/>
    <w:rsid w:val="00872059"/>
    <w:rsid w:val="008723B5"/>
    <w:rsid w:val="008724DB"/>
    <w:rsid w:val="00873673"/>
    <w:rsid w:val="00877D31"/>
    <w:rsid w:val="008803A1"/>
    <w:rsid w:val="00880A91"/>
    <w:rsid w:val="0088122A"/>
    <w:rsid w:val="0088183E"/>
    <w:rsid w:val="00881E78"/>
    <w:rsid w:val="008839CD"/>
    <w:rsid w:val="00892AC8"/>
    <w:rsid w:val="00896F5A"/>
    <w:rsid w:val="00897E5A"/>
    <w:rsid w:val="008A06AD"/>
    <w:rsid w:val="008A07AF"/>
    <w:rsid w:val="008A0931"/>
    <w:rsid w:val="008A3511"/>
    <w:rsid w:val="008A4580"/>
    <w:rsid w:val="008A4AC8"/>
    <w:rsid w:val="008A4E8B"/>
    <w:rsid w:val="008A58F9"/>
    <w:rsid w:val="008A7DB1"/>
    <w:rsid w:val="008A7EE1"/>
    <w:rsid w:val="008B014E"/>
    <w:rsid w:val="008B42C1"/>
    <w:rsid w:val="008B6E56"/>
    <w:rsid w:val="008C179A"/>
    <w:rsid w:val="008C645D"/>
    <w:rsid w:val="008D09DE"/>
    <w:rsid w:val="008D46AE"/>
    <w:rsid w:val="008D5AFD"/>
    <w:rsid w:val="008E2643"/>
    <w:rsid w:val="008E3658"/>
    <w:rsid w:val="008E37A0"/>
    <w:rsid w:val="008E59EB"/>
    <w:rsid w:val="008E5D6A"/>
    <w:rsid w:val="008F26C0"/>
    <w:rsid w:val="008F2703"/>
    <w:rsid w:val="008F6BE7"/>
    <w:rsid w:val="00901462"/>
    <w:rsid w:val="00901D6C"/>
    <w:rsid w:val="00902A76"/>
    <w:rsid w:val="00904474"/>
    <w:rsid w:val="0091137C"/>
    <w:rsid w:val="00911E49"/>
    <w:rsid w:val="0091384C"/>
    <w:rsid w:val="00914949"/>
    <w:rsid w:val="00917DBF"/>
    <w:rsid w:val="009213F3"/>
    <w:rsid w:val="0092204C"/>
    <w:rsid w:val="0092299C"/>
    <w:rsid w:val="00922DEE"/>
    <w:rsid w:val="009238AA"/>
    <w:rsid w:val="009244B8"/>
    <w:rsid w:val="00925748"/>
    <w:rsid w:val="0093119A"/>
    <w:rsid w:val="00932407"/>
    <w:rsid w:val="00933B21"/>
    <w:rsid w:val="00933EC2"/>
    <w:rsid w:val="00941048"/>
    <w:rsid w:val="00941BA4"/>
    <w:rsid w:val="009424A5"/>
    <w:rsid w:val="00950089"/>
    <w:rsid w:val="0095539D"/>
    <w:rsid w:val="00955F28"/>
    <w:rsid w:val="00957E40"/>
    <w:rsid w:val="00957E88"/>
    <w:rsid w:val="00961B39"/>
    <w:rsid w:val="00961FBE"/>
    <w:rsid w:val="009641F2"/>
    <w:rsid w:val="00964277"/>
    <w:rsid w:val="0096474D"/>
    <w:rsid w:val="009719D9"/>
    <w:rsid w:val="0097582E"/>
    <w:rsid w:val="00977D26"/>
    <w:rsid w:val="00977E26"/>
    <w:rsid w:val="009805EC"/>
    <w:rsid w:val="009805F1"/>
    <w:rsid w:val="009813AE"/>
    <w:rsid w:val="00983FA6"/>
    <w:rsid w:val="00984227"/>
    <w:rsid w:val="009853E1"/>
    <w:rsid w:val="009904EA"/>
    <w:rsid w:val="009907D7"/>
    <w:rsid w:val="00991AF5"/>
    <w:rsid w:val="00991E1C"/>
    <w:rsid w:val="009924A5"/>
    <w:rsid w:val="00992FDA"/>
    <w:rsid w:val="0099343F"/>
    <w:rsid w:val="00995094"/>
    <w:rsid w:val="0099748A"/>
    <w:rsid w:val="009A007B"/>
    <w:rsid w:val="009A0425"/>
    <w:rsid w:val="009A263C"/>
    <w:rsid w:val="009A7845"/>
    <w:rsid w:val="009B053D"/>
    <w:rsid w:val="009B3E5D"/>
    <w:rsid w:val="009B64E3"/>
    <w:rsid w:val="009B775D"/>
    <w:rsid w:val="009B7CC5"/>
    <w:rsid w:val="009C1D38"/>
    <w:rsid w:val="009C5959"/>
    <w:rsid w:val="009C5964"/>
    <w:rsid w:val="009C672E"/>
    <w:rsid w:val="009C77A3"/>
    <w:rsid w:val="009D0B90"/>
    <w:rsid w:val="009D3827"/>
    <w:rsid w:val="009D64D7"/>
    <w:rsid w:val="009D6852"/>
    <w:rsid w:val="009E0725"/>
    <w:rsid w:val="009E0D48"/>
    <w:rsid w:val="009E1F38"/>
    <w:rsid w:val="009E5D18"/>
    <w:rsid w:val="009E6B78"/>
    <w:rsid w:val="009E6D37"/>
    <w:rsid w:val="009F1EC9"/>
    <w:rsid w:val="009F33F8"/>
    <w:rsid w:val="009F4ACF"/>
    <w:rsid w:val="009F5557"/>
    <w:rsid w:val="009F635D"/>
    <w:rsid w:val="009F70D0"/>
    <w:rsid w:val="009F70D8"/>
    <w:rsid w:val="00A0072D"/>
    <w:rsid w:val="00A02BFF"/>
    <w:rsid w:val="00A02E7D"/>
    <w:rsid w:val="00A02FDD"/>
    <w:rsid w:val="00A0554C"/>
    <w:rsid w:val="00A07880"/>
    <w:rsid w:val="00A1015B"/>
    <w:rsid w:val="00A121F7"/>
    <w:rsid w:val="00A139AB"/>
    <w:rsid w:val="00A15082"/>
    <w:rsid w:val="00A1527A"/>
    <w:rsid w:val="00A16AEE"/>
    <w:rsid w:val="00A17026"/>
    <w:rsid w:val="00A369E8"/>
    <w:rsid w:val="00A36D0E"/>
    <w:rsid w:val="00A4121B"/>
    <w:rsid w:val="00A4199A"/>
    <w:rsid w:val="00A41F9C"/>
    <w:rsid w:val="00A428C4"/>
    <w:rsid w:val="00A43CFE"/>
    <w:rsid w:val="00A43DF0"/>
    <w:rsid w:val="00A43E38"/>
    <w:rsid w:val="00A4512D"/>
    <w:rsid w:val="00A47E1E"/>
    <w:rsid w:val="00A47FEA"/>
    <w:rsid w:val="00A541E1"/>
    <w:rsid w:val="00A54775"/>
    <w:rsid w:val="00A5502C"/>
    <w:rsid w:val="00A5694A"/>
    <w:rsid w:val="00A612BD"/>
    <w:rsid w:val="00A6264C"/>
    <w:rsid w:val="00A65795"/>
    <w:rsid w:val="00A6672E"/>
    <w:rsid w:val="00A67AE9"/>
    <w:rsid w:val="00A705AF"/>
    <w:rsid w:val="00A707B3"/>
    <w:rsid w:val="00A7126D"/>
    <w:rsid w:val="00A73C2F"/>
    <w:rsid w:val="00A75B58"/>
    <w:rsid w:val="00A76BE9"/>
    <w:rsid w:val="00A77349"/>
    <w:rsid w:val="00A81D72"/>
    <w:rsid w:val="00A879C1"/>
    <w:rsid w:val="00A931E2"/>
    <w:rsid w:val="00A9323A"/>
    <w:rsid w:val="00A93A18"/>
    <w:rsid w:val="00A964DB"/>
    <w:rsid w:val="00A96DED"/>
    <w:rsid w:val="00AA0055"/>
    <w:rsid w:val="00AA0975"/>
    <w:rsid w:val="00AA0A90"/>
    <w:rsid w:val="00AA3A3E"/>
    <w:rsid w:val="00AA5244"/>
    <w:rsid w:val="00AA603A"/>
    <w:rsid w:val="00AA6DC2"/>
    <w:rsid w:val="00AA7B58"/>
    <w:rsid w:val="00AB0A6E"/>
    <w:rsid w:val="00AB1AF2"/>
    <w:rsid w:val="00AB221C"/>
    <w:rsid w:val="00AB2639"/>
    <w:rsid w:val="00AB38C5"/>
    <w:rsid w:val="00AB40AB"/>
    <w:rsid w:val="00AB64E5"/>
    <w:rsid w:val="00AB6E76"/>
    <w:rsid w:val="00AB6ED9"/>
    <w:rsid w:val="00AB6F9B"/>
    <w:rsid w:val="00AC637F"/>
    <w:rsid w:val="00AD01B4"/>
    <w:rsid w:val="00AD055C"/>
    <w:rsid w:val="00AD52A0"/>
    <w:rsid w:val="00AD5717"/>
    <w:rsid w:val="00AE05BB"/>
    <w:rsid w:val="00AE0BA6"/>
    <w:rsid w:val="00AE1BA4"/>
    <w:rsid w:val="00AE3267"/>
    <w:rsid w:val="00AE38F6"/>
    <w:rsid w:val="00AE70BA"/>
    <w:rsid w:val="00AF031D"/>
    <w:rsid w:val="00AF4477"/>
    <w:rsid w:val="00AF6154"/>
    <w:rsid w:val="00B01195"/>
    <w:rsid w:val="00B02409"/>
    <w:rsid w:val="00B070B4"/>
    <w:rsid w:val="00B07615"/>
    <w:rsid w:val="00B1218D"/>
    <w:rsid w:val="00B163F6"/>
    <w:rsid w:val="00B1791D"/>
    <w:rsid w:val="00B20701"/>
    <w:rsid w:val="00B213FD"/>
    <w:rsid w:val="00B24DF4"/>
    <w:rsid w:val="00B2665E"/>
    <w:rsid w:val="00B306F2"/>
    <w:rsid w:val="00B30753"/>
    <w:rsid w:val="00B328AF"/>
    <w:rsid w:val="00B32BE0"/>
    <w:rsid w:val="00B32C79"/>
    <w:rsid w:val="00B32DD1"/>
    <w:rsid w:val="00B3478F"/>
    <w:rsid w:val="00B34DA9"/>
    <w:rsid w:val="00B37148"/>
    <w:rsid w:val="00B3720C"/>
    <w:rsid w:val="00B37974"/>
    <w:rsid w:val="00B37ABB"/>
    <w:rsid w:val="00B41409"/>
    <w:rsid w:val="00B41627"/>
    <w:rsid w:val="00B42851"/>
    <w:rsid w:val="00B456E0"/>
    <w:rsid w:val="00B459E9"/>
    <w:rsid w:val="00B47076"/>
    <w:rsid w:val="00B477D9"/>
    <w:rsid w:val="00B5113E"/>
    <w:rsid w:val="00B526DD"/>
    <w:rsid w:val="00B56B37"/>
    <w:rsid w:val="00B57408"/>
    <w:rsid w:val="00B57759"/>
    <w:rsid w:val="00B60D44"/>
    <w:rsid w:val="00B60D86"/>
    <w:rsid w:val="00B61426"/>
    <w:rsid w:val="00B674CF"/>
    <w:rsid w:val="00B67F09"/>
    <w:rsid w:val="00B702D5"/>
    <w:rsid w:val="00B731FA"/>
    <w:rsid w:val="00B732F1"/>
    <w:rsid w:val="00B86F01"/>
    <w:rsid w:val="00B904EC"/>
    <w:rsid w:val="00B90CCF"/>
    <w:rsid w:val="00B91269"/>
    <w:rsid w:val="00B91454"/>
    <w:rsid w:val="00B93CD5"/>
    <w:rsid w:val="00B9432A"/>
    <w:rsid w:val="00B95A67"/>
    <w:rsid w:val="00B96A84"/>
    <w:rsid w:val="00B97832"/>
    <w:rsid w:val="00BA0015"/>
    <w:rsid w:val="00BA2A5D"/>
    <w:rsid w:val="00BA2DE8"/>
    <w:rsid w:val="00BA4AEE"/>
    <w:rsid w:val="00BA698B"/>
    <w:rsid w:val="00BB2D0A"/>
    <w:rsid w:val="00BC0546"/>
    <w:rsid w:val="00BC07E4"/>
    <w:rsid w:val="00BC3486"/>
    <w:rsid w:val="00BC4293"/>
    <w:rsid w:val="00BC4D09"/>
    <w:rsid w:val="00BD0580"/>
    <w:rsid w:val="00BD0B57"/>
    <w:rsid w:val="00BD5F76"/>
    <w:rsid w:val="00BD649D"/>
    <w:rsid w:val="00BE0DE7"/>
    <w:rsid w:val="00BE2221"/>
    <w:rsid w:val="00BE2A40"/>
    <w:rsid w:val="00BE2E68"/>
    <w:rsid w:val="00BE6387"/>
    <w:rsid w:val="00BE6832"/>
    <w:rsid w:val="00BF236C"/>
    <w:rsid w:val="00BF2561"/>
    <w:rsid w:val="00BF2D7E"/>
    <w:rsid w:val="00BF5905"/>
    <w:rsid w:val="00BF6152"/>
    <w:rsid w:val="00C025A9"/>
    <w:rsid w:val="00C0363D"/>
    <w:rsid w:val="00C06314"/>
    <w:rsid w:val="00C10135"/>
    <w:rsid w:val="00C123DF"/>
    <w:rsid w:val="00C12706"/>
    <w:rsid w:val="00C206EE"/>
    <w:rsid w:val="00C23604"/>
    <w:rsid w:val="00C26778"/>
    <w:rsid w:val="00C268AC"/>
    <w:rsid w:val="00C26ACC"/>
    <w:rsid w:val="00C308FA"/>
    <w:rsid w:val="00C31839"/>
    <w:rsid w:val="00C31A7F"/>
    <w:rsid w:val="00C31F58"/>
    <w:rsid w:val="00C32280"/>
    <w:rsid w:val="00C33D29"/>
    <w:rsid w:val="00C35287"/>
    <w:rsid w:val="00C35DEC"/>
    <w:rsid w:val="00C35F32"/>
    <w:rsid w:val="00C37FB4"/>
    <w:rsid w:val="00C40BBA"/>
    <w:rsid w:val="00C436EE"/>
    <w:rsid w:val="00C46E19"/>
    <w:rsid w:val="00C477AC"/>
    <w:rsid w:val="00C51116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6A41"/>
    <w:rsid w:val="00C74935"/>
    <w:rsid w:val="00C7543A"/>
    <w:rsid w:val="00C76AE0"/>
    <w:rsid w:val="00C84B06"/>
    <w:rsid w:val="00C85E91"/>
    <w:rsid w:val="00C911AD"/>
    <w:rsid w:val="00CA04C6"/>
    <w:rsid w:val="00CA4EC2"/>
    <w:rsid w:val="00CA7F47"/>
    <w:rsid w:val="00CB0684"/>
    <w:rsid w:val="00CB2190"/>
    <w:rsid w:val="00CB2314"/>
    <w:rsid w:val="00CB2787"/>
    <w:rsid w:val="00CB5999"/>
    <w:rsid w:val="00CB5B1A"/>
    <w:rsid w:val="00CB6F18"/>
    <w:rsid w:val="00CB733F"/>
    <w:rsid w:val="00CC0325"/>
    <w:rsid w:val="00CC36EF"/>
    <w:rsid w:val="00CC47E9"/>
    <w:rsid w:val="00CC4B4F"/>
    <w:rsid w:val="00CC4B8E"/>
    <w:rsid w:val="00CC53EE"/>
    <w:rsid w:val="00CC6511"/>
    <w:rsid w:val="00CC697B"/>
    <w:rsid w:val="00CC7207"/>
    <w:rsid w:val="00CD1F9C"/>
    <w:rsid w:val="00CE16CC"/>
    <w:rsid w:val="00CE1712"/>
    <w:rsid w:val="00CE3387"/>
    <w:rsid w:val="00CE3A39"/>
    <w:rsid w:val="00CE53D6"/>
    <w:rsid w:val="00CE5F26"/>
    <w:rsid w:val="00CE7355"/>
    <w:rsid w:val="00CF3753"/>
    <w:rsid w:val="00CF4118"/>
    <w:rsid w:val="00CF5505"/>
    <w:rsid w:val="00CF6318"/>
    <w:rsid w:val="00CF702F"/>
    <w:rsid w:val="00D0075B"/>
    <w:rsid w:val="00D03325"/>
    <w:rsid w:val="00D05CB2"/>
    <w:rsid w:val="00D07C0D"/>
    <w:rsid w:val="00D10D90"/>
    <w:rsid w:val="00D116AD"/>
    <w:rsid w:val="00D13C42"/>
    <w:rsid w:val="00D16B25"/>
    <w:rsid w:val="00D17DB0"/>
    <w:rsid w:val="00D20AD1"/>
    <w:rsid w:val="00D24922"/>
    <w:rsid w:val="00D301EA"/>
    <w:rsid w:val="00D30A5E"/>
    <w:rsid w:val="00D31DC2"/>
    <w:rsid w:val="00D34291"/>
    <w:rsid w:val="00D41AE5"/>
    <w:rsid w:val="00D429E0"/>
    <w:rsid w:val="00D42B9A"/>
    <w:rsid w:val="00D42BD5"/>
    <w:rsid w:val="00D446AF"/>
    <w:rsid w:val="00D469E4"/>
    <w:rsid w:val="00D4728F"/>
    <w:rsid w:val="00D47C3F"/>
    <w:rsid w:val="00D50F47"/>
    <w:rsid w:val="00D5318D"/>
    <w:rsid w:val="00D5354B"/>
    <w:rsid w:val="00D5502E"/>
    <w:rsid w:val="00D556A1"/>
    <w:rsid w:val="00D563D0"/>
    <w:rsid w:val="00D56671"/>
    <w:rsid w:val="00D61044"/>
    <w:rsid w:val="00D65B65"/>
    <w:rsid w:val="00D71320"/>
    <w:rsid w:val="00D738DB"/>
    <w:rsid w:val="00D73FE2"/>
    <w:rsid w:val="00D740CC"/>
    <w:rsid w:val="00D7465B"/>
    <w:rsid w:val="00D77624"/>
    <w:rsid w:val="00D77741"/>
    <w:rsid w:val="00D81026"/>
    <w:rsid w:val="00D812BD"/>
    <w:rsid w:val="00D84622"/>
    <w:rsid w:val="00D87CBD"/>
    <w:rsid w:val="00D9306A"/>
    <w:rsid w:val="00D944BF"/>
    <w:rsid w:val="00D96327"/>
    <w:rsid w:val="00D96578"/>
    <w:rsid w:val="00DA3C7F"/>
    <w:rsid w:val="00DA779C"/>
    <w:rsid w:val="00DB07A4"/>
    <w:rsid w:val="00DB4F6B"/>
    <w:rsid w:val="00DB5454"/>
    <w:rsid w:val="00DB5911"/>
    <w:rsid w:val="00DB59C2"/>
    <w:rsid w:val="00DB68B8"/>
    <w:rsid w:val="00DB6CC8"/>
    <w:rsid w:val="00DC0477"/>
    <w:rsid w:val="00DC0D24"/>
    <w:rsid w:val="00DC3BE7"/>
    <w:rsid w:val="00DC7A9A"/>
    <w:rsid w:val="00DD047B"/>
    <w:rsid w:val="00DD4AB9"/>
    <w:rsid w:val="00DD4DA8"/>
    <w:rsid w:val="00DD5D99"/>
    <w:rsid w:val="00DD6F15"/>
    <w:rsid w:val="00DE1D09"/>
    <w:rsid w:val="00DE30B9"/>
    <w:rsid w:val="00DE3C4E"/>
    <w:rsid w:val="00DE4E94"/>
    <w:rsid w:val="00DE5D9E"/>
    <w:rsid w:val="00DE65CE"/>
    <w:rsid w:val="00DE75D8"/>
    <w:rsid w:val="00DF0B12"/>
    <w:rsid w:val="00DF222E"/>
    <w:rsid w:val="00DF3751"/>
    <w:rsid w:val="00DF4676"/>
    <w:rsid w:val="00DF515C"/>
    <w:rsid w:val="00DF5695"/>
    <w:rsid w:val="00DF76A6"/>
    <w:rsid w:val="00E015E6"/>
    <w:rsid w:val="00E03C50"/>
    <w:rsid w:val="00E05B44"/>
    <w:rsid w:val="00E066B4"/>
    <w:rsid w:val="00E13C5C"/>
    <w:rsid w:val="00E209BF"/>
    <w:rsid w:val="00E236C6"/>
    <w:rsid w:val="00E2556E"/>
    <w:rsid w:val="00E3115C"/>
    <w:rsid w:val="00E32F5F"/>
    <w:rsid w:val="00E33CC8"/>
    <w:rsid w:val="00E34876"/>
    <w:rsid w:val="00E34F33"/>
    <w:rsid w:val="00E35CBB"/>
    <w:rsid w:val="00E35DC5"/>
    <w:rsid w:val="00E40F95"/>
    <w:rsid w:val="00E41CF8"/>
    <w:rsid w:val="00E4269D"/>
    <w:rsid w:val="00E4312B"/>
    <w:rsid w:val="00E52634"/>
    <w:rsid w:val="00E54B39"/>
    <w:rsid w:val="00E55BB0"/>
    <w:rsid w:val="00E57576"/>
    <w:rsid w:val="00E604B3"/>
    <w:rsid w:val="00E60650"/>
    <w:rsid w:val="00E60EE1"/>
    <w:rsid w:val="00E6109E"/>
    <w:rsid w:val="00E65B18"/>
    <w:rsid w:val="00E65BE3"/>
    <w:rsid w:val="00E67450"/>
    <w:rsid w:val="00E708F6"/>
    <w:rsid w:val="00E70E55"/>
    <w:rsid w:val="00E716B4"/>
    <w:rsid w:val="00E7210E"/>
    <w:rsid w:val="00E732E5"/>
    <w:rsid w:val="00E83826"/>
    <w:rsid w:val="00E86B67"/>
    <w:rsid w:val="00E87D8C"/>
    <w:rsid w:val="00E90D88"/>
    <w:rsid w:val="00E9314D"/>
    <w:rsid w:val="00E95DFC"/>
    <w:rsid w:val="00E97278"/>
    <w:rsid w:val="00E97318"/>
    <w:rsid w:val="00EA0B96"/>
    <w:rsid w:val="00EA33D5"/>
    <w:rsid w:val="00EA5E02"/>
    <w:rsid w:val="00EA5FD0"/>
    <w:rsid w:val="00EA63B1"/>
    <w:rsid w:val="00EB0020"/>
    <w:rsid w:val="00EB068A"/>
    <w:rsid w:val="00EB31E5"/>
    <w:rsid w:val="00EB6211"/>
    <w:rsid w:val="00EB6625"/>
    <w:rsid w:val="00EC3961"/>
    <w:rsid w:val="00EC7D3F"/>
    <w:rsid w:val="00ED0468"/>
    <w:rsid w:val="00ED0DD3"/>
    <w:rsid w:val="00ED429F"/>
    <w:rsid w:val="00ED648B"/>
    <w:rsid w:val="00EE16DD"/>
    <w:rsid w:val="00EE2AE5"/>
    <w:rsid w:val="00EE31B0"/>
    <w:rsid w:val="00EE356F"/>
    <w:rsid w:val="00EE397E"/>
    <w:rsid w:val="00EE65B1"/>
    <w:rsid w:val="00EF1C55"/>
    <w:rsid w:val="00EF1C95"/>
    <w:rsid w:val="00EF23C0"/>
    <w:rsid w:val="00EF2774"/>
    <w:rsid w:val="00EF3163"/>
    <w:rsid w:val="00EF4059"/>
    <w:rsid w:val="00EF5586"/>
    <w:rsid w:val="00F00403"/>
    <w:rsid w:val="00F01586"/>
    <w:rsid w:val="00F043FE"/>
    <w:rsid w:val="00F05832"/>
    <w:rsid w:val="00F067A6"/>
    <w:rsid w:val="00F078B7"/>
    <w:rsid w:val="00F07B77"/>
    <w:rsid w:val="00F100D6"/>
    <w:rsid w:val="00F125DB"/>
    <w:rsid w:val="00F1278D"/>
    <w:rsid w:val="00F14BFD"/>
    <w:rsid w:val="00F17143"/>
    <w:rsid w:val="00F17566"/>
    <w:rsid w:val="00F1756B"/>
    <w:rsid w:val="00F20F84"/>
    <w:rsid w:val="00F238F2"/>
    <w:rsid w:val="00F24827"/>
    <w:rsid w:val="00F276DB"/>
    <w:rsid w:val="00F3210F"/>
    <w:rsid w:val="00F332B3"/>
    <w:rsid w:val="00F337D1"/>
    <w:rsid w:val="00F34D63"/>
    <w:rsid w:val="00F35DCA"/>
    <w:rsid w:val="00F35F7A"/>
    <w:rsid w:val="00F41C35"/>
    <w:rsid w:val="00F428EB"/>
    <w:rsid w:val="00F4438C"/>
    <w:rsid w:val="00F46ED7"/>
    <w:rsid w:val="00F47BF1"/>
    <w:rsid w:val="00F53F2D"/>
    <w:rsid w:val="00F549D7"/>
    <w:rsid w:val="00F54AE8"/>
    <w:rsid w:val="00F556DB"/>
    <w:rsid w:val="00F55E86"/>
    <w:rsid w:val="00F560D5"/>
    <w:rsid w:val="00F56325"/>
    <w:rsid w:val="00F62AA5"/>
    <w:rsid w:val="00F65943"/>
    <w:rsid w:val="00F70CAB"/>
    <w:rsid w:val="00F73D95"/>
    <w:rsid w:val="00F77044"/>
    <w:rsid w:val="00F8015E"/>
    <w:rsid w:val="00F8292B"/>
    <w:rsid w:val="00F83598"/>
    <w:rsid w:val="00F85766"/>
    <w:rsid w:val="00F866FA"/>
    <w:rsid w:val="00F91869"/>
    <w:rsid w:val="00F91CCA"/>
    <w:rsid w:val="00F931D3"/>
    <w:rsid w:val="00F95769"/>
    <w:rsid w:val="00F96BA0"/>
    <w:rsid w:val="00F97779"/>
    <w:rsid w:val="00FA289A"/>
    <w:rsid w:val="00FA3C5E"/>
    <w:rsid w:val="00FA4197"/>
    <w:rsid w:val="00FB375B"/>
    <w:rsid w:val="00FB6425"/>
    <w:rsid w:val="00FB68DA"/>
    <w:rsid w:val="00FB7036"/>
    <w:rsid w:val="00FB722E"/>
    <w:rsid w:val="00FC33C5"/>
    <w:rsid w:val="00FC56B4"/>
    <w:rsid w:val="00FC6964"/>
    <w:rsid w:val="00FC7F5D"/>
    <w:rsid w:val="00FD1BC7"/>
    <w:rsid w:val="00FD1D84"/>
    <w:rsid w:val="00FD1F7D"/>
    <w:rsid w:val="00FD4E9C"/>
    <w:rsid w:val="00FD50A4"/>
    <w:rsid w:val="00FD744A"/>
    <w:rsid w:val="00FE16EC"/>
    <w:rsid w:val="00FE4538"/>
    <w:rsid w:val="00FE58D5"/>
    <w:rsid w:val="00FE5CA3"/>
    <w:rsid w:val="00FF08C3"/>
    <w:rsid w:val="00FF596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396490"/>
  <w15:docId w15:val="{DDFAC2BE-41BB-4E38-BE7D-44B941F7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37148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"/>
    <w:basedOn w:val="Normal"/>
    <w:link w:val="ListParagraphChar"/>
    <w:uiPriority w:val="99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"/>
    <w:basedOn w:val="DefaultParagraphFont"/>
    <w:link w:val="ListParagraph"/>
    <w:uiPriority w:val="34"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styleId="CommentReference">
    <w:name w:val="annotation reference"/>
    <w:basedOn w:val="DefaultParagraphFont"/>
    <w:semiHidden/>
    <w:unhideWhenUsed/>
    <w:locked/>
    <w:rsid w:val="00BE2E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BE2E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E68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BE2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BE2E68"/>
    <w:rPr>
      <w:b/>
      <w:bCs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A6264C"/>
    <w:pPr>
      <w:framePr w:hSpace="180" w:wrap="around" w:vAnchor="text" w:hAnchor="margin" w:y="-61"/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A6264C"/>
    <w:rPr>
      <w:rFonts w:cs="Arial"/>
      <w:noProof/>
      <w:sz w:val="22"/>
      <w:szCs w:val="22"/>
      <w:lang w:eastAsia="en-AU"/>
    </w:rPr>
  </w:style>
  <w:style w:type="paragraph" w:customStyle="1" w:styleId="EndNoteBibliography">
    <w:name w:val="EndNote Bibliography"/>
    <w:basedOn w:val="Normal"/>
    <w:link w:val="EndNoteBibliographyChar"/>
    <w:rsid w:val="00A6264C"/>
    <w:pPr>
      <w:framePr w:hSpace="180" w:wrap="around" w:vAnchor="text" w:hAnchor="margin" w:y="-61"/>
    </w:pPr>
    <w:rPr>
      <w:rFonts w:cs="Arial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A6264C"/>
    <w:rPr>
      <w:rFonts w:cs="Arial"/>
      <w:noProof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ga.gov.au/resources/section-19a-approvals/oxytocin-10-iu1-ml-solution-injection-ampoule-panpharma-germany" TargetMode="External"/><Relationship Id="rId18" Type="http://schemas.openxmlformats.org/officeDocument/2006/relationships/hyperlink" Target="https://www.tga.gov.au/resources/section-19a-approvals/oxytocin-10-iu1-ml-solution-injection-ampoule-panpharma-germany" TargetMode="External"/><Relationship Id="rId26" Type="http://schemas.openxmlformats.org/officeDocument/2006/relationships/hyperlink" Target="https://www.tga.gov.au/resources/section-19a-approvals/oxytocin-10-units-1ml-concentrate-solution-infusion-ampoules-wockhardt-uk" TargetMode="External"/><Relationship Id="rId39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catag.org.au/resource/rethinking-medicines-decision-making-in-australian-hospitals/" TargetMode="External"/><Relationship Id="rId34" Type="http://schemas.openxmlformats.org/officeDocument/2006/relationships/hyperlink" Target="https://www.tga.gov.au/resources/search-section-19a-approvals-database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tga.gov.au/resources/search-section-19a-approvals-database?keywords=oxytocin" TargetMode="External"/><Relationship Id="rId17" Type="http://schemas.openxmlformats.org/officeDocument/2006/relationships/hyperlink" Target="https://apps.tga.gov.au/shortages/search/Details/oxytocin" TargetMode="External"/><Relationship Id="rId25" Type="http://schemas.openxmlformats.org/officeDocument/2006/relationships/hyperlink" Target="https://www.tga.gov.au/resources/section-19a-approvals/oxytocin-10-iu1-ml-solution-injection-ampoule-panpharma-germany" TargetMode="External"/><Relationship Id="rId33" Type="http://schemas.openxmlformats.org/officeDocument/2006/relationships/hyperlink" Target="https://apps.tga.gov.au/Prod/msi/Search/Details/oxytocin" TargetMode="External"/><Relationship Id="rId38" Type="http://schemas.openxmlformats.org/officeDocument/2006/relationships/hyperlink" Target="http://www.safetyandquality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idh.hcn.com.au/browse/o/oxytocin" TargetMode="External"/><Relationship Id="rId20" Type="http://schemas.openxmlformats.org/officeDocument/2006/relationships/hyperlink" Target="https://www.tga.gov.au/sites/default/files/2025-05/RANZCOG%20statement%20about%20the%20IM%20use%20of%20Oxytocin%2010%20units%20in%201mL%20concentrate%20for%20solution%20for%20infusion%20ampoules%20%28Wockhardt%2C%20UK%29.pdf" TargetMode="External"/><Relationship Id="rId29" Type="http://schemas.openxmlformats.org/officeDocument/2006/relationships/hyperlink" Target="https://ranzcog.edu.au/wp-content/uploads/Management-Postpartum-Haemorrhage.pdf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tga.gov.au/shortages/search/Details/oxytocin" TargetMode="External"/><Relationship Id="rId24" Type="http://schemas.openxmlformats.org/officeDocument/2006/relationships/hyperlink" Target="https://www.pbs.gov.au/info/browse/section-19A" TargetMode="External"/><Relationship Id="rId32" Type="http://schemas.openxmlformats.org/officeDocument/2006/relationships/hyperlink" Target="https://catag.org.au/resource/rethinking-medicines-decision-making-in-australian-hospitals/" TargetMode="External"/><Relationship Id="rId37" Type="http://schemas.openxmlformats.org/officeDocument/2006/relationships/hyperlink" Target="mailto:medsafety@safetyandquality.gov.au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tga.gov.au/sites/default/files/2025-05/RANZCOG%20statement%20about%20the%20IM%20use%20of%20Oxytocin%2010%20units%20in%201mL%20concentrate%20for%20solution%20for%20infusion%20ampoules%20%28Wockhardt%2C%20UK%29.pdf" TargetMode="External"/><Relationship Id="rId23" Type="http://schemas.openxmlformats.org/officeDocument/2006/relationships/hyperlink" Target="https://apps.tga.gov.au/shortages/search/Details/oxytocin" TargetMode="External"/><Relationship Id="rId28" Type="http://schemas.openxmlformats.org/officeDocument/2006/relationships/hyperlink" Target="https://www.nice.org.uk/guidance/ng235/chapter/Recommendations" TargetMode="External"/><Relationship Id="rId36" Type="http://schemas.openxmlformats.org/officeDocument/2006/relationships/hyperlink" Target="https://apps.tga.gov.au/prod/MSI/search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ga.gov.au/resources/section-19a-approvals/oxytocin-10-units-1ml-concentrate-solution-infusion-ampoules-wockhardt-uk" TargetMode="External"/><Relationship Id="rId31" Type="http://schemas.openxmlformats.org/officeDocument/2006/relationships/hyperlink" Target="https://www.tga.gov.au/sites/default/files/2025-05/RANZCOG%20statement%20about%20the%20IM%20use%20of%20Oxytocin%2010%20units%20in%201mL%20concentrate%20for%20solution%20for%20infusion%20ampoules%20%28Wockhardt%2C%20UK%29.pdf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ga.gov.au/resources/section-19a-approvals/oxytocin-10-units-1ml-concentrate-solution-infusion-ampoules-wockhardt-uk" TargetMode="External"/><Relationship Id="rId22" Type="http://schemas.openxmlformats.org/officeDocument/2006/relationships/hyperlink" Target="https://aidh.hcn.com.au/browse/o/oxytocin" TargetMode="External"/><Relationship Id="rId27" Type="http://schemas.openxmlformats.org/officeDocument/2006/relationships/hyperlink" Target="https://aidh.hcn.com.au/browse/o/oxytocin" TargetMode="External"/><Relationship Id="rId30" Type="http://schemas.openxmlformats.org/officeDocument/2006/relationships/hyperlink" Target="https://ranzcog.edu.au/wp-content/uploads/Care-Labour-Absence-Pregnancy-Complications.pdf" TargetMode="External"/><Relationship Id="rId35" Type="http://schemas.openxmlformats.org/officeDocument/2006/relationships/hyperlink" Target="https://apps.tga.gov.au/Prod/msi/Search/Details/oxytocin" TargetMode="External"/><Relationship Id="rId43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3B897-E861-4405-A971-35A477652985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3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13571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Kylie</dc:creator>
  <cp:keywords/>
  <dc:description/>
  <cp:lastModifiedBy>TRAN, Kylie</cp:lastModifiedBy>
  <cp:revision>288</cp:revision>
  <cp:lastPrinted>2020-03-04T03:32:00Z</cp:lastPrinted>
  <dcterms:created xsi:type="dcterms:W3CDTF">2025-04-08T04:10:00Z</dcterms:created>
  <dcterms:modified xsi:type="dcterms:W3CDTF">2025-06-20T00:59:00Z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