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C1AC9" w14:textId="42FA9789" w:rsidR="003E1C95" w:rsidRPr="00204C47" w:rsidRDefault="00780D46" w:rsidP="003E1C95">
      <w:pPr>
        <w:pStyle w:val="FactSheetType"/>
      </w:pPr>
      <w:r>
        <w:rPr>
          <w:b/>
          <w:bCs w:val="0"/>
        </w:rPr>
        <w:t>FAQs</w:t>
      </w:r>
      <w:r w:rsidR="002E003F" w:rsidRPr="0056304B">
        <w:br/>
      </w:r>
      <w:r w:rsidR="00842146">
        <w:t xml:space="preserve">for </w:t>
      </w:r>
      <w:r w:rsidR="009F450D">
        <w:t>Consumers</w:t>
      </w:r>
    </w:p>
    <w:p w14:paraId="7E5FC941" w14:textId="7247034A" w:rsidR="005263A6" w:rsidRPr="00E9757D" w:rsidRDefault="00E83ADE" w:rsidP="00E9757D">
      <w:pPr>
        <w:pStyle w:val="Title"/>
      </w:pPr>
      <w:r>
        <w:rPr>
          <w:noProof/>
        </w:rPr>
        <w:drawing>
          <wp:anchor distT="0" distB="0" distL="114300" distR="114300" simplePos="0" relativeHeight="251659776" behindDoc="1" locked="0" layoutInCell="1" allowOverlap="1" wp14:anchorId="69F6869A" wp14:editId="5B7233DE">
            <wp:simplePos x="0" y="0"/>
            <wp:positionH relativeFrom="column">
              <wp:posOffset>4137101</wp:posOffset>
            </wp:positionH>
            <wp:positionV relativeFrom="paragraph">
              <wp:posOffset>71374</wp:posOffset>
            </wp:positionV>
            <wp:extent cx="2049780" cy="1411605"/>
            <wp:effectExtent l="0" t="0" r="7620" b="0"/>
            <wp:wrapTight wrapText="bothSides">
              <wp:wrapPolygon edited="0">
                <wp:start x="0" y="0"/>
                <wp:lineTo x="0" y="21279"/>
                <wp:lineTo x="21480" y="21279"/>
                <wp:lineTo x="21480" y="0"/>
                <wp:lineTo x="0" y="0"/>
              </wp:wrapPolygon>
            </wp:wrapTight>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9780" cy="1411605"/>
                    </a:xfrm>
                    <a:prstGeom prst="rect">
                      <a:avLst/>
                    </a:prstGeom>
                  </pic:spPr>
                </pic:pic>
              </a:graphicData>
            </a:graphic>
            <wp14:sizeRelH relativeFrom="page">
              <wp14:pctWidth>0</wp14:pctWidth>
            </wp14:sizeRelH>
            <wp14:sizeRelV relativeFrom="page">
              <wp14:pctHeight>0</wp14:pctHeight>
            </wp14:sizeRelV>
          </wp:anchor>
        </w:drawing>
      </w:r>
      <w:r w:rsidR="0012579A">
        <w:t>Safety in Health Care</w:t>
      </w:r>
      <w:r w:rsidR="00DE7D58">
        <w:t xml:space="preserve"> web tool</w:t>
      </w:r>
    </w:p>
    <w:p w14:paraId="307ABF06" w14:textId="580719C2" w:rsidR="00A72916" w:rsidRDefault="005263A6" w:rsidP="0070353E">
      <w:pPr>
        <w:rPr>
          <w:b/>
          <w:bCs/>
        </w:rPr>
      </w:pPr>
      <w:r>
        <w:rPr>
          <w:b/>
          <w:bCs/>
        </w:rPr>
        <w:t xml:space="preserve">A new </w:t>
      </w:r>
      <w:r w:rsidRPr="009B7FC0">
        <w:rPr>
          <w:b/>
          <w:bCs/>
          <w:i/>
          <w:iCs/>
        </w:rPr>
        <w:t>Safety in Health Care</w:t>
      </w:r>
      <w:r>
        <w:rPr>
          <w:b/>
          <w:bCs/>
        </w:rPr>
        <w:t xml:space="preserve"> web tool </w:t>
      </w:r>
      <w:r w:rsidR="00E951BD">
        <w:rPr>
          <w:b/>
          <w:bCs/>
        </w:rPr>
        <w:t>was</w:t>
      </w:r>
      <w:r>
        <w:rPr>
          <w:b/>
          <w:bCs/>
        </w:rPr>
        <w:t xml:space="preserve"> released on 31 July 2024, providing </w:t>
      </w:r>
      <w:r w:rsidR="005F6A67">
        <w:rPr>
          <w:b/>
          <w:bCs/>
        </w:rPr>
        <w:t>everyone with</w:t>
      </w:r>
      <w:r>
        <w:rPr>
          <w:b/>
          <w:bCs/>
        </w:rPr>
        <w:t xml:space="preserve"> access to a single national public reporting system.</w:t>
      </w:r>
    </w:p>
    <w:p w14:paraId="2833309E" w14:textId="77777777" w:rsidR="003060F2" w:rsidRDefault="003060F2" w:rsidP="0070353E">
      <w:pPr>
        <w:rPr>
          <w:b/>
          <w:bCs/>
        </w:rPr>
      </w:pPr>
    </w:p>
    <w:p w14:paraId="5F810B7B" w14:textId="0DAF4077" w:rsidR="003060F2" w:rsidRPr="003060F2" w:rsidRDefault="003060F2" w:rsidP="0070353E">
      <w:pPr>
        <w:rPr>
          <w:b/>
          <w:bCs/>
          <w:iCs/>
        </w:rPr>
      </w:pPr>
      <w:r w:rsidRPr="00E22F60">
        <w:rPr>
          <w:b/>
          <w:bCs/>
          <w:iCs/>
        </w:rPr>
        <w:t xml:space="preserve">Access the tool: </w:t>
      </w:r>
      <w:hyperlink r:id="rId12" w:history="1">
        <w:r w:rsidR="0057436F" w:rsidRPr="00F625C1">
          <w:rPr>
            <w:rStyle w:val="Hyperlink"/>
            <w:b/>
            <w:bCs/>
            <w:iCs/>
          </w:rPr>
          <w:t>www.safetyinhealth.gov.au</w:t>
        </w:r>
      </w:hyperlink>
      <w:r w:rsidR="0057436F">
        <w:rPr>
          <w:b/>
          <w:bCs/>
          <w:iCs/>
        </w:rPr>
        <w:t xml:space="preserve"> </w:t>
      </w:r>
    </w:p>
    <w:p w14:paraId="73553DF4" w14:textId="5F9FE1B2" w:rsidR="00DF4412" w:rsidRPr="000E5D3B" w:rsidRDefault="002C6940" w:rsidP="00DF4412">
      <w:pPr>
        <w:pStyle w:val="Heading2"/>
        <w:rPr>
          <w:bCs/>
          <w:szCs w:val="32"/>
          <w:lang w:val="en-GB"/>
        </w:rPr>
      </w:pPr>
      <w:r w:rsidRPr="002C6940">
        <w:rPr>
          <w:bCs/>
          <w:szCs w:val="32"/>
          <w:lang w:val="en-GB"/>
        </w:rPr>
        <w:t>Why is the web tool important?</w:t>
      </w:r>
    </w:p>
    <w:p w14:paraId="34AF8317" w14:textId="7F94EE70" w:rsidR="00AF7927" w:rsidRPr="00AF7927" w:rsidRDefault="00AF7927" w:rsidP="00A33112">
      <w:r w:rsidRPr="00AF7927">
        <w:t xml:space="preserve">The </w:t>
      </w:r>
      <w:r w:rsidR="003F3B06">
        <w:t xml:space="preserve">web </w:t>
      </w:r>
      <w:r w:rsidRPr="00AF7927">
        <w:t xml:space="preserve">tool will increase transparency of the health system, stimulate safety and quality improvement, and hold </w:t>
      </w:r>
      <w:r w:rsidR="00B70D30">
        <w:t xml:space="preserve">health service </w:t>
      </w:r>
      <w:r w:rsidRPr="00AF7927">
        <w:t>providers accountable to the public for the care they deliver, encouraging a robust safety culture and strong clinical governance.</w:t>
      </w:r>
    </w:p>
    <w:p w14:paraId="4C44CB24" w14:textId="237419D2" w:rsidR="00AF7927" w:rsidRPr="00AF7927" w:rsidRDefault="00AF7927" w:rsidP="00A33112">
      <w:r w:rsidRPr="00AF7927">
        <w:t>The tool is designed to monitor the fundamentals of safety and quality by reporting on a selection of key indicators which, when viewed together, provide a high-level picture of the care provided by a hospital.</w:t>
      </w:r>
    </w:p>
    <w:p w14:paraId="6C4F4943" w14:textId="3D42A4B8" w:rsidR="00604702" w:rsidRDefault="00AF7927" w:rsidP="00A33112">
      <w:pPr>
        <w:rPr>
          <w:iCs/>
        </w:rPr>
      </w:pPr>
      <w:r w:rsidRPr="00AF7927">
        <w:t xml:space="preserve">Currently, information reported to the public on quality healthcare and patient safety in Australia is limited and inconsistent. Reporting standards and measures differ across states and territories and the private and public sectors, </w:t>
      </w:r>
      <w:r w:rsidR="0080270B">
        <w:t>making it</w:t>
      </w:r>
      <w:r w:rsidRPr="00AF7927">
        <w:t xml:space="preserve"> difficult for the public to access and understand this information.</w:t>
      </w:r>
    </w:p>
    <w:p w14:paraId="580E71ED" w14:textId="40B5FC7D" w:rsidR="00FE03AB" w:rsidRPr="00AF7927" w:rsidRDefault="00FB6DAF" w:rsidP="00A33112">
      <w:pPr>
        <w:pStyle w:val="Heading3"/>
      </w:pPr>
      <w:r w:rsidRPr="00FB6DAF">
        <w:t xml:space="preserve">What safety and quality information </w:t>
      </w:r>
      <w:proofErr w:type="gramStart"/>
      <w:r w:rsidR="00E951BD">
        <w:t>is</w:t>
      </w:r>
      <w:proofErr w:type="gramEnd"/>
      <w:r w:rsidR="00E951BD" w:rsidRPr="00FB6DAF">
        <w:t xml:space="preserve"> </w:t>
      </w:r>
      <w:r w:rsidRPr="00FB6DAF">
        <w:t>currently on the web tool?</w:t>
      </w:r>
    </w:p>
    <w:p w14:paraId="5DD487C7" w14:textId="5A58A4C6" w:rsidR="005D0443" w:rsidRPr="005D0443" w:rsidRDefault="005D0443" w:rsidP="00A33112">
      <w:bookmarkStart w:id="0" w:name="_Hlk142487966"/>
      <w:r w:rsidRPr="005D0443">
        <w:t xml:space="preserve">The tool will initially </w:t>
      </w:r>
      <w:r w:rsidR="00604702">
        <w:t>go</w:t>
      </w:r>
      <w:r w:rsidRPr="005D0443">
        <w:t xml:space="preserve"> live with three safety and quality indicators:</w:t>
      </w:r>
    </w:p>
    <w:p w14:paraId="3D69B675" w14:textId="276E9ED8" w:rsidR="005D0443" w:rsidRPr="00B264E7" w:rsidRDefault="005D0443" w:rsidP="00E22F60">
      <w:pPr>
        <w:numPr>
          <w:ilvl w:val="0"/>
          <w:numId w:val="13"/>
        </w:numPr>
      </w:pPr>
      <w:r w:rsidRPr="00B264E7">
        <w:t>Assessment to the National Safety and Quality Health Service</w:t>
      </w:r>
      <w:r w:rsidR="00BC4CA8" w:rsidRPr="00B264E7">
        <w:t xml:space="preserve"> (NSQHS)</w:t>
      </w:r>
      <w:r w:rsidRPr="00B264E7">
        <w:t xml:space="preserve"> Standards</w:t>
      </w:r>
    </w:p>
    <w:p w14:paraId="1B898631" w14:textId="5ED114E5" w:rsidR="005D0443" w:rsidRPr="00B264E7" w:rsidRDefault="005D0443" w:rsidP="00E22F60">
      <w:pPr>
        <w:numPr>
          <w:ilvl w:val="0"/>
          <w:numId w:val="13"/>
        </w:numPr>
      </w:pPr>
      <w:r w:rsidRPr="00B264E7">
        <w:t>Hand hygiene compliance</w:t>
      </w:r>
    </w:p>
    <w:p w14:paraId="05EDB78F" w14:textId="70F4C101" w:rsidR="005D0443" w:rsidRPr="00B264E7" w:rsidRDefault="005D0443" w:rsidP="00E22F60">
      <w:pPr>
        <w:numPr>
          <w:ilvl w:val="0"/>
          <w:numId w:val="13"/>
        </w:numPr>
      </w:pPr>
      <w:r w:rsidRPr="00B264E7">
        <w:t xml:space="preserve">Rates of golden staph bloodstream infection (also known as </w:t>
      </w:r>
      <w:r w:rsidRPr="0057436F">
        <w:rPr>
          <w:i/>
          <w:iCs/>
        </w:rPr>
        <w:t>Staphylococcus aureus</w:t>
      </w:r>
      <w:r w:rsidRPr="00B264E7">
        <w:t xml:space="preserve"> bloodstream infection or SABSI)</w:t>
      </w:r>
      <w:r w:rsidR="003B27F4" w:rsidRPr="00B264E7">
        <w:t>.</w:t>
      </w:r>
    </w:p>
    <w:p w14:paraId="209F34B6" w14:textId="51661F66" w:rsidR="00604702" w:rsidRDefault="005D0443" w:rsidP="003F3B06">
      <w:r w:rsidRPr="003F3B06">
        <w:t xml:space="preserve">These three indicators are sourced from already publicly available national databases. The tool also </w:t>
      </w:r>
      <w:r w:rsidR="00E951BD">
        <w:t xml:space="preserve">features </w:t>
      </w:r>
      <w:r w:rsidRPr="003F3B06">
        <w:t xml:space="preserve">information </w:t>
      </w:r>
      <w:r w:rsidR="00E951BD">
        <w:t xml:space="preserve">on </w:t>
      </w:r>
      <w:r w:rsidRPr="003F3B06">
        <w:t>how public reporting works, how Australia monitors safety and quality in health care, and links to further information and support materials for consumers.</w:t>
      </w:r>
    </w:p>
    <w:p w14:paraId="35E9ED23" w14:textId="4F6BDDB1" w:rsidR="005D0443" w:rsidRPr="003F3B06" w:rsidRDefault="005D0443" w:rsidP="003F3B06">
      <w:r w:rsidRPr="003F3B06">
        <w:t xml:space="preserve">Over time, the Commission will add further indicators. This </w:t>
      </w:r>
      <w:r w:rsidR="00E951BD">
        <w:t xml:space="preserve">expansion </w:t>
      </w:r>
      <w:r w:rsidRPr="003F3B06">
        <w:t xml:space="preserve">will occur in phases, after </w:t>
      </w:r>
      <w:r w:rsidR="00A44F99">
        <w:t xml:space="preserve">the indicators are </w:t>
      </w:r>
      <w:r w:rsidRPr="003F3B06">
        <w:t>specifi</w:t>
      </w:r>
      <w:r w:rsidR="00A44F99">
        <w:t xml:space="preserve">ed </w:t>
      </w:r>
      <w:r w:rsidRPr="003F3B06">
        <w:t>and refine</w:t>
      </w:r>
      <w:r w:rsidR="00A44F99">
        <w:t>d</w:t>
      </w:r>
      <w:r w:rsidRPr="003F3B06">
        <w:t xml:space="preserve"> and as data becomes available. </w:t>
      </w:r>
    </w:p>
    <w:bookmarkEnd w:id="0"/>
    <w:p w14:paraId="42B8FA18" w14:textId="06F69A4B" w:rsidR="00604702" w:rsidRPr="00AF7927" w:rsidRDefault="00604702" w:rsidP="00604702">
      <w:pPr>
        <w:pStyle w:val="Heading3"/>
      </w:pPr>
      <w:r>
        <w:t>How often is the dat</w:t>
      </w:r>
      <w:r w:rsidR="00B617B4">
        <w:t>a</w:t>
      </w:r>
      <w:r>
        <w:t xml:space="preserve"> updated?</w:t>
      </w:r>
    </w:p>
    <w:p w14:paraId="4783EC43" w14:textId="408840B0" w:rsidR="00604702" w:rsidRDefault="00E951BD" w:rsidP="00604702">
      <w:r>
        <w:t>New i</w:t>
      </w:r>
      <w:r w:rsidR="00604702">
        <w:t>nformation will be added to the website as it becomes available.</w:t>
      </w:r>
    </w:p>
    <w:p w14:paraId="2B0B92FE" w14:textId="0D39FF21" w:rsidR="00604702" w:rsidRPr="00B264E7" w:rsidRDefault="00604702" w:rsidP="00E22F60">
      <w:pPr>
        <w:numPr>
          <w:ilvl w:val="0"/>
          <w:numId w:val="12"/>
        </w:numPr>
      </w:pPr>
      <w:r w:rsidRPr="00B264E7">
        <w:t xml:space="preserve">NSQHS Standards assessment outcomes will be updated monthly to include results for hospitals that have completed an assessment in the </w:t>
      </w:r>
      <w:r w:rsidR="00E951BD">
        <w:t xml:space="preserve">previous </w:t>
      </w:r>
      <w:proofErr w:type="gramStart"/>
      <w:r w:rsidRPr="00B264E7">
        <w:t>month</w:t>
      </w:r>
      <w:proofErr w:type="gramEnd"/>
    </w:p>
    <w:p w14:paraId="7612ED24" w14:textId="04FD5F79" w:rsidR="00604702" w:rsidRPr="00B264E7" w:rsidRDefault="00604702" w:rsidP="00E22F60">
      <w:pPr>
        <w:numPr>
          <w:ilvl w:val="0"/>
          <w:numId w:val="12"/>
        </w:numPr>
      </w:pPr>
      <w:r w:rsidRPr="00B264E7">
        <w:lastRenderedPageBreak/>
        <w:t xml:space="preserve">Hand hygiene compliance data will be added three times a year, following the audit </w:t>
      </w:r>
      <w:proofErr w:type="gramStart"/>
      <w:r w:rsidRPr="00B264E7">
        <w:t>periods</w:t>
      </w:r>
      <w:proofErr w:type="gramEnd"/>
    </w:p>
    <w:p w14:paraId="659236BA" w14:textId="07444734" w:rsidR="00604702" w:rsidRPr="00B264E7" w:rsidRDefault="00604702" w:rsidP="00E22F60">
      <w:pPr>
        <w:numPr>
          <w:ilvl w:val="0"/>
          <w:numId w:val="12"/>
        </w:numPr>
      </w:pPr>
      <w:r w:rsidRPr="00B264E7">
        <w:t xml:space="preserve">Data for golden staph bloodstream infection (SABSI) rates will be added </w:t>
      </w:r>
      <w:proofErr w:type="gramStart"/>
      <w:r w:rsidRPr="00B264E7">
        <w:t>annually</w:t>
      </w:r>
      <w:proofErr w:type="gramEnd"/>
    </w:p>
    <w:p w14:paraId="0ADFFBCB" w14:textId="17F1BF78" w:rsidR="00E83ADE" w:rsidRDefault="00E83ADE" w:rsidP="00E83ADE">
      <w:pPr>
        <w:pStyle w:val="Heading3"/>
      </w:pPr>
      <w:r>
        <w:t>Why is there data missing for a hospital?</w:t>
      </w:r>
    </w:p>
    <w:p w14:paraId="7798968B" w14:textId="6599FE40" w:rsidR="00E83ADE" w:rsidRDefault="00E83ADE" w:rsidP="00E83ADE">
      <w:r>
        <w:t>There may be several reasons why data is missing for a</w:t>
      </w:r>
      <w:r w:rsidR="00E951BD">
        <w:t>n individual</w:t>
      </w:r>
      <w:r>
        <w:t xml:space="preserve"> hospital, including:</w:t>
      </w:r>
    </w:p>
    <w:p w14:paraId="33D440B7" w14:textId="6F5B4164" w:rsidR="00E83ADE" w:rsidRPr="00B264E7" w:rsidRDefault="00E83ADE" w:rsidP="00E22F60">
      <w:pPr>
        <w:numPr>
          <w:ilvl w:val="0"/>
          <w:numId w:val="14"/>
        </w:numPr>
      </w:pPr>
      <w:r w:rsidRPr="00B264E7">
        <w:t>No data is available or published for the hospital</w:t>
      </w:r>
    </w:p>
    <w:p w14:paraId="70C38DCF" w14:textId="1AE8877A" w:rsidR="00E83ADE" w:rsidRPr="00B264E7" w:rsidRDefault="00E83ADE" w:rsidP="00E22F60">
      <w:pPr>
        <w:numPr>
          <w:ilvl w:val="0"/>
          <w:numId w:val="14"/>
        </w:numPr>
      </w:pPr>
      <w:r w:rsidRPr="00B264E7">
        <w:t>Data is not displayed where the calculation is considered to not be statistically reliable, and reporting the data may undermine privacy and confidentiality</w:t>
      </w:r>
    </w:p>
    <w:p w14:paraId="25951FD7" w14:textId="616C49BD" w:rsidR="00E83ADE" w:rsidRPr="00B264E7" w:rsidRDefault="00E83ADE" w:rsidP="00E22F60">
      <w:pPr>
        <w:numPr>
          <w:ilvl w:val="0"/>
          <w:numId w:val="14"/>
        </w:numPr>
      </w:pPr>
      <w:r w:rsidRPr="00B264E7">
        <w:t xml:space="preserve">Data is reported under a different hospital or </w:t>
      </w:r>
      <w:proofErr w:type="gramStart"/>
      <w:r w:rsidRPr="00B264E7">
        <w:t>facility</w:t>
      </w:r>
      <w:proofErr w:type="gramEnd"/>
    </w:p>
    <w:p w14:paraId="6427D267" w14:textId="3AB0A420" w:rsidR="0012579A" w:rsidRDefault="0057518C" w:rsidP="00E8059C">
      <w:pPr>
        <w:pStyle w:val="Heading3"/>
        <w:rPr>
          <w:lang w:val="en-GB"/>
        </w:rPr>
      </w:pPr>
      <w:r w:rsidRPr="0057518C">
        <w:rPr>
          <w:lang w:val="en-GB"/>
        </w:rPr>
        <w:t>How was this tool developed?</w:t>
      </w:r>
    </w:p>
    <w:p w14:paraId="2D2D4799" w14:textId="4177CE2C" w:rsidR="00F13409" w:rsidRPr="00F13409" w:rsidRDefault="00F13409" w:rsidP="00F13409">
      <w:r w:rsidRPr="00F13409">
        <w:t xml:space="preserve">This </w:t>
      </w:r>
      <w:r w:rsidR="00EB5E66">
        <w:t>we</w:t>
      </w:r>
      <w:r w:rsidR="002D2014">
        <w:t xml:space="preserve">b </w:t>
      </w:r>
      <w:r w:rsidRPr="00F13409">
        <w:t>tool was developed by the Commission with input from a wide range of people connected to the hospital sector, including health professionals and consumers.</w:t>
      </w:r>
    </w:p>
    <w:p w14:paraId="3D208DC7" w14:textId="5F424F16" w:rsidR="00F13409" w:rsidRPr="00F13409" w:rsidRDefault="00F13409" w:rsidP="00F13409">
      <w:r w:rsidRPr="00F13409">
        <w:t>The agreed objectives of the web tool were to:</w:t>
      </w:r>
    </w:p>
    <w:p w14:paraId="24EBD2ED" w14:textId="52234891" w:rsidR="00F13409" w:rsidRPr="00B264E7" w:rsidRDefault="00F13409" w:rsidP="00E22F60">
      <w:pPr>
        <w:numPr>
          <w:ilvl w:val="0"/>
          <w:numId w:val="15"/>
        </w:numPr>
      </w:pPr>
      <w:r w:rsidRPr="00B264E7">
        <w:t>Promote greater accountability from the hospital sector in relation to safety and quality</w:t>
      </w:r>
    </w:p>
    <w:p w14:paraId="06079A74" w14:textId="5BAF0D00" w:rsidR="00F13409" w:rsidRPr="00B264E7" w:rsidRDefault="00F13409" w:rsidP="00E22F60">
      <w:pPr>
        <w:numPr>
          <w:ilvl w:val="0"/>
          <w:numId w:val="15"/>
        </w:numPr>
      </w:pPr>
      <w:r w:rsidRPr="00B264E7">
        <w:t>Drive improvements in safety and quality across both public and private hospitals</w:t>
      </w:r>
    </w:p>
    <w:p w14:paraId="06587024" w14:textId="1255CC2D" w:rsidR="007317D4" w:rsidRPr="00F13409" w:rsidRDefault="00F13409" w:rsidP="00E22F60">
      <w:pPr>
        <w:numPr>
          <w:ilvl w:val="0"/>
          <w:numId w:val="15"/>
        </w:numPr>
      </w:pPr>
      <w:r w:rsidRPr="00B264E7">
        <w:t xml:space="preserve">Provide access to information that would enable consumers to make more informed decisions about their </w:t>
      </w:r>
      <w:proofErr w:type="gramStart"/>
      <w:r w:rsidRPr="00B264E7">
        <w:t>care</w:t>
      </w:r>
      <w:proofErr w:type="gramEnd"/>
    </w:p>
    <w:p w14:paraId="2B6123FE" w14:textId="1F34271E" w:rsidR="00F13409" w:rsidRPr="00F13409" w:rsidRDefault="00F13409" w:rsidP="00F13409">
      <w:r w:rsidRPr="00F13409">
        <w:t xml:space="preserve">Technical health data experts, clinical experts and consumer advocates worked together to identify the 'indicators' that best measure and describe how hospitals are meeting the fundamentals of safety and quality. The design of the tool has been user tested </w:t>
      </w:r>
      <w:r w:rsidR="0019554F">
        <w:t>by</w:t>
      </w:r>
      <w:r w:rsidR="0019554F" w:rsidRPr="00F13409">
        <w:t xml:space="preserve"> </w:t>
      </w:r>
      <w:r w:rsidRPr="00F13409">
        <w:t>consumers, hospital administrators and healthcare providers.</w:t>
      </w:r>
    </w:p>
    <w:p w14:paraId="4A842D63" w14:textId="47D7A6EA" w:rsidR="00604702" w:rsidRDefault="00F13409" w:rsidP="00F13409">
      <w:r w:rsidRPr="00F13409">
        <w:t xml:space="preserve">The web tool has been developed </w:t>
      </w:r>
      <w:r w:rsidR="00943917">
        <w:t xml:space="preserve">with a user-friendly design, </w:t>
      </w:r>
      <w:r w:rsidR="00B70D30">
        <w:t xml:space="preserve">aligned with </w:t>
      </w:r>
      <w:r w:rsidR="00943917">
        <w:t>the</w:t>
      </w:r>
      <w:r w:rsidRPr="00F13409">
        <w:t xml:space="preserve"> ‘look and feel’ of other Commission </w:t>
      </w:r>
      <w:r w:rsidR="00943917">
        <w:t xml:space="preserve">consumer resources including </w:t>
      </w:r>
      <w:r w:rsidRPr="00F13409">
        <w:t xml:space="preserve">the </w:t>
      </w:r>
      <w:hyperlink r:id="rId13" w:history="1">
        <w:r w:rsidRPr="009F1DCD">
          <w:rPr>
            <w:rStyle w:val="Hyperlink"/>
          </w:rPr>
          <w:t>My Health Care Rights - Australian Charter of Healthcare Rights</w:t>
        </w:r>
      </w:hyperlink>
      <w:r w:rsidRPr="00F13409">
        <w:t>.</w:t>
      </w:r>
    </w:p>
    <w:p w14:paraId="1B8A345F" w14:textId="77777777" w:rsidR="00F53CC1" w:rsidRDefault="00F53CC1" w:rsidP="003F3B06">
      <w:pPr>
        <w:pStyle w:val="Heading3"/>
      </w:pPr>
      <w:r>
        <w:t>Where does the data from this tool come from?</w:t>
      </w:r>
    </w:p>
    <w:p w14:paraId="2007E73F" w14:textId="372B2E82" w:rsidR="00F53CC1" w:rsidRDefault="00F53CC1" w:rsidP="00F53CC1">
      <w:r>
        <w:t>Public reporting relies on timely, reliable, and comprehensive</w:t>
      </w:r>
      <w:r w:rsidR="00F4332F">
        <w:t xml:space="preserve"> information</w:t>
      </w:r>
      <w:r>
        <w:t>. All data presented on the web tool is sourced from national datasets</w:t>
      </w:r>
      <w:r w:rsidR="00D90CC5">
        <w:t>,</w:t>
      </w:r>
      <w:r>
        <w:t xml:space="preserve"> </w:t>
      </w:r>
      <w:r w:rsidR="00D90CC5">
        <w:t xml:space="preserve">which </w:t>
      </w:r>
      <w:r>
        <w:t>have been checked and validated for accuracy. Data is updated when new data is made available in the relevant data sources</w:t>
      </w:r>
      <w:r w:rsidR="0019554F">
        <w:t xml:space="preserve">, which </w:t>
      </w:r>
      <w:r>
        <w:t>can vary from monthly through to yearly.</w:t>
      </w:r>
    </w:p>
    <w:p w14:paraId="60CFEE53" w14:textId="44AE4F57" w:rsidR="00C873FE" w:rsidRDefault="00F53CC1" w:rsidP="00E22F60">
      <w:pPr>
        <w:pStyle w:val="ListParagraph"/>
        <w:ind w:left="0"/>
      </w:pPr>
      <w:r>
        <w:t>For safety and quality information to be meaningful, it must be presented in the context of what other similar organisations are achieving. National 'benchmarks' are included in the data where relevant. Including benchmarks in the data means you can see where a hospital is doing well, and where improvements need to be made.</w:t>
      </w:r>
    </w:p>
    <w:p w14:paraId="32C46A5E" w14:textId="51A49ECF" w:rsidR="00E83ADE" w:rsidRDefault="00E83ADE" w:rsidP="00E83ADE">
      <w:pPr>
        <w:pStyle w:val="Heading3"/>
      </w:pPr>
      <w:r>
        <w:t>How do I seek further information about a hospital result?</w:t>
      </w:r>
    </w:p>
    <w:p w14:paraId="19BE074F" w14:textId="4484D058" w:rsidR="005F6A67" w:rsidRDefault="00E83ADE" w:rsidP="00C873FE">
      <w:pPr>
        <w:rPr>
          <w:rFonts w:cs="Arial"/>
          <w:b/>
          <w:bCs/>
          <w:iCs/>
          <w:color w:val="005370"/>
          <w:kern w:val="28"/>
          <w:sz w:val="28"/>
          <w:szCs w:val="26"/>
        </w:rPr>
      </w:pPr>
      <w:r w:rsidRPr="00E83ADE">
        <w:t>Contact your hospital to discuss a result and to find out about safety and quality strategies being undertaken</w:t>
      </w:r>
      <w:r w:rsidR="00B70D30">
        <w:t xml:space="preserve"> at a local level</w:t>
      </w:r>
      <w:r w:rsidRPr="00E83ADE">
        <w:t>.</w:t>
      </w:r>
    </w:p>
    <w:p w14:paraId="381BD093" w14:textId="5D767F90" w:rsidR="00F13409" w:rsidRPr="00AF7927" w:rsidRDefault="005F6A67" w:rsidP="000C5258">
      <w:pPr>
        <w:pStyle w:val="Heading3"/>
        <w:rPr>
          <w:sz w:val="20"/>
          <w:szCs w:val="20"/>
        </w:rPr>
      </w:pPr>
      <w:r>
        <w:lastRenderedPageBreak/>
        <w:t>What is the Australian Commission on Safety and Quality in Health Care?</w:t>
      </w:r>
    </w:p>
    <w:p w14:paraId="3EA82A0C" w14:textId="77777777" w:rsidR="00B70D30" w:rsidRDefault="005F6A67" w:rsidP="0057436F">
      <w:r w:rsidRPr="005F6A67">
        <w:t xml:space="preserve">In 2006, the Council of Australian Governments established the Australian Commission on Safety and Quality in Health Care (the Commission) to lead and coordinate national improvements in the safety and quality of health care. </w:t>
      </w:r>
    </w:p>
    <w:p w14:paraId="09CAF485" w14:textId="6E26A3DB" w:rsidR="005F6A67" w:rsidRDefault="005F6A67" w:rsidP="0057436F">
      <w:r w:rsidRPr="005F6A67">
        <w:t xml:space="preserve">The Commission's purpose is to contribute to better health outcomes and experiences for all patients and </w:t>
      </w:r>
      <w:proofErr w:type="gramStart"/>
      <w:r w:rsidRPr="005F6A67">
        <w:t>consumers, and</w:t>
      </w:r>
      <w:proofErr w:type="gramEnd"/>
      <w:r w:rsidRPr="005F6A67">
        <w:t xml:space="preserve"> improve value and sustainability in the health system. Within this overarching purpose, the Commission aims to ensure people are kept safe </w:t>
      </w:r>
      <w:r w:rsidRPr="0019554F">
        <w:t>when they receive health care and</w:t>
      </w:r>
      <w:r w:rsidRPr="005F6A67">
        <w:t xml:space="preserve"> that they receive the health care they should.</w:t>
      </w:r>
    </w:p>
    <w:p w14:paraId="1B511D3A" w14:textId="531784E6" w:rsidR="005F6A67" w:rsidRDefault="005F6A67" w:rsidP="000C5258">
      <w:pPr>
        <w:pStyle w:val="Heading3"/>
      </w:pPr>
      <w:r w:rsidRPr="005F6A67">
        <w:t>Is the Commission an independent body?</w:t>
      </w:r>
    </w:p>
    <w:p w14:paraId="7827FC5B" w14:textId="1A194E38" w:rsidR="005F6A67" w:rsidRDefault="005F6A67" w:rsidP="0057436F">
      <w:r>
        <w:t>Yes. The Commission commenced as an independent statutory authority on 1 July 2011, funded jointly by the Australian Government and by state and territory governments. The Commission's role, functions and responsibilities are governed by the National Health Reform Act 2011.</w:t>
      </w:r>
    </w:p>
    <w:p w14:paraId="1B74AF24" w14:textId="3109254C" w:rsidR="005F6A67" w:rsidRDefault="005F6A67" w:rsidP="0057436F">
      <w:r>
        <w:t xml:space="preserve">The Commission is a corporate Commonwealth entity and part of the </w:t>
      </w:r>
      <w:proofErr w:type="gramStart"/>
      <w:r>
        <w:t>Health</w:t>
      </w:r>
      <w:proofErr w:type="gramEnd"/>
      <w:r>
        <w:t xml:space="preserve"> portfolio of the Australian Government. As such, it is accountable to the Australian Parliament and the Minister for Health and Aged Care, the Hon. Mark Butler MP.</w:t>
      </w:r>
    </w:p>
    <w:p w14:paraId="62D2ECA6" w14:textId="0EA29D53" w:rsidR="005F6A67" w:rsidRDefault="005F6A67" w:rsidP="000C5258">
      <w:pPr>
        <w:pStyle w:val="Heading3"/>
      </w:pPr>
      <w:r w:rsidRPr="005F6A67">
        <w:t>Who leads the work of the Commission?</w:t>
      </w:r>
    </w:p>
    <w:p w14:paraId="6BA50D19" w14:textId="6BC414B9" w:rsidR="005F6A67" w:rsidRDefault="005F6A67" w:rsidP="000C5258">
      <w:r>
        <w:t xml:space="preserve">Conjoint Professor Anne Duggan was appointed Chief Executive Officer (CEO) in March 2023, in recognition of her breadth of knowledge and leadership experience across a range of healthcare settings. You can read more about </w:t>
      </w:r>
      <w:hyperlink r:id="rId14" w:history="1">
        <w:r w:rsidRPr="0019554F">
          <w:rPr>
            <w:rStyle w:val="Hyperlink"/>
          </w:rPr>
          <w:t>Professor Duggan here</w:t>
        </w:r>
      </w:hyperlink>
      <w:r>
        <w:t>.</w:t>
      </w:r>
    </w:p>
    <w:p w14:paraId="7B3F224D" w14:textId="6761DD0E" w:rsidR="005F6A67" w:rsidRDefault="005F6A67" w:rsidP="000C5258">
      <w:r>
        <w:t>The Commission's Board governs the organisation and is responsible for the proper and efficient performance of its functions. Board members are appointed by the Australian Government Minister for Health and Aged Care, in consultation with all state and territory health ministers. You can read more about the Board</w:t>
      </w:r>
      <w:hyperlink r:id="rId15" w:history="1">
        <w:r w:rsidRPr="0057436F">
          <w:rPr>
            <w:rStyle w:val="Hyperlink"/>
            <w:u w:val="none"/>
          </w:rPr>
          <w:t xml:space="preserve"> </w:t>
        </w:r>
        <w:r w:rsidRPr="005D4FF8">
          <w:rPr>
            <w:rStyle w:val="Hyperlink"/>
          </w:rPr>
          <w:t>here</w:t>
        </w:r>
      </w:hyperlink>
      <w:r>
        <w:t>.</w:t>
      </w:r>
    </w:p>
    <w:p w14:paraId="187E9864" w14:textId="1919192B" w:rsidR="005F6A67" w:rsidRPr="005F6A67" w:rsidRDefault="005F6A67" w:rsidP="000C5258">
      <w:r>
        <w:t xml:space="preserve">The Commission's Board is assisted in its work by </w:t>
      </w:r>
      <w:proofErr w:type="gramStart"/>
      <w:r>
        <w:t>a number of</w:t>
      </w:r>
      <w:proofErr w:type="gramEnd"/>
      <w:r>
        <w:t xml:space="preserve"> Committees including the Inter-Jurisdictional Committee, Primary Care Committee, Private Hospital Sector Committee and Audit and Risk Committee. You can read more about these </w:t>
      </w:r>
      <w:hyperlink r:id="rId16" w:history="1">
        <w:r w:rsidRPr="0019554F">
          <w:rPr>
            <w:rStyle w:val="Hyperlink"/>
          </w:rPr>
          <w:t xml:space="preserve">advisory </w:t>
        </w:r>
        <w:r w:rsidR="007F6820">
          <w:rPr>
            <w:rStyle w:val="Hyperlink"/>
          </w:rPr>
          <w:t>c</w:t>
        </w:r>
        <w:r w:rsidRPr="0019554F">
          <w:rPr>
            <w:rStyle w:val="Hyperlink"/>
          </w:rPr>
          <w:t xml:space="preserve">ommittees </w:t>
        </w:r>
        <w:r w:rsidR="0019554F" w:rsidRPr="0019554F">
          <w:rPr>
            <w:rStyle w:val="Hyperlink"/>
          </w:rPr>
          <w:t>here</w:t>
        </w:r>
      </w:hyperlink>
      <w:r w:rsidR="0019554F">
        <w:t>.</w:t>
      </w:r>
    </w:p>
    <w:p w14:paraId="379ED0D2" w14:textId="77777777" w:rsidR="005F6A67" w:rsidRDefault="005F6A67" w:rsidP="000C5258"/>
    <w:p w14:paraId="083FBF3E" w14:textId="4793AB73" w:rsidR="00604702" w:rsidRDefault="00604702" w:rsidP="000C5258">
      <w:r>
        <w:t xml:space="preserve">More information can be found: </w:t>
      </w:r>
      <w:hyperlink r:id="rId17" w:history="1">
        <w:r w:rsidRPr="006E2B45">
          <w:rPr>
            <w:rStyle w:val="Hyperlink"/>
          </w:rPr>
          <w:t>safetyinhealthcare.gov.au/about-this-tool</w:t>
        </w:r>
      </w:hyperlink>
      <w:r w:rsidR="0057436F">
        <w:t xml:space="preserve"> </w:t>
      </w:r>
    </w:p>
    <w:p w14:paraId="20B367E9" w14:textId="3FD9054F" w:rsidR="002D35CA" w:rsidRPr="00D15BB6" w:rsidRDefault="00E209BF" w:rsidP="000C5258">
      <w:r w:rsidRPr="00D15BB6">
        <w:t>For more information</w:t>
      </w:r>
      <w:r w:rsidR="00604702">
        <w:t xml:space="preserve"> or if you have questions</w:t>
      </w:r>
      <w:r w:rsidR="00D60E62" w:rsidRPr="00D15BB6">
        <w:t>, p</w:t>
      </w:r>
      <w:r w:rsidR="00D60E62" w:rsidRPr="00604702">
        <w:rPr>
          <w:rFonts w:cs="Arial"/>
        </w:rPr>
        <w:t xml:space="preserve">lease </w:t>
      </w:r>
      <w:r w:rsidRPr="00604702">
        <w:rPr>
          <w:rFonts w:cs="Arial"/>
        </w:rPr>
        <w:t xml:space="preserve">contact the project team at: </w:t>
      </w:r>
      <w:hyperlink r:id="rId18" w:history="1">
        <w:r w:rsidR="00B01BA9" w:rsidRPr="00604702">
          <w:rPr>
            <w:rStyle w:val="Hyperlink"/>
            <w:rFonts w:cs="Arial"/>
          </w:rPr>
          <w:t>PSRP@safetyandquality.gov.au</w:t>
        </w:r>
      </w:hyperlink>
    </w:p>
    <w:p w14:paraId="1DA618DC" w14:textId="5A250AF0" w:rsidR="00604AAF" w:rsidRPr="00F818A8" w:rsidRDefault="00000000" w:rsidP="00FD1F7D">
      <w:pPr>
        <w:pStyle w:val="SandQwebaddress"/>
        <w:rPr>
          <w:b/>
          <w:bCs/>
          <w:color w:val="005370"/>
          <w:sz w:val="20"/>
          <w:szCs w:val="20"/>
        </w:rPr>
      </w:pPr>
      <w:hyperlink r:id="rId19" w:history="1">
        <w:r w:rsidR="00C76AE0" w:rsidRPr="00F818A8">
          <w:rPr>
            <w:rStyle w:val="Hyperlink"/>
            <w:b/>
            <w:bCs/>
            <w:sz w:val="20"/>
            <w:szCs w:val="20"/>
            <w:u w:val="none"/>
          </w:rPr>
          <w:t>safetyand</w:t>
        </w:r>
        <w:r w:rsidR="000B0527" w:rsidRPr="00F818A8">
          <w:rPr>
            <w:rStyle w:val="Hyperlink"/>
            <w:b/>
            <w:bCs/>
            <w:sz w:val="20"/>
            <w:szCs w:val="20"/>
            <w:u w:val="none"/>
          </w:rPr>
          <w:t>q</w:t>
        </w:r>
        <w:r w:rsidR="00C76AE0" w:rsidRPr="00F818A8">
          <w:rPr>
            <w:rStyle w:val="Hyperlink"/>
            <w:b/>
            <w:bCs/>
            <w:sz w:val="20"/>
            <w:szCs w:val="20"/>
            <w:u w:val="none"/>
          </w:rPr>
          <w:t>uality.gov.au</w:t>
        </w:r>
      </w:hyperlink>
    </w:p>
    <w:p w14:paraId="2915DB73" w14:textId="6E514B22" w:rsidR="00465AB0" w:rsidRPr="000B0527" w:rsidRDefault="00FD1F7D" w:rsidP="00AF7927">
      <w:pPr>
        <w:pStyle w:val="FootnoteText"/>
        <w:tabs>
          <w:tab w:val="right" w:pos="8931"/>
        </w:tabs>
        <w:spacing w:after="0"/>
      </w:pPr>
      <w:r>
        <w:rPr>
          <w:noProof/>
        </w:rPr>
        <w:drawing>
          <wp:anchor distT="0" distB="0" distL="114300" distR="114300" simplePos="0" relativeHeight="251657728" behindDoc="0" locked="0" layoutInCell="1" allowOverlap="1" wp14:anchorId="4EB26BC9" wp14:editId="2DDDE57F">
            <wp:simplePos x="0" y="0"/>
            <wp:positionH relativeFrom="column">
              <wp:posOffset>0</wp:posOffset>
            </wp:positionH>
            <wp:positionV relativeFrom="paragraph">
              <wp:posOffset>34290</wp:posOffset>
            </wp:positionV>
            <wp:extent cx="840105" cy="297815"/>
            <wp:effectExtent l="0" t="0" r="0" b="0"/>
            <wp:wrapSquare wrapText="bothSides"/>
            <wp:docPr id="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00C76AE0" w:rsidRPr="00EA0B96">
        <w:rPr>
          <w:rStyle w:val="Roman"/>
          <w:rFonts w:eastAsia="MS Gothic"/>
        </w:rPr>
        <w:t xml:space="preserve">© Australian Commission on Safety </w:t>
      </w:r>
      <w:r w:rsidR="00C76AE0" w:rsidRPr="00EA0B96">
        <w:rPr>
          <w:rStyle w:val="Roman"/>
          <w:rFonts w:eastAsia="MS Gothic"/>
        </w:rPr>
        <w:br/>
        <w:t xml:space="preserve">and Quality in Health Care </w:t>
      </w:r>
      <w:r w:rsidR="00C76AE0" w:rsidRPr="0012579A">
        <w:rPr>
          <w:rStyle w:val="Roman"/>
          <w:rFonts w:eastAsia="MS Gothic"/>
        </w:rPr>
        <w:t>202</w:t>
      </w:r>
      <w:r w:rsidR="00DE7D58">
        <w:rPr>
          <w:rStyle w:val="Roman"/>
          <w:rFonts w:eastAsia="MS Gothic"/>
        </w:rPr>
        <w:t>4</w:t>
      </w:r>
      <w:r w:rsidR="00C76AE0" w:rsidRPr="0012579A" w:rsidDel="00174535">
        <w:rPr>
          <w:rStyle w:val="Roman"/>
          <w:rFonts w:eastAsia="MS Gothic"/>
        </w:rPr>
        <w:t xml:space="preserve"> </w:t>
      </w:r>
    </w:p>
    <w:sectPr w:rsidR="00465AB0" w:rsidRPr="000B0527" w:rsidSect="00AF7927">
      <w:headerReference w:type="even" r:id="rId21"/>
      <w:headerReference w:type="default" r:id="rId22"/>
      <w:footerReference w:type="even" r:id="rId23"/>
      <w:footerReference w:type="default" r:id="rId24"/>
      <w:pgSz w:w="11906" w:h="16838"/>
      <w:pgMar w:top="2126"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669C3" w14:textId="77777777" w:rsidR="001A2FB0" w:rsidRDefault="001A2FB0" w:rsidP="000B0274">
      <w:r>
        <w:separator/>
      </w:r>
    </w:p>
    <w:p w14:paraId="7454385A" w14:textId="77777777" w:rsidR="001A2FB0" w:rsidRDefault="001A2FB0"/>
    <w:p w14:paraId="5E02BEB8" w14:textId="77777777" w:rsidR="001A2FB0" w:rsidRDefault="001A2FB0"/>
    <w:p w14:paraId="2A5B7395" w14:textId="77777777" w:rsidR="001A2FB0" w:rsidRDefault="001A2FB0"/>
    <w:p w14:paraId="116DF3B3" w14:textId="77777777" w:rsidR="001A2FB0" w:rsidRDefault="001A2FB0"/>
  </w:endnote>
  <w:endnote w:type="continuationSeparator" w:id="0">
    <w:p w14:paraId="7D5FF373" w14:textId="77777777" w:rsidR="001A2FB0" w:rsidRDefault="001A2FB0" w:rsidP="000B0274">
      <w:r>
        <w:continuationSeparator/>
      </w:r>
    </w:p>
    <w:p w14:paraId="650B70FF" w14:textId="77777777" w:rsidR="001A2FB0" w:rsidRDefault="001A2FB0"/>
    <w:p w14:paraId="02FAC7F9" w14:textId="77777777" w:rsidR="001A2FB0" w:rsidRDefault="001A2FB0"/>
    <w:p w14:paraId="69D64D0F" w14:textId="77777777" w:rsidR="001A2FB0" w:rsidRDefault="001A2FB0"/>
    <w:p w14:paraId="5D571BBB" w14:textId="77777777" w:rsidR="001A2FB0" w:rsidRDefault="001A2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Gotham Medium">
    <w:altName w:val="Arial"/>
    <w:panose1 w:val="00000000000000000000"/>
    <w:charset w:val="00"/>
    <w:family w:val="auto"/>
    <w:notTrueType/>
    <w:pitch w:val="variable"/>
    <w:sig w:usb0="A100007F" w:usb1="4000005B" w:usb2="00000000" w:usb3="00000000" w:csb0="0000009B" w:csb1="00000000"/>
  </w:font>
  <w:font w:name="Lucida Grande">
    <w:altName w:val="Arial"/>
    <w:charset w:val="00"/>
    <w:family w:val="swiss"/>
    <w:pitch w:val="variable"/>
    <w:sig w:usb0="E1000AEF" w:usb1="5000A1FF" w:usb2="00000000" w:usb3="00000000" w:csb0="000001B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4721" w14:textId="77777777" w:rsidR="00A5694A" w:rsidRDefault="00A5694A" w:rsidP="00D84622">
    <w:pPr>
      <w:pStyle w:val="Footer"/>
    </w:pPr>
  </w:p>
  <w:p w14:paraId="2BA298DA" w14:textId="77777777" w:rsidR="00070812" w:rsidRDefault="00070812"/>
  <w:p w14:paraId="17CEB133" w14:textId="77777777" w:rsidR="008B014E" w:rsidRDefault="008B014E"/>
  <w:p w14:paraId="6F70A85F" w14:textId="77777777" w:rsidR="008B014E" w:rsidRDefault="008B01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774D1" w14:textId="3A604306" w:rsidR="008B014E" w:rsidRDefault="00000000" w:rsidP="007E175B">
    <w:pPr>
      <w:pStyle w:val="Footer"/>
    </w:pPr>
    <w:hyperlink r:id="rId1" w:history="1">
      <w:r w:rsidR="00FB6E3A" w:rsidRPr="00AF7927">
        <w:rPr>
          <w:rStyle w:val="Hyperlink"/>
          <w:u w:val="none"/>
        </w:rPr>
        <w:t>safetyinhealthcare.gov.au</w:t>
      </w:r>
    </w:hyperlink>
    <w:r w:rsidR="0057436F">
      <w:t xml:space="preserve"> </w:t>
    </w:r>
    <w:r w:rsidR="00A5694A" w:rsidRPr="00D84622">
      <w:tab/>
    </w:r>
    <w:r w:rsidR="0036588B" w:rsidRPr="00D84622">
      <w:fldChar w:fldCharType="begin"/>
    </w:r>
    <w:r w:rsidR="0036588B" w:rsidRPr="00D84622">
      <w:instrText xml:space="preserve"> PAGE   \* MERGEFORMAT </w:instrText>
    </w:r>
    <w:r w:rsidR="0036588B" w:rsidRPr="00D84622">
      <w:fldChar w:fldCharType="separate"/>
    </w:r>
    <w:r w:rsidR="006A2587" w:rsidRPr="00D84622">
      <w:t>4</w:t>
    </w:r>
    <w:r w:rsidR="0036588B" w:rsidRPr="00D8462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A3A0C" w14:textId="77777777" w:rsidR="001A2FB0" w:rsidRDefault="001A2FB0" w:rsidP="000B0274">
      <w:r>
        <w:separator/>
      </w:r>
    </w:p>
    <w:p w14:paraId="3A81C78F" w14:textId="77777777" w:rsidR="001A2FB0" w:rsidRDefault="001A2FB0"/>
    <w:p w14:paraId="1FD193B1" w14:textId="77777777" w:rsidR="001A2FB0" w:rsidRDefault="001A2FB0"/>
    <w:p w14:paraId="461B9F81" w14:textId="77777777" w:rsidR="001A2FB0" w:rsidRDefault="001A2FB0"/>
    <w:p w14:paraId="2CC2E62A" w14:textId="77777777" w:rsidR="001A2FB0" w:rsidRDefault="001A2FB0"/>
  </w:footnote>
  <w:footnote w:type="continuationSeparator" w:id="0">
    <w:p w14:paraId="6A46840A" w14:textId="77777777" w:rsidR="001A2FB0" w:rsidRDefault="001A2FB0" w:rsidP="000B0274">
      <w:r>
        <w:continuationSeparator/>
      </w:r>
    </w:p>
    <w:p w14:paraId="2E4454E4" w14:textId="77777777" w:rsidR="001A2FB0" w:rsidRDefault="001A2FB0"/>
    <w:p w14:paraId="0E797FD4" w14:textId="77777777" w:rsidR="001A2FB0" w:rsidRDefault="001A2FB0"/>
    <w:p w14:paraId="6629A90D" w14:textId="77777777" w:rsidR="001A2FB0" w:rsidRDefault="001A2FB0"/>
    <w:p w14:paraId="67474B09" w14:textId="77777777" w:rsidR="001A2FB0" w:rsidRDefault="001A2F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A4FA6" w14:textId="77777777" w:rsidR="00A5694A" w:rsidRDefault="00A5694A"/>
  <w:p w14:paraId="07BE4A4E" w14:textId="77777777" w:rsidR="00070812" w:rsidRDefault="00070812"/>
  <w:p w14:paraId="2A355240" w14:textId="77777777" w:rsidR="008B014E" w:rsidRDefault="008B014E"/>
  <w:p w14:paraId="5AA138C4" w14:textId="77777777" w:rsidR="008B014E" w:rsidRDefault="008B01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E1A53" w14:textId="77777777" w:rsidR="008B014E" w:rsidRDefault="00190C81" w:rsidP="007C26F7">
    <w:pPr>
      <w:tabs>
        <w:tab w:val="right" w:pos="9638"/>
      </w:tabs>
      <w:spacing w:before="0"/>
      <w:ind w:left="-142"/>
    </w:pPr>
    <w:r w:rsidRPr="00EA0B96">
      <w:rPr>
        <w:rFonts w:eastAsia="MS Gothic"/>
        <w:noProof/>
        <w:lang w:val="en-US" w:eastAsia="en-US"/>
      </w:rPr>
      <w:drawing>
        <wp:inline distT="0" distB="0" distL="0" distR="0" wp14:anchorId="66C59CED" wp14:editId="46220BF6">
          <wp:extent cx="4304665" cy="544830"/>
          <wp:effectExtent l="0" t="0" r="0" b="0"/>
          <wp:docPr id="14" name="Picture 14" descr="Australian Commission on Safety and Quality in Health Care logo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Australian Commission on Safety and Quality in Health Care logo &#10;"/>
                  <pic:cNvPicPr>
                    <a:picLocks/>
                  </pic:cNvPicPr>
                </pic:nvPicPr>
                <pic:blipFill>
                  <a:blip r:embed="rId1">
                    <a:extLst>
                      <a:ext uri="{28A0092B-C50C-407E-A947-70E740481C1C}">
                        <a14:useLocalDpi xmlns:a14="http://schemas.microsoft.com/office/drawing/2010/main" val="0"/>
                      </a:ext>
                    </a:extLst>
                  </a:blip>
                  <a:srcRect b="10614"/>
                  <a:stretch>
                    <a:fillRect/>
                  </a:stretch>
                </pic:blipFill>
                <pic:spPr bwMode="auto">
                  <a:xfrm>
                    <a:off x="0" y="0"/>
                    <a:ext cx="4304665" cy="544830"/>
                  </a:xfrm>
                  <a:prstGeom prst="rect">
                    <a:avLst/>
                  </a:prstGeom>
                  <a:noFill/>
                  <a:ln>
                    <a:noFill/>
                  </a:ln>
                </pic:spPr>
              </pic:pic>
            </a:graphicData>
          </a:graphic>
        </wp:inline>
      </w:drawing>
    </w:r>
    <w:r w:rsidR="00A139AB">
      <w:tab/>
    </w:r>
  </w:p>
  <w:p w14:paraId="7334A4E9" w14:textId="77777777" w:rsidR="008B014E" w:rsidRDefault="008B01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5E372D"/>
    <w:multiLevelType w:val="hybridMultilevel"/>
    <w:tmpl w:val="ECD65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9F1DF4"/>
    <w:multiLevelType w:val="hybridMultilevel"/>
    <w:tmpl w:val="B03C7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265D0802"/>
    <w:multiLevelType w:val="hybridMultilevel"/>
    <w:tmpl w:val="EEF2837C"/>
    <w:lvl w:ilvl="0" w:tplc="90A44DD2">
      <w:start w:val="1"/>
      <w:numFmt w:val="bullet"/>
      <w:lvlText w:val=""/>
      <w:lvlJc w:val="left"/>
      <w:pPr>
        <w:ind w:left="720" w:hanging="360"/>
      </w:pPr>
      <w:rPr>
        <w:rFonts w:ascii="Symbol" w:hAnsi="Symbol"/>
      </w:rPr>
    </w:lvl>
    <w:lvl w:ilvl="1" w:tplc="D0F27DE0">
      <w:start w:val="1"/>
      <w:numFmt w:val="bullet"/>
      <w:lvlText w:val=""/>
      <w:lvlJc w:val="left"/>
      <w:pPr>
        <w:ind w:left="720" w:hanging="360"/>
      </w:pPr>
      <w:rPr>
        <w:rFonts w:ascii="Symbol" w:hAnsi="Symbol"/>
      </w:rPr>
    </w:lvl>
    <w:lvl w:ilvl="2" w:tplc="65363B66">
      <w:start w:val="1"/>
      <w:numFmt w:val="bullet"/>
      <w:lvlText w:val=""/>
      <w:lvlJc w:val="left"/>
      <w:pPr>
        <w:ind w:left="720" w:hanging="360"/>
      </w:pPr>
      <w:rPr>
        <w:rFonts w:ascii="Symbol" w:hAnsi="Symbol"/>
      </w:rPr>
    </w:lvl>
    <w:lvl w:ilvl="3" w:tplc="29F2B26A">
      <w:start w:val="1"/>
      <w:numFmt w:val="bullet"/>
      <w:lvlText w:val=""/>
      <w:lvlJc w:val="left"/>
      <w:pPr>
        <w:ind w:left="720" w:hanging="360"/>
      </w:pPr>
      <w:rPr>
        <w:rFonts w:ascii="Symbol" w:hAnsi="Symbol"/>
      </w:rPr>
    </w:lvl>
    <w:lvl w:ilvl="4" w:tplc="316EA506">
      <w:start w:val="1"/>
      <w:numFmt w:val="bullet"/>
      <w:lvlText w:val=""/>
      <w:lvlJc w:val="left"/>
      <w:pPr>
        <w:ind w:left="720" w:hanging="360"/>
      </w:pPr>
      <w:rPr>
        <w:rFonts w:ascii="Symbol" w:hAnsi="Symbol"/>
      </w:rPr>
    </w:lvl>
    <w:lvl w:ilvl="5" w:tplc="5B2CF9CE">
      <w:start w:val="1"/>
      <w:numFmt w:val="bullet"/>
      <w:lvlText w:val=""/>
      <w:lvlJc w:val="left"/>
      <w:pPr>
        <w:ind w:left="720" w:hanging="360"/>
      </w:pPr>
      <w:rPr>
        <w:rFonts w:ascii="Symbol" w:hAnsi="Symbol"/>
      </w:rPr>
    </w:lvl>
    <w:lvl w:ilvl="6" w:tplc="D9FC15DE">
      <w:start w:val="1"/>
      <w:numFmt w:val="bullet"/>
      <w:lvlText w:val=""/>
      <w:lvlJc w:val="left"/>
      <w:pPr>
        <w:ind w:left="720" w:hanging="360"/>
      </w:pPr>
      <w:rPr>
        <w:rFonts w:ascii="Symbol" w:hAnsi="Symbol"/>
      </w:rPr>
    </w:lvl>
    <w:lvl w:ilvl="7" w:tplc="3F44A152">
      <w:start w:val="1"/>
      <w:numFmt w:val="bullet"/>
      <w:lvlText w:val=""/>
      <w:lvlJc w:val="left"/>
      <w:pPr>
        <w:ind w:left="720" w:hanging="360"/>
      </w:pPr>
      <w:rPr>
        <w:rFonts w:ascii="Symbol" w:hAnsi="Symbol"/>
      </w:rPr>
    </w:lvl>
    <w:lvl w:ilvl="8" w:tplc="5E46FBDE">
      <w:start w:val="1"/>
      <w:numFmt w:val="bullet"/>
      <w:lvlText w:val=""/>
      <w:lvlJc w:val="left"/>
      <w:pPr>
        <w:ind w:left="720" w:hanging="360"/>
      </w:pPr>
      <w:rPr>
        <w:rFonts w:ascii="Symbol" w:hAnsi="Symbol"/>
      </w:rPr>
    </w:lvl>
  </w:abstractNum>
  <w:abstractNum w:abstractNumId="6" w15:restartNumberingAfterBreak="0">
    <w:nsid w:val="2DA13925"/>
    <w:multiLevelType w:val="hybridMultilevel"/>
    <w:tmpl w:val="4C7CC37E"/>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FE4765B"/>
    <w:multiLevelType w:val="hybridMultilevel"/>
    <w:tmpl w:val="9C0AC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833195"/>
    <w:multiLevelType w:val="hybridMultilevel"/>
    <w:tmpl w:val="B2784916"/>
    <w:lvl w:ilvl="0" w:tplc="0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F56394"/>
    <w:multiLevelType w:val="hybridMultilevel"/>
    <w:tmpl w:val="D660E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1B2BE7"/>
    <w:multiLevelType w:val="hybridMultilevel"/>
    <w:tmpl w:val="0534DBDC"/>
    <w:lvl w:ilvl="0" w:tplc="0C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BB020BF"/>
    <w:multiLevelType w:val="hybridMultilevel"/>
    <w:tmpl w:val="CADA9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662D01"/>
    <w:multiLevelType w:val="hybridMultilevel"/>
    <w:tmpl w:val="6C100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D6C5567"/>
    <w:multiLevelType w:val="hybridMultilevel"/>
    <w:tmpl w:val="2E40A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4108780">
    <w:abstractNumId w:val="0"/>
  </w:num>
  <w:num w:numId="2" w16cid:durableId="1112822231">
    <w:abstractNumId w:val="1"/>
  </w:num>
  <w:num w:numId="3" w16cid:durableId="2010399634">
    <w:abstractNumId w:val="4"/>
  </w:num>
  <w:num w:numId="4" w16cid:durableId="1896118276">
    <w:abstractNumId w:val="13"/>
  </w:num>
  <w:num w:numId="5" w16cid:durableId="1931936254">
    <w:abstractNumId w:val="6"/>
  </w:num>
  <w:num w:numId="6" w16cid:durableId="135800113">
    <w:abstractNumId w:val="10"/>
  </w:num>
  <w:num w:numId="7" w16cid:durableId="1805855828">
    <w:abstractNumId w:val="8"/>
  </w:num>
  <w:num w:numId="8" w16cid:durableId="338314238">
    <w:abstractNumId w:val="7"/>
  </w:num>
  <w:num w:numId="9" w16cid:durableId="2105298747">
    <w:abstractNumId w:val="5"/>
  </w:num>
  <w:num w:numId="10" w16cid:durableId="1584803006">
    <w:abstractNumId w:val="11"/>
  </w:num>
  <w:num w:numId="11" w16cid:durableId="1941722580">
    <w:abstractNumId w:val="14"/>
  </w:num>
  <w:num w:numId="12" w16cid:durableId="2090886382">
    <w:abstractNumId w:val="12"/>
  </w:num>
  <w:num w:numId="13" w16cid:durableId="765689564">
    <w:abstractNumId w:val="3"/>
  </w:num>
  <w:num w:numId="14" w16cid:durableId="1624186382">
    <w:abstractNumId w:val="9"/>
  </w:num>
  <w:num w:numId="15" w16cid:durableId="152312562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79A"/>
    <w:rsid w:val="00002668"/>
    <w:rsid w:val="00003743"/>
    <w:rsid w:val="00006F92"/>
    <w:rsid w:val="000072D1"/>
    <w:rsid w:val="000077FA"/>
    <w:rsid w:val="00010114"/>
    <w:rsid w:val="0001053B"/>
    <w:rsid w:val="00011096"/>
    <w:rsid w:val="00012782"/>
    <w:rsid w:val="0001386E"/>
    <w:rsid w:val="00013AF4"/>
    <w:rsid w:val="00020B0D"/>
    <w:rsid w:val="00020DBD"/>
    <w:rsid w:val="00025A92"/>
    <w:rsid w:val="0003162D"/>
    <w:rsid w:val="00036AB7"/>
    <w:rsid w:val="00036F5E"/>
    <w:rsid w:val="000406F8"/>
    <w:rsid w:val="00043671"/>
    <w:rsid w:val="00050775"/>
    <w:rsid w:val="00054B74"/>
    <w:rsid w:val="00067456"/>
    <w:rsid w:val="00067CE9"/>
    <w:rsid w:val="00070812"/>
    <w:rsid w:val="0008065C"/>
    <w:rsid w:val="000811F9"/>
    <w:rsid w:val="000877D8"/>
    <w:rsid w:val="00087E36"/>
    <w:rsid w:val="00090EFF"/>
    <w:rsid w:val="00091FC5"/>
    <w:rsid w:val="00092229"/>
    <w:rsid w:val="00095DA6"/>
    <w:rsid w:val="00095DC5"/>
    <w:rsid w:val="000A08EF"/>
    <w:rsid w:val="000A3F0D"/>
    <w:rsid w:val="000A4C01"/>
    <w:rsid w:val="000B0274"/>
    <w:rsid w:val="000B0527"/>
    <w:rsid w:val="000B0BFE"/>
    <w:rsid w:val="000B4610"/>
    <w:rsid w:val="000B79D3"/>
    <w:rsid w:val="000C1722"/>
    <w:rsid w:val="000C1DD4"/>
    <w:rsid w:val="000C2265"/>
    <w:rsid w:val="000C5258"/>
    <w:rsid w:val="000C5B0F"/>
    <w:rsid w:val="000C6D2E"/>
    <w:rsid w:val="000C7A69"/>
    <w:rsid w:val="000D017D"/>
    <w:rsid w:val="000D6405"/>
    <w:rsid w:val="000E2F2E"/>
    <w:rsid w:val="000E5D3B"/>
    <w:rsid w:val="000F0D77"/>
    <w:rsid w:val="000F29C7"/>
    <w:rsid w:val="000F3716"/>
    <w:rsid w:val="000F462D"/>
    <w:rsid w:val="00100F39"/>
    <w:rsid w:val="0010673D"/>
    <w:rsid w:val="00106CF5"/>
    <w:rsid w:val="00115403"/>
    <w:rsid w:val="00115E61"/>
    <w:rsid w:val="00120FCB"/>
    <w:rsid w:val="0012579A"/>
    <w:rsid w:val="001307E3"/>
    <w:rsid w:val="00131E52"/>
    <w:rsid w:val="0013212C"/>
    <w:rsid w:val="00140002"/>
    <w:rsid w:val="00143A76"/>
    <w:rsid w:val="00145BE3"/>
    <w:rsid w:val="00146A66"/>
    <w:rsid w:val="001507C6"/>
    <w:rsid w:val="00153149"/>
    <w:rsid w:val="00157B31"/>
    <w:rsid w:val="00160453"/>
    <w:rsid w:val="00161CF7"/>
    <w:rsid w:val="001652A9"/>
    <w:rsid w:val="00174141"/>
    <w:rsid w:val="00174535"/>
    <w:rsid w:val="0017675C"/>
    <w:rsid w:val="00176C4E"/>
    <w:rsid w:val="00183675"/>
    <w:rsid w:val="00184C86"/>
    <w:rsid w:val="001852DE"/>
    <w:rsid w:val="001859B5"/>
    <w:rsid w:val="001860B2"/>
    <w:rsid w:val="00190C81"/>
    <w:rsid w:val="001918F7"/>
    <w:rsid w:val="001921ED"/>
    <w:rsid w:val="00195458"/>
    <w:rsid w:val="0019554F"/>
    <w:rsid w:val="001962DE"/>
    <w:rsid w:val="00196AC8"/>
    <w:rsid w:val="001A11A5"/>
    <w:rsid w:val="001A1EBD"/>
    <w:rsid w:val="001A2FB0"/>
    <w:rsid w:val="001A4A68"/>
    <w:rsid w:val="001A5E3A"/>
    <w:rsid w:val="001B15D1"/>
    <w:rsid w:val="001B3443"/>
    <w:rsid w:val="001B7C8B"/>
    <w:rsid w:val="001D0D87"/>
    <w:rsid w:val="001E1042"/>
    <w:rsid w:val="001E38B8"/>
    <w:rsid w:val="001E77C4"/>
    <w:rsid w:val="001F271B"/>
    <w:rsid w:val="001F6D10"/>
    <w:rsid w:val="001F7642"/>
    <w:rsid w:val="002006BD"/>
    <w:rsid w:val="0020136A"/>
    <w:rsid w:val="00204C47"/>
    <w:rsid w:val="0020592F"/>
    <w:rsid w:val="00211447"/>
    <w:rsid w:val="0021633A"/>
    <w:rsid w:val="002255F7"/>
    <w:rsid w:val="002260FF"/>
    <w:rsid w:val="0023112B"/>
    <w:rsid w:val="0023231A"/>
    <w:rsid w:val="00237ADF"/>
    <w:rsid w:val="00245B44"/>
    <w:rsid w:val="00245D81"/>
    <w:rsid w:val="0024767D"/>
    <w:rsid w:val="002503C3"/>
    <w:rsid w:val="00251167"/>
    <w:rsid w:val="002550A7"/>
    <w:rsid w:val="00255596"/>
    <w:rsid w:val="00255DCB"/>
    <w:rsid w:val="00255EB0"/>
    <w:rsid w:val="00261F43"/>
    <w:rsid w:val="002625FB"/>
    <w:rsid w:val="00263A63"/>
    <w:rsid w:val="00264387"/>
    <w:rsid w:val="00264A5A"/>
    <w:rsid w:val="00264A6F"/>
    <w:rsid w:val="002662B4"/>
    <w:rsid w:val="0026675D"/>
    <w:rsid w:val="00267635"/>
    <w:rsid w:val="00277A59"/>
    <w:rsid w:val="002801F8"/>
    <w:rsid w:val="0028150E"/>
    <w:rsid w:val="00281FD4"/>
    <w:rsid w:val="00283A82"/>
    <w:rsid w:val="002851F2"/>
    <w:rsid w:val="00291EBD"/>
    <w:rsid w:val="00293CDE"/>
    <w:rsid w:val="00294FB6"/>
    <w:rsid w:val="002A55F7"/>
    <w:rsid w:val="002B37B6"/>
    <w:rsid w:val="002B7621"/>
    <w:rsid w:val="002C1CA0"/>
    <w:rsid w:val="002C6940"/>
    <w:rsid w:val="002C6AF0"/>
    <w:rsid w:val="002C6E07"/>
    <w:rsid w:val="002C741B"/>
    <w:rsid w:val="002D0EB0"/>
    <w:rsid w:val="002D2014"/>
    <w:rsid w:val="002D247E"/>
    <w:rsid w:val="002D35CA"/>
    <w:rsid w:val="002E003F"/>
    <w:rsid w:val="002E195D"/>
    <w:rsid w:val="002E2DBA"/>
    <w:rsid w:val="002E3986"/>
    <w:rsid w:val="002E6A48"/>
    <w:rsid w:val="002E7082"/>
    <w:rsid w:val="002F3AE3"/>
    <w:rsid w:val="002F4493"/>
    <w:rsid w:val="002F7E6F"/>
    <w:rsid w:val="00304D1A"/>
    <w:rsid w:val="00304D91"/>
    <w:rsid w:val="003060F2"/>
    <w:rsid w:val="0030786C"/>
    <w:rsid w:val="00312A62"/>
    <w:rsid w:val="00314097"/>
    <w:rsid w:val="00316683"/>
    <w:rsid w:val="00321AD9"/>
    <w:rsid w:val="00331C6A"/>
    <w:rsid w:val="00336770"/>
    <w:rsid w:val="00341202"/>
    <w:rsid w:val="00341A36"/>
    <w:rsid w:val="00341BEE"/>
    <w:rsid w:val="003423DA"/>
    <w:rsid w:val="00343286"/>
    <w:rsid w:val="0034680F"/>
    <w:rsid w:val="0035066E"/>
    <w:rsid w:val="00350BE1"/>
    <w:rsid w:val="00350DBE"/>
    <w:rsid w:val="003561A7"/>
    <w:rsid w:val="003657DB"/>
    <w:rsid w:val="0036588B"/>
    <w:rsid w:val="00370326"/>
    <w:rsid w:val="00380792"/>
    <w:rsid w:val="003808E4"/>
    <w:rsid w:val="0038248B"/>
    <w:rsid w:val="00383800"/>
    <w:rsid w:val="00386683"/>
    <w:rsid w:val="003873C6"/>
    <w:rsid w:val="003917D2"/>
    <w:rsid w:val="00392002"/>
    <w:rsid w:val="00392A85"/>
    <w:rsid w:val="00396027"/>
    <w:rsid w:val="00396AFB"/>
    <w:rsid w:val="003A2C98"/>
    <w:rsid w:val="003A70CE"/>
    <w:rsid w:val="003B27F4"/>
    <w:rsid w:val="003B2D04"/>
    <w:rsid w:val="003C297A"/>
    <w:rsid w:val="003C540E"/>
    <w:rsid w:val="003C5F0C"/>
    <w:rsid w:val="003D17F9"/>
    <w:rsid w:val="003D3806"/>
    <w:rsid w:val="003D437B"/>
    <w:rsid w:val="003D4829"/>
    <w:rsid w:val="003E197F"/>
    <w:rsid w:val="003E1C95"/>
    <w:rsid w:val="003E6E73"/>
    <w:rsid w:val="003E76C8"/>
    <w:rsid w:val="003F3B06"/>
    <w:rsid w:val="003F3F0B"/>
    <w:rsid w:val="0040152C"/>
    <w:rsid w:val="00402CBA"/>
    <w:rsid w:val="0040604F"/>
    <w:rsid w:val="00412E9D"/>
    <w:rsid w:val="00414952"/>
    <w:rsid w:val="00421955"/>
    <w:rsid w:val="00423013"/>
    <w:rsid w:val="00423210"/>
    <w:rsid w:val="00425504"/>
    <w:rsid w:val="0042727E"/>
    <w:rsid w:val="004305D6"/>
    <w:rsid w:val="004377EE"/>
    <w:rsid w:val="00440CC0"/>
    <w:rsid w:val="00440D73"/>
    <w:rsid w:val="004437F3"/>
    <w:rsid w:val="004460F4"/>
    <w:rsid w:val="00447D31"/>
    <w:rsid w:val="00452849"/>
    <w:rsid w:val="00455560"/>
    <w:rsid w:val="00456385"/>
    <w:rsid w:val="00457050"/>
    <w:rsid w:val="00465AB0"/>
    <w:rsid w:val="00466B2A"/>
    <w:rsid w:val="00470AB8"/>
    <w:rsid w:val="00476A51"/>
    <w:rsid w:val="00477E9B"/>
    <w:rsid w:val="00482ECA"/>
    <w:rsid w:val="00485776"/>
    <w:rsid w:val="00485794"/>
    <w:rsid w:val="004867E2"/>
    <w:rsid w:val="00486826"/>
    <w:rsid w:val="0048784D"/>
    <w:rsid w:val="00493AA0"/>
    <w:rsid w:val="00495ECB"/>
    <w:rsid w:val="004A0670"/>
    <w:rsid w:val="004A20CD"/>
    <w:rsid w:val="004A4851"/>
    <w:rsid w:val="004A5C81"/>
    <w:rsid w:val="004B0417"/>
    <w:rsid w:val="004B2999"/>
    <w:rsid w:val="004C04EB"/>
    <w:rsid w:val="004C3664"/>
    <w:rsid w:val="004C4927"/>
    <w:rsid w:val="004C6833"/>
    <w:rsid w:val="004C7A53"/>
    <w:rsid w:val="004D5E77"/>
    <w:rsid w:val="004E067A"/>
    <w:rsid w:val="004E179B"/>
    <w:rsid w:val="004E2389"/>
    <w:rsid w:val="004E50C2"/>
    <w:rsid w:val="004E58C1"/>
    <w:rsid w:val="004E68E9"/>
    <w:rsid w:val="004E69D5"/>
    <w:rsid w:val="004F02E6"/>
    <w:rsid w:val="004F0DB8"/>
    <w:rsid w:val="004F412D"/>
    <w:rsid w:val="00505824"/>
    <w:rsid w:val="00506F65"/>
    <w:rsid w:val="0051563D"/>
    <w:rsid w:val="005179C7"/>
    <w:rsid w:val="0052107C"/>
    <w:rsid w:val="005221B7"/>
    <w:rsid w:val="005236D6"/>
    <w:rsid w:val="005263A6"/>
    <w:rsid w:val="00530100"/>
    <w:rsid w:val="00536E0C"/>
    <w:rsid w:val="005408C7"/>
    <w:rsid w:val="005422E7"/>
    <w:rsid w:val="00542792"/>
    <w:rsid w:val="005437FD"/>
    <w:rsid w:val="00544A4E"/>
    <w:rsid w:val="00547227"/>
    <w:rsid w:val="00552A92"/>
    <w:rsid w:val="00552C27"/>
    <w:rsid w:val="00553E33"/>
    <w:rsid w:val="00555C4C"/>
    <w:rsid w:val="00555D6E"/>
    <w:rsid w:val="00557D95"/>
    <w:rsid w:val="0056027E"/>
    <w:rsid w:val="00562F72"/>
    <w:rsid w:val="0056304B"/>
    <w:rsid w:val="00565356"/>
    <w:rsid w:val="00566B97"/>
    <w:rsid w:val="00570C6C"/>
    <w:rsid w:val="0057128C"/>
    <w:rsid w:val="0057436F"/>
    <w:rsid w:val="0057518C"/>
    <w:rsid w:val="00577EE4"/>
    <w:rsid w:val="00584334"/>
    <w:rsid w:val="00590824"/>
    <w:rsid w:val="00591A14"/>
    <w:rsid w:val="0059380A"/>
    <w:rsid w:val="0059724C"/>
    <w:rsid w:val="005A1AA7"/>
    <w:rsid w:val="005A4D0B"/>
    <w:rsid w:val="005A61B4"/>
    <w:rsid w:val="005A65E0"/>
    <w:rsid w:val="005A735B"/>
    <w:rsid w:val="005B04D8"/>
    <w:rsid w:val="005B4407"/>
    <w:rsid w:val="005C1496"/>
    <w:rsid w:val="005C5EF4"/>
    <w:rsid w:val="005C6AAE"/>
    <w:rsid w:val="005D0443"/>
    <w:rsid w:val="005D1073"/>
    <w:rsid w:val="005D1804"/>
    <w:rsid w:val="005D2770"/>
    <w:rsid w:val="005D4FF8"/>
    <w:rsid w:val="005D5D06"/>
    <w:rsid w:val="005D62B5"/>
    <w:rsid w:val="005E2614"/>
    <w:rsid w:val="005E7144"/>
    <w:rsid w:val="005F1E4A"/>
    <w:rsid w:val="005F6A67"/>
    <w:rsid w:val="00604702"/>
    <w:rsid w:val="00604AAF"/>
    <w:rsid w:val="00605631"/>
    <w:rsid w:val="00607B0B"/>
    <w:rsid w:val="00611870"/>
    <w:rsid w:val="00614E29"/>
    <w:rsid w:val="0062216A"/>
    <w:rsid w:val="00623DB3"/>
    <w:rsid w:val="00625634"/>
    <w:rsid w:val="00625EC1"/>
    <w:rsid w:val="00626F7D"/>
    <w:rsid w:val="00630199"/>
    <w:rsid w:val="0063097F"/>
    <w:rsid w:val="006317C9"/>
    <w:rsid w:val="00632475"/>
    <w:rsid w:val="00632C35"/>
    <w:rsid w:val="006340B0"/>
    <w:rsid w:val="00634198"/>
    <w:rsid w:val="00641773"/>
    <w:rsid w:val="00641CB0"/>
    <w:rsid w:val="0064239F"/>
    <w:rsid w:val="006456F1"/>
    <w:rsid w:val="00656582"/>
    <w:rsid w:val="00656A90"/>
    <w:rsid w:val="00657DD2"/>
    <w:rsid w:val="00664B6D"/>
    <w:rsid w:val="00664F67"/>
    <w:rsid w:val="006655E2"/>
    <w:rsid w:val="00667658"/>
    <w:rsid w:val="00670F54"/>
    <w:rsid w:val="006728F9"/>
    <w:rsid w:val="00673927"/>
    <w:rsid w:val="006746DA"/>
    <w:rsid w:val="006765C3"/>
    <w:rsid w:val="006767BC"/>
    <w:rsid w:val="006803BA"/>
    <w:rsid w:val="00682FBB"/>
    <w:rsid w:val="006922F5"/>
    <w:rsid w:val="006947D9"/>
    <w:rsid w:val="0069645B"/>
    <w:rsid w:val="006A16DD"/>
    <w:rsid w:val="006A1DE6"/>
    <w:rsid w:val="006A2587"/>
    <w:rsid w:val="006B3CFC"/>
    <w:rsid w:val="006C0CD8"/>
    <w:rsid w:val="006C5AEE"/>
    <w:rsid w:val="006C679A"/>
    <w:rsid w:val="006D09FE"/>
    <w:rsid w:val="006D0C40"/>
    <w:rsid w:val="006D15C1"/>
    <w:rsid w:val="006D4BF9"/>
    <w:rsid w:val="006D732F"/>
    <w:rsid w:val="006D7DFF"/>
    <w:rsid w:val="006E4597"/>
    <w:rsid w:val="006E688D"/>
    <w:rsid w:val="006F1432"/>
    <w:rsid w:val="006F7964"/>
    <w:rsid w:val="007028EC"/>
    <w:rsid w:val="007029C7"/>
    <w:rsid w:val="0070353E"/>
    <w:rsid w:val="007035D8"/>
    <w:rsid w:val="0070703E"/>
    <w:rsid w:val="00707D22"/>
    <w:rsid w:val="007103BE"/>
    <w:rsid w:val="00711E21"/>
    <w:rsid w:val="00712832"/>
    <w:rsid w:val="00712F44"/>
    <w:rsid w:val="00713F05"/>
    <w:rsid w:val="00714DC0"/>
    <w:rsid w:val="00715168"/>
    <w:rsid w:val="0071583E"/>
    <w:rsid w:val="0071637F"/>
    <w:rsid w:val="00716597"/>
    <w:rsid w:val="00716FED"/>
    <w:rsid w:val="00722691"/>
    <w:rsid w:val="007238E8"/>
    <w:rsid w:val="0072413F"/>
    <w:rsid w:val="00725FB9"/>
    <w:rsid w:val="00730020"/>
    <w:rsid w:val="007317D4"/>
    <w:rsid w:val="007333AD"/>
    <w:rsid w:val="007360BF"/>
    <w:rsid w:val="00737D4D"/>
    <w:rsid w:val="007406E6"/>
    <w:rsid w:val="00741B6C"/>
    <w:rsid w:val="00746CCD"/>
    <w:rsid w:val="00747CE1"/>
    <w:rsid w:val="007517A6"/>
    <w:rsid w:val="007545C7"/>
    <w:rsid w:val="00756A7B"/>
    <w:rsid w:val="0076005C"/>
    <w:rsid w:val="0076111D"/>
    <w:rsid w:val="0076304B"/>
    <w:rsid w:val="007635C1"/>
    <w:rsid w:val="00766B42"/>
    <w:rsid w:val="0076731D"/>
    <w:rsid w:val="00767650"/>
    <w:rsid w:val="00767A90"/>
    <w:rsid w:val="00770588"/>
    <w:rsid w:val="00770EDE"/>
    <w:rsid w:val="0077624B"/>
    <w:rsid w:val="0078070C"/>
    <w:rsid w:val="00780D46"/>
    <w:rsid w:val="00784541"/>
    <w:rsid w:val="00787790"/>
    <w:rsid w:val="007907DF"/>
    <w:rsid w:val="00794DF2"/>
    <w:rsid w:val="007968CC"/>
    <w:rsid w:val="00796907"/>
    <w:rsid w:val="00796FB7"/>
    <w:rsid w:val="0079708B"/>
    <w:rsid w:val="007B04A9"/>
    <w:rsid w:val="007B16AC"/>
    <w:rsid w:val="007B1D5C"/>
    <w:rsid w:val="007B5D05"/>
    <w:rsid w:val="007B5D1E"/>
    <w:rsid w:val="007C1B43"/>
    <w:rsid w:val="007C2217"/>
    <w:rsid w:val="007C26F7"/>
    <w:rsid w:val="007C2D74"/>
    <w:rsid w:val="007C2E29"/>
    <w:rsid w:val="007C35DE"/>
    <w:rsid w:val="007C471C"/>
    <w:rsid w:val="007C52D3"/>
    <w:rsid w:val="007D41CC"/>
    <w:rsid w:val="007D4258"/>
    <w:rsid w:val="007E000D"/>
    <w:rsid w:val="007E175B"/>
    <w:rsid w:val="007E3F8A"/>
    <w:rsid w:val="007F3645"/>
    <w:rsid w:val="007F58DD"/>
    <w:rsid w:val="007F6791"/>
    <w:rsid w:val="007F6820"/>
    <w:rsid w:val="00801B2B"/>
    <w:rsid w:val="00802131"/>
    <w:rsid w:val="0080270B"/>
    <w:rsid w:val="00804C9B"/>
    <w:rsid w:val="00805E44"/>
    <w:rsid w:val="00811C26"/>
    <w:rsid w:val="00812029"/>
    <w:rsid w:val="00812A44"/>
    <w:rsid w:val="00820059"/>
    <w:rsid w:val="008264EB"/>
    <w:rsid w:val="00827924"/>
    <w:rsid w:val="00830756"/>
    <w:rsid w:val="00836B34"/>
    <w:rsid w:val="00837A90"/>
    <w:rsid w:val="00842146"/>
    <w:rsid w:val="00854B1D"/>
    <w:rsid w:val="00855A49"/>
    <w:rsid w:val="00856DF5"/>
    <w:rsid w:val="00857091"/>
    <w:rsid w:val="00857E76"/>
    <w:rsid w:val="0086059A"/>
    <w:rsid w:val="00865932"/>
    <w:rsid w:val="00872059"/>
    <w:rsid w:val="008724DB"/>
    <w:rsid w:val="00873673"/>
    <w:rsid w:val="008803A1"/>
    <w:rsid w:val="0088122A"/>
    <w:rsid w:val="008839CD"/>
    <w:rsid w:val="00892AC8"/>
    <w:rsid w:val="00897E5A"/>
    <w:rsid w:val="008A07AF"/>
    <w:rsid w:val="008A1653"/>
    <w:rsid w:val="008A4580"/>
    <w:rsid w:val="008A4AC8"/>
    <w:rsid w:val="008A4E8B"/>
    <w:rsid w:val="008A58F9"/>
    <w:rsid w:val="008B014E"/>
    <w:rsid w:val="008B22C7"/>
    <w:rsid w:val="008D09DE"/>
    <w:rsid w:val="008D5AFD"/>
    <w:rsid w:val="008E1453"/>
    <w:rsid w:val="008E3658"/>
    <w:rsid w:val="008E4801"/>
    <w:rsid w:val="008E59EB"/>
    <w:rsid w:val="008E5D6A"/>
    <w:rsid w:val="008F26C0"/>
    <w:rsid w:val="008F6BE7"/>
    <w:rsid w:val="008F714D"/>
    <w:rsid w:val="00901462"/>
    <w:rsid w:val="00901D6C"/>
    <w:rsid w:val="00902A76"/>
    <w:rsid w:val="00904474"/>
    <w:rsid w:val="0091137C"/>
    <w:rsid w:val="0091384C"/>
    <w:rsid w:val="009213F3"/>
    <w:rsid w:val="0092204C"/>
    <w:rsid w:val="00922DEE"/>
    <w:rsid w:val="009238AA"/>
    <w:rsid w:val="009244B8"/>
    <w:rsid w:val="00925748"/>
    <w:rsid w:val="00932407"/>
    <w:rsid w:val="00933B21"/>
    <w:rsid w:val="00933EC2"/>
    <w:rsid w:val="00936C8E"/>
    <w:rsid w:val="00941048"/>
    <w:rsid w:val="009424A5"/>
    <w:rsid w:val="00943917"/>
    <w:rsid w:val="00950089"/>
    <w:rsid w:val="00952F08"/>
    <w:rsid w:val="0095539D"/>
    <w:rsid w:val="00957E40"/>
    <w:rsid w:val="00957E88"/>
    <w:rsid w:val="00961B39"/>
    <w:rsid w:val="00961FBE"/>
    <w:rsid w:val="00964277"/>
    <w:rsid w:val="0096474D"/>
    <w:rsid w:val="0097582E"/>
    <w:rsid w:val="00977D26"/>
    <w:rsid w:val="00977E26"/>
    <w:rsid w:val="009805EC"/>
    <w:rsid w:val="00982014"/>
    <w:rsid w:val="00984227"/>
    <w:rsid w:val="00984855"/>
    <w:rsid w:val="00985578"/>
    <w:rsid w:val="009904EA"/>
    <w:rsid w:val="009907D7"/>
    <w:rsid w:val="0099161E"/>
    <w:rsid w:val="00991AF5"/>
    <w:rsid w:val="0099343F"/>
    <w:rsid w:val="00995094"/>
    <w:rsid w:val="00997E99"/>
    <w:rsid w:val="009A007B"/>
    <w:rsid w:val="009A0425"/>
    <w:rsid w:val="009A263C"/>
    <w:rsid w:val="009A507C"/>
    <w:rsid w:val="009B053D"/>
    <w:rsid w:val="009B3E5D"/>
    <w:rsid w:val="009B64E3"/>
    <w:rsid w:val="009B7FC0"/>
    <w:rsid w:val="009C5964"/>
    <w:rsid w:val="009C672E"/>
    <w:rsid w:val="009C77A3"/>
    <w:rsid w:val="009D0B90"/>
    <w:rsid w:val="009D3827"/>
    <w:rsid w:val="009D6852"/>
    <w:rsid w:val="009E0725"/>
    <w:rsid w:val="009E0D48"/>
    <w:rsid w:val="009E1F38"/>
    <w:rsid w:val="009E5D18"/>
    <w:rsid w:val="009E6B78"/>
    <w:rsid w:val="009E6D37"/>
    <w:rsid w:val="009F1DCD"/>
    <w:rsid w:val="009F1EC9"/>
    <w:rsid w:val="009F33F8"/>
    <w:rsid w:val="009F450D"/>
    <w:rsid w:val="009F4ACF"/>
    <w:rsid w:val="009F5557"/>
    <w:rsid w:val="00A02BFF"/>
    <w:rsid w:val="00A02E7D"/>
    <w:rsid w:val="00A0554C"/>
    <w:rsid w:val="00A1015B"/>
    <w:rsid w:val="00A11A7D"/>
    <w:rsid w:val="00A12770"/>
    <w:rsid w:val="00A139AB"/>
    <w:rsid w:val="00A15082"/>
    <w:rsid w:val="00A16AEE"/>
    <w:rsid w:val="00A31989"/>
    <w:rsid w:val="00A32E28"/>
    <w:rsid w:val="00A33112"/>
    <w:rsid w:val="00A35BEA"/>
    <w:rsid w:val="00A369E8"/>
    <w:rsid w:val="00A4199A"/>
    <w:rsid w:val="00A44F99"/>
    <w:rsid w:val="00A4512D"/>
    <w:rsid w:val="00A541E1"/>
    <w:rsid w:val="00A54775"/>
    <w:rsid w:val="00A5502C"/>
    <w:rsid w:val="00A5694A"/>
    <w:rsid w:val="00A65795"/>
    <w:rsid w:val="00A6672E"/>
    <w:rsid w:val="00A705AF"/>
    <w:rsid w:val="00A7126D"/>
    <w:rsid w:val="00A72916"/>
    <w:rsid w:val="00A73C2F"/>
    <w:rsid w:val="00A75B58"/>
    <w:rsid w:val="00A76BE9"/>
    <w:rsid w:val="00A77349"/>
    <w:rsid w:val="00A7740A"/>
    <w:rsid w:val="00A81D72"/>
    <w:rsid w:val="00A931E2"/>
    <w:rsid w:val="00A93A18"/>
    <w:rsid w:val="00A950F6"/>
    <w:rsid w:val="00A964DB"/>
    <w:rsid w:val="00A96DED"/>
    <w:rsid w:val="00AA0055"/>
    <w:rsid w:val="00AA0A90"/>
    <w:rsid w:val="00AA3A3E"/>
    <w:rsid w:val="00AA603A"/>
    <w:rsid w:val="00AA6DC2"/>
    <w:rsid w:val="00AA7B58"/>
    <w:rsid w:val="00AB0A6E"/>
    <w:rsid w:val="00AB221C"/>
    <w:rsid w:val="00AB40AB"/>
    <w:rsid w:val="00AB64E5"/>
    <w:rsid w:val="00AB6E76"/>
    <w:rsid w:val="00AB6ED9"/>
    <w:rsid w:val="00AB6F9B"/>
    <w:rsid w:val="00AC637F"/>
    <w:rsid w:val="00AD01B4"/>
    <w:rsid w:val="00AD055C"/>
    <w:rsid w:val="00AD52A0"/>
    <w:rsid w:val="00AD5717"/>
    <w:rsid w:val="00AE05BB"/>
    <w:rsid w:val="00AE0BA6"/>
    <w:rsid w:val="00AE3267"/>
    <w:rsid w:val="00AE75C9"/>
    <w:rsid w:val="00AF6154"/>
    <w:rsid w:val="00AF72C1"/>
    <w:rsid w:val="00AF7927"/>
    <w:rsid w:val="00B01BA9"/>
    <w:rsid w:val="00B07615"/>
    <w:rsid w:val="00B1218D"/>
    <w:rsid w:val="00B163F6"/>
    <w:rsid w:val="00B20701"/>
    <w:rsid w:val="00B213FD"/>
    <w:rsid w:val="00B22D95"/>
    <w:rsid w:val="00B24DF4"/>
    <w:rsid w:val="00B264E7"/>
    <w:rsid w:val="00B2665E"/>
    <w:rsid w:val="00B302B4"/>
    <w:rsid w:val="00B30753"/>
    <w:rsid w:val="00B328AF"/>
    <w:rsid w:val="00B32C79"/>
    <w:rsid w:val="00B32DD1"/>
    <w:rsid w:val="00B37148"/>
    <w:rsid w:val="00B3720C"/>
    <w:rsid w:val="00B37974"/>
    <w:rsid w:val="00B37ABB"/>
    <w:rsid w:val="00B41409"/>
    <w:rsid w:val="00B41627"/>
    <w:rsid w:val="00B42851"/>
    <w:rsid w:val="00B456E0"/>
    <w:rsid w:val="00B459E9"/>
    <w:rsid w:val="00B47076"/>
    <w:rsid w:val="00B5113E"/>
    <w:rsid w:val="00B56B37"/>
    <w:rsid w:val="00B57759"/>
    <w:rsid w:val="00B60D44"/>
    <w:rsid w:val="00B60D86"/>
    <w:rsid w:val="00B617B4"/>
    <w:rsid w:val="00B63148"/>
    <w:rsid w:val="00B67F09"/>
    <w:rsid w:val="00B70D30"/>
    <w:rsid w:val="00B732F1"/>
    <w:rsid w:val="00B904EC"/>
    <w:rsid w:val="00B91269"/>
    <w:rsid w:val="00B91454"/>
    <w:rsid w:val="00B93CD5"/>
    <w:rsid w:val="00B9432A"/>
    <w:rsid w:val="00B95A67"/>
    <w:rsid w:val="00B96A84"/>
    <w:rsid w:val="00BA0015"/>
    <w:rsid w:val="00BA2A5D"/>
    <w:rsid w:val="00BA2DE8"/>
    <w:rsid w:val="00BA4AEE"/>
    <w:rsid w:val="00BA6E0D"/>
    <w:rsid w:val="00BB2D0A"/>
    <w:rsid w:val="00BC07E4"/>
    <w:rsid w:val="00BC4293"/>
    <w:rsid w:val="00BC4CA8"/>
    <w:rsid w:val="00BC4D09"/>
    <w:rsid w:val="00BC5E26"/>
    <w:rsid w:val="00BD0B57"/>
    <w:rsid w:val="00BD2245"/>
    <w:rsid w:val="00BD5F76"/>
    <w:rsid w:val="00BD649D"/>
    <w:rsid w:val="00BD7EE2"/>
    <w:rsid w:val="00BE0DE7"/>
    <w:rsid w:val="00BE6832"/>
    <w:rsid w:val="00BF2561"/>
    <w:rsid w:val="00BF5905"/>
    <w:rsid w:val="00BF6152"/>
    <w:rsid w:val="00C025A9"/>
    <w:rsid w:val="00C06314"/>
    <w:rsid w:val="00C10135"/>
    <w:rsid w:val="00C123DF"/>
    <w:rsid w:val="00C12706"/>
    <w:rsid w:val="00C203E8"/>
    <w:rsid w:val="00C206EE"/>
    <w:rsid w:val="00C23604"/>
    <w:rsid w:val="00C268AC"/>
    <w:rsid w:val="00C308FA"/>
    <w:rsid w:val="00C31839"/>
    <w:rsid w:val="00C31A7F"/>
    <w:rsid w:val="00C32280"/>
    <w:rsid w:val="00C33D29"/>
    <w:rsid w:val="00C347AC"/>
    <w:rsid w:val="00C35287"/>
    <w:rsid w:val="00C35DEC"/>
    <w:rsid w:val="00C35F32"/>
    <w:rsid w:val="00C436EE"/>
    <w:rsid w:val="00C477AC"/>
    <w:rsid w:val="00C51BE7"/>
    <w:rsid w:val="00C53C65"/>
    <w:rsid w:val="00C54241"/>
    <w:rsid w:val="00C565EF"/>
    <w:rsid w:val="00C57614"/>
    <w:rsid w:val="00C57EC0"/>
    <w:rsid w:val="00C618D7"/>
    <w:rsid w:val="00C624CC"/>
    <w:rsid w:val="00C625E7"/>
    <w:rsid w:val="00C63431"/>
    <w:rsid w:val="00C63C14"/>
    <w:rsid w:val="00C64901"/>
    <w:rsid w:val="00C64BBB"/>
    <w:rsid w:val="00C64D00"/>
    <w:rsid w:val="00C66A41"/>
    <w:rsid w:val="00C71394"/>
    <w:rsid w:val="00C728E5"/>
    <w:rsid w:val="00C74935"/>
    <w:rsid w:val="00C7543A"/>
    <w:rsid w:val="00C76AE0"/>
    <w:rsid w:val="00C84B06"/>
    <w:rsid w:val="00C85E91"/>
    <w:rsid w:val="00C873FE"/>
    <w:rsid w:val="00C911AD"/>
    <w:rsid w:val="00C942B1"/>
    <w:rsid w:val="00CA04C6"/>
    <w:rsid w:val="00CB0684"/>
    <w:rsid w:val="00CB2190"/>
    <w:rsid w:val="00CB2787"/>
    <w:rsid w:val="00CB5999"/>
    <w:rsid w:val="00CB5B1A"/>
    <w:rsid w:val="00CB733F"/>
    <w:rsid w:val="00CC36EF"/>
    <w:rsid w:val="00CC4B4F"/>
    <w:rsid w:val="00CC4B8E"/>
    <w:rsid w:val="00CC697B"/>
    <w:rsid w:val="00CC7207"/>
    <w:rsid w:val="00CD2A31"/>
    <w:rsid w:val="00CE16CC"/>
    <w:rsid w:val="00CE1712"/>
    <w:rsid w:val="00CE3387"/>
    <w:rsid w:val="00CE3A39"/>
    <w:rsid w:val="00CE7355"/>
    <w:rsid w:val="00CF3753"/>
    <w:rsid w:val="00CF4118"/>
    <w:rsid w:val="00CF6318"/>
    <w:rsid w:val="00CF702F"/>
    <w:rsid w:val="00CF7A77"/>
    <w:rsid w:val="00D02C07"/>
    <w:rsid w:val="00D05CB2"/>
    <w:rsid w:val="00D07C0D"/>
    <w:rsid w:val="00D10D90"/>
    <w:rsid w:val="00D116AD"/>
    <w:rsid w:val="00D13C42"/>
    <w:rsid w:val="00D15BB6"/>
    <w:rsid w:val="00D16B25"/>
    <w:rsid w:val="00D20AD1"/>
    <w:rsid w:val="00D2252A"/>
    <w:rsid w:val="00D23EFE"/>
    <w:rsid w:val="00D24922"/>
    <w:rsid w:val="00D301EA"/>
    <w:rsid w:val="00D31DC2"/>
    <w:rsid w:val="00D379ED"/>
    <w:rsid w:val="00D41AE5"/>
    <w:rsid w:val="00D429E0"/>
    <w:rsid w:val="00D42B9A"/>
    <w:rsid w:val="00D446AF"/>
    <w:rsid w:val="00D469E4"/>
    <w:rsid w:val="00D46A3D"/>
    <w:rsid w:val="00D4728F"/>
    <w:rsid w:val="00D50F47"/>
    <w:rsid w:val="00D5318D"/>
    <w:rsid w:val="00D5354B"/>
    <w:rsid w:val="00D563D0"/>
    <w:rsid w:val="00D60E62"/>
    <w:rsid w:val="00D738DB"/>
    <w:rsid w:val="00D73FE2"/>
    <w:rsid w:val="00D7465B"/>
    <w:rsid w:val="00D77741"/>
    <w:rsid w:val="00D81026"/>
    <w:rsid w:val="00D812BD"/>
    <w:rsid w:val="00D84622"/>
    <w:rsid w:val="00D87CBD"/>
    <w:rsid w:val="00D90CC5"/>
    <w:rsid w:val="00D9306A"/>
    <w:rsid w:val="00D944BF"/>
    <w:rsid w:val="00D96327"/>
    <w:rsid w:val="00D96578"/>
    <w:rsid w:val="00DA3C7F"/>
    <w:rsid w:val="00DB07A4"/>
    <w:rsid w:val="00DB5454"/>
    <w:rsid w:val="00DB5911"/>
    <w:rsid w:val="00DB59C2"/>
    <w:rsid w:val="00DC0477"/>
    <w:rsid w:val="00DC0644"/>
    <w:rsid w:val="00DC0D24"/>
    <w:rsid w:val="00DD047B"/>
    <w:rsid w:val="00DD2538"/>
    <w:rsid w:val="00DD5D99"/>
    <w:rsid w:val="00DD6F15"/>
    <w:rsid w:val="00DE0742"/>
    <w:rsid w:val="00DE3C4E"/>
    <w:rsid w:val="00DE54F7"/>
    <w:rsid w:val="00DE5D9E"/>
    <w:rsid w:val="00DE75D8"/>
    <w:rsid w:val="00DE7D58"/>
    <w:rsid w:val="00DF0B12"/>
    <w:rsid w:val="00DF3751"/>
    <w:rsid w:val="00DF4412"/>
    <w:rsid w:val="00DF515C"/>
    <w:rsid w:val="00DF5695"/>
    <w:rsid w:val="00E015E6"/>
    <w:rsid w:val="00E05B44"/>
    <w:rsid w:val="00E066B4"/>
    <w:rsid w:val="00E06E77"/>
    <w:rsid w:val="00E13C5C"/>
    <w:rsid w:val="00E209BF"/>
    <w:rsid w:val="00E22F60"/>
    <w:rsid w:val="00E236C6"/>
    <w:rsid w:val="00E3115C"/>
    <w:rsid w:val="00E34876"/>
    <w:rsid w:val="00E34F33"/>
    <w:rsid w:val="00E35CBB"/>
    <w:rsid w:val="00E35DC5"/>
    <w:rsid w:val="00E40F95"/>
    <w:rsid w:val="00E41CF8"/>
    <w:rsid w:val="00E4269D"/>
    <w:rsid w:val="00E4312B"/>
    <w:rsid w:val="00E44FAB"/>
    <w:rsid w:val="00E57576"/>
    <w:rsid w:val="00E604B3"/>
    <w:rsid w:val="00E60650"/>
    <w:rsid w:val="00E60EE1"/>
    <w:rsid w:val="00E6109E"/>
    <w:rsid w:val="00E62491"/>
    <w:rsid w:val="00E671B6"/>
    <w:rsid w:val="00E708F6"/>
    <w:rsid w:val="00E716B4"/>
    <w:rsid w:val="00E7210E"/>
    <w:rsid w:val="00E72B32"/>
    <w:rsid w:val="00E7744A"/>
    <w:rsid w:val="00E8059C"/>
    <w:rsid w:val="00E83ADE"/>
    <w:rsid w:val="00E85A8F"/>
    <w:rsid w:val="00E86B67"/>
    <w:rsid w:val="00E9314D"/>
    <w:rsid w:val="00E951BD"/>
    <w:rsid w:val="00E95DFC"/>
    <w:rsid w:val="00E9757D"/>
    <w:rsid w:val="00E97B23"/>
    <w:rsid w:val="00EA0B96"/>
    <w:rsid w:val="00EA2A38"/>
    <w:rsid w:val="00EA33D5"/>
    <w:rsid w:val="00EA5E02"/>
    <w:rsid w:val="00EA5FD0"/>
    <w:rsid w:val="00EA63B1"/>
    <w:rsid w:val="00EA65DA"/>
    <w:rsid w:val="00EB0020"/>
    <w:rsid w:val="00EB068A"/>
    <w:rsid w:val="00EB5E66"/>
    <w:rsid w:val="00EC1D6D"/>
    <w:rsid w:val="00EC7D3F"/>
    <w:rsid w:val="00ED0468"/>
    <w:rsid w:val="00ED0DD3"/>
    <w:rsid w:val="00ED5F04"/>
    <w:rsid w:val="00ED648B"/>
    <w:rsid w:val="00EE16DD"/>
    <w:rsid w:val="00EE2AE5"/>
    <w:rsid w:val="00EE31B0"/>
    <w:rsid w:val="00EE356F"/>
    <w:rsid w:val="00EE397E"/>
    <w:rsid w:val="00EE65B1"/>
    <w:rsid w:val="00EF1C55"/>
    <w:rsid w:val="00EF1C95"/>
    <w:rsid w:val="00EF23C0"/>
    <w:rsid w:val="00EF2774"/>
    <w:rsid w:val="00EF3163"/>
    <w:rsid w:val="00EF4059"/>
    <w:rsid w:val="00EF4E6B"/>
    <w:rsid w:val="00EF5586"/>
    <w:rsid w:val="00F00403"/>
    <w:rsid w:val="00F05832"/>
    <w:rsid w:val="00F067A6"/>
    <w:rsid w:val="00F078B7"/>
    <w:rsid w:val="00F07B77"/>
    <w:rsid w:val="00F100D6"/>
    <w:rsid w:val="00F11DD1"/>
    <w:rsid w:val="00F1278D"/>
    <w:rsid w:val="00F1326C"/>
    <w:rsid w:val="00F13409"/>
    <w:rsid w:val="00F14BFD"/>
    <w:rsid w:val="00F164D1"/>
    <w:rsid w:val="00F172EA"/>
    <w:rsid w:val="00F17566"/>
    <w:rsid w:val="00F20F84"/>
    <w:rsid w:val="00F22356"/>
    <w:rsid w:val="00F238F2"/>
    <w:rsid w:val="00F27D49"/>
    <w:rsid w:val="00F332B3"/>
    <w:rsid w:val="00F337D1"/>
    <w:rsid w:val="00F34D63"/>
    <w:rsid w:val="00F35F7A"/>
    <w:rsid w:val="00F41C35"/>
    <w:rsid w:val="00F4332F"/>
    <w:rsid w:val="00F4438C"/>
    <w:rsid w:val="00F46ED7"/>
    <w:rsid w:val="00F53CC1"/>
    <w:rsid w:val="00F549D7"/>
    <w:rsid w:val="00F55397"/>
    <w:rsid w:val="00F556DB"/>
    <w:rsid w:val="00F560D5"/>
    <w:rsid w:val="00F56325"/>
    <w:rsid w:val="00F73D95"/>
    <w:rsid w:val="00F77044"/>
    <w:rsid w:val="00F8015E"/>
    <w:rsid w:val="00F818A8"/>
    <w:rsid w:val="00F83598"/>
    <w:rsid w:val="00F85766"/>
    <w:rsid w:val="00F866FA"/>
    <w:rsid w:val="00F91869"/>
    <w:rsid w:val="00F91CCA"/>
    <w:rsid w:val="00F931D3"/>
    <w:rsid w:val="00F95769"/>
    <w:rsid w:val="00F96BA0"/>
    <w:rsid w:val="00FA289A"/>
    <w:rsid w:val="00FA3C5E"/>
    <w:rsid w:val="00FA4197"/>
    <w:rsid w:val="00FB375B"/>
    <w:rsid w:val="00FB5FF3"/>
    <w:rsid w:val="00FB6425"/>
    <w:rsid w:val="00FB6DAF"/>
    <w:rsid w:val="00FB6E3A"/>
    <w:rsid w:val="00FB722E"/>
    <w:rsid w:val="00FC0D53"/>
    <w:rsid w:val="00FC56B4"/>
    <w:rsid w:val="00FC7F5D"/>
    <w:rsid w:val="00FD1BC7"/>
    <w:rsid w:val="00FD1D84"/>
    <w:rsid w:val="00FD1F7D"/>
    <w:rsid w:val="00FD4E9C"/>
    <w:rsid w:val="00FD50A4"/>
    <w:rsid w:val="00FD744A"/>
    <w:rsid w:val="00FE03AB"/>
    <w:rsid w:val="00FE4538"/>
    <w:rsid w:val="00FE58D5"/>
    <w:rsid w:val="00FE5CA3"/>
    <w:rsid w:val="00FF0710"/>
    <w:rsid w:val="00FF08C3"/>
    <w:rsid w:val="00FF7C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61B55C"/>
  <w15:docId w15:val="{7B0E32F1-D7D7-41EC-B188-79C10EFAF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GB" w:bidi="ar-SA"/>
      </w:rPr>
    </w:rPrDefault>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22" w:qFormat="1"/>
    <w:lsdException w:name="Emphasis" w:locked="0" w:uiPriority="0"/>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1"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383800"/>
    <w:pPr>
      <w:spacing w:before="120" w:after="120"/>
    </w:pPr>
    <w:rPr>
      <w:sz w:val="22"/>
      <w:szCs w:val="22"/>
      <w:lang w:eastAsia="en-AU"/>
    </w:rPr>
  </w:style>
  <w:style w:type="paragraph" w:styleId="Heading1">
    <w:name w:val="heading 1"/>
    <w:basedOn w:val="Normal"/>
    <w:next w:val="Normal"/>
    <w:qFormat/>
    <w:rsid w:val="00F866FA"/>
    <w:pPr>
      <w:keepNext/>
      <w:keepLines/>
      <w:pageBreakBefore/>
      <w:spacing w:before="480" w:after="240"/>
      <w:outlineLvl w:val="0"/>
    </w:pPr>
    <w:rPr>
      <w:rFonts w:cs="Arial"/>
      <w:b/>
      <w:bCs/>
      <w:color w:val="005370"/>
      <w:kern w:val="28"/>
      <w:sz w:val="40"/>
      <w:szCs w:val="32"/>
    </w:rPr>
  </w:style>
  <w:style w:type="paragraph" w:styleId="Heading2">
    <w:name w:val="heading 2"/>
    <w:basedOn w:val="Heading1"/>
    <w:next w:val="Normal"/>
    <w:qFormat/>
    <w:rsid w:val="0071583E"/>
    <w:pPr>
      <w:pageBreakBefore w:val="0"/>
      <w:spacing w:before="360"/>
      <w:outlineLvl w:val="1"/>
    </w:pPr>
    <w:rPr>
      <w:bCs w:val="0"/>
      <w:iCs/>
      <w:sz w:val="32"/>
      <w:szCs w:val="28"/>
    </w:rPr>
  </w:style>
  <w:style w:type="paragraph" w:styleId="Heading3">
    <w:name w:val="heading 3"/>
    <w:basedOn w:val="Heading2"/>
    <w:next w:val="Normal"/>
    <w:link w:val="Heading3Char"/>
    <w:qFormat/>
    <w:rsid w:val="00A81D72"/>
    <w:pPr>
      <w:spacing w:before="300" w:after="180"/>
      <w:outlineLvl w:val="2"/>
    </w:pPr>
    <w:rPr>
      <w:bCs/>
      <w:sz w:val="28"/>
      <w:szCs w:val="26"/>
    </w:rPr>
  </w:style>
  <w:style w:type="paragraph" w:styleId="Heading4">
    <w:name w:val="heading 4"/>
    <w:basedOn w:val="Normal"/>
    <w:next w:val="Normal"/>
    <w:qFormat/>
    <w:rsid w:val="001A1EBD"/>
    <w:pPr>
      <w:keepNext/>
      <w:spacing w:before="240"/>
      <w:outlineLvl w:val="3"/>
    </w:pPr>
    <w:rPr>
      <w:b/>
      <w:bCs/>
      <w:color w:val="000000"/>
      <w:sz w:val="24"/>
      <w:szCs w:val="26"/>
    </w:rPr>
  </w:style>
  <w:style w:type="paragraph" w:styleId="Heading5">
    <w:name w:val="heading 5"/>
    <w:basedOn w:val="Normal"/>
    <w:next w:val="Normal"/>
    <w:qFormat/>
    <w:rsid w:val="001A1EBD"/>
    <w:pPr>
      <w:keepNext/>
      <w:spacing w:before="240"/>
      <w:outlineLvl w:val="4"/>
    </w:pPr>
    <w:rPr>
      <w:b/>
      <w:bCs/>
      <w:iCs/>
      <w:color w:val="404040"/>
    </w:rPr>
  </w:style>
  <w:style w:type="paragraph" w:styleId="Heading6">
    <w:name w:val="heading 6"/>
    <w:basedOn w:val="Normal"/>
    <w:next w:val="Normal"/>
    <w:uiPriority w:val="98"/>
    <w:locked/>
    <w:rsid w:val="007E3F8A"/>
    <w:pPr>
      <w:keepNext/>
      <w:outlineLvl w:val="5"/>
    </w:pPr>
    <w:rPr>
      <w:bCs/>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A705AF"/>
    <w:rPr>
      <w:i/>
      <w:iCs/>
    </w:rPr>
  </w:style>
  <w:style w:type="character" w:styleId="Strong">
    <w:name w:val="Strong"/>
    <w:uiPriority w:val="22"/>
    <w:qFormat/>
    <w:rsid w:val="00A705AF"/>
    <w:rPr>
      <w:b/>
      <w:bCs/>
    </w:rPr>
  </w:style>
  <w:style w:type="paragraph" w:styleId="Subtitle">
    <w:name w:val="Subtitle"/>
    <w:basedOn w:val="Normal"/>
    <w:next w:val="Normal"/>
    <w:link w:val="SubtitleChar"/>
    <w:uiPriority w:val="98"/>
    <w:locked/>
    <w:rsid w:val="00F866FA"/>
    <w:pPr>
      <w:numPr>
        <w:ilvl w:val="1"/>
      </w:numPr>
      <w:spacing w:after="240"/>
      <w:ind w:right="397"/>
    </w:pPr>
    <w:rPr>
      <w:rFonts w:eastAsia="MS Gothic" w:cs="Times New Roman (Headings CS)"/>
      <w:b/>
      <w:iCs/>
      <w:color w:val="1178A0"/>
      <w:sz w:val="40"/>
    </w:rPr>
  </w:style>
  <w:style w:type="character" w:customStyle="1" w:styleId="SubtitleChar">
    <w:name w:val="Subtitle Char"/>
    <w:link w:val="Subtitle"/>
    <w:uiPriority w:val="98"/>
    <w:rsid w:val="00F866FA"/>
    <w:rPr>
      <w:rFonts w:ascii="Arial" w:eastAsia="MS Gothic" w:hAnsi="Arial" w:cs="Times New Roman (Headings CS)"/>
      <w:b/>
      <w:iCs/>
      <w:color w:val="1178A0"/>
      <w:sz w:val="40"/>
    </w:rPr>
  </w:style>
  <w:style w:type="paragraph" w:styleId="Title">
    <w:name w:val="Title"/>
    <w:basedOn w:val="Normal"/>
    <w:next w:val="Normal"/>
    <w:link w:val="TitleChar"/>
    <w:uiPriority w:val="99"/>
    <w:qFormat/>
    <w:rsid w:val="00D5318D"/>
    <w:pPr>
      <w:spacing w:before="240" w:after="240"/>
      <w:contextualSpacing/>
    </w:pPr>
    <w:rPr>
      <w:rFonts w:eastAsia="MS Gothic" w:cs="Times New Roman (Headings CS)"/>
      <w:b/>
      <w:color w:val="005370"/>
      <w:spacing w:val="-6"/>
      <w:kern w:val="28"/>
      <w:sz w:val="56"/>
      <w:szCs w:val="56"/>
    </w:rPr>
  </w:style>
  <w:style w:type="character" w:customStyle="1" w:styleId="TitleChar">
    <w:name w:val="Title Char"/>
    <w:link w:val="Title"/>
    <w:uiPriority w:val="99"/>
    <w:rsid w:val="00D5318D"/>
    <w:rPr>
      <w:rFonts w:ascii="Arial" w:eastAsia="MS Gothic" w:hAnsi="Arial" w:cs="Times New Roman (Headings CS)"/>
      <w:b/>
      <w:color w:val="005370"/>
      <w:spacing w:val="-6"/>
      <w:kern w:val="28"/>
      <w:sz w:val="56"/>
      <w:szCs w:val="56"/>
    </w:rPr>
  </w:style>
  <w:style w:type="paragraph" w:customStyle="1" w:styleId="PulloutTextHead">
    <w:name w:val="Pullout Text Head"/>
    <w:basedOn w:val="Heading3"/>
    <w:qFormat/>
    <w:rsid w:val="002B37B6"/>
    <w:pPr>
      <w:pBdr>
        <w:left w:val="single" w:sz="48" w:space="8" w:color="1178A0"/>
      </w:pBdr>
      <w:spacing w:before="180" w:after="120"/>
      <w:ind w:left="284"/>
    </w:pPr>
    <w:rPr>
      <w:caps/>
      <w:sz w:val="22"/>
      <w:lang w:val="en-GB"/>
    </w:rPr>
  </w:style>
  <w:style w:type="paragraph" w:styleId="TOC1">
    <w:name w:val="toc 1"/>
    <w:basedOn w:val="Normal"/>
    <w:next w:val="Normal"/>
    <w:autoRedefine/>
    <w:uiPriority w:val="39"/>
    <w:qFormat/>
    <w:rsid w:val="005C1496"/>
    <w:rPr>
      <w:rFonts w:cs="Arial"/>
      <w:b/>
      <w:bCs/>
      <w:color w:val="005370"/>
      <w:sz w:val="24"/>
      <w:szCs w:val="20"/>
    </w:rPr>
  </w:style>
  <w:style w:type="paragraph" w:styleId="TOC2">
    <w:name w:val="toc 2"/>
    <w:basedOn w:val="Normal"/>
    <w:next w:val="Normal"/>
    <w:autoRedefine/>
    <w:uiPriority w:val="39"/>
    <w:qFormat/>
    <w:rsid w:val="009A263C"/>
    <w:pPr>
      <w:tabs>
        <w:tab w:val="right" w:pos="9016"/>
      </w:tabs>
      <w:ind w:left="221"/>
    </w:pPr>
    <w:rPr>
      <w:rFonts w:cs="Arial"/>
      <w:szCs w:val="20"/>
    </w:rPr>
  </w:style>
  <w:style w:type="paragraph" w:styleId="TOC3">
    <w:name w:val="toc 3"/>
    <w:basedOn w:val="Normal"/>
    <w:next w:val="Normal"/>
    <w:autoRedefine/>
    <w:uiPriority w:val="39"/>
    <w:qFormat/>
    <w:rsid w:val="00747CE1"/>
    <w:pPr>
      <w:tabs>
        <w:tab w:val="left" w:pos="8789"/>
      </w:tabs>
      <w:spacing w:after="0"/>
      <w:ind w:left="442" w:right="-188"/>
    </w:pPr>
    <w:rPr>
      <w:rFonts w:cs="Arial"/>
      <w:iCs/>
      <w:noProof/>
      <w:szCs w:val="20"/>
    </w:rPr>
  </w:style>
  <w:style w:type="paragraph" w:customStyle="1" w:styleId="FigureTableTitle">
    <w:name w:val="Figure/Table Title"/>
    <w:basedOn w:val="Normal"/>
    <w:qFormat/>
    <w:rsid w:val="00FD1BC7"/>
    <w:pPr>
      <w:spacing w:before="240" w:after="240"/>
      <w:contextualSpacing/>
    </w:pPr>
    <w:rPr>
      <w:b/>
    </w:rPr>
  </w:style>
  <w:style w:type="paragraph" w:styleId="FootnoteText">
    <w:name w:val="footnote text"/>
    <w:basedOn w:val="Normal"/>
    <w:link w:val="FootnoteTextChar"/>
    <w:rsid w:val="006765C3"/>
    <w:pPr>
      <w:spacing w:before="180" w:after="180"/>
      <w:contextualSpacing/>
    </w:pPr>
    <w:rPr>
      <w:sz w:val="18"/>
      <w:szCs w:val="20"/>
    </w:rPr>
  </w:style>
  <w:style w:type="character" w:customStyle="1" w:styleId="FootnoteTextChar">
    <w:name w:val="Footnote Text Char"/>
    <w:link w:val="FootnoteText"/>
    <w:rsid w:val="006765C3"/>
    <w:rPr>
      <w:sz w:val="18"/>
      <w:szCs w:val="20"/>
    </w:rPr>
  </w:style>
  <w:style w:type="character" w:styleId="FootnoteReference">
    <w:name w:val="footnote reference"/>
    <w:rsid w:val="00E13C5C"/>
    <w:rPr>
      <w:rFonts w:ascii="Arial" w:hAnsi="Arial"/>
      <w:vertAlign w:val="superscript"/>
    </w:rPr>
  </w:style>
  <w:style w:type="table" w:styleId="TableGrid">
    <w:name w:val="Table Grid"/>
    <w:aliases w:val="Light Heading"/>
    <w:basedOn w:val="TableNormal"/>
    <w:locked/>
    <w:rsid w:val="00FB722E"/>
    <w:pPr>
      <w:spacing w:before="60" w:after="60"/>
    </w:pPr>
    <w:rPr>
      <w:color w:val="000000"/>
    </w:rPr>
    <w:tblPr>
      <w:tblBorders>
        <w:top w:val="single" w:sz="4" w:space="0" w:color="005370"/>
        <w:left w:val="single" w:sz="4" w:space="0" w:color="005370"/>
        <w:bottom w:val="single" w:sz="4" w:space="0" w:color="005370"/>
        <w:right w:val="single" w:sz="4" w:space="0" w:color="005370"/>
        <w:insideH w:val="single" w:sz="4" w:space="0" w:color="005370"/>
        <w:insideV w:val="single" w:sz="4" w:space="0" w:color="005370"/>
      </w:tblBorders>
      <w:tblCellMar>
        <w:top w:w="57" w:type="dxa"/>
        <w:left w:w="57" w:type="dxa"/>
        <w:bottom w:w="57" w:type="dxa"/>
        <w:right w:w="57" w:type="dxa"/>
      </w:tblCellMar>
    </w:tblPr>
    <w:tcPr>
      <w:shd w:val="clear" w:color="auto" w:fill="auto"/>
    </w:tcPr>
    <w:tblStylePr w:type="firstRow">
      <w:pPr>
        <w:wordWrap/>
        <w:spacing w:beforeLines="0" w:before="60" w:beforeAutospacing="0" w:afterLines="0" w:after="60" w:afterAutospacing="0" w:line="240" w:lineRule="auto"/>
        <w:jc w:val="left"/>
        <w:outlineLvl w:val="9"/>
      </w:pPr>
      <w:rPr>
        <w:rFonts w:ascii="Arial" w:hAnsi="Arial"/>
        <w:b/>
        <w:color w:val="000000"/>
        <w:sz w:val="20"/>
      </w:rPr>
      <w:tblPr/>
      <w:tcPr>
        <w:shd w:val="clear" w:color="auto" w:fill="E6F1F8"/>
      </w:tcPr>
    </w:tblStylePr>
  </w:style>
  <w:style w:type="character" w:customStyle="1" w:styleId="Underline">
    <w:name w:val="Underline"/>
    <w:qFormat/>
    <w:rsid w:val="00E13C5C"/>
    <w:rPr>
      <w:u w:val="single"/>
    </w:rPr>
  </w:style>
  <w:style w:type="paragraph" w:styleId="Header">
    <w:name w:val="header"/>
    <w:basedOn w:val="Normal"/>
    <w:link w:val="HeaderChar"/>
    <w:unhideWhenUsed/>
    <w:locked/>
    <w:rsid w:val="00555D6E"/>
    <w:pPr>
      <w:tabs>
        <w:tab w:val="center" w:pos="4513"/>
        <w:tab w:val="right" w:pos="9026"/>
      </w:tabs>
      <w:spacing w:before="0" w:after="0"/>
    </w:pPr>
  </w:style>
  <w:style w:type="character" w:styleId="PlaceholderText">
    <w:name w:val="Placeholder Text"/>
    <w:uiPriority w:val="98"/>
    <w:semiHidden/>
    <w:locked/>
    <w:rsid w:val="00C51BE7"/>
    <w:rPr>
      <w:color w:val="808080"/>
    </w:rPr>
  </w:style>
  <w:style w:type="character" w:customStyle="1" w:styleId="HeaderChar">
    <w:name w:val="Header Char"/>
    <w:basedOn w:val="DefaultParagraphFont"/>
    <w:link w:val="Header"/>
    <w:rsid w:val="00555D6E"/>
  </w:style>
  <w:style w:type="character" w:styleId="Hyperlink">
    <w:name w:val="Hyperlink"/>
    <w:uiPriority w:val="99"/>
    <w:rsid w:val="00190C81"/>
    <w:rPr>
      <w:color w:val="005370"/>
      <w:u w:val="single"/>
    </w:rPr>
  </w:style>
  <w:style w:type="paragraph" w:styleId="Footer">
    <w:name w:val="footer"/>
    <w:basedOn w:val="Normal"/>
    <w:link w:val="FooterChar"/>
    <w:rsid w:val="00D84622"/>
    <w:pPr>
      <w:tabs>
        <w:tab w:val="right" w:pos="9638"/>
      </w:tabs>
      <w:spacing w:after="0"/>
    </w:pPr>
    <w:rPr>
      <w:sz w:val="20"/>
    </w:rPr>
  </w:style>
  <w:style w:type="character" w:customStyle="1" w:styleId="FooterChar">
    <w:name w:val="Footer Char"/>
    <w:link w:val="Footer"/>
    <w:rsid w:val="00D84622"/>
    <w:rPr>
      <w:sz w:val="20"/>
    </w:rPr>
  </w:style>
  <w:style w:type="character" w:styleId="FollowedHyperlink">
    <w:name w:val="FollowedHyperlink"/>
    <w:rsid w:val="006E4597"/>
    <w:rPr>
      <w:color w:val="1178A0"/>
      <w:u w:val="single"/>
    </w:rPr>
  </w:style>
  <w:style w:type="paragraph" w:styleId="TOCHeading">
    <w:name w:val="TOC Heading"/>
    <w:basedOn w:val="Heading1"/>
    <w:next w:val="Normal"/>
    <w:unhideWhenUsed/>
    <w:qFormat/>
    <w:rsid w:val="00255596"/>
    <w:pPr>
      <w:spacing w:after="0" w:line="276" w:lineRule="auto"/>
      <w:outlineLvl w:val="9"/>
    </w:pPr>
    <w:rPr>
      <w:rFonts w:eastAsia="MS Gothic" w:cs="Times New Roman"/>
      <w:color w:val="007CAB"/>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link w:val="Captions"/>
    <w:rsid w:val="00A15082"/>
    <w:rPr>
      <w:rFonts w:ascii="Arial" w:hAnsi="Arial"/>
      <w:color w:val="000000"/>
      <w:lang w:eastAsia="en-US"/>
    </w:rPr>
  </w:style>
  <w:style w:type="numbering" w:customStyle="1" w:styleId="Listbullets">
    <w:name w:val="List bullets"/>
    <w:uiPriority w:val="99"/>
    <w:rsid w:val="000D017D"/>
    <w:pPr>
      <w:numPr>
        <w:numId w:val="1"/>
      </w:numPr>
    </w:p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StandardName">
    <w:name w:val="Standard Name"/>
    <w:basedOn w:val="Normal"/>
    <w:link w:val="StandardNameChar"/>
    <w:uiPriority w:val="99"/>
    <w:qFormat/>
    <w:rsid w:val="00D5318D"/>
    <w:pPr>
      <w:spacing w:before="240" w:after="0"/>
    </w:pPr>
    <w:rPr>
      <w:b/>
      <w:color w:val="1178A2"/>
      <w:sz w:val="40"/>
      <w:szCs w:val="40"/>
    </w:rPr>
  </w:style>
  <w:style w:type="character" w:customStyle="1" w:styleId="StandardNameChar">
    <w:name w:val="Standard Name Char"/>
    <w:link w:val="StandardName"/>
    <w:uiPriority w:val="99"/>
    <w:rsid w:val="00D5318D"/>
    <w:rPr>
      <w:b/>
      <w:color w:val="1178A2"/>
      <w:sz w:val="40"/>
      <w:szCs w:val="40"/>
    </w:rPr>
  </w:style>
  <w:style w:type="paragraph" w:customStyle="1" w:styleId="Redtext">
    <w:name w:val="Red text"/>
    <w:basedOn w:val="Normal"/>
    <w:qFormat/>
    <w:rsid w:val="00F866FA"/>
    <w:pPr>
      <w:spacing w:after="80"/>
    </w:pPr>
    <w:rPr>
      <w:color w:val="E1241A"/>
    </w:r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DarkHeadingBanded">
    <w:name w:val="Dark Heading Banded"/>
    <w:basedOn w:val="TableNormal"/>
    <w:uiPriority w:val="99"/>
    <w:rsid w:val="00737D4D"/>
    <w:tblPr>
      <w:tblStyleRowBandSize w:val="1"/>
      <w:tblStyleColBandSize w:val="1"/>
      <w:tblBorders>
        <w:top w:val="single" w:sz="4" w:space="0" w:color="1178A0"/>
        <w:left w:val="single" w:sz="4" w:space="0" w:color="1178A0"/>
        <w:bottom w:val="single" w:sz="4" w:space="0" w:color="1178A0"/>
        <w:right w:val="single" w:sz="4" w:space="0" w:color="1178A0"/>
        <w:insideH w:val="single" w:sz="4" w:space="0" w:color="1178A0"/>
        <w:insideV w:val="single" w:sz="4" w:space="0" w:color="1178A0"/>
      </w:tblBorders>
    </w:tblPr>
    <w:tblStylePr w:type="firstRow">
      <w:pPr>
        <w:jc w:val="left"/>
      </w:pPr>
      <w:rPr>
        <w:b/>
        <w:color w:val="FFFFFF"/>
      </w:rPr>
      <w:tblPr/>
      <w:tcPr>
        <w:shd w:val="clear" w:color="auto" w:fill="1178A0"/>
      </w:tcPr>
    </w:tblStylePr>
    <w:tblStylePr w:type="band2Horz">
      <w:tblPr/>
      <w:tcPr>
        <w:shd w:val="clear" w:color="auto" w:fill="F2F2F2"/>
      </w:tcPr>
    </w:tblStylePr>
  </w:style>
  <w:style w:type="table" w:customStyle="1" w:styleId="DarkHeading">
    <w:name w:val="Dark Heading"/>
    <w:basedOn w:val="TableNormal"/>
    <w:uiPriority w:val="99"/>
    <w:rsid w:val="00737D4D"/>
    <w:tblPr>
      <w:tblBorders>
        <w:top w:val="single" w:sz="4" w:space="0" w:color="1178A0"/>
        <w:left w:val="single" w:sz="4" w:space="0" w:color="1178A0"/>
        <w:bottom w:val="single" w:sz="4" w:space="0" w:color="1178A0"/>
        <w:right w:val="single" w:sz="4" w:space="0" w:color="1178A0"/>
        <w:insideH w:val="single" w:sz="4" w:space="0" w:color="1178A0"/>
        <w:insideV w:val="single" w:sz="4" w:space="0" w:color="1178A0"/>
      </w:tblBorders>
    </w:tblPr>
    <w:tblStylePr w:type="firstRow">
      <w:rPr>
        <w:rFonts w:ascii="Arial" w:hAnsi="Arial"/>
        <w:b/>
        <w:color w:val="FFFFFF"/>
        <w:sz w:val="20"/>
      </w:rPr>
      <w:tblPr/>
      <w:tcPr>
        <w:shd w:val="clear" w:color="auto" w:fill="1178A0"/>
      </w:tcPr>
    </w:tblStylePr>
  </w:style>
  <w:style w:type="table" w:customStyle="1" w:styleId="LightHeadingBanded">
    <w:name w:val="Light Heading Banded"/>
    <w:basedOn w:val="TableNormal"/>
    <w:uiPriority w:val="99"/>
    <w:rsid w:val="00737D4D"/>
    <w:tblPr>
      <w:tblStyleRowBandSize w:val="1"/>
      <w:tblBorders>
        <w:top w:val="single" w:sz="4" w:space="0" w:color="005370"/>
        <w:left w:val="single" w:sz="4" w:space="0" w:color="005370"/>
        <w:bottom w:val="single" w:sz="4" w:space="0" w:color="005370"/>
        <w:right w:val="single" w:sz="4" w:space="0" w:color="005370"/>
        <w:insideH w:val="single" w:sz="4" w:space="0" w:color="005370"/>
        <w:insideV w:val="single" w:sz="4" w:space="0" w:color="005370"/>
      </w:tblBorders>
    </w:tblPr>
    <w:tblStylePr w:type="firstRow">
      <w:rPr>
        <w:rFonts w:ascii="Arial" w:hAnsi="Arial"/>
        <w:b/>
        <w:color w:val="000000"/>
      </w:rPr>
      <w:tblPr/>
      <w:tcPr>
        <w:shd w:val="clear" w:color="auto" w:fill="E6F1F8"/>
      </w:tcPr>
    </w:tblStylePr>
    <w:tblStylePr w:type="band2Horz">
      <w:tblPr/>
      <w:tcPr>
        <w:shd w:val="clear" w:color="auto" w:fill="F2F2F2"/>
      </w:tcPr>
    </w:tblStylePr>
  </w:style>
  <w:style w:type="paragraph" w:customStyle="1" w:styleId="PulloutBoxHeading">
    <w:name w:val="Pullout Box Heading"/>
    <w:basedOn w:val="Heading3"/>
    <w:qFormat/>
    <w:rsid w:val="00FC56B4"/>
    <w:pPr>
      <w:spacing w:before="120" w:after="60"/>
    </w:pPr>
  </w:style>
  <w:style w:type="table" w:customStyle="1" w:styleId="PulloutBox">
    <w:name w:val="Pullout Box"/>
    <w:basedOn w:val="TableNormal"/>
    <w:uiPriority w:val="99"/>
    <w:rsid w:val="00F866FA"/>
    <w:tblPr>
      <w:tblCellMar>
        <w:top w:w="284" w:type="dxa"/>
        <w:left w:w="284" w:type="dxa"/>
        <w:bottom w:w="284" w:type="dxa"/>
        <w:right w:w="284" w:type="dxa"/>
      </w:tblCellMar>
    </w:tblPr>
    <w:tcPr>
      <w:shd w:val="clear" w:color="auto" w:fill="E6F1F8"/>
    </w:tc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Bullet "/>
    <w:basedOn w:val="Normal"/>
    <w:link w:val="ListParagraphChar"/>
    <w:uiPriority w:val="1"/>
    <w:qFormat/>
    <w:locked/>
    <w:rsid w:val="00A6672E"/>
    <w:pPr>
      <w:ind w:left="72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Bullet  Char"/>
    <w:basedOn w:val="DefaultParagraphFont"/>
    <w:link w:val="ListParagraph"/>
    <w:uiPriority w:val="1"/>
    <w:qFormat/>
    <w:rsid w:val="00A6672E"/>
  </w:style>
  <w:style w:type="paragraph" w:styleId="EndnoteText">
    <w:name w:val="endnote text"/>
    <w:basedOn w:val="Normal"/>
    <w:link w:val="EndnoteTextChar"/>
    <w:unhideWhenUsed/>
    <w:locked/>
    <w:rsid w:val="00EA63B1"/>
    <w:pPr>
      <w:spacing w:after="0"/>
    </w:pPr>
    <w:rPr>
      <w:sz w:val="20"/>
      <w:szCs w:val="20"/>
      <w:lang w:val="en-GB" w:eastAsia="en-US"/>
    </w:rPr>
  </w:style>
  <w:style w:type="character" w:customStyle="1" w:styleId="EndnoteTextChar">
    <w:name w:val="Endnote Text Char"/>
    <w:link w:val="EndnoteText"/>
    <w:rsid w:val="00EA63B1"/>
    <w:rPr>
      <w:rFonts w:ascii="Arial" w:hAnsi="Arial"/>
      <w:sz w:val="20"/>
      <w:szCs w:val="20"/>
      <w:lang w:val="en-GB" w:eastAsia="en-US"/>
    </w:rPr>
  </w:style>
  <w:style w:type="character" w:styleId="EndnoteReference">
    <w:name w:val="endnote reference"/>
    <w:unhideWhenUsed/>
    <w:locked/>
    <w:rsid w:val="00EA63B1"/>
    <w:rPr>
      <w:vertAlign w:val="superscript"/>
    </w:rPr>
  </w:style>
  <w:style w:type="paragraph" w:customStyle="1" w:styleId="Default">
    <w:name w:val="Default"/>
    <w:rsid w:val="00632475"/>
    <w:pPr>
      <w:autoSpaceDE w:val="0"/>
      <w:autoSpaceDN w:val="0"/>
      <w:adjustRightInd w:val="0"/>
    </w:pPr>
    <w:rPr>
      <w:rFonts w:ascii="Gotham Medium" w:hAnsi="Gotham Medium" w:cs="Gotham Medium"/>
      <w:color w:val="000000"/>
      <w:sz w:val="24"/>
      <w:szCs w:val="24"/>
      <w:lang w:eastAsia="en-AU"/>
    </w:rPr>
  </w:style>
  <w:style w:type="table" w:customStyle="1" w:styleId="Plain">
    <w:name w:val="Plain"/>
    <w:basedOn w:val="TableNormal"/>
    <w:next w:val="TableGrid"/>
    <w:rsid w:val="00423210"/>
    <w:pPr>
      <w:spacing w:before="60" w:after="6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rPr>
      <w:tblPr/>
      <w:trPr>
        <w:cantSplit/>
        <w:tblHeader/>
      </w:trPr>
    </w:tblStylePr>
  </w:style>
  <w:style w:type="paragraph" w:customStyle="1" w:styleId="TRIMnumber">
    <w:name w:val="TRIM number"/>
    <w:basedOn w:val="Normal"/>
    <w:qFormat/>
    <w:rsid w:val="00932407"/>
    <w:pPr>
      <w:spacing w:before="0" w:after="360"/>
      <w:jc w:val="right"/>
    </w:pPr>
  </w:style>
  <w:style w:type="paragraph" w:styleId="Revision">
    <w:name w:val="Revision"/>
    <w:hidden/>
    <w:uiPriority w:val="99"/>
    <w:semiHidden/>
    <w:rsid w:val="00174535"/>
    <w:rPr>
      <w:sz w:val="22"/>
      <w:szCs w:val="22"/>
      <w:lang w:eastAsia="en-AU"/>
    </w:rPr>
  </w:style>
  <w:style w:type="character" w:customStyle="1" w:styleId="Superscript">
    <w:name w:val="Superscript"/>
    <w:uiPriority w:val="99"/>
    <w:rsid w:val="00183675"/>
    <w:rPr>
      <w:u w:val="none"/>
      <w:vertAlign w:val="superscript"/>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link w:val="DocumentMap"/>
    <w:uiPriority w:val="98"/>
    <w:semiHidden/>
    <w:rsid w:val="006F7964"/>
    <w:rPr>
      <w:rFonts w:ascii="Lucida Grande" w:hAnsi="Lucida Grande" w:cs="Lucida Grande"/>
      <w:sz w:val="24"/>
      <w:szCs w:val="24"/>
    </w:rPr>
  </w:style>
  <w:style w:type="character" w:customStyle="1" w:styleId="Roman">
    <w:name w:val="Roman"/>
    <w:uiPriority w:val="99"/>
    <w:rsid w:val="00195458"/>
  </w:style>
  <w:style w:type="character" w:customStyle="1" w:styleId="Italic">
    <w:name w:val="Italic"/>
    <w:uiPriority w:val="99"/>
    <w:rsid w:val="0099343F"/>
    <w:rPr>
      <w:i/>
      <w:iCs/>
    </w:rPr>
  </w:style>
  <w:style w:type="character" w:styleId="UnresolvedMention">
    <w:name w:val="Unresolved Mention"/>
    <w:uiPriority w:val="99"/>
    <w:semiHidden/>
    <w:unhideWhenUsed/>
    <w:rsid w:val="00AB0A6E"/>
    <w:rPr>
      <w:color w:val="605E5C"/>
      <w:shd w:val="clear" w:color="auto" w:fill="E1DFDD"/>
    </w:rPr>
  </w:style>
  <w:style w:type="paragraph" w:customStyle="1" w:styleId="FactSheetType">
    <w:name w:val="Fact Sheet Type"/>
    <w:basedOn w:val="Normal"/>
    <w:qFormat/>
    <w:rsid w:val="0056304B"/>
    <w:pPr>
      <w:spacing w:before="0" w:after="480"/>
      <w:jc w:val="right"/>
    </w:pPr>
    <w:rPr>
      <w:bCs/>
      <w:sz w:val="28"/>
    </w:rPr>
  </w:style>
  <w:style w:type="paragraph" w:customStyle="1" w:styleId="PulloutTextBody">
    <w:name w:val="Pullout Text Body"/>
    <w:basedOn w:val="Normal"/>
    <w:qFormat/>
    <w:rsid w:val="0071583E"/>
    <w:pPr>
      <w:pBdr>
        <w:left w:val="single" w:sz="48" w:space="8" w:color="1178A0"/>
      </w:pBdr>
      <w:spacing w:before="180"/>
      <w:ind w:left="284"/>
    </w:pPr>
    <w:rPr>
      <w:b/>
    </w:rPr>
  </w:style>
  <w:style w:type="table" w:customStyle="1" w:styleId="SurveyQuestions">
    <w:name w:val="Survey Questions"/>
    <w:basedOn w:val="DarkHeading"/>
    <w:uiPriority w:val="99"/>
    <w:rsid w:val="006456F1"/>
    <w:rPr>
      <w:sz w:val="22"/>
    </w:rPr>
    <w:tblPr/>
    <w:tblStylePr w:type="firstRow">
      <w:rPr>
        <w:rFonts w:ascii="Arial" w:hAnsi="Arial"/>
        <w:b/>
        <w:color w:val="FFFFFF"/>
        <w:sz w:val="22"/>
      </w:rPr>
      <w:tblPr/>
      <w:tcPr>
        <w:shd w:val="clear" w:color="auto" w:fill="1178A0"/>
      </w:tcPr>
    </w:tblStylePr>
    <w:tblStylePr w:type="firstCol">
      <w:rPr>
        <w:b/>
      </w:rPr>
      <w:tblPr/>
      <w:tcPr>
        <w:shd w:val="clear" w:color="auto" w:fill="E6F1F8"/>
      </w:tcPr>
    </w:tblStylePr>
  </w:style>
  <w:style w:type="paragraph" w:customStyle="1" w:styleId="Pa5">
    <w:name w:val="Pa5"/>
    <w:basedOn w:val="Normal"/>
    <w:uiPriority w:val="99"/>
    <w:semiHidden/>
    <w:rsid w:val="002D35CA"/>
    <w:pPr>
      <w:autoSpaceDE w:val="0"/>
      <w:autoSpaceDN w:val="0"/>
      <w:spacing w:before="0" w:after="0" w:line="151" w:lineRule="atLeast"/>
    </w:pPr>
    <w:rPr>
      <w:rFonts w:ascii="Open Sans SemiBold" w:eastAsia="Arial" w:hAnsi="Open Sans SemiBold"/>
      <w:sz w:val="24"/>
      <w:szCs w:val="24"/>
    </w:rPr>
  </w:style>
  <w:style w:type="paragraph" w:customStyle="1" w:styleId="Copyright">
    <w:name w:val="Copyright"/>
    <w:basedOn w:val="FootnoteText"/>
    <w:qFormat/>
    <w:rsid w:val="00F96BA0"/>
    <w:pPr>
      <w:spacing w:before="60" w:after="60"/>
    </w:pPr>
    <w:rPr>
      <w:rFonts w:eastAsia="MS Gothic"/>
      <w:sz w:val="16"/>
    </w:rPr>
  </w:style>
  <w:style w:type="paragraph" w:customStyle="1" w:styleId="SandQwebaddress">
    <w:name w:val="S and Q web address"/>
    <w:basedOn w:val="Normal"/>
    <w:qFormat/>
    <w:rsid w:val="00FD1F7D"/>
    <w:pPr>
      <w:spacing w:before="480" w:after="60"/>
    </w:pPr>
  </w:style>
  <w:style w:type="character" w:customStyle="1" w:styleId="Heading3Char">
    <w:name w:val="Heading 3 Char"/>
    <w:basedOn w:val="DefaultParagraphFont"/>
    <w:link w:val="Heading3"/>
    <w:rsid w:val="0012579A"/>
    <w:rPr>
      <w:rFonts w:cs="Arial"/>
      <w:b/>
      <w:bCs/>
      <w:iCs/>
      <w:color w:val="005370"/>
      <w:kern w:val="28"/>
      <w:sz w:val="28"/>
      <w:szCs w:val="26"/>
      <w:lang w:eastAsia="en-AU"/>
    </w:rPr>
  </w:style>
  <w:style w:type="paragraph" w:styleId="BodyText">
    <w:name w:val="Body Text"/>
    <w:basedOn w:val="Normal"/>
    <w:link w:val="BodyTextChar"/>
    <w:unhideWhenUsed/>
    <w:locked/>
    <w:rsid w:val="00314097"/>
    <w:pPr>
      <w:tabs>
        <w:tab w:val="left" w:pos="2268"/>
      </w:tabs>
      <w:spacing w:before="0" w:after="0" w:line="240" w:lineRule="atLeast"/>
    </w:pPr>
    <w:rPr>
      <w:szCs w:val="20"/>
      <w:lang w:eastAsia="en-US"/>
    </w:rPr>
  </w:style>
  <w:style w:type="character" w:customStyle="1" w:styleId="BodyTextChar">
    <w:name w:val="Body Text Char"/>
    <w:basedOn w:val="DefaultParagraphFont"/>
    <w:link w:val="BodyText"/>
    <w:rsid w:val="00314097"/>
    <w:rPr>
      <w:sz w:val="22"/>
      <w:lang w:eastAsia="en-US"/>
    </w:rPr>
  </w:style>
  <w:style w:type="character" w:styleId="CommentReference">
    <w:name w:val="annotation reference"/>
    <w:basedOn w:val="DefaultParagraphFont"/>
    <w:uiPriority w:val="99"/>
    <w:semiHidden/>
    <w:unhideWhenUsed/>
    <w:locked/>
    <w:rsid w:val="004C7A53"/>
    <w:rPr>
      <w:sz w:val="16"/>
      <w:szCs w:val="16"/>
    </w:rPr>
  </w:style>
  <w:style w:type="paragraph" w:styleId="CommentText">
    <w:name w:val="annotation text"/>
    <w:basedOn w:val="Normal"/>
    <w:link w:val="CommentTextChar"/>
    <w:unhideWhenUsed/>
    <w:locked/>
    <w:rsid w:val="004C7A53"/>
    <w:rPr>
      <w:sz w:val="20"/>
      <w:szCs w:val="20"/>
    </w:rPr>
  </w:style>
  <w:style w:type="character" w:customStyle="1" w:styleId="CommentTextChar">
    <w:name w:val="Comment Text Char"/>
    <w:basedOn w:val="DefaultParagraphFont"/>
    <w:link w:val="CommentText"/>
    <w:rsid w:val="004C7A53"/>
    <w:rPr>
      <w:lang w:eastAsia="en-AU"/>
    </w:rPr>
  </w:style>
  <w:style w:type="paragraph" w:styleId="CommentSubject">
    <w:name w:val="annotation subject"/>
    <w:basedOn w:val="CommentText"/>
    <w:next w:val="CommentText"/>
    <w:link w:val="CommentSubjectChar"/>
    <w:uiPriority w:val="98"/>
    <w:semiHidden/>
    <w:unhideWhenUsed/>
    <w:locked/>
    <w:rsid w:val="004C7A53"/>
    <w:rPr>
      <w:b/>
      <w:bCs/>
    </w:rPr>
  </w:style>
  <w:style w:type="character" w:customStyle="1" w:styleId="CommentSubjectChar">
    <w:name w:val="Comment Subject Char"/>
    <w:basedOn w:val="CommentTextChar"/>
    <w:link w:val="CommentSubject"/>
    <w:uiPriority w:val="98"/>
    <w:semiHidden/>
    <w:rsid w:val="004C7A53"/>
    <w:rPr>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1377">
      <w:bodyDiv w:val="1"/>
      <w:marLeft w:val="0"/>
      <w:marRight w:val="0"/>
      <w:marTop w:val="0"/>
      <w:marBottom w:val="0"/>
      <w:divBdr>
        <w:top w:val="none" w:sz="0" w:space="0" w:color="auto"/>
        <w:left w:val="none" w:sz="0" w:space="0" w:color="auto"/>
        <w:bottom w:val="none" w:sz="0" w:space="0" w:color="auto"/>
        <w:right w:val="none" w:sz="0" w:space="0" w:color="auto"/>
      </w:divBdr>
    </w:div>
    <w:div w:id="73166107">
      <w:bodyDiv w:val="1"/>
      <w:marLeft w:val="0"/>
      <w:marRight w:val="0"/>
      <w:marTop w:val="0"/>
      <w:marBottom w:val="0"/>
      <w:divBdr>
        <w:top w:val="none" w:sz="0" w:space="0" w:color="auto"/>
        <w:left w:val="none" w:sz="0" w:space="0" w:color="auto"/>
        <w:bottom w:val="none" w:sz="0" w:space="0" w:color="auto"/>
        <w:right w:val="none" w:sz="0" w:space="0" w:color="auto"/>
      </w:divBdr>
    </w:div>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296224583">
      <w:bodyDiv w:val="1"/>
      <w:marLeft w:val="0"/>
      <w:marRight w:val="0"/>
      <w:marTop w:val="0"/>
      <w:marBottom w:val="0"/>
      <w:divBdr>
        <w:top w:val="none" w:sz="0" w:space="0" w:color="auto"/>
        <w:left w:val="none" w:sz="0" w:space="0" w:color="auto"/>
        <w:bottom w:val="none" w:sz="0" w:space="0" w:color="auto"/>
        <w:right w:val="none" w:sz="0" w:space="0" w:color="auto"/>
      </w:divBdr>
    </w:div>
    <w:div w:id="327296836">
      <w:bodyDiv w:val="1"/>
      <w:marLeft w:val="0"/>
      <w:marRight w:val="0"/>
      <w:marTop w:val="0"/>
      <w:marBottom w:val="0"/>
      <w:divBdr>
        <w:top w:val="none" w:sz="0" w:space="0" w:color="auto"/>
        <w:left w:val="none" w:sz="0" w:space="0" w:color="auto"/>
        <w:bottom w:val="none" w:sz="0" w:space="0" w:color="auto"/>
        <w:right w:val="none" w:sz="0" w:space="0" w:color="auto"/>
      </w:divBdr>
    </w:div>
    <w:div w:id="430127391">
      <w:bodyDiv w:val="1"/>
      <w:marLeft w:val="0"/>
      <w:marRight w:val="0"/>
      <w:marTop w:val="0"/>
      <w:marBottom w:val="0"/>
      <w:divBdr>
        <w:top w:val="none" w:sz="0" w:space="0" w:color="auto"/>
        <w:left w:val="none" w:sz="0" w:space="0" w:color="auto"/>
        <w:bottom w:val="none" w:sz="0" w:space="0" w:color="auto"/>
        <w:right w:val="none" w:sz="0" w:space="0" w:color="auto"/>
      </w:divBdr>
    </w:div>
    <w:div w:id="447550555">
      <w:bodyDiv w:val="1"/>
      <w:marLeft w:val="0"/>
      <w:marRight w:val="0"/>
      <w:marTop w:val="0"/>
      <w:marBottom w:val="0"/>
      <w:divBdr>
        <w:top w:val="none" w:sz="0" w:space="0" w:color="auto"/>
        <w:left w:val="none" w:sz="0" w:space="0" w:color="auto"/>
        <w:bottom w:val="none" w:sz="0" w:space="0" w:color="auto"/>
        <w:right w:val="none" w:sz="0" w:space="0" w:color="auto"/>
      </w:divBdr>
    </w:div>
    <w:div w:id="644775736">
      <w:bodyDiv w:val="1"/>
      <w:marLeft w:val="0"/>
      <w:marRight w:val="0"/>
      <w:marTop w:val="0"/>
      <w:marBottom w:val="0"/>
      <w:divBdr>
        <w:top w:val="none" w:sz="0" w:space="0" w:color="auto"/>
        <w:left w:val="none" w:sz="0" w:space="0" w:color="auto"/>
        <w:bottom w:val="none" w:sz="0" w:space="0" w:color="auto"/>
        <w:right w:val="none" w:sz="0" w:space="0" w:color="auto"/>
      </w:divBdr>
    </w:div>
    <w:div w:id="659584210">
      <w:bodyDiv w:val="1"/>
      <w:marLeft w:val="0"/>
      <w:marRight w:val="0"/>
      <w:marTop w:val="0"/>
      <w:marBottom w:val="0"/>
      <w:divBdr>
        <w:top w:val="none" w:sz="0" w:space="0" w:color="auto"/>
        <w:left w:val="none" w:sz="0" w:space="0" w:color="auto"/>
        <w:bottom w:val="none" w:sz="0" w:space="0" w:color="auto"/>
        <w:right w:val="none" w:sz="0" w:space="0" w:color="auto"/>
      </w:divBdr>
    </w:div>
    <w:div w:id="863640705">
      <w:bodyDiv w:val="1"/>
      <w:marLeft w:val="0"/>
      <w:marRight w:val="0"/>
      <w:marTop w:val="0"/>
      <w:marBottom w:val="0"/>
      <w:divBdr>
        <w:top w:val="none" w:sz="0" w:space="0" w:color="auto"/>
        <w:left w:val="none" w:sz="0" w:space="0" w:color="auto"/>
        <w:bottom w:val="none" w:sz="0" w:space="0" w:color="auto"/>
        <w:right w:val="none" w:sz="0" w:space="0" w:color="auto"/>
      </w:divBdr>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550605319">
      <w:bodyDiv w:val="1"/>
      <w:marLeft w:val="0"/>
      <w:marRight w:val="0"/>
      <w:marTop w:val="0"/>
      <w:marBottom w:val="0"/>
      <w:divBdr>
        <w:top w:val="none" w:sz="0" w:space="0" w:color="auto"/>
        <w:left w:val="none" w:sz="0" w:space="0" w:color="auto"/>
        <w:bottom w:val="none" w:sz="0" w:space="0" w:color="auto"/>
        <w:right w:val="none" w:sz="0" w:space="0" w:color="auto"/>
      </w:divBdr>
    </w:div>
    <w:div w:id="1630360476">
      <w:bodyDiv w:val="1"/>
      <w:marLeft w:val="0"/>
      <w:marRight w:val="0"/>
      <w:marTop w:val="0"/>
      <w:marBottom w:val="0"/>
      <w:divBdr>
        <w:top w:val="none" w:sz="0" w:space="0" w:color="auto"/>
        <w:left w:val="none" w:sz="0" w:space="0" w:color="auto"/>
        <w:bottom w:val="none" w:sz="0" w:space="0" w:color="auto"/>
        <w:right w:val="none" w:sz="0" w:space="0" w:color="auto"/>
      </w:divBdr>
    </w:div>
    <w:div w:id="1662275149">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 w:id="1794522675">
      <w:bodyDiv w:val="1"/>
      <w:marLeft w:val="0"/>
      <w:marRight w:val="0"/>
      <w:marTop w:val="0"/>
      <w:marBottom w:val="0"/>
      <w:divBdr>
        <w:top w:val="none" w:sz="0" w:space="0" w:color="auto"/>
        <w:left w:val="none" w:sz="0" w:space="0" w:color="auto"/>
        <w:bottom w:val="none" w:sz="0" w:space="0" w:color="auto"/>
        <w:right w:val="none" w:sz="0" w:space="0" w:color="auto"/>
      </w:divBdr>
    </w:div>
    <w:div w:id="192645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ng.com/ck/a?!&amp;&amp;p=d4b253d4d5398f60JmltdHM9MTcxODY2ODgwMCZpZ3VpZD0xNTZiYmVkNC01YTAyLTZiMmYtMDIxMC1hZDllNWI5MjZhYTYmaW5zaWQ9NTIzMQ&amp;ptn=3&amp;ver=2&amp;hsh=3&amp;fclid=156bbed4-5a02-6b2f-0210-ad9e5b926aa6&amp;psq=My+Health+Care+Rights+-+Australian+Charter+of+Healthcare+Rights.&amp;u=a1aHR0cHM6Ly93d3cuc2FmZXR5YW5kcXVhbGl0eS5nb3YuYXUvb3VyLXdvcmsvcGFydG5lcmluZy1jb25zdW1lcnMvYXVzdHJhbGlhbi1jaGFydGVyLWhlYWx0aGNhcmUtcmlnaHRz&amp;ntb=1" TargetMode="External"/><Relationship Id="rId18" Type="http://schemas.openxmlformats.org/officeDocument/2006/relationships/hyperlink" Target="mailto:PSRP@safetyandquality.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safetyinhealth.gov.au" TargetMode="External"/><Relationship Id="rId17" Type="http://schemas.openxmlformats.org/officeDocument/2006/relationships/hyperlink" Target="https://www.safetyinhealthcare.gov.au/about-this-to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fetyandquality.gov.au/about-us/our-people/committees"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afetyandquality.gov.au/about-us/our-people/board-members-2023-24"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safetyandquality.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tyandquality.gov.au/about-us/our-people/chief-executive-office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safetyinhealthcar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lami\AppData\Local\Hewlett-Packard\HP%20TRIM\TEMP\HPTRIM.5996\D23-13098%20%20TEMPLATE%20-%20Accessible%20Word%20-%20Fact%20sheet%20for%20HSOs%20-%2021%20July%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7" ma:contentTypeDescription="Create a new document." ma:contentTypeScope="" ma:versionID="536a4c590158fd68cb58c2dfacc14914">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237cf29351cec230e1b2250148bf5c99"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98f89d-1eae-456b-90f1-fc78c5fe8b2a" xsi:nil="true"/>
    <lcf76f155ced4ddcb4097134ff3c332f xmlns="ac66711c-8613-4dde-a928-6bd510ab7da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AF330-0091-496F-808B-BDE471610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FE1B4E-BA3E-41FC-8990-E670E9585B8C}">
  <ds:schemaRefs>
    <ds:schemaRef ds:uri="http://schemas.microsoft.com/sharepoint/v3/contenttype/forms"/>
  </ds:schemaRefs>
</ds:datastoreItem>
</file>

<file path=customXml/itemProps3.xml><?xml version="1.0" encoding="utf-8"?>
<ds:datastoreItem xmlns:ds="http://schemas.openxmlformats.org/officeDocument/2006/customXml" ds:itemID="{B4A35174-7014-44DE-BE7B-A194D725D316}">
  <ds:schemaRefs>
    <ds:schemaRef ds:uri="http://schemas.microsoft.com/office/2006/metadata/properties"/>
    <ds:schemaRef ds:uri="http://schemas.microsoft.com/office/infopath/2007/PartnerControls"/>
    <ds:schemaRef ds:uri="4498f89d-1eae-456b-90f1-fc78c5fe8b2a"/>
    <ds:schemaRef ds:uri="ac66711c-8613-4dde-a928-6bd510ab7da4"/>
  </ds:schemaRefs>
</ds:datastoreItem>
</file>

<file path=customXml/itemProps4.xml><?xml version="1.0" encoding="utf-8"?>
<ds:datastoreItem xmlns:ds="http://schemas.openxmlformats.org/officeDocument/2006/customXml" ds:itemID="{3D016665-7C5A-3347-B9F9-71760F4C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D23-13098  TEMPLATE - Accessible Word - Fact sheet for HSOs - 21 July 2023.DOTX</Template>
  <TotalTime>189</TotalTime>
  <Pages>3</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Australian Commission on Safety and Quality in Health Care</Company>
  <LinksUpToDate>false</LinksUpToDate>
  <CharactersWithSpaces>7858</CharactersWithSpaces>
  <SharedDoc>false</SharedDoc>
  <HyperlinkBase/>
  <HLinks>
    <vt:vector size="24" baseType="variant">
      <vt:variant>
        <vt:i4>3670067</vt:i4>
      </vt:variant>
      <vt:variant>
        <vt:i4>9</vt:i4>
      </vt:variant>
      <vt:variant>
        <vt:i4>0</vt:i4>
      </vt:variant>
      <vt:variant>
        <vt:i4>5</vt:i4>
      </vt:variant>
      <vt:variant>
        <vt:lpwstr>http://www.safetyandquality.gov.au/</vt:lpwstr>
      </vt:variant>
      <vt:variant>
        <vt:lpwstr/>
      </vt:variant>
      <vt:variant>
        <vt:i4>262227</vt:i4>
      </vt:variant>
      <vt:variant>
        <vt:i4>6</vt:i4>
      </vt:variant>
      <vt:variant>
        <vt:i4>0</vt:i4>
      </vt:variant>
      <vt:variant>
        <vt:i4>5</vt:i4>
      </vt:variant>
      <vt:variant>
        <vt:lpwstr>https://www.safetyandquality.gov.au/</vt:lpwstr>
      </vt:variant>
      <vt:variant>
        <vt:lpwstr/>
      </vt:variant>
      <vt:variant>
        <vt:i4>99</vt:i4>
      </vt:variant>
      <vt:variant>
        <vt:i4>3</vt:i4>
      </vt:variant>
      <vt:variant>
        <vt:i4>0</vt:i4>
      </vt:variant>
      <vt:variant>
        <vt:i4>5</vt:i4>
      </vt:variant>
      <vt:variant>
        <vt:lpwstr>https://www.gesa.org.au/public/13/files/COVID-19/COVID-19 GESA ENDOSCOPY STATEMENT 20Mar20_2.pdf</vt:lpwstr>
      </vt:variant>
      <vt:variant>
        <vt:lpwstr/>
      </vt:variant>
      <vt:variant>
        <vt:i4>6750265</vt:i4>
      </vt:variant>
      <vt:variant>
        <vt:i4>0</vt:i4>
      </vt:variant>
      <vt:variant>
        <vt:i4>0</vt:i4>
      </vt:variant>
      <vt:variant>
        <vt:i4>5</vt:i4>
      </vt:variant>
      <vt:variant>
        <vt:lpwstr>https://www.gesa.org.au/public/13/files/COVID-19/Triage_Guide_Endoscopic_Procedure_26032020.pdf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Boland</dc:creator>
  <cp:keywords/>
  <dc:description/>
  <cp:lastModifiedBy>JESSOP, Tommy</cp:lastModifiedBy>
  <cp:revision>35</cp:revision>
  <cp:lastPrinted>2020-03-04T03:32:00Z</cp:lastPrinted>
  <dcterms:created xsi:type="dcterms:W3CDTF">2024-07-12T02:56:00Z</dcterms:created>
  <dcterms:modified xsi:type="dcterms:W3CDTF">2024-07-31T00:16:00Z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0x01010028743DCC77DB274DB22D4DDF53FCBF5F</vt:lpwstr>
  </property>
</Properties>
</file>