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BFD2B" w14:textId="6A606A13" w:rsidR="00360DAC" w:rsidRDefault="00360DAC" w:rsidP="00360DAC">
      <w:pPr>
        <w:spacing w:after="0" w:line="360" w:lineRule="auto"/>
      </w:pPr>
      <w:r>
        <w:t xml:space="preserve">Adequate hand hygiene compliance cannot be achieved in a healthcare setting without available products for healthcare workers to use. </w:t>
      </w:r>
    </w:p>
    <w:p w14:paraId="6EE7F6DA" w14:textId="21AFEC83" w:rsidR="00E74F60" w:rsidRDefault="002C5BEF" w:rsidP="00D03B25">
      <w:pPr>
        <w:spacing w:after="0" w:line="360" w:lineRule="auto"/>
      </w:pPr>
      <w:r>
        <w:t>The purpose of these audit tools is to access hand hygiene product availability in a healthcare setting</w:t>
      </w:r>
      <w:r w:rsidR="00360DAC">
        <w:t>.</w:t>
      </w:r>
      <w:r w:rsidR="00BB7895">
        <w:t xml:space="preserve"> </w:t>
      </w:r>
    </w:p>
    <w:p w14:paraId="1ECDF715" w14:textId="663D7DAE" w:rsidR="00E74F60" w:rsidRDefault="002C5BEF" w:rsidP="00D03B25">
      <w:pPr>
        <w:spacing w:after="0" w:line="360" w:lineRule="auto"/>
      </w:pPr>
      <w:r>
        <w:t>There are two types of audit tools:</w:t>
      </w:r>
    </w:p>
    <w:p w14:paraId="5E8CA782" w14:textId="1E5EE60E" w:rsidR="00E74F60" w:rsidRDefault="00E74F60" w:rsidP="000F2563">
      <w:pPr>
        <w:pStyle w:val="ListParagraph"/>
        <w:numPr>
          <w:ilvl w:val="0"/>
          <w:numId w:val="2"/>
        </w:numPr>
        <w:spacing w:after="0" w:line="360" w:lineRule="auto"/>
      </w:pPr>
      <w:r w:rsidRPr="002C5BEF">
        <w:rPr>
          <w:b/>
          <w:bCs/>
        </w:rPr>
        <w:t xml:space="preserve">Audit 1, </w:t>
      </w:r>
      <w:r w:rsidR="00911B6F" w:rsidRPr="002C5BEF">
        <w:rPr>
          <w:b/>
          <w:bCs/>
        </w:rPr>
        <w:t>bed-based</w:t>
      </w:r>
      <w:r w:rsidRPr="002C5BEF">
        <w:rPr>
          <w:b/>
          <w:bCs/>
        </w:rPr>
        <w:t xml:space="preserve"> audit</w:t>
      </w:r>
      <w:r>
        <w:t xml:space="preserve"> </w:t>
      </w:r>
      <w:r w:rsidR="007A6871">
        <w:t xml:space="preserve">- </w:t>
      </w:r>
      <w:r>
        <w:t>a</w:t>
      </w:r>
      <w:r w:rsidR="00BB7895">
        <w:t>ssesses</w:t>
      </w:r>
      <w:r>
        <w:t xml:space="preserve"> hand hygiene product availability in a healthcare setting where patient </w:t>
      </w:r>
      <w:r w:rsidR="00360DAC">
        <w:t xml:space="preserve">care is provided </w:t>
      </w:r>
      <w:r>
        <w:t>in multiple bays/beds</w:t>
      </w:r>
      <w:r w:rsidR="001E662B">
        <w:t xml:space="preserve"> or treatment </w:t>
      </w:r>
      <w:r w:rsidR="00360DAC">
        <w:t>chairs</w:t>
      </w:r>
    </w:p>
    <w:p w14:paraId="2544EF00" w14:textId="1DEA88C7" w:rsidR="00D03B25" w:rsidRDefault="00E74F60" w:rsidP="000F2563">
      <w:pPr>
        <w:pStyle w:val="ListParagraph"/>
        <w:numPr>
          <w:ilvl w:val="0"/>
          <w:numId w:val="2"/>
        </w:numPr>
        <w:spacing w:after="0" w:line="360" w:lineRule="auto"/>
      </w:pPr>
      <w:r w:rsidRPr="002C5BEF">
        <w:rPr>
          <w:b/>
          <w:bCs/>
        </w:rPr>
        <w:t>Audit 2,</w:t>
      </w:r>
      <w:r w:rsidR="00D03B25" w:rsidRPr="002C5BEF">
        <w:rPr>
          <w:b/>
          <w:bCs/>
        </w:rPr>
        <w:t xml:space="preserve"> department audit</w:t>
      </w:r>
      <w:r w:rsidR="00D03B25">
        <w:t xml:space="preserve"> </w:t>
      </w:r>
      <w:r w:rsidR="007A6871">
        <w:t xml:space="preserve">- </w:t>
      </w:r>
      <w:r w:rsidR="00D03B25">
        <w:t>a</w:t>
      </w:r>
      <w:r w:rsidR="00BB7895">
        <w:t>ssesses</w:t>
      </w:r>
      <w:r w:rsidR="00D03B25">
        <w:t xml:space="preserve"> </w:t>
      </w:r>
      <w:r w:rsidR="00284D28">
        <w:t>hand hygiene</w:t>
      </w:r>
      <w:r w:rsidR="00D03B25">
        <w:t xml:space="preserve"> product availability in a healthcare setting outside of a treatment bed</w:t>
      </w:r>
      <w:r w:rsidR="00360DAC">
        <w:t>/ chair</w:t>
      </w:r>
      <w:r w:rsidR="00D03B25">
        <w:t xml:space="preserve"> area.</w:t>
      </w:r>
    </w:p>
    <w:p w14:paraId="301BDA0C" w14:textId="70EEB3A4" w:rsidR="00E74F60" w:rsidRDefault="00BB7895" w:rsidP="000F2563">
      <w:pPr>
        <w:spacing w:before="240" w:after="0" w:line="360" w:lineRule="auto"/>
      </w:pPr>
      <w:r>
        <w:t xml:space="preserve">The NHHI </w:t>
      </w:r>
      <w:r w:rsidR="00E74F60">
        <w:t xml:space="preserve">recommend that these audits conducted on </w:t>
      </w:r>
      <w:r w:rsidR="00692EF7">
        <w:t>a routine</w:t>
      </w:r>
      <w:r w:rsidR="00E74F60">
        <w:t xml:space="preserve"> basis</w:t>
      </w:r>
      <w:r w:rsidR="00360DAC">
        <w:t xml:space="preserve"> by a member of the department/ward. Any </w:t>
      </w:r>
      <w:r w:rsidR="00E74F60">
        <w:t>areas of concern raised by each audit</w:t>
      </w:r>
      <w:r w:rsidR="00360DAC" w:rsidRPr="00360DAC">
        <w:t xml:space="preserve"> </w:t>
      </w:r>
      <w:r w:rsidR="00360DAC">
        <w:t>should be address the department/ward staff and management</w:t>
      </w:r>
      <w:r w:rsidR="00E74F60">
        <w:t>.</w:t>
      </w:r>
    </w:p>
    <w:p w14:paraId="2195C861" w14:textId="4D8FAEB7" w:rsidR="00D03B25" w:rsidRDefault="00BB7895" w:rsidP="00D03B25">
      <w:pPr>
        <w:spacing w:after="0" w:line="360" w:lineRule="auto"/>
      </w:pPr>
      <w:r>
        <w:t>R</w:t>
      </w:r>
      <w:r w:rsidR="000D6E08">
        <w:t xml:space="preserve">efer to the </w:t>
      </w:r>
      <w:hyperlink r:id="rId8" w:history="1">
        <w:r w:rsidR="000D6E08" w:rsidRPr="000D6E08">
          <w:rPr>
            <w:rStyle w:val="Hyperlink"/>
          </w:rPr>
          <w:t>NHHI Implementation Guide</w:t>
        </w:r>
      </w:hyperlink>
      <w:r>
        <w:t xml:space="preserve"> for further information on product placement for hand hygiene</w:t>
      </w:r>
      <w:r w:rsidR="00360DAC">
        <w:t>.</w:t>
      </w:r>
    </w:p>
    <w:p w14:paraId="2C290268" w14:textId="4F62E52B" w:rsidR="001869F0" w:rsidRDefault="00D03B25" w:rsidP="00D03B25">
      <w:pPr>
        <w:spacing w:after="0" w:line="360" w:lineRule="auto"/>
      </w:pPr>
      <w:r w:rsidRPr="00D03B25">
        <w:rPr>
          <w:b/>
        </w:rPr>
        <w:t>Please note:</w:t>
      </w:r>
      <w:r>
        <w:t xml:space="preserve"> For product placement to be effective</w:t>
      </w:r>
      <w:r w:rsidR="002B5796">
        <w:t>,</w:t>
      </w:r>
      <w:r>
        <w:t xml:space="preserve"> and to maintain availability</w:t>
      </w:r>
      <w:r w:rsidR="002B5796">
        <w:t>,</w:t>
      </w:r>
      <w:r>
        <w:t xml:space="preserve"> there needs to be clear understanding of roles and responsibilities within the area. </w:t>
      </w:r>
      <w:r w:rsidR="002B5796">
        <w:t xml:space="preserve">For example, </w:t>
      </w:r>
      <w:r>
        <w:t>who is</w:t>
      </w:r>
      <w:r w:rsidR="00360DAC">
        <w:t xml:space="preserve"> responsible for replacing </w:t>
      </w:r>
      <w:r w:rsidR="00E74F60">
        <w:t xml:space="preserve">empty </w:t>
      </w:r>
      <w:r>
        <w:t xml:space="preserve">products, who </w:t>
      </w:r>
      <w:r w:rsidR="00E74F60">
        <w:t xml:space="preserve">should </w:t>
      </w:r>
      <w:r w:rsidR="002B5796">
        <w:t>conduct</w:t>
      </w:r>
      <w:r w:rsidR="00E74F60">
        <w:t xml:space="preserve"> product availability</w:t>
      </w:r>
      <w:r w:rsidR="002B5796">
        <w:t xml:space="preserve"> </w:t>
      </w:r>
      <w:r>
        <w:t>audit</w:t>
      </w:r>
      <w:r w:rsidR="002B5796">
        <w:t>s?</w:t>
      </w:r>
    </w:p>
    <w:p w14:paraId="151FDFAC" w14:textId="7DD1D88B" w:rsidR="00480548" w:rsidRDefault="002C5BEF">
      <w:r>
        <w:rPr>
          <w:b/>
          <w:bCs/>
        </w:rPr>
        <w:t xml:space="preserve"> </w:t>
      </w:r>
    </w:p>
    <w:p w14:paraId="00A76212" w14:textId="613C3EFD" w:rsidR="002C5BEF" w:rsidRDefault="002C5BEF" w:rsidP="00480548">
      <w:pPr>
        <w:spacing w:after="0" w:line="360" w:lineRule="auto"/>
        <w:sectPr w:rsidR="002C5BEF" w:rsidSect="000F2563">
          <w:headerReference w:type="default" r:id="rId9"/>
          <w:footerReference w:type="default" r:id="rId10"/>
          <w:pgSz w:w="16838" w:h="11906" w:orient="landscape"/>
          <w:pgMar w:top="54" w:right="851" w:bottom="851" w:left="851" w:header="426" w:footer="709" w:gutter="0"/>
          <w:cols w:space="708"/>
          <w:docGrid w:linePitch="360"/>
        </w:sectPr>
      </w:pPr>
    </w:p>
    <w:p w14:paraId="1A480482" w14:textId="77777777" w:rsidR="00B64678" w:rsidRDefault="00B64678" w:rsidP="00D03B25">
      <w:pPr>
        <w:spacing w:line="240" w:lineRule="auto"/>
        <w:sectPr w:rsidR="00B64678" w:rsidSect="00BB7895">
          <w:headerReference w:type="default" r:id="rId11"/>
          <w:pgSz w:w="16838" w:h="11906" w:orient="landscape"/>
          <w:pgMar w:top="2127" w:right="851" w:bottom="851" w:left="851" w:header="454" w:footer="709" w:gutter="0"/>
          <w:cols w:space="708"/>
          <w:docGrid w:linePitch="360"/>
        </w:sectPr>
      </w:pPr>
    </w:p>
    <w:p w14:paraId="693C5E66" w14:textId="77777777" w:rsidR="001E0463" w:rsidRDefault="001E0463" w:rsidP="00D03B25">
      <w:pPr>
        <w:spacing w:line="240" w:lineRule="auto"/>
      </w:pPr>
      <w:r w:rsidRPr="000F2563">
        <w:rPr>
          <w:b/>
          <w:bCs/>
        </w:rPr>
        <w:t>Organisation Name</w:t>
      </w:r>
      <w:r>
        <w:t>:</w:t>
      </w:r>
    </w:p>
    <w:p w14:paraId="55F5ED26" w14:textId="444967C5" w:rsidR="00D03B25" w:rsidRDefault="002C5BEF" w:rsidP="00D03B25">
      <w:pPr>
        <w:spacing w:line="240" w:lineRule="auto"/>
      </w:pPr>
      <w:r w:rsidRPr="000F2563">
        <w:rPr>
          <w:b/>
          <w:bCs/>
        </w:rPr>
        <w:t xml:space="preserve">Auditor </w:t>
      </w:r>
      <w:r w:rsidR="00D03B25" w:rsidRPr="000F2563">
        <w:rPr>
          <w:b/>
          <w:bCs/>
        </w:rPr>
        <w:t>Name</w:t>
      </w:r>
      <w:r w:rsidR="00D03B25">
        <w:t>:</w:t>
      </w:r>
      <w:r w:rsidR="00D03B25">
        <w:tab/>
      </w:r>
    </w:p>
    <w:p w14:paraId="5697ADEF" w14:textId="77777777" w:rsidR="00D03B25" w:rsidRDefault="00D03B25" w:rsidP="00D03B25">
      <w:pPr>
        <w:spacing w:line="240" w:lineRule="auto"/>
      </w:pPr>
      <w:r w:rsidRPr="000F2563">
        <w:rPr>
          <w:b/>
          <w:bCs/>
        </w:rPr>
        <w:t>Date</w:t>
      </w:r>
      <w:r>
        <w:t>:</w:t>
      </w:r>
      <w:r>
        <w:tab/>
      </w:r>
    </w:p>
    <w:p w14:paraId="13F88F94" w14:textId="77777777" w:rsidR="00D03B25" w:rsidRDefault="00D03B25" w:rsidP="00D03B25">
      <w:pPr>
        <w:spacing w:line="240" w:lineRule="auto"/>
      </w:pPr>
      <w:r w:rsidRPr="000F2563">
        <w:rPr>
          <w:b/>
          <w:bCs/>
        </w:rPr>
        <w:t>Department Name</w:t>
      </w:r>
      <w:r>
        <w:t>:</w:t>
      </w:r>
      <w:r>
        <w:tab/>
      </w:r>
    </w:p>
    <w:p w14:paraId="57E1B79B" w14:textId="77777777" w:rsidR="00B64678" w:rsidRDefault="00B64678" w:rsidP="00D03B25">
      <w:pPr>
        <w:spacing w:line="240" w:lineRule="auto"/>
        <w:sectPr w:rsidR="00B64678" w:rsidSect="000F2563">
          <w:type w:val="continuous"/>
          <w:pgSz w:w="16838" w:h="11906" w:orient="landscape"/>
          <w:pgMar w:top="2127" w:right="851" w:bottom="851" w:left="851" w:header="562" w:footer="709" w:gutter="0"/>
          <w:cols w:num="2" w:space="708"/>
          <w:docGrid w:linePitch="360"/>
        </w:sectPr>
      </w:pPr>
    </w:p>
    <w:p w14:paraId="7287FBAA" w14:textId="77777777" w:rsidR="00BB7895" w:rsidRDefault="00D03B25" w:rsidP="00692EF7">
      <w:pPr>
        <w:spacing w:after="0" w:line="240" w:lineRule="auto"/>
      </w:pPr>
      <w:r>
        <w:t>Answer YES/NO or N/A</w:t>
      </w:r>
      <w:r w:rsidR="002C5BEF">
        <w:t xml:space="preserve"> (for </w:t>
      </w:r>
      <w:r w:rsidR="00B64678">
        <w:t>not applicable</w:t>
      </w:r>
      <w:r w:rsidR="002C5BEF">
        <w:t>)</w:t>
      </w:r>
    </w:p>
    <w:p w14:paraId="41A8EDDE" w14:textId="5654BCD1" w:rsidR="00D03B25" w:rsidRDefault="00BB7895" w:rsidP="00692EF7">
      <w:pPr>
        <w:spacing w:after="0" w:line="240" w:lineRule="auto"/>
      </w:pPr>
      <w:r>
        <w:t>ABHR- alcohol-based hand rub</w:t>
      </w:r>
      <w:r w:rsidR="00D03B25">
        <w:tab/>
      </w:r>
    </w:p>
    <w:tbl>
      <w:tblPr>
        <w:tblW w:w="145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"/>
        <w:gridCol w:w="1409"/>
        <w:gridCol w:w="1408"/>
        <w:gridCol w:w="1152"/>
        <w:gridCol w:w="1134"/>
        <w:gridCol w:w="1134"/>
        <w:gridCol w:w="1134"/>
        <w:gridCol w:w="1134"/>
        <w:gridCol w:w="1134"/>
        <w:gridCol w:w="1276"/>
        <w:gridCol w:w="2552"/>
      </w:tblGrid>
      <w:tr w:rsidR="00E9095C" w:rsidRPr="00E9095C" w14:paraId="474A8160" w14:textId="77777777" w:rsidTr="001E662B">
        <w:trPr>
          <w:trHeight w:val="1669"/>
          <w:tblHeader/>
        </w:trPr>
        <w:tc>
          <w:tcPr>
            <w:tcW w:w="1036" w:type="dxa"/>
            <w:shd w:val="clear" w:color="000000" w:fill="F2F2F2"/>
            <w:hideMark/>
          </w:tcPr>
          <w:p w14:paraId="08BA33F8" w14:textId="28E19C0F" w:rsidR="00E9095C" w:rsidRPr="00E9095C" w:rsidRDefault="00E9095C" w:rsidP="001E662B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Bed</w:t>
            </w:r>
            <w:r w:rsidR="001E662B">
              <w:rPr>
                <w:rFonts w:eastAsia="Times New Roman" w:cstheme="minorHAnsi"/>
                <w:lang w:eastAsia="en-AU"/>
              </w:rPr>
              <w:t>/bay</w:t>
            </w:r>
            <w:r w:rsidR="00B64678">
              <w:rPr>
                <w:rFonts w:eastAsia="Times New Roman" w:cstheme="minorHAnsi"/>
                <w:lang w:eastAsia="en-AU"/>
              </w:rPr>
              <w:t>/</w:t>
            </w:r>
            <w:r w:rsidR="000F2563">
              <w:rPr>
                <w:rFonts w:eastAsia="Times New Roman" w:cstheme="minorHAnsi"/>
                <w:lang w:eastAsia="en-AU"/>
              </w:rPr>
              <w:t xml:space="preserve">chair </w:t>
            </w:r>
            <w:r w:rsidR="000F2563" w:rsidRPr="00E9095C">
              <w:rPr>
                <w:rFonts w:eastAsia="Times New Roman" w:cstheme="minorHAnsi"/>
                <w:lang w:eastAsia="en-AU"/>
              </w:rPr>
              <w:t>number</w:t>
            </w:r>
          </w:p>
        </w:tc>
        <w:tc>
          <w:tcPr>
            <w:tcW w:w="1409" w:type="dxa"/>
            <w:shd w:val="clear" w:color="000000" w:fill="F2F2F2"/>
            <w:hideMark/>
          </w:tcPr>
          <w:p w14:paraId="6A686E28" w14:textId="1DE05A2C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Is ABHR on the end of the bed?</w:t>
            </w:r>
          </w:p>
        </w:tc>
        <w:tc>
          <w:tcPr>
            <w:tcW w:w="1408" w:type="dxa"/>
            <w:shd w:val="clear" w:color="000000" w:fill="F2F2F2"/>
            <w:hideMark/>
          </w:tcPr>
          <w:p w14:paraId="4356F628" w14:textId="42F009F9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Is ABHR within the patient zone &amp; not obstructed by curtains or furniture?</w:t>
            </w:r>
          </w:p>
        </w:tc>
        <w:tc>
          <w:tcPr>
            <w:tcW w:w="1152" w:type="dxa"/>
            <w:shd w:val="clear" w:color="000000" w:fill="F2F2F2"/>
            <w:hideMark/>
          </w:tcPr>
          <w:p w14:paraId="7A2E3F82" w14:textId="2BA810C7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Is there ABHR in the bottle?</w:t>
            </w:r>
          </w:p>
        </w:tc>
        <w:tc>
          <w:tcPr>
            <w:tcW w:w="1134" w:type="dxa"/>
            <w:shd w:val="clear" w:color="000000" w:fill="F2F2F2"/>
          </w:tcPr>
          <w:p w14:paraId="2754CDFE" w14:textId="1A5A2C40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Is ABH</w:t>
            </w:r>
            <w:r w:rsidR="006E308F">
              <w:rPr>
                <w:rFonts w:eastAsia="Times New Roman" w:cstheme="minorHAnsi"/>
                <w:lang w:eastAsia="en-AU"/>
              </w:rPr>
              <w:t>R</w:t>
            </w:r>
            <w:r w:rsidRPr="00E9095C">
              <w:rPr>
                <w:rFonts w:eastAsia="Times New Roman" w:cstheme="minorHAnsi"/>
                <w:lang w:eastAsia="en-AU"/>
              </w:rPr>
              <w:t xml:space="preserve"> within the expiry date?</w:t>
            </w:r>
          </w:p>
        </w:tc>
        <w:tc>
          <w:tcPr>
            <w:tcW w:w="1134" w:type="dxa"/>
            <w:shd w:val="clear" w:color="000000" w:fill="F2F2F2"/>
            <w:hideMark/>
          </w:tcPr>
          <w:p w14:paraId="5B475C68" w14:textId="5F1BC7EF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 xml:space="preserve">Is there access to a hand-washing </w:t>
            </w:r>
            <w:r w:rsidR="00BB7895">
              <w:rPr>
                <w:rFonts w:eastAsia="Times New Roman" w:cstheme="minorHAnsi"/>
                <w:lang w:eastAsia="en-AU"/>
              </w:rPr>
              <w:t>basin</w:t>
            </w:r>
            <w:r w:rsidRPr="00E9095C">
              <w:rPr>
                <w:rFonts w:eastAsia="Times New Roman" w:cstheme="minorHAnsi"/>
                <w:lang w:eastAsia="en-AU"/>
              </w:rPr>
              <w:t>?</w:t>
            </w:r>
          </w:p>
        </w:tc>
        <w:tc>
          <w:tcPr>
            <w:tcW w:w="1134" w:type="dxa"/>
            <w:shd w:val="clear" w:color="000000" w:fill="F2F2F2"/>
            <w:hideMark/>
          </w:tcPr>
          <w:p w14:paraId="5BB0D720" w14:textId="52789A16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 xml:space="preserve">Is </w:t>
            </w:r>
            <w:r w:rsidR="00BB7895">
              <w:rPr>
                <w:rFonts w:eastAsia="Times New Roman" w:cstheme="minorHAnsi"/>
                <w:lang w:eastAsia="en-AU"/>
              </w:rPr>
              <w:t xml:space="preserve">liquid </w:t>
            </w:r>
            <w:r w:rsidRPr="00E9095C">
              <w:rPr>
                <w:rFonts w:eastAsia="Times New Roman" w:cstheme="minorHAnsi"/>
                <w:lang w:eastAsia="en-AU"/>
              </w:rPr>
              <w:t xml:space="preserve">soap at the hand-washing </w:t>
            </w:r>
            <w:r w:rsidR="00BB7895">
              <w:rPr>
                <w:rFonts w:eastAsia="Times New Roman" w:cstheme="minorHAnsi"/>
                <w:lang w:eastAsia="en-AU"/>
              </w:rPr>
              <w:t>basin</w:t>
            </w:r>
            <w:r w:rsidRPr="00E9095C">
              <w:rPr>
                <w:rFonts w:eastAsia="Times New Roman" w:cstheme="minorHAnsi"/>
                <w:lang w:eastAsia="en-AU"/>
              </w:rPr>
              <w:t>?</w:t>
            </w:r>
          </w:p>
        </w:tc>
        <w:tc>
          <w:tcPr>
            <w:tcW w:w="1134" w:type="dxa"/>
            <w:shd w:val="clear" w:color="000000" w:fill="F2F2F2"/>
            <w:hideMark/>
          </w:tcPr>
          <w:p w14:paraId="2A39BC32" w14:textId="7188E0DE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 xml:space="preserve">Is paper towel at the hand-washing </w:t>
            </w:r>
            <w:r w:rsidR="00BB7895">
              <w:rPr>
                <w:rFonts w:eastAsia="Times New Roman" w:cstheme="minorHAnsi"/>
                <w:lang w:eastAsia="en-AU"/>
              </w:rPr>
              <w:t>basin</w:t>
            </w:r>
            <w:r w:rsidRPr="00E9095C">
              <w:rPr>
                <w:rFonts w:eastAsia="Times New Roman" w:cstheme="minorHAnsi"/>
                <w:lang w:eastAsia="en-AU"/>
              </w:rPr>
              <w:t>?</w:t>
            </w:r>
          </w:p>
        </w:tc>
        <w:tc>
          <w:tcPr>
            <w:tcW w:w="1134" w:type="dxa"/>
            <w:shd w:val="clear" w:color="000000" w:fill="F2F2F2"/>
            <w:hideMark/>
          </w:tcPr>
          <w:p w14:paraId="03F58E47" w14:textId="212B8B22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 xml:space="preserve">Is a </w:t>
            </w:r>
            <w:r w:rsidR="00BB7895">
              <w:rPr>
                <w:rFonts w:eastAsia="Times New Roman" w:cstheme="minorHAnsi"/>
                <w:lang w:eastAsia="en-AU"/>
              </w:rPr>
              <w:t xml:space="preserve">general rubbish </w:t>
            </w:r>
            <w:r w:rsidRPr="00E9095C">
              <w:rPr>
                <w:rFonts w:eastAsia="Times New Roman" w:cstheme="minorHAnsi"/>
                <w:lang w:eastAsia="en-AU"/>
              </w:rPr>
              <w:t xml:space="preserve">bin near the hand-washing </w:t>
            </w:r>
            <w:r w:rsidR="00BB7895">
              <w:rPr>
                <w:rFonts w:eastAsia="Times New Roman" w:cstheme="minorHAnsi"/>
                <w:lang w:eastAsia="en-AU"/>
              </w:rPr>
              <w:t>basin</w:t>
            </w:r>
            <w:r w:rsidRPr="00E9095C">
              <w:rPr>
                <w:rFonts w:eastAsia="Times New Roman" w:cstheme="minorHAnsi"/>
                <w:lang w:eastAsia="en-AU"/>
              </w:rPr>
              <w:t>?</w:t>
            </w:r>
          </w:p>
        </w:tc>
        <w:tc>
          <w:tcPr>
            <w:tcW w:w="1276" w:type="dxa"/>
            <w:shd w:val="clear" w:color="000000" w:fill="F2F2F2"/>
            <w:hideMark/>
          </w:tcPr>
          <w:p w14:paraId="41C21A5E" w14:textId="32F10851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Is moisturiser available?</w:t>
            </w:r>
          </w:p>
        </w:tc>
        <w:tc>
          <w:tcPr>
            <w:tcW w:w="2552" w:type="dxa"/>
            <w:shd w:val="clear" w:color="000000" w:fill="F2F2F2"/>
            <w:hideMark/>
          </w:tcPr>
          <w:p w14:paraId="4E7A5CE4" w14:textId="77777777" w:rsidR="00E9095C" w:rsidRPr="00E9095C" w:rsidRDefault="00E9095C" w:rsidP="002B5796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Comments</w:t>
            </w:r>
          </w:p>
        </w:tc>
      </w:tr>
      <w:tr w:rsidR="00E9095C" w:rsidRPr="00E9095C" w14:paraId="2E64AB4D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105224F5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3A607FC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2311E42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006AB29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75D09F8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8521F74" w14:textId="7B6F3EFE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18D5B6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6F7DDC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E04510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45A1018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4CC4A11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3E96E18C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670C686F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620F64C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039938A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2820024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1C00D18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F04A89F" w14:textId="5F856858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0C5D08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FDC985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CCD134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30352D4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0317AEB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2D7EC2AC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3D5798BF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3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648B9C8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5B01736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61B65B9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48B673D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BE489C5" w14:textId="66724463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986233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A017D8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6394C6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42FD3D7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082C7B3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3214CCA4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72FEF8FA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4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3AA28D6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09166DC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3C7E0CD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4046843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AC03C26" w14:textId="1A86CBD6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BD04AA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0CDDCF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4A39F5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1D1DB49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17A50DF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100B590B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62FB6D3E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5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629AD02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6830E9F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378DB67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1A97B4D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29D394F" w14:textId="6C4B2A03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4AC7C3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827299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1747D2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6AD30D0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3DA8CE9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59B524A6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1E63C614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6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74B2A0E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03D32A7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570FDBD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5C1BA84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6716FB8" w14:textId="490190C5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8D7AA8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4B6D2B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4BE9B1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1EC9F78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45293A7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5DAA8C28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154BD557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7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194426B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668D6E6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5AD23DC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1287C1E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E994154" w14:textId="2C13E6BE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86C104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4B948B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3265A1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3D4BA26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19A1579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45F24AFC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72CFB2DE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8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250DF4C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237408C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3582752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61D16E8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8D4C9A8" w14:textId="7D27255D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6491B3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DA6812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7B64D8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07EFEF3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1AB8FDE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087A1792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7B336FDF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9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7F57C56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653D094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719B168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7D605AB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5BB47E6" w14:textId="3A8AE42D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CC2384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1F5704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FE0488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4D13156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7029A3B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41B3CF81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4EE6F429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10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0D31A49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4484B4B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321675C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40228E1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2B01E58" w14:textId="74857D3D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988D66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19635B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A97707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5404ED5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5C12362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1E2A0C99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2A2C6C32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11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053F75F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6E9D0FE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1A77A08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4B7936A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A55464F" w14:textId="08B2B93E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4772F8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B67E89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C530E2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50555C8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75CB954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1033431C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4E321ABB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12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733846E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51051D5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4C43F54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3B1EDC8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624F6EF" w14:textId="0433325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32228B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0817C1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281E58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7FC1D96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4ABEAE5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6F8EB4B1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19A2342F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13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7EB8AC9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0DC1FB9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65DCB3E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26952AC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EEF8B86" w14:textId="29FE948A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6C87A4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407030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C0B0CB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3FF81FE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2CEBDD1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0750A647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50B6E09D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14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12D3B9A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5F872F7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6034A73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1211CAD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F00EC82" w14:textId="4396FA6C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17E222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EF0ED5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BCECF4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7AFDE4B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793BD46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3ED352AF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3C079516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15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09EF35A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38EAE8A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26ECB22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0D13D38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17B4753" w14:textId="4F9E75A3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16C2E1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E311A9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CD71FA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313D78C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1E4E59A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238F6CC2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4C17E1AF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lastRenderedPageBreak/>
              <w:t>16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4B39D5C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04CC3AD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29FB3A3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25963F2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5F5AC46" w14:textId="4CA65EF8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CDEADC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5BE906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AB68DB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2A3AE88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30F78AA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480E7BC8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504C0F83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17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10FC07E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2FC817A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2A409A1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11D8FB9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B6358B1" w14:textId="100102E6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D4E41F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E45550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4DBE5A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1BD48EA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4471426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248A3905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6EAF913A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18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60635BA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5EBFD9A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010CC5A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2BF9C93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207CBDE" w14:textId="4C386EA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024FDE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62E898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25FA3E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4852A28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2532AFA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32408653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65BA3EFE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19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350F8FB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3109E3A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636E8A8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26AABC4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2C449BC" w14:textId="28AA41CA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F4D871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C44565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4B24C4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79908D5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398B5B7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222C7345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706DEA6D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20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43C7545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50FBEB2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6B79AEB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38A5D48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6311B2B" w14:textId="7F06883F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4EC155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FFC7B5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41450F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0AC22DF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5669569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5B416CEB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1E4ED451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21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5133EE6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504CFFF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350482D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65B97F5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91B6ED6" w14:textId="4CD6C111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C77B23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6FD348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AD5411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6E8F8EE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146AAB7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222A171C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77FC4809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22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24648B3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403D7FE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12602F8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62B81A5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F0C6F38" w14:textId="185728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B135FA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1497F3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BA2D41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6112120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0D4B709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1A134E26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43C55BFF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23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056722C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60ADD74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082988D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4E35A7E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C73F1E8" w14:textId="4BD890BE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7141B8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97130D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66B41F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3DD5FF4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55AE482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446577ED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71A9C7F1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24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196854F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5290A80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1289F62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077F4C1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1B4C3BB" w14:textId="7B76614A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EC5B20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14C83C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F672D3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7673301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3C091B3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6D721BA5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03B6975E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25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0ED9A39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4E65219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18C7240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4CDD8DD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ABE0FE3" w14:textId="39960F81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8744E2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0E7347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0D399B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2E5DC75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5EB5545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17C7B610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4D9B7B0F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26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60CCBA8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291BA85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2516551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52A2CA2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4CB4FBC" w14:textId="6A978A55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6BECD3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0D3A2B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2169B0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2CC8002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0FBB195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357FC90D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63A031AB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27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139E4D4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3B06922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0622A0D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2155CDD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9811F6F" w14:textId="4A32FE62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99FE28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5C242F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88FC31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47C2AC6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125DD9F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1A8A13CE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0250B5EB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28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6D5FA2B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08F1C54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3E2A4FA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4AE329E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83F3E44" w14:textId="73C79670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D44AD2B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EB404D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B2A8B1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71A3EC5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38AE875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5205CB11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3E269676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29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6966F16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2D48C42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5B99F90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11477635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3CF3CB8D" w14:textId="07CAFC8E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FD4AEA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D3DDD2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959943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3AE9997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2EB0DC7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61C74AF1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  <w:hideMark/>
          </w:tcPr>
          <w:p w14:paraId="434C3A38" w14:textId="77777777" w:rsidR="00E9095C" w:rsidRPr="00E9095C" w:rsidRDefault="00E9095C" w:rsidP="00FF086B">
            <w:pPr>
              <w:spacing w:after="0" w:line="240" w:lineRule="auto"/>
              <w:jc w:val="center"/>
              <w:rPr>
                <w:rFonts w:eastAsia="Times New Roman" w:cstheme="minorHAnsi"/>
                <w:lang w:eastAsia="en-AU"/>
              </w:rPr>
            </w:pPr>
            <w:r w:rsidRPr="00E9095C">
              <w:rPr>
                <w:rFonts w:eastAsia="Times New Roman" w:cstheme="minorHAnsi"/>
                <w:lang w:eastAsia="en-AU"/>
              </w:rPr>
              <w:t>30</w:t>
            </w: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5E62578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7DC4A01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7B3DBE0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5EC1570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AB13878" w14:textId="7D8E7F94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BD0002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05A39B1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082561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7174EC7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2D9FAD47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07DAF82D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</w:tcPr>
          <w:p w14:paraId="3592EAB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6042A52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77C59D21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7329F96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19B3B8B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2C515BA7" w14:textId="3A34E14A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4835E5EA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6C2307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72C9A1F0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588E769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6C68B454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E9095C" w:rsidRPr="00E9095C" w14:paraId="7FFEFFCF" w14:textId="77777777" w:rsidTr="00E9095C">
        <w:trPr>
          <w:trHeight w:val="300"/>
        </w:trPr>
        <w:tc>
          <w:tcPr>
            <w:tcW w:w="1036" w:type="dxa"/>
            <w:shd w:val="clear" w:color="000000" w:fill="F2F2F2"/>
            <w:noWrap/>
            <w:vAlign w:val="bottom"/>
          </w:tcPr>
          <w:p w14:paraId="55518A89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9" w:type="dxa"/>
            <w:shd w:val="clear" w:color="000000" w:fill="F2F2F2"/>
            <w:noWrap/>
            <w:vAlign w:val="bottom"/>
          </w:tcPr>
          <w:p w14:paraId="343C9BE3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408" w:type="dxa"/>
            <w:shd w:val="clear" w:color="000000" w:fill="F2F2F2"/>
            <w:noWrap/>
            <w:vAlign w:val="bottom"/>
          </w:tcPr>
          <w:p w14:paraId="14351F7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52" w:type="dxa"/>
            <w:shd w:val="clear" w:color="000000" w:fill="F2F2F2"/>
            <w:noWrap/>
            <w:vAlign w:val="bottom"/>
          </w:tcPr>
          <w:p w14:paraId="550412EF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</w:tcPr>
          <w:p w14:paraId="379F560E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18572F59" w14:textId="1EC2F0DF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3C0189C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5B7D0A1D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shd w:val="clear" w:color="000000" w:fill="F2F2F2"/>
            <w:noWrap/>
            <w:vAlign w:val="bottom"/>
          </w:tcPr>
          <w:p w14:paraId="66F9D486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76" w:type="dxa"/>
            <w:shd w:val="clear" w:color="000000" w:fill="F2F2F2"/>
            <w:noWrap/>
            <w:vAlign w:val="bottom"/>
          </w:tcPr>
          <w:p w14:paraId="51F40008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552" w:type="dxa"/>
            <w:shd w:val="clear" w:color="000000" w:fill="F2F2F2"/>
            <w:noWrap/>
            <w:vAlign w:val="bottom"/>
          </w:tcPr>
          <w:p w14:paraId="18B201E2" w14:textId="77777777" w:rsidR="00E9095C" w:rsidRPr="00E9095C" w:rsidRDefault="00E9095C" w:rsidP="00D03B25">
            <w:pPr>
              <w:spacing w:after="0" w:line="240" w:lineRule="auto"/>
              <w:rPr>
                <w:rFonts w:eastAsia="Times New Roman" w:cstheme="minorHAnsi"/>
                <w:lang w:eastAsia="en-AU"/>
              </w:rPr>
            </w:pPr>
          </w:p>
        </w:tc>
      </w:tr>
    </w:tbl>
    <w:p w14:paraId="704B64AA" w14:textId="77777777" w:rsidR="00B64678" w:rsidRDefault="00B64678" w:rsidP="002B5796">
      <w:pPr>
        <w:sectPr w:rsidR="00B64678" w:rsidSect="00B64678">
          <w:type w:val="continuous"/>
          <w:pgSz w:w="16838" w:h="11906" w:orient="landscape"/>
          <w:pgMar w:top="2127" w:right="851" w:bottom="851" w:left="851" w:header="562" w:footer="709" w:gutter="0"/>
          <w:cols w:space="708"/>
          <w:docGrid w:linePitch="360"/>
        </w:sectPr>
      </w:pPr>
    </w:p>
    <w:p w14:paraId="6601ED55" w14:textId="77777777" w:rsidR="00B64678" w:rsidRDefault="00B64678" w:rsidP="002C1364">
      <w:pPr>
        <w:spacing w:after="0" w:line="240" w:lineRule="auto"/>
        <w:sectPr w:rsidR="00B64678" w:rsidSect="002C1364">
          <w:headerReference w:type="default" r:id="rId12"/>
          <w:pgSz w:w="16838" w:h="11906" w:orient="landscape"/>
          <w:pgMar w:top="1843" w:right="851" w:bottom="851" w:left="851" w:header="227" w:footer="709" w:gutter="0"/>
          <w:cols w:space="708"/>
          <w:docGrid w:linePitch="360"/>
        </w:sectPr>
      </w:pPr>
    </w:p>
    <w:p w14:paraId="22B6E3E5" w14:textId="77777777" w:rsidR="00E9095C" w:rsidRDefault="001E0463" w:rsidP="00360DAC">
      <w:pPr>
        <w:spacing w:after="0"/>
      </w:pPr>
      <w:r w:rsidRPr="000F2563">
        <w:rPr>
          <w:b/>
          <w:bCs/>
        </w:rPr>
        <w:t>Organisation Name</w:t>
      </w:r>
      <w:r>
        <w:t>:</w:t>
      </w:r>
    </w:p>
    <w:p w14:paraId="41DE696F" w14:textId="22E2D7B1" w:rsidR="00FF086B" w:rsidRDefault="00B64678" w:rsidP="00360DAC">
      <w:pPr>
        <w:spacing w:after="0"/>
      </w:pPr>
      <w:r w:rsidRPr="000F2563">
        <w:rPr>
          <w:b/>
          <w:bCs/>
        </w:rPr>
        <w:t xml:space="preserve">Auditor </w:t>
      </w:r>
      <w:r w:rsidR="00FF086B" w:rsidRPr="000F2563">
        <w:rPr>
          <w:b/>
          <w:bCs/>
        </w:rPr>
        <w:t>Name</w:t>
      </w:r>
      <w:r w:rsidR="00FF086B">
        <w:t>:</w:t>
      </w:r>
      <w:r w:rsidR="00FF086B">
        <w:tab/>
      </w:r>
    </w:p>
    <w:p w14:paraId="0C7FA8E2" w14:textId="77777777" w:rsidR="00FF086B" w:rsidRDefault="00FF086B" w:rsidP="00360DAC">
      <w:pPr>
        <w:spacing w:after="0"/>
      </w:pPr>
      <w:r w:rsidRPr="000F2563">
        <w:rPr>
          <w:b/>
          <w:bCs/>
        </w:rPr>
        <w:t>Date</w:t>
      </w:r>
      <w:r>
        <w:t>:</w:t>
      </w:r>
      <w:r>
        <w:tab/>
      </w:r>
    </w:p>
    <w:p w14:paraId="4EB0B397" w14:textId="205CBE0A" w:rsidR="000425DC" w:rsidRDefault="00FF086B" w:rsidP="000425DC">
      <w:pPr>
        <w:spacing w:after="0" w:line="360" w:lineRule="auto"/>
      </w:pPr>
      <w:r w:rsidRPr="000F2563">
        <w:rPr>
          <w:b/>
          <w:bCs/>
        </w:rPr>
        <w:t>Department Name</w:t>
      </w:r>
      <w:r>
        <w:t>:</w:t>
      </w:r>
      <w:r>
        <w:tab/>
      </w:r>
    </w:p>
    <w:p w14:paraId="72FAC452" w14:textId="77777777" w:rsidR="00B64678" w:rsidRDefault="00B64678" w:rsidP="00FF086B">
      <w:pPr>
        <w:spacing w:after="0" w:line="240" w:lineRule="auto"/>
        <w:sectPr w:rsidR="00B64678" w:rsidSect="002C1364">
          <w:type w:val="continuous"/>
          <w:pgSz w:w="16838" w:h="11906" w:orient="landscape"/>
          <w:pgMar w:top="1701" w:right="851" w:bottom="851" w:left="851" w:header="562" w:footer="709" w:gutter="0"/>
          <w:cols w:num="2" w:space="708"/>
          <w:docGrid w:linePitch="360"/>
        </w:sectPr>
      </w:pPr>
    </w:p>
    <w:p w14:paraId="6BE6764E" w14:textId="346169A3" w:rsidR="00FF086B" w:rsidRDefault="00FF086B" w:rsidP="00FF086B">
      <w:pPr>
        <w:spacing w:after="0" w:line="240" w:lineRule="auto"/>
      </w:pPr>
      <w:r>
        <w:t>Answer YES/NO or N/A</w:t>
      </w:r>
      <w:r>
        <w:tab/>
      </w:r>
      <w:r w:rsidR="00B64678">
        <w:t>(for not applicable)</w:t>
      </w:r>
      <w:r w:rsidR="00B64678">
        <w:tab/>
      </w:r>
    </w:p>
    <w:tbl>
      <w:tblPr>
        <w:tblW w:w="1516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12"/>
        <w:gridCol w:w="1134"/>
        <w:gridCol w:w="1134"/>
        <w:gridCol w:w="1247"/>
        <w:gridCol w:w="1257"/>
        <w:gridCol w:w="1247"/>
        <w:gridCol w:w="1163"/>
        <w:gridCol w:w="1134"/>
        <w:gridCol w:w="1134"/>
        <w:gridCol w:w="992"/>
        <w:gridCol w:w="2410"/>
      </w:tblGrid>
      <w:tr w:rsidR="001869F0" w:rsidRPr="001869F0" w14:paraId="41A97F60" w14:textId="77777777" w:rsidTr="00DB1C17">
        <w:trPr>
          <w:trHeight w:val="1200"/>
        </w:trPr>
        <w:tc>
          <w:tcPr>
            <w:tcW w:w="231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03556EFF" w14:textId="77777777" w:rsidR="00E9095C" w:rsidRPr="001869F0" w:rsidRDefault="00E9095C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 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14:paraId="7F8FEC66" w14:textId="4AB69F5A" w:rsidR="00E9095C" w:rsidRPr="001869F0" w:rsidRDefault="00E9095C" w:rsidP="00260191">
            <w:pPr>
              <w:spacing w:before="100" w:beforeAutospacing="1" w:after="100" w:afterAutospacing="1" w:line="240" w:lineRule="auto"/>
              <w:ind w:right="-109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Is ABHR available:</w:t>
            </w:r>
          </w:p>
        </w:tc>
        <w:tc>
          <w:tcPr>
            <w:tcW w:w="113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14:paraId="4F6CF500" w14:textId="53D8FD58" w:rsidR="00E9095C" w:rsidRPr="001869F0" w:rsidRDefault="00E9095C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Is there ABHR in the bottle?</w:t>
            </w:r>
          </w:p>
        </w:tc>
        <w:tc>
          <w:tcPr>
            <w:tcW w:w="124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hideMark/>
          </w:tcPr>
          <w:p w14:paraId="21FFD9CB" w14:textId="6D7BFD8F" w:rsidR="00E9095C" w:rsidRPr="001869F0" w:rsidRDefault="006E308F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Is ABHR within the expiry date?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35E55AE" w14:textId="0C97F289" w:rsidR="00E9095C" w:rsidRPr="001869F0" w:rsidRDefault="006E308F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 xml:space="preserve"> Is ABHR attached by a permanent bracket?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DD75036" w14:textId="2995D021" w:rsidR="00E9095C" w:rsidRPr="001869F0" w:rsidRDefault="00E9095C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Is a moisturiser available?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2D170A" w14:textId="0E3BFA8B" w:rsidR="00E9095C" w:rsidRPr="001869F0" w:rsidRDefault="00E9095C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Is there access to a hand-</w:t>
            </w:r>
            <w:r w:rsidR="00F80555" w:rsidRPr="001869F0">
              <w:rPr>
                <w:rFonts w:eastAsia="Times New Roman" w:cstheme="minorHAnsi"/>
                <w:lang w:eastAsia="en-AU"/>
              </w:rPr>
              <w:t xml:space="preserve">washing </w:t>
            </w:r>
            <w:r w:rsidR="00BB7895">
              <w:rPr>
                <w:rFonts w:eastAsia="Times New Roman" w:cstheme="minorHAnsi"/>
                <w:lang w:eastAsia="en-AU"/>
              </w:rPr>
              <w:t>basin</w:t>
            </w:r>
            <w:r w:rsidRPr="001869F0">
              <w:rPr>
                <w:rFonts w:eastAsia="Times New Roman" w:cstheme="minorHAnsi"/>
                <w:lang w:eastAsia="en-AU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D991EE" w14:textId="0F966FDB" w:rsidR="00E9095C" w:rsidRPr="001869F0" w:rsidRDefault="00E9095C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 xml:space="preserve">Is </w:t>
            </w:r>
            <w:r w:rsidR="002C1364">
              <w:rPr>
                <w:rFonts w:eastAsia="Times New Roman" w:cstheme="minorHAnsi"/>
                <w:lang w:eastAsia="en-AU"/>
              </w:rPr>
              <w:t xml:space="preserve">liquid </w:t>
            </w:r>
            <w:r w:rsidRPr="001869F0">
              <w:rPr>
                <w:rFonts w:eastAsia="Times New Roman" w:cstheme="minorHAnsi"/>
                <w:lang w:eastAsia="en-AU"/>
              </w:rPr>
              <w:t xml:space="preserve">soap at the hand- </w:t>
            </w:r>
            <w:r w:rsidR="00F80555" w:rsidRPr="001869F0">
              <w:rPr>
                <w:rFonts w:eastAsia="Times New Roman" w:cstheme="minorHAnsi"/>
                <w:lang w:eastAsia="en-AU"/>
              </w:rPr>
              <w:t xml:space="preserve">washing </w:t>
            </w:r>
            <w:r w:rsidR="00BB7895">
              <w:rPr>
                <w:rFonts w:eastAsia="Times New Roman" w:cstheme="minorHAnsi"/>
                <w:lang w:eastAsia="en-AU"/>
              </w:rPr>
              <w:t>basin</w:t>
            </w:r>
            <w:r w:rsidRPr="001869F0">
              <w:rPr>
                <w:rFonts w:eastAsia="Times New Roman" w:cstheme="minorHAnsi"/>
                <w:lang w:eastAsia="en-AU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9C03340" w14:textId="0DCDF2DF" w:rsidR="00E9095C" w:rsidRPr="001869F0" w:rsidRDefault="00E9095C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 xml:space="preserve">Is paper towel at the hand-washing </w:t>
            </w:r>
            <w:r w:rsidR="00BB7895">
              <w:rPr>
                <w:rFonts w:eastAsia="Times New Roman" w:cstheme="minorHAnsi"/>
                <w:lang w:eastAsia="en-AU"/>
              </w:rPr>
              <w:t>basin</w:t>
            </w:r>
            <w:r w:rsidRPr="001869F0">
              <w:rPr>
                <w:rFonts w:eastAsia="Times New Roman" w:cstheme="minorHAnsi"/>
                <w:lang w:eastAsia="en-AU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D7AE549" w14:textId="6F6F4B6B" w:rsidR="00E9095C" w:rsidRPr="001869F0" w:rsidRDefault="00E9095C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Is a</w:t>
            </w:r>
            <w:r w:rsidR="002C1364">
              <w:rPr>
                <w:rFonts w:eastAsia="Times New Roman" w:cstheme="minorHAnsi"/>
                <w:lang w:eastAsia="en-AU"/>
              </w:rPr>
              <w:t xml:space="preserve"> general rubbish </w:t>
            </w:r>
            <w:r w:rsidR="002C1364" w:rsidRPr="001869F0">
              <w:rPr>
                <w:rFonts w:eastAsia="Times New Roman" w:cstheme="minorHAnsi"/>
                <w:lang w:eastAsia="en-AU"/>
              </w:rPr>
              <w:t>bin</w:t>
            </w:r>
            <w:r w:rsidRPr="001869F0">
              <w:rPr>
                <w:rFonts w:eastAsia="Times New Roman" w:cstheme="minorHAnsi"/>
                <w:lang w:eastAsia="en-AU"/>
              </w:rPr>
              <w:t xml:space="preserve"> near the hand-washing </w:t>
            </w:r>
            <w:r w:rsidR="00BB7895">
              <w:rPr>
                <w:rFonts w:eastAsia="Times New Roman" w:cstheme="minorHAnsi"/>
                <w:lang w:eastAsia="en-AU"/>
              </w:rPr>
              <w:t>basin</w:t>
            </w:r>
            <w:r w:rsidRPr="001869F0">
              <w:rPr>
                <w:rFonts w:eastAsia="Times New Roman" w:cstheme="minorHAnsi"/>
                <w:lang w:eastAsia="en-AU"/>
              </w:rPr>
              <w:t>?</w:t>
            </w:r>
          </w:p>
        </w:tc>
        <w:tc>
          <w:tcPr>
            <w:tcW w:w="241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hideMark/>
          </w:tcPr>
          <w:p w14:paraId="5EBADC7D" w14:textId="77777777" w:rsidR="00E9095C" w:rsidRPr="001869F0" w:rsidRDefault="00E9095C" w:rsidP="002B5796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Comments</w:t>
            </w:r>
          </w:p>
        </w:tc>
      </w:tr>
      <w:tr w:rsidR="001869F0" w:rsidRPr="001869F0" w14:paraId="46F83993" w14:textId="77777777" w:rsidTr="00DB1C17">
        <w:trPr>
          <w:trHeight w:val="537"/>
        </w:trPr>
        <w:tc>
          <w:tcPr>
            <w:tcW w:w="231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1E886928" w14:textId="5B0C17E2" w:rsidR="00E9095C" w:rsidRPr="001869F0" w:rsidRDefault="00692EF7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On e</w:t>
            </w:r>
            <w:r w:rsidR="00E9095C" w:rsidRPr="001869F0">
              <w:rPr>
                <w:rFonts w:eastAsia="Times New Roman" w:cstheme="minorHAnsi"/>
                <w:lang w:eastAsia="en-AU"/>
              </w:rPr>
              <w:t>ntrance to department</w:t>
            </w:r>
            <w:r w:rsidR="001869F0">
              <w:rPr>
                <w:rFonts w:eastAsia="Times New Roman" w:cstheme="minorHAnsi"/>
                <w:lang w:eastAsia="en-A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236F0DB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0C2ECC8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1028BCD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9543F4A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DE44D86" w14:textId="2D1D2D1E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7EF4C9" w14:textId="2531DAB6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381741A" w14:textId="3BD9CC92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4FBBF2" w14:textId="2B949BCF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5EA1D16" w14:textId="2F1EA650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16ABD98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1869F0" w:rsidRPr="001869F0" w14:paraId="594BEE1F" w14:textId="77777777" w:rsidTr="00DB1C17">
        <w:trPr>
          <w:trHeight w:val="537"/>
        </w:trPr>
        <w:tc>
          <w:tcPr>
            <w:tcW w:w="231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3BC58F93" w14:textId="79FD3149" w:rsidR="00E9095C" w:rsidRPr="001869F0" w:rsidRDefault="00692EF7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On e</w:t>
            </w:r>
            <w:r w:rsidR="00E9095C" w:rsidRPr="001869F0">
              <w:rPr>
                <w:rFonts w:eastAsia="Times New Roman" w:cstheme="minorHAnsi"/>
                <w:lang w:eastAsia="en-AU"/>
              </w:rPr>
              <w:t>ntrance to staff areas</w:t>
            </w:r>
            <w:r w:rsidR="001869F0">
              <w:rPr>
                <w:rFonts w:eastAsia="Times New Roman" w:cstheme="minorHAnsi"/>
                <w:lang w:eastAsia="en-AU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521C5B5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BAA794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5FBB8C3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C4A9684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3451E0" w14:textId="12BFA59D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36064C" w14:textId="1235084E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9C5845" w14:textId="47BABDE6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7F30D8F" w14:textId="22ED636C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5BED29" w14:textId="7EA5AAFC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BA5F8F0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1869F0" w:rsidRPr="001869F0" w14:paraId="0B046D08" w14:textId="77777777" w:rsidTr="00DB1C17">
        <w:trPr>
          <w:trHeight w:val="537"/>
        </w:trPr>
        <w:tc>
          <w:tcPr>
            <w:tcW w:w="231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50FAFA7F" w14:textId="0158A4DA" w:rsidR="00E9095C" w:rsidRPr="001869F0" w:rsidRDefault="00692EF7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On e</w:t>
            </w:r>
            <w:r w:rsidR="00E9095C" w:rsidRPr="001869F0">
              <w:rPr>
                <w:rFonts w:eastAsia="Times New Roman" w:cstheme="minorHAnsi"/>
                <w:lang w:eastAsia="en-AU"/>
              </w:rPr>
              <w:t>ntrance to treatment areas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768AECE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606F86B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474E3B6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24B348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01EC757" w14:textId="0D4A2468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7D222E8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91F101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D77B38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59EF49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E1A88F1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1869F0" w:rsidRPr="001869F0" w14:paraId="150685A9" w14:textId="77777777" w:rsidTr="00DB1C17">
        <w:trPr>
          <w:trHeight w:val="537"/>
        </w:trPr>
        <w:tc>
          <w:tcPr>
            <w:tcW w:w="2312" w:type="dxa"/>
            <w:tcBorders>
              <w:top w:val="nil"/>
              <w:left w:val="single" w:sz="4" w:space="0" w:color="3F3F3F"/>
              <w:bottom w:val="nil"/>
              <w:right w:val="single" w:sz="4" w:space="0" w:color="3F3F3F"/>
            </w:tcBorders>
            <w:shd w:val="clear" w:color="000000" w:fill="F2F2F2"/>
            <w:noWrap/>
            <w:hideMark/>
          </w:tcPr>
          <w:p w14:paraId="43D7798A" w14:textId="77777777" w:rsidR="00E9095C" w:rsidRPr="001869F0" w:rsidRDefault="00E9095C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Within staff areas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C5E6E5D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DBCA75A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96CD8B3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4CFC954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4DC7807" w14:textId="41FEBE1A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F58CC5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F262E71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6D08CD4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9B76A86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C7E516C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1869F0" w:rsidRPr="001869F0" w14:paraId="74019BAD" w14:textId="77777777" w:rsidTr="00DB1C17">
        <w:trPr>
          <w:trHeight w:val="537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426DC0" w14:textId="40B8DEE4" w:rsidR="00E9095C" w:rsidRPr="001869F0" w:rsidRDefault="00692EF7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In t</w:t>
            </w:r>
            <w:r w:rsidR="00911B6F">
              <w:rPr>
                <w:rFonts w:eastAsia="Times New Roman" w:cstheme="minorHAnsi"/>
                <w:lang w:eastAsia="en-AU"/>
              </w:rPr>
              <w:t>reatment/ procedure rooms/ bays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D7931EC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D7CF60A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DF7A62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42EEAE4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E856323" w14:textId="126B8C36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E38FA21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AE07CB6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11D18D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44F28A8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BD7771E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1869F0" w:rsidRPr="001869F0" w14:paraId="72C0605D" w14:textId="77777777" w:rsidTr="00DB1C17">
        <w:trPr>
          <w:trHeight w:val="537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CBE3D9F" w14:textId="0F4BA44D" w:rsidR="00E9095C" w:rsidRPr="001869F0" w:rsidRDefault="00692EF7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In c</w:t>
            </w:r>
            <w:r w:rsidR="00911B6F">
              <w:rPr>
                <w:rFonts w:eastAsia="Times New Roman" w:cstheme="minorHAnsi"/>
                <w:lang w:eastAsia="en-AU"/>
              </w:rPr>
              <w:t>onsult rooms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94EEDAE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400FBDC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4CB03FC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1E22C3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F18E648" w14:textId="59A108F9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471021" w14:textId="175BCC76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6428FC3" w14:textId="263876C9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2921A82" w14:textId="13CA809E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0FD1EE" w14:textId="2326E0CA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BF57618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911B6F" w:rsidRPr="001869F0" w14:paraId="3F7C2F58" w14:textId="77777777" w:rsidTr="00DB1C17">
        <w:trPr>
          <w:trHeight w:val="537"/>
        </w:trPr>
        <w:tc>
          <w:tcPr>
            <w:tcW w:w="231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593DD455" w14:textId="63EAEA3F" w:rsidR="00911B6F" w:rsidRPr="001869F0" w:rsidRDefault="00692EF7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On m</w:t>
            </w:r>
            <w:r w:rsidR="00911B6F" w:rsidRPr="001869F0">
              <w:rPr>
                <w:rFonts w:eastAsia="Times New Roman" w:cstheme="minorHAnsi"/>
                <w:lang w:eastAsia="en-AU"/>
              </w:rPr>
              <w:t>obile work trolleys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407A728" w14:textId="77777777" w:rsidR="00911B6F" w:rsidRPr="001869F0" w:rsidRDefault="00911B6F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4A4810D" w14:textId="77777777" w:rsidR="00911B6F" w:rsidRPr="001869F0" w:rsidRDefault="00911B6F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5F78931" w14:textId="77777777" w:rsidR="00911B6F" w:rsidRPr="001869F0" w:rsidRDefault="00911B6F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5B624B6" w14:textId="77777777" w:rsidR="00911B6F" w:rsidRPr="001869F0" w:rsidRDefault="00911B6F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F963473" w14:textId="07E9896C" w:rsidR="00911B6F" w:rsidRPr="001869F0" w:rsidRDefault="00911B6F" w:rsidP="00911B6F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Not applicable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067217A" w14:textId="77777777" w:rsidR="00911B6F" w:rsidRPr="001869F0" w:rsidRDefault="00911B6F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1869F0" w:rsidRPr="001869F0" w14:paraId="4907BFE3" w14:textId="77777777" w:rsidTr="00DB1C17">
        <w:trPr>
          <w:trHeight w:val="537"/>
        </w:trPr>
        <w:tc>
          <w:tcPr>
            <w:tcW w:w="231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1A311DB6" w14:textId="46296FA4" w:rsidR="00911B6F" w:rsidRPr="001869F0" w:rsidRDefault="00692EF7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In the c</w:t>
            </w:r>
            <w:r w:rsidR="00911B6F">
              <w:rPr>
                <w:rFonts w:eastAsia="Times New Roman" w:cstheme="minorHAnsi"/>
                <w:lang w:eastAsia="en-AU"/>
              </w:rPr>
              <w:t>lean utility room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694D8151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D66F516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D54613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3424E891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678C785" w14:textId="67AB5D3D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28B0A77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B1D4635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D1B23F6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53F83DC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30B2738D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1869F0" w:rsidRPr="001869F0" w14:paraId="6D849A87" w14:textId="77777777" w:rsidTr="00DB1C17">
        <w:trPr>
          <w:trHeight w:val="537"/>
        </w:trPr>
        <w:tc>
          <w:tcPr>
            <w:tcW w:w="231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4959553C" w14:textId="3EACD0FA" w:rsidR="00E9095C" w:rsidRPr="001869F0" w:rsidRDefault="00692EF7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In the c</w:t>
            </w:r>
            <w:r w:rsidR="00911B6F">
              <w:rPr>
                <w:rFonts w:eastAsia="Times New Roman" w:cstheme="minorHAnsi"/>
                <w:lang w:eastAsia="en-AU"/>
              </w:rPr>
              <w:t>lean-up/ dirty utility room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327BC9C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67B700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885C80F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1D91AE4" w14:textId="77777777" w:rsidR="00E9095C" w:rsidRPr="001869F0" w:rsidRDefault="00E9095C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FAAAFA0" w14:textId="06FAE2BD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12206E76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13A567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3F3F3F"/>
              <w:right w:val="nil"/>
            </w:tcBorders>
            <w:shd w:val="clear" w:color="000000" w:fill="F2F2F2"/>
            <w:noWrap/>
            <w:vAlign w:val="bottom"/>
          </w:tcPr>
          <w:p w14:paraId="36141CE0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CA48AB4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F69EBB8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  <w:tr w:rsidR="001869F0" w:rsidRPr="001869F0" w14:paraId="290C1CD5" w14:textId="77777777" w:rsidTr="00DB1C17">
        <w:trPr>
          <w:trHeight w:val="538"/>
        </w:trPr>
        <w:tc>
          <w:tcPr>
            <w:tcW w:w="231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3F3FCD92" w14:textId="06D9DDF7" w:rsidR="00E9095C" w:rsidRPr="001869F0" w:rsidRDefault="00E9095C" w:rsidP="00B64678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  <w:r w:rsidRPr="001869F0">
              <w:rPr>
                <w:rFonts w:eastAsia="Times New Roman" w:cstheme="minorHAnsi"/>
                <w:lang w:eastAsia="en-AU"/>
              </w:rPr>
              <w:t> </w:t>
            </w:r>
            <w:r w:rsidR="00692EF7">
              <w:rPr>
                <w:rFonts w:eastAsia="Times New Roman" w:cstheme="minorHAnsi"/>
                <w:lang w:eastAsia="en-AU"/>
              </w:rPr>
              <w:t>In o</w:t>
            </w:r>
            <w:r w:rsidR="00911B6F">
              <w:rPr>
                <w:rFonts w:eastAsia="Times New Roman" w:cstheme="minorHAnsi"/>
                <w:lang w:eastAsia="en-AU"/>
              </w:rPr>
              <w:t>ther areas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0DBE2E7D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540A19B8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2899D6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7E4AB01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6DF9DD3" w14:textId="60E97970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4BB6670B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2F9BDE19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F3F3F"/>
              <w:right w:val="nil"/>
            </w:tcBorders>
            <w:shd w:val="clear" w:color="000000" w:fill="F2F2F2"/>
            <w:noWrap/>
            <w:vAlign w:val="bottom"/>
          </w:tcPr>
          <w:p w14:paraId="09A43B67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C879B7B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</w:tcPr>
          <w:p w14:paraId="7964BF4E" w14:textId="77777777" w:rsidR="00E9095C" w:rsidRPr="001869F0" w:rsidRDefault="00E9095C" w:rsidP="00911B6F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eastAsia="en-AU"/>
              </w:rPr>
            </w:pPr>
          </w:p>
        </w:tc>
      </w:tr>
    </w:tbl>
    <w:p w14:paraId="15939B4A" w14:textId="6B0D8ECA" w:rsidR="002C5BEF" w:rsidRDefault="002C5BEF" w:rsidP="00B64678">
      <w:pPr>
        <w:spacing w:before="240" w:after="0" w:line="360" w:lineRule="auto"/>
      </w:pPr>
      <w:r w:rsidRPr="000F2563">
        <w:rPr>
          <w:b/>
          <w:bCs/>
        </w:rPr>
        <w:lastRenderedPageBreak/>
        <w:t>*</w:t>
      </w:r>
      <w:r w:rsidR="00B64678" w:rsidRPr="000F2563">
        <w:rPr>
          <w:b/>
          <w:bCs/>
        </w:rPr>
        <w:t xml:space="preserve">  L</w:t>
      </w:r>
      <w:r w:rsidRPr="00B64678">
        <w:rPr>
          <w:b/>
          <w:bCs/>
        </w:rPr>
        <w:t>ocation</w:t>
      </w:r>
      <w:r w:rsidRPr="00480548">
        <w:rPr>
          <w:b/>
          <w:bCs/>
        </w:rPr>
        <w:t xml:space="preserve"> of hand-washing </w:t>
      </w:r>
      <w:r w:rsidR="00692EF7">
        <w:rPr>
          <w:b/>
          <w:bCs/>
        </w:rPr>
        <w:t>basin</w:t>
      </w:r>
      <w:r w:rsidRPr="00480548">
        <w:rPr>
          <w:b/>
          <w:bCs/>
        </w:rPr>
        <w:t>s</w:t>
      </w:r>
      <w:r>
        <w:t xml:space="preserve">. </w:t>
      </w:r>
      <w:r w:rsidR="000D6E08">
        <w:t xml:space="preserve">The </w:t>
      </w:r>
      <w:hyperlink r:id="rId13" w:history="1">
        <w:r w:rsidR="000D6E08" w:rsidRPr="000D6E08">
          <w:rPr>
            <w:rStyle w:val="Hyperlink"/>
          </w:rPr>
          <w:t>NHHI Implementation Guide</w:t>
        </w:r>
      </w:hyperlink>
      <w:r w:rsidR="000D6E08">
        <w:t xml:space="preserve"> recommends </w:t>
      </w:r>
      <w:r>
        <w:t>that ABHR is available at the entrance to all wards, departments and staff areas.</w:t>
      </w:r>
    </w:p>
    <w:p w14:paraId="5AB91C81" w14:textId="5E7C2EEF" w:rsidR="002C5BEF" w:rsidRDefault="002C5BEF" w:rsidP="002C5BEF">
      <w:pPr>
        <w:spacing w:after="0" w:line="360" w:lineRule="auto"/>
      </w:pPr>
      <w:r>
        <w:t xml:space="preserve">Not all wards, departments and staff areas will have or need a hand washing </w:t>
      </w:r>
      <w:r w:rsidR="00692EF7">
        <w:t>basin</w:t>
      </w:r>
      <w:r>
        <w:t xml:space="preserve"> at the entrance to these areas. Record N/A if a hand-washing </w:t>
      </w:r>
      <w:r w:rsidR="00692EF7">
        <w:t>basin</w:t>
      </w:r>
      <w:r>
        <w:t xml:space="preserve"> is not located in these areas. </w:t>
      </w:r>
    </w:p>
    <w:p w14:paraId="0DC9ED94" w14:textId="77777777" w:rsidR="00FF086B" w:rsidRDefault="00FF086B" w:rsidP="001E0463">
      <w:pPr>
        <w:spacing w:line="240" w:lineRule="auto"/>
      </w:pPr>
    </w:p>
    <w:sectPr w:rsidR="00FF086B" w:rsidSect="000F2563">
      <w:type w:val="continuous"/>
      <w:pgSz w:w="16838" w:h="11906" w:orient="landscape"/>
      <w:pgMar w:top="2127" w:right="851" w:bottom="851" w:left="851" w:header="56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6F72" w14:textId="77777777" w:rsidR="00152CE8" w:rsidRDefault="00152CE8" w:rsidP="002B5796">
      <w:pPr>
        <w:spacing w:after="0" w:line="240" w:lineRule="auto"/>
      </w:pPr>
      <w:r>
        <w:separator/>
      </w:r>
    </w:p>
  </w:endnote>
  <w:endnote w:type="continuationSeparator" w:id="0">
    <w:p w14:paraId="564FAB6D" w14:textId="77777777" w:rsidR="00152CE8" w:rsidRDefault="00152CE8" w:rsidP="002B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4062" w14:textId="77777777" w:rsidR="000F2563" w:rsidRDefault="002B5796" w:rsidP="00260191">
    <w:pPr>
      <w:pStyle w:val="Footer"/>
      <w:rPr>
        <w:sz w:val="16"/>
        <w:szCs w:val="16"/>
      </w:rPr>
    </w:pPr>
    <w:r w:rsidRPr="001E0463">
      <w:rPr>
        <w:sz w:val="16"/>
        <w:szCs w:val="16"/>
      </w:rPr>
      <w:t>This resource was originally developed by Hand Hygiene Australia under a contract with the Australian Commission on Safety and Quality in Health Care for coordination of the National Hand Hygiene Initiative.</w:t>
    </w:r>
  </w:p>
  <w:p w14:paraId="7D5F5B31" w14:textId="70DD620D" w:rsidR="002B5796" w:rsidRPr="001E0463" w:rsidRDefault="000F2563" w:rsidP="00260191">
    <w:pPr>
      <w:pStyle w:val="Footer"/>
      <w:rPr>
        <w:sz w:val="16"/>
        <w:szCs w:val="16"/>
      </w:rPr>
    </w:pPr>
    <w:r>
      <w:rPr>
        <w:sz w:val="16"/>
        <w:szCs w:val="16"/>
      </w:rPr>
      <w:t xml:space="preserve"> Updated by the </w:t>
    </w:r>
    <w:r w:rsidRPr="001E0463">
      <w:rPr>
        <w:sz w:val="16"/>
        <w:szCs w:val="16"/>
      </w:rPr>
      <w:t xml:space="preserve">Australian Commission on Safety and Quality in Health </w:t>
    </w:r>
    <w:r w:rsidR="00DB1C17" w:rsidRPr="001E0463">
      <w:rPr>
        <w:sz w:val="16"/>
        <w:szCs w:val="16"/>
      </w:rPr>
      <w:t>Care</w:t>
    </w:r>
    <w:r w:rsidR="00DB1C17">
      <w:rPr>
        <w:sz w:val="16"/>
        <w:szCs w:val="16"/>
      </w:rPr>
      <w:t>,</w:t>
    </w:r>
    <w:r w:rsidR="00DB1C17" w:rsidRPr="001E0463">
      <w:rPr>
        <w:sz w:val="16"/>
        <w:szCs w:val="16"/>
      </w:rPr>
      <w:t xml:space="preserve"> </w:t>
    </w:r>
    <w:r w:rsidR="00DB1C17">
      <w:rPr>
        <w:sz w:val="16"/>
        <w:szCs w:val="16"/>
      </w:rPr>
      <w:t>March</w:t>
    </w:r>
    <w:r w:rsidR="002A65DE">
      <w:rPr>
        <w:sz w:val="16"/>
        <w:szCs w:val="16"/>
      </w:rPr>
      <w:t xml:space="preserve"> </w:t>
    </w:r>
    <w:r>
      <w:rPr>
        <w:sz w:val="16"/>
        <w:szCs w:val="16"/>
      </w:rPr>
      <w:t>2024.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5F28" w14:textId="77777777" w:rsidR="00152CE8" w:rsidRDefault="00152CE8" w:rsidP="002B5796">
      <w:pPr>
        <w:spacing w:after="0" w:line="240" w:lineRule="auto"/>
      </w:pPr>
      <w:r>
        <w:separator/>
      </w:r>
    </w:p>
  </w:footnote>
  <w:footnote w:type="continuationSeparator" w:id="0">
    <w:p w14:paraId="5C8D8513" w14:textId="77777777" w:rsidR="00152CE8" w:rsidRDefault="00152CE8" w:rsidP="002B5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DF5C7" w14:textId="74CA577F" w:rsidR="00B64678" w:rsidRDefault="00B64678" w:rsidP="00B64678">
    <w:pPr>
      <w:spacing w:after="0" w:line="360" w:lineRule="auto"/>
      <w:jc w:val="center"/>
      <w:rPr>
        <w:b/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736FE74" wp14:editId="77E4EFC6">
          <wp:simplePos x="0" y="0"/>
          <wp:positionH relativeFrom="column">
            <wp:posOffset>-6985</wp:posOffset>
          </wp:positionH>
          <wp:positionV relativeFrom="paragraph">
            <wp:posOffset>-99060</wp:posOffset>
          </wp:positionV>
          <wp:extent cx="752475" cy="916940"/>
          <wp:effectExtent l="0" t="0" r="9525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nhh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1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9421F" w14:textId="77777777" w:rsidR="000F2563" w:rsidRDefault="00B64678" w:rsidP="00B64678">
    <w:pPr>
      <w:spacing w:after="0" w:line="360" w:lineRule="auto"/>
      <w:jc w:val="center"/>
    </w:pPr>
    <w:r w:rsidRPr="000F2563">
      <w:rPr>
        <w:b/>
        <w:sz w:val="32"/>
        <w:szCs w:val="32"/>
      </w:rPr>
      <w:t>Hand hygiene product availability audit</w:t>
    </w:r>
    <w:r>
      <w:rPr>
        <w:b/>
        <w:sz w:val="32"/>
        <w:szCs w:val="32"/>
      </w:rPr>
      <w:t xml:space="preserve"> tools</w:t>
    </w:r>
    <w:r w:rsidR="00D76A32">
      <w:t xml:space="preserve">    </w:t>
    </w:r>
  </w:p>
  <w:p w14:paraId="1B11A0EE" w14:textId="2A91702D" w:rsidR="001E0463" w:rsidRDefault="00D76A32" w:rsidP="00B64678">
    <w:pPr>
      <w:spacing w:after="0" w:line="360" w:lineRule="auto"/>
      <w:jc w:val="cen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3BA2" w14:textId="60517307" w:rsidR="00B64678" w:rsidRDefault="00B64678" w:rsidP="002C5BEF">
    <w:pPr>
      <w:jc w:val="center"/>
      <w:rPr>
        <w:b/>
        <w:sz w:val="32"/>
        <w:szCs w:val="32"/>
      </w:rPr>
    </w:pPr>
    <w:r w:rsidRPr="000F2563">
      <w:rPr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 wp14:anchorId="3113143D" wp14:editId="075369B4">
          <wp:simplePos x="0" y="0"/>
          <wp:positionH relativeFrom="column">
            <wp:posOffset>97790</wp:posOffset>
          </wp:positionH>
          <wp:positionV relativeFrom="paragraph">
            <wp:posOffset>6985</wp:posOffset>
          </wp:positionV>
          <wp:extent cx="752475" cy="916940"/>
          <wp:effectExtent l="0" t="0" r="952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nhh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1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116F46" w14:textId="1C87F92E" w:rsidR="002C5BEF" w:rsidRPr="000F2563" w:rsidRDefault="002C5BEF" w:rsidP="000F2563">
    <w:pPr>
      <w:jc w:val="center"/>
      <w:rPr>
        <w:b/>
        <w:sz w:val="32"/>
        <w:szCs w:val="32"/>
      </w:rPr>
    </w:pPr>
    <w:r w:rsidRPr="000F2563">
      <w:rPr>
        <w:b/>
        <w:sz w:val="32"/>
        <w:szCs w:val="32"/>
      </w:rPr>
      <w:t>Audit 1: Hand hygiene product availability audit</w:t>
    </w:r>
    <w:r w:rsidR="00B64678">
      <w:rPr>
        <w:b/>
        <w:sz w:val="32"/>
        <w:szCs w:val="32"/>
      </w:rPr>
      <w:t xml:space="preserve"> tool</w:t>
    </w:r>
    <w:r w:rsidRPr="000F2563">
      <w:rPr>
        <w:b/>
        <w:sz w:val="32"/>
        <w:szCs w:val="32"/>
      </w:rPr>
      <w:t xml:space="preserve"> – bed based</w:t>
    </w:r>
  </w:p>
  <w:p w14:paraId="5FE6B74E" w14:textId="437CB1D0" w:rsidR="002C5BEF" w:rsidRDefault="002C5BEF" w:rsidP="00D76A32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7B252" w14:textId="77777777" w:rsidR="00B64678" w:rsidRDefault="00B64678" w:rsidP="002C5BEF">
    <w:pPr>
      <w:jc w:val="center"/>
      <w:rPr>
        <w:b/>
        <w:sz w:val="32"/>
        <w:szCs w:val="32"/>
      </w:rPr>
    </w:pPr>
    <w:r w:rsidRPr="000F2563">
      <w:rPr>
        <w:noProof/>
        <w:sz w:val="24"/>
        <w:szCs w:val="24"/>
        <w:lang w:val="en-US"/>
      </w:rPr>
      <w:drawing>
        <wp:anchor distT="0" distB="0" distL="114300" distR="114300" simplePos="0" relativeHeight="251661312" behindDoc="0" locked="0" layoutInCell="1" allowOverlap="1" wp14:anchorId="0182DE78" wp14:editId="149D5659">
          <wp:simplePos x="0" y="0"/>
          <wp:positionH relativeFrom="column">
            <wp:posOffset>97790</wp:posOffset>
          </wp:positionH>
          <wp:positionV relativeFrom="paragraph">
            <wp:posOffset>6985</wp:posOffset>
          </wp:positionV>
          <wp:extent cx="752475" cy="91694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nhhi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16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609F40" w14:textId="59DDD05D" w:rsidR="00B64678" w:rsidRPr="000F2563" w:rsidRDefault="00B64678" w:rsidP="000F2563">
    <w:pPr>
      <w:jc w:val="center"/>
      <w:rPr>
        <w:b/>
        <w:sz w:val="32"/>
        <w:szCs w:val="32"/>
      </w:rPr>
    </w:pPr>
    <w:r w:rsidRPr="000F2563">
      <w:rPr>
        <w:b/>
        <w:sz w:val="32"/>
        <w:szCs w:val="32"/>
      </w:rPr>
      <w:t xml:space="preserve">Audit </w:t>
    </w:r>
    <w:r>
      <w:rPr>
        <w:b/>
        <w:sz w:val="32"/>
        <w:szCs w:val="32"/>
      </w:rPr>
      <w:t>2</w:t>
    </w:r>
    <w:r w:rsidRPr="000F2563">
      <w:rPr>
        <w:b/>
        <w:sz w:val="32"/>
        <w:szCs w:val="32"/>
      </w:rPr>
      <w:t>: Hand hygiene product availability audit</w:t>
    </w:r>
    <w:r>
      <w:rPr>
        <w:b/>
        <w:sz w:val="32"/>
        <w:szCs w:val="32"/>
      </w:rPr>
      <w:t xml:space="preserve"> tool</w:t>
    </w:r>
    <w:r w:rsidRPr="000F2563">
      <w:rPr>
        <w:b/>
        <w:sz w:val="32"/>
        <w:szCs w:val="32"/>
      </w:rPr>
      <w:t xml:space="preserve"> – </w:t>
    </w:r>
    <w:r>
      <w:rPr>
        <w:b/>
        <w:sz w:val="32"/>
        <w:szCs w:val="32"/>
      </w:rPr>
      <w:t>department</w:t>
    </w:r>
    <w:r w:rsidRPr="000F2563">
      <w:rPr>
        <w:b/>
        <w:sz w:val="32"/>
        <w:szCs w:val="32"/>
      </w:rPr>
      <w:t xml:space="preserve"> based</w:t>
    </w:r>
  </w:p>
  <w:p w14:paraId="41CA1B37" w14:textId="2F0DF046" w:rsidR="00B64678" w:rsidRDefault="00B64678" w:rsidP="00D76A32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0365B"/>
    <w:multiLevelType w:val="hybridMultilevel"/>
    <w:tmpl w:val="FCF0111E"/>
    <w:lvl w:ilvl="0" w:tplc="B1AEF0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D08C7"/>
    <w:multiLevelType w:val="hybridMultilevel"/>
    <w:tmpl w:val="EDCC6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3038">
    <w:abstractNumId w:val="0"/>
  </w:num>
  <w:num w:numId="2" w16cid:durableId="299850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25"/>
    <w:rsid w:val="000425DC"/>
    <w:rsid w:val="000D6E08"/>
    <w:rsid w:val="000F2563"/>
    <w:rsid w:val="00152CE8"/>
    <w:rsid w:val="001869F0"/>
    <w:rsid w:val="001E0463"/>
    <w:rsid w:val="001E662B"/>
    <w:rsid w:val="00260191"/>
    <w:rsid w:val="002718A5"/>
    <w:rsid w:val="00284D28"/>
    <w:rsid w:val="002A65DE"/>
    <w:rsid w:val="002B5796"/>
    <w:rsid w:val="002C1364"/>
    <w:rsid w:val="002C5BEF"/>
    <w:rsid w:val="003228AB"/>
    <w:rsid w:val="00360DAC"/>
    <w:rsid w:val="003F3C31"/>
    <w:rsid w:val="00475CEC"/>
    <w:rsid w:val="00480548"/>
    <w:rsid w:val="005124DB"/>
    <w:rsid w:val="00692EF7"/>
    <w:rsid w:val="006D4B48"/>
    <w:rsid w:val="006E308F"/>
    <w:rsid w:val="00700CEE"/>
    <w:rsid w:val="00733854"/>
    <w:rsid w:val="00737DE3"/>
    <w:rsid w:val="007A6871"/>
    <w:rsid w:val="007B747E"/>
    <w:rsid w:val="008A680A"/>
    <w:rsid w:val="00911B6F"/>
    <w:rsid w:val="00993A7D"/>
    <w:rsid w:val="00B64678"/>
    <w:rsid w:val="00BB2007"/>
    <w:rsid w:val="00BB4B69"/>
    <w:rsid w:val="00BB7895"/>
    <w:rsid w:val="00C0416C"/>
    <w:rsid w:val="00C33D81"/>
    <w:rsid w:val="00C52FDB"/>
    <w:rsid w:val="00C97187"/>
    <w:rsid w:val="00CA724A"/>
    <w:rsid w:val="00CE6991"/>
    <w:rsid w:val="00D03B25"/>
    <w:rsid w:val="00D76A32"/>
    <w:rsid w:val="00DB1C17"/>
    <w:rsid w:val="00E47F0F"/>
    <w:rsid w:val="00E72F63"/>
    <w:rsid w:val="00E74F60"/>
    <w:rsid w:val="00E9095C"/>
    <w:rsid w:val="00E97632"/>
    <w:rsid w:val="00ED1A1D"/>
    <w:rsid w:val="00EE522D"/>
    <w:rsid w:val="00EF69E5"/>
    <w:rsid w:val="00F578E7"/>
    <w:rsid w:val="00F80555"/>
    <w:rsid w:val="00FB54DF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FD139"/>
  <w15:docId w15:val="{A1B9E3D8-10BB-422D-A0B3-D72CC8AE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4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5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7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796"/>
  </w:style>
  <w:style w:type="paragraph" w:styleId="Footer">
    <w:name w:val="footer"/>
    <w:basedOn w:val="Normal"/>
    <w:link w:val="FooterChar"/>
    <w:uiPriority w:val="99"/>
    <w:unhideWhenUsed/>
    <w:rsid w:val="002B57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796"/>
  </w:style>
  <w:style w:type="paragraph" w:styleId="ListParagraph">
    <w:name w:val="List Paragraph"/>
    <w:basedOn w:val="Normal"/>
    <w:uiPriority w:val="34"/>
    <w:qFormat/>
    <w:rsid w:val="00480548"/>
    <w:pPr>
      <w:ind w:left="720"/>
      <w:contextualSpacing/>
    </w:pPr>
  </w:style>
  <w:style w:type="paragraph" w:styleId="Revision">
    <w:name w:val="Revision"/>
    <w:hidden/>
    <w:uiPriority w:val="99"/>
    <w:semiHidden/>
    <w:rsid w:val="002C5B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6E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E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68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tyandquality.gov.au/publications-and-resources/resource-library/national-hand-hygiene-initiative-implementation-guide" TargetMode="External"/><Relationship Id="rId13" Type="http://schemas.openxmlformats.org/officeDocument/2006/relationships/hyperlink" Target="https://www.safetyandquality.gov.au/publications-and-resources/resource-library/national-hand-hygiene-initiative-implementation-gui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5FC7A-A8B1-4000-A263-7E6EA8946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537</Words>
  <Characters>3065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Health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ryankz</dc:creator>
  <cp:lastModifiedBy>MERTENS, Kate</cp:lastModifiedBy>
  <cp:revision>2</cp:revision>
  <dcterms:created xsi:type="dcterms:W3CDTF">2024-04-08T04:24:00Z</dcterms:created>
  <dcterms:modified xsi:type="dcterms:W3CDTF">2024-04-08T04:24:00Z</dcterms:modified>
</cp:coreProperties>
</file>