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3DBAA0AB" w:rsidR="008104D7" w:rsidRDefault="00BC4293" w:rsidP="001314D4">
      <w:pPr>
        <w:pStyle w:val="FactSheetType"/>
        <w:rPr>
          <w:lang w:val="en-GB"/>
        </w:rPr>
      </w:pPr>
      <w:bookmarkStart w:id="0" w:name="_Toc476822632"/>
      <w:bookmarkStart w:id="1" w:name="_Toc476822653"/>
      <w:r w:rsidRPr="0056304B">
        <w:rPr>
          <w:b/>
          <w:bCs w:val="0"/>
        </w:rPr>
        <w:t>INFORMATION</w:t>
      </w:r>
      <w:r w:rsidR="00716FED" w:rsidRPr="0056304B">
        <w:br/>
      </w:r>
      <w:r w:rsidR="00B93CD5" w:rsidRPr="0056304B">
        <w:t>for</w:t>
      </w:r>
      <w:r w:rsidR="001314D4">
        <w:t xml:space="preserve"> </w:t>
      </w:r>
      <w:r w:rsidR="001314D4" w:rsidRPr="001314D4">
        <w:rPr>
          <w:lang w:val="en-GB"/>
        </w:rPr>
        <w:t>health</w:t>
      </w:r>
      <w:r w:rsidR="00B324C9">
        <w:rPr>
          <w:lang w:val="en-GB"/>
        </w:rPr>
        <w:t>care</w:t>
      </w:r>
      <w:r w:rsidR="001314D4" w:rsidRPr="001314D4">
        <w:rPr>
          <w:lang w:val="en-GB"/>
        </w:rPr>
        <w:t xml:space="preserve"> service</w:t>
      </w:r>
      <w:r w:rsidR="00B324C9">
        <w:rPr>
          <w:lang w:val="en-GB"/>
        </w:rPr>
        <w:t>s</w:t>
      </w:r>
    </w:p>
    <w:p w14:paraId="3580AC70" w14:textId="22A6FB78" w:rsidR="008104D7" w:rsidRPr="00D329E7" w:rsidRDefault="00CD7B73" w:rsidP="008104D7">
      <w:pPr>
        <w:pStyle w:val="Title"/>
        <w:rPr>
          <w:bCs/>
          <w:lang w:val="en-GB"/>
        </w:rPr>
      </w:pPr>
      <w:r w:rsidRPr="00CD7B73">
        <w:rPr>
          <w:bCs/>
        </w:rPr>
        <w:t>Heavy Menstrual Bleeding</w:t>
      </w:r>
    </w:p>
    <w:p w14:paraId="24641649" w14:textId="77777777" w:rsidR="008104D7" w:rsidRDefault="008104D7" w:rsidP="008104D7">
      <w:pPr>
        <w:pStyle w:val="Subtitle"/>
      </w:pPr>
      <w:r>
        <w:t>Clinical Care Standard</w:t>
      </w:r>
    </w:p>
    <w:bookmarkEnd w:id="0"/>
    <w:bookmarkEnd w:id="1"/>
    <w:p w14:paraId="74B5B061" w14:textId="77777777" w:rsidR="00CD7B73" w:rsidRDefault="00CD7B73" w:rsidP="00CD7B73">
      <w:pPr>
        <w:pStyle w:val="Intro"/>
      </w:pPr>
      <w:r>
        <w:t xml:space="preserve">The </w:t>
      </w:r>
      <w:r>
        <w:rPr>
          <w:rStyle w:val="BoldItalicGreen"/>
          <w:b/>
          <w:bCs/>
        </w:rPr>
        <w:t>Heavy Menstrual Bleeding Clinical Care Standard</w:t>
      </w:r>
      <w:r>
        <w:t xml:space="preserve"> aims to ensure that women with heavy menstrual bleeding are offered the least invasive and most effective treatment appropriate to their clinical needs and preferences and are able to make an informed choice from the range of treatments suitable to their individual situation.</w:t>
      </w:r>
    </w:p>
    <w:p w14:paraId="793C6728" w14:textId="77777777" w:rsidR="00CD7B73" w:rsidRDefault="00CD7B73" w:rsidP="00CD7B73">
      <w:r>
        <w:t xml:space="preserve">The </w:t>
      </w:r>
      <w:r>
        <w:rPr>
          <w:rStyle w:val="Emphasis"/>
        </w:rPr>
        <w:t>Heavy Menstrual Bleeding Clinical Care Standard</w:t>
      </w:r>
      <w:r>
        <w:t xml:space="preserve"> contains eight quality statements describing the care that should be offered to women of reproductive age who are experiencing heavy menstrual bleeding. </w:t>
      </w:r>
    </w:p>
    <w:p w14:paraId="1D4E555B" w14:textId="77777777" w:rsidR="00CD7B73" w:rsidRDefault="00CD7B73" w:rsidP="00CD7B73">
      <w:pPr>
        <w:spacing w:after="180"/>
      </w:pPr>
      <w:r>
        <w:t xml:space="preserve">This standard relates to care provided in primary and community healthcare settings including general practice, women’s health, family planning and sexual health services and clinics, as well as in public and private specialist gynaecology clinics and practices, radiology clinics and hospitals. </w:t>
      </w:r>
    </w:p>
    <w:p w14:paraId="612D4638" w14:textId="77777777" w:rsidR="00CD7B73" w:rsidRDefault="00CD7B73" w:rsidP="00CD7B73">
      <w:pPr>
        <w:spacing w:after="180"/>
      </w:pPr>
      <w:r>
        <w:t xml:space="preserve">A set of indicators is provided to support health services to monitor how well they are implementing the care recommended in this clinical care standard and to support local quality improvement activities. The definitions required to collect and calculate indicator data are specified </w:t>
      </w:r>
      <w:hyperlink r:id="rId8" w:history="1">
        <w:r>
          <w:rPr>
            <w:rStyle w:val="Hyperlink"/>
          </w:rPr>
          <w:t>online</w:t>
        </w:r>
      </w:hyperlink>
      <w:r>
        <w:t>.</w:t>
      </w:r>
    </w:p>
    <w:p w14:paraId="20EBBB19" w14:textId="77777777" w:rsidR="00CD7B73" w:rsidRDefault="00CD7B73" w:rsidP="00CD7B73">
      <w:pPr>
        <w:spacing w:after="180"/>
      </w:pPr>
      <w:r>
        <w:t>Monitoring the implementation of this clinical care standard will help organisations to meet some of the requirements of the National Safety and Quality Health Service (NSQHS) Standards (second edition) and the National Safety and Quality Primary and Community Healthcare Standards.</w:t>
      </w:r>
    </w:p>
    <w:p w14:paraId="47CAC105" w14:textId="081F7D00" w:rsidR="00CD7B73" w:rsidRDefault="00CD7B73" w:rsidP="00CD7B73">
      <w:pPr>
        <w:pStyle w:val="Heading2"/>
      </w:pPr>
      <w:r>
        <w:t>1</w:t>
      </w:r>
      <w:r>
        <w:t xml:space="preserve">. </w:t>
      </w:r>
      <w:r>
        <w:t>Assessment and diagnosis</w:t>
      </w:r>
    </w:p>
    <w:p w14:paraId="485BA8DE" w14:textId="77777777" w:rsidR="00CD7B73" w:rsidRDefault="00CD7B73" w:rsidP="00CD7B73">
      <w:pPr>
        <w:pStyle w:val="NormalIntroBold"/>
      </w:pPr>
      <w:r>
        <w:t>The initial assessment of a woman presenting with heavy menstrual bleeding includes a thorough history, assessment of impact on quality of life, a physical examination (where clinically appropriate), and exclusion of pregnancy, iron deficiency and anaemia. Further investigations are based on the initial assessment.</w:t>
      </w:r>
    </w:p>
    <w:p w14:paraId="7F6A347F" w14:textId="77777777" w:rsidR="00CD7B73" w:rsidRDefault="00CD7B73" w:rsidP="00CD7B73">
      <w:r>
        <w:t>In healthcare services involved in the assessment of patients with heavy menstrual bleeding, ensure that guidelines and protocols are in place to support:</w:t>
      </w:r>
    </w:p>
    <w:p w14:paraId="286CE2E6" w14:textId="77777777" w:rsidR="00CD7B73" w:rsidRDefault="00CD7B73" w:rsidP="00CD7B73">
      <w:pPr>
        <w:pStyle w:val="ListParagraph"/>
        <w:numPr>
          <w:ilvl w:val="0"/>
          <w:numId w:val="442"/>
        </w:numPr>
      </w:pPr>
      <w:r>
        <w:t>A thorough history, assessment of the nature of the bleeding and its impact on quality of life, a physical examination where appropriate, and exclusion of pregnancy, iron deficiency and anaemia</w:t>
      </w:r>
    </w:p>
    <w:p w14:paraId="744967A5" w14:textId="77777777" w:rsidR="00CD7B73" w:rsidRDefault="00CD7B73" w:rsidP="00CD7B73">
      <w:pPr>
        <w:pStyle w:val="ListParagraph"/>
        <w:numPr>
          <w:ilvl w:val="0"/>
          <w:numId w:val="442"/>
        </w:numPr>
      </w:pPr>
      <w:r>
        <w:t>Systematic assessment of the structural and non</w:t>
      </w:r>
      <w:r>
        <w:rPr>
          <w:rFonts w:ascii="Cambria Math" w:hAnsi="Cambria Math" w:cs="Cambria Math"/>
        </w:rPr>
        <w:t>‑</w:t>
      </w:r>
      <w:r>
        <w:t>structural causes of heavy menstrual bleeding based on history and presentation, with relevant investigations recommended according to this assessment</w:t>
      </w:r>
    </w:p>
    <w:p w14:paraId="3F1A19D4" w14:textId="77777777" w:rsidR="00CD7B73" w:rsidRDefault="00CD7B73" w:rsidP="00CD7B73">
      <w:pPr>
        <w:pStyle w:val="ListParagraph"/>
        <w:numPr>
          <w:ilvl w:val="0"/>
          <w:numId w:val="442"/>
        </w:numPr>
      </w:pPr>
      <w:r>
        <w:t>Appropriate testing for bleeding disorders or thyroid dysfunction, cervical screening, and pelvic ultrasound; these are not routinely required</w:t>
      </w:r>
    </w:p>
    <w:p w14:paraId="675DC1A4" w14:textId="77777777" w:rsidR="00CD7B73" w:rsidRDefault="00CD7B73" w:rsidP="00CD7B73">
      <w:pPr>
        <w:pStyle w:val="ListParagraph"/>
        <w:numPr>
          <w:ilvl w:val="0"/>
          <w:numId w:val="442"/>
        </w:numPr>
      </w:pPr>
      <w:r>
        <w:lastRenderedPageBreak/>
        <w:t>Patients to see a particular type of clinician if that is their preference, for example someone of the same gender</w:t>
      </w:r>
    </w:p>
    <w:p w14:paraId="66308EB4" w14:textId="2A55D1A6" w:rsidR="00CD7B73" w:rsidRDefault="00CD7B73" w:rsidP="00CD7B73">
      <w:pPr>
        <w:pStyle w:val="ListParagraph"/>
        <w:numPr>
          <w:ilvl w:val="0"/>
          <w:numId w:val="442"/>
        </w:numPr>
      </w:pPr>
      <w:r>
        <w:t xml:space="preserve">Referral and access to additional services that the patient may require, including counselling or other services to support their </w:t>
      </w:r>
      <w:r w:rsidRPr="00CD7B73">
        <w:t>emotional</w:t>
      </w:r>
      <w:r>
        <w:t xml:space="preserve"> wellbeing and mental health as</w:t>
      </w:r>
      <w:r w:rsidR="003532A4">
        <w:t> </w:t>
      </w:r>
      <w:r>
        <w:t>appropriate.</w:t>
      </w:r>
    </w:p>
    <w:p w14:paraId="23304213" w14:textId="77777777" w:rsidR="003532A4" w:rsidRDefault="003532A4" w:rsidP="003532A4">
      <w:pPr>
        <w:keepNext/>
        <w:spacing w:before="360"/>
      </w:pPr>
      <w:r w:rsidRPr="008E2E35">
        <w:rPr>
          <w:noProof/>
        </w:rPr>
        <w:drawing>
          <wp:inline distT="0" distB="0" distL="0" distR="0" wp14:anchorId="0D639046" wp14:editId="3FA277D7">
            <wp:extent cx="6120130" cy="178132"/>
            <wp:effectExtent l="0" t="0" r="0" b="0"/>
            <wp:docPr id="524437327" name="Picture 524437327" descr="Artwork for the clinical care standard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6475" name="Picture 1" descr="Artwork for the clinical care standards program"/>
                    <pic:cNvPicPr/>
                  </pic:nvPicPr>
                  <pic:blipFill>
                    <a:blip r:embed="rId9"/>
                    <a:stretch>
                      <a:fillRect/>
                    </a:stretch>
                  </pic:blipFill>
                  <pic:spPr>
                    <a:xfrm>
                      <a:off x="0" y="0"/>
                      <a:ext cx="6120130" cy="178132"/>
                    </a:xfrm>
                    <a:prstGeom prst="rect">
                      <a:avLst/>
                    </a:prstGeom>
                  </pic:spPr>
                </pic:pic>
              </a:graphicData>
            </a:graphic>
          </wp:inline>
        </w:drawing>
      </w:r>
    </w:p>
    <w:p w14:paraId="6BAC0D62" w14:textId="77777777" w:rsidR="00CD7B73" w:rsidRDefault="00CD7B73" w:rsidP="00CD7B73">
      <w:pPr>
        <w:pStyle w:val="Heading3"/>
      </w:pPr>
      <w:r>
        <w:t>Cultural safety and equity</w:t>
      </w:r>
    </w:p>
    <w:p w14:paraId="428A619C" w14:textId="77777777" w:rsidR="00CD7B73" w:rsidRDefault="00CD7B73" w:rsidP="00F74C83">
      <w:pPr>
        <w:pStyle w:val="ListParagraph"/>
        <w:numPr>
          <w:ilvl w:val="0"/>
          <w:numId w:val="443"/>
        </w:numPr>
      </w:pPr>
      <w:r>
        <w:t>Ensure that systems support the assessment of women in a way that is free from racism, bias and assumptions.</w:t>
      </w:r>
    </w:p>
    <w:p w14:paraId="51CF84FF" w14:textId="77777777" w:rsidR="00CD7B73" w:rsidRDefault="00CD7B73" w:rsidP="00F757FD">
      <w:pPr>
        <w:pStyle w:val="ListParagraph"/>
        <w:numPr>
          <w:ilvl w:val="0"/>
          <w:numId w:val="443"/>
        </w:numPr>
        <w:spacing w:after="240"/>
        <w:ind w:left="714" w:hanging="357"/>
      </w:pPr>
      <w:r>
        <w:t xml:space="preserve">Consider developing pathways and models of care that involve working collaboratively with Aboriginal Community Controlled Health </w:t>
      </w:r>
      <w:r w:rsidRPr="00F74C83">
        <w:t>Organisations</w:t>
      </w:r>
      <w:r>
        <w:t xml:space="preserve"> and Aboriginal health workers or practitioners to improve access to care and continuity of care for women experiencing heavy menstrual bleeding.</w:t>
      </w:r>
    </w:p>
    <w:tbl>
      <w:tblPr>
        <w:tblStyle w:val="CCSIndicatorBox"/>
        <w:tblW w:w="5000" w:type="pct"/>
        <w:tblLook w:val="0620" w:firstRow="1" w:lastRow="0" w:firstColumn="0" w:lastColumn="0" w:noHBand="1" w:noVBand="1"/>
        <w:tblDescription w:val="Indicator for local monitoring"/>
      </w:tblPr>
      <w:tblGrid>
        <w:gridCol w:w="9638"/>
      </w:tblGrid>
      <w:tr w:rsidR="00CD7B73" w:rsidRPr="00F757FD" w14:paraId="00348E0E" w14:textId="77777777" w:rsidTr="005F7628">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212E16FC" w14:textId="77777777" w:rsidR="00CD7B73" w:rsidRPr="00E825DC" w:rsidRDefault="00CD7B73" w:rsidP="00E825DC">
            <w:r w:rsidRPr="00E825DC">
              <w:t>Indicator for local monitoring</w:t>
            </w:r>
          </w:p>
        </w:tc>
      </w:tr>
      <w:tr w:rsidR="00CD7B73" w:rsidRPr="00F757FD" w14:paraId="06C20412" w14:textId="77777777" w:rsidTr="005F7628">
        <w:tblPrEx>
          <w:tblCellMar>
            <w:top w:w="0" w:type="dxa"/>
          </w:tblCellMar>
        </w:tblPrEx>
        <w:trPr>
          <w:trHeight w:val="60"/>
        </w:trPr>
        <w:tc>
          <w:tcPr>
            <w:tcW w:w="5000" w:type="pct"/>
          </w:tcPr>
          <w:p w14:paraId="7B3A4DA7" w14:textId="77777777" w:rsidR="00CD7B73" w:rsidRPr="00F757FD" w:rsidRDefault="00CD7B73" w:rsidP="00F757FD">
            <w:r w:rsidRPr="00F757FD">
              <w:rPr>
                <w:rStyle w:val="Strong"/>
              </w:rPr>
              <w:t>Indicator 1a</w:t>
            </w:r>
            <w:r w:rsidRPr="00F757FD">
              <w:t>: Proportion of patients with heavy menstrual bleeding who were tested for iron deficiency and anaemia.</w:t>
            </w:r>
          </w:p>
        </w:tc>
      </w:tr>
    </w:tbl>
    <w:p w14:paraId="420106E2" w14:textId="1AB5DFE1" w:rsidR="00CD7B73" w:rsidRDefault="00CD7B73" w:rsidP="00CD7B73">
      <w:pPr>
        <w:pStyle w:val="Heading2"/>
      </w:pPr>
      <w:r>
        <w:t>2</w:t>
      </w:r>
      <w:r w:rsidR="00A01FA9">
        <w:t xml:space="preserve">. </w:t>
      </w:r>
      <w:r>
        <w:t>Informed choice and shared decision making</w:t>
      </w:r>
    </w:p>
    <w:p w14:paraId="3C71D336" w14:textId="77777777" w:rsidR="00CD7B73" w:rsidRDefault="00CD7B73" w:rsidP="00A01FA9">
      <w:pPr>
        <w:pStyle w:val="NormalIntroBold"/>
      </w:pPr>
      <w:r>
        <w:t>A woman with heavy menstrual bleeding is informed about her treatment options and their potential benefits and risks. She is supported to participate in shared decision making based on her preferences, priorities and clinical situation.</w:t>
      </w:r>
    </w:p>
    <w:p w14:paraId="75C0808D" w14:textId="77777777" w:rsidR="00CD7B73" w:rsidRDefault="00CD7B73" w:rsidP="00CD7B73">
      <w:r>
        <w:t>Ensure that policies, protocols and procedures support informed choice and shared decision making. Specifically:</w:t>
      </w:r>
    </w:p>
    <w:p w14:paraId="75109B6E" w14:textId="77777777" w:rsidR="00CD7B73" w:rsidRDefault="00CD7B73" w:rsidP="00A01FA9">
      <w:pPr>
        <w:pStyle w:val="ListParagraph"/>
        <w:numPr>
          <w:ilvl w:val="0"/>
          <w:numId w:val="444"/>
        </w:numPr>
      </w:pPr>
      <w:r>
        <w:t>Ensure that high</w:t>
      </w:r>
      <w:r>
        <w:rPr>
          <w:rFonts w:ascii="Cambria Math" w:hAnsi="Cambria Math" w:cs="Cambria Math"/>
        </w:rPr>
        <w:t>‑</w:t>
      </w:r>
      <w:r>
        <w:t>quality patient information resources are available in a range of formats and are clinically accurate, evidence based and easy to understand</w:t>
      </w:r>
    </w:p>
    <w:p w14:paraId="1927AEB1" w14:textId="77777777" w:rsidR="00CD7B73" w:rsidRDefault="00CD7B73" w:rsidP="00A01FA9">
      <w:pPr>
        <w:pStyle w:val="ListParagraph"/>
        <w:numPr>
          <w:ilvl w:val="0"/>
          <w:numId w:val="444"/>
        </w:numPr>
      </w:pPr>
      <w:r>
        <w:t>Ensure that resources provide information about both benefits and risks of relevant treatment options offered through referral, or by the service; consider making a decision aid available to support shared decision making</w:t>
      </w:r>
    </w:p>
    <w:p w14:paraId="22658D27" w14:textId="77777777" w:rsidR="00CD7B73" w:rsidRDefault="00CD7B73" w:rsidP="00A01FA9">
      <w:pPr>
        <w:pStyle w:val="ListParagraph"/>
        <w:numPr>
          <w:ilvl w:val="0"/>
          <w:numId w:val="444"/>
        </w:numPr>
      </w:pPr>
      <w:r>
        <w:t>Provide ready access to information for clinicians on the benefits, risks and probable outcomes of the various treatment options for heavy menstrual bleeding</w:t>
      </w:r>
    </w:p>
    <w:p w14:paraId="2CE4C445" w14:textId="77777777" w:rsidR="00CD7B73" w:rsidRDefault="00CD7B73" w:rsidP="00A01FA9">
      <w:pPr>
        <w:pStyle w:val="ListParagraph"/>
        <w:numPr>
          <w:ilvl w:val="0"/>
          <w:numId w:val="444"/>
        </w:numPr>
      </w:pPr>
      <w:r>
        <w:t>Provide clinicians with training and professional development to ensure they have the skills, knowledge and confidence to participate in, and support patients to participate in, shared decision making</w:t>
      </w:r>
    </w:p>
    <w:p w14:paraId="5F4A6042" w14:textId="77777777" w:rsidR="00CD7B73" w:rsidRDefault="00CD7B73" w:rsidP="00A01FA9">
      <w:pPr>
        <w:pStyle w:val="ListParagraph"/>
        <w:numPr>
          <w:ilvl w:val="0"/>
          <w:numId w:val="444"/>
        </w:numPr>
      </w:pPr>
      <w:r>
        <w:t xml:space="preserve">Put in place policies to facilitate referral and access to services that a woman may prefer, but which are not offered in the health service </w:t>
      </w:r>
    </w:p>
    <w:p w14:paraId="1E1FC141" w14:textId="243F9EBD" w:rsidR="002A67C5" w:rsidRDefault="00CD7B73" w:rsidP="002A67C5">
      <w:pPr>
        <w:pStyle w:val="ListParagraph"/>
        <w:numPr>
          <w:ilvl w:val="0"/>
          <w:numId w:val="444"/>
        </w:numPr>
      </w:pPr>
      <w:r>
        <w:t>In rural and remote areas, adapt service delivery models to support patients to access appropriate care, for example through the use of telehealth and other models of care.</w:t>
      </w:r>
    </w:p>
    <w:p w14:paraId="39DEF99A" w14:textId="77777777" w:rsidR="002A67C5" w:rsidRDefault="002A67C5" w:rsidP="002A67C5">
      <w:pPr>
        <w:keepNext/>
        <w:spacing w:before="360"/>
      </w:pPr>
      <w:r w:rsidRPr="008E2E35">
        <w:rPr>
          <w:noProof/>
        </w:rPr>
        <w:lastRenderedPageBreak/>
        <w:drawing>
          <wp:inline distT="0" distB="0" distL="0" distR="0" wp14:anchorId="3A1A59B8" wp14:editId="1FF0BA58">
            <wp:extent cx="6120130" cy="178132"/>
            <wp:effectExtent l="0" t="0" r="0" b="0"/>
            <wp:docPr id="1910484932" name="Picture 1910484932" descr="Artwork for the clinical care standard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6475" name="Picture 1" descr="Artwork for the clinical care standards program"/>
                    <pic:cNvPicPr/>
                  </pic:nvPicPr>
                  <pic:blipFill>
                    <a:blip r:embed="rId9"/>
                    <a:stretch>
                      <a:fillRect/>
                    </a:stretch>
                  </pic:blipFill>
                  <pic:spPr>
                    <a:xfrm>
                      <a:off x="0" y="0"/>
                      <a:ext cx="6120130" cy="178132"/>
                    </a:xfrm>
                    <a:prstGeom prst="rect">
                      <a:avLst/>
                    </a:prstGeom>
                  </pic:spPr>
                </pic:pic>
              </a:graphicData>
            </a:graphic>
          </wp:inline>
        </w:drawing>
      </w:r>
    </w:p>
    <w:p w14:paraId="10330790" w14:textId="4345A59E" w:rsidR="00CD7B73" w:rsidRDefault="00CD7B73" w:rsidP="00CD7B73">
      <w:pPr>
        <w:pStyle w:val="Heading3"/>
      </w:pPr>
      <w:r>
        <w:t>Cultural safety and equity</w:t>
      </w:r>
    </w:p>
    <w:p w14:paraId="10B5DF3B" w14:textId="77777777" w:rsidR="00CD7B73" w:rsidRDefault="00CD7B73" w:rsidP="002B06E9">
      <w:pPr>
        <w:pStyle w:val="ListParagraph"/>
        <w:numPr>
          <w:ilvl w:val="0"/>
          <w:numId w:val="445"/>
        </w:numPr>
      </w:pPr>
      <w:r>
        <w:t>Provide patient information about heavy menstrual bleeding in a variety of languages and formats appropriate to your service’s patient population.</w:t>
      </w:r>
    </w:p>
    <w:p w14:paraId="2C418B97" w14:textId="77777777" w:rsidR="00CD7B73" w:rsidRDefault="00CD7B73" w:rsidP="002B06E9">
      <w:pPr>
        <w:pStyle w:val="ListParagraph"/>
        <w:numPr>
          <w:ilvl w:val="0"/>
          <w:numId w:val="445"/>
        </w:numPr>
      </w:pPr>
      <w:r>
        <w:t>Consider developing or adapting pathways and models of care that support women to access culturally safe and appropriate services and community supports in a timely way.</w:t>
      </w:r>
    </w:p>
    <w:p w14:paraId="6994D953" w14:textId="77777777" w:rsidR="00CD7B73" w:rsidRDefault="00CD7B73" w:rsidP="002B06E9">
      <w:pPr>
        <w:pStyle w:val="ListParagraph"/>
        <w:numPr>
          <w:ilvl w:val="0"/>
          <w:numId w:val="445"/>
        </w:numPr>
      </w:pPr>
      <w:r>
        <w:t xml:space="preserve">Ensure that policies and procedures support the rights of women with disabilities. Make reasonable adjustments for women with disabilities to ensure their access to appropriate care and active participation in shared </w:t>
      </w:r>
      <w:r w:rsidRPr="002B06E9">
        <w:t>decision</w:t>
      </w:r>
      <w:r>
        <w:t xml:space="preserve"> making about management of heavy menstrual bleeding.</w:t>
      </w:r>
    </w:p>
    <w:p w14:paraId="672052DD" w14:textId="07EE4E39" w:rsidR="00CD7B73" w:rsidRDefault="00CD7B73" w:rsidP="00CD7B73">
      <w:pPr>
        <w:pStyle w:val="Heading2"/>
      </w:pPr>
      <w:r>
        <w:t>3</w:t>
      </w:r>
      <w:r w:rsidR="003456FB">
        <w:t xml:space="preserve">. </w:t>
      </w:r>
      <w:r>
        <w:t>Initiating medical management</w:t>
      </w:r>
    </w:p>
    <w:p w14:paraId="5E17D47B" w14:textId="77777777" w:rsidR="00CD7B73" w:rsidRDefault="00CD7B73" w:rsidP="003456FB">
      <w:pPr>
        <w:pStyle w:val="NormalIntroBold"/>
      </w:pPr>
      <w:r>
        <w:t>A woman presenting with heavy menstrual bleeding is offered medical management, taking into account evidence</w:t>
      </w:r>
      <w:r>
        <w:rPr>
          <w:rFonts w:ascii="Cambria Math" w:hAnsi="Cambria Math" w:cs="Cambria Math"/>
        </w:rPr>
        <w:t>‑</w:t>
      </w:r>
      <w:r>
        <w:t>based guidelines, her individual needs and preferences and any associated symptoms. Oral treatment is offered at first presentation when clinically appropriate, including when a woman is undergoing further investigation or waiting for other treatment.</w:t>
      </w:r>
    </w:p>
    <w:p w14:paraId="533F579C" w14:textId="77777777" w:rsidR="00CD7B73" w:rsidRDefault="00CD7B73" w:rsidP="00CD7B73">
      <w:r>
        <w:t>In primary health care and other services where patients first present for management of heavy menstrual bleeding, ensure that guidelines and protocols are in place to support:</w:t>
      </w:r>
    </w:p>
    <w:p w14:paraId="4010EF36" w14:textId="77777777" w:rsidR="00CD7B73" w:rsidRPr="00554FCF" w:rsidRDefault="00CD7B73" w:rsidP="00554FCF">
      <w:pPr>
        <w:pStyle w:val="ListParagraph"/>
        <w:numPr>
          <w:ilvl w:val="0"/>
          <w:numId w:val="450"/>
        </w:numPr>
      </w:pPr>
      <w:r w:rsidRPr="00554FCF">
        <w:t>Medical management as the first treatment option in the absence of significant pathology</w:t>
      </w:r>
    </w:p>
    <w:p w14:paraId="64B5C7E7" w14:textId="77777777" w:rsidR="00CD7B73" w:rsidRPr="00554FCF" w:rsidRDefault="00CD7B73" w:rsidP="00554FCF">
      <w:pPr>
        <w:pStyle w:val="ListParagraph"/>
        <w:numPr>
          <w:ilvl w:val="0"/>
          <w:numId w:val="450"/>
        </w:numPr>
      </w:pPr>
      <w:r w:rsidRPr="00554FCF">
        <w:t>Offering initial oral treatment to relieve symptoms and limit complications (such as iron deficiency) even if the patient is being referred for further investigations or awaiting other treatment</w:t>
      </w:r>
    </w:p>
    <w:p w14:paraId="2CC2C83A" w14:textId="77777777" w:rsidR="00CD7B73" w:rsidRDefault="00CD7B73" w:rsidP="00887779">
      <w:pPr>
        <w:pStyle w:val="ListParagraph"/>
        <w:numPr>
          <w:ilvl w:val="0"/>
          <w:numId w:val="450"/>
        </w:numPr>
        <w:spacing w:after="240"/>
        <w:ind w:left="714" w:hanging="357"/>
      </w:pPr>
      <w:r w:rsidRPr="00554FCF">
        <w:t>Clinicians to access relevant evidence</w:t>
      </w:r>
      <w:r w:rsidRPr="00554FCF">
        <w:rPr>
          <w:rFonts w:ascii="Cambria Math" w:hAnsi="Cambria Math" w:cs="Cambria Math"/>
        </w:rPr>
        <w:t>‑</w:t>
      </w:r>
      <w:r w:rsidRPr="00554FCF">
        <w:t>based prescribing guidelines for the choice of therapy and dosing</w:t>
      </w:r>
      <w:r>
        <w:t xml:space="preserve">. </w:t>
      </w:r>
    </w:p>
    <w:tbl>
      <w:tblPr>
        <w:tblStyle w:val="CCSIndicatorBox"/>
        <w:tblW w:w="5000" w:type="pct"/>
        <w:tblLook w:val="0620" w:firstRow="1" w:lastRow="0" w:firstColumn="0" w:lastColumn="0" w:noHBand="1" w:noVBand="1"/>
        <w:tblDescription w:val="Indicator for local monitoring"/>
      </w:tblPr>
      <w:tblGrid>
        <w:gridCol w:w="9638"/>
      </w:tblGrid>
      <w:tr w:rsidR="00CD7B73" w:rsidRPr="00887779" w14:paraId="4F5AE336" w14:textId="77777777" w:rsidTr="00887779">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478834B5" w14:textId="77777777" w:rsidR="00CD7B73" w:rsidRPr="00887779" w:rsidRDefault="00CD7B73" w:rsidP="00887779">
            <w:r w:rsidRPr="00887779">
              <w:t>Indicator for local monitoring</w:t>
            </w:r>
          </w:p>
        </w:tc>
      </w:tr>
      <w:tr w:rsidR="00CD7B73" w:rsidRPr="00887779" w14:paraId="54CEC704" w14:textId="77777777" w:rsidTr="00887779">
        <w:tblPrEx>
          <w:tblCellMar>
            <w:top w:w="0" w:type="dxa"/>
          </w:tblCellMar>
        </w:tblPrEx>
        <w:trPr>
          <w:trHeight w:val="60"/>
        </w:trPr>
        <w:tc>
          <w:tcPr>
            <w:tcW w:w="5000" w:type="pct"/>
          </w:tcPr>
          <w:p w14:paraId="6CCB7830" w14:textId="77777777" w:rsidR="00CD7B73" w:rsidRPr="00887779" w:rsidRDefault="00CD7B73" w:rsidP="00887779">
            <w:r w:rsidRPr="00887779">
              <w:rPr>
                <w:rStyle w:val="Strong"/>
              </w:rPr>
              <w:t>Indicator 3</w:t>
            </w:r>
            <w:r w:rsidRPr="00887779">
              <w:t>: Proportion of patients with heavy menstrual bleeding who were offered medical management at their first presentation.</w:t>
            </w:r>
          </w:p>
        </w:tc>
      </w:tr>
    </w:tbl>
    <w:p w14:paraId="3C65BB63" w14:textId="77777777" w:rsidR="00951806" w:rsidRDefault="00951806" w:rsidP="00CD7B73">
      <w:pPr>
        <w:pStyle w:val="Heading2"/>
      </w:pPr>
      <w:r>
        <w:br w:type="page"/>
      </w:r>
    </w:p>
    <w:p w14:paraId="7A7C54B4" w14:textId="51A830D2" w:rsidR="00CD7B73" w:rsidRDefault="00CD7B73" w:rsidP="00CD7B73">
      <w:pPr>
        <w:pStyle w:val="Heading2"/>
      </w:pPr>
      <w:r>
        <w:lastRenderedPageBreak/>
        <w:t>4</w:t>
      </w:r>
      <w:r w:rsidR="00887779">
        <w:t xml:space="preserve">. </w:t>
      </w:r>
      <w:r>
        <w:t>Quality ultrasound</w:t>
      </w:r>
    </w:p>
    <w:p w14:paraId="0ECA77AD" w14:textId="77777777" w:rsidR="00CD7B73" w:rsidRDefault="00CD7B73" w:rsidP="003456FB">
      <w:pPr>
        <w:pStyle w:val="NormalIntroBold"/>
      </w:pPr>
      <w:r>
        <w:t xml:space="preserve">When a woman requires an ultrasound to investigate the cause of her heavy menstrual bleeding, she is offered a pelvic (preferably transvaginal) ultrasound, which assesses all pelvic structures, including the uterus and endometrium, and is ideally performed in days 5–10 of her menstrual cycle. </w:t>
      </w:r>
    </w:p>
    <w:p w14:paraId="085DEC1C" w14:textId="47B04DD4" w:rsidR="00CD7B73" w:rsidRDefault="00CD7B73" w:rsidP="00CD7B73">
      <w:r>
        <w:t xml:space="preserve">In healthcare services that </w:t>
      </w:r>
      <w:r>
        <w:rPr>
          <w:rStyle w:val="Strong"/>
        </w:rPr>
        <w:t>refer</w:t>
      </w:r>
      <w:r>
        <w:t xml:space="preserve"> for pelvic ultrasound, ensure that protocols, procedures and</w:t>
      </w:r>
      <w:r w:rsidR="009625F8">
        <w:t> </w:t>
      </w:r>
      <w:r>
        <w:t>pathways:</w:t>
      </w:r>
    </w:p>
    <w:p w14:paraId="1637B3DC" w14:textId="77777777" w:rsidR="00CD7B73" w:rsidRDefault="00CD7B73" w:rsidP="00887779">
      <w:pPr>
        <w:pStyle w:val="ListParagraph"/>
        <w:numPr>
          <w:ilvl w:val="0"/>
          <w:numId w:val="451"/>
        </w:numPr>
      </w:pPr>
      <w:r>
        <w:t>Support transvaginal ultrasound as the preferred method when pelvic ultrasound is recommended and clinically appropriate</w:t>
      </w:r>
    </w:p>
    <w:p w14:paraId="71FBAF8C" w14:textId="77777777" w:rsidR="00CD7B73" w:rsidRDefault="00CD7B73" w:rsidP="00887779">
      <w:pPr>
        <w:pStyle w:val="ListParagraph"/>
        <w:numPr>
          <w:ilvl w:val="0"/>
          <w:numId w:val="451"/>
        </w:numPr>
      </w:pPr>
      <w:r>
        <w:t>Ensure patients are advised about how a transvaginal ultrasound is conducted and if they decline, or it is not appropriate for any other reason, then a transabdominal ultrasound only is requested</w:t>
      </w:r>
    </w:p>
    <w:p w14:paraId="5F8A89A4" w14:textId="77777777" w:rsidR="00CD7B73" w:rsidRDefault="00CD7B73" w:rsidP="00887779">
      <w:pPr>
        <w:pStyle w:val="ListParagraph"/>
        <w:numPr>
          <w:ilvl w:val="0"/>
          <w:numId w:val="451"/>
        </w:numPr>
      </w:pPr>
      <w:r>
        <w:t>Encourage patients to arrange for their ultrasound to be conducted in the first half of their menstrual cycle where possible, ideally on days 5–10, and clinicians to specify this in ultrasound requests</w:t>
      </w:r>
    </w:p>
    <w:p w14:paraId="60CF351D" w14:textId="77777777" w:rsidR="00CD7B73" w:rsidRDefault="00CD7B73" w:rsidP="00887779">
      <w:pPr>
        <w:pStyle w:val="ListParagraph"/>
        <w:numPr>
          <w:ilvl w:val="0"/>
          <w:numId w:val="451"/>
        </w:numPr>
      </w:pPr>
      <w:r>
        <w:t>Take into account any challenges patients may experience in accessing ultrasound locally</w:t>
      </w:r>
    </w:p>
    <w:p w14:paraId="08357FE4" w14:textId="77777777" w:rsidR="00CD7B73" w:rsidRDefault="00CD7B73" w:rsidP="00887779">
      <w:pPr>
        <w:pStyle w:val="ListParagraph"/>
        <w:numPr>
          <w:ilvl w:val="0"/>
          <w:numId w:val="451"/>
        </w:numPr>
      </w:pPr>
      <w:r>
        <w:t xml:space="preserve">Ensure patients are offered </w:t>
      </w:r>
      <w:r w:rsidRPr="00887779">
        <w:t>initial</w:t>
      </w:r>
      <w:r>
        <w:t xml:space="preserve"> oral treatment where clinically appropriate while waiting for appointments.</w:t>
      </w:r>
    </w:p>
    <w:p w14:paraId="077805F4" w14:textId="77777777" w:rsidR="00CD7B73" w:rsidRDefault="00CD7B73" w:rsidP="00CD7B73">
      <w:r>
        <w:t xml:space="preserve">In healthcare services </w:t>
      </w:r>
      <w:r>
        <w:rPr>
          <w:rStyle w:val="Strong"/>
        </w:rPr>
        <w:t>performing</w:t>
      </w:r>
      <w:r>
        <w:t xml:space="preserve"> gynaecological ultrasound, ensure that policies, protocols and procedures support:</w:t>
      </w:r>
    </w:p>
    <w:p w14:paraId="228916FE" w14:textId="77777777" w:rsidR="00CD7B73" w:rsidRDefault="00CD7B73" w:rsidP="00887779">
      <w:pPr>
        <w:pStyle w:val="ListParagraph"/>
        <w:numPr>
          <w:ilvl w:val="0"/>
          <w:numId w:val="452"/>
        </w:numPr>
      </w:pPr>
      <w:r>
        <w:t>Appropriate high</w:t>
      </w:r>
      <w:r>
        <w:rPr>
          <w:rFonts w:ascii="Cambria Math" w:hAnsi="Cambria Math" w:cs="Cambria Math"/>
        </w:rPr>
        <w:t>‑</w:t>
      </w:r>
      <w:r>
        <w:t xml:space="preserve">quality transvaginal and transabdominal ultrasound (for example, see Australasian Society for Ultrasound in Medicine guidelines) </w:t>
      </w:r>
    </w:p>
    <w:p w14:paraId="0043CE57" w14:textId="77777777" w:rsidR="00CD7B73" w:rsidRDefault="00CD7B73" w:rsidP="00887779">
      <w:pPr>
        <w:pStyle w:val="ListParagraph"/>
        <w:numPr>
          <w:ilvl w:val="0"/>
          <w:numId w:val="452"/>
        </w:numPr>
      </w:pPr>
      <w:r>
        <w:t>Optimal scheduling of appointments so that scans are taken on days 5–10 of a patient’s menstrual cycle where possible</w:t>
      </w:r>
    </w:p>
    <w:p w14:paraId="444F9EB2" w14:textId="77777777" w:rsidR="00CD7B73" w:rsidRDefault="00CD7B73" w:rsidP="00887779">
      <w:pPr>
        <w:pStyle w:val="ListParagraph"/>
        <w:numPr>
          <w:ilvl w:val="0"/>
          <w:numId w:val="452"/>
        </w:numPr>
      </w:pPr>
      <w:r>
        <w:t>Women to make informed decisions and provide informed consent in relation to their ultrasound, based on timely and accurate information about the process, including an understanding of how transvaginal ultrasound is conducted</w:t>
      </w:r>
    </w:p>
    <w:p w14:paraId="3D87EA42" w14:textId="77777777" w:rsidR="00CD7B73" w:rsidRDefault="00CD7B73" w:rsidP="007547A5">
      <w:pPr>
        <w:pStyle w:val="ListParagraph"/>
        <w:numPr>
          <w:ilvl w:val="0"/>
          <w:numId w:val="452"/>
        </w:numPr>
        <w:spacing w:after="240"/>
        <w:ind w:left="714" w:hanging="357"/>
      </w:pPr>
      <w:r>
        <w:t>High</w:t>
      </w:r>
      <w:r w:rsidRPr="00887779">
        <w:rPr>
          <w:rFonts w:ascii="Cambria Math" w:hAnsi="Cambria Math" w:cs="Cambria Math"/>
        </w:rPr>
        <w:t>‑</w:t>
      </w:r>
      <w:r>
        <w:t xml:space="preserve">quality </w:t>
      </w:r>
      <w:r w:rsidRPr="00887779">
        <w:t>reporting</w:t>
      </w:r>
      <w:r>
        <w:t xml:space="preserve"> of ultrasound results, taking into account the need to accurately measure and report endometrial thickness (in millimetres), uterine dimensions, including volume, and the presence and location of structural abnormalities.</w:t>
      </w:r>
    </w:p>
    <w:tbl>
      <w:tblPr>
        <w:tblStyle w:val="CCSIndicatorBox"/>
        <w:tblW w:w="5000" w:type="pct"/>
        <w:tblLook w:val="0620" w:firstRow="1" w:lastRow="0" w:firstColumn="0" w:lastColumn="0" w:noHBand="1" w:noVBand="1"/>
        <w:tblDescription w:val="Indicators for local monitoring"/>
      </w:tblPr>
      <w:tblGrid>
        <w:gridCol w:w="9638"/>
      </w:tblGrid>
      <w:tr w:rsidR="00CD7B73" w:rsidRPr="00887779" w14:paraId="0E4EF99D" w14:textId="77777777" w:rsidTr="00887779">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2232B4CE" w14:textId="77777777" w:rsidR="00CD7B73" w:rsidRPr="00887779" w:rsidRDefault="00CD7B73" w:rsidP="00887779">
            <w:r w:rsidRPr="00887779">
              <w:lastRenderedPageBreak/>
              <w:t>Indicators for local monitoring</w:t>
            </w:r>
          </w:p>
        </w:tc>
      </w:tr>
      <w:tr w:rsidR="00CD7B73" w:rsidRPr="00887779" w14:paraId="177C56E0" w14:textId="77777777" w:rsidTr="00887779">
        <w:tblPrEx>
          <w:tblCellMar>
            <w:top w:w="0" w:type="dxa"/>
          </w:tblCellMar>
        </w:tblPrEx>
        <w:trPr>
          <w:trHeight w:val="60"/>
        </w:trPr>
        <w:tc>
          <w:tcPr>
            <w:tcW w:w="5000" w:type="pct"/>
          </w:tcPr>
          <w:p w14:paraId="06CAA70C" w14:textId="77777777" w:rsidR="00CD7B73" w:rsidRPr="00887779" w:rsidRDefault="00CD7B73" w:rsidP="00887779">
            <w:r w:rsidRPr="00887779">
              <w:rPr>
                <w:rStyle w:val="Strong"/>
              </w:rPr>
              <w:t>Indicator 4a</w:t>
            </w:r>
            <w:r w:rsidRPr="00887779">
              <w:t xml:space="preserve">: Evidence of local arrangements to support appropriate referral for investigative pelvic ultrasounds for heavy menstrual bleeding. </w:t>
            </w:r>
          </w:p>
          <w:p w14:paraId="277734E1" w14:textId="77777777" w:rsidR="00CD7B73" w:rsidRPr="00887779" w:rsidRDefault="00CD7B73" w:rsidP="00887779">
            <w:r w:rsidRPr="00887779">
              <w:t>The local arrangements should specify the process to:</w:t>
            </w:r>
          </w:p>
          <w:p w14:paraId="23345416" w14:textId="77777777" w:rsidR="00CD7B73" w:rsidRPr="00887779" w:rsidRDefault="00CD7B73" w:rsidP="00887779">
            <w:pPr>
              <w:pStyle w:val="ListParagraph"/>
              <w:numPr>
                <w:ilvl w:val="0"/>
                <w:numId w:val="453"/>
              </w:numPr>
            </w:pPr>
            <w:r w:rsidRPr="00887779">
              <w:t>Encourage patients to arrange for their ultrasound to be conducted in the first half of their menstrual cycle, ideally in days 5–10</w:t>
            </w:r>
          </w:p>
          <w:p w14:paraId="298A9A3F" w14:textId="77777777" w:rsidR="00CD7B73" w:rsidRPr="00887779" w:rsidRDefault="00CD7B73" w:rsidP="00887779">
            <w:pPr>
              <w:pStyle w:val="ListParagraph"/>
              <w:numPr>
                <w:ilvl w:val="0"/>
                <w:numId w:val="453"/>
              </w:numPr>
            </w:pPr>
            <w:r w:rsidRPr="00887779">
              <w:t>Support clinicians to specify the expected timing of the ultrasound in requests</w:t>
            </w:r>
          </w:p>
          <w:p w14:paraId="454C3CF3" w14:textId="77777777" w:rsidR="00CD7B73" w:rsidRPr="00887779" w:rsidRDefault="00CD7B73" w:rsidP="00887779">
            <w:pPr>
              <w:pStyle w:val="ListParagraph"/>
              <w:numPr>
                <w:ilvl w:val="0"/>
                <w:numId w:val="453"/>
              </w:numPr>
            </w:pPr>
            <w:r w:rsidRPr="00887779">
              <w:t>Support discussions with patients about transvaginal ultrasound as the preferred method when imaging is recommended and clinically appropriate</w:t>
            </w:r>
          </w:p>
          <w:p w14:paraId="18CB1CDB" w14:textId="77777777" w:rsidR="00CD7B73" w:rsidRPr="00887779" w:rsidRDefault="00CD7B73" w:rsidP="00887779">
            <w:pPr>
              <w:pStyle w:val="ListParagraph"/>
              <w:numPr>
                <w:ilvl w:val="0"/>
                <w:numId w:val="453"/>
              </w:numPr>
            </w:pPr>
            <w:r w:rsidRPr="00887779">
              <w:t xml:space="preserve">Assess adherence to the local arrangements. </w:t>
            </w:r>
          </w:p>
          <w:p w14:paraId="431ECA96" w14:textId="77777777" w:rsidR="00CD7B73" w:rsidRPr="00887779" w:rsidRDefault="00CD7B73" w:rsidP="00887779">
            <w:r w:rsidRPr="00887779">
              <w:rPr>
                <w:rStyle w:val="Strong"/>
              </w:rPr>
              <w:t>Indicator 4b</w:t>
            </w:r>
            <w:r w:rsidRPr="00887779">
              <w:t>: Evidence of local arrangements for conducting investigative pelvic ultrasounds for heavy menstrual bleeding. The local arrangements should specify the:</w:t>
            </w:r>
          </w:p>
          <w:p w14:paraId="0F4EABD8" w14:textId="77777777" w:rsidR="00CD7B73" w:rsidRPr="00887779" w:rsidRDefault="00CD7B73" w:rsidP="00887779">
            <w:pPr>
              <w:pStyle w:val="ListParagraph"/>
              <w:numPr>
                <w:ilvl w:val="0"/>
                <w:numId w:val="454"/>
              </w:numPr>
            </w:pPr>
            <w:r w:rsidRPr="00887779">
              <w:t>Protocol or guideline to check the appointment timing with the patient and ideally book the appointment in days 5–10 of their menstrual cycle</w:t>
            </w:r>
          </w:p>
          <w:p w14:paraId="58233EA8" w14:textId="77777777" w:rsidR="00CD7B73" w:rsidRPr="00887779" w:rsidRDefault="00CD7B73" w:rsidP="00887779">
            <w:pPr>
              <w:pStyle w:val="ListParagraph"/>
              <w:numPr>
                <w:ilvl w:val="0"/>
                <w:numId w:val="454"/>
              </w:numPr>
            </w:pPr>
            <w:r w:rsidRPr="00887779">
              <w:t>Consent policy that ensures patients are supported to make informed decisions about pelvic ultrasounds, including specific requirements for transvaginal ultrasounds</w:t>
            </w:r>
          </w:p>
          <w:p w14:paraId="5B278DEB" w14:textId="77777777" w:rsidR="00CD7B73" w:rsidRPr="00887779" w:rsidRDefault="00CD7B73" w:rsidP="00887779">
            <w:pPr>
              <w:pStyle w:val="ListParagraph"/>
              <w:numPr>
                <w:ilvl w:val="0"/>
                <w:numId w:val="454"/>
              </w:numPr>
            </w:pPr>
            <w:r w:rsidRPr="00887779">
              <w:t>Process to assess adherence to the local arrangements.</w:t>
            </w:r>
          </w:p>
        </w:tc>
      </w:tr>
    </w:tbl>
    <w:p w14:paraId="4577D0EC" w14:textId="037D2D57" w:rsidR="00CD7B73" w:rsidRDefault="00CD7B73" w:rsidP="00CD7B73">
      <w:pPr>
        <w:pStyle w:val="Heading2"/>
      </w:pPr>
      <w:r>
        <w:t>5</w:t>
      </w:r>
      <w:r w:rsidR="00CD2E16">
        <w:t xml:space="preserve">. </w:t>
      </w:r>
      <w:r>
        <w:t>Intrauterine hormonal devices</w:t>
      </w:r>
    </w:p>
    <w:p w14:paraId="2096CC25" w14:textId="77777777" w:rsidR="00CD7B73" w:rsidRDefault="00CD7B73" w:rsidP="003456FB">
      <w:pPr>
        <w:pStyle w:val="NormalIntroBold"/>
      </w:pPr>
      <w:r>
        <w:t xml:space="preserve">When medical management options are being </w:t>
      </w:r>
      <w:r w:rsidRPr="003456FB">
        <w:t>considered</w:t>
      </w:r>
      <w:r>
        <w:t>, a woman is offered a 52 mg levonorgestrel</w:t>
      </w:r>
      <w:r>
        <w:rPr>
          <w:rFonts w:ascii="Cambria Math" w:hAnsi="Cambria Math" w:cs="Cambria Math"/>
        </w:rPr>
        <w:t>‑</w:t>
      </w:r>
      <w:r>
        <w:t>releasing intrauterine device if clinically appropriate, as it is currently the most effective medical option for managing heavy menstrual bleeding.</w:t>
      </w:r>
    </w:p>
    <w:p w14:paraId="54227C2F" w14:textId="0B87246C" w:rsidR="00CD7B73" w:rsidRDefault="00CD7B73" w:rsidP="00CD7B73">
      <w:r>
        <w:t>In primary health care and other services where medical management may be initiated, ensure</w:t>
      </w:r>
      <w:r w:rsidR="0057118D">
        <w:t> </w:t>
      </w:r>
      <w:r>
        <w:t>that:</w:t>
      </w:r>
    </w:p>
    <w:p w14:paraId="4A03019F" w14:textId="77777777" w:rsidR="00CD7B73" w:rsidRDefault="00CD7B73" w:rsidP="0057118D">
      <w:pPr>
        <w:pStyle w:val="ListParagraph"/>
        <w:numPr>
          <w:ilvl w:val="0"/>
          <w:numId w:val="456"/>
        </w:numPr>
      </w:pPr>
      <w:r>
        <w:t>Guidelines and protocols are in place to support patients being offered a 52 mg levonorgestrel</w:t>
      </w:r>
      <w:r w:rsidRPr="0057118D">
        <w:rPr>
          <w:rFonts w:ascii="Cambria Math" w:hAnsi="Cambria Math" w:cs="Cambria Math"/>
        </w:rPr>
        <w:t>‑</w:t>
      </w:r>
      <w:r>
        <w:t>releasing intrauterine device (LNG</w:t>
      </w:r>
      <w:r w:rsidRPr="0057118D">
        <w:rPr>
          <w:rFonts w:ascii="Cambria Math" w:hAnsi="Cambria Math" w:cs="Cambria Math"/>
        </w:rPr>
        <w:t>‑</w:t>
      </w:r>
      <w:r>
        <w:t>IUD) if it is clinically appropriate</w:t>
      </w:r>
    </w:p>
    <w:p w14:paraId="706215D6" w14:textId="77777777" w:rsidR="00CD7B73" w:rsidRDefault="00CD7B73" w:rsidP="00F04996">
      <w:pPr>
        <w:pStyle w:val="ListParagraph"/>
        <w:numPr>
          <w:ilvl w:val="0"/>
          <w:numId w:val="456"/>
        </w:numPr>
        <w:spacing w:after="240"/>
        <w:ind w:left="714" w:hanging="357"/>
      </w:pPr>
      <w:r>
        <w:t>Arrangements are in place to provide the LNG</w:t>
      </w:r>
      <w:r w:rsidRPr="0057118D">
        <w:rPr>
          <w:rFonts w:ascii="Cambria Math" w:hAnsi="Cambria Math" w:cs="Cambria Math"/>
        </w:rPr>
        <w:t>‑</w:t>
      </w:r>
      <w:r>
        <w:t xml:space="preserve">IUD, either within the service or through referral to an appropriate </w:t>
      </w:r>
      <w:r w:rsidRPr="0057118D">
        <w:t>practitioner</w:t>
      </w:r>
      <w:r>
        <w:t>.</w:t>
      </w:r>
    </w:p>
    <w:tbl>
      <w:tblPr>
        <w:tblStyle w:val="CCSIndicatorBox"/>
        <w:tblW w:w="5000" w:type="pct"/>
        <w:tblLook w:val="0620" w:firstRow="1" w:lastRow="0" w:firstColumn="0" w:lastColumn="0" w:noHBand="1" w:noVBand="1"/>
        <w:tblDescription w:val="Indicators for local monitoring"/>
      </w:tblPr>
      <w:tblGrid>
        <w:gridCol w:w="9638"/>
      </w:tblGrid>
      <w:tr w:rsidR="00CD7B73" w:rsidRPr="00F04996" w14:paraId="7CCA9D62" w14:textId="77777777" w:rsidTr="00F04996">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7DECB437" w14:textId="77777777" w:rsidR="00CD7B73" w:rsidRPr="006A6EFB" w:rsidRDefault="00CD7B73" w:rsidP="005E7952">
            <w:r w:rsidRPr="006A6EFB">
              <w:t>Indicators for local monitoring</w:t>
            </w:r>
          </w:p>
        </w:tc>
      </w:tr>
      <w:tr w:rsidR="00CD7B73" w:rsidRPr="00F04996" w14:paraId="10C95B4E" w14:textId="77777777" w:rsidTr="00F04996">
        <w:tblPrEx>
          <w:tblCellMar>
            <w:top w:w="0" w:type="dxa"/>
          </w:tblCellMar>
        </w:tblPrEx>
        <w:trPr>
          <w:trHeight w:val="60"/>
        </w:trPr>
        <w:tc>
          <w:tcPr>
            <w:tcW w:w="5000" w:type="pct"/>
          </w:tcPr>
          <w:p w14:paraId="0404BF1A" w14:textId="77777777" w:rsidR="00CD7B73" w:rsidRPr="00F04996" w:rsidRDefault="00CD7B73" w:rsidP="00F04996">
            <w:r w:rsidRPr="00F04996">
              <w:rPr>
                <w:rStyle w:val="Strong"/>
              </w:rPr>
              <w:t>Indicator 5a</w:t>
            </w:r>
            <w:r w:rsidRPr="00F04996">
              <w:t>: Proportion of patients with heavy menstrual bleeding deemed clinically suitable for a 52 mg levonorgestrel</w:t>
            </w:r>
            <w:r w:rsidRPr="00F04996">
              <w:rPr>
                <w:rFonts w:ascii="Cambria Math" w:hAnsi="Cambria Math" w:cs="Cambria Math"/>
              </w:rPr>
              <w:t>‑</w:t>
            </w:r>
            <w:r w:rsidRPr="00F04996">
              <w:t>releasing IUD, who had one inserted or were referred to another clinician for insertion.</w:t>
            </w:r>
          </w:p>
          <w:p w14:paraId="4523FDB8" w14:textId="77777777" w:rsidR="00CD7B73" w:rsidRPr="00F04996" w:rsidRDefault="00CD7B73" w:rsidP="00F04996">
            <w:r w:rsidRPr="00F04996">
              <w:rPr>
                <w:rStyle w:val="Strong"/>
              </w:rPr>
              <w:t>Indicator 5b</w:t>
            </w:r>
            <w:r w:rsidRPr="00F04996">
              <w:t>: Evidence of local arrangements to refer or recommend patients with heavy menstrual bleeding to a clinician trained to insert levonorgestrel</w:t>
            </w:r>
            <w:r w:rsidRPr="00F04996">
              <w:rPr>
                <w:rFonts w:ascii="Cambria Math" w:hAnsi="Cambria Math" w:cs="Cambria Math"/>
              </w:rPr>
              <w:t>‑</w:t>
            </w:r>
            <w:r w:rsidRPr="00F04996">
              <w:t>releasing intrauterine devices. (Only applicable to services without a clinician trained in intrauterine device insertion.)</w:t>
            </w:r>
          </w:p>
        </w:tc>
      </w:tr>
    </w:tbl>
    <w:p w14:paraId="3FA51F3A" w14:textId="7A9D2FB5" w:rsidR="00CD7B73" w:rsidRDefault="00CD7B73" w:rsidP="00CD7B73">
      <w:pPr>
        <w:pStyle w:val="Heading2"/>
      </w:pPr>
      <w:r>
        <w:lastRenderedPageBreak/>
        <w:t>6</w:t>
      </w:r>
      <w:r w:rsidR="009A5795">
        <w:t xml:space="preserve">. </w:t>
      </w:r>
      <w:r>
        <w:t>Specialist referral</w:t>
      </w:r>
    </w:p>
    <w:p w14:paraId="3CABC43E" w14:textId="77777777" w:rsidR="00CD7B73" w:rsidRDefault="00CD7B73" w:rsidP="003456FB">
      <w:pPr>
        <w:pStyle w:val="NormalIntroBold"/>
      </w:pPr>
      <w:r>
        <w:t xml:space="preserve">A woman with heavy menstrual bleeding is </w:t>
      </w:r>
      <w:r w:rsidRPr="003456FB">
        <w:t>referred</w:t>
      </w:r>
      <w:r>
        <w:t xml:space="preserve"> for early specialist review when there is a suspicion of malignancy or other significant pathology based on clinical assessment or ultrasound. Referral is also offered to a woman who has not responded to medical management.</w:t>
      </w:r>
    </w:p>
    <w:p w14:paraId="24946600" w14:textId="77777777" w:rsidR="00CD7B73" w:rsidRDefault="00CD7B73" w:rsidP="00CD7B73">
      <w:r>
        <w:t>In primary healthcare services, establish protocols and pathways to ensure that:</w:t>
      </w:r>
    </w:p>
    <w:p w14:paraId="6C19E1EB" w14:textId="77777777" w:rsidR="00CD7B73" w:rsidRDefault="00CD7B73" w:rsidP="009A5795">
      <w:pPr>
        <w:pStyle w:val="ListParagraph"/>
        <w:numPr>
          <w:ilvl w:val="0"/>
          <w:numId w:val="457"/>
        </w:numPr>
      </w:pPr>
      <w:r>
        <w:t>Patients with possible or suspected malignancy, or with significant pelvic pathology, are offered early referral to an appropriate specialist for review</w:t>
      </w:r>
    </w:p>
    <w:p w14:paraId="37FCDEFF" w14:textId="77777777" w:rsidR="00CD7B73" w:rsidRDefault="00CD7B73" w:rsidP="009A5795">
      <w:pPr>
        <w:pStyle w:val="ListParagraph"/>
        <w:numPr>
          <w:ilvl w:val="0"/>
          <w:numId w:val="457"/>
        </w:numPr>
      </w:pPr>
      <w:r>
        <w:t xml:space="preserve">Patients who have not responded to medical management are offered referral to an appropriate specialist for assessment and </w:t>
      </w:r>
      <w:r w:rsidRPr="009A5795">
        <w:t>treatment</w:t>
      </w:r>
      <w:r>
        <w:t>.</w:t>
      </w:r>
    </w:p>
    <w:p w14:paraId="7B03A264" w14:textId="77777777" w:rsidR="00CD7B73" w:rsidRDefault="00CD7B73" w:rsidP="0096250F">
      <w:pPr>
        <w:spacing w:after="240"/>
      </w:pPr>
      <w:r>
        <w:t>In secondary health services with referral protocols or criteria, use those protocols to advise referring clinicians of referral requirements and timeframes.</w:t>
      </w:r>
    </w:p>
    <w:tbl>
      <w:tblPr>
        <w:tblStyle w:val="CCSIndicatorBox"/>
        <w:tblW w:w="5000" w:type="pct"/>
        <w:tblLook w:val="0620" w:firstRow="1" w:lastRow="0" w:firstColumn="0" w:lastColumn="0" w:noHBand="1" w:noVBand="1"/>
        <w:tblDescription w:val="Indicator for local monitoring"/>
      </w:tblPr>
      <w:tblGrid>
        <w:gridCol w:w="9638"/>
      </w:tblGrid>
      <w:tr w:rsidR="00CD7B73" w:rsidRPr="0096250F" w14:paraId="3EC60A1E" w14:textId="77777777" w:rsidTr="00505C30">
        <w:trPr>
          <w:cnfStyle w:val="100000000000" w:firstRow="1" w:lastRow="0" w:firstColumn="0" w:lastColumn="0" w:oddVBand="0" w:evenVBand="0" w:oddHBand="0" w:evenHBand="0" w:firstRowFirstColumn="0" w:firstRowLastColumn="0" w:lastRowFirstColumn="0" w:lastRowLastColumn="0"/>
          <w:trHeight w:val="11"/>
        </w:trPr>
        <w:tc>
          <w:tcPr>
            <w:tcW w:w="5000" w:type="pct"/>
          </w:tcPr>
          <w:p w14:paraId="5579DAA7" w14:textId="77777777" w:rsidR="00CD7B73" w:rsidRPr="006A6EFB" w:rsidRDefault="00CD7B73" w:rsidP="005E7952">
            <w:r w:rsidRPr="006A6EFB">
              <w:t>Indicator for local monitoring</w:t>
            </w:r>
          </w:p>
        </w:tc>
      </w:tr>
      <w:tr w:rsidR="00CD7B73" w:rsidRPr="0096250F" w14:paraId="18AA65CB" w14:textId="77777777" w:rsidTr="006A6EFB">
        <w:tblPrEx>
          <w:tblCellMar>
            <w:top w:w="0" w:type="dxa"/>
          </w:tblCellMar>
        </w:tblPrEx>
        <w:trPr>
          <w:trHeight w:val="60"/>
        </w:trPr>
        <w:tc>
          <w:tcPr>
            <w:tcW w:w="5000" w:type="pct"/>
          </w:tcPr>
          <w:p w14:paraId="4E7EE562" w14:textId="77777777" w:rsidR="00CD7B73" w:rsidRPr="0096250F" w:rsidRDefault="00CD7B73" w:rsidP="0096250F">
            <w:r w:rsidRPr="0096250F">
              <w:rPr>
                <w:rStyle w:val="Strong"/>
              </w:rPr>
              <w:t>Indicator 6a</w:t>
            </w:r>
            <w:r w:rsidRPr="0096250F">
              <w:t>: Evidence of protocols or pathways to ensure timely and appropriate referral of patients with heavy menstrual bleeding.</w:t>
            </w:r>
          </w:p>
          <w:p w14:paraId="7532BB30" w14:textId="77777777" w:rsidR="00CD7B73" w:rsidRPr="0096250F" w:rsidRDefault="00CD7B73" w:rsidP="0096250F">
            <w:r w:rsidRPr="0096250F">
              <w:t>The protocols or pathways should specify the process to:</w:t>
            </w:r>
          </w:p>
          <w:p w14:paraId="3644116E" w14:textId="77777777" w:rsidR="00CD7B73" w:rsidRPr="0096250F" w:rsidRDefault="00CD7B73" w:rsidP="0096250F">
            <w:pPr>
              <w:pStyle w:val="ListParagraph"/>
              <w:numPr>
                <w:ilvl w:val="0"/>
                <w:numId w:val="458"/>
              </w:numPr>
            </w:pPr>
            <w:r w:rsidRPr="0096250F">
              <w:t>Offer early referral to an appropriate specialist when there is suspicion of malignancy or other significant pathology</w:t>
            </w:r>
          </w:p>
          <w:p w14:paraId="6C5D7F80" w14:textId="77777777" w:rsidR="00CD7B73" w:rsidRPr="0096250F" w:rsidRDefault="00CD7B73" w:rsidP="0096250F">
            <w:pPr>
              <w:pStyle w:val="ListParagraph"/>
              <w:numPr>
                <w:ilvl w:val="0"/>
                <w:numId w:val="458"/>
              </w:numPr>
            </w:pPr>
            <w:r w:rsidRPr="0096250F">
              <w:t>Offer a referral to an appropriate specialist when the patient has not had a satisfactory response to medical management</w:t>
            </w:r>
          </w:p>
          <w:p w14:paraId="59F149D5" w14:textId="77777777" w:rsidR="00CD7B73" w:rsidRPr="0096250F" w:rsidRDefault="00CD7B73" w:rsidP="0096250F">
            <w:pPr>
              <w:pStyle w:val="ListParagraph"/>
              <w:numPr>
                <w:ilvl w:val="0"/>
                <w:numId w:val="458"/>
              </w:numPr>
            </w:pPr>
            <w:r w:rsidRPr="0096250F">
              <w:t>Assess adherence to the protocols or pathways.</w:t>
            </w:r>
          </w:p>
        </w:tc>
      </w:tr>
    </w:tbl>
    <w:p w14:paraId="6557B94F" w14:textId="2495C635" w:rsidR="00CD7B73" w:rsidRDefault="00CD7B73" w:rsidP="00CD7B73">
      <w:pPr>
        <w:pStyle w:val="Heading2"/>
      </w:pPr>
      <w:r>
        <w:t>7</w:t>
      </w:r>
      <w:r w:rsidR="000F3AD3">
        <w:t xml:space="preserve">. </w:t>
      </w:r>
      <w:r>
        <w:t>Uterine</w:t>
      </w:r>
      <w:r>
        <w:rPr>
          <w:rFonts w:ascii="Cambria Math" w:hAnsi="Cambria Math" w:cs="Cambria Math"/>
        </w:rPr>
        <w:t>‑</w:t>
      </w:r>
      <w:r>
        <w:t>preserving alternatives to hysterectomy</w:t>
      </w:r>
    </w:p>
    <w:p w14:paraId="716D0634" w14:textId="77777777" w:rsidR="00CD7B73" w:rsidRDefault="00CD7B73" w:rsidP="003456FB">
      <w:pPr>
        <w:pStyle w:val="NormalIntroBold"/>
      </w:pPr>
      <w:r>
        <w:t>A woman who has heavy menstrual bleeding of benign causes and who is considering non</w:t>
      </w:r>
      <w:r>
        <w:rPr>
          <w:rFonts w:ascii="Cambria Math" w:hAnsi="Cambria Math" w:cs="Cambria Math"/>
        </w:rPr>
        <w:t>‑</w:t>
      </w:r>
      <w:r>
        <w:t>medical management is offered uterine</w:t>
      </w:r>
      <w:r>
        <w:rPr>
          <w:rFonts w:ascii="Cambria Math" w:hAnsi="Cambria Math" w:cs="Cambria Math"/>
        </w:rPr>
        <w:t>‑</w:t>
      </w:r>
      <w:r>
        <w:t>preserving procedures that may be suitable (such as endometrial ablation, uterine artery embolisation or surgical removal of local pathology). She is supported to make an informed decision and is referred appropriately.</w:t>
      </w:r>
    </w:p>
    <w:p w14:paraId="7E93F86A" w14:textId="08868EE1" w:rsidR="00CD7B73" w:rsidRDefault="00CD7B73" w:rsidP="00CD7B73">
      <w:r>
        <w:t>In primary and secondary healthcare services where women are considering non</w:t>
      </w:r>
      <w:r>
        <w:rPr>
          <w:rFonts w:ascii="Cambria Math" w:hAnsi="Cambria Math" w:cs="Cambria Math"/>
        </w:rPr>
        <w:t>‑</w:t>
      </w:r>
      <w:r>
        <w:t>medical management of their heavy menstrual bleeding, ensure that protocols and pathways are in place</w:t>
      </w:r>
      <w:r w:rsidR="008E0FA4">
        <w:t> </w:t>
      </w:r>
      <w:r>
        <w:t>to:</w:t>
      </w:r>
    </w:p>
    <w:p w14:paraId="0DAE00B5" w14:textId="77777777" w:rsidR="00CD7B73" w:rsidRDefault="00CD7B73" w:rsidP="004A4096">
      <w:pPr>
        <w:pStyle w:val="ListParagraph"/>
        <w:numPr>
          <w:ilvl w:val="0"/>
          <w:numId w:val="448"/>
        </w:numPr>
      </w:pPr>
      <w:r>
        <w:t>Provide patients with access to appropriate uterine</w:t>
      </w:r>
      <w:r>
        <w:rPr>
          <w:rFonts w:ascii="Cambria Math" w:hAnsi="Cambria Math" w:cs="Cambria Math"/>
        </w:rPr>
        <w:t>‑</w:t>
      </w:r>
      <w:r>
        <w:t>preserving procedures, including endometrial ablation, hysteroscopic resection, myomectomy or uterine artery embolisation, as clinically appropriate, either within the healthcare service or by referral to an appropriately skilled clinician</w:t>
      </w:r>
    </w:p>
    <w:p w14:paraId="675DDF84" w14:textId="77777777" w:rsidR="00CD7B73" w:rsidRDefault="00CD7B73" w:rsidP="004A4096">
      <w:pPr>
        <w:pStyle w:val="ListParagraph"/>
        <w:numPr>
          <w:ilvl w:val="0"/>
          <w:numId w:val="448"/>
        </w:numPr>
      </w:pPr>
      <w:r>
        <w:t xml:space="preserve">Support the provision of </w:t>
      </w:r>
      <w:r w:rsidRPr="004A4096">
        <w:t>information</w:t>
      </w:r>
      <w:r>
        <w:t xml:space="preserve"> about the benefits, risks and probable outcomes of potential treatments.</w:t>
      </w:r>
    </w:p>
    <w:p w14:paraId="1754BAE6" w14:textId="77777777" w:rsidR="00CD7B73" w:rsidRDefault="00CD7B73" w:rsidP="00E00186">
      <w:pPr>
        <w:spacing w:after="240"/>
      </w:pPr>
      <w:r>
        <w:t>In healthcare services that provide surgical and non</w:t>
      </w:r>
      <w:r>
        <w:rPr>
          <w:rFonts w:ascii="Cambria Math" w:hAnsi="Cambria Math" w:cs="Cambria Math"/>
        </w:rPr>
        <w:t>‑</w:t>
      </w:r>
      <w:r>
        <w:t>surgical procedures to patients with heavy menstrual bleeding, ensure that protocols and pathways are in place so that patients can access uterine</w:t>
      </w:r>
      <w:r>
        <w:rPr>
          <w:rFonts w:ascii="Cambria Math" w:hAnsi="Cambria Math" w:cs="Cambria Math"/>
        </w:rPr>
        <w:t>‑</w:t>
      </w:r>
      <w:r>
        <w:t>preserving alternatives to hysterectomy as appropriate.</w:t>
      </w:r>
    </w:p>
    <w:tbl>
      <w:tblPr>
        <w:tblStyle w:val="CCSIndicatorBox"/>
        <w:tblW w:w="5000" w:type="pct"/>
        <w:tblLook w:val="0620" w:firstRow="1" w:lastRow="0" w:firstColumn="0" w:lastColumn="0" w:noHBand="1" w:noVBand="1"/>
        <w:tblDescription w:val="Indicator for local monitoring"/>
      </w:tblPr>
      <w:tblGrid>
        <w:gridCol w:w="9638"/>
      </w:tblGrid>
      <w:tr w:rsidR="00CD7B73" w:rsidRPr="00E00186" w14:paraId="228CD502" w14:textId="77777777" w:rsidTr="00E00186">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2892CB45" w14:textId="77777777" w:rsidR="00CD7B73" w:rsidRPr="00E00186" w:rsidRDefault="00CD7B73" w:rsidP="005E7952">
            <w:r w:rsidRPr="00E00186">
              <w:lastRenderedPageBreak/>
              <w:t>Indicator for local monitoring</w:t>
            </w:r>
          </w:p>
        </w:tc>
      </w:tr>
      <w:tr w:rsidR="00CD7B73" w:rsidRPr="00E00186" w14:paraId="64F4B348" w14:textId="77777777" w:rsidTr="00E00186">
        <w:tblPrEx>
          <w:tblCellMar>
            <w:top w:w="0" w:type="dxa"/>
          </w:tblCellMar>
        </w:tblPrEx>
        <w:trPr>
          <w:trHeight w:val="60"/>
        </w:trPr>
        <w:tc>
          <w:tcPr>
            <w:tcW w:w="5000" w:type="pct"/>
          </w:tcPr>
          <w:p w14:paraId="0FD47762" w14:textId="77777777" w:rsidR="00CD7B73" w:rsidRPr="00E00186" w:rsidRDefault="00CD7B73" w:rsidP="00E00186">
            <w:r w:rsidRPr="000764B5">
              <w:rPr>
                <w:rStyle w:val="Strong"/>
              </w:rPr>
              <w:t>Indicator 7a</w:t>
            </w:r>
            <w:r w:rsidRPr="00E00186">
              <w:t>: Proportion of patients with heavy menstrual bleeding of benign cause(s) who received uterine</w:t>
            </w:r>
            <w:r w:rsidRPr="00E00186">
              <w:rPr>
                <w:rFonts w:ascii="Cambria Math" w:hAnsi="Cambria Math" w:cs="Cambria Math"/>
              </w:rPr>
              <w:t>‑</w:t>
            </w:r>
            <w:r w:rsidRPr="00E00186">
              <w:t>preserving procedural alternatives to hysterectomy.</w:t>
            </w:r>
          </w:p>
        </w:tc>
      </w:tr>
    </w:tbl>
    <w:p w14:paraId="3F1BAEBB" w14:textId="3DF36F38" w:rsidR="004A4096" w:rsidRDefault="00CD7B73" w:rsidP="003456FB">
      <w:pPr>
        <w:pStyle w:val="Heading2"/>
      </w:pPr>
      <w:r>
        <w:t>8</w:t>
      </w:r>
      <w:r w:rsidR="000901D6">
        <w:t xml:space="preserve">. </w:t>
      </w:r>
      <w:r>
        <w:t>Hysterectomy</w:t>
      </w:r>
    </w:p>
    <w:p w14:paraId="77F17E86" w14:textId="240B037E" w:rsidR="00CD7B73" w:rsidRDefault="00CD7B73" w:rsidP="004A4096">
      <w:pPr>
        <w:pStyle w:val="NormalIntroBold"/>
      </w:pPr>
      <w:r>
        <w:t>Hysterectomy to manage heavy menstrual bleeding is considered when other treatment options are ineffective or are unsuitable, or at the woman’s request. A woman considering a hysterectomy is fully informed about the potential benefits and risks of the procedure before making a decision.</w:t>
      </w:r>
    </w:p>
    <w:p w14:paraId="068FD3EB" w14:textId="77777777" w:rsidR="00CD7B73" w:rsidRDefault="00CD7B73" w:rsidP="00CD7B73">
      <w:r>
        <w:t>In services where women may be considering their treatment options, ensure that systems and processes are in place to:</w:t>
      </w:r>
    </w:p>
    <w:p w14:paraId="56C18DF3" w14:textId="77777777" w:rsidR="00CD7B73" w:rsidRPr="003456FB" w:rsidRDefault="00CD7B73" w:rsidP="003456FB">
      <w:pPr>
        <w:pStyle w:val="ListParagraph"/>
        <w:numPr>
          <w:ilvl w:val="0"/>
          <w:numId w:val="447"/>
        </w:numPr>
      </w:pPr>
      <w:r>
        <w:t>Support the systematic co</w:t>
      </w:r>
      <w:r w:rsidRPr="003456FB">
        <w:t>nsideration of less invasive alternatives to hysterectomy, as appropriate to a woman’s clinical needs and preferences, in a way that is meaningful to her, so that she can make an informed choice about hysterectomy</w:t>
      </w:r>
    </w:p>
    <w:p w14:paraId="5A6F8A3A" w14:textId="77777777" w:rsidR="00CD7B73" w:rsidRPr="003456FB" w:rsidRDefault="00CD7B73" w:rsidP="003456FB">
      <w:pPr>
        <w:pStyle w:val="ListParagraph"/>
        <w:numPr>
          <w:ilvl w:val="0"/>
          <w:numId w:val="447"/>
        </w:numPr>
      </w:pPr>
      <w:r w:rsidRPr="003456FB">
        <w:t>Provide women with information about the benefits, risks and consequences of hysterectomy, and about suitable approaches to hysterectomy</w:t>
      </w:r>
    </w:p>
    <w:p w14:paraId="0416C2F1" w14:textId="77777777" w:rsidR="00CD7B73" w:rsidRDefault="00CD7B73" w:rsidP="001774CB">
      <w:pPr>
        <w:pStyle w:val="ListParagraph"/>
        <w:numPr>
          <w:ilvl w:val="0"/>
          <w:numId w:val="447"/>
        </w:numPr>
        <w:spacing w:after="360"/>
        <w:ind w:left="714" w:hanging="357"/>
      </w:pPr>
      <w:r w:rsidRPr="003456FB">
        <w:t>For women who choose hysterectomy, support consideration of minimally invasive approaches (vaginal or laparoscopic</w:t>
      </w:r>
      <w:r>
        <w:t>) whenever clinically appropriate.</w:t>
      </w:r>
    </w:p>
    <w:tbl>
      <w:tblPr>
        <w:tblStyle w:val="CCSIndicatorBox"/>
        <w:tblW w:w="5000" w:type="pct"/>
        <w:tblLook w:val="0620" w:firstRow="1" w:lastRow="0" w:firstColumn="0" w:lastColumn="0" w:noHBand="1" w:noVBand="1"/>
        <w:tblDescription w:val="Overall Indicator for monitoring"/>
      </w:tblPr>
      <w:tblGrid>
        <w:gridCol w:w="9638"/>
      </w:tblGrid>
      <w:tr w:rsidR="00CD7B73" w14:paraId="5B63BFD6" w14:textId="77777777" w:rsidTr="00101C21">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7CFEF0AB" w14:textId="77777777" w:rsidR="00CD7B73" w:rsidRPr="005D04D9" w:rsidRDefault="00CD7B73" w:rsidP="00C47764">
            <w:pPr>
              <w:pStyle w:val="Heading2"/>
              <w:spacing w:before="120" w:after="120"/>
              <w:rPr>
                <w:b/>
                <w:bCs/>
              </w:rPr>
            </w:pPr>
            <w:r w:rsidRPr="005D04D9">
              <w:rPr>
                <w:b/>
                <w:bCs/>
              </w:rPr>
              <w:t>Overall Indicator for monitoring</w:t>
            </w:r>
          </w:p>
        </w:tc>
      </w:tr>
      <w:tr w:rsidR="00CD7B73" w14:paraId="4AFBA281" w14:textId="77777777" w:rsidTr="00101C21">
        <w:tblPrEx>
          <w:tblCellMar>
            <w:top w:w="0" w:type="dxa"/>
          </w:tblCellMar>
        </w:tblPrEx>
        <w:trPr>
          <w:trHeight w:val="60"/>
        </w:trPr>
        <w:tc>
          <w:tcPr>
            <w:tcW w:w="5000" w:type="pct"/>
          </w:tcPr>
          <w:p w14:paraId="1CC36E5A" w14:textId="77777777" w:rsidR="00CD7B73" w:rsidRDefault="00CD7B73" w:rsidP="00101C21">
            <w:r w:rsidRPr="00101C21">
              <w:rPr>
                <w:rStyle w:val="Strong"/>
              </w:rPr>
              <w:t>Indicator 9a</w:t>
            </w:r>
            <w:r>
              <w:t xml:space="preserve">: Hospital rate of </w:t>
            </w:r>
            <w:r w:rsidRPr="00101C21">
              <w:t>hysterectomy</w:t>
            </w:r>
            <w:r>
              <w:t xml:space="preserve"> per 100 episodes.</w:t>
            </w:r>
          </w:p>
          <w:p w14:paraId="106D44F8" w14:textId="77777777" w:rsidR="00CD7B73" w:rsidRDefault="00CD7B73" w:rsidP="00101C21">
            <w:r>
              <w:t xml:space="preserve">Note: More </w:t>
            </w:r>
            <w:r w:rsidRPr="00101C21">
              <w:t>information</w:t>
            </w:r>
            <w:r>
              <w:t xml:space="preserve"> on calculation of this indicator is available on </w:t>
            </w:r>
            <w:hyperlink r:id="rId10" w:history="1">
              <w:r>
                <w:rPr>
                  <w:rStyle w:val="Hyperlink"/>
                </w:rPr>
                <w:t>METEOR</w:t>
              </w:r>
            </w:hyperlink>
            <w:r>
              <w:t xml:space="preserve"> and the Commission’s </w:t>
            </w:r>
            <w:hyperlink r:id="rId11" w:history="1">
              <w:r>
                <w:rPr>
                  <w:rStyle w:val="Hyperlink"/>
                </w:rPr>
                <w:t>website</w:t>
              </w:r>
            </w:hyperlink>
            <w:r>
              <w:t>.</w:t>
            </w:r>
          </w:p>
        </w:tc>
      </w:tr>
    </w:tbl>
    <w:p w14:paraId="72B268C2" w14:textId="77777777" w:rsidR="00C52E7E" w:rsidRDefault="00C52E7E" w:rsidP="00CD7B73">
      <w:pPr>
        <w:pStyle w:val="Heading2"/>
      </w:pPr>
      <w:r>
        <w:br w:type="page"/>
      </w:r>
    </w:p>
    <w:p w14:paraId="3FEA1DCC" w14:textId="0B8B1BB3" w:rsidR="00CD7B73" w:rsidRDefault="00CD7B73" w:rsidP="00CD7B73">
      <w:pPr>
        <w:pStyle w:val="Heading2"/>
      </w:pPr>
      <w:r>
        <w:lastRenderedPageBreak/>
        <w:t xml:space="preserve">Questions? </w:t>
      </w:r>
    </w:p>
    <w:p w14:paraId="11BA2070" w14:textId="77777777" w:rsidR="0001619B" w:rsidRDefault="0001619B" w:rsidP="0001619B">
      <w:r w:rsidRPr="00526C79">
        <w:rPr>
          <w:noProof/>
        </w:rPr>
        <w:drawing>
          <wp:inline distT="0" distB="0" distL="0" distR="0" wp14:anchorId="2C7B2ED2" wp14:editId="0CC008BB">
            <wp:extent cx="914400" cy="914400"/>
            <wp:effectExtent l="0" t="0" r="0" b="0"/>
            <wp:docPr id="130930926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09263" name="Picture 1" descr="QR code"/>
                    <pic:cNvPicPr/>
                  </pic:nvPicPr>
                  <pic:blipFill>
                    <a:blip r:embed="rId12"/>
                    <a:stretch>
                      <a:fillRect/>
                    </a:stretch>
                  </pic:blipFill>
                  <pic:spPr>
                    <a:xfrm>
                      <a:off x="0" y="0"/>
                      <a:ext cx="914400" cy="914400"/>
                    </a:xfrm>
                    <a:prstGeom prst="rect">
                      <a:avLst/>
                    </a:prstGeom>
                  </pic:spPr>
                </pic:pic>
              </a:graphicData>
            </a:graphic>
          </wp:inline>
        </w:drawing>
      </w:r>
    </w:p>
    <w:p w14:paraId="1385F148" w14:textId="77777777" w:rsidR="00CD7B73" w:rsidRDefault="00CD7B73" w:rsidP="003456FB">
      <w:r>
        <w:t xml:space="preserve">Find out more </w:t>
      </w:r>
      <w:r w:rsidRPr="003456FB">
        <w:t>about</w:t>
      </w:r>
      <w:r>
        <w:t xml:space="preserve"> the </w:t>
      </w:r>
      <w:r w:rsidRPr="003456FB">
        <w:rPr>
          <w:rStyle w:val="Emphasis"/>
        </w:rPr>
        <w:t>Heavy Menstrual Bleeding Clinical Care Standard</w:t>
      </w:r>
      <w:r>
        <w:t xml:space="preserve"> and other resources. Scan the QR code or use the link </w:t>
      </w:r>
      <w:hyperlink r:id="rId13" w:history="1">
        <w:r w:rsidRPr="003456FB">
          <w:rPr>
            <w:rStyle w:val="Hyperlink"/>
          </w:rPr>
          <w:t>safetyandquality.gov.au/hmb-ccs</w:t>
        </w:r>
      </w:hyperlink>
      <w:r>
        <w:t>.</w:t>
      </w:r>
    </w:p>
    <w:p w14:paraId="74AC0205" w14:textId="77777777" w:rsidR="00CD7B73" w:rsidRDefault="00CD7B73" w:rsidP="003456FB">
      <w:pPr>
        <w:pStyle w:val="FootnoteText"/>
        <w:spacing w:before="360"/>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5FFC01CA" w14:textId="77777777" w:rsidR="00E4578A" w:rsidRPr="00E4578A" w:rsidRDefault="00000000" w:rsidP="00E4578A">
      <w:pPr>
        <w:pStyle w:val="Website"/>
      </w:pPr>
      <w:hyperlink r:id="rId14" w:history="1">
        <w:r w:rsidR="00E4578A" w:rsidRPr="00E4578A">
          <w:rPr>
            <w:rStyle w:val="Hyperlink"/>
          </w:rPr>
          <w:t>safetyandquality.gov.au</w:t>
        </w:r>
      </w:hyperlink>
    </w:p>
    <w:p w14:paraId="61DD8151" w14:textId="77777777" w:rsidR="00E4578A" w:rsidRPr="006B4D25" w:rsidRDefault="00E4578A" w:rsidP="00E4578A">
      <w:pPr>
        <w:pStyle w:val="Copyright"/>
      </w:pPr>
      <w:r w:rsidRPr="006B4D25">
        <w:rPr>
          <w:noProof/>
        </w:rPr>
        <w:drawing>
          <wp:inline distT="0" distB="0" distL="0" distR="0" wp14:anchorId="617ADD53" wp14:editId="4189976A">
            <wp:extent cx="840105" cy="297815"/>
            <wp:effectExtent l="0" t="0" r="0" b="0"/>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6843950D" w14:textId="1EEB0165" w:rsidR="00465AB0" w:rsidRPr="00B11A0A" w:rsidRDefault="00E4578A" w:rsidP="00E4578A">
      <w:pPr>
        <w:pStyle w:val="Copyright"/>
      </w:pPr>
      <w:r w:rsidRPr="006B4D25">
        <w:t>© Australian Commission on Safety and Quality in Health Care 202</w:t>
      </w:r>
      <w:r w:rsidR="00EF377C">
        <w:t>4</w:t>
      </w:r>
      <w:r w:rsidRPr="006B4D25">
        <w:t xml:space="preserve"> </w:t>
      </w:r>
      <w:r w:rsidRPr="006B4D25" w:rsidDel="00174535">
        <w:rPr>
          <w:rStyle w:val="Roman"/>
        </w:rPr>
        <w:t xml:space="preserve"> </w:t>
      </w:r>
    </w:p>
    <w:sectPr w:rsidR="00465AB0" w:rsidRPr="00B11A0A" w:rsidSect="00B64EA5">
      <w:headerReference w:type="even" r:id="rId16"/>
      <w:headerReference w:type="default" r:id="rId17"/>
      <w:footerReference w:type="even" r:id="rId18"/>
      <w:footerReference w:type="default" r:id="rId19"/>
      <w:pgSz w:w="11906" w:h="16838"/>
      <w:pgMar w:top="212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3C20" w14:textId="77777777" w:rsidR="007A380D" w:rsidRDefault="007A380D" w:rsidP="000B0274">
      <w:r>
        <w:separator/>
      </w:r>
    </w:p>
    <w:p w14:paraId="717872CF" w14:textId="77777777" w:rsidR="007A380D" w:rsidRDefault="007A380D"/>
    <w:p w14:paraId="34D97193" w14:textId="77777777" w:rsidR="007A380D" w:rsidRDefault="007A380D"/>
    <w:p w14:paraId="14E6F058" w14:textId="77777777" w:rsidR="007A380D" w:rsidRDefault="007A380D"/>
    <w:p w14:paraId="7A9F0E92" w14:textId="77777777" w:rsidR="007A380D" w:rsidRDefault="007A380D"/>
  </w:endnote>
  <w:endnote w:type="continuationSeparator" w:id="0">
    <w:p w14:paraId="4A431890" w14:textId="77777777" w:rsidR="007A380D" w:rsidRDefault="007A380D" w:rsidP="000B0274">
      <w:r>
        <w:continuationSeparator/>
      </w:r>
    </w:p>
    <w:p w14:paraId="0B122F85" w14:textId="77777777" w:rsidR="007A380D" w:rsidRDefault="007A380D"/>
    <w:p w14:paraId="53B5C7AC" w14:textId="77777777" w:rsidR="007A380D" w:rsidRDefault="007A380D"/>
    <w:p w14:paraId="7FBA00D3" w14:textId="77777777" w:rsidR="007A380D" w:rsidRDefault="007A380D"/>
    <w:p w14:paraId="1DBE9BB6" w14:textId="77777777" w:rsidR="007A380D" w:rsidRDefault="007A3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panose1 w:val="020B0604020202020204"/>
    <w:charset w:val="00"/>
    <w:family w:val="auto"/>
    <w:notTrueType/>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Proxima Nova">
    <w:panose1 w:val="020005060300000200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08E10969" w:rsidR="008B014E" w:rsidRPr="00E40FD7" w:rsidRDefault="00AC6FB7" w:rsidP="00E40FD7">
    <w:pPr>
      <w:pStyle w:val="Footer"/>
      <w:rPr>
        <w:b/>
      </w:rPr>
    </w:pPr>
    <w:r w:rsidRPr="00CD7B73">
      <w:rPr>
        <w:bCs/>
      </w:rPr>
      <w:t>Heavy Menstrual Bleeding</w:t>
    </w:r>
    <w:r w:rsidR="00B537DC" w:rsidRPr="00B537DC">
      <w:t xml:space="preserve"> </w:t>
    </w:r>
    <w:r w:rsidR="00E40FD7" w:rsidRPr="00E40FD7">
      <w:t>Clinical Care Standard</w:t>
    </w:r>
    <w:r w:rsidR="00B44C6A">
      <w:t xml:space="preserve"> 202</w:t>
    </w:r>
    <w:r w:rsidR="00B537DC">
      <w:t>4</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B50D" w14:textId="77777777" w:rsidR="007A380D" w:rsidRDefault="007A380D" w:rsidP="000B0274">
      <w:r>
        <w:separator/>
      </w:r>
    </w:p>
    <w:p w14:paraId="4B18584A" w14:textId="77777777" w:rsidR="007A380D" w:rsidRDefault="007A380D"/>
    <w:p w14:paraId="7FFFDAEE" w14:textId="77777777" w:rsidR="007A380D" w:rsidRDefault="007A380D"/>
    <w:p w14:paraId="157EEAAE" w14:textId="77777777" w:rsidR="007A380D" w:rsidRDefault="007A380D"/>
    <w:p w14:paraId="40FDBF65" w14:textId="77777777" w:rsidR="007A380D" w:rsidRDefault="007A380D"/>
  </w:footnote>
  <w:footnote w:type="continuationSeparator" w:id="0">
    <w:p w14:paraId="7B75C49E" w14:textId="77777777" w:rsidR="007A380D" w:rsidRDefault="007A380D" w:rsidP="000B0274">
      <w:r>
        <w:continuationSeparator/>
      </w:r>
    </w:p>
    <w:p w14:paraId="7004CDE4" w14:textId="77777777" w:rsidR="007A380D" w:rsidRDefault="007A380D"/>
    <w:p w14:paraId="035BA4A2" w14:textId="77777777" w:rsidR="007A380D" w:rsidRDefault="007A380D"/>
    <w:p w14:paraId="6DC7979E" w14:textId="77777777" w:rsidR="007A380D" w:rsidRDefault="007A380D"/>
    <w:p w14:paraId="1D106E27" w14:textId="77777777" w:rsidR="007A380D" w:rsidRDefault="007A3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B8E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7AA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022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604B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F62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642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080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868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0EB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D8E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0452C"/>
    <w:multiLevelType w:val="hybridMultilevel"/>
    <w:tmpl w:val="F62C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4C6318"/>
    <w:multiLevelType w:val="hybridMultilevel"/>
    <w:tmpl w:val="ADDE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447393"/>
    <w:multiLevelType w:val="hybridMultilevel"/>
    <w:tmpl w:val="43E2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8D2CB3"/>
    <w:multiLevelType w:val="hybridMultilevel"/>
    <w:tmpl w:val="02F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B1F8B"/>
    <w:multiLevelType w:val="hybridMultilevel"/>
    <w:tmpl w:val="81CE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E40CFA"/>
    <w:multiLevelType w:val="hybridMultilevel"/>
    <w:tmpl w:val="0936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B5C18"/>
    <w:multiLevelType w:val="hybridMultilevel"/>
    <w:tmpl w:val="9BBE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F64E03"/>
    <w:multiLevelType w:val="hybridMultilevel"/>
    <w:tmpl w:val="010C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9F3708"/>
    <w:multiLevelType w:val="hybridMultilevel"/>
    <w:tmpl w:val="CCC6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392E30"/>
    <w:multiLevelType w:val="hybridMultilevel"/>
    <w:tmpl w:val="2714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295C81"/>
    <w:multiLevelType w:val="hybridMultilevel"/>
    <w:tmpl w:val="03CC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206304"/>
    <w:multiLevelType w:val="hybridMultilevel"/>
    <w:tmpl w:val="9DC2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622153"/>
    <w:multiLevelType w:val="hybridMultilevel"/>
    <w:tmpl w:val="3532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6D439D"/>
    <w:multiLevelType w:val="hybridMultilevel"/>
    <w:tmpl w:val="63B0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7B4B61"/>
    <w:multiLevelType w:val="hybridMultilevel"/>
    <w:tmpl w:val="0476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505B63"/>
    <w:multiLevelType w:val="hybridMultilevel"/>
    <w:tmpl w:val="78A6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74C37DC"/>
    <w:multiLevelType w:val="hybridMultilevel"/>
    <w:tmpl w:val="86E8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287744"/>
    <w:multiLevelType w:val="hybridMultilevel"/>
    <w:tmpl w:val="89F01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B6D31A7"/>
    <w:multiLevelType w:val="hybridMultilevel"/>
    <w:tmpl w:val="316A1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0B4DA0"/>
    <w:multiLevelType w:val="hybridMultilevel"/>
    <w:tmpl w:val="64D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9C66F2"/>
    <w:multiLevelType w:val="hybridMultilevel"/>
    <w:tmpl w:val="17A8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B10944"/>
    <w:multiLevelType w:val="hybridMultilevel"/>
    <w:tmpl w:val="3B8A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DE3FCA"/>
    <w:multiLevelType w:val="hybridMultilevel"/>
    <w:tmpl w:val="B74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B03680"/>
    <w:multiLevelType w:val="hybridMultilevel"/>
    <w:tmpl w:val="128A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1B1180"/>
    <w:multiLevelType w:val="hybridMultilevel"/>
    <w:tmpl w:val="BDB209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6175D43"/>
    <w:multiLevelType w:val="hybridMultilevel"/>
    <w:tmpl w:val="587A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FD3192"/>
    <w:multiLevelType w:val="hybridMultilevel"/>
    <w:tmpl w:val="D2DA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BC3E6D"/>
    <w:multiLevelType w:val="hybridMultilevel"/>
    <w:tmpl w:val="4862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D17138"/>
    <w:multiLevelType w:val="hybridMultilevel"/>
    <w:tmpl w:val="9932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F529DA"/>
    <w:multiLevelType w:val="hybridMultilevel"/>
    <w:tmpl w:val="9A4A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397170"/>
    <w:multiLevelType w:val="hybridMultilevel"/>
    <w:tmpl w:val="5A0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561A27"/>
    <w:multiLevelType w:val="hybridMultilevel"/>
    <w:tmpl w:val="1D9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E0563F0"/>
    <w:multiLevelType w:val="hybridMultilevel"/>
    <w:tmpl w:val="5524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3B1DF9"/>
    <w:multiLevelType w:val="hybridMultilevel"/>
    <w:tmpl w:val="2D0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9F18E8"/>
    <w:multiLevelType w:val="hybridMultilevel"/>
    <w:tmpl w:val="6F06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EB2374"/>
    <w:multiLevelType w:val="hybridMultilevel"/>
    <w:tmpl w:val="AF5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6B5954"/>
    <w:multiLevelType w:val="hybridMultilevel"/>
    <w:tmpl w:val="57C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205583"/>
    <w:multiLevelType w:val="hybridMultilevel"/>
    <w:tmpl w:val="8A7E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6E14A4"/>
    <w:multiLevelType w:val="hybridMultilevel"/>
    <w:tmpl w:val="22F2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7D4D3D"/>
    <w:multiLevelType w:val="hybridMultilevel"/>
    <w:tmpl w:val="C174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AB1CD9"/>
    <w:multiLevelType w:val="hybridMultilevel"/>
    <w:tmpl w:val="B6E0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962305"/>
    <w:multiLevelType w:val="hybridMultilevel"/>
    <w:tmpl w:val="684A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A16701"/>
    <w:multiLevelType w:val="hybridMultilevel"/>
    <w:tmpl w:val="8200D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FD2B10"/>
    <w:multiLevelType w:val="hybridMultilevel"/>
    <w:tmpl w:val="87B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6C375B"/>
    <w:multiLevelType w:val="hybridMultilevel"/>
    <w:tmpl w:val="BEE8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46213"/>
    <w:multiLevelType w:val="hybridMultilevel"/>
    <w:tmpl w:val="78EC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117ABB"/>
    <w:multiLevelType w:val="hybridMultilevel"/>
    <w:tmpl w:val="54FA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944A6E"/>
    <w:multiLevelType w:val="hybridMultilevel"/>
    <w:tmpl w:val="3D4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5640B6"/>
    <w:multiLevelType w:val="hybridMultilevel"/>
    <w:tmpl w:val="7E54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4E6B5E"/>
    <w:multiLevelType w:val="hybridMultilevel"/>
    <w:tmpl w:val="7E4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B56B8C"/>
    <w:multiLevelType w:val="hybridMultilevel"/>
    <w:tmpl w:val="3EC2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5C28C0"/>
    <w:multiLevelType w:val="hybridMultilevel"/>
    <w:tmpl w:val="0DD4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365C58"/>
    <w:multiLevelType w:val="hybridMultilevel"/>
    <w:tmpl w:val="C174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DE48D3"/>
    <w:multiLevelType w:val="hybridMultilevel"/>
    <w:tmpl w:val="39FA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799625">
    <w:abstractNumId w:val="10"/>
  </w:num>
  <w:num w:numId="2" w16cid:durableId="1665082834">
    <w:abstractNumId w:val="16"/>
  </w:num>
  <w:num w:numId="3" w16cid:durableId="541210861">
    <w:abstractNumId w:val="28"/>
  </w:num>
  <w:num w:numId="4" w16cid:durableId="1963608138">
    <w:abstractNumId w:val="45"/>
  </w:num>
  <w:num w:numId="5" w16cid:durableId="8800900">
    <w:abstractNumId w:val="11"/>
  </w:num>
  <w:num w:numId="6" w16cid:durableId="2037466590">
    <w:abstractNumId w:val="50"/>
  </w:num>
  <w:num w:numId="7" w16cid:durableId="632826652">
    <w:abstractNumId w:val="53"/>
  </w:num>
  <w:num w:numId="8" w16cid:durableId="1632782389">
    <w:abstractNumId w:val="46"/>
  </w:num>
  <w:num w:numId="9" w16cid:durableId="2082824112">
    <w:abstractNumId w:val="12"/>
  </w:num>
  <w:num w:numId="10" w16cid:durableId="198013578">
    <w:abstractNumId w:val="25"/>
  </w:num>
  <w:num w:numId="11" w16cid:durableId="441926496">
    <w:abstractNumId w:val="38"/>
  </w:num>
  <w:num w:numId="12" w16cid:durableId="1560045544">
    <w:abstractNumId w:val="0"/>
  </w:num>
  <w:num w:numId="13" w16cid:durableId="627205223">
    <w:abstractNumId w:val="1"/>
  </w:num>
  <w:num w:numId="14" w16cid:durableId="389501594">
    <w:abstractNumId w:val="2"/>
  </w:num>
  <w:num w:numId="15" w16cid:durableId="412894125">
    <w:abstractNumId w:val="3"/>
  </w:num>
  <w:num w:numId="16" w16cid:durableId="495875320">
    <w:abstractNumId w:val="8"/>
  </w:num>
  <w:num w:numId="17" w16cid:durableId="1117867350">
    <w:abstractNumId w:val="4"/>
  </w:num>
  <w:num w:numId="18" w16cid:durableId="602805995">
    <w:abstractNumId w:val="5"/>
  </w:num>
  <w:num w:numId="19" w16cid:durableId="129131760">
    <w:abstractNumId w:val="6"/>
  </w:num>
  <w:num w:numId="20" w16cid:durableId="464472087">
    <w:abstractNumId w:val="7"/>
  </w:num>
  <w:num w:numId="21" w16cid:durableId="289170939">
    <w:abstractNumId w:val="9"/>
  </w:num>
  <w:num w:numId="22" w16cid:durableId="2057194916">
    <w:abstractNumId w:val="60"/>
  </w:num>
  <w:num w:numId="23" w16cid:durableId="1365790803">
    <w:abstractNumId w:val="34"/>
  </w:num>
  <w:num w:numId="24" w16cid:durableId="1551456380">
    <w:abstractNumId w:val="48"/>
  </w:num>
  <w:num w:numId="25" w16cid:durableId="139463580">
    <w:abstractNumId w:val="56"/>
  </w:num>
  <w:num w:numId="26" w16cid:durableId="1256816448">
    <w:abstractNumId w:val="54"/>
  </w:num>
  <w:num w:numId="27" w16cid:durableId="164175354">
    <w:abstractNumId w:val="15"/>
  </w:num>
  <w:num w:numId="28" w16cid:durableId="982999663">
    <w:abstractNumId w:val="31"/>
  </w:num>
  <w:num w:numId="29" w16cid:durableId="278799957">
    <w:abstractNumId w:val="52"/>
  </w:num>
  <w:num w:numId="30" w16cid:durableId="2130974517">
    <w:abstractNumId w:val="33"/>
  </w:num>
  <w:num w:numId="31" w16cid:durableId="1257177394">
    <w:abstractNumId w:val="57"/>
  </w:num>
  <w:num w:numId="32" w16cid:durableId="276520772">
    <w:abstractNumId w:val="23"/>
  </w:num>
  <w:num w:numId="33" w16cid:durableId="1252743591">
    <w:abstractNumId w:val="40"/>
  </w:num>
  <w:num w:numId="34" w16cid:durableId="265500988">
    <w:abstractNumId w:val="0"/>
  </w:num>
  <w:num w:numId="35" w16cid:durableId="73094927">
    <w:abstractNumId w:val="1"/>
  </w:num>
  <w:num w:numId="36" w16cid:durableId="1152671880">
    <w:abstractNumId w:val="2"/>
  </w:num>
  <w:num w:numId="37" w16cid:durableId="896816839">
    <w:abstractNumId w:val="3"/>
  </w:num>
  <w:num w:numId="38" w16cid:durableId="1750998580">
    <w:abstractNumId w:val="8"/>
  </w:num>
  <w:num w:numId="39" w16cid:durableId="1876116871">
    <w:abstractNumId w:val="4"/>
  </w:num>
  <w:num w:numId="40" w16cid:durableId="628560235">
    <w:abstractNumId w:val="5"/>
  </w:num>
  <w:num w:numId="41" w16cid:durableId="274101771">
    <w:abstractNumId w:val="6"/>
  </w:num>
  <w:num w:numId="42" w16cid:durableId="1626766719">
    <w:abstractNumId w:val="7"/>
  </w:num>
  <w:num w:numId="43" w16cid:durableId="89934891">
    <w:abstractNumId w:val="9"/>
  </w:num>
  <w:num w:numId="44" w16cid:durableId="2127461299">
    <w:abstractNumId w:val="0"/>
  </w:num>
  <w:num w:numId="45" w16cid:durableId="1432050412">
    <w:abstractNumId w:val="1"/>
  </w:num>
  <w:num w:numId="46" w16cid:durableId="618033395">
    <w:abstractNumId w:val="2"/>
  </w:num>
  <w:num w:numId="47" w16cid:durableId="2084138374">
    <w:abstractNumId w:val="3"/>
  </w:num>
  <w:num w:numId="48" w16cid:durableId="201551679">
    <w:abstractNumId w:val="8"/>
  </w:num>
  <w:num w:numId="49" w16cid:durableId="133641133">
    <w:abstractNumId w:val="4"/>
  </w:num>
  <w:num w:numId="50" w16cid:durableId="228076551">
    <w:abstractNumId w:val="5"/>
  </w:num>
  <w:num w:numId="51" w16cid:durableId="2078815626">
    <w:abstractNumId w:val="6"/>
  </w:num>
  <w:num w:numId="52" w16cid:durableId="1572934206">
    <w:abstractNumId w:val="7"/>
  </w:num>
  <w:num w:numId="53" w16cid:durableId="946692338">
    <w:abstractNumId w:val="9"/>
  </w:num>
  <w:num w:numId="54" w16cid:durableId="1551845003">
    <w:abstractNumId w:val="0"/>
  </w:num>
  <w:num w:numId="55" w16cid:durableId="1888292875">
    <w:abstractNumId w:val="1"/>
  </w:num>
  <w:num w:numId="56" w16cid:durableId="1416240941">
    <w:abstractNumId w:val="2"/>
  </w:num>
  <w:num w:numId="57" w16cid:durableId="1900750037">
    <w:abstractNumId w:val="3"/>
  </w:num>
  <w:num w:numId="58" w16cid:durableId="1776288393">
    <w:abstractNumId w:val="8"/>
  </w:num>
  <w:num w:numId="59" w16cid:durableId="104473072">
    <w:abstractNumId w:val="4"/>
  </w:num>
  <w:num w:numId="60" w16cid:durableId="120850059">
    <w:abstractNumId w:val="5"/>
  </w:num>
  <w:num w:numId="61" w16cid:durableId="372116922">
    <w:abstractNumId w:val="6"/>
  </w:num>
  <w:num w:numId="62" w16cid:durableId="1553886375">
    <w:abstractNumId w:val="7"/>
  </w:num>
  <w:num w:numId="63" w16cid:durableId="765535430">
    <w:abstractNumId w:val="9"/>
  </w:num>
  <w:num w:numId="64" w16cid:durableId="622810725">
    <w:abstractNumId w:val="0"/>
  </w:num>
  <w:num w:numId="65" w16cid:durableId="243489195">
    <w:abstractNumId w:val="1"/>
  </w:num>
  <w:num w:numId="66" w16cid:durableId="869801295">
    <w:abstractNumId w:val="2"/>
  </w:num>
  <w:num w:numId="67" w16cid:durableId="1697921671">
    <w:abstractNumId w:val="3"/>
  </w:num>
  <w:num w:numId="68" w16cid:durableId="6294751">
    <w:abstractNumId w:val="8"/>
  </w:num>
  <w:num w:numId="69" w16cid:durableId="1275013696">
    <w:abstractNumId w:val="4"/>
  </w:num>
  <w:num w:numId="70" w16cid:durableId="1510217642">
    <w:abstractNumId w:val="5"/>
  </w:num>
  <w:num w:numId="71" w16cid:durableId="131948180">
    <w:abstractNumId w:val="6"/>
  </w:num>
  <w:num w:numId="72" w16cid:durableId="1545868712">
    <w:abstractNumId w:val="7"/>
  </w:num>
  <w:num w:numId="73" w16cid:durableId="1296061659">
    <w:abstractNumId w:val="9"/>
  </w:num>
  <w:num w:numId="74" w16cid:durableId="1890334632">
    <w:abstractNumId w:val="0"/>
  </w:num>
  <w:num w:numId="75" w16cid:durableId="70927039">
    <w:abstractNumId w:val="1"/>
  </w:num>
  <w:num w:numId="76" w16cid:durableId="1447696557">
    <w:abstractNumId w:val="2"/>
  </w:num>
  <w:num w:numId="77" w16cid:durableId="501050858">
    <w:abstractNumId w:val="3"/>
  </w:num>
  <w:num w:numId="78" w16cid:durableId="2143569313">
    <w:abstractNumId w:val="8"/>
  </w:num>
  <w:num w:numId="79" w16cid:durableId="35742501">
    <w:abstractNumId w:val="4"/>
  </w:num>
  <w:num w:numId="80" w16cid:durableId="953902394">
    <w:abstractNumId w:val="5"/>
  </w:num>
  <w:num w:numId="81" w16cid:durableId="1339111689">
    <w:abstractNumId w:val="6"/>
  </w:num>
  <w:num w:numId="82" w16cid:durableId="1893810896">
    <w:abstractNumId w:val="7"/>
  </w:num>
  <w:num w:numId="83" w16cid:durableId="513811746">
    <w:abstractNumId w:val="9"/>
  </w:num>
  <w:num w:numId="84" w16cid:durableId="851459985">
    <w:abstractNumId w:val="0"/>
  </w:num>
  <w:num w:numId="85" w16cid:durableId="1528056930">
    <w:abstractNumId w:val="1"/>
  </w:num>
  <w:num w:numId="86" w16cid:durableId="1366902348">
    <w:abstractNumId w:val="2"/>
  </w:num>
  <w:num w:numId="87" w16cid:durableId="616839890">
    <w:abstractNumId w:val="3"/>
  </w:num>
  <w:num w:numId="88" w16cid:durableId="957180223">
    <w:abstractNumId w:val="8"/>
  </w:num>
  <w:num w:numId="89" w16cid:durableId="938759843">
    <w:abstractNumId w:val="4"/>
  </w:num>
  <w:num w:numId="90" w16cid:durableId="707297094">
    <w:abstractNumId w:val="5"/>
  </w:num>
  <w:num w:numId="91" w16cid:durableId="587231400">
    <w:abstractNumId w:val="6"/>
  </w:num>
  <w:num w:numId="92" w16cid:durableId="1600136448">
    <w:abstractNumId w:val="7"/>
  </w:num>
  <w:num w:numId="93" w16cid:durableId="2053264484">
    <w:abstractNumId w:val="9"/>
  </w:num>
  <w:num w:numId="94" w16cid:durableId="779300503">
    <w:abstractNumId w:val="0"/>
  </w:num>
  <w:num w:numId="95" w16cid:durableId="1897473847">
    <w:abstractNumId w:val="1"/>
  </w:num>
  <w:num w:numId="96" w16cid:durableId="247275733">
    <w:abstractNumId w:val="2"/>
  </w:num>
  <w:num w:numId="97" w16cid:durableId="1052967843">
    <w:abstractNumId w:val="3"/>
  </w:num>
  <w:num w:numId="98" w16cid:durableId="178206114">
    <w:abstractNumId w:val="8"/>
  </w:num>
  <w:num w:numId="99" w16cid:durableId="12458909">
    <w:abstractNumId w:val="4"/>
  </w:num>
  <w:num w:numId="100" w16cid:durableId="996884248">
    <w:abstractNumId w:val="5"/>
  </w:num>
  <w:num w:numId="101" w16cid:durableId="1133642941">
    <w:abstractNumId w:val="6"/>
  </w:num>
  <w:num w:numId="102" w16cid:durableId="115027906">
    <w:abstractNumId w:val="7"/>
  </w:num>
  <w:num w:numId="103" w16cid:durableId="80106397">
    <w:abstractNumId w:val="9"/>
  </w:num>
  <w:num w:numId="104" w16cid:durableId="150565211">
    <w:abstractNumId w:val="0"/>
  </w:num>
  <w:num w:numId="105" w16cid:durableId="607547638">
    <w:abstractNumId w:val="1"/>
  </w:num>
  <w:num w:numId="106" w16cid:durableId="189073357">
    <w:abstractNumId w:val="2"/>
  </w:num>
  <w:num w:numId="107" w16cid:durableId="1815415562">
    <w:abstractNumId w:val="3"/>
  </w:num>
  <w:num w:numId="108" w16cid:durableId="519121735">
    <w:abstractNumId w:val="8"/>
  </w:num>
  <w:num w:numId="109" w16cid:durableId="901212514">
    <w:abstractNumId w:val="4"/>
  </w:num>
  <w:num w:numId="110" w16cid:durableId="1483110094">
    <w:abstractNumId w:val="5"/>
  </w:num>
  <w:num w:numId="111" w16cid:durableId="1968394164">
    <w:abstractNumId w:val="6"/>
  </w:num>
  <w:num w:numId="112" w16cid:durableId="986711327">
    <w:abstractNumId w:val="7"/>
  </w:num>
  <w:num w:numId="113" w16cid:durableId="268509192">
    <w:abstractNumId w:val="9"/>
  </w:num>
  <w:num w:numId="114" w16cid:durableId="1417559711">
    <w:abstractNumId w:val="0"/>
  </w:num>
  <w:num w:numId="115" w16cid:durableId="1208294954">
    <w:abstractNumId w:val="1"/>
  </w:num>
  <w:num w:numId="116" w16cid:durableId="77096218">
    <w:abstractNumId w:val="2"/>
  </w:num>
  <w:num w:numId="117" w16cid:durableId="713044956">
    <w:abstractNumId w:val="3"/>
  </w:num>
  <w:num w:numId="118" w16cid:durableId="1224216561">
    <w:abstractNumId w:val="8"/>
  </w:num>
  <w:num w:numId="119" w16cid:durableId="1081489376">
    <w:abstractNumId w:val="4"/>
  </w:num>
  <w:num w:numId="120" w16cid:durableId="1541822828">
    <w:abstractNumId w:val="5"/>
  </w:num>
  <w:num w:numId="121" w16cid:durableId="835147538">
    <w:abstractNumId w:val="6"/>
  </w:num>
  <w:num w:numId="122" w16cid:durableId="1715884203">
    <w:abstractNumId w:val="7"/>
  </w:num>
  <w:num w:numId="123" w16cid:durableId="1963338963">
    <w:abstractNumId w:val="9"/>
  </w:num>
  <w:num w:numId="124" w16cid:durableId="1068653720">
    <w:abstractNumId w:val="0"/>
  </w:num>
  <w:num w:numId="125" w16cid:durableId="1468203644">
    <w:abstractNumId w:val="1"/>
  </w:num>
  <w:num w:numId="126" w16cid:durableId="1618874120">
    <w:abstractNumId w:val="2"/>
  </w:num>
  <w:num w:numId="127" w16cid:durableId="1007908481">
    <w:abstractNumId w:val="3"/>
  </w:num>
  <w:num w:numId="128" w16cid:durableId="868763520">
    <w:abstractNumId w:val="8"/>
  </w:num>
  <w:num w:numId="129" w16cid:durableId="1096246746">
    <w:abstractNumId w:val="4"/>
  </w:num>
  <w:num w:numId="130" w16cid:durableId="1532915946">
    <w:abstractNumId w:val="5"/>
  </w:num>
  <w:num w:numId="131" w16cid:durableId="350572214">
    <w:abstractNumId w:val="6"/>
  </w:num>
  <w:num w:numId="132" w16cid:durableId="1338387825">
    <w:abstractNumId w:val="7"/>
  </w:num>
  <w:num w:numId="133" w16cid:durableId="839852547">
    <w:abstractNumId w:val="9"/>
  </w:num>
  <w:num w:numId="134" w16cid:durableId="2064135245">
    <w:abstractNumId w:val="0"/>
  </w:num>
  <w:num w:numId="135" w16cid:durableId="1830902441">
    <w:abstractNumId w:val="1"/>
  </w:num>
  <w:num w:numId="136" w16cid:durableId="1410735122">
    <w:abstractNumId w:val="2"/>
  </w:num>
  <w:num w:numId="137" w16cid:durableId="877666622">
    <w:abstractNumId w:val="3"/>
  </w:num>
  <w:num w:numId="138" w16cid:durableId="445582067">
    <w:abstractNumId w:val="8"/>
  </w:num>
  <w:num w:numId="139" w16cid:durableId="601104989">
    <w:abstractNumId w:val="4"/>
  </w:num>
  <w:num w:numId="140" w16cid:durableId="1614707289">
    <w:abstractNumId w:val="5"/>
  </w:num>
  <w:num w:numId="141" w16cid:durableId="248974930">
    <w:abstractNumId w:val="6"/>
  </w:num>
  <w:num w:numId="142" w16cid:durableId="992028921">
    <w:abstractNumId w:val="7"/>
  </w:num>
  <w:num w:numId="143" w16cid:durableId="854076743">
    <w:abstractNumId w:val="9"/>
  </w:num>
  <w:num w:numId="144" w16cid:durableId="1560047129">
    <w:abstractNumId w:val="0"/>
  </w:num>
  <w:num w:numId="145" w16cid:durableId="981811698">
    <w:abstractNumId w:val="1"/>
  </w:num>
  <w:num w:numId="146" w16cid:durableId="1038044458">
    <w:abstractNumId w:val="2"/>
  </w:num>
  <w:num w:numId="147" w16cid:durableId="1476990755">
    <w:abstractNumId w:val="3"/>
  </w:num>
  <w:num w:numId="148" w16cid:durableId="1577324108">
    <w:abstractNumId w:val="8"/>
  </w:num>
  <w:num w:numId="149" w16cid:durableId="1722247926">
    <w:abstractNumId w:val="4"/>
  </w:num>
  <w:num w:numId="150" w16cid:durableId="1759248776">
    <w:abstractNumId w:val="5"/>
  </w:num>
  <w:num w:numId="151" w16cid:durableId="1259604805">
    <w:abstractNumId w:val="6"/>
  </w:num>
  <w:num w:numId="152" w16cid:durableId="1122770706">
    <w:abstractNumId w:val="7"/>
  </w:num>
  <w:num w:numId="153" w16cid:durableId="1091856045">
    <w:abstractNumId w:val="9"/>
  </w:num>
  <w:num w:numId="154" w16cid:durableId="18509038">
    <w:abstractNumId w:val="0"/>
  </w:num>
  <w:num w:numId="155" w16cid:durableId="433524858">
    <w:abstractNumId w:val="1"/>
  </w:num>
  <w:num w:numId="156" w16cid:durableId="1734699741">
    <w:abstractNumId w:val="2"/>
  </w:num>
  <w:num w:numId="157" w16cid:durableId="1998605909">
    <w:abstractNumId w:val="3"/>
  </w:num>
  <w:num w:numId="158" w16cid:durableId="928974737">
    <w:abstractNumId w:val="8"/>
  </w:num>
  <w:num w:numId="159" w16cid:durableId="700863593">
    <w:abstractNumId w:val="4"/>
  </w:num>
  <w:num w:numId="160" w16cid:durableId="826362461">
    <w:abstractNumId w:val="5"/>
  </w:num>
  <w:num w:numId="161" w16cid:durableId="1688362088">
    <w:abstractNumId w:val="6"/>
  </w:num>
  <w:num w:numId="162" w16cid:durableId="963074111">
    <w:abstractNumId w:val="7"/>
  </w:num>
  <w:num w:numId="163" w16cid:durableId="1501192278">
    <w:abstractNumId w:val="9"/>
  </w:num>
  <w:num w:numId="164" w16cid:durableId="1590966619">
    <w:abstractNumId w:val="0"/>
  </w:num>
  <w:num w:numId="165" w16cid:durableId="354038520">
    <w:abstractNumId w:val="1"/>
  </w:num>
  <w:num w:numId="166" w16cid:durableId="1724677052">
    <w:abstractNumId w:val="2"/>
  </w:num>
  <w:num w:numId="167" w16cid:durableId="1549874537">
    <w:abstractNumId w:val="3"/>
  </w:num>
  <w:num w:numId="168" w16cid:durableId="689992871">
    <w:abstractNumId w:val="8"/>
  </w:num>
  <w:num w:numId="169" w16cid:durableId="1372267979">
    <w:abstractNumId w:val="4"/>
  </w:num>
  <w:num w:numId="170" w16cid:durableId="158086658">
    <w:abstractNumId w:val="5"/>
  </w:num>
  <w:num w:numId="171" w16cid:durableId="1702319131">
    <w:abstractNumId w:val="6"/>
  </w:num>
  <w:num w:numId="172" w16cid:durableId="513032987">
    <w:abstractNumId w:val="7"/>
  </w:num>
  <w:num w:numId="173" w16cid:durableId="492599855">
    <w:abstractNumId w:val="9"/>
  </w:num>
  <w:num w:numId="174" w16cid:durableId="1759711495">
    <w:abstractNumId w:val="0"/>
  </w:num>
  <w:num w:numId="175" w16cid:durableId="440148489">
    <w:abstractNumId w:val="1"/>
  </w:num>
  <w:num w:numId="176" w16cid:durableId="475612891">
    <w:abstractNumId w:val="2"/>
  </w:num>
  <w:num w:numId="177" w16cid:durableId="592278244">
    <w:abstractNumId w:val="3"/>
  </w:num>
  <w:num w:numId="178" w16cid:durableId="1356267737">
    <w:abstractNumId w:val="8"/>
  </w:num>
  <w:num w:numId="179" w16cid:durableId="1400904745">
    <w:abstractNumId w:val="4"/>
  </w:num>
  <w:num w:numId="180" w16cid:durableId="506292365">
    <w:abstractNumId w:val="5"/>
  </w:num>
  <w:num w:numId="181" w16cid:durableId="652149064">
    <w:abstractNumId w:val="6"/>
  </w:num>
  <w:num w:numId="182" w16cid:durableId="2105758910">
    <w:abstractNumId w:val="7"/>
  </w:num>
  <w:num w:numId="183" w16cid:durableId="850413881">
    <w:abstractNumId w:val="9"/>
  </w:num>
  <w:num w:numId="184" w16cid:durableId="945695011">
    <w:abstractNumId w:val="0"/>
  </w:num>
  <w:num w:numId="185" w16cid:durableId="1543863058">
    <w:abstractNumId w:val="1"/>
  </w:num>
  <w:num w:numId="186" w16cid:durableId="298388936">
    <w:abstractNumId w:val="2"/>
  </w:num>
  <w:num w:numId="187" w16cid:durableId="1716660362">
    <w:abstractNumId w:val="3"/>
  </w:num>
  <w:num w:numId="188" w16cid:durableId="189684635">
    <w:abstractNumId w:val="8"/>
  </w:num>
  <w:num w:numId="189" w16cid:durableId="1579361038">
    <w:abstractNumId w:val="4"/>
  </w:num>
  <w:num w:numId="190" w16cid:durableId="1458178527">
    <w:abstractNumId w:val="5"/>
  </w:num>
  <w:num w:numId="191" w16cid:durableId="622074655">
    <w:abstractNumId w:val="6"/>
  </w:num>
  <w:num w:numId="192" w16cid:durableId="1786656327">
    <w:abstractNumId w:val="7"/>
  </w:num>
  <w:num w:numId="193" w16cid:durableId="2063404618">
    <w:abstractNumId w:val="9"/>
  </w:num>
  <w:num w:numId="194" w16cid:durableId="256912967">
    <w:abstractNumId w:val="0"/>
  </w:num>
  <w:num w:numId="195" w16cid:durableId="130447957">
    <w:abstractNumId w:val="1"/>
  </w:num>
  <w:num w:numId="196" w16cid:durableId="838153152">
    <w:abstractNumId w:val="2"/>
  </w:num>
  <w:num w:numId="197" w16cid:durableId="1196652669">
    <w:abstractNumId w:val="3"/>
  </w:num>
  <w:num w:numId="198" w16cid:durableId="1286541611">
    <w:abstractNumId w:val="8"/>
  </w:num>
  <w:num w:numId="199" w16cid:durableId="604271171">
    <w:abstractNumId w:val="4"/>
  </w:num>
  <w:num w:numId="200" w16cid:durableId="1351953193">
    <w:abstractNumId w:val="5"/>
  </w:num>
  <w:num w:numId="201" w16cid:durableId="904878988">
    <w:abstractNumId w:val="6"/>
  </w:num>
  <w:num w:numId="202" w16cid:durableId="670377570">
    <w:abstractNumId w:val="7"/>
  </w:num>
  <w:num w:numId="203" w16cid:durableId="781220347">
    <w:abstractNumId w:val="9"/>
  </w:num>
  <w:num w:numId="204" w16cid:durableId="1545481340">
    <w:abstractNumId w:val="0"/>
  </w:num>
  <w:num w:numId="205" w16cid:durableId="1447119568">
    <w:abstractNumId w:val="1"/>
  </w:num>
  <w:num w:numId="206" w16cid:durableId="811678595">
    <w:abstractNumId w:val="2"/>
  </w:num>
  <w:num w:numId="207" w16cid:durableId="1247958583">
    <w:abstractNumId w:val="3"/>
  </w:num>
  <w:num w:numId="208" w16cid:durableId="760030010">
    <w:abstractNumId w:val="8"/>
  </w:num>
  <w:num w:numId="209" w16cid:durableId="343241939">
    <w:abstractNumId w:val="4"/>
  </w:num>
  <w:num w:numId="210" w16cid:durableId="1595094636">
    <w:abstractNumId w:val="5"/>
  </w:num>
  <w:num w:numId="211" w16cid:durableId="804203117">
    <w:abstractNumId w:val="6"/>
  </w:num>
  <w:num w:numId="212" w16cid:durableId="1403605207">
    <w:abstractNumId w:val="7"/>
  </w:num>
  <w:num w:numId="213" w16cid:durableId="608780547">
    <w:abstractNumId w:val="9"/>
  </w:num>
  <w:num w:numId="214" w16cid:durableId="903637267">
    <w:abstractNumId w:val="47"/>
  </w:num>
  <w:num w:numId="215" w16cid:durableId="119538798">
    <w:abstractNumId w:val="0"/>
  </w:num>
  <w:num w:numId="216" w16cid:durableId="1225288607">
    <w:abstractNumId w:val="1"/>
  </w:num>
  <w:num w:numId="217" w16cid:durableId="386492997">
    <w:abstractNumId w:val="2"/>
  </w:num>
  <w:num w:numId="218" w16cid:durableId="490103585">
    <w:abstractNumId w:val="3"/>
  </w:num>
  <w:num w:numId="219" w16cid:durableId="1119496111">
    <w:abstractNumId w:val="8"/>
  </w:num>
  <w:num w:numId="220" w16cid:durableId="1903831067">
    <w:abstractNumId w:val="4"/>
  </w:num>
  <w:num w:numId="221" w16cid:durableId="1830753804">
    <w:abstractNumId w:val="5"/>
  </w:num>
  <w:num w:numId="222" w16cid:durableId="214237966">
    <w:abstractNumId w:val="6"/>
  </w:num>
  <w:num w:numId="223" w16cid:durableId="1113554223">
    <w:abstractNumId w:val="7"/>
  </w:num>
  <w:num w:numId="224" w16cid:durableId="1681197838">
    <w:abstractNumId w:val="9"/>
  </w:num>
  <w:num w:numId="225" w16cid:durableId="659892252">
    <w:abstractNumId w:val="0"/>
  </w:num>
  <w:num w:numId="226" w16cid:durableId="2016952100">
    <w:abstractNumId w:val="1"/>
  </w:num>
  <w:num w:numId="227" w16cid:durableId="881210883">
    <w:abstractNumId w:val="2"/>
  </w:num>
  <w:num w:numId="228" w16cid:durableId="1438328569">
    <w:abstractNumId w:val="3"/>
  </w:num>
  <w:num w:numId="229" w16cid:durableId="1222403113">
    <w:abstractNumId w:val="8"/>
  </w:num>
  <w:num w:numId="230" w16cid:durableId="632830711">
    <w:abstractNumId w:val="4"/>
  </w:num>
  <w:num w:numId="231" w16cid:durableId="906960532">
    <w:abstractNumId w:val="5"/>
  </w:num>
  <w:num w:numId="232" w16cid:durableId="494805289">
    <w:abstractNumId w:val="6"/>
  </w:num>
  <w:num w:numId="233" w16cid:durableId="1017656895">
    <w:abstractNumId w:val="7"/>
  </w:num>
  <w:num w:numId="234" w16cid:durableId="1137800355">
    <w:abstractNumId w:val="9"/>
  </w:num>
  <w:num w:numId="235" w16cid:durableId="1639263648">
    <w:abstractNumId w:val="0"/>
  </w:num>
  <w:num w:numId="236" w16cid:durableId="1468358772">
    <w:abstractNumId w:val="1"/>
  </w:num>
  <w:num w:numId="237" w16cid:durableId="319700383">
    <w:abstractNumId w:val="2"/>
  </w:num>
  <w:num w:numId="238" w16cid:durableId="2073961968">
    <w:abstractNumId w:val="3"/>
  </w:num>
  <w:num w:numId="239" w16cid:durableId="1708145285">
    <w:abstractNumId w:val="8"/>
  </w:num>
  <w:num w:numId="240" w16cid:durableId="486478653">
    <w:abstractNumId w:val="4"/>
  </w:num>
  <w:num w:numId="241" w16cid:durableId="441920601">
    <w:abstractNumId w:val="5"/>
  </w:num>
  <w:num w:numId="242" w16cid:durableId="125242084">
    <w:abstractNumId w:val="6"/>
  </w:num>
  <w:num w:numId="243" w16cid:durableId="376053547">
    <w:abstractNumId w:val="7"/>
  </w:num>
  <w:num w:numId="244" w16cid:durableId="784891206">
    <w:abstractNumId w:val="9"/>
  </w:num>
  <w:num w:numId="245" w16cid:durableId="763301701">
    <w:abstractNumId w:val="63"/>
  </w:num>
  <w:num w:numId="246" w16cid:durableId="2091389705">
    <w:abstractNumId w:val="67"/>
  </w:num>
  <w:num w:numId="247" w16cid:durableId="1262687927">
    <w:abstractNumId w:val="27"/>
  </w:num>
  <w:num w:numId="248" w16cid:durableId="1726709598">
    <w:abstractNumId w:val="18"/>
  </w:num>
  <w:num w:numId="249" w16cid:durableId="574900530">
    <w:abstractNumId w:val="0"/>
  </w:num>
  <w:num w:numId="250" w16cid:durableId="1099452180">
    <w:abstractNumId w:val="1"/>
  </w:num>
  <w:num w:numId="251" w16cid:durableId="1416323551">
    <w:abstractNumId w:val="2"/>
  </w:num>
  <w:num w:numId="252" w16cid:durableId="737872361">
    <w:abstractNumId w:val="3"/>
  </w:num>
  <w:num w:numId="253" w16cid:durableId="1468543692">
    <w:abstractNumId w:val="8"/>
  </w:num>
  <w:num w:numId="254" w16cid:durableId="1163350578">
    <w:abstractNumId w:val="4"/>
  </w:num>
  <w:num w:numId="255" w16cid:durableId="634137384">
    <w:abstractNumId w:val="5"/>
  </w:num>
  <w:num w:numId="256" w16cid:durableId="2039039473">
    <w:abstractNumId w:val="6"/>
  </w:num>
  <w:num w:numId="257" w16cid:durableId="819659790">
    <w:abstractNumId w:val="7"/>
  </w:num>
  <w:num w:numId="258" w16cid:durableId="2027175834">
    <w:abstractNumId w:val="9"/>
  </w:num>
  <w:num w:numId="259" w16cid:durableId="268397983">
    <w:abstractNumId w:val="0"/>
  </w:num>
  <w:num w:numId="260" w16cid:durableId="1834252937">
    <w:abstractNumId w:val="1"/>
  </w:num>
  <w:num w:numId="261" w16cid:durableId="1375082091">
    <w:abstractNumId w:val="2"/>
  </w:num>
  <w:num w:numId="262" w16cid:durableId="52849552">
    <w:abstractNumId w:val="3"/>
  </w:num>
  <w:num w:numId="263" w16cid:durableId="410196555">
    <w:abstractNumId w:val="8"/>
  </w:num>
  <w:num w:numId="264" w16cid:durableId="1567182430">
    <w:abstractNumId w:val="4"/>
  </w:num>
  <w:num w:numId="265" w16cid:durableId="462968440">
    <w:abstractNumId w:val="5"/>
  </w:num>
  <w:num w:numId="266" w16cid:durableId="379742418">
    <w:abstractNumId w:val="6"/>
  </w:num>
  <w:num w:numId="267" w16cid:durableId="1958177438">
    <w:abstractNumId w:val="7"/>
  </w:num>
  <w:num w:numId="268" w16cid:durableId="684601180">
    <w:abstractNumId w:val="9"/>
  </w:num>
  <w:num w:numId="269" w16cid:durableId="2003310330">
    <w:abstractNumId w:val="0"/>
  </w:num>
  <w:num w:numId="270" w16cid:durableId="1241524862">
    <w:abstractNumId w:val="1"/>
  </w:num>
  <w:num w:numId="271" w16cid:durableId="1317955010">
    <w:abstractNumId w:val="2"/>
  </w:num>
  <w:num w:numId="272" w16cid:durableId="1191725715">
    <w:abstractNumId w:val="3"/>
  </w:num>
  <w:num w:numId="273" w16cid:durableId="363558372">
    <w:abstractNumId w:val="8"/>
  </w:num>
  <w:num w:numId="274" w16cid:durableId="1650744585">
    <w:abstractNumId w:val="4"/>
  </w:num>
  <w:num w:numId="275" w16cid:durableId="622728750">
    <w:abstractNumId w:val="5"/>
  </w:num>
  <w:num w:numId="276" w16cid:durableId="241571030">
    <w:abstractNumId w:val="6"/>
  </w:num>
  <w:num w:numId="277" w16cid:durableId="390274550">
    <w:abstractNumId w:val="7"/>
  </w:num>
  <w:num w:numId="278" w16cid:durableId="819004535">
    <w:abstractNumId w:val="9"/>
  </w:num>
  <w:num w:numId="279" w16cid:durableId="917908927">
    <w:abstractNumId w:val="0"/>
  </w:num>
  <w:num w:numId="280" w16cid:durableId="162670312">
    <w:abstractNumId w:val="1"/>
  </w:num>
  <w:num w:numId="281" w16cid:durableId="524253037">
    <w:abstractNumId w:val="2"/>
  </w:num>
  <w:num w:numId="282" w16cid:durableId="1252347513">
    <w:abstractNumId w:val="3"/>
  </w:num>
  <w:num w:numId="283" w16cid:durableId="1669746596">
    <w:abstractNumId w:val="8"/>
  </w:num>
  <w:num w:numId="284" w16cid:durableId="1922983495">
    <w:abstractNumId w:val="4"/>
  </w:num>
  <w:num w:numId="285" w16cid:durableId="1612279737">
    <w:abstractNumId w:val="5"/>
  </w:num>
  <w:num w:numId="286" w16cid:durableId="269971556">
    <w:abstractNumId w:val="6"/>
  </w:num>
  <w:num w:numId="287" w16cid:durableId="1448425082">
    <w:abstractNumId w:val="7"/>
  </w:num>
  <w:num w:numId="288" w16cid:durableId="1257443633">
    <w:abstractNumId w:val="9"/>
  </w:num>
  <w:num w:numId="289" w16cid:durableId="582764423">
    <w:abstractNumId w:val="0"/>
  </w:num>
  <w:num w:numId="290" w16cid:durableId="409885312">
    <w:abstractNumId w:val="1"/>
  </w:num>
  <w:num w:numId="291" w16cid:durableId="1345091822">
    <w:abstractNumId w:val="2"/>
  </w:num>
  <w:num w:numId="292" w16cid:durableId="1414470454">
    <w:abstractNumId w:val="3"/>
  </w:num>
  <w:num w:numId="293" w16cid:durableId="1873807254">
    <w:abstractNumId w:val="8"/>
  </w:num>
  <w:num w:numId="294" w16cid:durableId="99184624">
    <w:abstractNumId w:val="4"/>
  </w:num>
  <w:num w:numId="295" w16cid:durableId="544373246">
    <w:abstractNumId w:val="5"/>
  </w:num>
  <w:num w:numId="296" w16cid:durableId="242102944">
    <w:abstractNumId w:val="6"/>
  </w:num>
  <w:num w:numId="297" w16cid:durableId="1497186073">
    <w:abstractNumId w:val="7"/>
  </w:num>
  <w:num w:numId="298" w16cid:durableId="111100743">
    <w:abstractNumId w:val="9"/>
  </w:num>
  <w:num w:numId="299" w16cid:durableId="1868374089">
    <w:abstractNumId w:val="0"/>
  </w:num>
  <w:num w:numId="300" w16cid:durableId="1686514259">
    <w:abstractNumId w:val="1"/>
  </w:num>
  <w:num w:numId="301" w16cid:durableId="1028529866">
    <w:abstractNumId w:val="2"/>
  </w:num>
  <w:num w:numId="302" w16cid:durableId="429856497">
    <w:abstractNumId w:val="3"/>
  </w:num>
  <w:num w:numId="303" w16cid:durableId="508716874">
    <w:abstractNumId w:val="8"/>
  </w:num>
  <w:num w:numId="304" w16cid:durableId="661471062">
    <w:abstractNumId w:val="4"/>
  </w:num>
  <w:num w:numId="305" w16cid:durableId="996495135">
    <w:abstractNumId w:val="5"/>
  </w:num>
  <w:num w:numId="306" w16cid:durableId="95567542">
    <w:abstractNumId w:val="6"/>
  </w:num>
  <w:num w:numId="307" w16cid:durableId="1910996175">
    <w:abstractNumId w:val="7"/>
  </w:num>
  <w:num w:numId="308" w16cid:durableId="1944335945">
    <w:abstractNumId w:val="9"/>
  </w:num>
  <w:num w:numId="309" w16cid:durableId="1040133097">
    <w:abstractNumId w:val="0"/>
  </w:num>
  <w:num w:numId="310" w16cid:durableId="1251160813">
    <w:abstractNumId w:val="1"/>
  </w:num>
  <w:num w:numId="311" w16cid:durableId="182745876">
    <w:abstractNumId w:val="2"/>
  </w:num>
  <w:num w:numId="312" w16cid:durableId="1279725631">
    <w:abstractNumId w:val="3"/>
  </w:num>
  <w:num w:numId="313" w16cid:durableId="1492060854">
    <w:abstractNumId w:val="8"/>
  </w:num>
  <w:num w:numId="314" w16cid:durableId="664549694">
    <w:abstractNumId w:val="4"/>
  </w:num>
  <w:num w:numId="315" w16cid:durableId="1649627026">
    <w:abstractNumId w:val="5"/>
  </w:num>
  <w:num w:numId="316" w16cid:durableId="1088312969">
    <w:abstractNumId w:val="6"/>
  </w:num>
  <w:num w:numId="317" w16cid:durableId="570773706">
    <w:abstractNumId w:val="7"/>
  </w:num>
  <w:num w:numId="318" w16cid:durableId="1313750128">
    <w:abstractNumId w:val="9"/>
  </w:num>
  <w:num w:numId="319" w16cid:durableId="1031489129">
    <w:abstractNumId w:val="0"/>
  </w:num>
  <w:num w:numId="320" w16cid:durableId="814322">
    <w:abstractNumId w:val="1"/>
  </w:num>
  <w:num w:numId="321" w16cid:durableId="1887911926">
    <w:abstractNumId w:val="2"/>
  </w:num>
  <w:num w:numId="322" w16cid:durableId="181089778">
    <w:abstractNumId w:val="3"/>
  </w:num>
  <w:num w:numId="323" w16cid:durableId="668363341">
    <w:abstractNumId w:val="8"/>
  </w:num>
  <w:num w:numId="324" w16cid:durableId="827752152">
    <w:abstractNumId w:val="4"/>
  </w:num>
  <w:num w:numId="325" w16cid:durableId="1658075585">
    <w:abstractNumId w:val="5"/>
  </w:num>
  <w:num w:numId="326" w16cid:durableId="437411830">
    <w:abstractNumId w:val="6"/>
  </w:num>
  <w:num w:numId="327" w16cid:durableId="1276135061">
    <w:abstractNumId w:val="7"/>
  </w:num>
  <w:num w:numId="328" w16cid:durableId="1046181713">
    <w:abstractNumId w:val="9"/>
  </w:num>
  <w:num w:numId="329" w16cid:durableId="850871977">
    <w:abstractNumId w:val="0"/>
  </w:num>
  <w:num w:numId="330" w16cid:durableId="2036269382">
    <w:abstractNumId w:val="1"/>
  </w:num>
  <w:num w:numId="331" w16cid:durableId="1061947826">
    <w:abstractNumId w:val="2"/>
  </w:num>
  <w:num w:numId="332" w16cid:durableId="731927738">
    <w:abstractNumId w:val="3"/>
  </w:num>
  <w:num w:numId="333" w16cid:durableId="316081412">
    <w:abstractNumId w:val="8"/>
  </w:num>
  <w:num w:numId="334" w16cid:durableId="1334255911">
    <w:abstractNumId w:val="4"/>
  </w:num>
  <w:num w:numId="335" w16cid:durableId="758603072">
    <w:abstractNumId w:val="5"/>
  </w:num>
  <w:num w:numId="336" w16cid:durableId="1513907999">
    <w:abstractNumId w:val="6"/>
  </w:num>
  <w:num w:numId="337" w16cid:durableId="1105465911">
    <w:abstractNumId w:val="7"/>
  </w:num>
  <w:num w:numId="338" w16cid:durableId="1003048057">
    <w:abstractNumId w:val="9"/>
  </w:num>
  <w:num w:numId="339" w16cid:durableId="692342559">
    <w:abstractNumId w:val="0"/>
  </w:num>
  <w:num w:numId="340" w16cid:durableId="1179852457">
    <w:abstractNumId w:val="1"/>
  </w:num>
  <w:num w:numId="341" w16cid:durableId="403142872">
    <w:abstractNumId w:val="2"/>
  </w:num>
  <w:num w:numId="342" w16cid:durableId="1512720878">
    <w:abstractNumId w:val="3"/>
  </w:num>
  <w:num w:numId="343" w16cid:durableId="1503282062">
    <w:abstractNumId w:val="8"/>
  </w:num>
  <w:num w:numId="344" w16cid:durableId="1175532882">
    <w:abstractNumId w:val="4"/>
  </w:num>
  <w:num w:numId="345" w16cid:durableId="1106654208">
    <w:abstractNumId w:val="5"/>
  </w:num>
  <w:num w:numId="346" w16cid:durableId="964240625">
    <w:abstractNumId w:val="6"/>
  </w:num>
  <w:num w:numId="347" w16cid:durableId="233049795">
    <w:abstractNumId w:val="7"/>
  </w:num>
  <w:num w:numId="348" w16cid:durableId="1768769125">
    <w:abstractNumId w:val="9"/>
  </w:num>
  <w:num w:numId="349" w16cid:durableId="559292539">
    <w:abstractNumId w:val="0"/>
  </w:num>
  <w:num w:numId="350" w16cid:durableId="1571387868">
    <w:abstractNumId w:val="1"/>
  </w:num>
  <w:num w:numId="351" w16cid:durableId="1975064740">
    <w:abstractNumId w:val="2"/>
  </w:num>
  <w:num w:numId="352" w16cid:durableId="1243296579">
    <w:abstractNumId w:val="3"/>
  </w:num>
  <w:num w:numId="353" w16cid:durableId="1005354283">
    <w:abstractNumId w:val="8"/>
  </w:num>
  <w:num w:numId="354" w16cid:durableId="1817185057">
    <w:abstractNumId w:val="4"/>
  </w:num>
  <w:num w:numId="355" w16cid:durableId="1132213671">
    <w:abstractNumId w:val="5"/>
  </w:num>
  <w:num w:numId="356" w16cid:durableId="426267403">
    <w:abstractNumId w:val="6"/>
  </w:num>
  <w:num w:numId="357" w16cid:durableId="2092845771">
    <w:abstractNumId w:val="7"/>
  </w:num>
  <w:num w:numId="358" w16cid:durableId="1116215670">
    <w:abstractNumId w:val="9"/>
  </w:num>
  <w:num w:numId="359" w16cid:durableId="616253489">
    <w:abstractNumId w:val="0"/>
  </w:num>
  <w:num w:numId="360" w16cid:durableId="1142113612">
    <w:abstractNumId w:val="1"/>
  </w:num>
  <w:num w:numId="361" w16cid:durableId="327682283">
    <w:abstractNumId w:val="2"/>
  </w:num>
  <w:num w:numId="362" w16cid:durableId="1994798701">
    <w:abstractNumId w:val="3"/>
  </w:num>
  <w:num w:numId="363" w16cid:durableId="60176844">
    <w:abstractNumId w:val="8"/>
  </w:num>
  <w:num w:numId="364" w16cid:durableId="2141651319">
    <w:abstractNumId w:val="4"/>
  </w:num>
  <w:num w:numId="365" w16cid:durableId="916406625">
    <w:abstractNumId w:val="5"/>
  </w:num>
  <w:num w:numId="366" w16cid:durableId="732391459">
    <w:abstractNumId w:val="6"/>
  </w:num>
  <w:num w:numId="367" w16cid:durableId="1072042166">
    <w:abstractNumId w:val="7"/>
  </w:num>
  <w:num w:numId="368" w16cid:durableId="637607131">
    <w:abstractNumId w:val="9"/>
  </w:num>
  <w:num w:numId="369" w16cid:durableId="299505148">
    <w:abstractNumId w:val="0"/>
  </w:num>
  <w:num w:numId="370" w16cid:durableId="750080568">
    <w:abstractNumId w:val="1"/>
  </w:num>
  <w:num w:numId="371" w16cid:durableId="962273965">
    <w:abstractNumId w:val="2"/>
  </w:num>
  <w:num w:numId="372" w16cid:durableId="67770124">
    <w:abstractNumId w:val="3"/>
  </w:num>
  <w:num w:numId="373" w16cid:durableId="921915063">
    <w:abstractNumId w:val="8"/>
  </w:num>
  <w:num w:numId="374" w16cid:durableId="346181525">
    <w:abstractNumId w:val="4"/>
  </w:num>
  <w:num w:numId="375" w16cid:durableId="835878639">
    <w:abstractNumId w:val="5"/>
  </w:num>
  <w:num w:numId="376" w16cid:durableId="238911074">
    <w:abstractNumId w:val="6"/>
  </w:num>
  <w:num w:numId="377" w16cid:durableId="1931236166">
    <w:abstractNumId w:val="7"/>
  </w:num>
  <w:num w:numId="378" w16cid:durableId="1115364626">
    <w:abstractNumId w:val="9"/>
  </w:num>
  <w:num w:numId="379" w16cid:durableId="1763453769">
    <w:abstractNumId w:val="0"/>
  </w:num>
  <w:num w:numId="380" w16cid:durableId="762727368">
    <w:abstractNumId w:val="1"/>
  </w:num>
  <w:num w:numId="381" w16cid:durableId="951323074">
    <w:abstractNumId w:val="2"/>
  </w:num>
  <w:num w:numId="382" w16cid:durableId="1570191516">
    <w:abstractNumId w:val="3"/>
  </w:num>
  <w:num w:numId="383" w16cid:durableId="466237490">
    <w:abstractNumId w:val="8"/>
  </w:num>
  <w:num w:numId="384" w16cid:durableId="947741640">
    <w:abstractNumId w:val="4"/>
  </w:num>
  <w:num w:numId="385" w16cid:durableId="92559933">
    <w:abstractNumId w:val="5"/>
  </w:num>
  <w:num w:numId="386" w16cid:durableId="1035304673">
    <w:abstractNumId w:val="6"/>
  </w:num>
  <w:num w:numId="387" w16cid:durableId="1055012956">
    <w:abstractNumId w:val="7"/>
  </w:num>
  <w:num w:numId="388" w16cid:durableId="1913615335">
    <w:abstractNumId w:val="9"/>
  </w:num>
  <w:num w:numId="389" w16cid:durableId="2048942820">
    <w:abstractNumId w:val="0"/>
  </w:num>
  <w:num w:numId="390" w16cid:durableId="1556745231">
    <w:abstractNumId w:val="1"/>
  </w:num>
  <w:num w:numId="391" w16cid:durableId="892235004">
    <w:abstractNumId w:val="2"/>
  </w:num>
  <w:num w:numId="392" w16cid:durableId="606736828">
    <w:abstractNumId w:val="3"/>
  </w:num>
  <w:num w:numId="393" w16cid:durableId="356933961">
    <w:abstractNumId w:val="8"/>
  </w:num>
  <w:num w:numId="394" w16cid:durableId="2066176500">
    <w:abstractNumId w:val="4"/>
  </w:num>
  <w:num w:numId="395" w16cid:durableId="2138792104">
    <w:abstractNumId w:val="5"/>
  </w:num>
  <w:num w:numId="396" w16cid:durableId="336229659">
    <w:abstractNumId w:val="6"/>
  </w:num>
  <w:num w:numId="397" w16cid:durableId="1595628875">
    <w:abstractNumId w:val="7"/>
  </w:num>
  <w:num w:numId="398" w16cid:durableId="393897782">
    <w:abstractNumId w:val="9"/>
  </w:num>
  <w:num w:numId="399" w16cid:durableId="957220788">
    <w:abstractNumId w:val="0"/>
  </w:num>
  <w:num w:numId="400" w16cid:durableId="1254822092">
    <w:abstractNumId w:val="1"/>
  </w:num>
  <w:num w:numId="401" w16cid:durableId="998072883">
    <w:abstractNumId w:val="2"/>
  </w:num>
  <w:num w:numId="402" w16cid:durableId="535973778">
    <w:abstractNumId w:val="3"/>
  </w:num>
  <w:num w:numId="403" w16cid:durableId="213154695">
    <w:abstractNumId w:val="8"/>
  </w:num>
  <w:num w:numId="404" w16cid:durableId="297032184">
    <w:abstractNumId w:val="4"/>
  </w:num>
  <w:num w:numId="405" w16cid:durableId="1203399367">
    <w:abstractNumId w:val="5"/>
  </w:num>
  <w:num w:numId="406" w16cid:durableId="1284386009">
    <w:abstractNumId w:val="6"/>
  </w:num>
  <w:num w:numId="407" w16cid:durableId="1907839066">
    <w:abstractNumId w:val="7"/>
  </w:num>
  <w:num w:numId="408" w16cid:durableId="169488278">
    <w:abstractNumId w:val="9"/>
  </w:num>
  <w:num w:numId="409" w16cid:durableId="1439984955">
    <w:abstractNumId w:val="0"/>
  </w:num>
  <w:num w:numId="410" w16cid:durableId="633175557">
    <w:abstractNumId w:val="1"/>
  </w:num>
  <w:num w:numId="411" w16cid:durableId="1313557361">
    <w:abstractNumId w:val="2"/>
  </w:num>
  <w:num w:numId="412" w16cid:durableId="1894583048">
    <w:abstractNumId w:val="3"/>
  </w:num>
  <w:num w:numId="413" w16cid:durableId="2085715191">
    <w:abstractNumId w:val="8"/>
  </w:num>
  <w:num w:numId="414" w16cid:durableId="1866211888">
    <w:abstractNumId w:val="4"/>
  </w:num>
  <w:num w:numId="415" w16cid:durableId="942107006">
    <w:abstractNumId w:val="5"/>
  </w:num>
  <w:num w:numId="416" w16cid:durableId="1472744311">
    <w:abstractNumId w:val="6"/>
  </w:num>
  <w:num w:numId="417" w16cid:durableId="699934819">
    <w:abstractNumId w:val="7"/>
  </w:num>
  <w:num w:numId="418" w16cid:durableId="475801101">
    <w:abstractNumId w:val="9"/>
  </w:num>
  <w:num w:numId="419" w16cid:durableId="1077939162">
    <w:abstractNumId w:val="0"/>
  </w:num>
  <w:num w:numId="420" w16cid:durableId="113911031">
    <w:abstractNumId w:val="1"/>
  </w:num>
  <w:num w:numId="421" w16cid:durableId="1220558975">
    <w:abstractNumId w:val="2"/>
  </w:num>
  <w:num w:numId="422" w16cid:durableId="2100787428">
    <w:abstractNumId w:val="3"/>
  </w:num>
  <w:num w:numId="423" w16cid:durableId="561671984">
    <w:abstractNumId w:val="8"/>
  </w:num>
  <w:num w:numId="424" w16cid:durableId="713579414">
    <w:abstractNumId w:val="4"/>
  </w:num>
  <w:num w:numId="425" w16cid:durableId="1759984932">
    <w:abstractNumId w:val="5"/>
  </w:num>
  <w:num w:numId="426" w16cid:durableId="67895620">
    <w:abstractNumId w:val="6"/>
  </w:num>
  <w:num w:numId="427" w16cid:durableId="669403856">
    <w:abstractNumId w:val="7"/>
  </w:num>
  <w:num w:numId="428" w16cid:durableId="1196116582">
    <w:abstractNumId w:val="9"/>
  </w:num>
  <w:num w:numId="429" w16cid:durableId="1364525705">
    <w:abstractNumId w:val="62"/>
  </w:num>
  <w:num w:numId="430" w16cid:durableId="524560573">
    <w:abstractNumId w:val="22"/>
  </w:num>
  <w:num w:numId="431" w16cid:durableId="409929452">
    <w:abstractNumId w:val="43"/>
  </w:num>
  <w:num w:numId="432" w16cid:durableId="992493224">
    <w:abstractNumId w:val="61"/>
  </w:num>
  <w:num w:numId="433" w16cid:durableId="630981461">
    <w:abstractNumId w:val="19"/>
  </w:num>
  <w:num w:numId="434" w16cid:durableId="164173696">
    <w:abstractNumId w:val="42"/>
  </w:num>
  <w:num w:numId="435" w16cid:durableId="188492488">
    <w:abstractNumId w:val="66"/>
  </w:num>
  <w:num w:numId="436" w16cid:durableId="1594246642">
    <w:abstractNumId w:val="14"/>
  </w:num>
  <w:num w:numId="437" w16cid:durableId="1586068273">
    <w:abstractNumId w:val="51"/>
  </w:num>
  <w:num w:numId="438" w16cid:durableId="620301754">
    <w:abstractNumId w:val="39"/>
  </w:num>
  <w:num w:numId="439" w16cid:durableId="2091076298">
    <w:abstractNumId w:val="65"/>
  </w:num>
  <w:num w:numId="440" w16cid:durableId="1036930393">
    <w:abstractNumId w:val="13"/>
  </w:num>
  <w:num w:numId="441" w16cid:durableId="554201511">
    <w:abstractNumId w:val="64"/>
  </w:num>
  <w:num w:numId="442" w16cid:durableId="1658267682">
    <w:abstractNumId w:val="44"/>
  </w:num>
  <w:num w:numId="443" w16cid:durableId="260652420">
    <w:abstractNumId w:val="26"/>
  </w:num>
  <w:num w:numId="444" w16cid:durableId="2000578946">
    <w:abstractNumId w:val="59"/>
  </w:num>
  <w:num w:numId="445" w16cid:durableId="312485074">
    <w:abstractNumId w:val="36"/>
  </w:num>
  <w:num w:numId="446" w16cid:durableId="593515793">
    <w:abstractNumId w:val="30"/>
  </w:num>
  <w:num w:numId="447" w16cid:durableId="189882194">
    <w:abstractNumId w:val="20"/>
  </w:num>
  <w:num w:numId="448" w16cid:durableId="1893612444">
    <w:abstractNumId w:val="17"/>
  </w:num>
  <w:num w:numId="449" w16cid:durableId="2057660397">
    <w:abstractNumId w:val="37"/>
  </w:num>
  <w:num w:numId="450" w16cid:durableId="71120639">
    <w:abstractNumId w:val="24"/>
  </w:num>
  <w:num w:numId="451" w16cid:durableId="604505610">
    <w:abstractNumId w:val="49"/>
  </w:num>
  <w:num w:numId="452" w16cid:durableId="1872840677">
    <w:abstractNumId w:val="55"/>
  </w:num>
  <w:num w:numId="453" w16cid:durableId="2037196920">
    <w:abstractNumId w:val="35"/>
  </w:num>
  <w:num w:numId="454" w16cid:durableId="1286353772">
    <w:abstractNumId w:val="58"/>
  </w:num>
  <w:num w:numId="455" w16cid:durableId="1068385355">
    <w:abstractNumId w:val="29"/>
  </w:num>
  <w:num w:numId="456" w16cid:durableId="1942301523">
    <w:abstractNumId w:val="41"/>
  </w:num>
  <w:num w:numId="457" w16cid:durableId="425853775">
    <w:abstractNumId w:val="32"/>
  </w:num>
  <w:num w:numId="458" w16cid:durableId="132875377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31E"/>
    <w:rsid w:val="00002668"/>
    <w:rsid w:val="00003743"/>
    <w:rsid w:val="000077FA"/>
    <w:rsid w:val="0001053B"/>
    <w:rsid w:val="00011096"/>
    <w:rsid w:val="00012782"/>
    <w:rsid w:val="0001619B"/>
    <w:rsid w:val="00020DBD"/>
    <w:rsid w:val="00024017"/>
    <w:rsid w:val="00025A92"/>
    <w:rsid w:val="00030E62"/>
    <w:rsid w:val="0003162D"/>
    <w:rsid w:val="00036F5E"/>
    <w:rsid w:val="000406F8"/>
    <w:rsid w:val="00043671"/>
    <w:rsid w:val="00043D10"/>
    <w:rsid w:val="00050775"/>
    <w:rsid w:val="00054B74"/>
    <w:rsid w:val="00064D18"/>
    <w:rsid w:val="00067456"/>
    <w:rsid w:val="00067CE9"/>
    <w:rsid w:val="00070812"/>
    <w:rsid w:val="000764B5"/>
    <w:rsid w:val="0008065C"/>
    <w:rsid w:val="000901D6"/>
    <w:rsid w:val="00090EFF"/>
    <w:rsid w:val="00091FC5"/>
    <w:rsid w:val="00092229"/>
    <w:rsid w:val="00095DA6"/>
    <w:rsid w:val="00095DC5"/>
    <w:rsid w:val="000A3946"/>
    <w:rsid w:val="000A3F0D"/>
    <w:rsid w:val="000A4C01"/>
    <w:rsid w:val="000A6B18"/>
    <w:rsid w:val="000B0274"/>
    <w:rsid w:val="000B0BFE"/>
    <w:rsid w:val="000B4610"/>
    <w:rsid w:val="000B79D3"/>
    <w:rsid w:val="000C1722"/>
    <w:rsid w:val="000C1DD4"/>
    <w:rsid w:val="000C5B0F"/>
    <w:rsid w:val="000C7A69"/>
    <w:rsid w:val="000D017D"/>
    <w:rsid w:val="000D108E"/>
    <w:rsid w:val="000D6405"/>
    <w:rsid w:val="000D7CCD"/>
    <w:rsid w:val="000E2F2E"/>
    <w:rsid w:val="000E54FD"/>
    <w:rsid w:val="000E7ADF"/>
    <w:rsid w:val="000F0276"/>
    <w:rsid w:val="000F0D77"/>
    <w:rsid w:val="000F29C7"/>
    <w:rsid w:val="000F3AD3"/>
    <w:rsid w:val="000F7E8E"/>
    <w:rsid w:val="00101C21"/>
    <w:rsid w:val="00102329"/>
    <w:rsid w:val="00102832"/>
    <w:rsid w:val="00102AC2"/>
    <w:rsid w:val="0010673D"/>
    <w:rsid w:val="00106CF5"/>
    <w:rsid w:val="00113181"/>
    <w:rsid w:val="00115403"/>
    <w:rsid w:val="00115E61"/>
    <w:rsid w:val="00120FCB"/>
    <w:rsid w:val="001314D4"/>
    <w:rsid w:val="00131E52"/>
    <w:rsid w:val="00136000"/>
    <w:rsid w:val="00140002"/>
    <w:rsid w:val="00143A76"/>
    <w:rsid w:val="00145BE3"/>
    <w:rsid w:val="00146A66"/>
    <w:rsid w:val="00147A35"/>
    <w:rsid w:val="001507C6"/>
    <w:rsid w:val="00157938"/>
    <w:rsid w:val="00157B31"/>
    <w:rsid w:val="00160453"/>
    <w:rsid w:val="001652A9"/>
    <w:rsid w:val="00174141"/>
    <w:rsid w:val="00174535"/>
    <w:rsid w:val="0017675C"/>
    <w:rsid w:val="001774CB"/>
    <w:rsid w:val="00183675"/>
    <w:rsid w:val="00184C86"/>
    <w:rsid w:val="001852DE"/>
    <w:rsid w:val="001859B5"/>
    <w:rsid w:val="001860B2"/>
    <w:rsid w:val="001918F7"/>
    <w:rsid w:val="001921ED"/>
    <w:rsid w:val="00195458"/>
    <w:rsid w:val="001962DE"/>
    <w:rsid w:val="00196AC8"/>
    <w:rsid w:val="001A11A5"/>
    <w:rsid w:val="001A1EBD"/>
    <w:rsid w:val="001A352F"/>
    <w:rsid w:val="001A4889"/>
    <w:rsid w:val="001A4A68"/>
    <w:rsid w:val="001B15D1"/>
    <w:rsid w:val="001B3443"/>
    <w:rsid w:val="001B7C8B"/>
    <w:rsid w:val="001D04A7"/>
    <w:rsid w:val="001D0D87"/>
    <w:rsid w:val="001D709F"/>
    <w:rsid w:val="001E1042"/>
    <w:rsid w:val="001E38B8"/>
    <w:rsid w:val="001E77C4"/>
    <w:rsid w:val="001F6D10"/>
    <w:rsid w:val="002165D8"/>
    <w:rsid w:val="002255F7"/>
    <w:rsid w:val="00226A26"/>
    <w:rsid w:val="0023112B"/>
    <w:rsid w:val="0023231A"/>
    <w:rsid w:val="0023650C"/>
    <w:rsid w:val="00237ADF"/>
    <w:rsid w:val="00245D81"/>
    <w:rsid w:val="00246CC1"/>
    <w:rsid w:val="0024767D"/>
    <w:rsid w:val="002503C3"/>
    <w:rsid w:val="00251167"/>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150E"/>
    <w:rsid w:val="00281FD4"/>
    <w:rsid w:val="0028251F"/>
    <w:rsid w:val="002851F2"/>
    <w:rsid w:val="00291EBD"/>
    <w:rsid w:val="0029365E"/>
    <w:rsid w:val="00293CDE"/>
    <w:rsid w:val="0029475B"/>
    <w:rsid w:val="002A3AFE"/>
    <w:rsid w:val="002A67C5"/>
    <w:rsid w:val="002B06E9"/>
    <w:rsid w:val="002B1E05"/>
    <w:rsid w:val="002B2C49"/>
    <w:rsid w:val="002B2D37"/>
    <w:rsid w:val="002C1CA0"/>
    <w:rsid w:val="002C6AF0"/>
    <w:rsid w:val="002C6E07"/>
    <w:rsid w:val="002D0EB0"/>
    <w:rsid w:val="002D247E"/>
    <w:rsid w:val="002E195D"/>
    <w:rsid w:val="002E29E0"/>
    <w:rsid w:val="002E2DBA"/>
    <w:rsid w:val="002E3986"/>
    <w:rsid w:val="002E6A48"/>
    <w:rsid w:val="002E7082"/>
    <w:rsid w:val="002F0242"/>
    <w:rsid w:val="002F3AE3"/>
    <w:rsid w:val="002F7E6F"/>
    <w:rsid w:val="00301DC7"/>
    <w:rsid w:val="00306045"/>
    <w:rsid w:val="00307247"/>
    <w:rsid w:val="0030786C"/>
    <w:rsid w:val="00312A62"/>
    <w:rsid w:val="00316683"/>
    <w:rsid w:val="00316F58"/>
    <w:rsid w:val="003255A5"/>
    <w:rsid w:val="00330477"/>
    <w:rsid w:val="00341A36"/>
    <w:rsid w:val="00341BEE"/>
    <w:rsid w:val="00343286"/>
    <w:rsid w:val="003456FB"/>
    <w:rsid w:val="0034680F"/>
    <w:rsid w:val="00347859"/>
    <w:rsid w:val="0035066E"/>
    <w:rsid w:val="00350BE1"/>
    <w:rsid w:val="00352AA7"/>
    <w:rsid w:val="003532A4"/>
    <w:rsid w:val="00354C8E"/>
    <w:rsid w:val="003657DB"/>
    <w:rsid w:val="0036588B"/>
    <w:rsid w:val="00370326"/>
    <w:rsid w:val="00380792"/>
    <w:rsid w:val="003808E4"/>
    <w:rsid w:val="0038248B"/>
    <w:rsid w:val="00386683"/>
    <w:rsid w:val="003873C6"/>
    <w:rsid w:val="00392002"/>
    <w:rsid w:val="00392A85"/>
    <w:rsid w:val="00396AFB"/>
    <w:rsid w:val="003A0131"/>
    <w:rsid w:val="003A0F75"/>
    <w:rsid w:val="003A2D7B"/>
    <w:rsid w:val="003A70CE"/>
    <w:rsid w:val="003B2EA8"/>
    <w:rsid w:val="003C23EA"/>
    <w:rsid w:val="003C297A"/>
    <w:rsid w:val="003C540E"/>
    <w:rsid w:val="003C5F0C"/>
    <w:rsid w:val="003C7AAA"/>
    <w:rsid w:val="003D1577"/>
    <w:rsid w:val="003D17F9"/>
    <w:rsid w:val="003D3806"/>
    <w:rsid w:val="003D437B"/>
    <w:rsid w:val="003D452E"/>
    <w:rsid w:val="003D4829"/>
    <w:rsid w:val="003E197F"/>
    <w:rsid w:val="003E6E73"/>
    <w:rsid w:val="003E76C8"/>
    <w:rsid w:val="003F0D94"/>
    <w:rsid w:val="003F3F0B"/>
    <w:rsid w:val="0040152C"/>
    <w:rsid w:val="00402CBA"/>
    <w:rsid w:val="00412E9D"/>
    <w:rsid w:val="00414952"/>
    <w:rsid w:val="00420279"/>
    <w:rsid w:val="00423210"/>
    <w:rsid w:val="004238EC"/>
    <w:rsid w:val="00425504"/>
    <w:rsid w:val="0042727E"/>
    <w:rsid w:val="0043052C"/>
    <w:rsid w:val="004305D6"/>
    <w:rsid w:val="004306B0"/>
    <w:rsid w:val="0043115F"/>
    <w:rsid w:val="00436E29"/>
    <w:rsid w:val="004377EE"/>
    <w:rsid w:val="00440CC0"/>
    <w:rsid w:val="00440D73"/>
    <w:rsid w:val="004428EA"/>
    <w:rsid w:val="004437F3"/>
    <w:rsid w:val="00447D31"/>
    <w:rsid w:val="00452849"/>
    <w:rsid w:val="00455560"/>
    <w:rsid w:val="00456385"/>
    <w:rsid w:val="0045769C"/>
    <w:rsid w:val="00465AB0"/>
    <w:rsid w:val="004666A6"/>
    <w:rsid w:val="00470AB8"/>
    <w:rsid w:val="004713D1"/>
    <w:rsid w:val="00473D73"/>
    <w:rsid w:val="0047708D"/>
    <w:rsid w:val="00477E9B"/>
    <w:rsid w:val="00482ECA"/>
    <w:rsid w:val="004832A0"/>
    <w:rsid w:val="00485776"/>
    <w:rsid w:val="00485794"/>
    <w:rsid w:val="004867E2"/>
    <w:rsid w:val="00486826"/>
    <w:rsid w:val="0048784D"/>
    <w:rsid w:val="0049282A"/>
    <w:rsid w:val="00493AA0"/>
    <w:rsid w:val="004A0670"/>
    <w:rsid w:val="004A4096"/>
    <w:rsid w:val="004A4851"/>
    <w:rsid w:val="004A5C81"/>
    <w:rsid w:val="004B0417"/>
    <w:rsid w:val="004B2198"/>
    <w:rsid w:val="004B2999"/>
    <w:rsid w:val="004C04EB"/>
    <w:rsid w:val="004C3664"/>
    <w:rsid w:val="004C4927"/>
    <w:rsid w:val="004C6833"/>
    <w:rsid w:val="004C798E"/>
    <w:rsid w:val="004E067A"/>
    <w:rsid w:val="004E06CA"/>
    <w:rsid w:val="004E179B"/>
    <w:rsid w:val="004E2389"/>
    <w:rsid w:val="004E50C2"/>
    <w:rsid w:val="004E58C1"/>
    <w:rsid w:val="004F412D"/>
    <w:rsid w:val="004F6083"/>
    <w:rsid w:val="005008B6"/>
    <w:rsid w:val="00505824"/>
    <w:rsid w:val="00505C30"/>
    <w:rsid w:val="00514B85"/>
    <w:rsid w:val="0051563D"/>
    <w:rsid w:val="00515733"/>
    <w:rsid w:val="005179C7"/>
    <w:rsid w:val="0052053C"/>
    <w:rsid w:val="0052107C"/>
    <w:rsid w:val="005221B7"/>
    <w:rsid w:val="00526689"/>
    <w:rsid w:val="00530100"/>
    <w:rsid w:val="0053105E"/>
    <w:rsid w:val="00532C5D"/>
    <w:rsid w:val="005334BA"/>
    <w:rsid w:val="00536E0C"/>
    <w:rsid w:val="005408C7"/>
    <w:rsid w:val="005422E7"/>
    <w:rsid w:val="005437FD"/>
    <w:rsid w:val="00544A4E"/>
    <w:rsid w:val="00547358"/>
    <w:rsid w:val="00553E33"/>
    <w:rsid w:val="00554FCF"/>
    <w:rsid w:val="00555C4C"/>
    <w:rsid w:val="00555D6E"/>
    <w:rsid w:val="00562F72"/>
    <w:rsid w:val="0056304B"/>
    <w:rsid w:val="00565356"/>
    <w:rsid w:val="00566B97"/>
    <w:rsid w:val="00570C6C"/>
    <w:rsid w:val="0057118D"/>
    <w:rsid w:val="005814C9"/>
    <w:rsid w:val="00584334"/>
    <w:rsid w:val="00584921"/>
    <w:rsid w:val="00586C8D"/>
    <w:rsid w:val="00591A14"/>
    <w:rsid w:val="0059380A"/>
    <w:rsid w:val="0059724C"/>
    <w:rsid w:val="005A1AA7"/>
    <w:rsid w:val="005A4D0B"/>
    <w:rsid w:val="005A61B4"/>
    <w:rsid w:val="005A65E0"/>
    <w:rsid w:val="005A735B"/>
    <w:rsid w:val="005B04D8"/>
    <w:rsid w:val="005B47A2"/>
    <w:rsid w:val="005C1496"/>
    <w:rsid w:val="005C25C5"/>
    <w:rsid w:val="005C5EF4"/>
    <w:rsid w:val="005C6AAE"/>
    <w:rsid w:val="005D04D9"/>
    <w:rsid w:val="005D06B5"/>
    <w:rsid w:val="005D1073"/>
    <w:rsid w:val="005D1804"/>
    <w:rsid w:val="005D2770"/>
    <w:rsid w:val="005D35C9"/>
    <w:rsid w:val="005D5D06"/>
    <w:rsid w:val="005D62B5"/>
    <w:rsid w:val="005E1C0C"/>
    <w:rsid w:val="005E2614"/>
    <w:rsid w:val="005E7144"/>
    <w:rsid w:val="005E7952"/>
    <w:rsid w:val="005F1E4A"/>
    <w:rsid w:val="005F63CD"/>
    <w:rsid w:val="005F6699"/>
    <w:rsid w:val="005F7628"/>
    <w:rsid w:val="00601168"/>
    <w:rsid w:val="00604583"/>
    <w:rsid w:val="00607B0B"/>
    <w:rsid w:val="00611870"/>
    <w:rsid w:val="00614E29"/>
    <w:rsid w:val="0062216A"/>
    <w:rsid w:val="00625634"/>
    <w:rsid w:val="00625EC1"/>
    <w:rsid w:val="00626F7D"/>
    <w:rsid w:val="00630199"/>
    <w:rsid w:val="006317C9"/>
    <w:rsid w:val="00632475"/>
    <w:rsid w:val="00632C35"/>
    <w:rsid w:val="006340B0"/>
    <w:rsid w:val="006351C3"/>
    <w:rsid w:val="00641773"/>
    <w:rsid w:val="00641CB0"/>
    <w:rsid w:val="0064239F"/>
    <w:rsid w:val="00643591"/>
    <w:rsid w:val="006456F1"/>
    <w:rsid w:val="006477CD"/>
    <w:rsid w:val="00651B52"/>
    <w:rsid w:val="00656A90"/>
    <w:rsid w:val="00656D6A"/>
    <w:rsid w:val="00657DD2"/>
    <w:rsid w:val="00664B6D"/>
    <w:rsid w:val="00664CFB"/>
    <w:rsid w:val="00664F67"/>
    <w:rsid w:val="006655E2"/>
    <w:rsid w:val="00667658"/>
    <w:rsid w:val="00667DB2"/>
    <w:rsid w:val="0067020B"/>
    <w:rsid w:val="00670F54"/>
    <w:rsid w:val="006728F9"/>
    <w:rsid w:val="006746DA"/>
    <w:rsid w:val="006765C3"/>
    <w:rsid w:val="006767BC"/>
    <w:rsid w:val="006803BA"/>
    <w:rsid w:val="00680744"/>
    <w:rsid w:val="0068305C"/>
    <w:rsid w:val="00683E87"/>
    <w:rsid w:val="00690A7C"/>
    <w:rsid w:val="00692026"/>
    <w:rsid w:val="006922F5"/>
    <w:rsid w:val="006947D9"/>
    <w:rsid w:val="00694A68"/>
    <w:rsid w:val="006A16DD"/>
    <w:rsid w:val="006A2587"/>
    <w:rsid w:val="006A6EFB"/>
    <w:rsid w:val="006B0487"/>
    <w:rsid w:val="006B3CFC"/>
    <w:rsid w:val="006B4CC8"/>
    <w:rsid w:val="006B7785"/>
    <w:rsid w:val="006C0CD8"/>
    <w:rsid w:val="006C2C59"/>
    <w:rsid w:val="006C5AEE"/>
    <w:rsid w:val="006C679A"/>
    <w:rsid w:val="006D09FE"/>
    <w:rsid w:val="006D0C40"/>
    <w:rsid w:val="006D15C1"/>
    <w:rsid w:val="006D732F"/>
    <w:rsid w:val="006E092E"/>
    <w:rsid w:val="006E3C53"/>
    <w:rsid w:val="006E4597"/>
    <w:rsid w:val="006E688D"/>
    <w:rsid w:val="006F1432"/>
    <w:rsid w:val="006F2DBD"/>
    <w:rsid w:val="006F5F74"/>
    <w:rsid w:val="006F7264"/>
    <w:rsid w:val="006F7964"/>
    <w:rsid w:val="007011AD"/>
    <w:rsid w:val="007026D3"/>
    <w:rsid w:val="007028EC"/>
    <w:rsid w:val="007035D8"/>
    <w:rsid w:val="00703853"/>
    <w:rsid w:val="00705B84"/>
    <w:rsid w:val="0070703E"/>
    <w:rsid w:val="00707D22"/>
    <w:rsid w:val="007103BE"/>
    <w:rsid w:val="007111E3"/>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017"/>
    <w:rsid w:val="007406E6"/>
    <w:rsid w:val="007441A7"/>
    <w:rsid w:val="00745DC9"/>
    <w:rsid w:val="00746CCD"/>
    <w:rsid w:val="00747CE1"/>
    <w:rsid w:val="007517A6"/>
    <w:rsid w:val="007538CD"/>
    <w:rsid w:val="007545C7"/>
    <w:rsid w:val="007547A5"/>
    <w:rsid w:val="007551C0"/>
    <w:rsid w:val="00756EB9"/>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A1B47"/>
    <w:rsid w:val="007A380D"/>
    <w:rsid w:val="007B04A9"/>
    <w:rsid w:val="007B16AC"/>
    <w:rsid w:val="007B1D5C"/>
    <w:rsid w:val="007B5D05"/>
    <w:rsid w:val="007B5D1E"/>
    <w:rsid w:val="007C2217"/>
    <w:rsid w:val="007C26F7"/>
    <w:rsid w:val="007C2E29"/>
    <w:rsid w:val="007C471C"/>
    <w:rsid w:val="007C52D3"/>
    <w:rsid w:val="007C7042"/>
    <w:rsid w:val="007D32BE"/>
    <w:rsid w:val="007D4258"/>
    <w:rsid w:val="007E000D"/>
    <w:rsid w:val="007E175B"/>
    <w:rsid w:val="007E3F8A"/>
    <w:rsid w:val="007E5FAA"/>
    <w:rsid w:val="007E6FBE"/>
    <w:rsid w:val="007F3645"/>
    <w:rsid w:val="007F5813"/>
    <w:rsid w:val="007F58DD"/>
    <w:rsid w:val="007F6791"/>
    <w:rsid w:val="00802131"/>
    <w:rsid w:val="0080530E"/>
    <w:rsid w:val="00805E44"/>
    <w:rsid w:val="008104D7"/>
    <w:rsid w:val="00811C26"/>
    <w:rsid w:val="00812A44"/>
    <w:rsid w:val="00820059"/>
    <w:rsid w:val="008264EB"/>
    <w:rsid w:val="00826D69"/>
    <w:rsid w:val="00827924"/>
    <w:rsid w:val="00830756"/>
    <w:rsid w:val="00837A90"/>
    <w:rsid w:val="00842A6F"/>
    <w:rsid w:val="00847645"/>
    <w:rsid w:val="00855A49"/>
    <w:rsid w:val="00856DF5"/>
    <w:rsid w:val="00857E76"/>
    <w:rsid w:val="0086059A"/>
    <w:rsid w:val="00865932"/>
    <w:rsid w:val="00867B7A"/>
    <w:rsid w:val="00872059"/>
    <w:rsid w:val="00873673"/>
    <w:rsid w:val="008803A1"/>
    <w:rsid w:val="0088122A"/>
    <w:rsid w:val="008839CD"/>
    <w:rsid w:val="00885C24"/>
    <w:rsid w:val="008865C9"/>
    <w:rsid w:val="0088750B"/>
    <w:rsid w:val="00887779"/>
    <w:rsid w:val="00892AC8"/>
    <w:rsid w:val="00897E5A"/>
    <w:rsid w:val="008A07AF"/>
    <w:rsid w:val="008A4580"/>
    <w:rsid w:val="008A4AC8"/>
    <w:rsid w:val="008A4E8B"/>
    <w:rsid w:val="008A58F9"/>
    <w:rsid w:val="008B014E"/>
    <w:rsid w:val="008C2348"/>
    <w:rsid w:val="008C683A"/>
    <w:rsid w:val="008D09DE"/>
    <w:rsid w:val="008D29A4"/>
    <w:rsid w:val="008D2FF8"/>
    <w:rsid w:val="008D5AFD"/>
    <w:rsid w:val="008E0FA4"/>
    <w:rsid w:val="008E0FEF"/>
    <w:rsid w:val="008E2E35"/>
    <w:rsid w:val="008E3658"/>
    <w:rsid w:val="008E59EB"/>
    <w:rsid w:val="008E5D6A"/>
    <w:rsid w:val="008F26C0"/>
    <w:rsid w:val="008F30D1"/>
    <w:rsid w:val="00901462"/>
    <w:rsid w:val="00901D6C"/>
    <w:rsid w:val="00902A76"/>
    <w:rsid w:val="0090304F"/>
    <w:rsid w:val="00904474"/>
    <w:rsid w:val="0091110E"/>
    <w:rsid w:val="0091137C"/>
    <w:rsid w:val="0091384C"/>
    <w:rsid w:val="009213F3"/>
    <w:rsid w:val="0092204C"/>
    <w:rsid w:val="00922DEE"/>
    <w:rsid w:val="009238AA"/>
    <w:rsid w:val="009244B8"/>
    <w:rsid w:val="00925748"/>
    <w:rsid w:val="00927866"/>
    <w:rsid w:val="00932407"/>
    <w:rsid w:val="00933B21"/>
    <w:rsid w:val="00933EC2"/>
    <w:rsid w:val="00941048"/>
    <w:rsid w:val="009421F2"/>
    <w:rsid w:val="009424A5"/>
    <w:rsid w:val="009456E6"/>
    <w:rsid w:val="00950089"/>
    <w:rsid w:val="00951806"/>
    <w:rsid w:val="0095539D"/>
    <w:rsid w:val="00957AD0"/>
    <w:rsid w:val="00957E88"/>
    <w:rsid w:val="00961B39"/>
    <w:rsid w:val="00961FBE"/>
    <w:rsid w:val="0096250F"/>
    <w:rsid w:val="009625F8"/>
    <w:rsid w:val="00964277"/>
    <w:rsid w:val="009739AC"/>
    <w:rsid w:val="00975715"/>
    <w:rsid w:val="0097582E"/>
    <w:rsid w:val="00977D26"/>
    <w:rsid w:val="00977E26"/>
    <w:rsid w:val="009805EC"/>
    <w:rsid w:val="00984227"/>
    <w:rsid w:val="009904EA"/>
    <w:rsid w:val="00991AF5"/>
    <w:rsid w:val="0099343F"/>
    <w:rsid w:val="0099497F"/>
    <w:rsid w:val="00995094"/>
    <w:rsid w:val="009A007B"/>
    <w:rsid w:val="009A0425"/>
    <w:rsid w:val="009A0791"/>
    <w:rsid w:val="009A263C"/>
    <w:rsid w:val="009A5795"/>
    <w:rsid w:val="009B001C"/>
    <w:rsid w:val="009B053D"/>
    <w:rsid w:val="009B3E5D"/>
    <w:rsid w:val="009B64E3"/>
    <w:rsid w:val="009C4621"/>
    <w:rsid w:val="009C5964"/>
    <w:rsid w:val="009C672E"/>
    <w:rsid w:val="009C77A3"/>
    <w:rsid w:val="009D0B90"/>
    <w:rsid w:val="009D13D6"/>
    <w:rsid w:val="009D3827"/>
    <w:rsid w:val="009D6852"/>
    <w:rsid w:val="009E0725"/>
    <w:rsid w:val="009E0D48"/>
    <w:rsid w:val="009E1F38"/>
    <w:rsid w:val="009E5D18"/>
    <w:rsid w:val="009E6B78"/>
    <w:rsid w:val="009E6D37"/>
    <w:rsid w:val="009F0AC1"/>
    <w:rsid w:val="009F1EC9"/>
    <w:rsid w:val="009F2FAD"/>
    <w:rsid w:val="009F32E2"/>
    <w:rsid w:val="009F33F8"/>
    <w:rsid w:val="009F4ACF"/>
    <w:rsid w:val="009F5557"/>
    <w:rsid w:val="009F7864"/>
    <w:rsid w:val="00A01FA9"/>
    <w:rsid w:val="00A027DE"/>
    <w:rsid w:val="00A02BFF"/>
    <w:rsid w:val="00A0554C"/>
    <w:rsid w:val="00A06D27"/>
    <w:rsid w:val="00A1015B"/>
    <w:rsid w:val="00A120D4"/>
    <w:rsid w:val="00A135F1"/>
    <w:rsid w:val="00A139AB"/>
    <w:rsid w:val="00A15082"/>
    <w:rsid w:val="00A16AEE"/>
    <w:rsid w:val="00A16B43"/>
    <w:rsid w:val="00A21AC7"/>
    <w:rsid w:val="00A2632B"/>
    <w:rsid w:val="00A27285"/>
    <w:rsid w:val="00A301DF"/>
    <w:rsid w:val="00A3623B"/>
    <w:rsid w:val="00A369E8"/>
    <w:rsid w:val="00A4199A"/>
    <w:rsid w:val="00A4512D"/>
    <w:rsid w:val="00A541E1"/>
    <w:rsid w:val="00A54775"/>
    <w:rsid w:val="00A5502C"/>
    <w:rsid w:val="00A5694A"/>
    <w:rsid w:val="00A61D70"/>
    <w:rsid w:val="00A64D9B"/>
    <w:rsid w:val="00A65795"/>
    <w:rsid w:val="00A6672E"/>
    <w:rsid w:val="00A705AF"/>
    <w:rsid w:val="00A7126D"/>
    <w:rsid w:val="00A73C2F"/>
    <w:rsid w:val="00A749D6"/>
    <w:rsid w:val="00A75B58"/>
    <w:rsid w:val="00A77349"/>
    <w:rsid w:val="00A81D72"/>
    <w:rsid w:val="00A83572"/>
    <w:rsid w:val="00A931E2"/>
    <w:rsid w:val="00A93A18"/>
    <w:rsid w:val="00A964DB"/>
    <w:rsid w:val="00A96DED"/>
    <w:rsid w:val="00AA0055"/>
    <w:rsid w:val="00AA0A90"/>
    <w:rsid w:val="00AA3A3E"/>
    <w:rsid w:val="00AA603A"/>
    <w:rsid w:val="00AA6DC2"/>
    <w:rsid w:val="00AA6F73"/>
    <w:rsid w:val="00AA7B58"/>
    <w:rsid w:val="00AB0A6E"/>
    <w:rsid w:val="00AB40AB"/>
    <w:rsid w:val="00AB64E5"/>
    <w:rsid w:val="00AB6E76"/>
    <w:rsid w:val="00AB6ED9"/>
    <w:rsid w:val="00AB6F9B"/>
    <w:rsid w:val="00AC1E2C"/>
    <w:rsid w:val="00AC5816"/>
    <w:rsid w:val="00AC637F"/>
    <w:rsid w:val="00AC6FB7"/>
    <w:rsid w:val="00AC7883"/>
    <w:rsid w:val="00AD01B4"/>
    <w:rsid w:val="00AD055C"/>
    <w:rsid w:val="00AD50C6"/>
    <w:rsid w:val="00AD52A0"/>
    <w:rsid w:val="00AD5717"/>
    <w:rsid w:val="00AD7D91"/>
    <w:rsid w:val="00AE05BB"/>
    <w:rsid w:val="00AE0BA6"/>
    <w:rsid w:val="00AE3267"/>
    <w:rsid w:val="00AF6154"/>
    <w:rsid w:val="00B06993"/>
    <w:rsid w:val="00B07615"/>
    <w:rsid w:val="00B11A0A"/>
    <w:rsid w:val="00B11D5A"/>
    <w:rsid w:val="00B151EE"/>
    <w:rsid w:val="00B163F6"/>
    <w:rsid w:val="00B16B90"/>
    <w:rsid w:val="00B20701"/>
    <w:rsid w:val="00B213FD"/>
    <w:rsid w:val="00B2153E"/>
    <w:rsid w:val="00B24DF4"/>
    <w:rsid w:val="00B2665E"/>
    <w:rsid w:val="00B2715A"/>
    <w:rsid w:val="00B30753"/>
    <w:rsid w:val="00B307F8"/>
    <w:rsid w:val="00B324C9"/>
    <w:rsid w:val="00B328AF"/>
    <w:rsid w:val="00B32DD1"/>
    <w:rsid w:val="00B35DEC"/>
    <w:rsid w:val="00B37148"/>
    <w:rsid w:val="00B3720C"/>
    <w:rsid w:val="00B37974"/>
    <w:rsid w:val="00B41409"/>
    <w:rsid w:val="00B42851"/>
    <w:rsid w:val="00B44C6A"/>
    <w:rsid w:val="00B456E0"/>
    <w:rsid w:val="00B459E9"/>
    <w:rsid w:val="00B47076"/>
    <w:rsid w:val="00B5113E"/>
    <w:rsid w:val="00B537DC"/>
    <w:rsid w:val="00B56B37"/>
    <w:rsid w:val="00B57759"/>
    <w:rsid w:val="00B60D44"/>
    <w:rsid w:val="00B60D86"/>
    <w:rsid w:val="00B64BBD"/>
    <w:rsid w:val="00B64EA5"/>
    <w:rsid w:val="00B732F1"/>
    <w:rsid w:val="00B8702B"/>
    <w:rsid w:val="00B904EC"/>
    <w:rsid w:val="00B91269"/>
    <w:rsid w:val="00B91454"/>
    <w:rsid w:val="00B93CD5"/>
    <w:rsid w:val="00B9432A"/>
    <w:rsid w:val="00B94EE0"/>
    <w:rsid w:val="00B95A67"/>
    <w:rsid w:val="00B96123"/>
    <w:rsid w:val="00B96A84"/>
    <w:rsid w:val="00BA0015"/>
    <w:rsid w:val="00BA2A5D"/>
    <w:rsid w:val="00BA2DE8"/>
    <w:rsid w:val="00BA4AEE"/>
    <w:rsid w:val="00BA4EE1"/>
    <w:rsid w:val="00BB2D0A"/>
    <w:rsid w:val="00BC07E4"/>
    <w:rsid w:val="00BC4293"/>
    <w:rsid w:val="00BC4D09"/>
    <w:rsid w:val="00BD0B57"/>
    <w:rsid w:val="00BD141C"/>
    <w:rsid w:val="00BD330D"/>
    <w:rsid w:val="00BD54D9"/>
    <w:rsid w:val="00BD5F76"/>
    <w:rsid w:val="00BD649D"/>
    <w:rsid w:val="00BE0DE7"/>
    <w:rsid w:val="00BE2B3A"/>
    <w:rsid w:val="00BE3F37"/>
    <w:rsid w:val="00BE6832"/>
    <w:rsid w:val="00BF02BF"/>
    <w:rsid w:val="00BF0D82"/>
    <w:rsid w:val="00BF2561"/>
    <w:rsid w:val="00BF3241"/>
    <w:rsid w:val="00BF5905"/>
    <w:rsid w:val="00BF6152"/>
    <w:rsid w:val="00C0059F"/>
    <w:rsid w:val="00C025A7"/>
    <w:rsid w:val="00C025A9"/>
    <w:rsid w:val="00C06314"/>
    <w:rsid w:val="00C10135"/>
    <w:rsid w:val="00C123DF"/>
    <w:rsid w:val="00C206EE"/>
    <w:rsid w:val="00C23604"/>
    <w:rsid w:val="00C27BDD"/>
    <w:rsid w:val="00C308FA"/>
    <w:rsid w:val="00C317D7"/>
    <w:rsid w:val="00C31839"/>
    <w:rsid w:val="00C31A7F"/>
    <w:rsid w:val="00C32280"/>
    <w:rsid w:val="00C33D29"/>
    <w:rsid w:val="00C35287"/>
    <w:rsid w:val="00C35DEC"/>
    <w:rsid w:val="00C35F32"/>
    <w:rsid w:val="00C436EE"/>
    <w:rsid w:val="00C45B43"/>
    <w:rsid w:val="00C47764"/>
    <w:rsid w:val="00C477AC"/>
    <w:rsid w:val="00C502F6"/>
    <w:rsid w:val="00C51BE7"/>
    <w:rsid w:val="00C52E7E"/>
    <w:rsid w:val="00C53C65"/>
    <w:rsid w:val="00C55C53"/>
    <w:rsid w:val="00C565EF"/>
    <w:rsid w:val="00C57614"/>
    <w:rsid w:val="00C57EC0"/>
    <w:rsid w:val="00C618D7"/>
    <w:rsid w:val="00C624CC"/>
    <w:rsid w:val="00C63431"/>
    <w:rsid w:val="00C63C14"/>
    <w:rsid w:val="00C64BBB"/>
    <w:rsid w:val="00C64D00"/>
    <w:rsid w:val="00C66FD1"/>
    <w:rsid w:val="00C70360"/>
    <w:rsid w:val="00C74935"/>
    <w:rsid w:val="00C753E9"/>
    <w:rsid w:val="00C7543A"/>
    <w:rsid w:val="00C80797"/>
    <w:rsid w:val="00C837E4"/>
    <w:rsid w:val="00C84B06"/>
    <w:rsid w:val="00C85E91"/>
    <w:rsid w:val="00C911AD"/>
    <w:rsid w:val="00C9586A"/>
    <w:rsid w:val="00C973ED"/>
    <w:rsid w:val="00CA04C6"/>
    <w:rsid w:val="00CA3777"/>
    <w:rsid w:val="00CA704E"/>
    <w:rsid w:val="00CB0684"/>
    <w:rsid w:val="00CB2190"/>
    <w:rsid w:val="00CB5999"/>
    <w:rsid w:val="00CB5B1A"/>
    <w:rsid w:val="00CB6E35"/>
    <w:rsid w:val="00CB733F"/>
    <w:rsid w:val="00CC36EF"/>
    <w:rsid w:val="00CC4B4F"/>
    <w:rsid w:val="00CC4B8E"/>
    <w:rsid w:val="00CC61D6"/>
    <w:rsid w:val="00CC697B"/>
    <w:rsid w:val="00CC7207"/>
    <w:rsid w:val="00CD2E16"/>
    <w:rsid w:val="00CD3457"/>
    <w:rsid w:val="00CD7B73"/>
    <w:rsid w:val="00CE16CC"/>
    <w:rsid w:val="00CE1712"/>
    <w:rsid w:val="00CE3387"/>
    <w:rsid w:val="00CE3A39"/>
    <w:rsid w:val="00CE7355"/>
    <w:rsid w:val="00CF4118"/>
    <w:rsid w:val="00CF5D61"/>
    <w:rsid w:val="00CF702F"/>
    <w:rsid w:val="00D05CB2"/>
    <w:rsid w:val="00D07C0D"/>
    <w:rsid w:val="00D10D90"/>
    <w:rsid w:val="00D116AD"/>
    <w:rsid w:val="00D13C42"/>
    <w:rsid w:val="00D16B25"/>
    <w:rsid w:val="00D20AD1"/>
    <w:rsid w:val="00D22352"/>
    <w:rsid w:val="00D238FA"/>
    <w:rsid w:val="00D24922"/>
    <w:rsid w:val="00D301EA"/>
    <w:rsid w:val="00D31DC2"/>
    <w:rsid w:val="00D329E7"/>
    <w:rsid w:val="00D41AE5"/>
    <w:rsid w:val="00D429E0"/>
    <w:rsid w:val="00D42B9A"/>
    <w:rsid w:val="00D43FC6"/>
    <w:rsid w:val="00D446AF"/>
    <w:rsid w:val="00D469E4"/>
    <w:rsid w:val="00D4728F"/>
    <w:rsid w:val="00D50F47"/>
    <w:rsid w:val="00D5354B"/>
    <w:rsid w:val="00D563D0"/>
    <w:rsid w:val="00D6711F"/>
    <w:rsid w:val="00D72B6D"/>
    <w:rsid w:val="00D738DB"/>
    <w:rsid w:val="00D73FE2"/>
    <w:rsid w:val="00D7465B"/>
    <w:rsid w:val="00D754D9"/>
    <w:rsid w:val="00D77741"/>
    <w:rsid w:val="00D81026"/>
    <w:rsid w:val="00D812BD"/>
    <w:rsid w:val="00D82492"/>
    <w:rsid w:val="00D831CF"/>
    <w:rsid w:val="00D84622"/>
    <w:rsid w:val="00D85F25"/>
    <w:rsid w:val="00D87CBD"/>
    <w:rsid w:val="00D9306A"/>
    <w:rsid w:val="00D944BF"/>
    <w:rsid w:val="00D9561F"/>
    <w:rsid w:val="00D96327"/>
    <w:rsid w:val="00DA077C"/>
    <w:rsid w:val="00DB07A4"/>
    <w:rsid w:val="00DB5454"/>
    <w:rsid w:val="00DB5911"/>
    <w:rsid w:val="00DC0477"/>
    <w:rsid w:val="00DC0D24"/>
    <w:rsid w:val="00DC232E"/>
    <w:rsid w:val="00DD047B"/>
    <w:rsid w:val="00DD4104"/>
    <w:rsid w:val="00DD5D99"/>
    <w:rsid w:val="00DD6F15"/>
    <w:rsid w:val="00DE3C4E"/>
    <w:rsid w:val="00DE5D9E"/>
    <w:rsid w:val="00DE75D8"/>
    <w:rsid w:val="00DF0B12"/>
    <w:rsid w:val="00DF1D4A"/>
    <w:rsid w:val="00DF3751"/>
    <w:rsid w:val="00DF515C"/>
    <w:rsid w:val="00DF5695"/>
    <w:rsid w:val="00E00186"/>
    <w:rsid w:val="00E015E6"/>
    <w:rsid w:val="00E05B44"/>
    <w:rsid w:val="00E066B4"/>
    <w:rsid w:val="00E10D77"/>
    <w:rsid w:val="00E11AC2"/>
    <w:rsid w:val="00E13C5C"/>
    <w:rsid w:val="00E209BF"/>
    <w:rsid w:val="00E236C6"/>
    <w:rsid w:val="00E3057D"/>
    <w:rsid w:val="00E3115C"/>
    <w:rsid w:val="00E34F33"/>
    <w:rsid w:val="00E35CBB"/>
    <w:rsid w:val="00E35DC5"/>
    <w:rsid w:val="00E4046C"/>
    <w:rsid w:val="00E40F95"/>
    <w:rsid w:val="00E40FD7"/>
    <w:rsid w:val="00E41CF8"/>
    <w:rsid w:val="00E4269D"/>
    <w:rsid w:val="00E4312B"/>
    <w:rsid w:val="00E4578A"/>
    <w:rsid w:val="00E46EBF"/>
    <w:rsid w:val="00E51D59"/>
    <w:rsid w:val="00E57576"/>
    <w:rsid w:val="00E604B3"/>
    <w:rsid w:val="00E60650"/>
    <w:rsid w:val="00E60EE1"/>
    <w:rsid w:val="00E6109E"/>
    <w:rsid w:val="00E617ED"/>
    <w:rsid w:val="00E6213F"/>
    <w:rsid w:val="00E708F6"/>
    <w:rsid w:val="00E716B4"/>
    <w:rsid w:val="00E7210E"/>
    <w:rsid w:val="00E825DC"/>
    <w:rsid w:val="00E86B67"/>
    <w:rsid w:val="00E9314D"/>
    <w:rsid w:val="00E95DFC"/>
    <w:rsid w:val="00EA33D5"/>
    <w:rsid w:val="00EA5E02"/>
    <w:rsid w:val="00EA5FD0"/>
    <w:rsid w:val="00EA63B1"/>
    <w:rsid w:val="00EB0020"/>
    <w:rsid w:val="00EB08B6"/>
    <w:rsid w:val="00EC0379"/>
    <w:rsid w:val="00EC1B27"/>
    <w:rsid w:val="00EC3CD7"/>
    <w:rsid w:val="00EC7D3F"/>
    <w:rsid w:val="00ED0468"/>
    <w:rsid w:val="00ED0DD3"/>
    <w:rsid w:val="00ED648B"/>
    <w:rsid w:val="00EE16DD"/>
    <w:rsid w:val="00EE2AE5"/>
    <w:rsid w:val="00EE31B0"/>
    <w:rsid w:val="00EE356F"/>
    <w:rsid w:val="00EE397E"/>
    <w:rsid w:val="00EE65B1"/>
    <w:rsid w:val="00EF0B34"/>
    <w:rsid w:val="00EF1C55"/>
    <w:rsid w:val="00EF1C95"/>
    <w:rsid w:val="00EF23C0"/>
    <w:rsid w:val="00EF2774"/>
    <w:rsid w:val="00EF377C"/>
    <w:rsid w:val="00EF4059"/>
    <w:rsid w:val="00EF5586"/>
    <w:rsid w:val="00F00403"/>
    <w:rsid w:val="00F04996"/>
    <w:rsid w:val="00F067A6"/>
    <w:rsid w:val="00F078B7"/>
    <w:rsid w:val="00F07B77"/>
    <w:rsid w:val="00F100D6"/>
    <w:rsid w:val="00F1278D"/>
    <w:rsid w:val="00F14153"/>
    <w:rsid w:val="00F14BFD"/>
    <w:rsid w:val="00F17566"/>
    <w:rsid w:val="00F20F84"/>
    <w:rsid w:val="00F23357"/>
    <w:rsid w:val="00F238F2"/>
    <w:rsid w:val="00F247EE"/>
    <w:rsid w:val="00F332B3"/>
    <w:rsid w:val="00F34D63"/>
    <w:rsid w:val="00F35F7A"/>
    <w:rsid w:val="00F41C35"/>
    <w:rsid w:val="00F4438C"/>
    <w:rsid w:val="00F46ED7"/>
    <w:rsid w:val="00F549D7"/>
    <w:rsid w:val="00F556DB"/>
    <w:rsid w:val="00F560D5"/>
    <w:rsid w:val="00F56325"/>
    <w:rsid w:val="00F56F0A"/>
    <w:rsid w:val="00F67533"/>
    <w:rsid w:val="00F73D95"/>
    <w:rsid w:val="00F74C83"/>
    <w:rsid w:val="00F757FD"/>
    <w:rsid w:val="00F77044"/>
    <w:rsid w:val="00F8015E"/>
    <w:rsid w:val="00F81DF5"/>
    <w:rsid w:val="00F83598"/>
    <w:rsid w:val="00F85766"/>
    <w:rsid w:val="00F866FA"/>
    <w:rsid w:val="00F91869"/>
    <w:rsid w:val="00F91CCA"/>
    <w:rsid w:val="00F931D3"/>
    <w:rsid w:val="00F95769"/>
    <w:rsid w:val="00FA289A"/>
    <w:rsid w:val="00FA3C5E"/>
    <w:rsid w:val="00FA4197"/>
    <w:rsid w:val="00FB375B"/>
    <w:rsid w:val="00FB6425"/>
    <w:rsid w:val="00FB722E"/>
    <w:rsid w:val="00FC18B5"/>
    <w:rsid w:val="00FC7F5D"/>
    <w:rsid w:val="00FD1BC7"/>
    <w:rsid w:val="00FD1D84"/>
    <w:rsid w:val="00FD4E9C"/>
    <w:rsid w:val="00FD50A4"/>
    <w:rsid w:val="00FD744A"/>
    <w:rsid w:val="00FE58D5"/>
    <w:rsid w:val="00FE5CA3"/>
    <w:rsid w:val="00FF08C3"/>
    <w:rsid w:val="00FF3CC6"/>
    <w:rsid w:val="00FF4069"/>
    <w:rsid w:val="00FF6178"/>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B06993"/>
    <w:pPr>
      <w:keepNext/>
      <w:keepLines/>
      <w:pageBreakBefore/>
      <w:spacing w:before="480" w:after="240"/>
      <w:outlineLvl w:val="0"/>
    </w:pPr>
    <w:rPr>
      <w:rFonts w:cs="Arial"/>
      <w:b/>
      <w:bCs/>
      <w:color w:val="000000" w:themeColor="text1"/>
      <w:kern w:val="28"/>
      <w:sz w:val="40"/>
      <w:szCs w:val="32"/>
    </w:rPr>
  </w:style>
  <w:style w:type="paragraph" w:styleId="Heading2">
    <w:name w:val="heading 2"/>
    <w:basedOn w:val="Heading1"/>
    <w:next w:val="Normal"/>
    <w:qFormat/>
    <w:rsid w:val="00B06993"/>
    <w:pPr>
      <w:pageBreakBefore w:val="0"/>
      <w:spacing w:before="360"/>
      <w:outlineLvl w:val="1"/>
    </w:pPr>
    <w:rPr>
      <w:bCs w:val="0"/>
      <w:iCs/>
      <w:color w:val="007978"/>
      <w:sz w:val="32"/>
      <w:szCs w:val="28"/>
    </w:rPr>
  </w:style>
  <w:style w:type="paragraph" w:styleId="Heading3">
    <w:name w:val="heading 3"/>
    <w:basedOn w:val="Heading2"/>
    <w:next w:val="Normal"/>
    <w:link w:val="Heading3Char"/>
    <w:qFormat/>
    <w:rsid w:val="00B06993"/>
    <w:pPr>
      <w:spacing w:before="300" w:after="180"/>
      <w:outlineLvl w:val="2"/>
    </w:pPr>
    <w:rPr>
      <w:bCs/>
      <w:color w:val="000000" w:themeColor="text1"/>
      <w:sz w:val="26"/>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E51D59"/>
    <w:pPr>
      <w:pBdr>
        <w:left w:val="single" w:sz="48" w:space="8" w:color="036C67"/>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9F7864"/>
    <w:pPr>
      <w:keepLines/>
      <w:spacing w:before="180" w:after="180"/>
      <w:contextualSpacing/>
    </w:pPr>
    <w:rPr>
      <w:sz w:val="18"/>
      <w:szCs w:val="20"/>
    </w:rPr>
  </w:style>
  <w:style w:type="character" w:customStyle="1" w:styleId="FootnoteTextChar">
    <w:name w:val="Footnote Text Char"/>
    <w:basedOn w:val="DefaultParagraphFont"/>
    <w:link w:val="FootnoteText"/>
    <w:rsid w:val="009F7864"/>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CCSIndicatorBox">
    <w:name w:val="CCS Indicator Box"/>
    <w:basedOn w:val="TableNormal"/>
    <w:uiPriority w:val="99"/>
    <w:rsid w:val="006A6EFB"/>
    <w:pPr>
      <w:spacing w:after="0"/>
    </w:pPr>
    <w:tblPr>
      <w:tblCellMar>
        <w:left w:w="284" w:type="dxa"/>
        <w:bottom w:w="170" w:type="dxa"/>
        <w:right w:w="284" w:type="dxa"/>
      </w:tblCellMar>
    </w:tblPr>
    <w:trPr>
      <w:cantSplit/>
    </w:trPr>
    <w:tcPr>
      <w:shd w:val="clear" w:color="auto" w:fill="F4F4D8"/>
    </w:tcPr>
    <w:tblStylePr w:type="firstRow">
      <w:pPr>
        <w:wordWrap/>
        <w:spacing w:beforeLines="0" w:before="0" w:beforeAutospacing="0" w:afterLines="0" w:after="0" w:afterAutospacing="0" w:line="240" w:lineRule="auto"/>
        <w:contextualSpacing/>
      </w:pPr>
      <w:rPr>
        <w:b/>
        <w:sz w:val="26"/>
      </w:rPr>
      <w:tblPr>
        <w:tblCellMar>
          <w:top w:w="255" w:type="dxa"/>
          <w:left w:w="284" w:type="dxa"/>
          <w:bottom w:w="170" w:type="dxa"/>
          <w:right w:w="284" w:type="dxa"/>
        </w:tblCellMar>
      </w:tblPr>
      <w:trPr>
        <w:cantSplit w:val="0"/>
        <w:tblHeader/>
      </w:trPr>
    </w:tblStylePr>
  </w:style>
  <w:style w:type="paragraph" w:styleId="ListParagraph">
    <w:name w:val="List Paragraph"/>
    <w:basedOn w:val="Normal"/>
    <w:link w:val="ListParagraphChar"/>
    <w:uiPriority w:val="99"/>
    <w:qFormat/>
    <w:locked/>
    <w:rsid w:val="00A64D9B"/>
    <w:pPr>
      <w:keepLines/>
      <w:ind w:left="720"/>
      <w:contextualSpacing/>
    </w:pPr>
  </w:style>
  <w:style w:type="character" w:customStyle="1" w:styleId="ListParagraphChar">
    <w:name w:val="List Paragraph Char"/>
    <w:basedOn w:val="DefaultParagraphFont"/>
    <w:link w:val="ListParagraph"/>
    <w:uiPriority w:val="99"/>
    <w:rsid w:val="00A64D9B"/>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E51D59"/>
    <w:pPr>
      <w:pBdr>
        <w:left w:val="single" w:sz="48" w:space="8" w:color="036C67"/>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uiPriority w:val="99"/>
    <w:qFormat/>
    <w:rsid w:val="00E3057D"/>
    <w:pPr>
      <w:spacing w:before="36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B06993"/>
    <w:rPr>
      <w:rFonts w:cs="Arial"/>
      <w:b/>
      <w:bCs/>
      <w:iCs/>
      <w:color w:val="000000" w:themeColor="text1"/>
      <w:kern w:val="28"/>
      <w:sz w:val="26"/>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character" w:customStyle="1" w:styleId="Indicator">
    <w:name w:val="Indicator"/>
    <w:basedOn w:val="DefaultParagraphFont"/>
    <w:uiPriority w:val="99"/>
    <w:qFormat/>
    <w:rsid w:val="00A64D9B"/>
    <w:rPr>
      <w:b/>
      <w:bCs/>
      <w:color w:val="006D67"/>
      <w:lang w:val="en-GB"/>
    </w:rPr>
  </w:style>
  <w:style w:type="paragraph" w:customStyle="1" w:styleId="TitleHeading1noafterHeadings">
    <w:name w:val="Title / Heading 1 (no # after) (Headings)"/>
    <w:basedOn w:val="Normal"/>
    <w:next w:val="NormalBodystyles"/>
    <w:uiPriority w:val="99"/>
    <w:rsid w:val="003255A5"/>
    <w:pPr>
      <w:keepNext/>
      <w:keepLines/>
      <w:widowControl w:val="0"/>
      <w:tabs>
        <w:tab w:val="left" w:pos="850"/>
      </w:tabs>
      <w:suppressAutoHyphens/>
      <w:autoSpaceDE w:val="0"/>
      <w:autoSpaceDN w:val="0"/>
      <w:adjustRightInd w:val="0"/>
      <w:spacing w:before="0" w:after="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Heading1SmallbelowH1Headings">
    <w:name w:val="Heading 1 Small (below H1) (Headings)"/>
    <w:basedOn w:val="Normal"/>
    <w:uiPriority w:val="99"/>
    <w:rsid w:val="003255A5"/>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NormalBodystyles">
    <w:name w:val="Normal (Body styles)"/>
    <w:basedOn w:val="Normal"/>
    <w:uiPriority w:val="99"/>
    <w:rsid w:val="003255A5"/>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IntroBodystyles">
    <w:name w:val="Intro (Body styles)"/>
    <w:basedOn w:val="NormalBodystyles"/>
    <w:uiPriority w:val="99"/>
    <w:rsid w:val="003255A5"/>
    <w:pPr>
      <w:spacing w:after="397" w:line="320" w:lineRule="atLeast"/>
    </w:pPr>
    <w:rPr>
      <w:b/>
      <w:bCs/>
      <w:color w:val="005130"/>
      <w:sz w:val="24"/>
      <w:szCs w:val="24"/>
    </w:rPr>
  </w:style>
  <w:style w:type="paragraph" w:customStyle="1" w:styleId="Heading2Headings">
    <w:name w:val="Heading 2 (Headings)"/>
    <w:basedOn w:val="Normal"/>
    <w:next w:val="NormalBodystyles"/>
    <w:uiPriority w:val="99"/>
    <w:rsid w:val="003255A5"/>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Heading2afterH1Headings">
    <w:name w:val="Heading 2 (after H1) (Headings)"/>
    <w:basedOn w:val="Heading2Headings"/>
    <w:next w:val="NormalBodystyles"/>
    <w:uiPriority w:val="99"/>
    <w:rsid w:val="003255A5"/>
    <w:pPr>
      <w:spacing w:before="57"/>
    </w:pPr>
  </w:style>
  <w:style w:type="paragraph" w:customStyle="1" w:styleId="Heading2dropcapnumberHeadings">
    <w:name w:val="Heading 2 (drop cap number) (Headings)"/>
    <w:basedOn w:val="Heading2Headings"/>
    <w:next w:val="NormalBodystyles"/>
    <w:uiPriority w:val="99"/>
    <w:rsid w:val="003255A5"/>
    <w:pPr>
      <w:spacing w:before="283" w:after="227"/>
    </w:pPr>
  </w:style>
  <w:style w:type="paragraph" w:customStyle="1" w:styleId="NormalIntroBold">
    <w:name w:val="Normal Intro Bold"/>
    <w:basedOn w:val="NormalBodystyles"/>
    <w:uiPriority w:val="99"/>
    <w:rsid w:val="00D754D9"/>
    <w:pPr>
      <w:spacing w:before="120" w:after="120" w:line="240" w:lineRule="auto"/>
    </w:pPr>
    <w:rPr>
      <w:rFonts w:asciiTheme="minorHAnsi" w:hAnsiTheme="minorHAnsi" w:cs="Open Sans Semibold"/>
      <w:b/>
      <w:sz w:val="22"/>
    </w:rPr>
  </w:style>
  <w:style w:type="paragraph" w:customStyle="1" w:styleId="NormalBeforeBulletBodystyles">
    <w:name w:val="Normal Before Bullet (Body styles)"/>
    <w:basedOn w:val="NormalBodystyles"/>
    <w:next w:val="BulletBulletandNumberlists"/>
    <w:uiPriority w:val="99"/>
    <w:rsid w:val="003255A5"/>
    <w:pPr>
      <w:keepNext/>
      <w:spacing w:after="57"/>
    </w:pPr>
  </w:style>
  <w:style w:type="paragraph" w:customStyle="1" w:styleId="CCSPulloutHeadPullouts">
    <w:name w:val="CCS Pullout Head (Pullouts)"/>
    <w:basedOn w:val="Normal"/>
    <w:uiPriority w:val="99"/>
    <w:rsid w:val="003255A5"/>
    <w:pPr>
      <w:widowControl w:val="0"/>
      <w:suppressAutoHyphens/>
      <w:autoSpaceDE w:val="0"/>
      <w:autoSpaceDN w:val="0"/>
      <w:adjustRightInd w:val="0"/>
      <w:spacing w:before="170" w:after="85" w:line="250" w:lineRule="atLeast"/>
      <w:ind w:left="340"/>
      <w:textAlignment w:val="center"/>
    </w:pPr>
    <w:rPr>
      <w:rFonts w:ascii="Proxima Nova Extrabold" w:eastAsiaTheme="minorEastAsia" w:hAnsi="Proxima Nova Extrabold" w:cs="Proxima Nova Extrabold"/>
      <w:b/>
      <w:bCs/>
      <w:caps/>
      <w:color w:val="009838"/>
      <w:lang w:val="en-GB" w:eastAsia="en-GB"/>
    </w:rPr>
  </w:style>
  <w:style w:type="paragraph" w:customStyle="1" w:styleId="CCSPulloutBodyPullouts">
    <w:name w:val="CCS Pullout Body (Pullouts)"/>
    <w:basedOn w:val="Normal"/>
    <w:uiPriority w:val="99"/>
    <w:rsid w:val="003255A5"/>
    <w:pPr>
      <w:widowControl w:val="0"/>
      <w:suppressAutoHyphens/>
      <w:autoSpaceDE w:val="0"/>
      <w:autoSpaceDN w:val="0"/>
      <w:adjustRightInd w:val="0"/>
      <w:spacing w:before="0" w:after="170" w:line="250" w:lineRule="atLeast"/>
      <w:ind w:left="340"/>
      <w:textAlignment w:val="center"/>
    </w:pPr>
    <w:rPr>
      <w:rFonts w:ascii="Open Sans Semibold" w:eastAsiaTheme="minorEastAsia" w:hAnsi="Open Sans Semibold" w:cs="Open Sans Semibold"/>
      <w:color w:val="000000"/>
      <w:sz w:val="19"/>
      <w:szCs w:val="19"/>
      <w:lang w:val="en-GB" w:eastAsia="en-GB"/>
    </w:rPr>
  </w:style>
  <w:style w:type="paragraph" w:customStyle="1" w:styleId="Heading3Headings">
    <w:name w:val="Heading 3  (Headings)"/>
    <w:basedOn w:val="Normal"/>
    <w:uiPriority w:val="99"/>
    <w:rsid w:val="003255A5"/>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NormalIndicatorBodystyles">
    <w:name w:val="Normal (Indicator) (Body styles)"/>
    <w:basedOn w:val="NormalBodystyles"/>
    <w:uiPriority w:val="99"/>
    <w:rsid w:val="003255A5"/>
  </w:style>
  <w:style w:type="paragraph" w:customStyle="1" w:styleId="BulletBeforeDashBulletandNumberlists">
    <w:name w:val="Bullet Before Dash (Bullet and Number lists)"/>
    <w:basedOn w:val="BulletBulletandNumberlists"/>
    <w:uiPriority w:val="99"/>
    <w:rsid w:val="003255A5"/>
    <w:pPr>
      <w:suppressAutoHyphens/>
      <w:spacing w:before="0" w:after="28" w:line="250" w:lineRule="atLeast"/>
    </w:pPr>
    <w:rPr>
      <w:rFonts w:ascii="Open Sans" w:hAnsi="Open Sans" w:cs="Open Sans"/>
      <w:sz w:val="19"/>
      <w:szCs w:val="19"/>
      <w:lang w:val="en-GB"/>
    </w:rPr>
  </w:style>
  <w:style w:type="paragraph" w:customStyle="1" w:styleId="DashBulletandNumberlists">
    <w:name w:val="Dash (Bullet and Number lists)"/>
    <w:basedOn w:val="Normal"/>
    <w:uiPriority w:val="99"/>
    <w:rsid w:val="003255A5"/>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DashLastBulletandNumberlists">
    <w:name w:val="Dash Last (Bullet and Number lists)"/>
    <w:basedOn w:val="DashBulletandNumberlists"/>
    <w:next w:val="Normal"/>
    <w:uiPriority w:val="99"/>
    <w:rsid w:val="003255A5"/>
    <w:pPr>
      <w:spacing w:after="57"/>
    </w:pPr>
  </w:style>
  <w:style w:type="paragraph" w:customStyle="1" w:styleId="NormalIndicatorBeforeBulletBodystyles">
    <w:name w:val="Normal (Indicator) Before Bullet (Body styles)"/>
    <w:basedOn w:val="NormalIndicatorBodystyles"/>
    <w:uiPriority w:val="99"/>
    <w:rsid w:val="003255A5"/>
    <w:pPr>
      <w:spacing w:after="57"/>
    </w:pPr>
  </w:style>
  <w:style w:type="paragraph" w:customStyle="1" w:styleId="TFIHolderBodystyles">
    <w:name w:val="TFIHolder • (Body styles)"/>
    <w:basedOn w:val="NormalBodystyles"/>
    <w:uiPriority w:val="99"/>
    <w:rsid w:val="003255A5"/>
    <w:pPr>
      <w:spacing w:before="113" w:after="227" w:line="288" w:lineRule="auto"/>
    </w:pPr>
  </w:style>
  <w:style w:type="paragraph" w:customStyle="1" w:styleId="Heading3afterH2Headings">
    <w:name w:val="Heading 3 (after H2) (Headings)"/>
    <w:basedOn w:val="Heading3Headings"/>
    <w:uiPriority w:val="99"/>
    <w:rsid w:val="003255A5"/>
    <w:pPr>
      <w:spacing w:before="57"/>
    </w:pPr>
  </w:style>
  <w:style w:type="paragraph" w:customStyle="1" w:styleId="DisclaimerBodystyles">
    <w:name w:val="Disclaimer (Body styles)"/>
    <w:basedOn w:val="Normal"/>
    <w:uiPriority w:val="99"/>
    <w:rsid w:val="003255A5"/>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paragraph" w:customStyle="1" w:styleId="BoxTitleH3Boxes">
    <w:name w:val="Box Title (H3) (Boxes)"/>
    <w:basedOn w:val="Heading3Headings"/>
    <w:next w:val="Normal"/>
    <w:uiPriority w:val="99"/>
    <w:rsid w:val="003255A5"/>
  </w:style>
  <w:style w:type="character" w:customStyle="1" w:styleId="ItalicBold">
    <w:name w:val="Italic (Bold)"/>
    <w:uiPriority w:val="99"/>
    <w:rsid w:val="003255A5"/>
    <w:rPr>
      <w:b/>
      <w:bCs/>
      <w:i/>
      <w:iCs/>
    </w:rPr>
  </w:style>
  <w:style w:type="character" w:customStyle="1" w:styleId="Hyperlinkitalics">
    <w:name w:val="Hyperlink (italics)"/>
    <w:basedOn w:val="Hyperlink"/>
    <w:uiPriority w:val="99"/>
    <w:rsid w:val="0068305C"/>
    <w:rPr>
      <w:i/>
      <w:iCs/>
      <w:color w:val="1178A0" w:themeColor="background2"/>
      <w:u w:val="single"/>
    </w:rPr>
  </w:style>
  <w:style w:type="character" w:customStyle="1" w:styleId="ItalicSemibold">
    <w:name w:val="Italic (Semibold)"/>
    <w:uiPriority w:val="99"/>
    <w:rsid w:val="003255A5"/>
    <w:rPr>
      <w:i/>
      <w:iCs/>
    </w:rPr>
  </w:style>
  <w:style w:type="character" w:customStyle="1" w:styleId="BoldOSDarkGreen">
    <w:name w:val="Bold OS (Dark Green)"/>
    <w:basedOn w:val="DefaultParagraphFont"/>
    <w:uiPriority w:val="99"/>
    <w:rsid w:val="003255A5"/>
    <w:rPr>
      <w:b/>
      <w:bCs/>
      <w:color w:val="005130"/>
    </w:rPr>
  </w:style>
  <w:style w:type="paragraph" w:customStyle="1" w:styleId="Copyright">
    <w:name w:val="Copyright"/>
    <w:basedOn w:val="Normal"/>
    <w:qFormat/>
    <w:rsid w:val="00E4578A"/>
    <w:rPr>
      <w:rFonts w:eastAsiaTheme="majorEastAsia"/>
      <w:sz w:val="18"/>
      <w:szCs w:val="18"/>
    </w:rPr>
  </w:style>
  <w:style w:type="paragraph" w:customStyle="1" w:styleId="Website">
    <w:name w:val="Website"/>
    <w:basedOn w:val="Normal"/>
    <w:qFormat/>
    <w:rsid w:val="00E4578A"/>
    <w:pPr>
      <w:keepNext/>
      <w:spacing w:before="360" w:after="240"/>
    </w:pPr>
    <w:rPr>
      <w:b/>
      <w:bCs/>
      <w:color w:val="1178A0" w:themeColor="background2"/>
      <w:sz w:val="26"/>
      <w:u w:val="single"/>
    </w:rPr>
  </w:style>
  <w:style w:type="paragraph" w:customStyle="1" w:styleId="CCSIndigenousBannerholderPullouts">
    <w:name w:val="CCS Indigenous Banner holder (Pullouts)"/>
    <w:basedOn w:val="NormalBodystyles"/>
    <w:uiPriority w:val="99"/>
    <w:rsid w:val="00E4578A"/>
    <w:pPr>
      <w:spacing w:before="227" w:after="0" w:line="288" w:lineRule="auto"/>
    </w:pPr>
    <w:rPr>
      <w14:ligatures w14:val="standardContextual"/>
    </w:rPr>
  </w:style>
  <w:style w:type="paragraph" w:customStyle="1" w:styleId="BulletLists">
    <w:name w:val="Bullet (Lists)"/>
    <w:basedOn w:val="NormalBodystyles"/>
    <w:uiPriority w:val="99"/>
    <w:rsid w:val="00E4578A"/>
    <w:pPr>
      <w:tabs>
        <w:tab w:val="left" w:pos="283"/>
      </w:tabs>
      <w:spacing w:after="57"/>
      <w:ind w:left="283" w:hanging="283"/>
    </w:pPr>
    <w:rPr>
      <w14:ligatures w14:val="standardContextual"/>
    </w:rPr>
  </w:style>
  <w:style w:type="paragraph" w:customStyle="1" w:styleId="BulletLastLists">
    <w:name w:val="Bullet Last (Lists)"/>
    <w:basedOn w:val="BulletLists"/>
    <w:uiPriority w:val="99"/>
    <w:rsid w:val="00E4578A"/>
    <w:pPr>
      <w:spacing w:after="142"/>
    </w:pPr>
  </w:style>
  <w:style w:type="paragraph" w:customStyle="1" w:styleId="DisclaimerspanBodystyles">
    <w:name w:val="Disclaimer (span) (Body styles)"/>
    <w:basedOn w:val="Normal"/>
    <w:uiPriority w:val="99"/>
    <w:rsid w:val="00E4578A"/>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14:ligatures w14:val="standardContextual"/>
    </w:rPr>
  </w:style>
  <w:style w:type="character" w:customStyle="1" w:styleId="BoldItalicGreen">
    <w:name w:val="Bold Italic Green"/>
    <w:uiPriority w:val="99"/>
    <w:rsid w:val="00E4578A"/>
    <w:rPr>
      <w:b/>
      <w:bCs/>
      <w:i/>
      <w:iCs/>
    </w:rPr>
  </w:style>
  <w:style w:type="character" w:customStyle="1" w:styleId="DesignerNotes">
    <w:name w:val="Designer Notes"/>
    <w:uiPriority w:val="99"/>
    <w:rsid w:val="00E4578A"/>
    <w:rPr>
      <w:color w:val="C90C88"/>
      <w:sz w:val="19"/>
      <w:szCs w:val="19"/>
      <w:u w:val="thick" w:color="FFFF00"/>
    </w:rPr>
  </w:style>
  <w:style w:type="character" w:customStyle="1" w:styleId="StrongSemibold">
    <w:name w:val="Strong (Semibold)"/>
    <w:basedOn w:val="Strong"/>
    <w:uiPriority w:val="99"/>
    <w:rsid w:val="00D329E7"/>
    <w:rPr>
      <w:rFonts w:ascii="Open Sans Semibold" w:hAnsi="Open Sans Semibold" w:cs="Open Sans Semibold"/>
      <w:b/>
      <w:bCs/>
    </w:rPr>
  </w:style>
  <w:style w:type="paragraph" w:customStyle="1" w:styleId="NormalSemiboldBodystyles">
    <w:name w:val="Normal Semibold (Body styles)"/>
    <w:basedOn w:val="Normal"/>
    <w:uiPriority w:val="99"/>
    <w:rsid w:val="00CD7B73"/>
    <w:pPr>
      <w:widowControl w:val="0"/>
      <w:autoSpaceDE w:val="0"/>
      <w:autoSpaceDN w:val="0"/>
      <w:adjustRightInd w:val="0"/>
      <w:spacing w:line="288" w:lineRule="auto"/>
      <w:textAlignment w:val="center"/>
    </w:pPr>
    <w:rPr>
      <w:rFonts w:ascii="Arial" w:eastAsiaTheme="minorEastAsia" w:hAnsi="Arial" w:cs="Arial"/>
      <w:color w:val="000000"/>
      <w:lang w:val="en-US" w:eastAsia="en-GB"/>
      <w14:ligatures w14:val="standardContextual"/>
    </w:rPr>
  </w:style>
  <w:style w:type="paragraph" w:customStyle="1" w:styleId="BulletLastcopyLists">
    <w:name w:val="Bullet Last copy (Lists)"/>
    <w:basedOn w:val="ListParagraph"/>
    <w:uiPriority w:val="99"/>
    <w:rsid w:val="00CD7B73"/>
    <w:pPr>
      <w:widowControl w:val="0"/>
      <w:autoSpaceDE w:val="0"/>
      <w:autoSpaceDN w:val="0"/>
      <w:adjustRightInd w:val="0"/>
      <w:spacing w:after="142" w:line="288" w:lineRule="auto"/>
      <w:contextualSpacing w:val="0"/>
      <w:textAlignment w:val="center"/>
    </w:pPr>
    <w:rPr>
      <w:rFonts w:ascii="Arial" w:eastAsiaTheme="minorEastAsia" w:hAnsi="Arial" w:cs="Arial"/>
      <w:color w:val="000000"/>
      <w:lang w:val="en-US"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696657851">
      <w:bodyDiv w:val="1"/>
      <w:marLeft w:val="0"/>
      <w:marRight w:val="0"/>
      <w:marTop w:val="0"/>
      <w:marBottom w:val="0"/>
      <w:divBdr>
        <w:top w:val="none" w:sz="0" w:space="0" w:color="auto"/>
        <w:left w:val="none" w:sz="0" w:space="0" w:color="auto"/>
        <w:bottom w:val="none" w:sz="0" w:space="0" w:color="auto"/>
        <w:right w:val="none" w:sz="0" w:space="0" w:color="auto"/>
      </w:divBdr>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684895189">
      <w:bodyDiv w:val="1"/>
      <w:marLeft w:val="0"/>
      <w:marRight w:val="0"/>
      <w:marTop w:val="0"/>
      <w:marBottom w:val="0"/>
      <w:divBdr>
        <w:top w:val="none" w:sz="0" w:space="0" w:color="auto"/>
        <w:left w:val="none" w:sz="0" w:space="0" w:color="auto"/>
        <w:bottom w:val="none" w:sz="0" w:space="0" w:color="auto"/>
        <w:right w:val="none" w:sz="0" w:space="0" w:color="auto"/>
      </w:divBdr>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eor.aihw.gov.au/content/788514" TargetMode="External"/><Relationship Id="rId13" Type="http://schemas.openxmlformats.org/officeDocument/2006/relationships/hyperlink" Target="http://safetyandquality.gov.au/hmb-cc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publications-and-resources/resource-library/national-reference-data-heavy-menstrual-bleeding-clinical-care-standard-indicator-9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meteor.aihw.gov.au/content/7885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afetyandquality.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195</TotalTime>
  <Pages>8</Pages>
  <Words>2297</Words>
  <Characters>13993</Characters>
  <Application>Microsoft Office Word</Application>
  <DocSecurity>0</DocSecurity>
  <Lines>245</Lines>
  <Paragraphs>128</Paragraphs>
  <ScaleCrop>false</ScaleCrop>
  <HeadingPairs>
    <vt:vector size="2" baseType="variant">
      <vt:variant>
        <vt:lpstr>Title</vt:lpstr>
      </vt:variant>
      <vt:variant>
        <vt:i4>1</vt:i4>
      </vt:variant>
    </vt:vector>
  </HeadingPairs>
  <TitlesOfParts>
    <vt:vector size="1" baseType="lpstr">
      <vt:lpstr>Information for healthcare services: Psychotropic Medicines in Cognitive Disability or Impairment Clinical Care Standard 2024</vt:lpstr>
    </vt:vector>
  </TitlesOfParts>
  <Manager/>
  <Company>Australian Commission on Safety and Quality in Health Care</Company>
  <LinksUpToDate>false</LinksUpToDate>
  <CharactersWithSpaces>16162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healthcare services: Heavy Menstrual Bleeding Clinical Care Standard 2024</dc:title>
  <dc:subject/>
  <dc:creator>Australian Commission on Safety and Quality in Health Care</dc:creator>
  <cp:keywords/>
  <dc:description/>
  <cp:lastModifiedBy>James</cp:lastModifiedBy>
  <cp:revision>311</cp:revision>
  <cp:lastPrinted>2020-03-04T03:32:00Z</cp:lastPrinted>
  <dcterms:created xsi:type="dcterms:W3CDTF">2021-04-19T06:25:00Z</dcterms:created>
  <dcterms:modified xsi:type="dcterms:W3CDTF">2024-06-17T07:06:00Z</dcterms:modified>
  <cp:category/>
</cp:coreProperties>
</file>