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C13B" w14:textId="675172F2" w:rsidR="000322F3" w:rsidRPr="005419BC" w:rsidRDefault="00CC7EF8" w:rsidP="000322F3">
      <w:pPr>
        <w:pStyle w:val="Category"/>
        <w:rPr>
          <w:b w:val="0"/>
          <w:smallCaps/>
        </w:rPr>
      </w:pPr>
      <w:bookmarkStart w:id="0" w:name="_Toc476822632"/>
      <w:bookmarkStart w:id="1" w:name="_Toc476822653"/>
      <w:r w:rsidRPr="00EF58E3">
        <w:rPr>
          <w:bCs/>
          <w:smallCaps/>
          <w:lang w:val="en-GB"/>
        </w:rPr>
        <w:t>KEY ACTIONS</w:t>
      </w:r>
    </w:p>
    <w:p w14:paraId="0C97384F" w14:textId="6667984E" w:rsidR="005419BC" w:rsidRPr="005419BC" w:rsidRDefault="005419BC" w:rsidP="005419BC">
      <w:pPr>
        <w:pStyle w:val="Category"/>
        <w:ind w:left="5670"/>
        <w:rPr>
          <w:b w:val="0"/>
          <w:lang w:val="en-GB"/>
        </w:rPr>
      </w:pPr>
      <w:r w:rsidRPr="005419BC">
        <w:rPr>
          <w:b w:val="0"/>
          <w:lang w:val="en-GB"/>
        </w:rPr>
        <w:t>for health service organisations</w:t>
      </w:r>
    </w:p>
    <w:p w14:paraId="395BE341" w14:textId="405C4B7C" w:rsidR="000322F3" w:rsidRPr="006864C0" w:rsidRDefault="000322F3" w:rsidP="006864C0">
      <w:pPr>
        <w:pStyle w:val="Category"/>
        <w:rPr>
          <w:b w:val="0"/>
          <w:lang w:val="en-AU"/>
        </w:rPr>
      </w:pPr>
      <w:r w:rsidRPr="00466C72">
        <w:rPr>
          <w:b w:val="0"/>
          <w:bCs/>
        </w:rPr>
        <w:t xml:space="preserve"> </w:t>
      </w:r>
    </w:p>
    <w:bookmarkEnd w:id="0"/>
    <w:bookmarkEnd w:id="1"/>
    <w:p w14:paraId="0403DDBF" w14:textId="77777777" w:rsidR="00ED743C" w:rsidRDefault="00ED743C" w:rsidP="00ED743C">
      <w:pPr>
        <w:pStyle w:val="Title"/>
        <w:spacing w:after="120"/>
      </w:pPr>
      <w:r w:rsidRPr="00ED743C">
        <w:t>‘Mixed</w:t>
      </w:r>
      <w:r w:rsidRPr="00ED743C">
        <w:rPr>
          <w:rFonts w:ascii="Cambria Math" w:hAnsi="Cambria Math" w:cs="Cambria Math"/>
        </w:rPr>
        <w:t>‑</w:t>
      </w:r>
      <w:r w:rsidRPr="00ED743C">
        <w:t>case lettering’: Principles for application</w:t>
      </w:r>
    </w:p>
    <w:p w14:paraId="22851EAF" w14:textId="77777777" w:rsidR="00ED743C" w:rsidRPr="00ED743C" w:rsidRDefault="00ED743C" w:rsidP="00ED743C">
      <w:pPr>
        <w:pStyle w:val="Subtitle"/>
        <w:spacing w:before="120" w:after="480"/>
      </w:pPr>
      <w:r w:rsidRPr="00ED743C">
        <w:t>Formerly known as ‘Tall Man lettering’</w:t>
      </w:r>
    </w:p>
    <w:p w14:paraId="71B04993" w14:textId="77777777" w:rsidR="00ED743C" w:rsidRPr="00ED743C" w:rsidRDefault="00ED743C" w:rsidP="00ED743C">
      <w:pPr>
        <w:pStyle w:val="Heading2"/>
      </w:pPr>
      <w:bookmarkStart w:id="2" w:name="F1"/>
      <w:r w:rsidRPr="00ED743C">
        <w:t>Background</w:t>
      </w:r>
    </w:p>
    <w:p w14:paraId="13038FC1" w14:textId="77777777" w:rsidR="00ED743C" w:rsidRDefault="00ED743C" w:rsidP="003C7EE3">
      <w:r>
        <w:t xml:space="preserve">The Australian Commission on Safety and Quality in Health Care (the Commission) is responsible for the development and stewardship of the </w:t>
      </w:r>
      <w:hyperlink r:id="rId8" w:history="1">
        <w:r>
          <w:rPr>
            <w:rStyle w:val="HyperlinkItalics"/>
          </w:rPr>
          <w:t>National Mixed</w:t>
        </w:r>
        <w:r>
          <w:rPr>
            <w:rStyle w:val="HyperlinkItalics"/>
            <w:rFonts w:ascii="Cambria Math" w:hAnsi="Cambria Math" w:cs="Cambria Math"/>
          </w:rPr>
          <w:t>‑</w:t>
        </w:r>
        <w:r>
          <w:rPr>
            <w:rStyle w:val="HyperlinkItalics"/>
          </w:rPr>
          <w:t>Case Lettering List</w:t>
        </w:r>
      </w:hyperlink>
      <w:r>
        <w:t xml:space="preserve"> (the List).</w:t>
      </w:r>
      <w:r>
        <w:rPr>
          <w:rStyle w:val="Superscript"/>
        </w:rPr>
        <w:t>1</w:t>
      </w:r>
      <w:r>
        <w:t xml:space="preserve"> The List compiles look-alike sound-alike (</w:t>
      </w:r>
      <w:r w:rsidRPr="003C7EE3">
        <w:t>LASA</w:t>
      </w:r>
      <w:r>
        <w:t xml:space="preserve">) medicine names (generic and brand names) that have been predicted to pose the greatest risks to patient safety. The List shows LASA medicine names in pairs or groups (trios). </w:t>
      </w:r>
    </w:p>
    <w:p w14:paraId="0AAEA2A1" w14:textId="77777777" w:rsidR="00ED743C" w:rsidRDefault="00ED743C" w:rsidP="003C7EE3">
      <w:r>
        <w:t xml:space="preserve">This fact sheet has been developed to </w:t>
      </w:r>
      <w:r w:rsidRPr="003C7EE3">
        <w:t>assist</w:t>
      </w:r>
      <w:r>
        <w:t xml:space="preserve"> health service organisations (HSOs) and clinicians involved in medication management, including the prescribing, dispensing and administration of medicines.</w:t>
      </w:r>
    </w:p>
    <w:p w14:paraId="68A1A0D9" w14:textId="77777777" w:rsidR="00ED743C" w:rsidRDefault="00ED743C" w:rsidP="00ED743C">
      <w:pPr>
        <w:pStyle w:val="Heading2"/>
      </w:pPr>
      <w:r>
        <w:t xml:space="preserve">How to use this fact sheet </w:t>
      </w:r>
    </w:p>
    <w:p w14:paraId="1BA4A509" w14:textId="77777777" w:rsidR="00ED743C" w:rsidRDefault="00ED743C" w:rsidP="003C7EE3">
      <w:r>
        <w:t>The fact sheet can be used by HSOs to assist in the understanding of the application of ‘mixed</w:t>
      </w:r>
      <w:r>
        <w:rPr>
          <w:rFonts w:ascii="Cambria Math" w:hAnsi="Cambria Math" w:cs="Cambria Math"/>
        </w:rPr>
        <w:t>‑</w:t>
      </w:r>
      <w:r>
        <w:t>case lettering’ as a risk-reduction strategy. Its </w:t>
      </w:r>
      <w:r w:rsidRPr="003C7EE3">
        <w:t>implementation</w:t>
      </w:r>
      <w:r>
        <w:t xml:space="preserve"> should include educating clinicians about the risks associated with LASA medicine names and the purpose of ‘mixed</w:t>
      </w:r>
      <w:r>
        <w:rPr>
          <w:rFonts w:ascii="Cambria Math" w:hAnsi="Cambria Math" w:cs="Cambria Math"/>
        </w:rPr>
        <w:t>‑</w:t>
      </w:r>
      <w:r>
        <w:t>case lettering’.</w:t>
      </w:r>
    </w:p>
    <w:p w14:paraId="165C1BF2" w14:textId="77777777" w:rsidR="00ED743C" w:rsidRDefault="00ED743C" w:rsidP="00ED743C">
      <w:pPr>
        <w:pStyle w:val="Heading2"/>
      </w:pPr>
      <w:r>
        <w:t>What is ‘mixed</w:t>
      </w:r>
      <w:r>
        <w:rPr>
          <w:rFonts w:ascii="Cambria Math" w:hAnsi="Cambria Math" w:cs="Cambria Math"/>
        </w:rPr>
        <w:t>‑</w:t>
      </w:r>
      <w:r>
        <w:t xml:space="preserve">case lettering’? </w:t>
      </w:r>
    </w:p>
    <w:p w14:paraId="66A8C5F0" w14:textId="77777777" w:rsidR="00ED743C" w:rsidRDefault="00ED743C" w:rsidP="003C7EE3">
      <w:r>
        <w:t>‘Mixed</w:t>
      </w:r>
      <w:r>
        <w:rPr>
          <w:rFonts w:ascii="Cambria Math" w:hAnsi="Cambria Math" w:cs="Cambria Math"/>
        </w:rPr>
        <w:t>‑</w:t>
      </w:r>
      <w:r>
        <w:t xml:space="preserve">case lettering’ (also referred to as ‘Tall Man lettering’) is a typographic technique that uses selective capitalisation to help make similar looking medicine names </w:t>
      </w:r>
      <w:r w:rsidRPr="003C7EE3">
        <w:t>more</w:t>
      </w:r>
      <w:r>
        <w:t xml:space="preserve"> easily distinguishable.</w:t>
      </w:r>
      <w:r>
        <w:rPr>
          <w:rStyle w:val="Superscript"/>
        </w:rPr>
        <w:t xml:space="preserve">2,3,4 </w:t>
      </w:r>
      <w:r>
        <w:t xml:space="preserve">It uses a combination of lower- and upper-case letters to highlight differences. For example: </w:t>
      </w:r>
    </w:p>
    <w:p w14:paraId="73BE7CC6" w14:textId="77777777" w:rsidR="00ED743C" w:rsidRPr="003C7EE3" w:rsidRDefault="00ED743C" w:rsidP="003C7EE3">
      <w:pPr>
        <w:pStyle w:val="ListParagraph"/>
        <w:numPr>
          <w:ilvl w:val="0"/>
          <w:numId w:val="559"/>
        </w:numPr>
      </w:pPr>
      <w:proofErr w:type="spellStart"/>
      <w:r>
        <w:t>proGRAF</w:t>
      </w:r>
      <w:proofErr w:type="spellEnd"/>
      <w:r>
        <w:t xml:space="preserve"> </w:t>
      </w:r>
      <w:r w:rsidRPr="003C7EE3">
        <w:t xml:space="preserve">and </w:t>
      </w:r>
      <w:proofErr w:type="spellStart"/>
      <w:r w:rsidRPr="003C7EE3">
        <w:t>proZAC</w:t>
      </w:r>
      <w:proofErr w:type="spellEnd"/>
    </w:p>
    <w:p w14:paraId="6DC5AA0B" w14:textId="77777777" w:rsidR="00ED743C" w:rsidRDefault="00ED743C" w:rsidP="003C7EE3">
      <w:pPr>
        <w:pStyle w:val="ListParagraph"/>
        <w:numPr>
          <w:ilvl w:val="0"/>
          <w:numId w:val="559"/>
        </w:numPr>
      </w:pPr>
      <w:proofErr w:type="spellStart"/>
      <w:r w:rsidRPr="003C7EE3">
        <w:t>oBINUTUZum</w:t>
      </w:r>
      <w:r>
        <w:t>ab</w:t>
      </w:r>
      <w:proofErr w:type="spellEnd"/>
      <w:r>
        <w:t xml:space="preserve"> and </w:t>
      </w:r>
      <w:proofErr w:type="spellStart"/>
      <w:r>
        <w:t>oFATUMumab</w:t>
      </w:r>
      <w:proofErr w:type="spellEnd"/>
      <w:r>
        <w:t>.</w:t>
      </w:r>
    </w:p>
    <w:p w14:paraId="53195A69" w14:textId="77777777" w:rsidR="00ED743C" w:rsidRDefault="00ED743C" w:rsidP="00ED743C">
      <w:pPr>
        <w:pStyle w:val="Heading2"/>
      </w:pPr>
      <w:r>
        <w:t>Why is it used?</w:t>
      </w:r>
    </w:p>
    <w:p w14:paraId="0EAE5613" w14:textId="2C97CB9B" w:rsidR="00ED743C" w:rsidRDefault="00ED743C" w:rsidP="003C7EE3">
      <w:pPr>
        <w:rPr>
          <w:rStyle w:val="Superscript"/>
        </w:rPr>
      </w:pPr>
      <w:r>
        <w:t>Medication errors are one of the most reported clinical incidents in acute healthcare settings. The</w:t>
      </w:r>
      <w:r w:rsidR="003C7EE3">
        <w:t> </w:t>
      </w:r>
      <w:r>
        <w:t xml:space="preserve">prevalence of medication errors is a concern, particularly as many are preventable. Medication incidents related to LASA medicine names are one of the most common </w:t>
      </w:r>
      <w:proofErr w:type="gramStart"/>
      <w:r>
        <w:t>type</w:t>
      </w:r>
      <w:proofErr w:type="gramEnd"/>
      <w:r>
        <w:t xml:space="preserve"> of medication error.</w:t>
      </w:r>
      <w:r>
        <w:rPr>
          <w:rStyle w:val="Superscript"/>
        </w:rPr>
        <w:t xml:space="preserve"> 5,6,7</w:t>
      </w:r>
    </w:p>
    <w:p w14:paraId="2489E12E" w14:textId="77777777" w:rsidR="00ED743C" w:rsidRDefault="00ED743C" w:rsidP="003C7EE3">
      <w:r>
        <w:lastRenderedPageBreak/>
        <w:t>Research based on experimental psychology suggests that ‘mixed</w:t>
      </w:r>
      <w:r>
        <w:rPr>
          <w:rFonts w:ascii="Cambria Math" w:hAnsi="Cambria Math" w:cs="Cambria Math"/>
        </w:rPr>
        <w:t>‑</w:t>
      </w:r>
      <w:r>
        <w:t>case lettering’ purposely disrupts the reading of a medicine name, drawing attention to one or more differentiating syllables, and potentially preventing erroneous selection of a medicine with a similar name.</w:t>
      </w:r>
    </w:p>
    <w:p w14:paraId="589069A4" w14:textId="2FDF6602" w:rsidR="00ED743C" w:rsidRDefault="00ED743C" w:rsidP="00ED743C">
      <w:pPr>
        <w:pStyle w:val="Heading2"/>
      </w:pPr>
      <w:r>
        <w:t>How is ‘mixed</w:t>
      </w:r>
      <w:r>
        <w:rPr>
          <w:rFonts w:ascii="Cambria Math" w:hAnsi="Cambria Math" w:cs="Cambria Math"/>
        </w:rPr>
        <w:t>‑</w:t>
      </w:r>
      <w:r>
        <w:t>case lettering’ applied?</w:t>
      </w:r>
    </w:p>
    <w:p w14:paraId="3731A0CE" w14:textId="3E5C91DC" w:rsidR="00ED743C" w:rsidRDefault="00ED743C" w:rsidP="003C7EE3">
      <w:r>
        <w:t>The medicine names on the List have ‘mixed</w:t>
      </w:r>
      <w:r>
        <w:rPr>
          <w:rFonts w:ascii="Cambria Math" w:hAnsi="Cambria Math" w:cs="Cambria Math"/>
        </w:rPr>
        <w:t>‑</w:t>
      </w:r>
      <w:r>
        <w:t xml:space="preserve">case lettering’ applied to them consistent with a national convention. This is a systematic process to reserve the </w:t>
      </w:r>
      <w:r>
        <w:rPr>
          <w:spacing w:val="-1"/>
        </w:rPr>
        <w:t xml:space="preserve">strategy for those medicine name pairs that would most </w:t>
      </w:r>
      <w:r>
        <w:t>benefit. ‘Mixed</w:t>
      </w:r>
      <w:r>
        <w:rPr>
          <w:rFonts w:ascii="Cambria Math" w:hAnsi="Cambria Math" w:cs="Cambria Math"/>
        </w:rPr>
        <w:t>‑</w:t>
      </w:r>
      <w:r>
        <w:t>case lettering’ is only one of several risk-mitigation strategies used to differentiate LASA medicines names. Some principles for the application of ‘mixed</w:t>
      </w:r>
      <w:r>
        <w:rPr>
          <w:rFonts w:ascii="Cambria Math" w:hAnsi="Cambria Math" w:cs="Cambria Math"/>
        </w:rPr>
        <w:t>‑</w:t>
      </w:r>
      <w:r>
        <w:t xml:space="preserve">case lettering’ are provided in </w:t>
      </w:r>
      <w:r w:rsidR="00C24BC6" w:rsidRPr="00C24BC6">
        <w:rPr>
          <w:b/>
          <w:bCs/>
        </w:rPr>
        <w:fldChar w:fldCharType="begin"/>
      </w:r>
      <w:r w:rsidR="00C24BC6" w:rsidRPr="00C24BC6">
        <w:rPr>
          <w:b/>
          <w:bCs/>
        </w:rPr>
        <w:instrText xml:space="preserve"> REF T1S \h </w:instrText>
      </w:r>
      <w:r w:rsidR="00C24BC6">
        <w:rPr>
          <w:b/>
          <w:bCs/>
        </w:rPr>
        <w:instrText xml:space="preserve"> \* MERGEFORMAT </w:instrText>
      </w:r>
      <w:r w:rsidR="00C24BC6" w:rsidRPr="00C24BC6">
        <w:rPr>
          <w:b/>
          <w:bCs/>
        </w:rPr>
      </w:r>
      <w:r w:rsidR="00C24BC6" w:rsidRPr="00C24BC6">
        <w:rPr>
          <w:b/>
          <w:bCs/>
        </w:rPr>
        <w:fldChar w:fldCharType="separate"/>
      </w:r>
      <w:r w:rsidR="00C24BC6" w:rsidRPr="00C24BC6">
        <w:rPr>
          <w:b/>
          <w:bCs/>
        </w:rPr>
        <w:t>Table 1</w:t>
      </w:r>
      <w:r w:rsidR="00C24BC6" w:rsidRPr="00C24BC6">
        <w:rPr>
          <w:b/>
          <w:bCs/>
        </w:rPr>
        <w:fldChar w:fldCharType="end"/>
      </w:r>
      <w:r>
        <w:t xml:space="preserve">.  </w:t>
      </w:r>
    </w:p>
    <w:p w14:paraId="05F2CBB7" w14:textId="07827935" w:rsidR="00ED743C" w:rsidRDefault="00C24BC6" w:rsidP="003C7EE3">
      <w:r w:rsidRPr="00C24BC6">
        <w:rPr>
          <w:rStyle w:val="Hyperlink"/>
          <w:b/>
          <w:bCs/>
        </w:rPr>
        <w:fldChar w:fldCharType="begin"/>
      </w:r>
      <w:r w:rsidRPr="00C24BC6">
        <w:rPr>
          <w:rStyle w:val="Hyperlink"/>
          <w:b/>
          <w:bCs/>
        </w:rPr>
        <w:instrText xml:space="preserve"> REF T2S \h </w:instrText>
      </w:r>
      <w:r>
        <w:rPr>
          <w:rStyle w:val="Hyperlink"/>
          <w:b/>
          <w:bCs/>
        </w:rPr>
        <w:instrText xml:space="preserve"> \* MERGEFORMAT </w:instrText>
      </w:r>
      <w:r w:rsidRPr="00C24BC6">
        <w:rPr>
          <w:rStyle w:val="Hyperlink"/>
          <w:b/>
          <w:bCs/>
        </w:rPr>
      </w:r>
      <w:r w:rsidRPr="00C24BC6">
        <w:rPr>
          <w:rStyle w:val="Hyperlink"/>
          <w:b/>
          <w:bCs/>
        </w:rPr>
        <w:fldChar w:fldCharType="separate"/>
      </w:r>
      <w:r w:rsidRPr="00C24BC6">
        <w:rPr>
          <w:b/>
          <w:bCs/>
        </w:rPr>
        <w:t>Table 2</w:t>
      </w:r>
      <w:r w:rsidRPr="00C24BC6">
        <w:rPr>
          <w:rStyle w:val="Hyperlink"/>
          <w:b/>
          <w:bCs/>
        </w:rPr>
        <w:fldChar w:fldCharType="end"/>
      </w:r>
      <w:r w:rsidR="00ED743C">
        <w:t xml:space="preserve"> provides guidance on how to risk assess and apply ‘mixed</w:t>
      </w:r>
      <w:r w:rsidR="00ED743C">
        <w:rPr>
          <w:rFonts w:ascii="Cambria Math" w:hAnsi="Cambria Math" w:cs="Cambria Math"/>
        </w:rPr>
        <w:t>‑</w:t>
      </w:r>
      <w:r w:rsidR="00ED743C">
        <w:t xml:space="preserve">case lettering’. </w:t>
      </w:r>
      <w:r w:rsidRPr="00B26FC0">
        <w:rPr>
          <w:b/>
          <w:bCs/>
        </w:rPr>
        <w:fldChar w:fldCharType="begin"/>
      </w:r>
      <w:r w:rsidRPr="00B26FC0">
        <w:rPr>
          <w:b/>
          <w:bCs/>
        </w:rPr>
        <w:instrText xml:space="preserve"> REF F1S \h </w:instrText>
      </w:r>
      <w:r>
        <w:rPr>
          <w:b/>
          <w:bCs/>
        </w:rPr>
        <w:instrText xml:space="preserve"> \* MERGEFORMAT </w:instrText>
      </w:r>
      <w:r w:rsidRPr="00B26FC0">
        <w:rPr>
          <w:b/>
          <w:bCs/>
        </w:rPr>
      </w:r>
      <w:r w:rsidRPr="00B26FC0">
        <w:rPr>
          <w:b/>
          <w:bCs/>
        </w:rPr>
        <w:fldChar w:fldCharType="separate"/>
      </w:r>
      <w:r w:rsidRPr="00B26FC0">
        <w:rPr>
          <w:b/>
          <w:bCs/>
        </w:rPr>
        <w:t>Figure 1</w:t>
      </w:r>
      <w:r w:rsidRPr="00B26FC0">
        <w:rPr>
          <w:b/>
          <w:bCs/>
        </w:rPr>
        <w:fldChar w:fldCharType="end"/>
      </w:r>
      <w:r w:rsidR="00ED743C">
        <w:t xml:space="preserve"> provides a flowchart/decision tree with a worked </w:t>
      </w:r>
      <w:r w:rsidR="00ED743C" w:rsidRPr="003C7EE3">
        <w:t>example</w:t>
      </w:r>
      <w:r w:rsidR="00ED743C">
        <w:t xml:space="preserve"> in</w:t>
      </w:r>
      <w:r>
        <w:t xml:space="preserve"> </w:t>
      </w:r>
      <w:r w:rsidRPr="00C24BC6">
        <w:rPr>
          <w:b/>
          <w:bCs/>
        </w:rPr>
        <w:fldChar w:fldCharType="begin"/>
      </w:r>
      <w:r w:rsidRPr="00C24BC6">
        <w:rPr>
          <w:b/>
          <w:bCs/>
        </w:rPr>
        <w:instrText xml:space="preserve"> REF F2S \h </w:instrText>
      </w:r>
      <w:r>
        <w:rPr>
          <w:b/>
          <w:bCs/>
        </w:rPr>
        <w:instrText xml:space="preserve"> \* MERGEFORMAT </w:instrText>
      </w:r>
      <w:r w:rsidRPr="00C24BC6">
        <w:rPr>
          <w:b/>
          <w:bCs/>
        </w:rPr>
      </w:r>
      <w:r w:rsidRPr="00C24BC6">
        <w:rPr>
          <w:b/>
          <w:bCs/>
        </w:rPr>
        <w:fldChar w:fldCharType="separate"/>
      </w:r>
      <w:r w:rsidRPr="00C24BC6">
        <w:rPr>
          <w:b/>
          <w:bCs/>
        </w:rPr>
        <w:t>Figure 2</w:t>
      </w:r>
      <w:r w:rsidRPr="00C24BC6">
        <w:rPr>
          <w:b/>
          <w:bCs/>
        </w:rPr>
        <w:fldChar w:fldCharType="end"/>
      </w:r>
      <w:r w:rsidR="00ED743C">
        <w:t xml:space="preserve"> on how to apply ‘mixed</w:t>
      </w:r>
      <w:r w:rsidR="00ED743C">
        <w:rPr>
          <w:rFonts w:ascii="Cambria Math" w:hAnsi="Cambria Math" w:cs="Cambria Math"/>
        </w:rPr>
        <w:t>‑</w:t>
      </w:r>
      <w:r w:rsidR="00ED743C">
        <w:t>case lettering’ to medicine names.</w:t>
      </w:r>
    </w:p>
    <w:p w14:paraId="4E7DECE4" w14:textId="6890DCC4" w:rsidR="00ED743C" w:rsidRDefault="00ED743C" w:rsidP="00ED743C">
      <w:pPr>
        <w:pStyle w:val="Heading2"/>
      </w:pPr>
      <w:r>
        <w:t>Where else is ‘mixed</w:t>
      </w:r>
      <w:r>
        <w:rPr>
          <w:rFonts w:ascii="Cambria Math" w:hAnsi="Cambria Math" w:cs="Cambria Math"/>
        </w:rPr>
        <w:t>‑</w:t>
      </w:r>
      <w:r>
        <w:t>case lettering’ used?</w:t>
      </w:r>
    </w:p>
    <w:p w14:paraId="4FF5D69F" w14:textId="77777777" w:rsidR="00ED743C" w:rsidRDefault="00ED743C" w:rsidP="00A63D0E">
      <w:r w:rsidRPr="00A63D0E">
        <w:t>Internationally, the Institute for Safe Medication Practices (ISMP) and ISMP Canada, the International Medication Safety Network</w:t>
      </w:r>
      <w:r>
        <w:t xml:space="preserve"> (</w:t>
      </w:r>
      <w:r w:rsidRPr="00A63D0E">
        <w:t>IMSN</w:t>
      </w:r>
      <w:r>
        <w:t>), the World Health Organization (WHO) and many other organisations recommend ‘mixed</w:t>
      </w:r>
      <w:r>
        <w:rPr>
          <w:rFonts w:ascii="Cambria Math" w:hAnsi="Cambria Math" w:cs="Cambria Math"/>
        </w:rPr>
        <w:t>‑</w:t>
      </w:r>
      <w:r>
        <w:t>case (or Tall Man) lettering’ as a strategy to minimise risk associated with LASA medicine names.</w:t>
      </w:r>
      <w:r>
        <w:rPr>
          <w:rStyle w:val="Superscript"/>
        </w:rPr>
        <w:t>8-20</w:t>
      </w:r>
    </w:p>
    <w:p w14:paraId="25376BE7" w14:textId="77777777" w:rsidR="00ED743C" w:rsidRDefault="00ED743C" w:rsidP="00ED743C">
      <w:pPr>
        <w:pStyle w:val="Heading2"/>
      </w:pPr>
      <w:r>
        <w:t>Questions?</w:t>
      </w:r>
    </w:p>
    <w:p w14:paraId="0553A5BE" w14:textId="289F7561" w:rsidR="00E37629" w:rsidRDefault="00E37629" w:rsidP="00ED743C">
      <w:r w:rsidRPr="00E37629">
        <w:rPr>
          <w:noProof/>
        </w:rPr>
        <w:drawing>
          <wp:inline distT="0" distB="0" distL="0" distR="0" wp14:anchorId="0866DA0A" wp14:editId="24954445">
            <wp:extent cx="850900" cy="863600"/>
            <wp:effectExtent l="0" t="0" r="0" b="0"/>
            <wp:docPr id="68152152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21520" name="Picture 1" descr="QR code"/>
                    <pic:cNvPicPr/>
                  </pic:nvPicPr>
                  <pic:blipFill>
                    <a:blip r:embed="rId9"/>
                    <a:stretch>
                      <a:fillRect/>
                    </a:stretch>
                  </pic:blipFill>
                  <pic:spPr>
                    <a:xfrm>
                      <a:off x="0" y="0"/>
                      <a:ext cx="850900" cy="863600"/>
                    </a:xfrm>
                    <a:prstGeom prst="rect">
                      <a:avLst/>
                    </a:prstGeom>
                  </pic:spPr>
                </pic:pic>
              </a:graphicData>
            </a:graphic>
          </wp:inline>
        </w:drawing>
      </w:r>
    </w:p>
    <w:p w14:paraId="5A334419" w14:textId="53552AB1" w:rsidR="00ED743C" w:rsidRDefault="00ED743C" w:rsidP="00ED743C">
      <w:pPr>
        <w:rPr>
          <w:rStyle w:val="CommentReference"/>
          <w:b/>
          <w:bCs/>
          <w:sz w:val="9"/>
          <w:szCs w:val="9"/>
        </w:rPr>
      </w:pPr>
      <w:r>
        <w:t xml:space="preserve">For more information, </w:t>
      </w:r>
      <w:r w:rsidRPr="00ED743C">
        <w:t>please</w:t>
      </w:r>
      <w:r>
        <w:t xml:space="preserve"> visit: </w:t>
      </w:r>
      <w:hyperlink r:id="rId10" w:history="1">
        <w:r w:rsidRPr="00ED743C">
          <w:rPr>
            <w:rStyle w:val="Hyperlink"/>
          </w:rPr>
          <w:t>www.safetyandquality.gov.au/our-work/medication-safety/safer-naming-and-labelling-medicines/national-mixed-case-lettering-list</w:t>
        </w:r>
      </w:hyperlink>
      <w:r>
        <w:t xml:space="preserve"> </w:t>
      </w:r>
    </w:p>
    <w:p w14:paraId="7BC86259" w14:textId="77777777" w:rsidR="00ED743C" w:rsidRDefault="00ED743C" w:rsidP="00ED743C">
      <w:pPr>
        <w:rPr>
          <w:rStyle w:val="CommentReference"/>
        </w:rPr>
      </w:pPr>
      <w:r>
        <w:t xml:space="preserve">You can also contact the eHealth and </w:t>
      </w:r>
      <w:r w:rsidRPr="00ED743C">
        <w:t>Medication</w:t>
      </w:r>
      <w:r>
        <w:t xml:space="preserve"> Safety team at: </w:t>
      </w:r>
      <w:r>
        <w:rPr>
          <w:rStyle w:val="Hyperlink"/>
        </w:rPr>
        <w:t>medsafety</w:t>
      </w:r>
      <w:hyperlink r:id="rId11" w:history="1">
        <w:r>
          <w:rPr>
            <w:rStyle w:val="Hyperlink"/>
          </w:rPr>
          <w:t>@safetyandquality.gov.au</w:t>
        </w:r>
      </w:hyperlink>
    </w:p>
    <w:p w14:paraId="19A17AE7" w14:textId="77777777" w:rsidR="00ED743C" w:rsidRDefault="00ED743C" w:rsidP="00F6047C">
      <w:pPr>
        <w:pStyle w:val="TableFigureTitle"/>
      </w:pPr>
      <w:bookmarkStart w:id="3" w:name="T1S"/>
      <w:r>
        <w:lastRenderedPageBreak/>
        <w:t>Table 1</w:t>
      </w:r>
      <w:bookmarkEnd w:id="3"/>
      <w:r>
        <w:t>: Principles for the application of ‘mixed</w:t>
      </w:r>
      <w:r>
        <w:rPr>
          <w:rFonts w:ascii="Cambria Math" w:hAnsi="Cambria Math" w:cs="Cambria Math"/>
        </w:rPr>
        <w:t>‑</w:t>
      </w:r>
      <w:r>
        <w:t>case lettering’</w:t>
      </w:r>
    </w:p>
    <w:tbl>
      <w:tblPr>
        <w:tblStyle w:val="Mixed-case"/>
        <w:tblW w:w="5000" w:type="pct"/>
        <w:tblLook w:val="04A0" w:firstRow="1" w:lastRow="0" w:firstColumn="1" w:lastColumn="0" w:noHBand="0" w:noVBand="1"/>
      </w:tblPr>
      <w:tblGrid>
        <w:gridCol w:w="2515"/>
        <w:gridCol w:w="7113"/>
      </w:tblGrid>
      <w:tr w:rsidR="00ED743C" w:rsidRPr="00ED743C" w14:paraId="24EF3ABC" w14:textId="77777777" w:rsidTr="00ED743C">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306" w:type="pct"/>
          </w:tcPr>
          <w:p w14:paraId="62F4B633" w14:textId="77777777" w:rsidR="00ED743C" w:rsidRPr="00ED743C" w:rsidRDefault="00ED743C" w:rsidP="00ED743C">
            <w:r w:rsidRPr="00ED743C">
              <w:t>Principle</w:t>
            </w:r>
          </w:p>
        </w:tc>
        <w:tc>
          <w:tcPr>
            <w:tcW w:w="3694" w:type="pct"/>
          </w:tcPr>
          <w:p w14:paraId="60FEAAE7" w14:textId="77777777" w:rsidR="00ED743C" w:rsidRPr="00ED743C" w:rsidRDefault="00ED743C" w:rsidP="00ED743C">
            <w:pPr>
              <w:cnfStyle w:val="100000000000" w:firstRow="1" w:lastRow="0" w:firstColumn="0" w:lastColumn="0" w:oddVBand="0" w:evenVBand="0" w:oddHBand="0" w:evenHBand="0" w:firstRowFirstColumn="0" w:firstRowLastColumn="0" w:lastRowFirstColumn="0" w:lastRowLastColumn="0"/>
            </w:pPr>
            <w:r w:rsidRPr="00ED743C">
              <w:t>Rationale</w:t>
            </w:r>
          </w:p>
        </w:tc>
      </w:tr>
      <w:tr w:rsidR="00ED743C" w:rsidRPr="00ED743C" w14:paraId="6E4F2B42" w14:textId="77777777" w:rsidTr="00ED743C">
        <w:trPr>
          <w:trHeight w:val="60"/>
        </w:trPr>
        <w:tc>
          <w:tcPr>
            <w:cnfStyle w:val="001000000000" w:firstRow="0" w:lastRow="0" w:firstColumn="1" w:lastColumn="0" w:oddVBand="0" w:evenVBand="0" w:oddHBand="0" w:evenHBand="0" w:firstRowFirstColumn="0" w:firstRowLastColumn="0" w:lastRowFirstColumn="0" w:lastRowLastColumn="0"/>
            <w:tcW w:w="1306" w:type="pct"/>
          </w:tcPr>
          <w:p w14:paraId="08ACF779" w14:textId="77777777" w:rsidR="00ED743C" w:rsidRPr="00ED743C" w:rsidRDefault="00ED743C" w:rsidP="00ED743C">
            <w:r w:rsidRPr="00ED743C">
              <w:t>Use as part of a multi</w:t>
            </w:r>
            <w:r w:rsidRPr="00ED743C">
              <w:rPr>
                <w:rFonts w:ascii="Cambria Math" w:hAnsi="Cambria Math" w:cs="Cambria Math"/>
              </w:rPr>
              <w:t>‑</w:t>
            </w:r>
            <w:r w:rsidRPr="00ED743C">
              <w:t>faceted approach to medication safety to differentiate LASA medicine names</w:t>
            </w:r>
          </w:p>
        </w:tc>
        <w:tc>
          <w:tcPr>
            <w:tcW w:w="3694" w:type="pct"/>
          </w:tcPr>
          <w:p w14:paraId="6E9E80C5" w14:textId="77777777"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‘Mixed</w:t>
            </w:r>
            <w:r w:rsidRPr="00ED743C">
              <w:rPr>
                <w:rFonts w:ascii="Cambria Math" w:hAnsi="Cambria Math" w:cs="Cambria Math"/>
              </w:rPr>
              <w:t>‑</w:t>
            </w:r>
            <w:r w:rsidRPr="00ED743C">
              <w:t>case lettering’ is one of several risk-mitigation strategies that can be used to differentiate LASA medicine names.</w:t>
            </w:r>
          </w:p>
          <w:p w14:paraId="51BEFF06" w14:textId="77777777"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The Commission supports the use of ‘mixed</w:t>
            </w:r>
            <w:r w:rsidRPr="00ED743C">
              <w:rPr>
                <w:rFonts w:ascii="Cambria Math" w:hAnsi="Cambria Math" w:cs="Cambria Math"/>
              </w:rPr>
              <w:t>‑</w:t>
            </w:r>
            <w:r w:rsidRPr="00ED743C">
              <w:t>case lettering’ as part of a multi</w:t>
            </w:r>
            <w:r w:rsidRPr="00ED743C">
              <w:rPr>
                <w:rFonts w:ascii="Cambria Math" w:hAnsi="Cambria Math" w:cs="Cambria Math"/>
              </w:rPr>
              <w:t>‑</w:t>
            </w:r>
            <w:r w:rsidRPr="00ED743C">
              <w:t xml:space="preserve">faceted approach to reduce the risk of selection errors by clinicians associated with LASA medicines names. For instance, reducing the risk of selecting an incorrect medicine from a computerised drop-down list when a doctor is prescribing, or a pharmacist is dispensing against a medication order. </w:t>
            </w:r>
          </w:p>
          <w:p w14:paraId="274A73F4" w14:textId="5302191F"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 xml:space="preserve">However, complementary or alternative strategies should be considered alongside the application of this technique. The </w:t>
            </w:r>
            <w:hyperlink r:id="rId12" w:history="1">
              <w:r w:rsidRPr="00ED743C">
                <w:rPr>
                  <w:rStyle w:val="Hyperlink"/>
                </w:rPr>
                <w:t>Principles for safe selection and storage of medicines</w:t>
              </w:r>
            </w:hyperlink>
            <w:r w:rsidRPr="00ED743C">
              <w:rPr>
                <w:rStyle w:val="Superscript"/>
              </w:rPr>
              <w:t>21</w:t>
            </w:r>
            <w:r w:rsidRPr="00ED743C">
              <w:t xml:space="preserve"> provide further advice and examples of risk-reduction strategies with a focus on LASA</w:t>
            </w:r>
            <w:r w:rsidR="00237BEE">
              <w:t> </w:t>
            </w:r>
            <w:r w:rsidRPr="00ED743C">
              <w:t>medicines.</w:t>
            </w:r>
          </w:p>
        </w:tc>
      </w:tr>
      <w:tr w:rsidR="00ED743C" w:rsidRPr="00ED743C" w14:paraId="43728B6E" w14:textId="77777777" w:rsidTr="00ED743C">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306" w:type="pct"/>
          </w:tcPr>
          <w:p w14:paraId="6E3B7816" w14:textId="77777777" w:rsidR="00ED743C" w:rsidRPr="00ED743C" w:rsidRDefault="00ED743C" w:rsidP="00ED743C">
            <w:r w:rsidRPr="00ED743C">
              <w:t>Consider the medication management systems used within the HSO and assess the benefit(s) of the application of ‘mixed</w:t>
            </w:r>
            <w:r w:rsidRPr="00ED743C">
              <w:rPr>
                <w:rFonts w:ascii="Cambria Math" w:hAnsi="Cambria Math" w:cs="Cambria Math"/>
              </w:rPr>
              <w:t>‑</w:t>
            </w:r>
            <w:r w:rsidRPr="00ED743C">
              <w:t xml:space="preserve">case lettering’  </w:t>
            </w:r>
          </w:p>
        </w:tc>
        <w:tc>
          <w:tcPr>
            <w:tcW w:w="3694" w:type="pct"/>
          </w:tcPr>
          <w:p w14:paraId="7A7AE098" w14:textId="77777777" w:rsidR="00ED743C" w:rsidRPr="00ED743C" w:rsidRDefault="00ED743C" w:rsidP="00ED743C">
            <w:pPr>
              <w:cnfStyle w:val="000000010000" w:firstRow="0" w:lastRow="0" w:firstColumn="0" w:lastColumn="0" w:oddVBand="0" w:evenVBand="0" w:oddHBand="0" w:evenHBand="1" w:firstRowFirstColumn="0" w:firstRowLastColumn="0" w:lastRowFirstColumn="0" w:lastRowLastColumn="0"/>
            </w:pPr>
            <w:r w:rsidRPr="00ED743C">
              <w:t>Medication management systems used by HSOs can include:</w:t>
            </w:r>
          </w:p>
          <w:p w14:paraId="57072A1E" w14:textId="77777777" w:rsidR="00ED743C" w:rsidRPr="00ED743C" w:rsidRDefault="00ED743C" w:rsidP="00ED743C">
            <w:pPr>
              <w:pStyle w:val="ListParagraph"/>
              <w:numPr>
                <w:ilvl w:val="0"/>
                <w:numId w:val="551"/>
              </w:numPr>
              <w:cnfStyle w:val="000000010000" w:firstRow="0" w:lastRow="0" w:firstColumn="0" w:lastColumn="0" w:oddVBand="0" w:evenVBand="0" w:oddHBand="0" w:evenHBand="1" w:firstRowFirstColumn="0" w:firstRowLastColumn="0" w:lastRowFirstColumn="0" w:lastRowLastColumn="0"/>
            </w:pPr>
            <w:r w:rsidRPr="00ED743C">
              <w:t>Electronic systems, including those used for prescribing, dispensing and administration of medicines</w:t>
            </w:r>
          </w:p>
          <w:p w14:paraId="48E7A753" w14:textId="77777777" w:rsidR="00ED743C" w:rsidRPr="00ED743C" w:rsidRDefault="00ED743C" w:rsidP="00ED743C">
            <w:pPr>
              <w:pStyle w:val="ListParagraph"/>
              <w:numPr>
                <w:ilvl w:val="0"/>
                <w:numId w:val="551"/>
              </w:numPr>
              <w:cnfStyle w:val="000000010000" w:firstRow="0" w:lastRow="0" w:firstColumn="0" w:lastColumn="0" w:oddVBand="0" w:evenVBand="0" w:oddHBand="0" w:evenHBand="1" w:firstRowFirstColumn="0" w:firstRowLastColumn="0" w:lastRowFirstColumn="0" w:lastRowLastColumn="0"/>
            </w:pPr>
            <w:r w:rsidRPr="00ED743C">
              <w:t>Printed labels used for inpatient dispensing, shelving in pharmacies and in ward medicines’ storage cupboards</w:t>
            </w:r>
          </w:p>
          <w:p w14:paraId="7A0B009A" w14:textId="77777777" w:rsidR="00ED743C" w:rsidRPr="00ED743C" w:rsidRDefault="00ED743C" w:rsidP="00ED743C">
            <w:pPr>
              <w:pStyle w:val="ListParagraph"/>
              <w:numPr>
                <w:ilvl w:val="0"/>
                <w:numId w:val="551"/>
              </w:numPr>
              <w:cnfStyle w:val="000000010000" w:firstRow="0" w:lastRow="0" w:firstColumn="0" w:lastColumn="0" w:oddVBand="0" w:evenVBand="0" w:oddHBand="0" w:evenHBand="1" w:firstRowFirstColumn="0" w:firstRowLastColumn="0" w:lastRowFirstColumn="0" w:lastRowLastColumn="0"/>
            </w:pPr>
            <w:r w:rsidRPr="00ED743C">
              <w:t>Drug libraries for smart pumps</w:t>
            </w:r>
          </w:p>
          <w:p w14:paraId="132311E7" w14:textId="77777777" w:rsidR="00ED743C" w:rsidRPr="00ED743C" w:rsidRDefault="00ED743C" w:rsidP="00ED743C">
            <w:pPr>
              <w:pStyle w:val="ListParagraph"/>
              <w:numPr>
                <w:ilvl w:val="0"/>
                <w:numId w:val="551"/>
              </w:numPr>
              <w:cnfStyle w:val="000000010000" w:firstRow="0" w:lastRow="0" w:firstColumn="0" w:lastColumn="0" w:oddVBand="0" w:evenVBand="0" w:oddHBand="0" w:evenHBand="1" w:firstRowFirstColumn="0" w:firstRowLastColumn="0" w:lastRowFirstColumn="0" w:lastRowLastColumn="0"/>
            </w:pPr>
            <w:r w:rsidRPr="00ED743C">
              <w:t>Automated medicines storage and distribution systems.</w:t>
            </w:r>
          </w:p>
        </w:tc>
      </w:tr>
      <w:tr w:rsidR="00ED743C" w:rsidRPr="00ED743C" w14:paraId="26549E3B" w14:textId="77777777" w:rsidTr="00ED743C">
        <w:trPr>
          <w:trHeight w:val="60"/>
        </w:trPr>
        <w:tc>
          <w:tcPr>
            <w:cnfStyle w:val="001000000000" w:firstRow="0" w:lastRow="0" w:firstColumn="1" w:lastColumn="0" w:oddVBand="0" w:evenVBand="0" w:oddHBand="0" w:evenHBand="0" w:firstRowFirstColumn="0" w:firstRowLastColumn="0" w:lastRowFirstColumn="0" w:lastRowLastColumn="0"/>
            <w:tcW w:w="1306" w:type="pct"/>
          </w:tcPr>
          <w:p w14:paraId="1C5BE3DD" w14:textId="77777777" w:rsidR="00ED743C" w:rsidRPr="00ED743C" w:rsidRDefault="00ED743C" w:rsidP="00ED743C">
            <w:r w:rsidRPr="00ED743C">
              <w:t>Educate clinicians about the risks associated with LASA medicine names and the purpose of ‘mixed</w:t>
            </w:r>
            <w:r w:rsidRPr="00ED743C">
              <w:rPr>
                <w:rFonts w:ascii="Cambria Math" w:hAnsi="Cambria Math" w:cs="Cambria Math"/>
              </w:rPr>
              <w:t>‑</w:t>
            </w:r>
            <w:r w:rsidRPr="00ED743C">
              <w:t>case lettering’</w:t>
            </w:r>
          </w:p>
        </w:tc>
        <w:tc>
          <w:tcPr>
            <w:tcW w:w="3694" w:type="pct"/>
          </w:tcPr>
          <w:p w14:paraId="0C415427" w14:textId="77777777"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Providing education to end-users, such as healthcare clinicians, about the hazards associated with LASA medicine names and the purpose of ‘mixed</w:t>
            </w:r>
            <w:r w:rsidRPr="00ED743C">
              <w:rPr>
                <w:rFonts w:ascii="Cambria Math" w:hAnsi="Cambria Math" w:cs="Cambria Math"/>
              </w:rPr>
              <w:t>‑</w:t>
            </w:r>
            <w:r w:rsidRPr="00ED743C">
              <w:t xml:space="preserve">case lettering’ is a key implementation strategy. </w:t>
            </w:r>
          </w:p>
          <w:p w14:paraId="41461EDB" w14:textId="77777777"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Awareness of the purpose of ‘mixed</w:t>
            </w:r>
            <w:r w:rsidRPr="00ED743C">
              <w:rPr>
                <w:rFonts w:ascii="Cambria Math" w:hAnsi="Cambria Math" w:cs="Cambria Math"/>
              </w:rPr>
              <w:t>‑</w:t>
            </w:r>
            <w:r w:rsidRPr="00ED743C">
              <w:t xml:space="preserve">case lettering’ can help users to differentiate between similar medicine names when this approach has been applied. </w:t>
            </w:r>
          </w:p>
          <w:p w14:paraId="3A1A845C" w14:textId="77777777"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The Commission has developed an education resource for HSOs to use/adapt for their local education on LASA medicines and ‘mixed</w:t>
            </w:r>
            <w:r w:rsidRPr="00ED743C">
              <w:rPr>
                <w:rFonts w:ascii="Cambria Math" w:hAnsi="Cambria Math" w:cs="Cambria Math"/>
              </w:rPr>
              <w:t>‑</w:t>
            </w:r>
            <w:r w:rsidRPr="00ED743C">
              <w:t>case lettering’.</w:t>
            </w:r>
          </w:p>
        </w:tc>
      </w:tr>
      <w:tr w:rsidR="00ED743C" w:rsidRPr="00ED743C" w14:paraId="3AC014C0" w14:textId="77777777" w:rsidTr="00ED743C">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306" w:type="pct"/>
          </w:tcPr>
          <w:p w14:paraId="17470AFD" w14:textId="77777777" w:rsidR="00ED743C" w:rsidRPr="00ED743C" w:rsidRDefault="00ED743C" w:rsidP="00ED743C">
            <w:r w:rsidRPr="00ED743C">
              <w:t>Continue to be alert to new medicines or changes to medicine packaging</w:t>
            </w:r>
          </w:p>
          <w:p w14:paraId="1B7D3F50" w14:textId="77777777" w:rsidR="00ED743C" w:rsidRPr="00ED743C" w:rsidRDefault="00ED743C" w:rsidP="00ED743C"/>
        </w:tc>
        <w:tc>
          <w:tcPr>
            <w:tcW w:w="3694" w:type="pct"/>
          </w:tcPr>
          <w:p w14:paraId="2EF2AAC4" w14:textId="77777777" w:rsidR="00ED743C" w:rsidRPr="00ED743C" w:rsidRDefault="00ED743C" w:rsidP="00ED743C">
            <w:pPr>
              <w:cnfStyle w:val="000000010000" w:firstRow="0" w:lastRow="0" w:firstColumn="0" w:lastColumn="0" w:oddVBand="0" w:evenVBand="0" w:oddHBand="0" w:evenHBand="1" w:firstRowFirstColumn="0" w:firstRowLastColumn="0" w:lastRowFirstColumn="0" w:lastRowLastColumn="0"/>
            </w:pPr>
            <w:r w:rsidRPr="00ED743C">
              <w:t xml:space="preserve">Given that this List is not exhaustive, it is recommended that HSOs conduct their own assessment of LASA risk with medicine names. </w:t>
            </w:r>
          </w:p>
          <w:p w14:paraId="2E8DFEB7" w14:textId="77777777" w:rsidR="00ED743C" w:rsidRPr="00ED743C" w:rsidRDefault="00ED743C" w:rsidP="00ED743C">
            <w:pPr>
              <w:cnfStyle w:val="000000010000" w:firstRow="0" w:lastRow="0" w:firstColumn="0" w:lastColumn="0" w:oddVBand="0" w:evenVBand="0" w:oddHBand="0" w:evenHBand="1" w:firstRowFirstColumn="0" w:firstRowLastColumn="0" w:lastRowFirstColumn="0" w:lastRowLastColumn="0"/>
            </w:pPr>
            <w:r w:rsidRPr="00ED743C">
              <w:t xml:space="preserve">HSOs and clinicians should continue to be alert to new medicines that are registered in Australia and changes to the labelling and packaging of existing medicines. </w:t>
            </w:r>
          </w:p>
          <w:p w14:paraId="18718055" w14:textId="77777777" w:rsidR="00ED743C" w:rsidRPr="00ED743C" w:rsidRDefault="00ED743C" w:rsidP="00ED743C">
            <w:pPr>
              <w:cnfStyle w:val="000000010000" w:firstRow="0" w:lastRow="0" w:firstColumn="0" w:lastColumn="0" w:oddVBand="0" w:evenVBand="0" w:oddHBand="0" w:evenHBand="1" w:firstRowFirstColumn="0" w:firstRowLastColumn="0" w:lastRowFirstColumn="0" w:lastRowLastColumn="0"/>
            </w:pPr>
            <w:r w:rsidRPr="00ED743C">
              <w:t xml:space="preserve">With new medicines entering the market each year and in the absence of an effective pre-marketing screening method, LASA medicine names continue to pose a risk to patient safety. </w:t>
            </w:r>
          </w:p>
          <w:p w14:paraId="55550C27" w14:textId="77777777" w:rsidR="00ED743C" w:rsidRPr="00ED743C" w:rsidRDefault="00ED743C" w:rsidP="00ED743C">
            <w:pPr>
              <w:cnfStyle w:val="000000010000" w:firstRow="0" w:lastRow="0" w:firstColumn="0" w:lastColumn="0" w:oddVBand="0" w:evenVBand="0" w:oddHBand="0" w:evenHBand="1" w:firstRowFirstColumn="0" w:firstRowLastColumn="0" w:lastRowFirstColumn="0" w:lastRowLastColumn="0"/>
            </w:pPr>
            <w:r w:rsidRPr="00ED743C">
              <w:t>HSOs and clinicians may identify some additional medicine names, via local reporting of adverse events and near misses, that could benefit from the use of ‘mixed</w:t>
            </w:r>
            <w:r w:rsidRPr="00ED743C">
              <w:rPr>
                <w:rFonts w:ascii="Cambria Math" w:hAnsi="Cambria Math" w:cs="Cambria Math"/>
              </w:rPr>
              <w:t>‑</w:t>
            </w:r>
            <w:r w:rsidRPr="00ED743C">
              <w:t>case lettering’ to avoid confusion and error through mis-selection.</w:t>
            </w:r>
          </w:p>
        </w:tc>
      </w:tr>
      <w:tr w:rsidR="00ED743C" w:rsidRPr="00ED743C" w14:paraId="60792423" w14:textId="77777777" w:rsidTr="00ED743C">
        <w:trPr>
          <w:trHeight w:val="60"/>
        </w:trPr>
        <w:tc>
          <w:tcPr>
            <w:cnfStyle w:val="001000000000" w:firstRow="0" w:lastRow="0" w:firstColumn="1" w:lastColumn="0" w:oddVBand="0" w:evenVBand="0" w:oddHBand="0" w:evenHBand="0" w:firstRowFirstColumn="0" w:firstRowLastColumn="0" w:lastRowFirstColumn="0" w:lastRowLastColumn="0"/>
            <w:tcW w:w="1306" w:type="pct"/>
          </w:tcPr>
          <w:p w14:paraId="75E8E8C2" w14:textId="77777777" w:rsidR="00ED743C" w:rsidRPr="00ED743C" w:rsidRDefault="00ED743C" w:rsidP="00ED743C">
            <w:r w:rsidRPr="00ED743C">
              <w:lastRenderedPageBreak/>
              <w:t>Conduct a local risk assessment before applying ‘mixed</w:t>
            </w:r>
            <w:r w:rsidRPr="00ED743C">
              <w:rPr>
                <w:rFonts w:ascii="Cambria Math" w:hAnsi="Cambria Math" w:cs="Cambria Math"/>
              </w:rPr>
              <w:t>‑</w:t>
            </w:r>
            <w:r w:rsidRPr="00ED743C">
              <w:t xml:space="preserve">case lettering’ consistent with the Commission’s </w:t>
            </w:r>
            <w:hyperlink r:id="rId13" w:history="1">
              <w:r w:rsidRPr="007B7CD1">
                <w:rPr>
                  <w:rStyle w:val="HyperlinkItalics"/>
                </w:rPr>
                <w:t>National Mixed-Case Lettering List</w:t>
              </w:r>
            </w:hyperlink>
            <w:r w:rsidRPr="009E0FCB">
              <w:rPr>
                <w:rStyle w:val="Superscript"/>
                <w:b w:val="0"/>
                <w:bCs/>
              </w:rPr>
              <w:t>1</w:t>
            </w:r>
          </w:p>
        </w:tc>
        <w:tc>
          <w:tcPr>
            <w:tcW w:w="3694" w:type="pct"/>
          </w:tcPr>
          <w:p w14:paraId="0336409C" w14:textId="33CACC95"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Root causes for medicine name confusion should be understood before ‘mixed</w:t>
            </w:r>
            <w:r w:rsidRPr="00ED743C">
              <w:rPr>
                <w:rFonts w:ascii="Cambria Math" w:hAnsi="Cambria Math" w:cs="Cambria Math"/>
              </w:rPr>
              <w:t>‑</w:t>
            </w:r>
            <w:r w:rsidRPr="00ED743C">
              <w:t xml:space="preserve">case lettering’ is considered as a potential solution. Alternative and/or complementary differentiation strategies may be required. See the </w:t>
            </w:r>
            <w:hyperlink r:id="rId14" w:history="1">
              <w:r w:rsidRPr="00ED743C">
                <w:rPr>
                  <w:rStyle w:val="Hyperlink"/>
                </w:rPr>
                <w:t>Principles for safe selection and storage of</w:t>
              </w:r>
              <w:r w:rsidR="00D0359D">
                <w:rPr>
                  <w:rStyle w:val="Hyperlink"/>
                </w:rPr>
                <w:t> </w:t>
              </w:r>
              <w:r w:rsidRPr="00ED743C">
                <w:rPr>
                  <w:rStyle w:val="Hyperlink"/>
                </w:rPr>
                <w:t>medicines</w:t>
              </w:r>
            </w:hyperlink>
            <w:r w:rsidRPr="00ED743C">
              <w:t>.</w:t>
            </w:r>
            <w:r w:rsidRPr="007B7CD1">
              <w:rPr>
                <w:rStyle w:val="Superscript"/>
              </w:rPr>
              <w:t>21</w:t>
            </w:r>
          </w:p>
          <w:p w14:paraId="535943F6" w14:textId="77777777"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Risk assessment should consider:</w:t>
            </w:r>
          </w:p>
          <w:p w14:paraId="2291236A" w14:textId="77777777" w:rsidR="00ED743C" w:rsidRPr="007B7CD1" w:rsidRDefault="00ED743C" w:rsidP="007B7CD1">
            <w:pPr>
              <w:pStyle w:val="ListParagraph"/>
              <w:numPr>
                <w:ilvl w:val="0"/>
                <w:numId w:val="552"/>
              </w:numPr>
              <w:cnfStyle w:val="000000000000" w:firstRow="0" w:lastRow="0" w:firstColumn="0" w:lastColumn="0" w:oddVBand="0" w:evenVBand="0" w:oddHBand="0" w:evenHBand="0" w:firstRowFirstColumn="0" w:firstRowLastColumn="0" w:lastRowFirstColumn="0" w:lastRowLastColumn="0"/>
            </w:pPr>
            <w:r w:rsidRPr="007B7CD1">
              <w:t xml:space="preserve">The </w:t>
            </w:r>
            <w:r w:rsidRPr="00DD32A5">
              <w:rPr>
                <w:rStyle w:val="Strong"/>
              </w:rPr>
              <w:t>likelihood</w:t>
            </w:r>
            <w:r w:rsidRPr="007B7CD1">
              <w:t xml:space="preserve"> that the medicine names will be confused</w:t>
            </w:r>
          </w:p>
          <w:p w14:paraId="35086B55" w14:textId="77777777" w:rsidR="00ED743C" w:rsidRPr="007B7CD1" w:rsidRDefault="00ED743C" w:rsidP="007B7CD1">
            <w:pPr>
              <w:pStyle w:val="ListParagraph"/>
              <w:numPr>
                <w:ilvl w:val="0"/>
                <w:numId w:val="552"/>
              </w:numPr>
              <w:cnfStyle w:val="000000000000" w:firstRow="0" w:lastRow="0" w:firstColumn="0" w:lastColumn="0" w:oddVBand="0" w:evenVBand="0" w:oddHBand="0" w:evenHBand="0" w:firstRowFirstColumn="0" w:firstRowLastColumn="0" w:lastRowFirstColumn="0" w:lastRowLastColumn="0"/>
            </w:pPr>
            <w:r w:rsidRPr="007B7CD1">
              <w:t xml:space="preserve">The </w:t>
            </w:r>
            <w:r w:rsidRPr="00DD32A5">
              <w:rPr>
                <w:rStyle w:val="Strong"/>
              </w:rPr>
              <w:t>potential severity</w:t>
            </w:r>
            <w:r w:rsidRPr="007B7CD1">
              <w:t xml:space="preserve"> (consequence) of this confusion.</w:t>
            </w:r>
          </w:p>
          <w:p w14:paraId="1F0A5CD8" w14:textId="77777777"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 xml:space="preserve">The Commission’s </w:t>
            </w:r>
            <w:hyperlink r:id="rId15" w:history="1">
              <w:r w:rsidRPr="00ED743C">
                <w:rPr>
                  <w:rStyle w:val="Hyperlink"/>
                </w:rPr>
                <w:t>LASA search tool</w:t>
              </w:r>
            </w:hyperlink>
            <w:r w:rsidRPr="007B7CD1">
              <w:rPr>
                <w:rStyle w:val="Superscript"/>
              </w:rPr>
              <w:t>22</w:t>
            </w:r>
            <w:r w:rsidRPr="00ED743C">
              <w:t xml:space="preserve"> can assist HSOs with their local risk assessment to determine which LASA medicine names, that have been locally identified, would most benefit from ‘mixed</w:t>
            </w:r>
            <w:r w:rsidRPr="00ED743C">
              <w:rPr>
                <w:rFonts w:ascii="Cambria Math" w:hAnsi="Cambria Math" w:cs="Cambria Math"/>
              </w:rPr>
              <w:t>‑</w:t>
            </w:r>
            <w:r w:rsidRPr="00ED743C">
              <w:t>case lettering’.</w:t>
            </w:r>
          </w:p>
          <w:p w14:paraId="6B989073" w14:textId="77777777"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Information on how to use this tool, including assessment of the clinical risk(s), and apply ‘mixed</w:t>
            </w:r>
            <w:r w:rsidRPr="00ED743C">
              <w:rPr>
                <w:rFonts w:ascii="Cambria Math" w:hAnsi="Cambria Math" w:cs="Cambria Math"/>
              </w:rPr>
              <w:t>‑</w:t>
            </w:r>
            <w:r w:rsidRPr="00ED743C">
              <w:t>case lettering’ to local medicine formularies, is also available:</w:t>
            </w:r>
          </w:p>
          <w:p w14:paraId="56EA7EA4" w14:textId="77777777" w:rsidR="00ED743C" w:rsidRPr="007B7CD1" w:rsidRDefault="00ED743C" w:rsidP="007B7CD1">
            <w:pPr>
              <w:pStyle w:val="ListParagraph"/>
              <w:numPr>
                <w:ilvl w:val="0"/>
                <w:numId w:val="553"/>
              </w:numPr>
              <w:cnfStyle w:val="000000000000" w:firstRow="0" w:lastRow="0" w:firstColumn="0" w:lastColumn="0" w:oddVBand="0" w:evenVBand="0" w:oddHBand="0" w:evenHBand="0" w:firstRowFirstColumn="0" w:firstRowLastColumn="0" w:lastRowFirstColumn="0" w:lastRowLastColumn="0"/>
            </w:pPr>
            <w:r w:rsidRPr="007B7CD1">
              <w:t xml:space="preserve">Information sheet on using the </w:t>
            </w:r>
            <w:hyperlink r:id="rId16" w:history="1">
              <w:r w:rsidRPr="007B7CD1">
                <w:rPr>
                  <w:rStyle w:val="Hyperlink"/>
                </w:rPr>
                <w:t>LASA search tool</w:t>
              </w:r>
            </w:hyperlink>
            <w:r w:rsidRPr="007B7CD1">
              <w:rPr>
                <w:rStyle w:val="Superscript"/>
              </w:rPr>
              <w:t>22</w:t>
            </w:r>
            <w:r w:rsidRPr="007B7CD1">
              <w:t xml:space="preserve"> </w:t>
            </w:r>
          </w:p>
          <w:p w14:paraId="7D0944F2" w14:textId="1BCBE262" w:rsidR="00ED743C" w:rsidRPr="00DB7006" w:rsidRDefault="00DB7006" w:rsidP="007B7CD1">
            <w:pPr>
              <w:pStyle w:val="ListParagraph"/>
              <w:numPr>
                <w:ilvl w:val="0"/>
                <w:numId w:val="553"/>
              </w:numPr>
              <w:cnfStyle w:val="000000000000" w:firstRow="0" w:lastRow="0" w:firstColumn="0" w:lastColumn="0" w:oddVBand="0" w:evenVBand="0" w:oddHBand="0" w:evenHBand="0" w:firstRowFirstColumn="0" w:firstRowLastColumn="0" w:lastRowFirstColumn="0" w:lastRowLastColumn="0"/>
              <w:rPr>
                <w:b/>
                <w:bCs/>
              </w:rPr>
            </w:pPr>
            <w:r w:rsidRPr="00DB7006">
              <w:rPr>
                <w:b/>
                <w:bCs/>
              </w:rPr>
              <w:fldChar w:fldCharType="begin"/>
            </w:r>
            <w:r w:rsidRPr="00DB7006">
              <w:rPr>
                <w:b/>
                <w:bCs/>
              </w:rPr>
              <w:instrText xml:space="preserve"> REF T2L \h </w:instrText>
            </w:r>
            <w:r>
              <w:rPr>
                <w:b/>
                <w:bCs/>
              </w:rPr>
              <w:instrText xml:space="preserve"> \* MERGEFORMAT </w:instrText>
            </w:r>
            <w:r w:rsidRPr="00DB7006">
              <w:rPr>
                <w:b/>
                <w:bCs/>
              </w:rPr>
            </w:r>
            <w:r w:rsidRPr="00DB7006">
              <w:rPr>
                <w:b/>
                <w:bCs/>
              </w:rPr>
              <w:fldChar w:fldCharType="separate"/>
            </w:r>
            <w:r w:rsidRPr="00DB7006">
              <w:rPr>
                <w:b/>
                <w:bCs/>
              </w:rPr>
              <w:t>Table 2: Guidance on how to risk assess and apply ‘mixed</w:t>
            </w:r>
            <w:r w:rsidRPr="00DB7006">
              <w:rPr>
                <w:rFonts w:ascii="Cambria Math" w:hAnsi="Cambria Math" w:cs="Cambria Math"/>
                <w:b/>
                <w:bCs/>
              </w:rPr>
              <w:t>‑</w:t>
            </w:r>
            <w:r w:rsidRPr="00DB7006">
              <w:rPr>
                <w:b/>
                <w:bCs/>
              </w:rPr>
              <w:t>case lettering’ to medicine names</w:t>
            </w:r>
            <w:r w:rsidRPr="00DB7006">
              <w:rPr>
                <w:b/>
                <w:bCs/>
              </w:rPr>
              <w:fldChar w:fldCharType="end"/>
            </w:r>
          </w:p>
          <w:p w14:paraId="67A70347" w14:textId="224219E5" w:rsidR="00ED743C" w:rsidRPr="00DB7006" w:rsidRDefault="00DB7006" w:rsidP="007B7CD1">
            <w:pPr>
              <w:pStyle w:val="ListParagraph"/>
              <w:numPr>
                <w:ilvl w:val="0"/>
                <w:numId w:val="553"/>
              </w:numPr>
              <w:cnfStyle w:val="000000000000" w:firstRow="0" w:lastRow="0" w:firstColumn="0" w:lastColumn="0" w:oddVBand="0" w:evenVBand="0" w:oddHBand="0" w:evenHBand="0" w:firstRowFirstColumn="0" w:firstRowLastColumn="0" w:lastRowFirstColumn="0" w:lastRowLastColumn="0"/>
              <w:rPr>
                <w:b/>
                <w:bCs/>
              </w:rPr>
            </w:pPr>
            <w:r w:rsidRPr="00DB7006">
              <w:rPr>
                <w:b/>
                <w:bCs/>
              </w:rPr>
              <w:fldChar w:fldCharType="begin"/>
            </w:r>
            <w:r w:rsidRPr="00DB7006">
              <w:rPr>
                <w:b/>
                <w:bCs/>
              </w:rPr>
              <w:instrText xml:space="preserve"> REF F1L \h </w:instrText>
            </w:r>
            <w:r>
              <w:rPr>
                <w:b/>
                <w:bCs/>
              </w:rPr>
              <w:instrText xml:space="preserve"> \* MERGEFORMAT </w:instrText>
            </w:r>
            <w:r w:rsidRPr="00DB7006">
              <w:rPr>
                <w:b/>
                <w:bCs/>
              </w:rPr>
            </w:r>
            <w:r w:rsidRPr="00DB7006">
              <w:rPr>
                <w:b/>
                <w:bCs/>
              </w:rPr>
              <w:fldChar w:fldCharType="separate"/>
            </w:r>
            <w:r w:rsidRPr="00DB7006">
              <w:rPr>
                <w:b/>
                <w:bCs/>
              </w:rPr>
              <w:t>Figure 1: Flowchart/decision tree for the application of ‘mixed-case lettering’</w:t>
            </w:r>
            <w:r w:rsidRPr="00DB7006">
              <w:rPr>
                <w:b/>
                <w:bCs/>
              </w:rPr>
              <w:fldChar w:fldCharType="end"/>
            </w:r>
          </w:p>
          <w:p w14:paraId="0D35B54E" w14:textId="171069AF" w:rsidR="00ED743C" w:rsidRPr="007B7CD1" w:rsidRDefault="00DB7006" w:rsidP="007B7CD1">
            <w:pPr>
              <w:pStyle w:val="ListParagraph"/>
              <w:numPr>
                <w:ilvl w:val="0"/>
                <w:numId w:val="553"/>
              </w:numPr>
              <w:cnfStyle w:val="000000000000" w:firstRow="0" w:lastRow="0" w:firstColumn="0" w:lastColumn="0" w:oddVBand="0" w:evenVBand="0" w:oddHBand="0" w:evenHBand="0" w:firstRowFirstColumn="0" w:firstRowLastColumn="0" w:lastRowFirstColumn="0" w:lastRowLastColumn="0"/>
            </w:pPr>
            <w:r w:rsidRPr="00DB7006">
              <w:rPr>
                <w:b/>
                <w:bCs/>
              </w:rPr>
              <w:fldChar w:fldCharType="begin"/>
            </w:r>
            <w:r w:rsidRPr="00DB7006">
              <w:rPr>
                <w:b/>
                <w:bCs/>
              </w:rPr>
              <w:instrText xml:space="preserve"> REF F2L \h </w:instrText>
            </w:r>
            <w:r>
              <w:rPr>
                <w:b/>
                <w:bCs/>
              </w:rPr>
              <w:instrText xml:space="preserve"> \* MERGEFORMAT </w:instrText>
            </w:r>
            <w:r w:rsidRPr="00DB7006">
              <w:rPr>
                <w:b/>
                <w:bCs/>
              </w:rPr>
            </w:r>
            <w:r w:rsidRPr="00DB7006">
              <w:rPr>
                <w:b/>
                <w:bCs/>
              </w:rPr>
              <w:fldChar w:fldCharType="separate"/>
            </w:r>
            <w:r w:rsidRPr="00DB7006">
              <w:rPr>
                <w:b/>
                <w:bCs/>
              </w:rPr>
              <w:t xml:space="preserve">Figure 2: Flowchart/decision tree for the application of ‘mixed-case lettering’ </w:t>
            </w:r>
            <w:r w:rsidR="0002597E">
              <w:rPr>
                <w:b/>
                <w:bCs/>
              </w:rPr>
              <w:t>–</w:t>
            </w:r>
            <w:r w:rsidRPr="00DB7006">
              <w:rPr>
                <w:b/>
                <w:bCs/>
              </w:rPr>
              <w:t xml:space="preserve"> worked example for ‘</w:t>
            </w:r>
            <w:proofErr w:type="spellStart"/>
            <w:r w:rsidRPr="00DB7006">
              <w:rPr>
                <w:b/>
                <w:bCs/>
              </w:rPr>
              <w:t>cyclonex</w:t>
            </w:r>
            <w:proofErr w:type="spellEnd"/>
            <w:r w:rsidRPr="00DB7006">
              <w:rPr>
                <w:b/>
                <w:bCs/>
              </w:rPr>
              <w:t>’ and ‘</w:t>
            </w:r>
            <w:proofErr w:type="spellStart"/>
            <w:r w:rsidRPr="00DB7006">
              <w:rPr>
                <w:b/>
                <w:bCs/>
              </w:rPr>
              <w:t>cyclizine</w:t>
            </w:r>
            <w:proofErr w:type="spellEnd"/>
            <w:r w:rsidRPr="00DB7006">
              <w:rPr>
                <w:b/>
                <w:bCs/>
              </w:rPr>
              <w:t>’</w:t>
            </w:r>
            <w:r w:rsidRPr="00DB7006">
              <w:rPr>
                <w:b/>
                <w:bCs/>
              </w:rPr>
              <w:fldChar w:fldCharType="end"/>
            </w:r>
          </w:p>
        </w:tc>
      </w:tr>
      <w:tr w:rsidR="00ED743C" w:rsidRPr="00ED743C" w14:paraId="6E536F68" w14:textId="77777777" w:rsidTr="00ED743C">
        <w:trPr>
          <w:cnfStyle w:val="000000010000" w:firstRow="0" w:lastRow="0" w:firstColumn="0" w:lastColumn="0" w:oddVBand="0" w:evenVBand="0" w:oddHBand="0" w:evenHBand="1"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1306" w:type="pct"/>
          </w:tcPr>
          <w:p w14:paraId="226C3267" w14:textId="77777777" w:rsidR="00ED743C" w:rsidRPr="00ED743C" w:rsidRDefault="00ED743C" w:rsidP="00ED743C">
            <w:r w:rsidRPr="00ED743C">
              <w:t>Limit the use of ‘mixed</w:t>
            </w:r>
            <w:r w:rsidRPr="00ED743C">
              <w:rPr>
                <w:rFonts w:ascii="Cambria Math" w:hAnsi="Cambria Math" w:cs="Cambria Math"/>
              </w:rPr>
              <w:t>‑</w:t>
            </w:r>
            <w:r w:rsidRPr="00ED743C">
              <w:t>case lettering’</w:t>
            </w:r>
          </w:p>
        </w:tc>
        <w:tc>
          <w:tcPr>
            <w:tcW w:w="3694" w:type="pct"/>
          </w:tcPr>
          <w:p w14:paraId="2BD64B2C" w14:textId="77777777" w:rsidR="00ED743C" w:rsidRPr="00ED743C" w:rsidRDefault="00ED743C" w:rsidP="00ED743C">
            <w:pPr>
              <w:cnfStyle w:val="000000010000" w:firstRow="0" w:lastRow="0" w:firstColumn="0" w:lastColumn="0" w:oddVBand="0" w:evenVBand="0" w:oddHBand="0" w:evenHBand="1" w:firstRowFirstColumn="0" w:firstRowLastColumn="0" w:lastRowFirstColumn="0" w:lastRowLastColumn="0"/>
            </w:pPr>
            <w:r w:rsidRPr="00ED743C">
              <w:t>‘Mixed</w:t>
            </w:r>
            <w:r w:rsidRPr="00ED743C">
              <w:rPr>
                <w:rFonts w:ascii="Cambria Math" w:hAnsi="Cambria Math" w:cs="Cambria Math"/>
              </w:rPr>
              <w:t>‑</w:t>
            </w:r>
            <w:r w:rsidRPr="00ED743C">
              <w:t xml:space="preserve">case lettering’ should be limited to LASA medicine name pairs or groups associated with a </w:t>
            </w:r>
            <w:r w:rsidRPr="003006F6">
              <w:rPr>
                <w:rStyle w:val="Strong"/>
              </w:rPr>
              <w:t>high risk</w:t>
            </w:r>
            <w:r w:rsidRPr="00ED743C">
              <w:t xml:space="preserve"> to patient safety. </w:t>
            </w:r>
          </w:p>
          <w:p w14:paraId="570EA1D6" w14:textId="77777777" w:rsidR="00ED743C" w:rsidRPr="00ED743C" w:rsidRDefault="00ED743C" w:rsidP="00ED743C">
            <w:pPr>
              <w:cnfStyle w:val="000000010000" w:firstRow="0" w:lastRow="0" w:firstColumn="0" w:lastColumn="0" w:oddVBand="0" w:evenVBand="0" w:oddHBand="0" w:evenHBand="1" w:firstRowFirstColumn="0" w:firstRowLastColumn="0" w:lastRowFirstColumn="0" w:lastRowLastColumn="0"/>
            </w:pPr>
            <w:r w:rsidRPr="00ED743C">
              <w:t>Its application will have the greatest impact on the differentiation of LASA medicine names if it is applied consistently locally and nationally (as well as internationally).</w:t>
            </w:r>
          </w:p>
          <w:p w14:paraId="67637A30" w14:textId="77777777" w:rsidR="00ED743C" w:rsidRPr="00ED743C" w:rsidRDefault="00ED743C" w:rsidP="00ED743C">
            <w:pPr>
              <w:cnfStyle w:val="000000010000" w:firstRow="0" w:lastRow="0" w:firstColumn="0" w:lastColumn="0" w:oddVBand="0" w:evenVBand="0" w:oddHBand="0" w:evenHBand="1" w:firstRowFirstColumn="0" w:firstRowLastColumn="0" w:lastRowFirstColumn="0" w:lastRowLastColumn="0"/>
            </w:pPr>
            <w:r w:rsidRPr="00ED743C">
              <w:t>However, overuse of this technique may reduce its effectiveness. Unless additional LASA medicine names are identified locally, limit the application of ‘mixed</w:t>
            </w:r>
            <w:r w:rsidRPr="00ED743C">
              <w:rPr>
                <w:rFonts w:ascii="Cambria Math" w:hAnsi="Cambria Math" w:cs="Cambria Math"/>
              </w:rPr>
              <w:t>‑</w:t>
            </w:r>
            <w:r w:rsidRPr="00ED743C">
              <w:t xml:space="preserve">case lettering’ to those medicines listed in the </w:t>
            </w:r>
            <w:hyperlink r:id="rId17" w:history="1">
              <w:r w:rsidRPr="003261A7">
                <w:rPr>
                  <w:rStyle w:val="HyperlinkItalics"/>
                </w:rPr>
                <w:t>National Mixed-Case Lettering List</w:t>
              </w:r>
            </w:hyperlink>
            <w:r w:rsidRPr="00ED743C">
              <w:t>.</w:t>
            </w:r>
            <w:r w:rsidRPr="003261A7">
              <w:rPr>
                <w:rStyle w:val="Superscript"/>
              </w:rPr>
              <w:t>1</w:t>
            </w:r>
          </w:p>
        </w:tc>
      </w:tr>
      <w:tr w:rsidR="00ED743C" w:rsidRPr="00ED743C" w14:paraId="7256570E" w14:textId="77777777" w:rsidTr="00ED743C">
        <w:trPr>
          <w:trHeight w:val="60"/>
        </w:trPr>
        <w:tc>
          <w:tcPr>
            <w:cnfStyle w:val="001000000000" w:firstRow="0" w:lastRow="0" w:firstColumn="1" w:lastColumn="0" w:oddVBand="0" w:evenVBand="0" w:oddHBand="0" w:evenHBand="0" w:firstRowFirstColumn="0" w:firstRowLastColumn="0" w:lastRowFirstColumn="0" w:lastRowLastColumn="0"/>
            <w:tcW w:w="1306" w:type="pct"/>
          </w:tcPr>
          <w:p w14:paraId="11E5DF2C" w14:textId="77777777" w:rsidR="00ED743C" w:rsidRPr="00ED743C" w:rsidRDefault="00ED743C" w:rsidP="00ED743C">
            <w:r w:rsidRPr="00ED743C">
              <w:t>Alert the Commission to local medication errors, incidents or near misses involving medicine name or LASA confusion</w:t>
            </w:r>
          </w:p>
        </w:tc>
        <w:tc>
          <w:tcPr>
            <w:tcW w:w="3694" w:type="pct"/>
          </w:tcPr>
          <w:p w14:paraId="3AAF4E29" w14:textId="77777777" w:rsidR="00ED743C" w:rsidRPr="00ED743C" w:rsidRDefault="00ED743C" w:rsidP="00ED743C">
            <w:pPr>
              <w:cnfStyle w:val="000000000000" w:firstRow="0" w:lastRow="0" w:firstColumn="0" w:lastColumn="0" w:oddVBand="0" w:evenVBand="0" w:oddHBand="0" w:evenHBand="0" w:firstRowFirstColumn="0" w:firstRowLastColumn="0" w:lastRowFirstColumn="0" w:lastRowLastColumn="0"/>
            </w:pPr>
            <w:r w:rsidRPr="00ED743C">
              <w:t>Reporting errors, incidents and near misses allows the Commission to share this information and alert other medication safety stakeholders, and to review and consider whether additions to the List are warranted and so that national consistency in the application of ‘mixed</w:t>
            </w:r>
            <w:r w:rsidRPr="00ED743C">
              <w:rPr>
                <w:rFonts w:ascii="Cambria Math" w:hAnsi="Cambria Math" w:cs="Cambria Math"/>
              </w:rPr>
              <w:t>‑</w:t>
            </w:r>
            <w:r w:rsidRPr="00ED743C">
              <w:t xml:space="preserve">case lettering’ can be maintained. Reports can be made to the Commission via </w:t>
            </w:r>
            <w:hyperlink r:id="rId18" w:history="1">
              <w:r w:rsidRPr="00ED743C">
                <w:rPr>
                  <w:rStyle w:val="Hyperlink"/>
                </w:rPr>
                <w:t>medsafety@safetyandquality.gov.au</w:t>
              </w:r>
            </w:hyperlink>
            <w:r w:rsidRPr="00ED743C">
              <w:t>.</w:t>
            </w:r>
          </w:p>
        </w:tc>
      </w:tr>
    </w:tbl>
    <w:p w14:paraId="16F6B32C" w14:textId="7CEF6C91" w:rsidR="00ED743C" w:rsidRDefault="00ED743C" w:rsidP="00F6047C">
      <w:pPr>
        <w:pStyle w:val="TableFigureTitle"/>
      </w:pPr>
      <w:bookmarkStart w:id="4" w:name="T2S"/>
      <w:bookmarkStart w:id="5" w:name="T2L"/>
      <w:r>
        <w:lastRenderedPageBreak/>
        <w:t>Table 2</w:t>
      </w:r>
      <w:bookmarkEnd w:id="4"/>
      <w:r>
        <w:t>: Guidance on how to risk assess and apply ‘mixed</w:t>
      </w:r>
      <w:r>
        <w:rPr>
          <w:rFonts w:ascii="Cambria Math" w:hAnsi="Cambria Math" w:cs="Cambria Math"/>
        </w:rPr>
        <w:t>‑</w:t>
      </w:r>
      <w:r>
        <w:t>case lettering’ to medicine</w:t>
      </w:r>
      <w:r w:rsidR="007E4722">
        <w:t> </w:t>
      </w:r>
      <w:r>
        <w:t>names</w:t>
      </w:r>
      <w:bookmarkEnd w:id="5"/>
    </w:p>
    <w:tbl>
      <w:tblPr>
        <w:tblStyle w:val="Mixed-case"/>
        <w:tblW w:w="5000" w:type="pct"/>
        <w:tblLook w:val="04A0" w:firstRow="1" w:lastRow="0" w:firstColumn="1" w:lastColumn="0" w:noHBand="0" w:noVBand="1"/>
      </w:tblPr>
      <w:tblGrid>
        <w:gridCol w:w="339"/>
        <w:gridCol w:w="2023"/>
        <w:gridCol w:w="7266"/>
      </w:tblGrid>
      <w:tr w:rsidR="00ED743C" w:rsidRPr="00CB785E" w14:paraId="273F4B3F" w14:textId="77777777" w:rsidTr="009E0FCB">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22" w:type="pct"/>
            <w:gridSpan w:val="2"/>
          </w:tcPr>
          <w:p w14:paraId="11445982" w14:textId="77777777" w:rsidR="00ED743C" w:rsidRPr="00CB785E" w:rsidRDefault="00ED743C" w:rsidP="00CB785E">
            <w:r w:rsidRPr="00CB785E">
              <w:t>Risk assessment steps</w:t>
            </w:r>
          </w:p>
        </w:tc>
        <w:tc>
          <w:tcPr>
            <w:tcW w:w="3778" w:type="pct"/>
          </w:tcPr>
          <w:p w14:paraId="062A7E63" w14:textId="77777777" w:rsidR="00ED743C" w:rsidRPr="00CB785E" w:rsidRDefault="00ED743C" w:rsidP="00CB785E">
            <w:pPr>
              <w:cnfStyle w:val="100000000000" w:firstRow="1" w:lastRow="0" w:firstColumn="0" w:lastColumn="0" w:oddVBand="0" w:evenVBand="0" w:oddHBand="0" w:evenHBand="0" w:firstRowFirstColumn="0" w:firstRowLastColumn="0" w:lastRowFirstColumn="0" w:lastRowLastColumn="0"/>
            </w:pPr>
            <w:r w:rsidRPr="00CB785E">
              <w:t>Guidance</w:t>
            </w:r>
          </w:p>
        </w:tc>
      </w:tr>
      <w:tr w:rsidR="00ED743C" w:rsidRPr="00CB785E" w14:paraId="6F6B8449" w14:textId="77777777" w:rsidTr="009E0FCB">
        <w:trPr>
          <w:trHeight w:val="60"/>
        </w:trPr>
        <w:tc>
          <w:tcPr>
            <w:cnfStyle w:val="001000000000" w:firstRow="0" w:lastRow="0" w:firstColumn="1" w:lastColumn="0" w:oddVBand="0" w:evenVBand="0" w:oddHBand="0" w:evenHBand="0" w:firstRowFirstColumn="0" w:firstRowLastColumn="0" w:lastRowFirstColumn="0" w:lastRowLastColumn="0"/>
            <w:tcW w:w="167" w:type="pct"/>
          </w:tcPr>
          <w:p w14:paraId="42367AF7" w14:textId="77777777" w:rsidR="00ED743C" w:rsidRPr="00CB785E" w:rsidRDefault="00ED743C" w:rsidP="00CB785E">
            <w:r w:rsidRPr="00CB785E">
              <w:t>1</w:t>
            </w:r>
          </w:p>
        </w:tc>
        <w:tc>
          <w:tcPr>
            <w:tcW w:w="1055" w:type="pct"/>
          </w:tcPr>
          <w:p w14:paraId="3F182FB8" w14:textId="77777777" w:rsidR="00ED743C" w:rsidRPr="009E0FCB" w:rsidRDefault="00ED743C" w:rsidP="00CB785E">
            <w:pPr>
              <w:cnfStyle w:val="000000000000" w:firstRow="0" w:lastRow="0" w:firstColumn="0" w:lastColumn="0" w:oddVBand="0" w:evenVBand="0" w:oddHBand="0" w:evenHBand="0" w:firstRowFirstColumn="0" w:firstRowLastColumn="0" w:lastRowFirstColumn="0" w:lastRowLastColumn="0"/>
              <w:rPr>
                <w:rStyle w:val="Strong"/>
              </w:rPr>
            </w:pPr>
            <w:r w:rsidRPr="009E0FCB">
              <w:rPr>
                <w:rStyle w:val="Strong"/>
              </w:rPr>
              <w:t xml:space="preserve">CHECK the </w:t>
            </w:r>
            <w:hyperlink r:id="rId19" w:history="1">
              <w:r w:rsidRPr="00663C7F">
                <w:rPr>
                  <w:rStyle w:val="HyperlinkItalics"/>
                  <w:b/>
                  <w:bCs/>
                </w:rPr>
                <w:t>National Mixed-Case Lettering List</w:t>
              </w:r>
            </w:hyperlink>
            <w:r w:rsidRPr="009E0FCB">
              <w:rPr>
                <w:rStyle w:val="Superscript"/>
              </w:rPr>
              <w:t>1</w:t>
            </w:r>
            <w:r w:rsidRPr="009E0FCB">
              <w:rPr>
                <w:rStyle w:val="Strong"/>
              </w:rPr>
              <w:t xml:space="preserve"> </w:t>
            </w:r>
          </w:p>
        </w:tc>
        <w:tc>
          <w:tcPr>
            <w:tcW w:w="3778" w:type="pct"/>
          </w:tcPr>
          <w:p w14:paraId="1DEB8574" w14:textId="77777777" w:rsidR="00ED743C" w:rsidRPr="00CB785E" w:rsidRDefault="00ED743C" w:rsidP="00CB785E">
            <w:pPr>
              <w:cnfStyle w:val="000000000000" w:firstRow="0" w:lastRow="0" w:firstColumn="0" w:lastColumn="0" w:oddVBand="0" w:evenVBand="0" w:oddHBand="0" w:evenHBand="0" w:firstRowFirstColumn="0" w:firstRowLastColumn="0" w:lastRowFirstColumn="0" w:lastRowLastColumn="0"/>
            </w:pPr>
            <w:r w:rsidRPr="00CB785E">
              <w:t xml:space="preserve">Whilst the </w:t>
            </w:r>
            <w:hyperlink r:id="rId20" w:history="1">
              <w:r w:rsidRPr="00CB785E">
                <w:rPr>
                  <w:rStyle w:val="HyperlinkItalics"/>
                </w:rPr>
                <w:t>National Mixed-Case Lettering List</w:t>
              </w:r>
            </w:hyperlink>
            <w:r w:rsidRPr="00CB785E">
              <w:rPr>
                <w:rStyle w:val="Superscript"/>
              </w:rPr>
              <w:t>1</w:t>
            </w:r>
            <w:r w:rsidRPr="00CB785E">
              <w:t xml:space="preserve"> is not exhaustive, it is recommended that HSOs </w:t>
            </w:r>
            <w:r w:rsidRPr="006D7B6D">
              <w:rPr>
                <w:rStyle w:val="Strong"/>
              </w:rPr>
              <w:t>check if the LASA medicine names are already listed</w:t>
            </w:r>
            <w:r w:rsidRPr="00CB785E">
              <w:t xml:space="preserve"> before conducting a local risk assessment.</w:t>
            </w:r>
          </w:p>
        </w:tc>
      </w:tr>
      <w:tr w:rsidR="00ED743C" w:rsidRPr="00CB785E" w14:paraId="620E952D" w14:textId="77777777" w:rsidTr="009E0FC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7" w:type="pct"/>
          </w:tcPr>
          <w:p w14:paraId="0ABED9DC" w14:textId="77777777" w:rsidR="00ED743C" w:rsidRPr="00CB785E" w:rsidRDefault="00ED743C" w:rsidP="00CB785E">
            <w:r w:rsidRPr="00CB785E">
              <w:t>2</w:t>
            </w:r>
          </w:p>
        </w:tc>
        <w:tc>
          <w:tcPr>
            <w:tcW w:w="1055" w:type="pct"/>
          </w:tcPr>
          <w:p w14:paraId="56B891C8" w14:textId="77777777" w:rsidR="00ED743C" w:rsidRPr="009E0FCB" w:rsidRDefault="00ED743C" w:rsidP="00CB785E">
            <w:pPr>
              <w:cnfStyle w:val="000000010000" w:firstRow="0" w:lastRow="0" w:firstColumn="0" w:lastColumn="0" w:oddVBand="0" w:evenVBand="0" w:oddHBand="0" w:evenHBand="1" w:firstRowFirstColumn="0" w:firstRowLastColumn="0" w:lastRowFirstColumn="0" w:lastRowLastColumn="0"/>
              <w:rPr>
                <w:rStyle w:val="Strong"/>
              </w:rPr>
            </w:pPr>
            <w:r w:rsidRPr="009E0FCB">
              <w:rPr>
                <w:rStyle w:val="Strong"/>
              </w:rPr>
              <w:t>Review the associated clinical safety risk(s) along with the environmental factors related to the medicine names being risk assessed</w:t>
            </w:r>
          </w:p>
        </w:tc>
        <w:tc>
          <w:tcPr>
            <w:tcW w:w="3778" w:type="pct"/>
          </w:tcPr>
          <w:p w14:paraId="01BD7CBA" w14:textId="77777777"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CB785E">
              <w:t xml:space="preserve">Consideration of the context in which medicine name pairs or groups may be encountered represents a proactive attempt to reduce confusion that presents a risk of prescribing, dispensing or administration errors. Associated clinical/other factors likely to influence the </w:t>
            </w:r>
            <w:r w:rsidRPr="003E271B">
              <w:rPr>
                <w:rStyle w:val="Strong"/>
              </w:rPr>
              <w:t>likelihood</w:t>
            </w:r>
            <w:r w:rsidRPr="00CB785E">
              <w:t xml:space="preserve"> of confusion in medicine selection include:</w:t>
            </w:r>
          </w:p>
          <w:p w14:paraId="5D66A198" w14:textId="77777777" w:rsidR="00ED743C" w:rsidRPr="00657950" w:rsidRDefault="00ED743C" w:rsidP="00657950">
            <w:pPr>
              <w:pStyle w:val="ListParagraph"/>
              <w:numPr>
                <w:ilvl w:val="0"/>
                <w:numId w:val="554"/>
              </w:numPr>
              <w:cnfStyle w:val="000000010000" w:firstRow="0" w:lastRow="0" w:firstColumn="0" w:lastColumn="0" w:oddVBand="0" w:evenVBand="0" w:oddHBand="0" w:evenHBand="1" w:firstRowFirstColumn="0" w:firstRowLastColumn="0" w:lastRowFirstColumn="0" w:lastRowLastColumn="0"/>
            </w:pPr>
            <w:r w:rsidRPr="00657950">
              <w:t>Indication</w:t>
            </w:r>
          </w:p>
          <w:p w14:paraId="45521CA3" w14:textId="77777777" w:rsidR="00ED743C" w:rsidRPr="00657950" w:rsidRDefault="00ED743C" w:rsidP="00657950">
            <w:pPr>
              <w:pStyle w:val="ListParagraph"/>
              <w:numPr>
                <w:ilvl w:val="0"/>
                <w:numId w:val="554"/>
              </w:numPr>
              <w:cnfStyle w:val="000000010000" w:firstRow="0" w:lastRow="0" w:firstColumn="0" w:lastColumn="0" w:oddVBand="0" w:evenVBand="0" w:oddHBand="0" w:evenHBand="1" w:firstRowFirstColumn="0" w:firstRowLastColumn="0" w:lastRowFirstColumn="0" w:lastRowLastColumn="0"/>
            </w:pPr>
            <w:r w:rsidRPr="00657950">
              <w:t>Available strength(s); formulation(s); route(s) of administration</w:t>
            </w:r>
          </w:p>
          <w:p w14:paraId="7A217094" w14:textId="77777777" w:rsidR="00ED743C" w:rsidRPr="00657950" w:rsidRDefault="00ED743C" w:rsidP="00657950">
            <w:pPr>
              <w:pStyle w:val="ListParagraph"/>
              <w:numPr>
                <w:ilvl w:val="0"/>
                <w:numId w:val="554"/>
              </w:numPr>
              <w:cnfStyle w:val="000000010000" w:firstRow="0" w:lastRow="0" w:firstColumn="0" w:lastColumn="0" w:oddVBand="0" w:evenVBand="0" w:oddHBand="0" w:evenHBand="1" w:firstRowFirstColumn="0" w:firstRowLastColumn="0" w:lastRowFirstColumn="0" w:lastRowLastColumn="0"/>
            </w:pPr>
            <w:r w:rsidRPr="00657950">
              <w:t>Similarity in packaging</w:t>
            </w:r>
          </w:p>
          <w:p w14:paraId="6FE8D606" w14:textId="77777777" w:rsidR="00ED743C" w:rsidRPr="00657950" w:rsidRDefault="00ED743C" w:rsidP="00657950">
            <w:pPr>
              <w:pStyle w:val="ListParagraph"/>
              <w:numPr>
                <w:ilvl w:val="0"/>
                <w:numId w:val="554"/>
              </w:numPr>
              <w:cnfStyle w:val="000000010000" w:firstRow="0" w:lastRow="0" w:firstColumn="0" w:lastColumn="0" w:oddVBand="0" w:evenVBand="0" w:oddHBand="0" w:evenHBand="1" w:firstRowFirstColumn="0" w:firstRowLastColumn="0" w:lastRowFirstColumn="0" w:lastRowLastColumn="0"/>
            </w:pPr>
            <w:r w:rsidRPr="00657950">
              <w:t>Shelf/storage location</w:t>
            </w:r>
          </w:p>
          <w:p w14:paraId="5267928C" w14:textId="77777777" w:rsidR="00ED743C" w:rsidRPr="00657950" w:rsidRDefault="00ED743C" w:rsidP="00657950">
            <w:pPr>
              <w:pStyle w:val="ListParagraph"/>
              <w:numPr>
                <w:ilvl w:val="0"/>
                <w:numId w:val="554"/>
              </w:numPr>
              <w:cnfStyle w:val="000000010000" w:firstRow="0" w:lastRow="0" w:firstColumn="0" w:lastColumn="0" w:oddVBand="0" w:evenVBand="0" w:oddHBand="0" w:evenHBand="1" w:firstRowFirstColumn="0" w:firstRowLastColumn="0" w:lastRowFirstColumn="0" w:lastRowLastColumn="0"/>
            </w:pPr>
            <w:r w:rsidRPr="00657950">
              <w:t>Proximity in an EMM</w:t>
            </w:r>
            <w:r w:rsidRPr="00657950">
              <w:rPr>
                <w:rStyle w:val="Superscript"/>
              </w:rPr>
              <w:footnoteReference w:id="1"/>
            </w:r>
            <w:r w:rsidRPr="00657950">
              <w:t xml:space="preserve"> system drop-down list.</w:t>
            </w:r>
          </w:p>
          <w:p w14:paraId="6A6DF420" w14:textId="77777777"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CB785E">
              <w:t>When assessing the potential for confusion between two or more medicines, the decision</w:t>
            </w:r>
            <w:r w:rsidRPr="00CB785E">
              <w:rPr>
                <w:rFonts w:ascii="Cambria Math" w:hAnsi="Cambria Math" w:cs="Cambria Math"/>
              </w:rPr>
              <w:t>‑</w:t>
            </w:r>
            <w:r w:rsidRPr="00CB785E">
              <w:t>making process might include:</w:t>
            </w:r>
          </w:p>
          <w:p w14:paraId="173B65B7" w14:textId="77777777" w:rsidR="00ED743C" w:rsidRPr="005B6C21" w:rsidRDefault="00ED743C" w:rsidP="005B6C21">
            <w:pPr>
              <w:pStyle w:val="ListParagraph"/>
              <w:numPr>
                <w:ilvl w:val="0"/>
                <w:numId w:val="555"/>
              </w:numPr>
              <w:cnfStyle w:val="000000010000" w:firstRow="0" w:lastRow="0" w:firstColumn="0" w:lastColumn="0" w:oddVBand="0" w:evenVBand="0" w:oddHBand="0" w:evenHBand="1" w:firstRowFirstColumn="0" w:firstRowLastColumn="0" w:lastRowFirstColumn="0" w:lastRowLastColumn="0"/>
            </w:pPr>
            <w:r w:rsidRPr="005B6C21">
              <w:t xml:space="preserve">Similarity score (extreme, high, or moderate), plus </w:t>
            </w:r>
          </w:p>
          <w:p w14:paraId="5CB9DB25" w14:textId="77777777" w:rsidR="00ED743C" w:rsidRPr="005B6C21" w:rsidRDefault="00ED743C" w:rsidP="005B6C21">
            <w:pPr>
              <w:pStyle w:val="ListParagraph"/>
              <w:numPr>
                <w:ilvl w:val="0"/>
                <w:numId w:val="555"/>
              </w:numPr>
              <w:cnfStyle w:val="000000010000" w:firstRow="0" w:lastRow="0" w:firstColumn="0" w:lastColumn="0" w:oddVBand="0" w:evenVBand="0" w:oddHBand="0" w:evenHBand="1" w:firstRowFirstColumn="0" w:firstRowLastColumn="0" w:lastRowFirstColumn="0" w:lastRowLastColumn="0"/>
            </w:pPr>
            <w:r w:rsidRPr="005B6C21">
              <w:t>Duplication of prefix or suffix letters, plus</w:t>
            </w:r>
          </w:p>
          <w:p w14:paraId="61190716" w14:textId="77777777" w:rsidR="00ED743C" w:rsidRPr="005B6C21" w:rsidRDefault="00ED743C" w:rsidP="005B6C21">
            <w:pPr>
              <w:pStyle w:val="ListParagraph"/>
              <w:numPr>
                <w:ilvl w:val="0"/>
                <w:numId w:val="555"/>
              </w:numPr>
              <w:cnfStyle w:val="000000010000" w:firstRow="0" w:lastRow="0" w:firstColumn="0" w:lastColumn="0" w:oddVBand="0" w:evenVBand="0" w:oddHBand="0" w:evenHBand="1" w:firstRowFirstColumn="0" w:firstRowLastColumn="0" w:lastRowFirstColumn="0" w:lastRowLastColumn="0"/>
            </w:pPr>
            <w:r w:rsidRPr="005B6C21">
              <w:t>Similarity in word length, plus</w:t>
            </w:r>
          </w:p>
          <w:p w14:paraId="1831BF5F" w14:textId="77777777" w:rsidR="00ED743C" w:rsidRPr="005B6C21" w:rsidRDefault="00ED743C" w:rsidP="005B6C21">
            <w:pPr>
              <w:pStyle w:val="ListParagraph"/>
              <w:numPr>
                <w:ilvl w:val="0"/>
                <w:numId w:val="555"/>
              </w:numPr>
              <w:cnfStyle w:val="000000010000" w:firstRow="0" w:lastRow="0" w:firstColumn="0" w:lastColumn="0" w:oddVBand="0" w:evenVBand="0" w:oddHBand="0" w:evenHBand="1" w:firstRowFirstColumn="0" w:firstRowLastColumn="0" w:lastRowFirstColumn="0" w:lastRowLastColumn="0"/>
            </w:pPr>
            <w:r w:rsidRPr="005B6C21">
              <w:t xml:space="preserve">Potential for confusion based on strength(s); and/or formulation(s); and/or route(s) of administration, plus </w:t>
            </w:r>
          </w:p>
          <w:p w14:paraId="478753F6" w14:textId="77777777" w:rsidR="00ED743C" w:rsidRPr="005B6C21" w:rsidRDefault="00ED743C" w:rsidP="005B6C21">
            <w:pPr>
              <w:pStyle w:val="ListParagraph"/>
              <w:numPr>
                <w:ilvl w:val="0"/>
                <w:numId w:val="555"/>
              </w:numPr>
              <w:cnfStyle w:val="000000010000" w:firstRow="0" w:lastRow="0" w:firstColumn="0" w:lastColumn="0" w:oddVBand="0" w:evenVBand="0" w:oddHBand="0" w:evenHBand="1" w:firstRowFirstColumn="0" w:firstRowLastColumn="0" w:lastRowFirstColumn="0" w:lastRowLastColumn="0"/>
            </w:pPr>
            <w:r w:rsidRPr="005B6C21">
              <w:t>Proximity in a digital drop-down list or menu, plus</w:t>
            </w:r>
          </w:p>
          <w:p w14:paraId="2DACE3E7" w14:textId="77777777" w:rsidR="00ED743C" w:rsidRPr="005B6C21" w:rsidRDefault="00ED743C" w:rsidP="005B6C21">
            <w:pPr>
              <w:pStyle w:val="ListParagraph"/>
              <w:numPr>
                <w:ilvl w:val="0"/>
                <w:numId w:val="555"/>
              </w:numPr>
              <w:cnfStyle w:val="000000010000" w:firstRow="0" w:lastRow="0" w:firstColumn="0" w:lastColumn="0" w:oddVBand="0" w:evenVBand="0" w:oddHBand="0" w:evenHBand="1" w:firstRowFirstColumn="0" w:firstRowLastColumn="0" w:lastRowFirstColumn="0" w:lastRowLastColumn="0"/>
            </w:pPr>
            <w:r w:rsidRPr="005B6C21">
              <w:t xml:space="preserve">Storage proximity, plus </w:t>
            </w:r>
          </w:p>
          <w:p w14:paraId="5CAFDF18" w14:textId="77777777" w:rsidR="00ED743C" w:rsidRPr="005B6C21" w:rsidRDefault="00ED743C" w:rsidP="005B6C21">
            <w:pPr>
              <w:pStyle w:val="ListParagraph"/>
              <w:numPr>
                <w:ilvl w:val="0"/>
                <w:numId w:val="555"/>
              </w:numPr>
              <w:cnfStyle w:val="000000010000" w:firstRow="0" w:lastRow="0" w:firstColumn="0" w:lastColumn="0" w:oddVBand="0" w:evenVBand="0" w:oddHBand="0" w:evenHBand="1" w:firstRowFirstColumn="0" w:firstRowLastColumn="0" w:lastRowFirstColumn="0" w:lastRowLastColumn="0"/>
            </w:pPr>
            <w:r w:rsidRPr="005B6C21">
              <w:rPr>
                <w:rStyle w:val="Strong"/>
              </w:rPr>
              <w:t>Potential severity</w:t>
            </w:r>
            <w:r w:rsidRPr="005B6C21">
              <w:t>, clinical consequence, or risk of harm.</w:t>
            </w:r>
          </w:p>
        </w:tc>
      </w:tr>
      <w:tr w:rsidR="00ED743C" w:rsidRPr="00CB785E" w14:paraId="6A407464" w14:textId="77777777" w:rsidTr="009E0FCB">
        <w:trPr>
          <w:trHeight w:val="60"/>
        </w:trPr>
        <w:tc>
          <w:tcPr>
            <w:cnfStyle w:val="001000000000" w:firstRow="0" w:lastRow="0" w:firstColumn="1" w:lastColumn="0" w:oddVBand="0" w:evenVBand="0" w:oddHBand="0" w:evenHBand="0" w:firstRowFirstColumn="0" w:firstRowLastColumn="0" w:lastRowFirstColumn="0" w:lastRowLastColumn="0"/>
            <w:tcW w:w="167" w:type="pct"/>
          </w:tcPr>
          <w:p w14:paraId="647DCA0B" w14:textId="77777777" w:rsidR="00ED743C" w:rsidRPr="00CB785E" w:rsidRDefault="00ED743C" w:rsidP="00CB785E">
            <w:r w:rsidRPr="00CB785E">
              <w:lastRenderedPageBreak/>
              <w:t>3</w:t>
            </w:r>
          </w:p>
        </w:tc>
        <w:tc>
          <w:tcPr>
            <w:tcW w:w="1055" w:type="pct"/>
          </w:tcPr>
          <w:p w14:paraId="48BCFB03" w14:textId="61907AFA" w:rsidR="00ED743C" w:rsidRPr="009E0FCB" w:rsidRDefault="00ED743C" w:rsidP="00CB785E">
            <w:pPr>
              <w:cnfStyle w:val="000000000000" w:firstRow="0" w:lastRow="0" w:firstColumn="0" w:lastColumn="0" w:oddVBand="0" w:evenVBand="0" w:oddHBand="0" w:evenHBand="0" w:firstRowFirstColumn="0" w:firstRowLastColumn="0" w:lastRowFirstColumn="0" w:lastRowLastColumn="0"/>
              <w:rPr>
                <w:rStyle w:val="Strong"/>
              </w:rPr>
            </w:pPr>
            <w:r w:rsidRPr="009E0FCB">
              <w:rPr>
                <w:rStyle w:val="Strong"/>
              </w:rPr>
              <w:t xml:space="preserve">Use the </w:t>
            </w:r>
            <w:hyperlink r:id="rId21" w:history="1">
              <w:r w:rsidR="00361D5F" w:rsidRPr="00361D5F">
                <w:rPr>
                  <w:rStyle w:val="Hyperlink"/>
                  <w:b/>
                  <w:bCs/>
                </w:rPr>
                <w:t>LASA search tool</w:t>
              </w:r>
            </w:hyperlink>
            <w:r w:rsidR="00361D5F" w:rsidRPr="009E0FCB">
              <w:rPr>
                <w:rStyle w:val="Superscript"/>
              </w:rPr>
              <w:t>22</w:t>
            </w:r>
          </w:p>
        </w:tc>
        <w:tc>
          <w:tcPr>
            <w:tcW w:w="3778" w:type="pct"/>
          </w:tcPr>
          <w:p w14:paraId="14F674F7" w14:textId="700C7997" w:rsidR="00ED743C" w:rsidRPr="00CB785E" w:rsidRDefault="00ED743C" w:rsidP="00CB785E">
            <w:pPr>
              <w:cnfStyle w:val="000000000000" w:firstRow="0" w:lastRow="0" w:firstColumn="0" w:lastColumn="0" w:oddVBand="0" w:evenVBand="0" w:oddHBand="0" w:evenHBand="0" w:firstRowFirstColumn="0" w:firstRowLastColumn="0" w:lastRowFirstColumn="0" w:lastRowLastColumn="0"/>
            </w:pPr>
            <w:r w:rsidRPr="00CB785E">
              <w:t>LASA medicines are a well-recognised cause of medication errors that are due to the appearance or orthographic</w:t>
            </w:r>
            <w:r w:rsidRPr="006312C9">
              <w:rPr>
                <w:rStyle w:val="Superscript"/>
              </w:rPr>
              <w:footnoteReference w:id="2"/>
            </w:r>
            <w:r w:rsidRPr="00CB785E">
              <w:t xml:space="preserve"> (look-alike) and phonetic (sound-alike) similarities between medicines that can potentially be</w:t>
            </w:r>
            <w:r w:rsidR="006312C9">
              <w:t> </w:t>
            </w:r>
            <w:r w:rsidRPr="00CB785E">
              <w:t xml:space="preserve">confused. </w:t>
            </w:r>
          </w:p>
          <w:p w14:paraId="4DF1D729" w14:textId="77777777" w:rsidR="00ED743C" w:rsidRPr="00CB785E" w:rsidRDefault="00ED743C" w:rsidP="00CB785E">
            <w:pPr>
              <w:cnfStyle w:val="000000000000" w:firstRow="0" w:lastRow="0" w:firstColumn="0" w:lastColumn="0" w:oddVBand="0" w:evenVBand="0" w:oddHBand="0" w:evenHBand="0" w:firstRowFirstColumn="0" w:firstRowLastColumn="0" w:lastRowFirstColumn="0" w:lastRowLastColumn="0"/>
            </w:pPr>
            <w:r w:rsidRPr="00CB785E">
              <w:t>Usually, look-alike medicines appear visually the same with respect to packaging, shape, colour and/or size, while sound-alike medicines are similar in the phonetics of their names, doses and/or strengths. Look-alike medicine names are similar in word length or number of syllables and/or duplication of a string of letters (</w:t>
            </w:r>
            <w:proofErr w:type="gramStart"/>
            <w:r w:rsidRPr="00CB785E">
              <w:t>e.g.</w:t>
            </w:r>
            <w:proofErr w:type="gramEnd"/>
            <w:r w:rsidRPr="00CB785E">
              <w:t xml:space="preserve"> the same prefix or suffix).</w:t>
            </w:r>
          </w:p>
          <w:p w14:paraId="51D818E9" w14:textId="2125B940" w:rsidR="00ED743C" w:rsidRPr="00CB785E" w:rsidRDefault="00ED743C" w:rsidP="00CB785E">
            <w:pPr>
              <w:cnfStyle w:val="000000000000" w:firstRow="0" w:lastRow="0" w:firstColumn="0" w:lastColumn="0" w:oddVBand="0" w:evenVBand="0" w:oddHBand="0" w:evenHBand="0" w:firstRowFirstColumn="0" w:firstRowLastColumn="0" w:lastRowFirstColumn="0" w:lastRowLastColumn="0"/>
            </w:pPr>
            <w:r w:rsidRPr="00CB785E">
              <w:t xml:space="preserve">The </w:t>
            </w:r>
            <w:hyperlink r:id="rId22" w:history="1">
              <w:r w:rsidRPr="00CB785E">
                <w:rPr>
                  <w:rStyle w:val="Hyperlink"/>
                </w:rPr>
                <w:t>LASA search tool</w:t>
              </w:r>
            </w:hyperlink>
            <w:r w:rsidRPr="009E0FCB">
              <w:rPr>
                <w:rStyle w:val="Superscript"/>
              </w:rPr>
              <w:t>22</w:t>
            </w:r>
            <w:r w:rsidRPr="00CB785E">
              <w:t xml:space="preserve"> can assist in the identification of medicine name pairs or groups in Australia with higher orthographic and/or phonetic similarity. The result can present as an extreme, high or moderate LASA</w:t>
            </w:r>
            <w:r w:rsidR="00663C7F">
              <w:t> </w:t>
            </w:r>
            <w:r w:rsidRPr="00CB785E">
              <w:t>risk.</w:t>
            </w:r>
          </w:p>
        </w:tc>
      </w:tr>
      <w:tr w:rsidR="00ED743C" w:rsidRPr="00CB785E" w14:paraId="239E09E8" w14:textId="77777777" w:rsidTr="009E0FC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7" w:type="pct"/>
          </w:tcPr>
          <w:p w14:paraId="45BE00B0" w14:textId="77777777" w:rsidR="00ED743C" w:rsidRPr="00CB785E" w:rsidRDefault="00ED743C" w:rsidP="00CB785E">
            <w:r w:rsidRPr="00CB785E">
              <w:t>4</w:t>
            </w:r>
          </w:p>
        </w:tc>
        <w:tc>
          <w:tcPr>
            <w:tcW w:w="1055" w:type="pct"/>
          </w:tcPr>
          <w:p w14:paraId="252D2A0B" w14:textId="77777777" w:rsidR="00ED743C" w:rsidRPr="009E0FCB" w:rsidRDefault="00ED743C" w:rsidP="00CB785E">
            <w:pPr>
              <w:cnfStyle w:val="000000010000" w:firstRow="0" w:lastRow="0" w:firstColumn="0" w:lastColumn="0" w:oddVBand="0" w:evenVBand="0" w:oddHBand="0" w:evenHBand="1" w:firstRowFirstColumn="0" w:firstRowLastColumn="0" w:lastRowFirstColumn="0" w:lastRowLastColumn="0"/>
              <w:rPr>
                <w:rStyle w:val="Strong"/>
              </w:rPr>
            </w:pPr>
            <w:r w:rsidRPr="009E0FCB">
              <w:rPr>
                <w:rStyle w:val="Strong"/>
              </w:rPr>
              <w:t>Check or benchmark locally and/or against international ‘mixed</w:t>
            </w:r>
            <w:r w:rsidRPr="009E0FCB">
              <w:rPr>
                <w:rStyle w:val="Strong"/>
                <w:rFonts w:ascii="Cambria Math" w:hAnsi="Cambria Math" w:cs="Cambria Math"/>
              </w:rPr>
              <w:t>‑</w:t>
            </w:r>
            <w:r w:rsidRPr="009E0FCB">
              <w:rPr>
                <w:rStyle w:val="Strong"/>
              </w:rPr>
              <w:t xml:space="preserve">case (or Tall Man) lettering’ lists </w:t>
            </w:r>
          </w:p>
        </w:tc>
        <w:tc>
          <w:tcPr>
            <w:tcW w:w="3778" w:type="pct"/>
          </w:tcPr>
          <w:p w14:paraId="50B2B41F" w14:textId="77777777"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CB785E">
              <w:t xml:space="preserve">Other Australian states or territories may have already assessed the risk of the same LASA medicine name(s). Contact </w:t>
            </w:r>
            <w:hyperlink r:id="rId23" w:history="1">
              <w:r w:rsidRPr="00CB785E">
                <w:rPr>
                  <w:rStyle w:val="Hyperlink"/>
                </w:rPr>
                <w:t>medsafety@safetyandquality.gov.au</w:t>
              </w:r>
            </w:hyperlink>
            <w:r w:rsidRPr="00CB785E">
              <w:t xml:space="preserve"> and lodge a request for state and territory feedback.</w:t>
            </w:r>
          </w:p>
          <w:p w14:paraId="72B4F814" w14:textId="77777777"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CB785E">
              <w:t xml:space="preserve">Internationally, the Institute for Safe Medication Practices (ISMP) routinely updates its list of </w:t>
            </w:r>
            <w:hyperlink r:id="rId24" w:history="1">
              <w:r w:rsidRPr="00CB785E">
                <w:rPr>
                  <w:rStyle w:val="Hyperlink"/>
                </w:rPr>
                <w:t>Look-alike Drug Names with Recommended Tall Man (Mixed Case) Letters</w:t>
              </w:r>
            </w:hyperlink>
            <w:r w:rsidRPr="00CB785E">
              <w:t>.</w:t>
            </w:r>
            <w:r w:rsidRPr="0028226F">
              <w:rPr>
                <w:rStyle w:val="Superscript"/>
              </w:rPr>
              <w:t>9</w:t>
            </w:r>
          </w:p>
        </w:tc>
      </w:tr>
      <w:tr w:rsidR="00ED743C" w:rsidRPr="00CB785E" w14:paraId="3A2FFBFC" w14:textId="77777777" w:rsidTr="009E0FCB">
        <w:trPr>
          <w:trHeight w:val="60"/>
        </w:trPr>
        <w:tc>
          <w:tcPr>
            <w:cnfStyle w:val="001000000000" w:firstRow="0" w:lastRow="0" w:firstColumn="1" w:lastColumn="0" w:oddVBand="0" w:evenVBand="0" w:oddHBand="0" w:evenHBand="0" w:firstRowFirstColumn="0" w:firstRowLastColumn="0" w:lastRowFirstColumn="0" w:lastRowLastColumn="0"/>
            <w:tcW w:w="167" w:type="pct"/>
          </w:tcPr>
          <w:p w14:paraId="00EEDFD4" w14:textId="77777777" w:rsidR="00ED743C" w:rsidRPr="00CB785E" w:rsidRDefault="00ED743C" w:rsidP="00CB785E">
            <w:r w:rsidRPr="00CB785E">
              <w:t>5</w:t>
            </w:r>
          </w:p>
        </w:tc>
        <w:tc>
          <w:tcPr>
            <w:tcW w:w="1055" w:type="pct"/>
          </w:tcPr>
          <w:p w14:paraId="670D739F" w14:textId="77777777" w:rsidR="00ED743C" w:rsidRPr="009E0FCB" w:rsidRDefault="00ED743C" w:rsidP="00CB785E">
            <w:pPr>
              <w:cnfStyle w:val="000000000000" w:firstRow="0" w:lastRow="0" w:firstColumn="0" w:lastColumn="0" w:oddVBand="0" w:evenVBand="0" w:oddHBand="0" w:evenHBand="0" w:firstRowFirstColumn="0" w:firstRowLastColumn="0" w:lastRowFirstColumn="0" w:lastRowLastColumn="0"/>
              <w:rPr>
                <w:rStyle w:val="Strong"/>
              </w:rPr>
            </w:pPr>
            <w:r w:rsidRPr="009E0FCB">
              <w:rPr>
                <w:rStyle w:val="Strong"/>
              </w:rPr>
              <w:t>Seek local DTC</w:t>
            </w:r>
            <w:r w:rsidRPr="007E3285">
              <w:rPr>
                <w:rStyle w:val="Superscript"/>
              </w:rPr>
              <w:footnoteReference w:id="3"/>
            </w:r>
            <w:r w:rsidRPr="009E0FCB">
              <w:rPr>
                <w:rStyle w:val="Strong"/>
              </w:rPr>
              <w:t xml:space="preserve"> endorsement of the rationale for application of ‘mixed</w:t>
            </w:r>
            <w:r w:rsidRPr="009E0FCB">
              <w:rPr>
                <w:rStyle w:val="Strong"/>
                <w:rFonts w:ascii="Cambria Math" w:hAnsi="Cambria Math" w:cs="Cambria Math"/>
              </w:rPr>
              <w:t>‑</w:t>
            </w:r>
            <w:r w:rsidRPr="009E0FCB">
              <w:rPr>
                <w:rStyle w:val="Strong"/>
              </w:rPr>
              <w:t>case lettering’</w:t>
            </w:r>
          </w:p>
        </w:tc>
        <w:tc>
          <w:tcPr>
            <w:tcW w:w="3778" w:type="pct"/>
          </w:tcPr>
          <w:p w14:paraId="0A199007" w14:textId="77777777" w:rsidR="00ED743C" w:rsidRPr="00CB785E" w:rsidRDefault="00ED743C" w:rsidP="00CB785E">
            <w:pPr>
              <w:cnfStyle w:val="000000000000" w:firstRow="0" w:lastRow="0" w:firstColumn="0" w:lastColumn="0" w:oddVBand="0" w:evenVBand="0" w:oddHBand="0" w:evenHBand="0" w:firstRowFirstColumn="0" w:firstRowLastColumn="0" w:lastRowFirstColumn="0" w:lastRowLastColumn="0"/>
            </w:pPr>
            <w:r w:rsidRPr="00CB785E">
              <w:t>Healthcare clinicians should be involved in the process of identifying LASA medicine names, relevant to their respective practice settings. They should also participate in the review and approval process when determining the rationale for ‘mixed</w:t>
            </w:r>
            <w:r w:rsidRPr="00CB785E">
              <w:rPr>
                <w:rFonts w:ascii="Cambria Math" w:hAnsi="Cambria Math" w:cs="Cambria Math"/>
              </w:rPr>
              <w:t>‑</w:t>
            </w:r>
            <w:r w:rsidRPr="00CB785E">
              <w:t>case lettering’ and/or other risk-reduction strategies to be implemented.</w:t>
            </w:r>
          </w:p>
          <w:p w14:paraId="11B725C0" w14:textId="77777777" w:rsidR="00ED743C" w:rsidRPr="00CB785E" w:rsidRDefault="00ED743C" w:rsidP="00CB785E">
            <w:pPr>
              <w:cnfStyle w:val="000000000000" w:firstRow="0" w:lastRow="0" w:firstColumn="0" w:lastColumn="0" w:oddVBand="0" w:evenVBand="0" w:oddHBand="0" w:evenHBand="0" w:firstRowFirstColumn="0" w:firstRowLastColumn="0" w:lastRowFirstColumn="0" w:lastRowLastColumn="0"/>
            </w:pPr>
            <w:r w:rsidRPr="00CB785E">
              <w:t xml:space="preserve">A user’s subjective perception of medicine name similarity is an important consideration when capitalising letters to differentiate LASA medicine names. </w:t>
            </w:r>
          </w:p>
        </w:tc>
      </w:tr>
      <w:tr w:rsidR="00ED743C" w:rsidRPr="00CB785E" w14:paraId="3C79BA33" w14:textId="77777777" w:rsidTr="009E0FCB">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67" w:type="pct"/>
          </w:tcPr>
          <w:p w14:paraId="5DE2C617" w14:textId="77777777" w:rsidR="00ED743C" w:rsidRPr="00CB785E" w:rsidRDefault="00ED743C" w:rsidP="00CB785E">
            <w:r w:rsidRPr="00CB785E">
              <w:lastRenderedPageBreak/>
              <w:t>6</w:t>
            </w:r>
          </w:p>
        </w:tc>
        <w:tc>
          <w:tcPr>
            <w:tcW w:w="1055" w:type="pct"/>
          </w:tcPr>
          <w:p w14:paraId="5FD64E80" w14:textId="77777777"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7E3285">
              <w:rPr>
                <w:rStyle w:val="Strong"/>
              </w:rPr>
              <w:t>Apply ‘mixed</w:t>
            </w:r>
            <w:r w:rsidRPr="007E3285">
              <w:rPr>
                <w:rStyle w:val="Strong"/>
                <w:rFonts w:ascii="Cambria Math" w:hAnsi="Cambria Math" w:cs="Cambria Math"/>
              </w:rPr>
              <w:t>‑</w:t>
            </w:r>
            <w:r w:rsidRPr="007E3285">
              <w:rPr>
                <w:rStyle w:val="Strong"/>
              </w:rPr>
              <w:t xml:space="preserve">case lettering’ consistent with the Commission’s </w:t>
            </w:r>
            <w:hyperlink r:id="rId25" w:history="1">
              <w:r w:rsidRPr="007E3285">
                <w:rPr>
                  <w:rStyle w:val="HyperlinkItalics"/>
                  <w:b/>
                  <w:bCs/>
                </w:rPr>
                <w:t>National Mixed-Case Lettering List</w:t>
              </w:r>
            </w:hyperlink>
            <w:r w:rsidRPr="007E3285">
              <w:rPr>
                <w:rStyle w:val="Superscript"/>
              </w:rPr>
              <w:t>1</w:t>
            </w:r>
          </w:p>
        </w:tc>
        <w:tc>
          <w:tcPr>
            <w:tcW w:w="3778" w:type="pct"/>
          </w:tcPr>
          <w:p w14:paraId="3B8E5ECA" w14:textId="77777777"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CB785E">
              <w:t>The Commission’s methodology is referred to as ‘Mid-type mixed</w:t>
            </w:r>
            <w:r w:rsidRPr="00CB785E">
              <w:rPr>
                <w:rFonts w:ascii="Cambria Math" w:hAnsi="Cambria Math" w:cs="Cambria Math"/>
              </w:rPr>
              <w:t>‑</w:t>
            </w:r>
            <w:r w:rsidRPr="00CB785E">
              <w:t>case (Tall Man) lettering rule’ (‘Mid rule’).</w:t>
            </w:r>
            <w:r w:rsidRPr="007E3285">
              <w:rPr>
                <w:rStyle w:val="Superscript"/>
              </w:rPr>
              <w:t>23</w:t>
            </w:r>
            <w:r w:rsidRPr="00CB785E">
              <w:t xml:space="preserve"> The ‘Mid rule’ was created by taking two or more LASA medicine names and applying a stepwise or systematic approach to the capitalisation of letters, noting that capitalisation should not be applied to:</w:t>
            </w:r>
          </w:p>
          <w:p w14:paraId="5FD74080" w14:textId="77777777" w:rsidR="00ED743C" w:rsidRPr="007E3285" w:rsidRDefault="00ED743C" w:rsidP="007E3285">
            <w:pPr>
              <w:pStyle w:val="ListParagraph"/>
              <w:numPr>
                <w:ilvl w:val="0"/>
                <w:numId w:val="556"/>
              </w:numPr>
              <w:cnfStyle w:val="000000010000" w:firstRow="0" w:lastRow="0" w:firstColumn="0" w:lastColumn="0" w:oddVBand="0" w:evenVBand="0" w:oddHBand="0" w:evenHBand="1" w:firstRowFirstColumn="0" w:firstRowLastColumn="0" w:lastRowFirstColumn="0" w:lastRowLastColumn="0"/>
            </w:pPr>
            <w:r w:rsidRPr="007E3285">
              <w:t>Common prefixes or suffixes</w:t>
            </w:r>
          </w:p>
          <w:p w14:paraId="5FD25586" w14:textId="77777777" w:rsidR="00ED743C" w:rsidRPr="007E3285" w:rsidRDefault="00ED743C" w:rsidP="007E3285">
            <w:pPr>
              <w:pStyle w:val="ListParagraph"/>
              <w:numPr>
                <w:ilvl w:val="0"/>
                <w:numId w:val="556"/>
              </w:numPr>
              <w:cnfStyle w:val="000000010000" w:firstRow="0" w:lastRow="0" w:firstColumn="0" w:lastColumn="0" w:oddVBand="0" w:evenVBand="0" w:oddHBand="0" w:evenHBand="1" w:firstRowFirstColumn="0" w:firstRowLastColumn="0" w:lastRowFirstColumn="0" w:lastRowLastColumn="0"/>
            </w:pPr>
            <w:r w:rsidRPr="007E3285">
              <w:t>The letter ‘</w:t>
            </w:r>
            <w:proofErr w:type="spellStart"/>
            <w:r w:rsidRPr="007E3285">
              <w:t>i</w:t>
            </w:r>
            <w:proofErr w:type="spellEnd"/>
            <w:r w:rsidRPr="007E3285">
              <w:t>’ to avoid confusion with the letter ‘l’</w:t>
            </w:r>
          </w:p>
          <w:p w14:paraId="2327EC85" w14:textId="689EB553" w:rsidR="00ED743C" w:rsidRPr="007E3285" w:rsidRDefault="00ED743C" w:rsidP="007E3285">
            <w:pPr>
              <w:pStyle w:val="ListParagraph"/>
              <w:numPr>
                <w:ilvl w:val="0"/>
                <w:numId w:val="556"/>
              </w:numPr>
              <w:cnfStyle w:val="000000010000" w:firstRow="0" w:lastRow="0" w:firstColumn="0" w:lastColumn="0" w:oddVBand="0" w:evenVBand="0" w:oddHBand="0" w:evenHBand="1" w:firstRowFirstColumn="0" w:firstRowLastColumn="0" w:lastRowFirstColumn="0" w:lastRowLastColumn="0"/>
            </w:pPr>
            <w:r w:rsidRPr="007E3285">
              <w:t>Letters or sections of medicine names that are phonetically similar. The number of syllables, pronunciation stresses, and placement of vowel and consonant sounds are attributes that should be considered when determining the degree of medicine name</w:t>
            </w:r>
            <w:r w:rsidR="007E3285">
              <w:t> </w:t>
            </w:r>
            <w:r w:rsidRPr="007E3285">
              <w:t>similarity.</w:t>
            </w:r>
          </w:p>
          <w:p w14:paraId="4DA960F0" w14:textId="77777777"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CB785E">
              <w:t>In general, apply capitalisation by considering the following:</w:t>
            </w:r>
          </w:p>
          <w:p w14:paraId="75F8C0FC" w14:textId="77777777" w:rsidR="00ED743C" w:rsidRPr="007E3285" w:rsidRDefault="00ED743C" w:rsidP="007E3285">
            <w:pPr>
              <w:pStyle w:val="ListParagraph"/>
              <w:numPr>
                <w:ilvl w:val="0"/>
                <w:numId w:val="557"/>
              </w:numPr>
              <w:cnfStyle w:val="000000010000" w:firstRow="0" w:lastRow="0" w:firstColumn="0" w:lastColumn="0" w:oddVBand="0" w:evenVBand="0" w:oddHBand="0" w:evenHBand="1" w:firstRowFirstColumn="0" w:firstRowLastColumn="0" w:lastRowFirstColumn="0" w:lastRowLastColumn="0"/>
            </w:pPr>
            <w:r w:rsidRPr="007E3285">
              <w:t>Highlight three to five letters that are different</w:t>
            </w:r>
          </w:p>
          <w:p w14:paraId="63106FAB" w14:textId="77777777" w:rsidR="00ED743C" w:rsidRPr="007E3285" w:rsidRDefault="00ED743C" w:rsidP="007E3285">
            <w:pPr>
              <w:pStyle w:val="ListParagraph"/>
              <w:numPr>
                <w:ilvl w:val="0"/>
                <w:numId w:val="557"/>
              </w:numPr>
              <w:cnfStyle w:val="000000010000" w:firstRow="0" w:lastRow="0" w:firstColumn="0" w:lastColumn="0" w:oddVBand="0" w:evenVBand="0" w:oddHBand="0" w:evenHBand="1" w:firstRowFirstColumn="0" w:firstRowLastColumn="0" w:lastRowFirstColumn="0" w:lastRowLastColumn="0"/>
            </w:pPr>
            <w:r w:rsidRPr="007E3285">
              <w:t>If possible, choose letters that form a syllable</w:t>
            </w:r>
          </w:p>
          <w:p w14:paraId="0898D129" w14:textId="77777777" w:rsidR="00ED743C" w:rsidRPr="007E3285" w:rsidRDefault="00ED743C" w:rsidP="007E3285">
            <w:pPr>
              <w:pStyle w:val="ListParagraph"/>
              <w:numPr>
                <w:ilvl w:val="0"/>
                <w:numId w:val="557"/>
              </w:numPr>
              <w:cnfStyle w:val="000000010000" w:firstRow="0" w:lastRow="0" w:firstColumn="0" w:lastColumn="0" w:oddVBand="0" w:evenVBand="0" w:oddHBand="0" w:evenHBand="1" w:firstRowFirstColumn="0" w:firstRowLastColumn="0" w:lastRowFirstColumn="0" w:lastRowLastColumn="0"/>
            </w:pPr>
            <w:r w:rsidRPr="007E3285">
              <w:t>Highlight letters closer to the beginning of the word that are different, to facilitate correct selection when electronic drop-down lists or menus are used.</w:t>
            </w:r>
          </w:p>
          <w:p w14:paraId="699CC3CB" w14:textId="77777777"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CB785E">
              <w:t>Direct application of the ‘Mid rule’ may inadvertently make two medicine names appear more similar to one another or more similar to a medicine name outside a particular pair or group. In these instances, no capitalisation or an alternative capitalisation approach may need to be considered.</w:t>
            </w:r>
          </w:p>
          <w:p w14:paraId="3E1041E6" w14:textId="77777777"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CB785E">
              <w:t>For groups of three or more confusable medicine names, attempts should be made to apply a capitalisation scheme that maximises distinctiveness across all possible pairings.</w:t>
            </w:r>
          </w:p>
          <w:p w14:paraId="10BCF7C3" w14:textId="7623CB36" w:rsidR="00ED743C" w:rsidRPr="00CB785E" w:rsidRDefault="00ED743C" w:rsidP="00CB785E">
            <w:pPr>
              <w:cnfStyle w:val="000000010000" w:firstRow="0" w:lastRow="0" w:firstColumn="0" w:lastColumn="0" w:oddVBand="0" w:evenVBand="0" w:oddHBand="0" w:evenHBand="1" w:firstRowFirstColumn="0" w:firstRowLastColumn="0" w:lastRowFirstColumn="0" w:lastRowLastColumn="0"/>
            </w:pPr>
            <w:r w:rsidRPr="00CB785E">
              <w:t>See to</w:t>
            </w:r>
            <w:r w:rsidR="00B26FC0">
              <w:t xml:space="preserve"> </w:t>
            </w:r>
            <w:r w:rsidR="00B26FC0" w:rsidRPr="00B26FC0">
              <w:rPr>
                <w:b/>
                <w:bCs/>
              </w:rPr>
              <w:fldChar w:fldCharType="begin"/>
            </w:r>
            <w:r w:rsidR="00B26FC0" w:rsidRPr="00B26FC0">
              <w:rPr>
                <w:b/>
                <w:bCs/>
              </w:rPr>
              <w:instrText xml:space="preserve"> REF F1S \h </w:instrText>
            </w:r>
            <w:r w:rsidR="00B26FC0">
              <w:rPr>
                <w:b/>
                <w:bCs/>
              </w:rPr>
              <w:instrText xml:space="preserve"> \* MERGEFORMAT </w:instrText>
            </w:r>
            <w:r w:rsidR="00B26FC0" w:rsidRPr="00B26FC0">
              <w:rPr>
                <w:b/>
                <w:bCs/>
              </w:rPr>
            </w:r>
            <w:r w:rsidR="00B26FC0" w:rsidRPr="00B26FC0">
              <w:rPr>
                <w:b/>
                <w:bCs/>
              </w:rPr>
              <w:fldChar w:fldCharType="separate"/>
            </w:r>
            <w:r w:rsidR="00B26FC0" w:rsidRPr="00B26FC0">
              <w:rPr>
                <w:b/>
                <w:bCs/>
              </w:rPr>
              <w:t>Figure 1</w:t>
            </w:r>
            <w:r w:rsidR="00B26FC0" w:rsidRPr="00B26FC0">
              <w:rPr>
                <w:b/>
                <w:bCs/>
              </w:rPr>
              <w:fldChar w:fldCharType="end"/>
            </w:r>
            <w:r w:rsidRPr="00CB785E">
              <w:t xml:space="preserve"> and </w:t>
            </w:r>
            <w:r w:rsidR="00B26FC0" w:rsidRPr="00B26FC0">
              <w:rPr>
                <w:b/>
                <w:bCs/>
              </w:rPr>
              <w:fldChar w:fldCharType="begin"/>
            </w:r>
            <w:r w:rsidR="00B26FC0" w:rsidRPr="00B26FC0">
              <w:rPr>
                <w:b/>
                <w:bCs/>
              </w:rPr>
              <w:instrText xml:space="preserve"> REF F2S \h </w:instrText>
            </w:r>
            <w:r w:rsidR="00B26FC0">
              <w:rPr>
                <w:b/>
                <w:bCs/>
              </w:rPr>
              <w:instrText xml:space="preserve"> \* MERGEFORMAT </w:instrText>
            </w:r>
            <w:r w:rsidR="00B26FC0" w:rsidRPr="00B26FC0">
              <w:rPr>
                <w:b/>
                <w:bCs/>
              </w:rPr>
            </w:r>
            <w:r w:rsidR="00B26FC0" w:rsidRPr="00B26FC0">
              <w:rPr>
                <w:b/>
                <w:bCs/>
              </w:rPr>
              <w:fldChar w:fldCharType="separate"/>
            </w:r>
            <w:r w:rsidR="00B26FC0" w:rsidRPr="00B26FC0">
              <w:rPr>
                <w:b/>
                <w:bCs/>
              </w:rPr>
              <w:t>Figure 2</w:t>
            </w:r>
            <w:r w:rsidR="00B26FC0" w:rsidRPr="00B26FC0">
              <w:rPr>
                <w:b/>
                <w:bCs/>
              </w:rPr>
              <w:fldChar w:fldCharType="end"/>
            </w:r>
            <w:r w:rsidR="00B26FC0">
              <w:t xml:space="preserve"> </w:t>
            </w:r>
            <w:r w:rsidRPr="00CB785E">
              <w:t>for additional guidance and example(s) on how to risk assess and apply ‘mixed</w:t>
            </w:r>
            <w:r w:rsidRPr="00CB785E">
              <w:rPr>
                <w:rFonts w:ascii="Cambria Math" w:hAnsi="Cambria Math" w:cs="Cambria Math"/>
              </w:rPr>
              <w:t>‑</w:t>
            </w:r>
            <w:r w:rsidRPr="00CB785E">
              <w:t>case lettering’.</w:t>
            </w:r>
          </w:p>
        </w:tc>
      </w:tr>
    </w:tbl>
    <w:p w14:paraId="0646D1A8" w14:textId="77777777" w:rsidR="007754AE" w:rsidRDefault="007754AE" w:rsidP="00F6047C">
      <w:pPr>
        <w:pStyle w:val="TableFigureTitle"/>
        <w:sectPr w:rsidR="007754AE" w:rsidSect="003933B3">
          <w:headerReference w:type="default" r:id="rId26"/>
          <w:footerReference w:type="even" r:id="rId27"/>
          <w:footerReference w:type="default" r:id="rId28"/>
          <w:footnotePr>
            <w:numFmt w:val="chicago"/>
            <w:numRestart w:val="eachPage"/>
          </w:footnotePr>
          <w:pgSz w:w="11906" w:h="16838"/>
          <w:pgMar w:top="2126" w:right="1134" w:bottom="1134" w:left="1134" w:header="709" w:footer="709" w:gutter="0"/>
          <w:cols w:space="720"/>
          <w:docGrid w:linePitch="299"/>
        </w:sectPr>
      </w:pPr>
      <w:bookmarkStart w:id="6" w:name="F1S"/>
      <w:bookmarkStart w:id="7" w:name="F1L"/>
    </w:p>
    <w:p w14:paraId="0226BB49" w14:textId="65D36F93" w:rsidR="00ED743C" w:rsidRDefault="00ED743C" w:rsidP="00F6047C">
      <w:pPr>
        <w:pStyle w:val="TableFigureTitle"/>
        <w:rPr>
          <w:rStyle w:val="Designernotes0"/>
        </w:rPr>
      </w:pPr>
      <w:r>
        <w:lastRenderedPageBreak/>
        <w:t>Figure 1</w:t>
      </w:r>
      <w:bookmarkEnd w:id="6"/>
      <w:r>
        <w:t>: Flowchart/decision tree for the application of ‘mixed-case lettering’</w:t>
      </w:r>
      <w:bookmarkEnd w:id="7"/>
    </w:p>
    <w:p w14:paraId="22EB7FD1" w14:textId="1D9AA898" w:rsidR="00ED743C" w:rsidRDefault="00ED743C" w:rsidP="00ED743C">
      <w:pPr>
        <w:pStyle w:val="TFHolderspanBodystyles0"/>
      </w:pPr>
      <w:r>
        <w:t xml:space="preserve"> </w:t>
      </w:r>
      <w:r w:rsidR="007754AE" w:rsidRPr="007754AE">
        <w:rPr>
          <w:noProof/>
        </w:rPr>
        <w:drawing>
          <wp:inline distT="0" distB="0" distL="0" distR="0" wp14:anchorId="51429906" wp14:editId="67B36660">
            <wp:extent cx="9197121" cy="5217229"/>
            <wp:effectExtent l="0" t="0" r="0" b="0"/>
            <wp:docPr id="863290649" name="Picture 1" descr="Figure 1: Flowchart/decision tree for the application of ‘mixed-case lettering’Check the National Mixed-Case Lettering List*Before conducting a risk assessment, check the National Mixed-Case Lettering List (the List).If the medicine IS on the list apply the ‘mixed-case lettering’ according to the List.If the medicine IS NOT on the List, conduct a local risk assessment in line with local medication management governance, such as Drug and Therapeutics Committee oversight.[Arrow to next section]Conduct a local risk assessmentConsider these questions:- Clinical consequences – severity or risk of harm (from an incident, near miss, or root cause analysis)?- Duplication of prefix or suffix letters?- Similarity in word length or number of syllables?- Potential for confusion based on same dosage form and/or strength and/or route of administration?- Proximity in a digital drop-down list or menu?- Storage proximity – on the same shelf; in the same storage location?[Arrow to next section]Use the LASA search tool†Check your results:- If results of similarity score are extreme (0.9 or higher) or high (0.69 to 0.8999), begin the application of ‘mixed-case lettering’- If the similarity score results are moderate (0.65 to 0.6899) or less, consider if ‘mixed-case lettering‘ is the appropriate risk-reduction strategy or not. Refer to the Commission’s Principles for safe selection and storage of medicines§ for information on alternative or complementary strategies.[Arrow to next section]Application of ‘mixed-case lettering’Step 1:Working from the first letter of the medicine name take each common character to the right until two or more characters are different, and from that point on capitalise the characters. For example: cefUROXIME and cefOTAXIMEStep 2:Working from the last letter of the word, take each capitalised common character to the left until two or more characters are different, and change the capital letters to that point back to lower-case. For example: cefUROXime and cefOTAXimeStep 3:If two medicine names appear more similar to one another or more similar to a medicine name outside the particular pair or group consider an alternative capitalisation. For example: - CARBAMAZEPINe becomes CARBAMazepine - OXCARBAZEPINe becomes OXCARBazepine - CARBIMAZOLe becomes carbiMAZ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90649" name="Picture 1" descr="Figure 1: Flowchart/decision tree for the application of ‘mixed-case lettering’Check the National Mixed-Case Lettering List*Before conducting a risk assessment, check the National Mixed-Case Lettering List (the List).If the medicine IS on the list apply the ‘mixed-case lettering’ according to the List.If the medicine IS NOT on the List, conduct a local risk assessment in line with local medication management governance, such as Drug and Therapeutics Committee oversight.[Arrow to next section]Conduct a local risk assessmentConsider these questions:- Clinical consequences – severity or risk of harm (from an incident, near miss, or root cause analysis)?- Duplication of prefix or suffix letters?- Similarity in word length or number of syllables?- Potential for confusion based on same dosage form and/or strength and/or route of administration?- Proximity in a digital drop-down list or menu?- Storage proximity – on the same shelf; in the same storage location?[Arrow to next section]Use the LASA search tool†Check your results:- If results of similarity score are extreme (0.9 or higher) or high (0.69 to 0.8999), begin the application of ‘mixed-case lettering’- If the similarity score results are moderate (0.65 to 0.6899) or less, consider if ‘mixed-case lettering‘ is the appropriate risk-reduction strategy or not. Refer to the Commission’s Principles for safe selection and storage of medicines§ for information on alternative or complementary strategies.[Arrow to next section]Application of ‘mixed-case lettering’Step 1:Working from the first letter of the medicine name take each common character to the right until two or more characters are different, and from that point on capitalise the characters. For example: cefUROXIME and cefOTAXIMEStep 2:Working from the last letter of the word, take each capitalised common character to the left until two or more characters are different, and change the capital letters to that point back to lower-case. For example: cefUROXime and cefOTAXimeStep 3:If two medicine names appear more similar to one another or more similar to a medicine name outside the particular pair or group consider an alternative capitalisation. For example: - CARBAMAZEPINe becomes CARBAMazepine - OXCARBAZEPINe becomes OXCARBazepine - CARBIMAZOLe becomes carbiMAZOLe"/>
                    <pic:cNvPicPr/>
                  </pic:nvPicPr>
                  <pic:blipFill>
                    <a:blip r:embed="rId29"/>
                    <a:stretch>
                      <a:fillRect/>
                    </a:stretch>
                  </pic:blipFill>
                  <pic:spPr>
                    <a:xfrm>
                      <a:off x="0" y="0"/>
                      <a:ext cx="9197121" cy="5217229"/>
                    </a:xfrm>
                    <a:prstGeom prst="rect">
                      <a:avLst/>
                    </a:prstGeom>
                  </pic:spPr>
                </pic:pic>
              </a:graphicData>
            </a:graphic>
          </wp:inline>
        </w:drawing>
      </w:r>
    </w:p>
    <w:p w14:paraId="62ED96F8" w14:textId="353A9C90" w:rsidR="00ED743C" w:rsidRPr="00D2197F" w:rsidRDefault="00ED743C" w:rsidP="000A008C">
      <w:pPr>
        <w:pStyle w:val="FootnoteText"/>
      </w:pPr>
      <w:r w:rsidRPr="00D2197F">
        <w:rPr>
          <w:rStyle w:val="a"/>
          <w:vertAlign w:val="baseline"/>
        </w:rPr>
        <w:t>*</w:t>
      </w:r>
      <w:r w:rsidR="006C4A62">
        <w:rPr>
          <w:rStyle w:val="a"/>
        </w:rPr>
        <w:t xml:space="preserve"> </w:t>
      </w:r>
      <w:hyperlink r:id="rId30" w:history="1">
        <w:r w:rsidRPr="00D2197F">
          <w:rPr>
            <w:rStyle w:val="Hyperlink"/>
          </w:rPr>
          <w:t>National Mixed-Case Lettering List</w:t>
        </w:r>
      </w:hyperlink>
      <w:r w:rsidRPr="00D2197F">
        <w:rPr>
          <w:rStyle w:val="Superscript"/>
        </w:rPr>
        <w:t>1</w:t>
      </w:r>
      <w:r w:rsidR="006C4A62" w:rsidRPr="006C4A62">
        <w:t xml:space="preserve"> </w:t>
      </w:r>
      <w:r w:rsidR="006C4A62">
        <w:t xml:space="preserve">  </w:t>
      </w:r>
      <w:r w:rsidR="007C6AD6">
        <w:t>†</w:t>
      </w:r>
      <w:r w:rsidR="006C4A62">
        <w:t xml:space="preserve"> </w:t>
      </w:r>
      <w:hyperlink r:id="rId31" w:history="1">
        <w:r w:rsidRPr="00D2197F">
          <w:rPr>
            <w:rStyle w:val="Hyperlink"/>
          </w:rPr>
          <w:t>LASA search tool</w:t>
        </w:r>
      </w:hyperlink>
      <w:r w:rsidRPr="00D2197F">
        <w:rPr>
          <w:rStyle w:val="Superscript"/>
        </w:rPr>
        <w:t>22</w:t>
      </w:r>
      <w:r w:rsidR="006C4A62" w:rsidRPr="006C4A62">
        <w:t xml:space="preserve"> </w:t>
      </w:r>
      <w:r w:rsidR="006C4A62">
        <w:t xml:space="preserve"> </w:t>
      </w:r>
      <w:r w:rsidRPr="00D2197F">
        <w:t>§</w:t>
      </w:r>
      <w:r w:rsidR="006C4A62">
        <w:t xml:space="preserve"> </w:t>
      </w:r>
      <w:hyperlink r:id="rId32" w:history="1">
        <w:r w:rsidRPr="00D2197F">
          <w:rPr>
            <w:rStyle w:val="Hyperlink"/>
          </w:rPr>
          <w:t>Principles for safe selection and storage of medicines</w:t>
        </w:r>
      </w:hyperlink>
      <w:r w:rsidRPr="00D2197F">
        <w:rPr>
          <w:rStyle w:val="Superscript"/>
        </w:rPr>
        <w:t>21</w:t>
      </w:r>
    </w:p>
    <w:p w14:paraId="4FC587DA" w14:textId="77777777" w:rsidR="00ED743C" w:rsidRDefault="00ED743C" w:rsidP="00ED743C">
      <w:pPr>
        <w:pStyle w:val="NormalBodystyles"/>
        <w:rPr>
          <w:rStyle w:val="Designernotes0"/>
        </w:rPr>
      </w:pPr>
    </w:p>
    <w:p w14:paraId="67F99547" w14:textId="2ED27E04" w:rsidR="00ED743C" w:rsidRDefault="00ED743C" w:rsidP="00F6047C">
      <w:pPr>
        <w:pStyle w:val="TableFigureTitle"/>
      </w:pPr>
      <w:bookmarkStart w:id="8" w:name="F2S"/>
      <w:bookmarkStart w:id="9" w:name="F2L"/>
      <w:r>
        <w:lastRenderedPageBreak/>
        <w:t>Figure 2</w:t>
      </w:r>
      <w:bookmarkEnd w:id="8"/>
      <w:r>
        <w:t xml:space="preserve">: Flowchart/decision tree for the application of ‘mixed-case lettering’ </w:t>
      </w:r>
      <w:r w:rsidR="0002597E">
        <w:t>–</w:t>
      </w:r>
      <w:r>
        <w:t xml:space="preserve"> worked example for ‘</w:t>
      </w:r>
      <w:proofErr w:type="spellStart"/>
      <w:r>
        <w:t>cyclonex</w:t>
      </w:r>
      <w:proofErr w:type="spellEnd"/>
      <w:r>
        <w:t>’ and ‘</w:t>
      </w:r>
      <w:proofErr w:type="spellStart"/>
      <w:r>
        <w:t>cyclizine</w:t>
      </w:r>
      <w:proofErr w:type="spellEnd"/>
      <w:r>
        <w:t>’</w:t>
      </w:r>
      <w:bookmarkEnd w:id="9"/>
    </w:p>
    <w:p w14:paraId="6CE0B1E3" w14:textId="24F10367" w:rsidR="00ED743C" w:rsidRPr="00D2197F" w:rsidRDefault="0002597E" w:rsidP="000A008C">
      <w:pPr>
        <w:pStyle w:val="FootnoteText"/>
      </w:pPr>
      <w:r w:rsidRPr="0002597E">
        <w:rPr>
          <w:noProof/>
        </w:rPr>
        <w:drawing>
          <wp:inline distT="0" distB="0" distL="0" distR="0" wp14:anchorId="4D1C5265" wp14:editId="14399B5A">
            <wp:extent cx="9251950" cy="5337663"/>
            <wp:effectExtent l="0" t="0" r="0" b="0"/>
            <wp:docPr id="795968412" name="Picture 1" descr="Figure 2: Flowchart/decision tree for the application of ‘mixed-case lettering’ — worked example for ‘cyclonex’ and ‘cyclizine’Check the National Mixed-Case Lettering List*Check: To see if ‘cyclonex;’ and/or ‘cyclizine’ have already been assessed by the Commission and added to the National Mixed-Case Lettering List.Result: Medicine not found.Move to conduct a local risk assessment.[Arrow to next section]Conduct a local risk assessmentQ: Clinical consequences – severity or risk of harm?A: Medicines have very different indications: ‘cyclonex’ is an anti-cancer medicine and ‘cyclizine’ is an antihistamine.Q: Duplication of prefix or suffix letters?A: Yes, ‘Cycl’ duplicated.Q: Similarity in word length or number of syllables?A: Yes, eight to nine letters in each.Q: Potential for confusion based on same dosage form and/or strength and/or route of administration?A: Both come as 50 mg tablets.Q: Proximity in a digital drop-down list or menu?A: Possible depending upon formulary listing.Q: Storage proximity – on the same shelf; in the same storage location?A: Unlikely, given vastly different indications.[Arrow to next section]Use the LASA search tool†Go to the LASA search tool.†Search ‘Cyclizine’ with brand name comparison filter.Result: ‘Cyclonex’ = moderate (0.6518) Consider if ‘mixed-case lettering’ is the appropriate risk-reduction strategy.Refer to the Commission’s Principles for safe selection and storage of medicines§ for advice.  Move ahead with the application of ‘mixed-case lettering’.[Arrow to next section]Application of ‘mixed-case lettering’Step 1:Working from the first letter of the medicine name take each common character to the right until two or more characters are different, and from that point on capitalise the characters. Result: cycLONEX and cycLIZINEStep 2:Working from the last letter of the word, take each capitalised common character to the left until two or more characters are different, and change the capital letters to that point back to lower-case. Result: Does not apply for this example. Step 3:As the two medicine names appear similar to one another, consider an alternative capitalisation. Although the ‘L’ is common to both, there could be issues with the ‘L’ becoming lower-case and then followed by ‘i’ in upper-case for ‘cyclizine’. Considerations include:- cyCLONex cyCLIZine- cycLONEX and cycLIZINE (this application is cho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68412" name="Picture 1" descr="Figure 2: Flowchart/decision tree for the application of ‘mixed-case lettering’ — worked example for ‘cyclonex’ and ‘cyclizine’Check the National Mixed-Case Lettering List*Check: To see if ‘cyclonex;’ and/or ‘cyclizine’ have already been assessed by the Commission and added to the National Mixed-Case Lettering List.Result: Medicine not found.Move to conduct a local risk assessment.[Arrow to next section]Conduct a local risk assessmentQ: Clinical consequences – severity or risk of harm?A: Medicines have very different indications: ‘cyclonex’ is an anti-cancer medicine and ‘cyclizine’ is an antihistamine.Q: Duplication of prefix or suffix letters?A: Yes, ‘Cycl’ duplicated.Q: Similarity in word length or number of syllables?A: Yes, eight to nine letters in each.Q: Potential for confusion based on same dosage form and/or strength and/or route of administration?A: Both come as 50 mg tablets.Q: Proximity in a digital drop-down list or menu?A: Possible depending upon formulary listing.Q: Storage proximity – on the same shelf; in the same storage location?A: Unlikely, given vastly different indications.[Arrow to next section]Use the LASA search tool†Go to the LASA search tool.†Search ‘Cyclizine’ with brand name comparison filter.Result: ‘Cyclonex’ = moderate (0.6518) Consider if ‘mixed-case lettering’ is the appropriate risk-reduction strategy.Refer to the Commission’s Principles for safe selection and storage of medicines§ for advice.  Move ahead with the application of ‘mixed-case lettering’.[Arrow to next section]Application of ‘mixed-case lettering’Step 1:Working from the first letter of the medicine name take each common character to the right until two or more characters are different, and from that point on capitalise the characters. Result: cycLONEX and cycLIZINEStep 2:Working from the last letter of the word, take each capitalised common character to the left until two or more characters are different, and change the capital letters to that point back to lower-case. Result: Does not apply for this example. Step 3:As the two medicine names appear similar to one another, consider an alternative capitalisation. Although the ‘L’ is common to both, there could be issues with the ‘L’ becoming lower-case and then followed by ‘i’ in upper-case for ‘cyclizine’. Considerations include:- cyCLONex cyCLIZine- cycLONEX and cycLIZINE (this application is chosen)."/>
                    <pic:cNvPicPr/>
                  </pic:nvPicPr>
                  <pic:blipFill>
                    <a:blip r:embed="rId33"/>
                    <a:stretch>
                      <a:fillRect/>
                    </a:stretch>
                  </pic:blipFill>
                  <pic:spPr>
                    <a:xfrm>
                      <a:off x="0" y="0"/>
                      <a:ext cx="9251950" cy="5337663"/>
                    </a:xfrm>
                    <a:prstGeom prst="rect">
                      <a:avLst/>
                    </a:prstGeom>
                  </pic:spPr>
                </pic:pic>
              </a:graphicData>
            </a:graphic>
          </wp:inline>
        </w:drawing>
      </w:r>
      <w:r w:rsidR="00ED743C" w:rsidRPr="00D2197F">
        <w:t xml:space="preserve"> </w:t>
      </w:r>
    </w:p>
    <w:p w14:paraId="19A448C0" w14:textId="73861D28" w:rsidR="00ED743C" w:rsidRPr="00D2197F" w:rsidRDefault="00ED743C" w:rsidP="0002597E">
      <w:pPr>
        <w:pStyle w:val="FootnoteText"/>
      </w:pPr>
      <w:r w:rsidRPr="00D2197F">
        <w:t>*</w:t>
      </w:r>
      <w:r w:rsidR="0002597E">
        <w:t xml:space="preserve"> </w:t>
      </w:r>
      <w:hyperlink r:id="rId34" w:history="1">
        <w:r w:rsidRPr="00D2197F">
          <w:rPr>
            <w:rStyle w:val="Hyperlink"/>
          </w:rPr>
          <w:t>National Mixed-Case Lettering List</w:t>
        </w:r>
      </w:hyperlink>
      <w:r w:rsidRPr="00D2197F">
        <w:rPr>
          <w:rStyle w:val="Superscript"/>
        </w:rPr>
        <w:t>1</w:t>
      </w:r>
      <w:r w:rsidR="0002597E" w:rsidRPr="0002597E">
        <w:t xml:space="preserve">  </w:t>
      </w:r>
      <w:r w:rsidR="007C6AD6">
        <w:t>†</w:t>
      </w:r>
      <w:r w:rsidR="0002597E">
        <w:t xml:space="preserve"> </w:t>
      </w:r>
      <w:hyperlink r:id="rId35" w:history="1">
        <w:r w:rsidRPr="00D2197F">
          <w:rPr>
            <w:rStyle w:val="Hyperlink"/>
          </w:rPr>
          <w:t>LASA search tool</w:t>
        </w:r>
      </w:hyperlink>
      <w:r w:rsidRPr="00D2197F">
        <w:rPr>
          <w:rStyle w:val="Superscript"/>
        </w:rPr>
        <w:t>22</w:t>
      </w:r>
      <w:r w:rsidR="0002597E">
        <w:t xml:space="preserve">  </w:t>
      </w:r>
      <w:r w:rsidRPr="00D2197F">
        <w:t>§</w:t>
      </w:r>
      <w:r w:rsidR="0002597E">
        <w:t xml:space="preserve"> </w:t>
      </w:r>
      <w:hyperlink r:id="rId36" w:history="1">
        <w:r w:rsidRPr="00D2197F">
          <w:rPr>
            <w:rStyle w:val="Hyperlink"/>
          </w:rPr>
          <w:t>Principles for safe selection and storage of medicines</w:t>
        </w:r>
      </w:hyperlink>
      <w:r w:rsidRPr="00D2197F">
        <w:rPr>
          <w:rStyle w:val="Superscript"/>
        </w:rPr>
        <w:t>21</w:t>
      </w:r>
    </w:p>
    <w:p w14:paraId="4E87B5AE" w14:textId="77777777" w:rsidR="00ED743C" w:rsidRDefault="00ED743C" w:rsidP="00ED743C">
      <w:pPr>
        <w:pStyle w:val="NormalBodystyles"/>
      </w:pPr>
    </w:p>
    <w:p w14:paraId="679DAE96" w14:textId="77777777" w:rsidR="003933B3" w:rsidRDefault="003933B3" w:rsidP="004E40F2">
      <w:pPr>
        <w:pStyle w:val="Heading2"/>
        <w:sectPr w:rsidR="003933B3" w:rsidSect="003933B3">
          <w:headerReference w:type="default" r:id="rId37"/>
          <w:footerReference w:type="default" r:id="rId38"/>
          <w:footnotePr>
            <w:numFmt w:val="chicago"/>
            <w:numRestart w:val="eachPage"/>
          </w:footnotePr>
          <w:pgSz w:w="16838" w:h="11906" w:orient="landscape"/>
          <w:pgMar w:top="1134" w:right="1134" w:bottom="1134" w:left="1134" w:header="709" w:footer="709" w:gutter="0"/>
          <w:cols w:space="720"/>
          <w:docGrid w:linePitch="299"/>
        </w:sectPr>
      </w:pPr>
    </w:p>
    <w:p w14:paraId="4751BC70" w14:textId="720F8E94" w:rsidR="00ED743C" w:rsidRDefault="00ED743C" w:rsidP="004E40F2">
      <w:pPr>
        <w:pStyle w:val="Heading2"/>
      </w:pPr>
      <w:r>
        <w:lastRenderedPageBreak/>
        <w:t xml:space="preserve">References </w:t>
      </w:r>
    </w:p>
    <w:p w14:paraId="25B6E191" w14:textId="77777777" w:rsidR="00ED743C" w:rsidRPr="00201EE7" w:rsidRDefault="00ED743C" w:rsidP="00201EE7">
      <w:pPr>
        <w:pStyle w:val="ListParagraph"/>
        <w:numPr>
          <w:ilvl w:val="0"/>
          <w:numId w:val="558"/>
        </w:numPr>
      </w:pPr>
      <w:r>
        <w:t xml:space="preserve">Australian </w:t>
      </w:r>
      <w:r w:rsidRPr="00201EE7">
        <w:t xml:space="preserve">Commission on Safety and Quality in Health Care. National Mixed-Case Lettering List. Sydney, Australia: ACSQHC; 2024. Available from: </w:t>
      </w:r>
      <w:hyperlink r:id="rId39" w:history="1">
        <w:r w:rsidRPr="00201EE7">
          <w:rPr>
            <w:rStyle w:val="Hyperlink"/>
          </w:rPr>
          <w:t>www.safetyandquality.gov.au/publications-and-resources/resource-library/national-mixed-case-lettering-list</w:t>
        </w:r>
      </w:hyperlink>
    </w:p>
    <w:p w14:paraId="73F83916" w14:textId="77777777" w:rsidR="00ED743C" w:rsidRPr="00201EE7" w:rsidRDefault="00ED743C" w:rsidP="00201EE7">
      <w:pPr>
        <w:pStyle w:val="ListParagraph"/>
        <w:numPr>
          <w:ilvl w:val="0"/>
          <w:numId w:val="558"/>
        </w:numPr>
      </w:pPr>
      <w:proofErr w:type="spellStart"/>
      <w:r w:rsidRPr="00201EE7">
        <w:t>Filik</w:t>
      </w:r>
      <w:proofErr w:type="spellEnd"/>
      <w:r w:rsidRPr="00201EE7">
        <w:t xml:space="preserve"> R, Purdy K, Gale A, </w:t>
      </w:r>
      <w:proofErr w:type="spellStart"/>
      <w:r w:rsidRPr="00201EE7">
        <w:t>Gerrett</w:t>
      </w:r>
      <w:proofErr w:type="spellEnd"/>
      <w:r w:rsidRPr="00201EE7">
        <w:t xml:space="preserve"> D. Drug name confusion: evaluating the effectiveness of capital (‘Tall Man’) letters using eye movement data. Social science &amp; medicine. 2004;59(12):2597–601.</w:t>
      </w:r>
    </w:p>
    <w:p w14:paraId="14B2F0CA" w14:textId="77777777" w:rsidR="00ED743C" w:rsidRPr="00201EE7" w:rsidRDefault="00ED743C" w:rsidP="00201EE7">
      <w:pPr>
        <w:pStyle w:val="ListParagraph"/>
        <w:numPr>
          <w:ilvl w:val="0"/>
          <w:numId w:val="558"/>
        </w:numPr>
      </w:pPr>
      <w:proofErr w:type="spellStart"/>
      <w:r w:rsidRPr="00201EE7">
        <w:t>Filik</w:t>
      </w:r>
      <w:proofErr w:type="spellEnd"/>
      <w:r w:rsidRPr="00201EE7">
        <w:t xml:space="preserve"> R, Purdy K, Gale A, </w:t>
      </w:r>
      <w:proofErr w:type="spellStart"/>
      <w:r w:rsidRPr="00201EE7">
        <w:t>Gerrett</w:t>
      </w:r>
      <w:proofErr w:type="spellEnd"/>
      <w:r w:rsidRPr="00201EE7">
        <w:t xml:space="preserve"> D. </w:t>
      </w:r>
      <w:proofErr w:type="spellStart"/>
      <w:r w:rsidRPr="00201EE7">
        <w:t>Labeling</w:t>
      </w:r>
      <w:proofErr w:type="spellEnd"/>
      <w:r w:rsidRPr="00201EE7">
        <w:t xml:space="preserve"> of medicines and patient safety: evaluating methods of reducing drug name confusion. Human Factors. 2006;48(1):39–47.</w:t>
      </w:r>
    </w:p>
    <w:p w14:paraId="2FCC2929" w14:textId="77777777" w:rsidR="00ED743C" w:rsidRPr="00201EE7" w:rsidRDefault="00ED743C" w:rsidP="00201EE7">
      <w:pPr>
        <w:pStyle w:val="ListParagraph"/>
        <w:numPr>
          <w:ilvl w:val="0"/>
          <w:numId w:val="558"/>
        </w:numPr>
      </w:pPr>
      <w:r w:rsidRPr="00201EE7">
        <w:t xml:space="preserve">Gabriele S. The role of typography in differentiating look-alike/sound-alike drug names. </w:t>
      </w:r>
      <w:proofErr w:type="spellStart"/>
      <w:r w:rsidRPr="00201EE7">
        <w:t>Healthc</w:t>
      </w:r>
      <w:proofErr w:type="spellEnd"/>
      <w:r w:rsidRPr="00201EE7">
        <w:t xml:space="preserve"> Q. </w:t>
      </w:r>
      <w:proofErr w:type="gramStart"/>
      <w:r w:rsidRPr="00201EE7">
        <w:t>2006;9:88</w:t>
      </w:r>
      <w:proofErr w:type="gramEnd"/>
      <w:r w:rsidRPr="00201EE7">
        <w:t>–95.</w:t>
      </w:r>
    </w:p>
    <w:p w14:paraId="4653D114" w14:textId="77777777" w:rsidR="00ED743C" w:rsidRPr="00201EE7" w:rsidRDefault="00ED743C" w:rsidP="00201EE7">
      <w:pPr>
        <w:pStyle w:val="ListParagraph"/>
        <w:numPr>
          <w:ilvl w:val="0"/>
          <w:numId w:val="558"/>
        </w:numPr>
      </w:pPr>
      <w:proofErr w:type="spellStart"/>
      <w:r w:rsidRPr="00201EE7">
        <w:t>DeHenau</w:t>
      </w:r>
      <w:proofErr w:type="spellEnd"/>
      <w:r w:rsidRPr="00201EE7">
        <w:t xml:space="preserve"> C, Becker MW, Bello NM, Liu S, Bix L. Tallman lettering as a strategy for differentiation in look-alike, sound-alike drug names: the role of familiarity in differentiating drug doppelgangers. Applied ergonomics. </w:t>
      </w:r>
      <w:proofErr w:type="gramStart"/>
      <w:r w:rsidRPr="00201EE7">
        <w:t>2016;52:77</w:t>
      </w:r>
      <w:proofErr w:type="gramEnd"/>
      <w:r w:rsidRPr="00201EE7">
        <w:t>–84.</w:t>
      </w:r>
    </w:p>
    <w:p w14:paraId="1888B52C" w14:textId="77777777" w:rsidR="00ED743C" w:rsidRPr="00201EE7" w:rsidRDefault="00ED743C" w:rsidP="00201EE7">
      <w:pPr>
        <w:pStyle w:val="ListParagraph"/>
        <w:numPr>
          <w:ilvl w:val="0"/>
          <w:numId w:val="558"/>
        </w:numPr>
      </w:pPr>
      <w:r w:rsidRPr="00201EE7">
        <w:t>Lambert BL, Lin S-J, Chang K-Y, Gandhi SK. Similarity as a risk factor in drug-name confusion errors: the look-alike (orthographic) and sound-alike (phonetic) model. Medical care. 1999;37(12):1214–25.</w:t>
      </w:r>
    </w:p>
    <w:p w14:paraId="4F9B28B5" w14:textId="77777777" w:rsidR="00ED743C" w:rsidRPr="00201EE7" w:rsidRDefault="00ED743C" w:rsidP="00201EE7">
      <w:pPr>
        <w:pStyle w:val="ListParagraph"/>
        <w:numPr>
          <w:ilvl w:val="0"/>
          <w:numId w:val="558"/>
        </w:numPr>
      </w:pPr>
      <w:proofErr w:type="spellStart"/>
      <w:r w:rsidRPr="00201EE7">
        <w:t>Phatak</w:t>
      </w:r>
      <w:proofErr w:type="spellEnd"/>
      <w:r w:rsidRPr="00201EE7">
        <w:t xml:space="preserve"> HM, Cady PS, </w:t>
      </w:r>
      <w:proofErr w:type="spellStart"/>
      <w:r w:rsidRPr="00201EE7">
        <w:t>Heyneman</w:t>
      </w:r>
      <w:proofErr w:type="spellEnd"/>
      <w:r w:rsidRPr="00201EE7">
        <w:t xml:space="preserve"> CA, Culbertson VL. Retrospective detection of potential medication errors involving drugs with similar names. Journal of the American Pharmacists Association. 2005;45(5):616–24.</w:t>
      </w:r>
    </w:p>
    <w:p w14:paraId="0E758BC9" w14:textId="77777777" w:rsidR="00ED743C" w:rsidRPr="00201EE7" w:rsidRDefault="00ED743C" w:rsidP="00201EE7">
      <w:pPr>
        <w:pStyle w:val="ListParagraph"/>
        <w:numPr>
          <w:ilvl w:val="0"/>
          <w:numId w:val="558"/>
        </w:numPr>
      </w:pPr>
      <w:r w:rsidRPr="00201EE7">
        <w:t xml:space="preserve">Institute for Safe Medication Practices. ISMP Updates Its List of Drug Names with Tall Man (Mixed Case) Letters Based on Survey Results. [Internet]: Institute for Safe Medication Practices (ISMP); 2023 [cited 2023 Sep 29]. Available from: </w:t>
      </w:r>
      <w:hyperlink r:id="rId40" w:history="1">
        <w:r w:rsidRPr="00201EE7">
          <w:rPr>
            <w:rStyle w:val="Hyperlink"/>
          </w:rPr>
          <w:t>www.ismp.org/acute-care/medication-safety-alert-january-26-2023</w:t>
        </w:r>
      </w:hyperlink>
      <w:r w:rsidRPr="00201EE7">
        <w:t xml:space="preserve"> </w:t>
      </w:r>
    </w:p>
    <w:p w14:paraId="4E80644D" w14:textId="77777777" w:rsidR="00ED743C" w:rsidRPr="00201EE7" w:rsidRDefault="00ED743C" w:rsidP="00201EE7">
      <w:pPr>
        <w:pStyle w:val="ListParagraph"/>
        <w:numPr>
          <w:ilvl w:val="0"/>
          <w:numId w:val="558"/>
        </w:numPr>
      </w:pPr>
      <w:r w:rsidRPr="00201EE7">
        <w:t xml:space="preserve">US Food and Drug Administration and Institute for Safe Medication Practices. FDA and ISMP Lists of Look-Alike Drug Names with Recommended Tall Man (Mixed Case) Letters. FDA and ISMP; 2023. Available from: </w:t>
      </w:r>
      <w:hyperlink r:id="rId41" w:history="1">
        <w:r w:rsidRPr="00201EE7">
          <w:rPr>
            <w:rStyle w:val="Hyperlink"/>
          </w:rPr>
          <w:t>www.ismp.org/recommendations/tall-man-letters-list</w:t>
        </w:r>
      </w:hyperlink>
    </w:p>
    <w:p w14:paraId="2E94C659" w14:textId="77777777" w:rsidR="00ED743C" w:rsidRPr="00201EE7" w:rsidRDefault="00ED743C" w:rsidP="00201EE7">
      <w:pPr>
        <w:pStyle w:val="ListParagraph"/>
        <w:numPr>
          <w:ilvl w:val="0"/>
          <w:numId w:val="558"/>
        </w:numPr>
      </w:pPr>
      <w:r w:rsidRPr="00201EE7">
        <w:t xml:space="preserve">Institute for Safe Medication Practices. List of Confused Drug Names. [Internet]: ISMP; 2023. Available from: </w:t>
      </w:r>
      <w:hyperlink r:id="rId42" w:history="1">
        <w:r w:rsidRPr="00201EE7">
          <w:rPr>
            <w:rStyle w:val="Hyperlink"/>
          </w:rPr>
          <w:t>www.ismp.org/recommendations/confused-drug-names-list</w:t>
        </w:r>
      </w:hyperlink>
    </w:p>
    <w:p w14:paraId="1C8A1F26" w14:textId="77777777" w:rsidR="00ED743C" w:rsidRPr="00201EE7" w:rsidRDefault="00ED743C" w:rsidP="00201EE7">
      <w:pPr>
        <w:pStyle w:val="ListParagraph"/>
        <w:numPr>
          <w:ilvl w:val="0"/>
          <w:numId w:val="558"/>
        </w:numPr>
      </w:pPr>
      <w:r w:rsidRPr="00201EE7">
        <w:t xml:space="preserve">The Institute for Safe Medication Practices Canada. Principles for the Application of </w:t>
      </w:r>
      <w:proofErr w:type="spellStart"/>
      <w:r w:rsidRPr="00201EE7">
        <w:t>TALLman</w:t>
      </w:r>
      <w:proofErr w:type="spellEnd"/>
      <w:r w:rsidRPr="00201EE7">
        <w:t xml:space="preserve"> Lettering in Canada. 2016. Available from: </w:t>
      </w:r>
      <w:hyperlink r:id="rId43" w:history="1">
        <w:r w:rsidRPr="00201EE7">
          <w:rPr>
            <w:rStyle w:val="Hyperlink"/>
          </w:rPr>
          <w:t>www.ismp-canada.org/download/TALLman/PrinciplesApplication-TALLmanLettering-Mar2016.pdf</w:t>
        </w:r>
      </w:hyperlink>
    </w:p>
    <w:p w14:paraId="79D9ADF9" w14:textId="77777777" w:rsidR="00ED743C" w:rsidRPr="00201EE7" w:rsidRDefault="00ED743C" w:rsidP="00201EE7">
      <w:pPr>
        <w:pStyle w:val="ListParagraph"/>
        <w:numPr>
          <w:ilvl w:val="0"/>
          <w:numId w:val="558"/>
        </w:numPr>
      </w:pPr>
      <w:r w:rsidRPr="00201EE7">
        <w:t xml:space="preserve">The Institute for Safe Medication Practices Canada. Application of </w:t>
      </w:r>
      <w:proofErr w:type="spellStart"/>
      <w:r w:rsidRPr="00201EE7">
        <w:t>TALLman</w:t>
      </w:r>
      <w:proofErr w:type="spellEnd"/>
      <w:r w:rsidRPr="00201EE7">
        <w:t xml:space="preserve"> lettering for drugs used in oncology. ISMP Can </w:t>
      </w:r>
      <w:proofErr w:type="spellStart"/>
      <w:r w:rsidRPr="00201EE7">
        <w:t>Saf</w:t>
      </w:r>
      <w:proofErr w:type="spellEnd"/>
      <w:r w:rsidRPr="00201EE7">
        <w:t xml:space="preserve"> Bull. 2010;10(8):1–4.</w:t>
      </w:r>
    </w:p>
    <w:p w14:paraId="2EF41A00" w14:textId="77777777" w:rsidR="00ED743C" w:rsidRPr="00201EE7" w:rsidRDefault="00ED743C" w:rsidP="00201EE7">
      <w:pPr>
        <w:pStyle w:val="ListParagraph"/>
        <w:numPr>
          <w:ilvl w:val="0"/>
          <w:numId w:val="558"/>
        </w:numPr>
      </w:pPr>
      <w:r w:rsidRPr="00201EE7">
        <w:t xml:space="preserve">Institute for Safe Medication Practices Canada. </w:t>
      </w:r>
      <w:proofErr w:type="spellStart"/>
      <w:r w:rsidRPr="00201EE7">
        <w:t>TALLman</w:t>
      </w:r>
      <w:proofErr w:type="spellEnd"/>
      <w:r w:rsidRPr="00201EE7">
        <w:t xml:space="preserve"> Lettering for Look-Alike/Sound-Alike Drug Names in Canada. [Internet]: ISMP Canada; 2015. Available from: </w:t>
      </w:r>
      <w:hyperlink r:id="rId44" w:history="1">
        <w:r w:rsidRPr="00201EE7">
          <w:rPr>
            <w:rStyle w:val="Hyperlink"/>
          </w:rPr>
          <w:t>ismpcanada.ca/wp-content/uploads/2022/02/TALLman-lettering.pdf</w:t>
        </w:r>
      </w:hyperlink>
    </w:p>
    <w:p w14:paraId="6596453E" w14:textId="77777777" w:rsidR="00ED743C" w:rsidRPr="00201EE7" w:rsidRDefault="00ED743C" w:rsidP="00201EE7">
      <w:pPr>
        <w:pStyle w:val="ListParagraph"/>
        <w:numPr>
          <w:ilvl w:val="0"/>
          <w:numId w:val="558"/>
        </w:numPr>
      </w:pPr>
      <w:r w:rsidRPr="00201EE7">
        <w:t xml:space="preserve">Institute for Safe Medication Practices Canada. Application of </w:t>
      </w:r>
      <w:proofErr w:type="spellStart"/>
      <w:r w:rsidRPr="00201EE7">
        <w:t>TALLman</w:t>
      </w:r>
      <w:proofErr w:type="spellEnd"/>
      <w:r w:rsidRPr="00201EE7">
        <w:t xml:space="preserve"> Lettering for Selected High-Alert Drugs in Canada. [Internet]: ISMP Canada; 2015. Available from: </w:t>
      </w:r>
      <w:hyperlink r:id="rId45" w:history="1">
        <w:r w:rsidRPr="00201EE7">
          <w:rPr>
            <w:rStyle w:val="Hyperlink"/>
          </w:rPr>
          <w:t>ismpcanada.ca/wp-content/uploads/2021/11/Application-of-TALLman-Lettering-for-Selected-High-Alert-Drugs-in-Canada.pdf</w:t>
        </w:r>
      </w:hyperlink>
    </w:p>
    <w:p w14:paraId="50EB5428" w14:textId="77777777" w:rsidR="00ED743C" w:rsidRPr="00201EE7" w:rsidRDefault="00ED743C" w:rsidP="00201EE7">
      <w:pPr>
        <w:pStyle w:val="ListParagraph"/>
        <w:numPr>
          <w:ilvl w:val="0"/>
          <w:numId w:val="558"/>
        </w:numPr>
      </w:pPr>
      <w:r w:rsidRPr="00201EE7">
        <w:t xml:space="preserve">Institute for Safe Medication Practices Canada. Drug Labelling and the Application of </w:t>
      </w:r>
      <w:proofErr w:type="spellStart"/>
      <w:r w:rsidRPr="00201EE7">
        <w:t>TALLman</w:t>
      </w:r>
      <w:proofErr w:type="spellEnd"/>
      <w:r w:rsidRPr="00201EE7">
        <w:t xml:space="preserve"> Lettering Project Report. [Internet]: ISMP Canada; 2016. Available from: </w:t>
      </w:r>
      <w:hyperlink r:id="rId46" w:history="1">
        <w:r w:rsidRPr="00201EE7">
          <w:rPr>
            <w:rStyle w:val="Hyperlink"/>
          </w:rPr>
          <w:t>ismpcanada.ca/wp-content/uploads/2022/02/TALLmanLettering-ProjectReport.pdf</w:t>
        </w:r>
      </w:hyperlink>
    </w:p>
    <w:p w14:paraId="6F086D4D" w14:textId="77777777" w:rsidR="00ED743C" w:rsidRPr="00201EE7" w:rsidRDefault="00ED743C" w:rsidP="00201EE7">
      <w:pPr>
        <w:pStyle w:val="ListParagraph"/>
        <w:numPr>
          <w:ilvl w:val="0"/>
          <w:numId w:val="558"/>
        </w:numPr>
      </w:pPr>
      <w:r w:rsidRPr="00201EE7">
        <w:t xml:space="preserve">The National Pharmacy Association. Look-alike sound-alike (LASA) items. October 2018. Available from: </w:t>
      </w:r>
      <w:hyperlink r:id="rId47" w:history="1">
        <w:r w:rsidRPr="00201EE7">
          <w:rPr>
            <w:rStyle w:val="Hyperlink"/>
          </w:rPr>
          <w:t>www.npa.co.uk/wp-content/uploads/2018/10/Look-alike-sound-alike-items.pdf</w:t>
        </w:r>
      </w:hyperlink>
    </w:p>
    <w:p w14:paraId="31561CF5" w14:textId="77777777" w:rsidR="00ED743C" w:rsidRPr="00201EE7" w:rsidRDefault="00ED743C" w:rsidP="00201EE7">
      <w:pPr>
        <w:pStyle w:val="ListParagraph"/>
        <w:numPr>
          <w:ilvl w:val="0"/>
          <w:numId w:val="558"/>
        </w:numPr>
      </w:pPr>
      <w:r w:rsidRPr="00201EE7">
        <w:t xml:space="preserve">World Health Organization. Patient Safety Solutions: Look-Alike, Sound-Alike Medication Names 2007 [cited 2019 Nov 9]; 1 (Solution 1). Available from: </w:t>
      </w:r>
      <w:hyperlink r:id="rId48" w:history="1">
        <w:r w:rsidRPr="00201EE7">
          <w:rPr>
            <w:rStyle w:val="Hyperlink"/>
          </w:rPr>
          <w:t>www.who.int/patientsafety/solutions/patientsafety/PS-Solution1.pdf?ua=1</w:t>
        </w:r>
      </w:hyperlink>
    </w:p>
    <w:p w14:paraId="4FA1B1C1" w14:textId="77777777" w:rsidR="00ED743C" w:rsidRPr="00201EE7" w:rsidRDefault="00ED743C" w:rsidP="00201EE7">
      <w:pPr>
        <w:pStyle w:val="ListParagraph"/>
        <w:numPr>
          <w:ilvl w:val="0"/>
          <w:numId w:val="558"/>
        </w:numPr>
      </w:pPr>
      <w:r w:rsidRPr="00201EE7">
        <w:lastRenderedPageBreak/>
        <w:t xml:space="preserve">World Health Organization. Medication safety for look-alike, sound-alike medicines. Geneva: WHO; 2023. Available from: </w:t>
      </w:r>
      <w:hyperlink r:id="rId49" w:history="1">
        <w:r w:rsidRPr="00201EE7">
          <w:rPr>
            <w:rStyle w:val="Hyperlink"/>
          </w:rPr>
          <w:t>iris.who.int/bitstream/handle/10665/373495/9789240058897-eng.pdf?sequence=1</w:t>
        </w:r>
      </w:hyperlink>
    </w:p>
    <w:p w14:paraId="092D0F49" w14:textId="77777777" w:rsidR="00ED743C" w:rsidRPr="00201EE7" w:rsidRDefault="00ED743C" w:rsidP="00201EE7">
      <w:pPr>
        <w:pStyle w:val="ListParagraph"/>
        <w:numPr>
          <w:ilvl w:val="0"/>
          <w:numId w:val="558"/>
        </w:numPr>
      </w:pPr>
      <w:r w:rsidRPr="00201EE7">
        <w:t xml:space="preserve">Health Quality &amp; Safety Commission New Zealand. Aotearoa New Zealand Tall Man lettering list: Review report. [Internet] New Zealand: HQSCNZ; 2023. Available from: </w:t>
      </w:r>
      <w:hyperlink r:id="rId50" w:history="1">
        <w:r w:rsidRPr="00201EE7">
          <w:rPr>
            <w:rStyle w:val="Hyperlink"/>
          </w:rPr>
          <w:t>www.hqsc.govt.nz/assets/Our-work/System-safety/Reducing-harm/Medicines/Publications-resources/Aotearoa_New_Zealand_Tall_Man_lettering_list_review_report_April_2020.pdf</w:t>
        </w:r>
      </w:hyperlink>
      <w:r w:rsidRPr="00201EE7">
        <w:t xml:space="preserve"> </w:t>
      </w:r>
    </w:p>
    <w:p w14:paraId="20B012A7" w14:textId="77777777" w:rsidR="00ED743C" w:rsidRPr="00201EE7" w:rsidRDefault="00ED743C" w:rsidP="00201EE7">
      <w:pPr>
        <w:pStyle w:val="ListParagraph"/>
        <w:numPr>
          <w:ilvl w:val="0"/>
          <w:numId w:val="558"/>
        </w:numPr>
      </w:pPr>
      <w:r w:rsidRPr="00201EE7">
        <w:t xml:space="preserve">Health Quality &amp; Safety Commission New Zealand. Tall Man lettering. [Internet] New Zealand: HQSCNZ; 2023. Available from: </w:t>
      </w:r>
      <w:hyperlink r:id="rId51" w:history="1">
        <w:r w:rsidRPr="00201EE7">
          <w:rPr>
            <w:rStyle w:val="Hyperlink"/>
          </w:rPr>
          <w:t>www.hqsc.govt.nz/our-work/system-safety/reducing-harm/medicines/projects/tall-man-lettering</w:t>
        </w:r>
      </w:hyperlink>
    </w:p>
    <w:p w14:paraId="1DC84DD0" w14:textId="77777777" w:rsidR="00ED743C" w:rsidRPr="00201EE7" w:rsidRDefault="00ED743C" w:rsidP="00201EE7">
      <w:pPr>
        <w:pStyle w:val="ListParagraph"/>
        <w:numPr>
          <w:ilvl w:val="0"/>
          <w:numId w:val="558"/>
        </w:numPr>
      </w:pPr>
      <w:r w:rsidRPr="00201EE7">
        <w:t xml:space="preserve">Australian Commission on Safety and Quality in Health Care. Principles for the safe selection and storage of medicines: Guidance on the principles and survey tool. Sydney, Australia: ACSQHC; 2020. Available from: </w:t>
      </w:r>
      <w:hyperlink r:id="rId52" w:history="1">
        <w:r w:rsidRPr="00201EE7">
          <w:rPr>
            <w:rStyle w:val="Hyperlink"/>
          </w:rPr>
          <w:t>www.safetyandquality.gov.au/publications-and-resources/resource-library/principles-safe-selection-and-storage-medicines-guidance-principles-and-survey-tool</w:t>
        </w:r>
      </w:hyperlink>
      <w:r w:rsidRPr="00201EE7">
        <w:t xml:space="preserve"> </w:t>
      </w:r>
    </w:p>
    <w:p w14:paraId="285DE06F" w14:textId="77777777" w:rsidR="00ED743C" w:rsidRPr="00201EE7" w:rsidRDefault="00ED743C" w:rsidP="00201EE7">
      <w:pPr>
        <w:pStyle w:val="ListParagraph"/>
        <w:numPr>
          <w:ilvl w:val="0"/>
          <w:numId w:val="558"/>
        </w:numPr>
      </w:pPr>
      <w:r w:rsidRPr="00201EE7">
        <w:t xml:space="preserve">Australian Commission on Safety and Quality in Health Care. LASA search tool. [Internet] Sydney, Australia: ACSQHC; 2023. Available from: </w:t>
      </w:r>
      <w:hyperlink r:id="rId53" w:history="1">
        <w:r w:rsidRPr="00201EE7">
          <w:rPr>
            <w:rStyle w:val="Hyperlink"/>
          </w:rPr>
          <w:t>lasa.azureedge.net</w:t>
        </w:r>
      </w:hyperlink>
    </w:p>
    <w:p w14:paraId="3477BAD2" w14:textId="77777777" w:rsidR="00ED743C" w:rsidRDefault="00ED743C" w:rsidP="00201EE7">
      <w:pPr>
        <w:pStyle w:val="ListParagraph"/>
        <w:numPr>
          <w:ilvl w:val="0"/>
          <w:numId w:val="558"/>
        </w:numPr>
      </w:pPr>
      <w:r w:rsidRPr="00201EE7">
        <w:t>Australian Commission on Safety and Quality in Health Care. National Standard for the Application of Tall Man Lettering: Project Report. Sydney, Australia: ACSQHC; 2011. A</w:t>
      </w:r>
      <w:r>
        <w:t xml:space="preserve">vailable from: </w:t>
      </w:r>
      <w:hyperlink r:id="rId54" w:history="1">
        <w:r>
          <w:rPr>
            <w:rStyle w:val="Hyperlink"/>
          </w:rPr>
          <w:t>www.safetyandquality.gov.au/publications-and-resources/resource-library/national-standard-application-tall-man-lettering-project-report</w:t>
        </w:r>
      </w:hyperlink>
      <w:r>
        <w:t xml:space="preserve"> </w:t>
      </w:r>
    </w:p>
    <w:p w14:paraId="55D2A570" w14:textId="67C5D28F" w:rsidR="00261BB7" w:rsidRDefault="00261BB7" w:rsidP="00261BB7"/>
    <w:bookmarkEnd w:id="2"/>
    <w:p w14:paraId="38FF6A16" w14:textId="77777777" w:rsidR="0077562D" w:rsidRPr="001F472F" w:rsidRDefault="00000000" w:rsidP="007336C9">
      <w:pPr>
        <w:pStyle w:val="Website"/>
        <w:spacing w:before="360"/>
      </w:pPr>
      <w:r>
        <w:fldChar w:fldCharType="begin"/>
      </w:r>
      <w:r>
        <w:instrText>HYPERLINK "http://www.safetyandquality.gov.au"</w:instrText>
      </w:r>
      <w:r>
        <w:fldChar w:fldCharType="separate"/>
      </w:r>
      <w:r w:rsidR="0077562D" w:rsidRPr="001F472F">
        <w:rPr>
          <w:rStyle w:val="Hyperlink"/>
        </w:rPr>
        <w:t>safetyandquality.gov.au</w:t>
      </w:r>
      <w:r>
        <w:rPr>
          <w:rStyle w:val="Hyperlink"/>
        </w:rPr>
        <w:fldChar w:fldCharType="end"/>
      </w:r>
    </w:p>
    <w:p w14:paraId="3995AD74" w14:textId="77777777" w:rsidR="0077562D" w:rsidRDefault="0077562D" w:rsidP="000A008C">
      <w:pPr>
        <w:pStyle w:val="FootnoteText"/>
        <w:rPr>
          <w:rStyle w:val="Roman"/>
          <w:rFonts w:eastAsiaTheme="majorEastAsia"/>
          <w:sz w:val="16"/>
          <w:szCs w:val="16"/>
        </w:rPr>
      </w:pPr>
      <w:r w:rsidRPr="00146BFB">
        <w:rPr>
          <w:noProof/>
          <w:lang w:val="en-US" w:eastAsia="en-US"/>
        </w:rPr>
        <w:drawing>
          <wp:inline distT="0" distB="0" distL="0" distR="0" wp14:anchorId="292269F8" wp14:editId="28481F45">
            <wp:extent cx="596265" cy="211455"/>
            <wp:effectExtent l="0" t="0" r="635" b="4445"/>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6265" cy="211455"/>
                    </a:xfrm>
                    <a:prstGeom prst="rect">
                      <a:avLst/>
                    </a:prstGeom>
                    <a:noFill/>
                    <a:ln>
                      <a:noFill/>
                    </a:ln>
                  </pic:spPr>
                </pic:pic>
              </a:graphicData>
            </a:graphic>
          </wp:inline>
        </w:drawing>
      </w:r>
    </w:p>
    <w:p w14:paraId="394A2303" w14:textId="3D423608" w:rsidR="004577EE" w:rsidRDefault="0077562D" w:rsidP="000A008C">
      <w:pPr>
        <w:pStyle w:val="FootnoteText"/>
        <w:rPr>
          <w:rStyle w:val="Roman"/>
          <w:rFonts w:eastAsiaTheme="majorEastAsia"/>
          <w:sz w:val="16"/>
          <w:szCs w:val="16"/>
        </w:rPr>
      </w:pPr>
      <w:r w:rsidRPr="00146BFB">
        <w:rPr>
          <w:rStyle w:val="Roman"/>
          <w:rFonts w:eastAsiaTheme="majorEastAsia"/>
          <w:sz w:val="16"/>
          <w:szCs w:val="16"/>
        </w:rPr>
        <w:t>© Australian Commission on Safety and</w:t>
      </w:r>
      <w:r>
        <w:rPr>
          <w:rStyle w:val="Roman"/>
          <w:rFonts w:eastAsiaTheme="majorEastAsia"/>
          <w:sz w:val="16"/>
          <w:szCs w:val="16"/>
        </w:rPr>
        <w:softHyphen/>
      </w:r>
      <w:r>
        <w:rPr>
          <w:rStyle w:val="Roman"/>
          <w:rFonts w:eastAsiaTheme="majorEastAsia"/>
          <w:sz w:val="16"/>
          <w:szCs w:val="16"/>
        </w:rPr>
        <w:softHyphen/>
      </w:r>
      <w:r w:rsidRPr="00146BFB">
        <w:rPr>
          <w:rStyle w:val="Roman"/>
          <w:rFonts w:eastAsiaTheme="majorEastAsia"/>
          <w:sz w:val="16"/>
          <w:szCs w:val="16"/>
        </w:rPr>
        <w:t xml:space="preserve"> </w:t>
      </w:r>
      <w:r w:rsidRPr="00146BFB">
        <w:rPr>
          <w:rStyle w:val="Roman"/>
          <w:rFonts w:eastAsiaTheme="majorEastAsia"/>
          <w:sz w:val="16"/>
          <w:szCs w:val="16"/>
        </w:rPr>
        <w:softHyphen/>
        <w:t>Quality in Health Care 202</w:t>
      </w:r>
      <w:r w:rsidR="00201EE7">
        <w:rPr>
          <w:rStyle w:val="Roman"/>
          <w:rFonts w:eastAsiaTheme="majorEastAsia"/>
          <w:sz w:val="16"/>
          <w:szCs w:val="16"/>
        </w:rPr>
        <w:t>4</w:t>
      </w:r>
      <w:r w:rsidR="002073AC">
        <w:rPr>
          <w:rStyle w:val="Roman"/>
          <w:rFonts w:eastAsiaTheme="majorEastAsia"/>
          <w:sz w:val="16"/>
          <w:szCs w:val="16"/>
        </w:rPr>
        <w:t xml:space="preserve"> </w:t>
      </w:r>
    </w:p>
    <w:sectPr w:rsidR="004577EE" w:rsidSect="003933B3">
      <w:headerReference w:type="default" r:id="rId56"/>
      <w:footnotePr>
        <w:numFmt w:val="chicago"/>
        <w:numRestart w:val="eachPage"/>
      </w:footnotePr>
      <w:pgSz w:w="11906" w:h="16838"/>
      <w:pgMar w:top="2126" w:right="1134"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10AB" w14:textId="77777777" w:rsidR="00A77435" w:rsidRDefault="00A77435" w:rsidP="000B0274">
      <w:r>
        <w:separator/>
      </w:r>
    </w:p>
    <w:p w14:paraId="567C4D08" w14:textId="77777777" w:rsidR="00A77435" w:rsidRDefault="00A77435"/>
    <w:p w14:paraId="79A40EBC" w14:textId="77777777" w:rsidR="00A77435" w:rsidRDefault="00A77435"/>
  </w:endnote>
  <w:endnote w:type="continuationSeparator" w:id="0">
    <w:p w14:paraId="255DB5DF" w14:textId="77777777" w:rsidR="00A77435" w:rsidRDefault="00A77435" w:rsidP="000B0274">
      <w:r>
        <w:continuationSeparator/>
      </w:r>
    </w:p>
    <w:p w14:paraId="1716E868" w14:textId="77777777" w:rsidR="00A77435" w:rsidRDefault="00A77435"/>
    <w:p w14:paraId="64DEA0B1" w14:textId="77777777" w:rsidR="00A77435" w:rsidRDefault="00A7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panose1 w:val="020B0604020202020204"/>
    <w:charset w:val="00"/>
    <w:family w:val="auto"/>
    <w:pitch w:val="variable"/>
    <w:sig w:usb0="A100007F" w:usb1="4000005B"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BoldMT">
    <w:altName w:val="Arial"/>
    <w:panose1 w:val="020B0604020202020204"/>
    <w:charset w:val="4D"/>
    <w:family w:val="auto"/>
    <w:notTrueType/>
    <w:pitch w:val="default"/>
    <w:sig w:usb0="00000003" w:usb1="00000000" w:usb2="00000000" w:usb3="00000000" w:csb0="00000001" w:csb1="00000000"/>
  </w:font>
  <w:font w:name="Calluna-It">
    <w:altName w:val="Arial"/>
    <w:panose1 w:val="00000500000000000000"/>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roximaNova-Bold">
    <w:altName w:val="Arial"/>
    <w:panose1 w:val="02000506030000020004"/>
    <w:charset w:val="00"/>
    <w:family w:val="auto"/>
    <w:notTrueType/>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oxima Nova Extrabold">
    <w:panose1 w:val="02000506030000020004"/>
    <w:charset w:val="00"/>
    <w:family w:val="auto"/>
    <w:pitch w:val="variable"/>
    <w:sig w:usb0="20000287" w:usb1="00000001"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roxima Nova Medium">
    <w:panose1 w:val="02000506030000020004"/>
    <w:charset w:val="00"/>
    <w:family w:val="auto"/>
    <w:pitch w:val="variable"/>
    <w:sig w:usb0="2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7083498"/>
      <w:docPartObj>
        <w:docPartGallery w:val="Page Numbers (Bottom of Page)"/>
        <w:docPartUnique/>
      </w:docPartObj>
    </w:sdtPr>
    <w:sdtContent>
      <w:p w14:paraId="6DF7FC90" w14:textId="0527CAA5" w:rsidR="009E56B6" w:rsidRDefault="009E56B6" w:rsidP="00DD16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9450FE" w14:textId="77777777" w:rsidR="009E56B6" w:rsidRDefault="009E56B6" w:rsidP="009E5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354773"/>
      <w:docPartObj>
        <w:docPartGallery w:val="Page Numbers (Bottom of Page)"/>
        <w:docPartUnique/>
      </w:docPartObj>
    </w:sdtPr>
    <w:sdtContent>
      <w:p w14:paraId="111A9266" w14:textId="77A36730" w:rsidR="009E56B6" w:rsidRPr="001F6043" w:rsidRDefault="003C7EE3" w:rsidP="0074435A">
        <w:pPr>
          <w:pStyle w:val="FootnoteText"/>
          <w:tabs>
            <w:tab w:val="right" w:pos="9638"/>
          </w:tabs>
          <w:rPr>
            <w:b/>
            <w:bCs/>
            <w:lang w:val="en-GB"/>
          </w:rPr>
        </w:pPr>
        <w:r w:rsidRPr="003C7EE3">
          <w:t>‘Mixed</w:t>
        </w:r>
        <w:r w:rsidRPr="003C7EE3">
          <w:rPr>
            <w:rFonts w:ascii="Cambria Math" w:hAnsi="Cambria Math" w:cs="Cambria Math"/>
          </w:rPr>
          <w:t>‑</w:t>
        </w:r>
        <w:r w:rsidRPr="003C7EE3">
          <w:t>case lettering’: Principles for application</w:t>
        </w:r>
        <w:r w:rsidR="009E56B6" w:rsidRPr="009E56B6">
          <w:tab/>
        </w:r>
        <w:r w:rsidR="009E56B6" w:rsidRPr="009E56B6">
          <w:rPr>
            <w:rStyle w:val="PageNumber"/>
          </w:rPr>
          <w:t xml:space="preserve"> </w:t>
        </w:r>
        <w:r w:rsidR="009E56B6" w:rsidRPr="009E56B6">
          <w:rPr>
            <w:rStyle w:val="PageNumber"/>
          </w:rPr>
          <w:fldChar w:fldCharType="begin"/>
        </w:r>
        <w:r w:rsidR="009E56B6" w:rsidRPr="009E56B6">
          <w:rPr>
            <w:rStyle w:val="PageNumber"/>
          </w:rPr>
          <w:instrText xml:space="preserve"> PAGE </w:instrText>
        </w:r>
        <w:r w:rsidR="009E56B6" w:rsidRPr="009E56B6">
          <w:rPr>
            <w:rStyle w:val="PageNumber"/>
          </w:rPr>
          <w:fldChar w:fldCharType="separate"/>
        </w:r>
        <w:r w:rsidR="009E56B6" w:rsidRPr="009E56B6">
          <w:rPr>
            <w:rStyle w:val="PageNumber"/>
            <w:noProof/>
          </w:rPr>
          <w:t>1</w:t>
        </w:r>
        <w:r w:rsidR="009E56B6" w:rsidRPr="009E56B6">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3585169"/>
      <w:docPartObj>
        <w:docPartGallery w:val="Page Numbers (Bottom of Page)"/>
        <w:docPartUnique/>
      </w:docPartObj>
    </w:sdtPr>
    <w:sdtContent>
      <w:p w14:paraId="545E0E2A" w14:textId="77777777" w:rsidR="00EB2DB4" w:rsidRPr="001F6043" w:rsidRDefault="00EB2DB4" w:rsidP="00EB2DB4">
        <w:pPr>
          <w:pStyle w:val="FootnoteText"/>
          <w:tabs>
            <w:tab w:val="right" w:pos="14570"/>
          </w:tabs>
          <w:rPr>
            <w:b/>
            <w:bCs/>
            <w:lang w:val="en-GB"/>
          </w:rPr>
        </w:pPr>
        <w:r w:rsidRPr="003C7EE3">
          <w:t>‘Mixed</w:t>
        </w:r>
        <w:r w:rsidRPr="003C7EE3">
          <w:rPr>
            <w:rFonts w:ascii="Cambria Math" w:hAnsi="Cambria Math" w:cs="Cambria Math"/>
          </w:rPr>
          <w:t>‑</w:t>
        </w:r>
        <w:r w:rsidRPr="003C7EE3">
          <w:t>case lettering’: Principles for application</w:t>
        </w:r>
        <w:r w:rsidRPr="009E56B6">
          <w:tab/>
        </w:r>
        <w:r w:rsidRPr="009E56B6">
          <w:rPr>
            <w:rStyle w:val="PageNumber"/>
          </w:rPr>
          <w:t xml:space="preserve"> </w:t>
        </w:r>
        <w:r w:rsidRPr="009E56B6">
          <w:rPr>
            <w:rStyle w:val="PageNumber"/>
          </w:rPr>
          <w:fldChar w:fldCharType="begin"/>
        </w:r>
        <w:r w:rsidRPr="009E56B6">
          <w:rPr>
            <w:rStyle w:val="PageNumber"/>
          </w:rPr>
          <w:instrText xml:space="preserve"> PAGE </w:instrText>
        </w:r>
        <w:r w:rsidRPr="009E56B6">
          <w:rPr>
            <w:rStyle w:val="PageNumber"/>
          </w:rPr>
          <w:fldChar w:fldCharType="separate"/>
        </w:r>
        <w:r w:rsidRPr="009E56B6">
          <w:rPr>
            <w:rStyle w:val="PageNumber"/>
            <w:noProof/>
          </w:rPr>
          <w:t>1</w:t>
        </w:r>
        <w:r w:rsidRPr="009E56B6">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4712" w14:textId="77777777" w:rsidR="00A77435" w:rsidRDefault="00A77435" w:rsidP="000B0274">
      <w:r>
        <w:separator/>
      </w:r>
    </w:p>
  </w:footnote>
  <w:footnote w:type="continuationSeparator" w:id="0">
    <w:p w14:paraId="7B201E5F" w14:textId="77777777" w:rsidR="00A77435" w:rsidRDefault="00A77435" w:rsidP="000B0274">
      <w:r>
        <w:continuationSeparator/>
      </w:r>
    </w:p>
    <w:p w14:paraId="1A3A0D23" w14:textId="77777777" w:rsidR="00A77435" w:rsidRDefault="00A77435"/>
    <w:p w14:paraId="4016BD79" w14:textId="77777777" w:rsidR="00A77435" w:rsidRDefault="00A77435"/>
  </w:footnote>
  <w:footnote w:id="1">
    <w:p w14:paraId="7046E27A" w14:textId="77777777" w:rsidR="00ED743C" w:rsidRDefault="00ED743C" w:rsidP="004E40F2">
      <w:pPr>
        <w:pStyle w:val="FootnoteText"/>
      </w:pPr>
      <w:r w:rsidRPr="004E40F2">
        <w:footnoteRef/>
      </w:r>
      <w:r>
        <w:tab/>
        <w:t xml:space="preserve">EMM = Electronic </w:t>
      </w:r>
      <w:r w:rsidRPr="004E40F2">
        <w:t>Medication</w:t>
      </w:r>
      <w:r>
        <w:t xml:space="preserve"> Management</w:t>
      </w:r>
    </w:p>
  </w:footnote>
  <w:footnote w:id="2">
    <w:p w14:paraId="6A6B5A81" w14:textId="77777777" w:rsidR="00ED743C" w:rsidRPr="000A008C" w:rsidRDefault="00ED743C" w:rsidP="000A008C">
      <w:pPr>
        <w:pStyle w:val="FootnoteText"/>
      </w:pPr>
      <w:r w:rsidRPr="000A008C">
        <w:footnoteRef/>
      </w:r>
      <w:r>
        <w:tab/>
      </w:r>
      <w:r w:rsidRPr="000A008C">
        <w:t>Orthographic factors that increase visual similarity include similar length of the medicine names and number of groups of characters in the names</w:t>
      </w:r>
    </w:p>
  </w:footnote>
  <w:footnote w:id="3">
    <w:p w14:paraId="337BEE31" w14:textId="77777777" w:rsidR="00ED743C" w:rsidRDefault="00ED743C" w:rsidP="000A008C">
      <w:pPr>
        <w:pStyle w:val="FootnoteText"/>
      </w:pPr>
      <w:r w:rsidRPr="004E40F2">
        <w:footnoteRef/>
      </w:r>
      <w:r>
        <w:tab/>
        <w:t xml:space="preserve">DTC = Drug and Therapeutics </w:t>
      </w:r>
      <w:r w:rsidRPr="000A008C">
        <w:t>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9DC6" w14:textId="7C8BFEA9" w:rsidR="00492879" w:rsidRDefault="00492879" w:rsidP="007E6AE4">
    <w:pPr>
      <w:tabs>
        <w:tab w:val="right" w:pos="21546"/>
      </w:tabs>
      <w:ind w:left="-142"/>
    </w:pPr>
    <w:r w:rsidRPr="00FB375B">
      <w:rPr>
        <w:rFonts w:eastAsiaTheme="majorEastAsia"/>
        <w:noProof/>
      </w:rPr>
      <w:drawing>
        <wp:inline distT="0" distB="0" distL="0" distR="0" wp14:anchorId="23D58EEC" wp14:editId="52D8ACFB">
          <wp:extent cx="4334400" cy="547039"/>
          <wp:effectExtent l="0" t="0" r="0" b="0"/>
          <wp:docPr id="1950376993" name="Picture 1950376993"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Australian Commission on Safety and Quality in Health Care logo"/>
                  <pic:cNvPicPr/>
                </pic:nvPicPr>
                <pic:blipFill>
                  <a:blip r:embed="rId1">
                    <a:extLst>
                      <a:ext uri="{28A0092B-C50C-407E-A947-70E740481C1C}">
                        <a14:useLocalDpi xmlns:a14="http://schemas.microsoft.com/office/drawing/2010/main" val="0"/>
                      </a:ext>
                    </a:extLst>
                  </a:blip>
                  <a:srcRect l="772" r="772"/>
                  <a:stretch>
                    <a:fillRect/>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tab/>
    </w:r>
  </w:p>
  <w:p w14:paraId="6971947F" w14:textId="28B24E5A" w:rsidR="00335574" w:rsidRPr="00492879" w:rsidRDefault="00335574" w:rsidP="00492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4C1B" w14:textId="77777777" w:rsidR="00EB2DB4" w:rsidRPr="00492879" w:rsidRDefault="00EB2DB4" w:rsidP="00492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C1ED" w14:textId="0F406AAE" w:rsidR="003933B3" w:rsidRPr="00492879" w:rsidRDefault="003933B3" w:rsidP="003933B3">
    <w:pPr>
      <w:tabs>
        <w:tab w:val="right" w:pos="21546"/>
      </w:tabs>
      <w:ind w:left="-142"/>
    </w:pPr>
    <w:r w:rsidRPr="00FB375B">
      <w:rPr>
        <w:rFonts w:eastAsiaTheme="majorEastAsia"/>
        <w:noProof/>
      </w:rPr>
      <w:drawing>
        <wp:inline distT="0" distB="0" distL="0" distR="0" wp14:anchorId="59547808" wp14:editId="188DB409">
          <wp:extent cx="4334400" cy="547039"/>
          <wp:effectExtent l="0" t="0" r="0" b="0"/>
          <wp:docPr id="2009265217" name="Picture 2009265217"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Australian Commission on Safety and Quality in Health Care logo"/>
                  <pic:cNvPicPr/>
                </pic:nvPicPr>
                <pic:blipFill>
                  <a:blip r:embed="rId1">
                    <a:extLst>
                      <a:ext uri="{28A0092B-C50C-407E-A947-70E740481C1C}">
                        <a14:useLocalDpi xmlns:a14="http://schemas.microsoft.com/office/drawing/2010/main" val="0"/>
                      </a:ext>
                    </a:extLst>
                  </a:blip>
                  <a:srcRect l="772" r="772"/>
                  <a:stretch>
                    <a:fillRect/>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9E02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6E97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0D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8259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C827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D891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0CB5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B001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987834"/>
    <w:lvl w:ilvl="0">
      <w:start w:val="1"/>
      <w:numFmt w:val="decimal"/>
      <w:lvlText w:val="%1."/>
      <w:lvlJc w:val="left"/>
      <w:pPr>
        <w:tabs>
          <w:tab w:val="num" w:pos="360"/>
        </w:tabs>
        <w:ind w:left="360" w:hanging="360"/>
      </w:pPr>
    </w:lvl>
  </w:abstractNum>
  <w:abstractNum w:abstractNumId="9"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AB6AA7"/>
    <w:multiLevelType w:val="hybridMultilevel"/>
    <w:tmpl w:val="BEC62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B6156"/>
    <w:multiLevelType w:val="hybridMultilevel"/>
    <w:tmpl w:val="ED20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69F"/>
    <w:multiLevelType w:val="hybridMultilevel"/>
    <w:tmpl w:val="5DBE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1571A1"/>
    <w:multiLevelType w:val="hybridMultilevel"/>
    <w:tmpl w:val="1A28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E26C0"/>
    <w:multiLevelType w:val="hybridMultilevel"/>
    <w:tmpl w:val="9A38E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0FA02DB6"/>
    <w:multiLevelType w:val="hybridMultilevel"/>
    <w:tmpl w:val="C7C6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86052B"/>
    <w:multiLevelType w:val="multilevel"/>
    <w:tmpl w:val="44EA49CC"/>
    <w:styleLink w:val="CurrentList3"/>
    <w:lvl w:ilvl="0">
      <w:start w:val="1"/>
      <w:numFmt w:val="upperLetter"/>
      <w:lvlText w:val="%1."/>
      <w:lvlJc w:val="left"/>
      <w:pPr>
        <w:ind w:left="717" w:hanging="360"/>
      </w:pPr>
      <w:rPr>
        <w:rFonts w:hint="default"/>
        <w:b/>
        <w:i w:val="0"/>
        <w:color w:val="125370" w:themeColor="accent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4A065A"/>
    <w:multiLevelType w:val="hybridMultilevel"/>
    <w:tmpl w:val="46E6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A60437"/>
    <w:multiLevelType w:val="hybridMultilevel"/>
    <w:tmpl w:val="E72E7B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983720"/>
    <w:multiLevelType w:val="hybridMultilevel"/>
    <w:tmpl w:val="0BC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421B98"/>
    <w:multiLevelType w:val="hybridMultilevel"/>
    <w:tmpl w:val="7D48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5B5D71"/>
    <w:multiLevelType w:val="hybridMultilevel"/>
    <w:tmpl w:val="FF20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296E2B28"/>
    <w:multiLevelType w:val="hybridMultilevel"/>
    <w:tmpl w:val="C5D8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D64033"/>
    <w:multiLevelType w:val="hybridMultilevel"/>
    <w:tmpl w:val="C53665C8"/>
    <w:lvl w:ilvl="0" w:tplc="F0EAE40A">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220EC5"/>
    <w:multiLevelType w:val="hybridMultilevel"/>
    <w:tmpl w:val="B5B4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262031"/>
    <w:multiLevelType w:val="hybridMultilevel"/>
    <w:tmpl w:val="6AC4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F54241"/>
    <w:multiLevelType w:val="hybridMultilevel"/>
    <w:tmpl w:val="0CB4C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480F79"/>
    <w:multiLevelType w:val="hybridMultilevel"/>
    <w:tmpl w:val="B0FC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554CC5"/>
    <w:multiLevelType w:val="hybridMultilevel"/>
    <w:tmpl w:val="DB1A3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3C644B9"/>
    <w:multiLevelType w:val="hybridMultilevel"/>
    <w:tmpl w:val="78168288"/>
    <w:lvl w:ilvl="0" w:tplc="4434EF92">
      <w:start w:val="1"/>
      <w:numFmt w:val="bullet"/>
      <w:lvlText w:val="&lt;"/>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888508C"/>
    <w:multiLevelType w:val="hybridMultilevel"/>
    <w:tmpl w:val="AAFE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465543"/>
    <w:multiLevelType w:val="hybridMultilevel"/>
    <w:tmpl w:val="7462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9C299D"/>
    <w:multiLevelType w:val="hybridMultilevel"/>
    <w:tmpl w:val="46B2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6D374A"/>
    <w:multiLevelType w:val="hybridMultilevel"/>
    <w:tmpl w:val="9A344F1A"/>
    <w:lvl w:ilvl="0" w:tplc="4434EF92">
      <w:start w:val="1"/>
      <w:numFmt w:val="bullet"/>
      <w:lvlText w:val="&lt;"/>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D95751"/>
    <w:multiLevelType w:val="hybridMultilevel"/>
    <w:tmpl w:val="167636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DB140A0"/>
    <w:multiLevelType w:val="hybridMultilevel"/>
    <w:tmpl w:val="DAB4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D767BE"/>
    <w:multiLevelType w:val="hybridMultilevel"/>
    <w:tmpl w:val="4DA8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AC212E"/>
    <w:multiLevelType w:val="hybridMultilevel"/>
    <w:tmpl w:val="2504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A72542"/>
    <w:multiLevelType w:val="hybridMultilevel"/>
    <w:tmpl w:val="17CC5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7DD7EDD"/>
    <w:multiLevelType w:val="hybridMultilevel"/>
    <w:tmpl w:val="8880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9A62ED"/>
    <w:multiLevelType w:val="hybridMultilevel"/>
    <w:tmpl w:val="E90ADE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8DE7C70"/>
    <w:multiLevelType w:val="hybridMultilevel"/>
    <w:tmpl w:val="55B2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F46D80"/>
    <w:multiLevelType w:val="hybridMultilevel"/>
    <w:tmpl w:val="2B1C4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1AC6156"/>
    <w:multiLevelType w:val="hybridMultilevel"/>
    <w:tmpl w:val="F2A2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F66E58"/>
    <w:multiLevelType w:val="multilevel"/>
    <w:tmpl w:val="D632C070"/>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7A24A4"/>
    <w:multiLevelType w:val="hybridMultilevel"/>
    <w:tmpl w:val="A04AC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817158C"/>
    <w:multiLevelType w:val="hybridMultilevel"/>
    <w:tmpl w:val="8742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A417BA4"/>
    <w:multiLevelType w:val="hybridMultilevel"/>
    <w:tmpl w:val="3F38CD5E"/>
    <w:lvl w:ilvl="0" w:tplc="CD0E4BDE">
      <w:start w:val="1"/>
      <w:numFmt w:val="upperLetter"/>
      <w:pStyle w:val="Heading2Letters"/>
      <w:lvlText w:val="%1."/>
      <w:lvlJc w:val="left"/>
      <w:pPr>
        <w:ind w:left="720" w:hanging="360"/>
      </w:pPr>
      <w:rPr>
        <w:rFonts w:hint="default"/>
        <w:color w:val="125370"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A452CF4"/>
    <w:multiLevelType w:val="multilevel"/>
    <w:tmpl w:val="D8B2C530"/>
    <w:styleLink w:val="CurrentList2"/>
    <w:lvl w:ilvl="0">
      <w:start w:val="1"/>
      <w:numFmt w:val="upperLetter"/>
      <w:lvlText w:val="%1."/>
      <w:lvlJc w:val="left"/>
      <w:pPr>
        <w:ind w:left="720" w:hanging="360"/>
      </w:pPr>
      <w:rPr>
        <w:rFonts w:hint="default"/>
        <w:color w:val="125370" w:themeColor="accent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CA53651"/>
    <w:multiLevelType w:val="hybridMultilevel"/>
    <w:tmpl w:val="263C1694"/>
    <w:lvl w:ilvl="0" w:tplc="4434EF92">
      <w:start w:val="1"/>
      <w:numFmt w:val="bullet"/>
      <w:lvlText w:val="&lt;"/>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B103EF"/>
    <w:multiLevelType w:val="hybridMultilevel"/>
    <w:tmpl w:val="50B8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215396"/>
    <w:multiLevelType w:val="hybridMultilevel"/>
    <w:tmpl w:val="B8CCE3AE"/>
    <w:lvl w:ilvl="0" w:tplc="B45EE8FC">
      <w:start w:val="1"/>
      <w:numFmt w:val="upperLetter"/>
      <w:pStyle w:val="LetteredList"/>
      <w:lvlText w:val="%1."/>
      <w:lvlJc w:val="left"/>
      <w:pPr>
        <w:ind w:left="717" w:hanging="360"/>
      </w:pPr>
      <w:rPr>
        <w:rFonts w:hint="default"/>
        <w:b/>
        <w:i w:val="0"/>
        <w:color w:val="125370"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1564FAE"/>
    <w:multiLevelType w:val="hybridMultilevel"/>
    <w:tmpl w:val="2B00E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30135EE"/>
    <w:multiLevelType w:val="hybridMultilevel"/>
    <w:tmpl w:val="3E0CE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5BD13F6"/>
    <w:multiLevelType w:val="hybridMultilevel"/>
    <w:tmpl w:val="EC0C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5E600C"/>
    <w:multiLevelType w:val="hybridMultilevel"/>
    <w:tmpl w:val="025C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3848C0"/>
    <w:multiLevelType w:val="multilevel"/>
    <w:tmpl w:val="F28C8676"/>
    <w:styleLink w:val="CurrentList4"/>
    <w:lvl w:ilvl="0">
      <w:start w:val="1"/>
      <w:numFmt w:val="upperLetter"/>
      <w:lvlText w:val="%1."/>
      <w:lvlJc w:val="left"/>
      <w:pPr>
        <w:ind w:left="717" w:hanging="360"/>
      </w:pPr>
      <w:rPr>
        <w:rFonts w:hint="default"/>
        <w:b/>
        <w:i w:val="0"/>
        <w:color w:val="125370" w:themeColor="accent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8823226">
    <w:abstractNumId w:val="9"/>
  </w:num>
  <w:num w:numId="2" w16cid:durableId="1547790778">
    <w:abstractNumId w:val="16"/>
  </w:num>
  <w:num w:numId="3" w16cid:durableId="454256874">
    <w:abstractNumId w:val="26"/>
  </w:num>
  <w:num w:numId="4" w16cid:durableId="1649439934">
    <w:abstractNumId w:val="39"/>
  </w:num>
  <w:num w:numId="5" w16cid:durableId="1506047864">
    <w:abstractNumId w:val="35"/>
  </w:num>
  <w:num w:numId="6" w16cid:durableId="1325354243">
    <w:abstractNumId w:val="17"/>
  </w:num>
  <w:num w:numId="7" w16cid:durableId="2061321809">
    <w:abstractNumId w:val="20"/>
  </w:num>
  <w:num w:numId="8" w16cid:durableId="1902254826">
    <w:abstractNumId w:val="11"/>
  </w:num>
  <w:num w:numId="9" w16cid:durableId="679551821">
    <w:abstractNumId w:val="58"/>
  </w:num>
  <w:num w:numId="10" w16cid:durableId="215431691">
    <w:abstractNumId w:val="51"/>
  </w:num>
  <w:num w:numId="11" w16cid:durableId="542139722">
    <w:abstractNumId w:val="54"/>
  </w:num>
  <w:num w:numId="12" w16cid:durableId="686715730">
    <w:abstractNumId w:val="55"/>
  </w:num>
  <w:num w:numId="13" w16cid:durableId="522060648">
    <w:abstractNumId w:val="19"/>
  </w:num>
  <w:num w:numId="14" w16cid:durableId="2036038165">
    <w:abstractNumId w:val="63"/>
  </w:num>
  <w:num w:numId="15" w16cid:durableId="938414309">
    <w:abstractNumId w:val="21"/>
  </w:num>
  <w:num w:numId="16" w16cid:durableId="924340720">
    <w:abstractNumId w:val="52"/>
  </w:num>
  <w:num w:numId="17" w16cid:durableId="171645433">
    <w:abstractNumId w:val="37"/>
  </w:num>
  <w:num w:numId="18" w16cid:durableId="1829907779">
    <w:abstractNumId w:val="43"/>
  </w:num>
  <w:num w:numId="19" w16cid:durableId="958100934">
    <w:abstractNumId w:val="38"/>
  </w:num>
  <w:num w:numId="20" w16cid:durableId="635063455">
    <w:abstractNumId w:val="30"/>
  </w:num>
  <w:num w:numId="21" w16cid:durableId="1870870513">
    <w:abstractNumId w:val="24"/>
  </w:num>
  <w:num w:numId="22" w16cid:durableId="526263093">
    <w:abstractNumId w:val="18"/>
  </w:num>
  <w:num w:numId="23" w16cid:durableId="344868275">
    <w:abstractNumId w:val="44"/>
  </w:num>
  <w:num w:numId="24" w16cid:durableId="1048068247">
    <w:abstractNumId w:val="27"/>
  </w:num>
  <w:num w:numId="25" w16cid:durableId="1918125690">
    <w:abstractNumId w:val="29"/>
  </w:num>
  <w:num w:numId="26" w16cid:durableId="1638338521">
    <w:abstractNumId w:val="36"/>
  </w:num>
  <w:num w:numId="27" w16cid:durableId="1542354323">
    <w:abstractNumId w:val="48"/>
  </w:num>
  <w:num w:numId="28" w16cid:durableId="1758676209">
    <w:abstractNumId w:val="14"/>
  </w:num>
  <w:num w:numId="29" w16cid:durableId="674264760">
    <w:abstractNumId w:val="13"/>
  </w:num>
  <w:num w:numId="30" w16cid:durableId="1359893281">
    <w:abstractNumId w:val="12"/>
  </w:num>
  <w:num w:numId="31" w16cid:durableId="211579728">
    <w:abstractNumId w:val="31"/>
  </w:num>
  <w:num w:numId="32" w16cid:durableId="466898708">
    <w:abstractNumId w:val="25"/>
  </w:num>
  <w:num w:numId="33" w16cid:durableId="1694648447">
    <w:abstractNumId w:val="32"/>
  </w:num>
  <w:num w:numId="34" w16cid:durableId="240792294">
    <w:abstractNumId w:val="50"/>
  </w:num>
  <w:num w:numId="35" w16cid:durableId="1189837148">
    <w:abstractNumId w:val="15"/>
  </w:num>
  <w:num w:numId="36" w16cid:durableId="1039092958">
    <w:abstractNumId w:val="28"/>
  </w:num>
  <w:num w:numId="37" w16cid:durableId="1609004235">
    <w:abstractNumId w:val="22"/>
  </w:num>
  <w:num w:numId="38" w16cid:durableId="1139566404">
    <w:abstractNumId w:val="0"/>
  </w:num>
  <w:num w:numId="39" w16cid:durableId="700667323">
    <w:abstractNumId w:val="1"/>
  </w:num>
  <w:num w:numId="40" w16cid:durableId="170145620">
    <w:abstractNumId w:val="2"/>
  </w:num>
  <w:num w:numId="41" w16cid:durableId="112873622">
    <w:abstractNumId w:val="3"/>
  </w:num>
  <w:num w:numId="42" w16cid:durableId="1130367723">
    <w:abstractNumId w:val="8"/>
  </w:num>
  <w:num w:numId="43" w16cid:durableId="612051356">
    <w:abstractNumId w:val="4"/>
  </w:num>
  <w:num w:numId="44" w16cid:durableId="1598562765">
    <w:abstractNumId w:val="5"/>
  </w:num>
  <w:num w:numId="45" w16cid:durableId="1853300220">
    <w:abstractNumId w:val="6"/>
  </w:num>
  <w:num w:numId="46" w16cid:durableId="1673146534">
    <w:abstractNumId w:val="7"/>
  </w:num>
  <w:num w:numId="47" w16cid:durableId="1518808107">
    <w:abstractNumId w:val="0"/>
  </w:num>
  <w:num w:numId="48" w16cid:durableId="1461336396">
    <w:abstractNumId w:val="1"/>
  </w:num>
  <w:num w:numId="49" w16cid:durableId="1312950090">
    <w:abstractNumId w:val="2"/>
  </w:num>
  <w:num w:numId="50" w16cid:durableId="2008096537">
    <w:abstractNumId w:val="3"/>
  </w:num>
  <w:num w:numId="51" w16cid:durableId="1012952911">
    <w:abstractNumId w:val="8"/>
  </w:num>
  <w:num w:numId="52" w16cid:durableId="636765230">
    <w:abstractNumId w:val="4"/>
  </w:num>
  <w:num w:numId="53" w16cid:durableId="1046838331">
    <w:abstractNumId w:val="5"/>
  </w:num>
  <w:num w:numId="54" w16cid:durableId="68775073">
    <w:abstractNumId w:val="6"/>
  </w:num>
  <w:num w:numId="55" w16cid:durableId="1897277510">
    <w:abstractNumId w:val="7"/>
  </w:num>
  <w:num w:numId="56" w16cid:durableId="1722249382">
    <w:abstractNumId w:val="0"/>
  </w:num>
  <w:num w:numId="57" w16cid:durableId="1443456627">
    <w:abstractNumId w:val="1"/>
  </w:num>
  <w:num w:numId="58" w16cid:durableId="963124357">
    <w:abstractNumId w:val="2"/>
  </w:num>
  <w:num w:numId="59" w16cid:durableId="2131194221">
    <w:abstractNumId w:val="3"/>
  </w:num>
  <w:num w:numId="60" w16cid:durableId="181744062">
    <w:abstractNumId w:val="8"/>
  </w:num>
  <w:num w:numId="61" w16cid:durableId="428962962">
    <w:abstractNumId w:val="4"/>
  </w:num>
  <w:num w:numId="62" w16cid:durableId="1906182316">
    <w:abstractNumId w:val="5"/>
  </w:num>
  <w:num w:numId="63" w16cid:durableId="1437405431">
    <w:abstractNumId w:val="6"/>
  </w:num>
  <w:num w:numId="64" w16cid:durableId="2131391095">
    <w:abstractNumId w:val="7"/>
  </w:num>
  <w:num w:numId="65" w16cid:durableId="272901078">
    <w:abstractNumId w:val="61"/>
  </w:num>
  <w:num w:numId="66" w16cid:durableId="1338075182">
    <w:abstractNumId w:val="0"/>
  </w:num>
  <w:num w:numId="67" w16cid:durableId="1192064408">
    <w:abstractNumId w:val="1"/>
  </w:num>
  <w:num w:numId="68" w16cid:durableId="2100102486">
    <w:abstractNumId w:val="2"/>
  </w:num>
  <w:num w:numId="69" w16cid:durableId="754323875">
    <w:abstractNumId w:val="3"/>
  </w:num>
  <w:num w:numId="70" w16cid:durableId="299846708">
    <w:abstractNumId w:val="8"/>
  </w:num>
  <w:num w:numId="71" w16cid:durableId="457066386">
    <w:abstractNumId w:val="4"/>
  </w:num>
  <w:num w:numId="72" w16cid:durableId="1713308068">
    <w:abstractNumId w:val="5"/>
  </w:num>
  <w:num w:numId="73" w16cid:durableId="61606488">
    <w:abstractNumId w:val="6"/>
  </w:num>
  <w:num w:numId="74" w16cid:durableId="1980913920">
    <w:abstractNumId w:val="7"/>
  </w:num>
  <w:num w:numId="75" w16cid:durableId="2034575737">
    <w:abstractNumId w:val="0"/>
  </w:num>
  <w:num w:numId="76" w16cid:durableId="772089589">
    <w:abstractNumId w:val="1"/>
  </w:num>
  <w:num w:numId="77" w16cid:durableId="528762586">
    <w:abstractNumId w:val="2"/>
  </w:num>
  <w:num w:numId="78" w16cid:durableId="2005013547">
    <w:abstractNumId w:val="3"/>
  </w:num>
  <w:num w:numId="79" w16cid:durableId="868763072">
    <w:abstractNumId w:val="8"/>
  </w:num>
  <w:num w:numId="80" w16cid:durableId="426539648">
    <w:abstractNumId w:val="4"/>
  </w:num>
  <w:num w:numId="81" w16cid:durableId="493028339">
    <w:abstractNumId w:val="5"/>
  </w:num>
  <w:num w:numId="82" w16cid:durableId="1970625296">
    <w:abstractNumId w:val="6"/>
  </w:num>
  <w:num w:numId="83" w16cid:durableId="1908421212">
    <w:abstractNumId w:val="7"/>
  </w:num>
  <w:num w:numId="84" w16cid:durableId="1069963602">
    <w:abstractNumId w:val="0"/>
  </w:num>
  <w:num w:numId="85" w16cid:durableId="812020225">
    <w:abstractNumId w:val="1"/>
  </w:num>
  <w:num w:numId="86" w16cid:durableId="794756628">
    <w:abstractNumId w:val="2"/>
  </w:num>
  <w:num w:numId="87" w16cid:durableId="498541857">
    <w:abstractNumId w:val="3"/>
  </w:num>
  <w:num w:numId="88" w16cid:durableId="1075662971">
    <w:abstractNumId w:val="8"/>
  </w:num>
  <w:num w:numId="89" w16cid:durableId="729810803">
    <w:abstractNumId w:val="4"/>
  </w:num>
  <w:num w:numId="90" w16cid:durableId="381442628">
    <w:abstractNumId w:val="5"/>
  </w:num>
  <w:num w:numId="91" w16cid:durableId="1351494550">
    <w:abstractNumId w:val="6"/>
  </w:num>
  <w:num w:numId="92" w16cid:durableId="1826775518">
    <w:abstractNumId w:val="7"/>
  </w:num>
  <w:num w:numId="93" w16cid:durableId="860125226">
    <w:abstractNumId w:val="0"/>
  </w:num>
  <w:num w:numId="94" w16cid:durableId="2114394731">
    <w:abstractNumId w:val="1"/>
  </w:num>
  <w:num w:numId="95" w16cid:durableId="146015632">
    <w:abstractNumId w:val="2"/>
  </w:num>
  <w:num w:numId="96" w16cid:durableId="499807870">
    <w:abstractNumId w:val="3"/>
  </w:num>
  <w:num w:numId="97" w16cid:durableId="1654488367">
    <w:abstractNumId w:val="8"/>
  </w:num>
  <w:num w:numId="98" w16cid:durableId="2073696452">
    <w:abstractNumId w:val="4"/>
  </w:num>
  <w:num w:numId="99" w16cid:durableId="1042175374">
    <w:abstractNumId w:val="5"/>
  </w:num>
  <w:num w:numId="100" w16cid:durableId="393889979">
    <w:abstractNumId w:val="6"/>
  </w:num>
  <w:num w:numId="101" w16cid:durableId="1973825187">
    <w:abstractNumId w:val="7"/>
  </w:num>
  <w:num w:numId="102" w16cid:durableId="2046559898">
    <w:abstractNumId w:val="0"/>
  </w:num>
  <w:num w:numId="103" w16cid:durableId="1034159223">
    <w:abstractNumId w:val="1"/>
  </w:num>
  <w:num w:numId="104" w16cid:durableId="1918586775">
    <w:abstractNumId w:val="2"/>
  </w:num>
  <w:num w:numId="105" w16cid:durableId="1127116636">
    <w:abstractNumId w:val="3"/>
  </w:num>
  <w:num w:numId="106" w16cid:durableId="800271808">
    <w:abstractNumId w:val="8"/>
  </w:num>
  <w:num w:numId="107" w16cid:durableId="559365611">
    <w:abstractNumId w:val="4"/>
  </w:num>
  <w:num w:numId="108" w16cid:durableId="1004822659">
    <w:abstractNumId w:val="5"/>
  </w:num>
  <w:num w:numId="109" w16cid:durableId="1792439336">
    <w:abstractNumId w:val="6"/>
  </w:num>
  <w:num w:numId="110" w16cid:durableId="599222209">
    <w:abstractNumId w:val="7"/>
  </w:num>
  <w:num w:numId="111" w16cid:durableId="213541851">
    <w:abstractNumId w:val="0"/>
  </w:num>
  <w:num w:numId="112" w16cid:durableId="610279271">
    <w:abstractNumId w:val="1"/>
  </w:num>
  <w:num w:numId="113" w16cid:durableId="288123935">
    <w:abstractNumId w:val="2"/>
  </w:num>
  <w:num w:numId="114" w16cid:durableId="2091613348">
    <w:abstractNumId w:val="3"/>
  </w:num>
  <w:num w:numId="115" w16cid:durableId="531382118">
    <w:abstractNumId w:val="8"/>
  </w:num>
  <w:num w:numId="116" w16cid:durableId="1277254563">
    <w:abstractNumId w:val="4"/>
  </w:num>
  <w:num w:numId="117" w16cid:durableId="763460717">
    <w:abstractNumId w:val="5"/>
  </w:num>
  <w:num w:numId="118" w16cid:durableId="1693145937">
    <w:abstractNumId w:val="6"/>
  </w:num>
  <w:num w:numId="119" w16cid:durableId="2026126665">
    <w:abstractNumId w:val="7"/>
  </w:num>
  <w:num w:numId="120" w16cid:durableId="378552388">
    <w:abstractNumId w:val="0"/>
  </w:num>
  <w:num w:numId="121" w16cid:durableId="531458195">
    <w:abstractNumId w:val="1"/>
  </w:num>
  <w:num w:numId="122" w16cid:durableId="217515000">
    <w:abstractNumId w:val="2"/>
  </w:num>
  <w:num w:numId="123" w16cid:durableId="1347243645">
    <w:abstractNumId w:val="3"/>
  </w:num>
  <w:num w:numId="124" w16cid:durableId="1617906907">
    <w:abstractNumId w:val="8"/>
  </w:num>
  <w:num w:numId="125" w16cid:durableId="166020975">
    <w:abstractNumId w:val="4"/>
  </w:num>
  <w:num w:numId="126" w16cid:durableId="171187170">
    <w:abstractNumId w:val="5"/>
  </w:num>
  <w:num w:numId="127" w16cid:durableId="684597986">
    <w:abstractNumId w:val="6"/>
  </w:num>
  <w:num w:numId="128" w16cid:durableId="633827036">
    <w:abstractNumId w:val="7"/>
  </w:num>
  <w:num w:numId="129" w16cid:durableId="1655790203">
    <w:abstractNumId w:val="62"/>
  </w:num>
  <w:num w:numId="130" w16cid:durableId="505444910">
    <w:abstractNumId w:val="0"/>
  </w:num>
  <w:num w:numId="131" w16cid:durableId="1377118033">
    <w:abstractNumId w:val="1"/>
  </w:num>
  <w:num w:numId="132" w16cid:durableId="234164359">
    <w:abstractNumId w:val="2"/>
  </w:num>
  <w:num w:numId="133" w16cid:durableId="1173687195">
    <w:abstractNumId w:val="3"/>
  </w:num>
  <w:num w:numId="134" w16cid:durableId="670716964">
    <w:abstractNumId w:val="8"/>
  </w:num>
  <w:num w:numId="135" w16cid:durableId="1860120944">
    <w:abstractNumId w:val="4"/>
  </w:num>
  <w:num w:numId="136" w16cid:durableId="253787013">
    <w:abstractNumId w:val="5"/>
  </w:num>
  <w:num w:numId="137" w16cid:durableId="883637426">
    <w:abstractNumId w:val="6"/>
  </w:num>
  <w:num w:numId="138" w16cid:durableId="1672491294">
    <w:abstractNumId w:val="7"/>
  </w:num>
  <w:num w:numId="139" w16cid:durableId="1747334369">
    <w:abstractNumId w:val="42"/>
  </w:num>
  <w:num w:numId="140" w16cid:durableId="347291315">
    <w:abstractNumId w:val="0"/>
  </w:num>
  <w:num w:numId="141" w16cid:durableId="327758016">
    <w:abstractNumId w:val="1"/>
  </w:num>
  <w:num w:numId="142" w16cid:durableId="1511026677">
    <w:abstractNumId w:val="2"/>
  </w:num>
  <w:num w:numId="143" w16cid:durableId="349071132">
    <w:abstractNumId w:val="3"/>
  </w:num>
  <w:num w:numId="144" w16cid:durableId="1898471089">
    <w:abstractNumId w:val="8"/>
  </w:num>
  <w:num w:numId="145" w16cid:durableId="1211112478">
    <w:abstractNumId w:val="4"/>
  </w:num>
  <w:num w:numId="146" w16cid:durableId="1573931911">
    <w:abstractNumId w:val="5"/>
  </w:num>
  <w:num w:numId="147" w16cid:durableId="586423541">
    <w:abstractNumId w:val="6"/>
  </w:num>
  <w:num w:numId="148" w16cid:durableId="1051685784">
    <w:abstractNumId w:val="7"/>
  </w:num>
  <w:num w:numId="149" w16cid:durableId="1264991247">
    <w:abstractNumId w:val="46"/>
  </w:num>
  <w:num w:numId="150" w16cid:durableId="592009981">
    <w:abstractNumId w:val="57"/>
  </w:num>
  <w:num w:numId="151" w16cid:durableId="452789099">
    <w:abstractNumId w:val="0"/>
  </w:num>
  <w:num w:numId="152" w16cid:durableId="729422406">
    <w:abstractNumId w:val="1"/>
  </w:num>
  <w:num w:numId="153" w16cid:durableId="882864152">
    <w:abstractNumId w:val="2"/>
  </w:num>
  <w:num w:numId="154" w16cid:durableId="755438564">
    <w:abstractNumId w:val="3"/>
  </w:num>
  <w:num w:numId="155" w16cid:durableId="1297881800">
    <w:abstractNumId w:val="8"/>
  </w:num>
  <w:num w:numId="156" w16cid:durableId="1617833317">
    <w:abstractNumId w:val="4"/>
  </w:num>
  <w:num w:numId="157" w16cid:durableId="1603881532">
    <w:abstractNumId w:val="5"/>
  </w:num>
  <w:num w:numId="158" w16cid:durableId="1335569660">
    <w:abstractNumId w:val="6"/>
  </w:num>
  <w:num w:numId="159" w16cid:durableId="1600723749">
    <w:abstractNumId w:val="7"/>
  </w:num>
  <w:num w:numId="160" w16cid:durableId="894856450">
    <w:abstractNumId w:val="0"/>
  </w:num>
  <w:num w:numId="161" w16cid:durableId="1284657519">
    <w:abstractNumId w:val="1"/>
  </w:num>
  <w:num w:numId="162" w16cid:durableId="903684736">
    <w:abstractNumId w:val="2"/>
  </w:num>
  <w:num w:numId="163" w16cid:durableId="809711147">
    <w:abstractNumId w:val="3"/>
  </w:num>
  <w:num w:numId="164" w16cid:durableId="301733143">
    <w:abstractNumId w:val="8"/>
  </w:num>
  <w:num w:numId="165" w16cid:durableId="116336334">
    <w:abstractNumId w:val="4"/>
  </w:num>
  <w:num w:numId="166" w16cid:durableId="646394575">
    <w:abstractNumId w:val="5"/>
  </w:num>
  <w:num w:numId="167" w16cid:durableId="965624301">
    <w:abstractNumId w:val="6"/>
  </w:num>
  <w:num w:numId="168" w16cid:durableId="877552971">
    <w:abstractNumId w:val="7"/>
  </w:num>
  <w:num w:numId="169" w16cid:durableId="1409811622">
    <w:abstractNumId w:val="0"/>
  </w:num>
  <w:num w:numId="170" w16cid:durableId="1060666753">
    <w:abstractNumId w:val="1"/>
  </w:num>
  <w:num w:numId="171" w16cid:durableId="2136213600">
    <w:abstractNumId w:val="2"/>
  </w:num>
  <w:num w:numId="172" w16cid:durableId="821970317">
    <w:abstractNumId w:val="3"/>
  </w:num>
  <w:num w:numId="173" w16cid:durableId="984968531">
    <w:abstractNumId w:val="8"/>
  </w:num>
  <w:num w:numId="174" w16cid:durableId="1659534679">
    <w:abstractNumId w:val="4"/>
  </w:num>
  <w:num w:numId="175" w16cid:durableId="2004431083">
    <w:abstractNumId w:val="5"/>
  </w:num>
  <w:num w:numId="176" w16cid:durableId="1709917194">
    <w:abstractNumId w:val="6"/>
  </w:num>
  <w:num w:numId="177" w16cid:durableId="1245189512">
    <w:abstractNumId w:val="7"/>
  </w:num>
  <w:num w:numId="178" w16cid:durableId="1629513296">
    <w:abstractNumId w:val="0"/>
  </w:num>
  <w:num w:numId="179" w16cid:durableId="1231648448">
    <w:abstractNumId w:val="1"/>
  </w:num>
  <w:num w:numId="180" w16cid:durableId="414667760">
    <w:abstractNumId w:val="2"/>
  </w:num>
  <w:num w:numId="181" w16cid:durableId="31002269">
    <w:abstractNumId w:val="3"/>
  </w:num>
  <w:num w:numId="182" w16cid:durableId="718164131">
    <w:abstractNumId w:val="8"/>
  </w:num>
  <w:num w:numId="183" w16cid:durableId="527985527">
    <w:abstractNumId w:val="4"/>
  </w:num>
  <w:num w:numId="184" w16cid:durableId="858665810">
    <w:abstractNumId w:val="5"/>
  </w:num>
  <w:num w:numId="185" w16cid:durableId="597638695">
    <w:abstractNumId w:val="6"/>
  </w:num>
  <w:num w:numId="186" w16cid:durableId="2121341629">
    <w:abstractNumId w:val="7"/>
  </w:num>
  <w:num w:numId="187" w16cid:durableId="1981691885">
    <w:abstractNumId w:val="0"/>
  </w:num>
  <w:num w:numId="188" w16cid:durableId="33238757">
    <w:abstractNumId w:val="1"/>
  </w:num>
  <w:num w:numId="189" w16cid:durableId="63991642">
    <w:abstractNumId w:val="2"/>
  </w:num>
  <w:num w:numId="190" w16cid:durableId="790906192">
    <w:abstractNumId w:val="3"/>
  </w:num>
  <w:num w:numId="191" w16cid:durableId="1445611946">
    <w:abstractNumId w:val="8"/>
  </w:num>
  <w:num w:numId="192" w16cid:durableId="624117962">
    <w:abstractNumId w:val="4"/>
  </w:num>
  <w:num w:numId="193" w16cid:durableId="1544631813">
    <w:abstractNumId w:val="5"/>
  </w:num>
  <w:num w:numId="194" w16cid:durableId="789207438">
    <w:abstractNumId w:val="6"/>
  </w:num>
  <w:num w:numId="195" w16cid:durableId="426925991">
    <w:abstractNumId w:val="7"/>
  </w:num>
  <w:num w:numId="196" w16cid:durableId="741754499">
    <w:abstractNumId w:val="0"/>
  </w:num>
  <w:num w:numId="197" w16cid:durableId="562761957">
    <w:abstractNumId w:val="1"/>
  </w:num>
  <w:num w:numId="198" w16cid:durableId="291450256">
    <w:abstractNumId w:val="2"/>
  </w:num>
  <w:num w:numId="199" w16cid:durableId="999504835">
    <w:abstractNumId w:val="3"/>
  </w:num>
  <w:num w:numId="200" w16cid:durableId="570701045">
    <w:abstractNumId w:val="8"/>
  </w:num>
  <w:num w:numId="201" w16cid:durableId="417409162">
    <w:abstractNumId w:val="4"/>
  </w:num>
  <w:num w:numId="202" w16cid:durableId="617834445">
    <w:abstractNumId w:val="5"/>
  </w:num>
  <w:num w:numId="203" w16cid:durableId="765619495">
    <w:abstractNumId w:val="6"/>
  </w:num>
  <w:num w:numId="204" w16cid:durableId="723677199">
    <w:abstractNumId w:val="7"/>
  </w:num>
  <w:num w:numId="205" w16cid:durableId="1816100008">
    <w:abstractNumId w:val="0"/>
  </w:num>
  <w:num w:numId="206" w16cid:durableId="1867063171">
    <w:abstractNumId w:val="1"/>
  </w:num>
  <w:num w:numId="207" w16cid:durableId="1692025570">
    <w:abstractNumId w:val="2"/>
  </w:num>
  <w:num w:numId="208" w16cid:durableId="1665663929">
    <w:abstractNumId w:val="3"/>
  </w:num>
  <w:num w:numId="209" w16cid:durableId="1895968392">
    <w:abstractNumId w:val="8"/>
  </w:num>
  <w:num w:numId="210" w16cid:durableId="1134638259">
    <w:abstractNumId w:val="4"/>
  </w:num>
  <w:num w:numId="211" w16cid:durableId="1917084823">
    <w:abstractNumId w:val="5"/>
  </w:num>
  <w:num w:numId="212" w16cid:durableId="1555193874">
    <w:abstractNumId w:val="6"/>
  </w:num>
  <w:num w:numId="213" w16cid:durableId="1631521658">
    <w:abstractNumId w:val="7"/>
  </w:num>
  <w:num w:numId="214" w16cid:durableId="1977762469">
    <w:abstractNumId w:val="0"/>
  </w:num>
  <w:num w:numId="215" w16cid:durableId="1478567977">
    <w:abstractNumId w:val="1"/>
  </w:num>
  <w:num w:numId="216" w16cid:durableId="1091976259">
    <w:abstractNumId w:val="2"/>
  </w:num>
  <w:num w:numId="217" w16cid:durableId="1240287011">
    <w:abstractNumId w:val="3"/>
  </w:num>
  <w:num w:numId="218" w16cid:durableId="2124957314">
    <w:abstractNumId w:val="8"/>
  </w:num>
  <w:num w:numId="219" w16cid:durableId="1497840618">
    <w:abstractNumId w:val="4"/>
  </w:num>
  <w:num w:numId="220" w16cid:durableId="345642262">
    <w:abstractNumId w:val="5"/>
  </w:num>
  <w:num w:numId="221" w16cid:durableId="438380300">
    <w:abstractNumId w:val="6"/>
  </w:num>
  <w:num w:numId="222" w16cid:durableId="1366637714">
    <w:abstractNumId w:val="7"/>
  </w:num>
  <w:num w:numId="223" w16cid:durableId="923076454">
    <w:abstractNumId w:val="0"/>
  </w:num>
  <w:num w:numId="224" w16cid:durableId="801967418">
    <w:abstractNumId w:val="1"/>
  </w:num>
  <w:num w:numId="225" w16cid:durableId="1899051130">
    <w:abstractNumId w:val="2"/>
  </w:num>
  <w:num w:numId="226" w16cid:durableId="1219240099">
    <w:abstractNumId w:val="3"/>
  </w:num>
  <w:num w:numId="227" w16cid:durableId="1548299056">
    <w:abstractNumId w:val="8"/>
  </w:num>
  <w:num w:numId="228" w16cid:durableId="1736277771">
    <w:abstractNumId w:val="4"/>
  </w:num>
  <w:num w:numId="229" w16cid:durableId="2013607474">
    <w:abstractNumId w:val="5"/>
  </w:num>
  <w:num w:numId="230" w16cid:durableId="2052221923">
    <w:abstractNumId w:val="6"/>
  </w:num>
  <w:num w:numId="231" w16cid:durableId="1532303964">
    <w:abstractNumId w:val="7"/>
  </w:num>
  <w:num w:numId="232" w16cid:durableId="1736928996">
    <w:abstractNumId w:val="0"/>
  </w:num>
  <w:num w:numId="233" w16cid:durableId="1699349020">
    <w:abstractNumId w:val="1"/>
  </w:num>
  <w:num w:numId="234" w16cid:durableId="903956785">
    <w:abstractNumId w:val="2"/>
  </w:num>
  <w:num w:numId="235" w16cid:durableId="277303354">
    <w:abstractNumId w:val="3"/>
  </w:num>
  <w:num w:numId="236" w16cid:durableId="1570338638">
    <w:abstractNumId w:val="8"/>
  </w:num>
  <w:num w:numId="237" w16cid:durableId="169024218">
    <w:abstractNumId w:val="4"/>
  </w:num>
  <w:num w:numId="238" w16cid:durableId="627204126">
    <w:abstractNumId w:val="5"/>
  </w:num>
  <w:num w:numId="239" w16cid:durableId="811555614">
    <w:abstractNumId w:val="6"/>
  </w:num>
  <w:num w:numId="240" w16cid:durableId="717700545">
    <w:abstractNumId w:val="7"/>
  </w:num>
  <w:num w:numId="241" w16cid:durableId="163281186">
    <w:abstractNumId w:val="0"/>
  </w:num>
  <w:num w:numId="242" w16cid:durableId="1526751225">
    <w:abstractNumId w:val="1"/>
  </w:num>
  <w:num w:numId="243" w16cid:durableId="439573512">
    <w:abstractNumId w:val="2"/>
  </w:num>
  <w:num w:numId="244" w16cid:durableId="455563350">
    <w:abstractNumId w:val="3"/>
  </w:num>
  <w:num w:numId="245" w16cid:durableId="759181659">
    <w:abstractNumId w:val="8"/>
  </w:num>
  <w:num w:numId="246" w16cid:durableId="2073263937">
    <w:abstractNumId w:val="4"/>
  </w:num>
  <w:num w:numId="247" w16cid:durableId="473722423">
    <w:abstractNumId w:val="5"/>
  </w:num>
  <w:num w:numId="248" w16cid:durableId="241959903">
    <w:abstractNumId w:val="6"/>
  </w:num>
  <w:num w:numId="249" w16cid:durableId="178857435">
    <w:abstractNumId w:val="7"/>
  </w:num>
  <w:num w:numId="250" w16cid:durableId="827331512">
    <w:abstractNumId w:val="0"/>
  </w:num>
  <w:num w:numId="251" w16cid:durableId="501160948">
    <w:abstractNumId w:val="1"/>
  </w:num>
  <w:num w:numId="252" w16cid:durableId="2010786733">
    <w:abstractNumId w:val="2"/>
  </w:num>
  <w:num w:numId="253" w16cid:durableId="1059137651">
    <w:abstractNumId w:val="3"/>
  </w:num>
  <w:num w:numId="254" w16cid:durableId="1043209818">
    <w:abstractNumId w:val="8"/>
  </w:num>
  <w:num w:numId="255" w16cid:durableId="508521299">
    <w:abstractNumId w:val="4"/>
  </w:num>
  <w:num w:numId="256" w16cid:durableId="564609871">
    <w:abstractNumId w:val="5"/>
  </w:num>
  <w:num w:numId="257" w16cid:durableId="864245310">
    <w:abstractNumId w:val="6"/>
  </w:num>
  <w:num w:numId="258" w16cid:durableId="1345668306">
    <w:abstractNumId w:val="7"/>
  </w:num>
  <w:num w:numId="259" w16cid:durableId="822743974">
    <w:abstractNumId w:val="0"/>
  </w:num>
  <w:num w:numId="260" w16cid:durableId="368338917">
    <w:abstractNumId w:val="1"/>
  </w:num>
  <w:num w:numId="261" w16cid:durableId="920682458">
    <w:abstractNumId w:val="2"/>
  </w:num>
  <w:num w:numId="262" w16cid:durableId="281571003">
    <w:abstractNumId w:val="3"/>
  </w:num>
  <w:num w:numId="263" w16cid:durableId="1419982301">
    <w:abstractNumId w:val="8"/>
  </w:num>
  <w:num w:numId="264" w16cid:durableId="1619676447">
    <w:abstractNumId w:val="4"/>
  </w:num>
  <w:num w:numId="265" w16cid:durableId="59059378">
    <w:abstractNumId w:val="5"/>
  </w:num>
  <w:num w:numId="266" w16cid:durableId="385954866">
    <w:abstractNumId w:val="6"/>
  </w:num>
  <w:num w:numId="267" w16cid:durableId="1032075882">
    <w:abstractNumId w:val="7"/>
  </w:num>
  <w:num w:numId="268" w16cid:durableId="1525749057">
    <w:abstractNumId w:val="0"/>
  </w:num>
  <w:num w:numId="269" w16cid:durableId="1094129924">
    <w:abstractNumId w:val="1"/>
  </w:num>
  <w:num w:numId="270" w16cid:durableId="2077168025">
    <w:abstractNumId w:val="2"/>
  </w:num>
  <w:num w:numId="271" w16cid:durableId="1020200330">
    <w:abstractNumId w:val="3"/>
  </w:num>
  <w:num w:numId="272" w16cid:durableId="2083411205">
    <w:abstractNumId w:val="8"/>
  </w:num>
  <w:num w:numId="273" w16cid:durableId="712653974">
    <w:abstractNumId w:val="4"/>
  </w:num>
  <w:num w:numId="274" w16cid:durableId="1068455487">
    <w:abstractNumId w:val="5"/>
  </w:num>
  <w:num w:numId="275" w16cid:durableId="2071341392">
    <w:abstractNumId w:val="6"/>
  </w:num>
  <w:num w:numId="276" w16cid:durableId="603880879">
    <w:abstractNumId w:val="7"/>
  </w:num>
  <w:num w:numId="277" w16cid:durableId="1717772648">
    <w:abstractNumId w:val="0"/>
  </w:num>
  <w:num w:numId="278" w16cid:durableId="1734693959">
    <w:abstractNumId w:val="1"/>
  </w:num>
  <w:num w:numId="279" w16cid:durableId="1842743367">
    <w:abstractNumId w:val="2"/>
  </w:num>
  <w:num w:numId="280" w16cid:durableId="2060131330">
    <w:abstractNumId w:val="3"/>
  </w:num>
  <w:num w:numId="281" w16cid:durableId="1593127489">
    <w:abstractNumId w:val="8"/>
  </w:num>
  <w:num w:numId="282" w16cid:durableId="2036224071">
    <w:abstractNumId w:val="4"/>
  </w:num>
  <w:num w:numId="283" w16cid:durableId="1975943062">
    <w:abstractNumId w:val="5"/>
  </w:num>
  <w:num w:numId="284" w16cid:durableId="2000690327">
    <w:abstractNumId w:val="6"/>
  </w:num>
  <w:num w:numId="285" w16cid:durableId="1286354123">
    <w:abstractNumId w:val="7"/>
  </w:num>
  <w:num w:numId="286" w16cid:durableId="1473907645">
    <w:abstractNumId w:val="0"/>
  </w:num>
  <w:num w:numId="287" w16cid:durableId="1856266023">
    <w:abstractNumId w:val="1"/>
  </w:num>
  <w:num w:numId="288" w16cid:durableId="119762286">
    <w:abstractNumId w:val="2"/>
  </w:num>
  <w:num w:numId="289" w16cid:durableId="334650887">
    <w:abstractNumId w:val="3"/>
  </w:num>
  <w:num w:numId="290" w16cid:durableId="856696490">
    <w:abstractNumId w:val="8"/>
  </w:num>
  <w:num w:numId="291" w16cid:durableId="101849670">
    <w:abstractNumId w:val="4"/>
  </w:num>
  <w:num w:numId="292" w16cid:durableId="399906585">
    <w:abstractNumId w:val="5"/>
  </w:num>
  <w:num w:numId="293" w16cid:durableId="1719695663">
    <w:abstractNumId w:val="6"/>
  </w:num>
  <w:num w:numId="294" w16cid:durableId="503324386">
    <w:abstractNumId w:val="7"/>
  </w:num>
  <w:num w:numId="295" w16cid:durableId="1305937047">
    <w:abstractNumId w:val="0"/>
  </w:num>
  <w:num w:numId="296" w16cid:durableId="1354260629">
    <w:abstractNumId w:val="1"/>
  </w:num>
  <w:num w:numId="297" w16cid:durableId="2110348264">
    <w:abstractNumId w:val="2"/>
  </w:num>
  <w:num w:numId="298" w16cid:durableId="178278626">
    <w:abstractNumId w:val="3"/>
  </w:num>
  <w:num w:numId="299" w16cid:durableId="791825451">
    <w:abstractNumId w:val="8"/>
  </w:num>
  <w:num w:numId="300" w16cid:durableId="2086562138">
    <w:abstractNumId w:val="4"/>
  </w:num>
  <w:num w:numId="301" w16cid:durableId="2054384845">
    <w:abstractNumId w:val="5"/>
  </w:num>
  <w:num w:numId="302" w16cid:durableId="371540421">
    <w:abstractNumId w:val="6"/>
  </w:num>
  <w:num w:numId="303" w16cid:durableId="347370066">
    <w:abstractNumId w:val="7"/>
  </w:num>
  <w:num w:numId="304" w16cid:durableId="770710690">
    <w:abstractNumId w:val="0"/>
  </w:num>
  <w:num w:numId="305" w16cid:durableId="150407784">
    <w:abstractNumId w:val="1"/>
  </w:num>
  <w:num w:numId="306" w16cid:durableId="84695743">
    <w:abstractNumId w:val="2"/>
  </w:num>
  <w:num w:numId="307" w16cid:durableId="1962613518">
    <w:abstractNumId w:val="3"/>
  </w:num>
  <w:num w:numId="308" w16cid:durableId="475336072">
    <w:abstractNumId w:val="8"/>
  </w:num>
  <w:num w:numId="309" w16cid:durableId="954213838">
    <w:abstractNumId w:val="4"/>
  </w:num>
  <w:num w:numId="310" w16cid:durableId="740448748">
    <w:abstractNumId w:val="5"/>
  </w:num>
  <w:num w:numId="311" w16cid:durableId="1028023909">
    <w:abstractNumId w:val="6"/>
  </w:num>
  <w:num w:numId="312" w16cid:durableId="37751781">
    <w:abstractNumId w:val="7"/>
  </w:num>
  <w:num w:numId="313" w16cid:durableId="613709861">
    <w:abstractNumId w:val="56"/>
  </w:num>
  <w:num w:numId="314" w16cid:durableId="1164397954">
    <w:abstractNumId w:val="40"/>
  </w:num>
  <w:num w:numId="315" w16cid:durableId="1692800486">
    <w:abstractNumId w:val="34"/>
  </w:num>
  <w:num w:numId="316" w16cid:durableId="745418762">
    <w:abstractNumId w:val="0"/>
  </w:num>
  <w:num w:numId="317" w16cid:durableId="2048068780">
    <w:abstractNumId w:val="1"/>
  </w:num>
  <w:num w:numId="318" w16cid:durableId="336618168">
    <w:abstractNumId w:val="2"/>
  </w:num>
  <w:num w:numId="319" w16cid:durableId="1555628452">
    <w:abstractNumId w:val="3"/>
  </w:num>
  <w:num w:numId="320" w16cid:durableId="1683046167">
    <w:abstractNumId w:val="8"/>
  </w:num>
  <w:num w:numId="321" w16cid:durableId="1662270468">
    <w:abstractNumId w:val="4"/>
  </w:num>
  <w:num w:numId="322" w16cid:durableId="875311037">
    <w:abstractNumId w:val="5"/>
  </w:num>
  <w:num w:numId="323" w16cid:durableId="1256355495">
    <w:abstractNumId w:val="6"/>
  </w:num>
  <w:num w:numId="324" w16cid:durableId="1737316769">
    <w:abstractNumId w:val="7"/>
  </w:num>
  <w:num w:numId="325" w16cid:durableId="2105371285">
    <w:abstractNumId w:val="0"/>
  </w:num>
  <w:num w:numId="326" w16cid:durableId="252708584">
    <w:abstractNumId w:val="1"/>
  </w:num>
  <w:num w:numId="327" w16cid:durableId="813135774">
    <w:abstractNumId w:val="2"/>
  </w:num>
  <w:num w:numId="328" w16cid:durableId="1989741919">
    <w:abstractNumId w:val="3"/>
  </w:num>
  <w:num w:numId="329" w16cid:durableId="565724027">
    <w:abstractNumId w:val="8"/>
  </w:num>
  <w:num w:numId="330" w16cid:durableId="1132748621">
    <w:abstractNumId w:val="4"/>
  </w:num>
  <w:num w:numId="331" w16cid:durableId="1468277177">
    <w:abstractNumId w:val="5"/>
  </w:num>
  <w:num w:numId="332" w16cid:durableId="1287615853">
    <w:abstractNumId w:val="6"/>
  </w:num>
  <w:num w:numId="333" w16cid:durableId="737871932">
    <w:abstractNumId w:val="7"/>
  </w:num>
  <w:num w:numId="334" w16cid:durableId="1363242722">
    <w:abstractNumId w:val="0"/>
  </w:num>
  <w:num w:numId="335" w16cid:durableId="1905262659">
    <w:abstractNumId w:val="1"/>
  </w:num>
  <w:num w:numId="336" w16cid:durableId="987635104">
    <w:abstractNumId w:val="2"/>
  </w:num>
  <w:num w:numId="337" w16cid:durableId="429475265">
    <w:abstractNumId w:val="3"/>
  </w:num>
  <w:num w:numId="338" w16cid:durableId="777336929">
    <w:abstractNumId w:val="8"/>
  </w:num>
  <w:num w:numId="339" w16cid:durableId="1398284881">
    <w:abstractNumId w:val="4"/>
  </w:num>
  <w:num w:numId="340" w16cid:durableId="804739467">
    <w:abstractNumId w:val="5"/>
  </w:num>
  <w:num w:numId="341" w16cid:durableId="920720959">
    <w:abstractNumId w:val="6"/>
  </w:num>
  <w:num w:numId="342" w16cid:durableId="324600437">
    <w:abstractNumId w:val="7"/>
  </w:num>
  <w:num w:numId="343" w16cid:durableId="1052582254">
    <w:abstractNumId w:val="0"/>
  </w:num>
  <w:num w:numId="344" w16cid:durableId="1837765560">
    <w:abstractNumId w:val="1"/>
  </w:num>
  <w:num w:numId="345" w16cid:durableId="1028988757">
    <w:abstractNumId w:val="2"/>
  </w:num>
  <w:num w:numId="346" w16cid:durableId="1856267979">
    <w:abstractNumId w:val="3"/>
  </w:num>
  <w:num w:numId="347" w16cid:durableId="1830752140">
    <w:abstractNumId w:val="8"/>
  </w:num>
  <w:num w:numId="348" w16cid:durableId="371466854">
    <w:abstractNumId w:val="4"/>
  </w:num>
  <w:num w:numId="349" w16cid:durableId="1129056038">
    <w:abstractNumId w:val="5"/>
  </w:num>
  <w:num w:numId="350" w16cid:durableId="1250113485">
    <w:abstractNumId w:val="6"/>
  </w:num>
  <w:num w:numId="351" w16cid:durableId="467208054">
    <w:abstractNumId w:val="7"/>
  </w:num>
  <w:num w:numId="352" w16cid:durableId="1922564321">
    <w:abstractNumId w:val="0"/>
  </w:num>
  <w:num w:numId="353" w16cid:durableId="257518892">
    <w:abstractNumId w:val="1"/>
  </w:num>
  <w:num w:numId="354" w16cid:durableId="2015909538">
    <w:abstractNumId w:val="2"/>
  </w:num>
  <w:num w:numId="355" w16cid:durableId="51075522">
    <w:abstractNumId w:val="3"/>
  </w:num>
  <w:num w:numId="356" w16cid:durableId="1444810510">
    <w:abstractNumId w:val="8"/>
  </w:num>
  <w:num w:numId="357" w16cid:durableId="988485173">
    <w:abstractNumId w:val="4"/>
  </w:num>
  <w:num w:numId="358" w16cid:durableId="675959408">
    <w:abstractNumId w:val="5"/>
  </w:num>
  <w:num w:numId="359" w16cid:durableId="1421027953">
    <w:abstractNumId w:val="6"/>
  </w:num>
  <w:num w:numId="360" w16cid:durableId="796878780">
    <w:abstractNumId w:val="7"/>
  </w:num>
  <w:num w:numId="361" w16cid:durableId="992443112">
    <w:abstractNumId w:val="0"/>
  </w:num>
  <w:num w:numId="362" w16cid:durableId="317735596">
    <w:abstractNumId w:val="1"/>
  </w:num>
  <w:num w:numId="363" w16cid:durableId="1931086333">
    <w:abstractNumId w:val="2"/>
  </w:num>
  <w:num w:numId="364" w16cid:durableId="1712151736">
    <w:abstractNumId w:val="3"/>
  </w:num>
  <w:num w:numId="365" w16cid:durableId="521552370">
    <w:abstractNumId w:val="8"/>
  </w:num>
  <w:num w:numId="366" w16cid:durableId="2047218886">
    <w:abstractNumId w:val="4"/>
  </w:num>
  <w:num w:numId="367" w16cid:durableId="1073351088">
    <w:abstractNumId w:val="5"/>
  </w:num>
  <w:num w:numId="368" w16cid:durableId="513954707">
    <w:abstractNumId w:val="6"/>
  </w:num>
  <w:num w:numId="369" w16cid:durableId="1469394041">
    <w:abstractNumId w:val="7"/>
  </w:num>
  <w:num w:numId="370" w16cid:durableId="89470833">
    <w:abstractNumId w:val="0"/>
  </w:num>
  <w:num w:numId="371" w16cid:durableId="30230089">
    <w:abstractNumId w:val="1"/>
  </w:num>
  <w:num w:numId="372" w16cid:durableId="2131320501">
    <w:abstractNumId w:val="2"/>
  </w:num>
  <w:num w:numId="373" w16cid:durableId="2086142947">
    <w:abstractNumId w:val="3"/>
  </w:num>
  <w:num w:numId="374" w16cid:durableId="1498185132">
    <w:abstractNumId w:val="8"/>
  </w:num>
  <w:num w:numId="375" w16cid:durableId="1095396545">
    <w:abstractNumId w:val="4"/>
  </w:num>
  <w:num w:numId="376" w16cid:durableId="909386144">
    <w:abstractNumId w:val="5"/>
  </w:num>
  <w:num w:numId="377" w16cid:durableId="752629681">
    <w:abstractNumId w:val="6"/>
  </w:num>
  <w:num w:numId="378" w16cid:durableId="1411080936">
    <w:abstractNumId w:val="7"/>
  </w:num>
  <w:num w:numId="379" w16cid:durableId="1643581648">
    <w:abstractNumId w:val="0"/>
  </w:num>
  <w:num w:numId="380" w16cid:durableId="1160538573">
    <w:abstractNumId w:val="1"/>
  </w:num>
  <w:num w:numId="381" w16cid:durableId="1599483504">
    <w:abstractNumId w:val="2"/>
  </w:num>
  <w:num w:numId="382" w16cid:durableId="1135219867">
    <w:abstractNumId w:val="3"/>
  </w:num>
  <w:num w:numId="383" w16cid:durableId="450247654">
    <w:abstractNumId w:val="8"/>
  </w:num>
  <w:num w:numId="384" w16cid:durableId="1020623351">
    <w:abstractNumId w:val="4"/>
  </w:num>
  <w:num w:numId="385" w16cid:durableId="56633035">
    <w:abstractNumId w:val="5"/>
  </w:num>
  <w:num w:numId="386" w16cid:durableId="1198007257">
    <w:abstractNumId w:val="6"/>
  </w:num>
  <w:num w:numId="387" w16cid:durableId="1027218142">
    <w:abstractNumId w:val="7"/>
  </w:num>
  <w:num w:numId="388" w16cid:durableId="1096710429">
    <w:abstractNumId w:val="0"/>
  </w:num>
  <w:num w:numId="389" w16cid:durableId="488013261">
    <w:abstractNumId w:val="1"/>
  </w:num>
  <w:num w:numId="390" w16cid:durableId="711006060">
    <w:abstractNumId w:val="2"/>
  </w:num>
  <w:num w:numId="391" w16cid:durableId="1950700271">
    <w:abstractNumId w:val="3"/>
  </w:num>
  <w:num w:numId="392" w16cid:durableId="980232594">
    <w:abstractNumId w:val="8"/>
  </w:num>
  <w:num w:numId="393" w16cid:durableId="1292904795">
    <w:abstractNumId w:val="4"/>
  </w:num>
  <w:num w:numId="394" w16cid:durableId="426733752">
    <w:abstractNumId w:val="5"/>
  </w:num>
  <w:num w:numId="395" w16cid:durableId="1807621712">
    <w:abstractNumId w:val="6"/>
  </w:num>
  <w:num w:numId="396" w16cid:durableId="1232807217">
    <w:abstractNumId w:val="7"/>
  </w:num>
  <w:num w:numId="397" w16cid:durableId="1327517806">
    <w:abstractNumId w:val="0"/>
  </w:num>
  <w:num w:numId="398" w16cid:durableId="1265310075">
    <w:abstractNumId w:val="1"/>
  </w:num>
  <w:num w:numId="399" w16cid:durableId="890458371">
    <w:abstractNumId w:val="2"/>
  </w:num>
  <w:num w:numId="400" w16cid:durableId="178663976">
    <w:abstractNumId w:val="3"/>
  </w:num>
  <w:num w:numId="401" w16cid:durableId="418797498">
    <w:abstractNumId w:val="8"/>
  </w:num>
  <w:num w:numId="402" w16cid:durableId="1417558691">
    <w:abstractNumId w:val="4"/>
  </w:num>
  <w:num w:numId="403" w16cid:durableId="456877576">
    <w:abstractNumId w:val="5"/>
  </w:num>
  <w:num w:numId="404" w16cid:durableId="164633749">
    <w:abstractNumId w:val="6"/>
  </w:num>
  <w:num w:numId="405" w16cid:durableId="2040665010">
    <w:abstractNumId w:val="7"/>
  </w:num>
  <w:num w:numId="406" w16cid:durableId="1214468437">
    <w:abstractNumId w:val="0"/>
  </w:num>
  <w:num w:numId="407" w16cid:durableId="2085057574">
    <w:abstractNumId w:val="1"/>
  </w:num>
  <w:num w:numId="408" w16cid:durableId="319312759">
    <w:abstractNumId w:val="2"/>
  </w:num>
  <w:num w:numId="409" w16cid:durableId="395402246">
    <w:abstractNumId w:val="3"/>
  </w:num>
  <w:num w:numId="410" w16cid:durableId="984315264">
    <w:abstractNumId w:val="8"/>
  </w:num>
  <w:num w:numId="411" w16cid:durableId="1397049908">
    <w:abstractNumId w:val="4"/>
  </w:num>
  <w:num w:numId="412" w16cid:durableId="1650093675">
    <w:abstractNumId w:val="5"/>
  </w:num>
  <w:num w:numId="413" w16cid:durableId="686105466">
    <w:abstractNumId w:val="6"/>
  </w:num>
  <w:num w:numId="414" w16cid:durableId="310184420">
    <w:abstractNumId w:val="7"/>
  </w:num>
  <w:num w:numId="415" w16cid:durableId="1916354742">
    <w:abstractNumId w:val="0"/>
  </w:num>
  <w:num w:numId="416" w16cid:durableId="1772821063">
    <w:abstractNumId w:val="1"/>
  </w:num>
  <w:num w:numId="417" w16cid:durableId="1614171056">
    <w:abstractNumId w:val="2"/>
  </w:num>
  <w:num w:numId="418" w16cid:durableId="1358580117">
    <w:abstractNumId w:val="3"/>
  </w:num>
  <w:num w:numId="419" w16cid:durableId="234291266">
    <w:abstractNumId w:val="8"/>
  </w:num>
  <w:num w:numId="420" w16cid:durableId="2114086699">
    <w:abstractNumId w:val="4"/>
  </w:num>
  <w:num w:numId="421" w16cid:durableId="901913604">
    <w:abstractNumId w:val="5"/>
  </w:num>
  <w:num w:numId="422" w16cid:durableId="709375249">
    <w:abstractNumId w:val="6"/>
  </w:num>
  <w:num w:numId="423" w16cid:durableId="1225412385">
    <w:abstractNumId w:val="7"/>
  </w:num>
  <w:num w:numId="424" w16cid:durableId="1280332982">
    <w:abstractNumId w:val="0"/>
  </w:num>
  <w:num w:numId="425" w16cid:durableId="1768384795">
    <w:abstractNumId w:val="1"/>
  </w:num>
  <w:num w:numId="426" w16cid:durableId="1374696556">
    <w:abstractNumId w:val="2"/>
  </w:num>
  <w:num w:numId="427" w16cid:durableId="566915715">
    <w:abstractNumId w:val="3"/>
  </w:num>
  <w:num w:numId="428" w16cid:durableId="1525745541">
    <w:abstractNumId w:val="8"/>
  </w:num>
  <w:num w:numId="429" w16cid:durableId="1121076771">
    <w:abstractNumId w:val="4"/>
  </w:num>
  <w:num w:numId="430" w16cid:durableId="674919516">
    <w:abstractNumId w:val="5"/>
  </w:num>
  <w:num w:numId="431" w16cid:durableId="1940143504">
    <w:abstractNumId w:val="6"/>
  </w:num>
  <w:num w:numId="432" w16cid:durableId="1425880234">
    <w:abstractNumId w:val="7"/>
  </w:num>
  <w:num w:numId="433" w16cid:durableId="1363239640">
    <w:abstractNumId w:val="0"/>
  </w:num>
  <w:num w:numId="434" w16cid:durableId="553196838">
    <w:abstractNumId w:val="1"/>
  </w:num>
  <w:num w:numId="435" w16cid:durableId="1320380294">
    <w:abstractNumId w:val="2"/>
  </w:num>
  <w:num w:numId="436" w16cid:durableId="107550978">
    <w:abstractNumId w:val="3"/>
  </w:num>
  <w:num w:numId="437" w16cid:durableId="216861431">
    <w:abstractNumId w:val="8"/>
  </w:num>
  <w:num w:numId="438" w16cid:durableId="1483277582">
    <w:abstractNumId w:val="4"/>
  </w:num>
  <w:num w:numId="439" w16cid:durableId="423842263">
    <w:abstractNumId w:val="5"/>
  </w:num>
  <w:num w:numId="440" w16cid:durableId="1623926206">
    <w:abstractNumId w:val="6"/>
  </w:num>
  <w:num w:numId="441" w16cid:durableId="767427227">
    <w:abstractNumId w:val="7"/>
  </w:num>
  <w:num w:numId="442" w16cid:durableId="1696037225">
    <w:abstractNumId w:val="0"/>
  </w:num>
  <w:num w:numId="443" w16cid:durableId="1589997827">
    <w:abstractNumId w:val="1"/>
  </w:num>
  <w:num w:numId="444" w16cid:durableId="1474710147">
    <w:abstractNumId w:val="2"/>
  </w:num>
  <w:num w:numId="445" w16cid:durableId="1428312468">
    <w:abstractNumId w:val="3"/>
  </w:num>
  <w:num w:numId="446" w16cid:durableId="1955554852">
    <w:abstractNumId w:val="8"/>
  </w:num>
  <w:num w:numId="447" w16cid:durableId="2034114463">
    <w:abstractNumId w:val="4"/>
  </w:num>
  <w:num w:numId="448" w16cid:durableId="687801020">
    <w:abstractNumId w:val="5"/>
  </w:num>
  <w:num w:numId="449" w16cid:durableId="284317207">
    <w:abstractNumId w:val="6"/>
  </w:num>
  <w:num w:numId="450" w16cid:durableId="2081708199">
    <w:abstractNumId w:val="7"/>
  </w:num>
  <w:num w:numId="451" w16cid:durableId="1587572737">
    <w:abstractNumId w:val="0"/>
  </w:num>
  <w:num w:numId="452" w16cid:durableId="870151093">
    <w:abstractNumId w:val="1"/>
  </w:num>
  <w:num w:numId="453" w16cid:durableId="999695572">
    <w:abstractNumId w:val="2"/>
  </w:num>
  <w:num w:numId="454" w16cid:durableId="1514954294">
    <w:abstractNumId w:val="3"/>
  </w:num>
  <w:num w:numId="455" w16cid:durableId="650987991">
    <w:abstractNumId w:val="8"/>
  </w:num>
  <w:num w:numId="456" w16cid:durableId="757748552">
    <w:abstractNumId w:val="4"/>
  </w:num>
  <w:num w:numId="457" w16cid:durableId="844629054">
    <w:abstractNumId w:val="5"/>
  </w:num>
  <w:num w:numId="458" w16cid:durableId="1577857862">
    <w:abstractNumId w:val="6"/>
  </w:num>
  <w:num w:numId="459" w16cid:durableId="974994382">
    <w:abstractNumId w:val="7"/>
  </w:num>
  <w:num w:numId="460" w16cid:durableId="1865510322">
    <w:abstractNumId w:val="10"/>
  </w:num>
  <w:num w:numId="461" w16cid:durableId="1421558168">
    <w:abstractNumId w:val="0"/>
  </w:num>
  <w:num w:numId="462" w16cid:durableId="1802187807">
    <w:abstractNumId w:val="1"/>
  </w:num>
  <w:num w:numId="463" w16cid:durableId="1032533603">
    <w:abstractNumId w:val="2"/>
  </w:num>
  <w:num w:numId="464" w16cid:durableId="772480747">
    <w:abstractNumId w:val="3"/>
  </w:num>
  <w:num w:numId="465" w16cid:durableId="682979488">
    <w:abstractNumId w:val="8"/>
  </w:num>
  <w:num w:numId="466" w16cid:durableId="235017798">
    <w:abstractNumId w:val="4"/>
  </w:num>
  <w:num w:numId="467" w16cid:durableId="1785728445">
    <w:abstractNumId w:val="5"/>
  </w:num>
  <w:num w:numId="468" w16cid:durableId="645818448">
    <w:abstractNumId w:val="6"/>
  </w:num>
  <w:num w:numId="469" w16cid:durableId="1839037708">
    <w:abstractNumId w:val="7"/>
  </w:num>
  <w:num w:numId="470" w16cid:durableId="1067648586">
    <w:abstractNumId w:val="0"/>
  </w:num>
  <w:num w:numId="471" w16cid:durableId="990912669">
    <w:abstractNumId w:val="1"/>
  </w:num>
  <w:num w:numId="472" w16cid:durableId="1453551109">
    <w:abstractNumId w:val="2"/>
  </w:num>
  <w:num w:numId="473" w16cid:durableId="1002733110">
    <w:abstractNumId w:val="3"/>
  </w:num>
  <w:num w:numId="474" w16cid:durableId="228007546">
    <w:abstractNumId w:val="8"/>
  </w:num>
  <w:num w:numId="475" w16cid:durableId="1339311151">
    <w:abstractNumId w:val="4"/>
  </w:num>
  <w:num w:numId="476" w16cid:durableId="766191648">
    <w:abstractNumId w:val="5"/>
  </w:num>
  <w:num w:numId="477" w16cid:durableId="197820114">
    <w:abstractNumId w:val="6"/>
  </w:num>
  <w:num w:numId="478" w16cid:durableId="1901556297">
    <w:abstractNumId w:val="7"/>
  </w:num>
  <w:num w:numId="479" w16cid:durableId="364064133">
    <w:abstractNumId w:val="0"/>
  </w:num>
  <w:num w:numId="480" w16cid:durableId="1253203360">
    <w:abstractNumId w:val="1"/>
  </w:num>
  <w:num w:numId="481" w16cid:durableId="1508134438">
    <w:abstractNumId w:val="2"/>
  </w:num>
  <w:num w:numId="482" w16cid:durableId="421070427">
    <w:abstractNumId w:val="3"/>
  </w:num>
  <w:num w:numId="483" w16cid:durableId="949702664">
    <w:abstractNumId w:val="8"/>
  </w:num>
  <w:num w:numId="484" w16cid:durableId="1463495206">
    <w:abstractNumId w:val="4"/>
  </w:num>
  <w:num w:numId="485" w16cid:durableId="443960082">
    <w:abstractNumId w:val="5"/>
  </w:num>
  <w:num w:numId="486" w16cid:durableId="1844276874">
    <w:abstractNumId w:val="6"/>
  </w:num>
  <w:num w:numId="487" w16cid:durableId="2132357299">
    <w:abstractNumId w:val="7"/>
  </w:num>
  <w:num w:numId="488" w16cid:durableId="1987127780">
    <w:abstractNumId w:val="0"/>
  </w:num>
  <w:num w:numId="489" w16cid:durableId="2076471943">
    <w:abstractNumId w:val="1"/>
  </w:num>
  <w:num w:numId="490" w16cid:durableId="561797650">
    <w:abstractNumId w:val="2"/>
  </w:num>
  <w:num w:numId="491" w16cid:durableId="916355333">
    <w:abstractNumId w:val="3"/>
  </w:num>
  <w:num w:numId="492" w16cid:durableId="1692098344">
    <w:abstractNumId w:val="8"/>
  </w:num>
  <w:num w:numId="493" w16cid:durableId="1591961317">
    <w:abstractNumId w:val="4"/>
  </w:num>
  <w:num w:numId="494" w16cid:durableId="161481374">
    <w:abstractNumId w:val="5"/>
  </w:num>
  <w:num w:numId="495" w16cid:durableId="1533498647">
    <w:abstractNumId w:val="6"/>
  </w:num>
  <w:num w:numId="496" w16cid:durableId="965744611">
    <w:abstractNumId w:val="7"/>
  </w:num>
  <w:num w:numId="497" w16cid:durableId="209198024">
    <w:abstractNumId w:val="0"/>
  </w:num>
  <w:num w:numId="498" w16cid:durableId="1124155551">
    <w:abstractNumId w:val="1"/>
  </w:num>
  <w:num w:numId="499" w16cid:durableId="27725261">
    <w:abstractNumId w:val="2"/>
  </w:num>
  <w:num w:numId="500" w16cid:durableId="1316451508">
    <w:abstractNumId w:val="3"/>
  </w:num>
  <w:num w:numId="501" w16cid:durableId="208416554">
    <w:abstractNumId w:val="8"/>
  </w:num>
  <w:num w:numId="502" w16cid:durableId="1804225800">
    <w:abstractNumId w:val="4"/>
  </w:num>
  <w:num w:numId="503" w16cid:durableId="142621090">
    <w:abstractNumId w:val="5"/>
  </w:num>
  <w:num w:numId="504" w16cid:durableId="343825503">
    <w:abstractNumId w:val="6"/>
  </w:num>
  <w:num w:numId="505" w16cid:durableId="1441994278">
    <w:abstractNumId w:val="7"/>
  </w:num>
  <w:num w:numId="506" w16cid:durableId="713113463">
    <w:abstractNumId w:val="0"/>
  </w:num>
  <w:num w:numId="507" w16cid:durableId="2088263315">
    <w:abstractNumId w:val="1"/>
  </w:num>
  <w:num w:numId="508" w16cid:durableId="474757419">
    <w:abstractNumId w:val="2"/>
  </w:num>
  <w:num w:numId="509" w16cid:durableId="1901212020">
    <w:abstractNumId w:val="3"/>
  </w:num>
  <w:num w:numId="510" w16cid:durableId="1555585921">
    <w:abstractNumId w:val="8"/>
  </w:num>
  <w:num w:numId="511" w16cid:durableId="133789977">
    <w:abstractNumId w:val="4"/>
  </w:num>
  <w:num w:numId="512" w16cid:durableId="1792282655">
    <w:abstractNumId w:val="5"/>
  </w:num>
  <w:num w:numId="513" w16cid:durableId="1519463751">
    <w:abstractNumId w:val="6"/>
  </w:num>
  <w:num w:numId="514" w16cid:durableId="588582525">
    <w:abstractNumId w:val="7"/>
  </w:num>
  <w:num w:numId="515" w16cid:durableId="1382291448">
    <w:abstractNumId w:val="0"/>
  </w:num>
  <w:num w:numId="516" w16cid:durableId="1789084657">
    <w:abstractNumId w:val="1"/>
  </w:num>
  <w:num w:numId="517" w16cid:durableId="1130199462">
    <w:abstractNumId w:val="2"/>
  </w:num>
  <w:num w:numId="518" w16cid:durableId="2001344727">
    <w:abstractNumId w:val="3"/>
  </w:num>
  <w:num w:numId="519" w16cid:durableId="245187330">
    <w:abstractNumId w:val="8"/>
  </w:num>
  <w:num w:numId="520" w16cid:durableId="2068530176">
    <w:abstractNumId w:val="4"/>
  </w:num>
  <w:num w:numId="521" w16cid:durableId="1052920591">
    <w:abstractNumId w:val="5"/>
  </w:num>
  <w:num w:numId="522" w16cid:durableId="1019889610">
    <w:abstractNumId w:val="6"/>
  </w:num>
  <w:num w:numId="523" w16cid:durableId="157817746">
    <w:abstractNumId w:val="7"/>
  </w:num>
  <w:num w:numId="524" w16cid:durableId="932207840">
    <w:abstractNumId w:val="0"/>
  </w:num>
  <w:num w:numId="525" w16cid:durableId="2069838663">
    <w:abstractNumId w:val="1"/>
  </w:num>
  <w:num w:numId="526" w16cid:durableId="319430197">
    <w:abstractNumId w:val="2"/>
  </w:num>
  <w:num w:numId="527" w16cid:durableId="781846610">
    <w:abstractNumId w:val="3"/>
  </w:num>
  <w:num w:numId="528" w16cid:durableId="1884440924">
    <w:abstractNumId w:val="8"/>
  </w:num>
  <w:num w:numId="529" w16cid:durableId="653413736">
    <w:abstractNumId w:val="4"/>
  </w:num>
  <w:num w:numId="530" w16cid:durableId="1228298698">
    <w:abstractNumId w:val="5"/>
  </w:num>
  <w:num w:numId="531" w16cid:durableId="1532107908">
    <w:abstractNumId w:val="6"/>
  </w:num>
  <w:num w:numId="532" w16cid:durableId="940526656">
    <w:abstractNumId w:val="7"/>
  </w:num>
  <w:num w:numId="533" w16cid:durableId="394861549">
    <w:abstractNumId w:val="0"/>
  </w:num>
  <w:num w:numId="534" w16cid:durableId="246422856">
    <w:abstractNumId w:val="1"/>
  </w:num>
  <w:num w:numId="535" w16cid:durableId="1405449393">
    <w:abstractNumId w:val="2"/>
  </w:num>
  <w:num w:numId="536" w16cid:durableId="1534802508">
    <w:abstractNumId w:val="3"/>
  </w:num>
  <w:num w:numId="537" w16cid:durableId="1887140690">
    <w:abstractNumId w:val="8"/>
  </w:num>
  <w:num w:numId="538" w16cid:durableId="1247495833">
    <w:abstractNumId w:val="4"/>
  </w:num>
  <w:num w:numId="539" w16cid:durableId="1469861057">
    <w:abstractNumId w:val="5"/>
  </w:num>
  <w:num w:numId="540" w16cid:durableId="438456662">
    <w:abstractNumId w:val="6"/>
  </w:num>
  <w:num w:numId="541" w16cid:durableId="678233985">
    <w:abstractNumId w:val="7"/>
  </w:num>
  <w:num w:numId="542" w16cid:durableId="1237058894">
    <w:abstractNumId w:val="0"/>
  </w:num>
  <w:num w:numId="543" w16cid:durableId="154879179">
    <w:abstractNumId w:val="1"/>
  </w:num>
  <w:num w:numId="544" w16cid:durableId="1699622160">
    <w:abstractNumId w:val="2"/>
  </w:num>
  <w:num w:numId="545" w16cid:durableId="954404345">
    <w:abstractNumId w:val="3"/>
  </w:num>
  <w:num w:numId="546" w16cid:durableId="290015061">
    <w:abstractNumId w:val="8"/>
  </w:num>
  <w:num w:numId="547" w16cid:durableId="1671785956">
    <w:abstractNumId w:val="4"/>
  </w:num>
  <w:num w:numId="548" w16cid:durableId="1048451747">
    <w:abstractNumId w:val="5"/>
  </w:num>
  <w:num w:numId="549" w16cid:durableId="1025131731">
    <w:abstractNumId w:val="6"/>
  </w:num>
  <w:num w:numId="550" w16cid:durableId="1603997904">
    <w:abstractNumId w:val="7"/>
  </w:num>
  <w:num w:numId="551" w16cid:durableId="677343324">
    <w:abstractNumId w:val="45"/>
  </w:num>
  <w:num w:numId="552" w16cid:durableId="136805456">
    <w:abstractNumId w:val="53"/>
  </w:num>
  <w:num w:numId="553" w16cid:durableId="132912771">
    <w:abstractNumId w:val="49"/>
  </w:num>
  <w:num w:numId="554" w16cid:durableId="1378509238">
    <w:abstractNumId w:val="33"/>
  </w:num>
  <w:num w:numId="555" w16cid:durableId="612322617">
    <w:abstractNumId w:val="41"/>
  </w:num>
  <w:num w:numId="556" w16cid:durableId="2110616286">
    <w:abstractNumId w:val="59"/>
  </w:num>
  <w:num w:numId="557" w16cid:durableId="1039664597">
    <w:abstractNumId w:val="60"/>
  </w:num>
  <w:num w:numId="558" w16cid:durableId="689339402">
    <w:abstractNumId w:val="47"/>
  </w:num>
  <w:num w:numId="559" w16cid:durableId="31164221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37"/>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15E"/>
    <w:rsid w:val="000017EE"/>
    <w:rsid w:val="00002668"/>
    <w:rsid w:val="00003743"/>
    <w:rsid w:val="0001053B"/>
    <w:rsid w:val="00012782"/>
    <w:rsid w:val="00020DBD"/>
    <w:rsid w:val="0002597E"/>
    <w:rsid w:val="00025A92"/>
    <w:rsid w:val="0003162D"/>
    <w:rsid w:val="000322F3"/>
    <w:rsid w:val="00036F5E"/>
    <w:rsid w:val="000406F8"/>
    <w:rsid w:val="00043671"/>
    <w:rsid w:val="000474A0"/>
    <w:rsid w:val="00050775"/>
    <w:rsid w:val="00053E37"/>
    <w:rsid w:val="00054B74"/>
    <w:rsid w:val="00063967"/>
    <w:rsid w:val="00067456"/>
    <w:rsid w:val="00071777"/>
    <w:rsid w:val="0008065C"/>
    <w:rsid w:val="00090EFF"/>
    <w:rsid w:val="00090F0C"/>
    <w:rsid w:val="00095DA6"/>
    <w:rsid w:val="00097737"/>
    <w:rsid w:val="000A008C"/>
    <w:rsid w:val="000A35FE"/>
    <w:rsid w:val="000A3F0D"/>
    <w:rsid w:val="000A4C01"/>
    <w:rsid w:val="000B0274"/>
    <w:rsid w:val="000B0BFE"/>
    <w:rsid w:val="000B1EC2"/>
    <w:rsid w:val="000B79D3"/>
    <w:rsid w:val="000B7D6B"/>
    <w:rsid w:val="000C1722"/>
    <w:rsid w:val="000C1DD4"/>
    <w:rsid w:val="000C7A69"/>
    <w:rsid w:val="000D017D"/>
    <w:rsid w:val="000D2E74"/>
    <w:rsid w:val="000D3447"/>
    <w:rsid w:val="000D6405"/>
    <w:rsid w:val="000E2F2E"/>
    <w:rsid w:val="000E44D1"/>
    <w:rsid w:val="000E586F"/>
    <w:rsid w:val="000F0D77"/>
    <w:rsid w:val="001048BF"/>
    <w:rsid w:val="00105136"/>
    <w:rsid w:val="001056CA"/>
    <w:rsid w:val="0010673D"/>
    <w:rsid w:val="00106CF5"/>
    <w:rsid w:val="00107995"/>
    <w:rsid w:val="001110EE"/>
    <w:rsid w:val="0011300B"/>
    <w:rsid w:val="00115403"/>
    <w:rsid w:val="00115AC0"/>
    <w:rsid w:val="00120FCB"/>
    <w:rsid w:val="00121629"/>
    <w:rsid w:val="001261DE"/>
    <w:rsid w:val="00131E52"/>
    <w:rsid w:val="001413B3"/>
    <w:rsid w:val="00143A76"/>
    <w:rsid w:val="00145BE3"/>
    <w:rsid w:val="00145C97"/>
    <w:rsid w:val="00146A66"/>
    <w:rsid w:val="00146BFB"/>
    <w:rsid w:val="001507C6"/>
    <w:rsid w:val="00153ACC"/>
    <w:rsid w:val="00157B31"/>
    <w:rsid w:val="00160453"/>
    <w:rsid w:val="001655B7"/>
    <w:rsid w:val="001705E9"/>
    <w:rsid w:val="001733F7"/>
    <w:rsid w:val="00174535"/>
    <w:rsid w:val="0017675C"/>
    <w:rsid w:val="00183675"/>
    <w:rsid w:val="001852DE"/>
    <w:rsid w:val="001859B5"/>
    <w:rsid w:val="001860B2"/>
    <w:rsid w:val="001918F7"/>
    <w:rsid w:val="001921ED"/>
    <w:rsid w:val="001934C8"/>
    <w:rsid w:val="00195458"/>
    <w:rsid w:val="00196AC8"/>
    <w:rsid w:val="001A0B51"/>
    <w:rsid w:val="001A11A5"/>
    <w:rsid w:val="001A1603"/>
    <w:rsid w:val="001B018F"/>
    <w:rsid w:val="001B0B49"/>
    <w:rsid w:val="001B15D1"/>
    <w:rsid w:val="001B2DED"/>
    <w:rsid w:val="001B3443"/>
    <w:rsid w:val="001B406E"/>
    <w:rsid w:val="001B67CC"/>
    <w:rsid w:val="001C0A3B"/>
    <w:rsid w:val="001C5CB2"/>
    <w:rsid w:val="001C6EAD"/>
    <w:rsid w:val="001D252B"/>
    <w:rsid w:val="001D36D0"/>
    <w:rsid w:val="001E0573"/>
    <w:rsid w:val="001E1042"/>
    <w:rsid w:val="001E3274"/>
    <w:rsid w:val="001E38B8"/>
    <w:rsid w:val="001E77C4"/>
    <w:rsid w:val="001F2926"/>
    <w:rsid w:val="001F472F"/>
    <w:rsid w:val="001F6043"/>
    <w:rsid w:val="001F6D10"/>
    <w:rsid w:val="00200B21"/>
    <w:rsid w:val="00201BB4"/>
    <w:rsid w:val="00201DCD"/>
    <w:rsid w:val="00201EE7"/>
    <w:rsid w:val="002041F2"/>
    <w:rsid w:val="002073AC"/>
    <w:rsid w:val="00214CB3"/>
    <w:rsid w:val="0021565A"/>
    <w:rsid w:val="00215756"/>
    <w:rsid w:val="00221D85"/>
    <w:rsid w:val="0023112B"/>
    <w:rsid w:val="0023231A"/>
    <w:rsid w:val="00237ADF"/>
    <w:rsid w:val="00237BEE"/>
    <w:rsid w:val="00245D81"/>
    <w:rsid w:val="0024767D"/>
    <w:rsid w:val="002503C3"/>
    <w:rsid w:val="00251167"/>
    <w:rsid w:val="002540A7"/>
    <w:rsid w:val="00255596"/>
    <w:rsid w:val="00255DCB"/>
    <w:rsid w:val="00256D49"/>
    <w:rsid w:val="00261BB7"/>
    <w:rsid w:val="00261F43"/>
    <w:rsid w:val="002625FB"/>
    <w:rsid w:val="00263A63"/>
    <w:rsid w:val="00264A5A"/>
    <w:rsid w:val="00265098"/>
    <w:rsid w:val="0026569B"/>
    <w:rsid w:val="002662B4"/>
    <w:rsid w:val="0026675D"/>
    <w:rsid w:val="00267635"/>
    <w:rsid w:val="00270D49"/>
    <w:rsid w:val="0028150E"/>
    <w:rsid w:val="00281B2B"/>
    <w:rsid w:val="00281FD4"/>
    <w:rsid w:val="0028226F"/>
    <w:rsid w:val="00291EBD"/>
    <w:rsid w:val="002A0DC2"/>
    <w:rsid w:val="002A65B6"/>
    <w:rsid w:val="002B2442"/>
    <w:rsid w:val="002B3AA6"/>
    <w:rsid w:val="002C1CA0"/>
    <w:rsid w:val="002C6AF0"/>
    <w:rsid w:val="002D0EB0"/>
    <w:rsid w:val="002D7885"/>
    <w:rsid w:val="002E195D"/>
    <w:rsid w:val="002E2DBA"/>
    <w:rsid w:val="002E3986"/>
    <w:rsid w:val="002E55A7"/>
    <w:rsid w:val="002E6A48"/>
    <w:rsid w:val="002E7082"/>
    <w:rsid w:val="002E7977"/>
    <w:rsid w:val="002F0A0A"/>
    <w:rsid w:val="002F16D0"/>
    <w:rsid w:val="002F3AE3"/>
    <w:rsid w:val="002F5710"/>
    <w:rsid w:val="002F7E6F"/>
    <w:rsid w:val="003006F6"/>
    <w:rsid w:val="0030364F"/>
    <w:rsid w:val="0030786C"/>
    <w:rsid w:val="00307C34"/>
    <w:rsid w:val="00312322"/>
    <w:rsid w:val="00312A62"/>
    <w:rsid w:val="0031548E"/>
    <w:rsid w:val="00316683"/>
    <w:rsid w:val="003201AF"/>
    <w:rsid w:val="003261A7"/>
    <w:rsid w:val="00335574"/>
    <w:rsid w:val="00340355"/>
    <w:rsid w:val="00341A91"/>
    <w:rsid w:val="00341BEE"/>
    <w:rsid w:val="00343286"/>
    <w:rsid w:val="00346422"/>
    <w:rsid w:val="0034680F"/>
    <w:rsid w:val="00350BE1"/>
    <w:rsid w:val="00350E5A"/>
    <w:rsid w:val="003521EE"/>
    <w:rsid w:val="00353578"/>
    <w:rsid w:val="003548C8"/>
    <w:rsid w:val="00361D5F"/>
    <w:rsid w:val="003657DB"/>
    <w:rsid w:val="0036588B"/>
    <w:rsid w:val="00366C41"/>
    <w:rsid w:val="003808E4"/>
    <w:rsid w:val="00386683"/>
    <w:rsid w:val="003873C6"/>
    <w:rsid w:val="00392002"/>
    <w:rsid w:val="00392A85"/>
    <w:rsid w:val="003933B3"/>
    <w:rsid w:val="00395EEB"/>
    <w:rsid w:val="00396257"/>
    <w:rsid w:val="00396AFB"/>
    <w:rsid w:val="003A1A25"/>
    <w:rsid w:val="003A2D73"/>
    <w:rsid w:val="003A70CE"/>
    <w:rsid w:val="003B4CE5"/>
    <w:rsid w:val="003C297A"/>
    <w:rsid w:val="003C540E"/>
    <w:rsid w:val="003C5F0C"/>
    <w:rsid w:val="003C6A3B"/>
    <w:rsid w:val="003C7E6E"/>
    <w:rsid w:val="003C7EE3"/>
    <w:rsid w:val="003D17F9"/>
    <w:rsid w:val="003D437B"/>
    <w:rsid w:val="003D4829"/>
    <w:rsid w:val="003E271B"/>
    <w:rsid w:val="003E6E73"/>
    <w:rsid w:val="003E76C8"/>
    <w:rsid w:val="003F3F0B"/>
    <w:rsid w:val="0040152C"/>
    <w:rsid w:val="00402CBA"/>
    <w:rsid w:val="00412E9D"/>
    <w:rsid w:val="004131B2"/>
    <w:rsid w:val="00413DFE"/>
    <w:rsid w:val="00414952"/>
    <w:rsid w:val="004250B8"/>
    <w:rsid w:val="00425504"/>
    <w:rsid w:val="0042571F"/>
    <w:rsid w:val="00426049"/>
    <w:rsid w:val="0042727E"/>
    <w:rsid w:val="004305D6"/>
    <w:rsid w:val="00440CC0"/>
    <w:rsid w:val="004437F3"/>
    <w:rsid w:val="00447D31"/>
    <w:rsid w:val="00452304"/>
    <w:rsid w:val="00455560"/>
    <w:rsid w:val="004577EE"/>
    <w:rsid w:val="00460295"/>
    <w:rsid w:val="0046088D"/>
    <w:rsid w:val="00460E9C"/>
    <w:rsid w:val="004623A8"/>
    <w:rsid w:val="00466862"/>
    <w:rsid w:val="00470A65"/>
    <w:rsid w:val="00470AB8"/>
    <w:rsid w:val="00472050"/>
    <w:rsid w:val="00477E9B"/>
    <w:rsid w:val="00482ECA"/>
    <w:rsid w:val="00485794"/>
    <w:rsid w:val="004867E2"/>
    <w:rsid w:val="00486826"/>
    <w:rsid w:val="00492879"/>
    <w:rsid w:val="004A0670"/>
    <w:rsid w:val="004A4851"/>
    <w:rsid w:val="004A5C81"/>
    <w:rsid w:val="004B18F0"/>
    <w:rsid w:val="004B2999"/>
    <w:rsid w:val="004C165C"/>
    <w:rsid w:val="004C3664"/>
    <w:rsid w:val="004C4927"/>
    <w:rsid w:val="004C575F"/>
    <w:rsid w:val="004D3096"/>
    <w:rsid w:val="004D6E1D"/>
    <w:rsid w:val="004E067A"/>
    <w:rsid w:val="004E179B"/>
    <w:rsid w:val="004E2389"/>
    <w:rsid w:val="004E40F2"/>
    <w:rsid w:val="004E50C2"/>
    <w:rsid w:val="004E58C1"/>
    <w:rsid w:val="004F3426"/>
    <w:rsid w:val="004F7BB5"/>
    <w:rsid w:val="0050453D"/>
    <w:rsid w:val="005057F4"/>
    <w:rsid w:val="0051563D"/>
    <w:rsid w:val="005179C7"/>
    <w:rsid w:val="0052107C"/>
    <w:rsid w:val="005221B7"/>
    <w:rsid w:val="005239A1"/>
    <w:rsid w:val="00530100"/>
    <w:rsid w:val="005348E3"/>
    <w:rsid w:val="00536E0C"/>
    <w:rsid w:val="005408C7"/>
    <w:rsid w:val="005419BC"/>
    <w:rsid w:val="005422E7"/>
    <w:rsid w:val="005437FD"/>
    <w:rsid w:val="00544662"/>
    <w:rsid w:val="00544A4E"/>
    <w:rsid w:val="00550018"/>
    <w:rsid w:val="00553E33"/>
    <w:rsid w:val="00560B76"/>
    <w:rsid w:val="00562F72"/>
    <w:rsid w:val="00566B97"/>
    <w:rsid w:val="0057013B"/>
    <w:rsid w:val="00570C6C"/>
    <w:rsid w:val="00571277"/>
    <w:rsid w:val="005768CA"/>
    <w:rsid w:val="005836F9"/>
    <w:rsid w:val="00583FC6"/>
    <w:rsid w:val="00584334"/>
    <w:rsid w:val="0059380A"/>
    <w:rsid w:val="00594857"/>
    <w:rsid w:val="0059724C"/>
    <w:rsid w:val="005A1AA7"/>
    <w:rsid w:val="005A38A9"/>
    <w:rsid w:val="005A4D0B"/>
    <w:rsid w:val="005A735B"/>
    <w:rsid w:val="005B04D8"/>
    <w:rsid w:val="005B6C21"/>
    <w:rsid w:val="005C1496"/>
    <w:rsid w:val="005C4077"/>
    <w:rsid w:val="005C5EF4"/>
    <w:rsid w:val="005C6951"/>
    <w:rsid w:val="005C6AAE"/>
    <w:rsid w:val="005D1073"/>
    <w:rsid w:val="005D26A7"/>
    <w:rsid w:val="005D5D06"/>
    <w:rsid w:val="005D62B5"/>
    <w:rsid w:val="005E2614"/>
    <w:rsid w:val="005F7D58"/>
    <w:rsid w:val="00607B0B"/>
    <w:rsid w:val="00614E29"/>
    <w:rsid w:val="0062216A"/>
    <w:rsid w:val="00622D0C"/>
    <w:rsid w:val="00625634"/>
    <w:rsid w:val="00630199"/>
    <w:rsid w:val="006312C9"/>
    <w:rsid w:val="006317C9"/>
    <w:rsid w:val="00632475"/>
    <w:rsid w:val="00632C35"/>
    <w:rsid w:val="00641773"/>
    <w:rsid w:val="00641CB0"/>
    <w:rsid w:val="0064239F"/>
    <w:rsid w:val="00656A90"/>
    <w:rsid w:val="00656CEC"/>
    <w:rsid w:val="00657950"/>
    <w:rsid w:val="00663C7F"/>
    <w:rsid w:val="00664F67"/>
    <w:rsid w:val="00670F54"/>
    <w:rsid w:val="006728F9"/>
    <w:rsid w:val="006767BC"/>
    <w:rsid w:val="00677093"/>
    <w:rsid w:val="006803BA"/>
    <w:rsid w:val="006864C0"/>
    <w:rsid w:val="006871C4"/>
    <w:rsid w:val="006922F5"/>
    <w:rsid w:val="0069421E"/>
    <w:rsid w:val="006947D9"/>
    <w:rsid w:val="006A16DD"/>
    <w:rsid w:val="006A2587"/>
    <w:rsid w:val="006A3EFA"/>
    <w:rsid w:val="006B3CFC"/>
    <w:rsid w:val="006B55C6"/>
    <w:rsid w:val="006B7CF3"/>
    <w:rsid w:val="006C0CD8"/>
    <w:rsid w:val="006C4A62"/>
    <w:rsid w:val="006C5AEE"/>
    <w:rsid w:val="006C679A"/>
    <w:rsid w:val="006D09FE"/>
    <w:rsid w:val="006D0C40"/>
    <w:rsid w:val="006D170F"/>
    <w:rsid w:val="006D732F"/>
    <w:rsid w:val="006D7B6D"/>
    <w:rsid w:val="006E3124"/>
    <w:rsid w:val="006E688D"/>
    <w:rsid w:val="006E71D4"/>
    <w:rsid w:val="006F1432"/>
    <w:rsid w:val="006F7964"/>
    <w:rsid w:val="007028EC"/>
    <w:rsid w:val="007035D8"/>
    <w:rsid w:val="00705697"/>
    <w:rsid w:val="0070703E"/>
    <w:rsid w:val="00711E21"/>
    <w:rsid w:val="00715168"/>
    <w:rsid w:val="0071637F"/>
    <w:rsid w:val="00722691"/>
    <w:rsid w:val="007238E8"/>
    <w:rsid w:val="007333AD"/>
    <w:rsid w:val="007336C9"/>
    <w:rsid w:val="007360BF"/>
    <w:rsid w:val="007406E6"/>
    <w:rsid w:val="0074435A"/>
    <w:rsid w:val="007449EB"/>
    <w:rsid w:val="00747CE1"/>
    <w:rsid w:val="00753936"/>
    <w:rsid w:val="007545C7"/>
    <w:rsid w:val="00756441"/>
    <w:rsid w:val="0076005C"/>
    <w:rsid w:val="0076111D"/>
    <w:rsid w:val="00761366"/>
    <w:rsid w:val="007635C1"/>
    <w:rsid w:val="00766B42"/>
    <w:rsid w:val="0076731D"/>
    <w:rsid w:val="00767650"/>
    <w:rsid w:val="0077469C"/>
    <w:rsid w:val="007754AE"/>
    <w:rsid w:val="0077562D"/>
    <w:rsid w:val="007803B9"/>
    <w:rsid w:val="0078070C"/>
    <w:rsid w:val="00784541"/>
    <w:rsid w:val="00794210"/>
    <w:rsid w:val="007968CC"/>
    <w:rsid w:val="00796FB7"/>
    <w:rsid w:val="0079708B"/>
    <w:rsid w:val="00797F72"/>
    <w:rsid w:val="007A16C5"/>
    <w:rsid w:val="007A7720"/>
    <w:rsid w:val="007B04A9"/>
    <w:rsid w:val="007B16AC"/>
    <w:rsid w:val="007B2254"/>
    <w:rsid w:val="007B4230"/>
    <w:rsid w:val="007B5D05"/>
    <w:rsid w:val="007B5D1E"/>
    <w:rsid w:val="007B7CD1"/>
    <w:rsid w:val="007C1E39"/>
    <w:rsid w:val="007C2217"/>
    <w:rsid w:val="007C471C"/>
    <w:rsid w:val="007C52D3"/>
    <w:rsid w:val="007C6AD6"/>
    <w:rsid w:val="007D01AD"/>
    <w:rsid w:val="007D4258"/>
    <w:rsid w:val="007D4BEE"/>
    <w:rsid w:val="007E000D"/>
    <w:rsid w:val="007E08A6"/>
    <w:rsid w:val="007E3285"/>
    <w:rsid w:val="007E4722"/>
    <w:rsid w:val="007E6AE4"/>
    <w:rsid w:val="007E6BE6"/>
    <w:rsid w:val="007F1919"/>
    <w:rsid w:val="007F3645"/>
    <w:rsid w:val="007F5771"/>
    <w:rsid w:val="007F58DD"/>
    <w:rsid w:val="007F6791"/>
    <w:rsid w:val="007F7053"/>
    <w:rsid w:val="007F7213"/>
    <w:rsid w:val="00805E44"/>
    <w:rsid w:val="00811C26"/>
    <w:rsid w:val="0081442E"/>
    <w:rsid w:val="00820059"/>
    <w:rsid w:val="0082043A"/>
    <w:rsid w:val="008264EB"/>
    <w:rsid w:val="00827924"/>
    <w:rsid w:val="00830756"/>
    <w:rsid w:val="00832589"/>
    <w:rsid w:val="00846215"/>
    <w:rsid w:val="00847396"/>
    <w:rsid w:val="00850A5F"/>
    <w:rsid w:val="00851BF2"/>
    <w:rsid w:val="00855843"/>
    <w:rsid w:val="00856DF5"/>
    <w:rsid w:val="00857E76"/>
    <w:rsid w:val="00857FDC"/>
    <w:rsid w:val="00865932"/>
    <w:rsid w:val="0086777B"/>
    <w:rsid w:val="00872059"/>
    <w:rsid w:val="00873673"/>
    <w:rsid w:val="008803A1"/>
    <w:rsid w:val="0088122A"/>
    <w:rsid w:val="008839CD"/>
    <w:rsid w:val="008856CD"/>
    <w:rsid w:val="008860E0"/>
    <w:rsid w:val="00892AC8"/>
    <w:rsid w:val="00895CF9"/>
    <w:rsid w:val="008971ED"/>
    <w:rsid w:val="00897DF5"/>
    <w:rsid w:val="008A07AF"/>
    <w:rsid w:val="008A4AC8"/>
    <w:rsid w:val="008A58F9"/>
    <w:rsid w:val="008A7EC0"/>
    <w:rsid w:val="008C3752"/>
    <w:rsid w:val="008C578A"/>
    <w:rsid w:val="008C777A"/>
    <w:rsid w:val="008D09DE"/>
    <w:rsid w:val="008D5F62"/>
    <w:rsid w:val="008E59EB"/>
    <w:rsid w:val="008E5D6A"/>
    <w:rsid w:val="008F4DAC"/>
    <w:rsid w:val="0091137C"/>
    <w:rsid w:val="00912624"/>
    <w:rsid w:val="0091384C"/>
    <w:rsid w:val="0092204C"/>
    <w:rsid w:val="00922DEE"/>
    <w:rsid w:val="009238AA"/>
    <w:rsid w:val="009244B8"/>
    <w:rsid w:val="00925F84"/>
    <w:rsid w:val="00933B21"/>
    <w:rsid w:val="00941048"/>
    <w:rsid w:val="009424A5"/>
    <w:rsid w:val="0094661C"/>
    <w:rsid w:val="00950089"/>
    <w:rsid w:val="0095539D"/>
    <w:rsid w:val="00957E88"/>
    <w:rsid w:val="00960BF7"/>
    <w:rsid w:val="00961B39"/>
    <w:rsid w:val="00961FBE"/>
    <w:rsid w:val="00964277"/>
    <w:rsid w:val="00965894"/>
    <w:rsid w:val="00970968"/>
    <w:rsid w:val="00973DC5"/>
    <w:rsid w:val="0097582E"/>
    <w:rsid w:val="00977D26"/>
    <w:rsid w:val="00977E26"/>
    <w:rsid w:val="00984227"/>
    <w:rsid w:val="00991AF5"/>
    <w:rsid w:val="0099343F"/>
    <w:rsid w:val="00993F07"/>
    <w:rsid w:val="00995094"/>
    <w:rsid w:val="009A007B"/>
    <w:rsid w:val="009A0425"/>
    <w:rsid w:val="009A0919"/>
    <w:rsid w:val="009A263C"/>
    <w:rsid w:val="009A4AEA"/>
    <w:rsid w:val="009B053D"/>
    <w:rsid w:val="009B0AB7"/>
    <w:rsid w:val="009B64E3"/>
    <w:rsid w:val="009B6BA9"/>
    <w:rsid w:val="009C182B"/>
    <w:rsid w:val="009C4EE9"/>
    <w:rsid w:val="009C5964"/>
    <w:rsid w:val="009D0B90"/>
    <w:rsid w:val="009D6852"/>
    <w:rsid w:val="009E0725"/>
    <w:rsid w:val="009E0D48"/>
    <w:rsid w:val="009E0FCB"/>
    <w:rsid w:val="009E1901"/>
    <w:rsid w:val="009E1F38"/>
    <w:rsid w:val="009E56B6"/>
    <w:rsid w:val="009E6B78"/>
    <w:rsid w:val="009E6D37"/>
    <w:rsid w:val="009F1EC9"/>
    <w:rsid w:val="009F4ACF"/>
    <w:rsid w:val="009F4CD3"/>
    <w:rsid w:val="009F5557"/>
    <w:rsid w:val="00A02BFF"/>
    <w:rsid w:val="00A0554C"/>
    <w:rsid w:val="00A1015B"/>
    <w:rsid w:val="00A15082"/>
    <w:rsid w:val="00A16AEE"/>
    <w:rsid w:val="00A30D7B"/>
    <w:rsid w:val="00A369E8"/>
    <w:rsid w:val="00A4199A"/>
    <w:rsid w:val="00A42A54"/>
    <w:rsid w:val="00A448D2"/>
    <w:rsid w:val="00A4512D"/>
    <w:rsid w:val="00A506DA"/>
    <w:rsid w:val="00A520E5"/>
    <w:rsid w:val="00A541E1"/>
    <w:rsid w:val="00A54775"/>
    <w:rsid w:val="00A5502C"/>
    <w:rsid w:val="00A5694A"/>
    <w:rsid w:val="00A609CA"/>
    <w:rsid w:val="00A63D0E"/>
    <w:rsid w:val="00A6672E"/>
    <w:rsid w:val="00A705AF"/>
    <w:rsid w:val="00A73C2F"/>
    <w:rsid w:val="00A75B58"/>
    <w:rsid w:val="00A76CBF"/>
    <w:rsid w:val="00A77349"/>
    <w:rsid w:val="00A77435"/>
    <w:rsid w:val="00A931E2"/>
    <w:rsid w:val="00A93A18"/>
    <w:rsid w:val="00A964DB"/>
    <w:rsid w:val="00A96DED"/>
    <w:rsid w:val="00AA0A90"/>
    <w:rsid w:val="00AA3A3E"/>
    <w:rsid w:val="00AA6DC2"/>
    <w:rsid w:val="00AA7B58"/>
    <w:rsid w:val="00AB023E"/>
    <w:rsid w:val="00AB0A6E"/>
    <w:rsid w:val="00AB40AB"/>
    <w:rsid w:val="00AB64E5"/>
    <w:rsid w:val="00AB6E76"/>
    <w:rsid w:val="00AB6ED9"/>
    <w:rsid w:val="00AB7FBB"/>
    <w:rsid w:val="00AC0AB5"/>
    <w:rsid w:val="00AC21F6"/>
    <w:rsid w:val="00AC637F"/>
    <w:rsid w:val="00AC73A3"/>
    <w:rsid w:val="00AC794D"/>
    <w:rsid w:val="00AD01B4"/>
    <w:rsid w:val="00AD055C"/>
    <w:rsid w:val="00AD30FC"/>
    <w:rsid w:val="00AD4C04"/>
    <w:rsid w:val="00AD52A0"/>
    <w:rsid w:val="00AD5717"/>
    <w:rsid w:val="00AE20AF"/>
    <w:rsid w:val="00AE64A7"/>
    <w:rsid w:val="00AF6154"/>
    <w:rsid w:val="00AF6984"/>
    <w:rsid w:val="00B003C0"/>
    <w:rsid w:val="00B052C2"/>
    <w:rsid w:val="00B07615"/>
    <w:rsid w:val="00B163F6"/>
    <w:rsid w:val="00B213FD"/>
    <w:rsid w:val="00B24DF4"/>
    <w:rsid w:val="00B2665E"/>
    <w:rsid w:val="00B26FC0"/>
    <w:rsid w:val="00B30753"/>
    <w:rsid w:val="00B328AF"/>
    <w:rsid w:val="00B32DD1"/>
    <w:rsid w:val="00B3720C"/>
    <w:rsid w:val="00B37974"/>
    <w:rsid w:val="00B41409"/>
    <w:rsid w:val="00B42851"/>
    <w:rsid w:val="00B44043"/>
    <w:rsid w:val="00B456E0"/>
    <w:rsid w:val="00B459E9"/>
    <w:rsid w:val="00B47076"/>
    <w:rsid w:val="00B53823"/>
    <w:rsid w:val="00B56B37"/>
    <w:rsid w:val="00B56F05"/>
    <w:rsid w:val="00B57759"/>
    <w:rsid w:val="00B60117"/>
    <w:rsid w:val="00B60D44"/>
    <w:rsid w:val="00B60D86"/>
    <w:rsid w:val="00B704C3"/>
    <w:rsid w:val="00B733FB"/>
    <w:rsid w:val="00B73AFE"/>
    <w:rsid w:val="00B8108C"/>
    <w:rsid w:val="00B811ED"/>
    <w:rsid w:val="00B904EC"/>
    <w:rsid w:val="00B91269"/>
    <w:rsid w:val="00B91454"/>
    <w:rsid w:val="00B93CD5"/>
    <w:rsid w:val="00B9432A"/>
    <w:rsid w:val="00B95A67"/>
    <w:rsid w:val="00B97863"/>
    <w:rsid w:val="00BA0015"/>
    <w:rsid w:val="00BA1973"/>
    <w:rsid w:val="00BA2A5D"/>
    <w:rsid w:val="00BA2DE8"/>
    <w:rsid w:val="00BA4AEE"/>
    <w:rsid w:val="00BA7F06"/>
    <w:rsid w:val="00BB2768"/>
    <w:rsid w:val="00BB3DD5"/>
    <w:rsid w:val="00BC07E4"/>
    <w:rsid w:val="00BC4293"/>
    <w:rsid w:val="00BC4D09"/>
    <w:rsid w:val="00BD0B57"/>
    <w:rsid w:val="00BD5174"/>
    <w:rsid w:val="00BD649D"/>
    <w:rsid w:val="00BD7A03"/>
    <w:rsid w:val="00BE0DE7"/>
    <w:rsid w:val="00BE6832"/>
    <w:rsid w:val="00BF2561"/>
    <w:rsid w:val="00BF5905"/>
    <w:rsid w:val="00BF6152"/>
    <w:rsid w:val="00C005A1"/>
    <w:rsid w:val="00C006FD"/>
    <w:rsid w:val="00C06314"/>
    <w:rsid w:val="00C11C9D"/>
    <w:rsid w:val="00C15695"/>
    <w:rsid w:val="00C20E99"/>
    <w:rsid w:val="00C2154C"/>
    <w:rsid w:val="00C23604"/>
    <w:rsid w:val="00C24BC6"/>
    <w:rsid w:val="00C254BD"/>
    <w:rsid w:val="00C308FA"/>
    <w:rsid w:val="00C31839"/>
    <w:rsid w:val="00C31A7F"/>
    <w:rsid w:val="00C32280"/>
    <w:rsid w:val="00C35221"/>
    <w:rsid w:val="00C35287"/>
    <w:rsid w:val="00C35DEC"/>
    <w:rsid w:val="00C35F32"/>
    <w:rsid w:val="00C436EE"/>
    <w:rsid w:val="00C477AC"/>
    <w:rsid w:val="00C5132B"/>
    <w:rsid w:val="00C51BE7"/>
    <w:rsid w:val="00C53BA0"/>
    <w:rsid w:val="00C55363"/>
    <w:rsid w:val="00C565EF"/>
    <w:rsid w:val="00C601A0"/>
    <w:rsid w:val="00C63431"/>
    <w:rsid w:val="00C64BBB"/>
    <w:rsid w:val="00C73960"/>
    <w:rsid w:val="00C74935"/>
    <w:rsid w:val="00C7543A"/>
    <w:rsid w:val="00C911AD"/>
    <w:rsid w:val="00C94554"/>
    <w:rsid w:val="00CA04C6"/>
    <w:rsid w:val="00CA30E3"/>
    <w:rsid w:val="00CA356A"/>
    <w:rsid w:val="00CA3CFC"/>
    <w:rsid w:val="00CB0684"/>
    <w:rsid w:val="00CB1F98"/>
    <w:rsid w:val="00CB2190"/>
    <w:rsid w:val="00CB46C6"/>
    <w:rsid w:val="00CB5999"/>
    <w:rsid w:val="00CB5B1A"/>
    <w:rsid w:val="00CB733F"/>
    <w:rsid w:val="00CB785E"/>
    <w:rsid w:val="00CC36EF"/>
    <w:rsid w:val="00CC3D1A"/>
    <w:rsid w:val="00CC4B8E"/>
    <w:rsid w:val="00CC64AB"/>
    <w:rsid w:val="00CC696B"/>
    <w:rsid w:val="00CC697B"/>
    <w:rsid w:val="00CC7EF8"/>
    <w:rsid w:val="00CE1712"/>
    <w:rsid w:val="00CE3387"/>
    <w:rsid w:val="00CE3A39"/>
    <w:rsid w:val="00CE5A32"/>
    <w:rsid w:val="00CE7355"/>
    <w:rsid w:val="00CF4118"/>
    <w:rsid w:val="00D0160A"/>
    <w:rsid w:val="00D0359D"/>
    <w:rsid w:val="00D07C0D"/>
    <w:rsid w:val="00D10D90"/>
    <w:rsid w:val="00D116AD"/>
    <w:rsid w:val="00D13C42"/>
    <w:rsid w:val="00D16B25"/>
    <w:rsid w:val="00D2197F"/>
    <w:rsid w:val="00D234B5"/>
    <w:rsid w:val="00D24922"/>
    <w:rsid w:val="00D301EA"/>
    <w:rsid w:val="00D30893"/>
    <w:rsid w:val="00D3113D"/>
    <w:rsid w:val="00D31DC2"/>
    <w:rsid w:val="00D40DEC"/>
    <w:rsid w:val="00D41AE5"/>
    <w:rsid w:val="00D42B9A"/>
    <w:rsid w:val="00D46813"/>
    <w:rsid w:val="00D4697D"/>
    <w:rsid w:val="00D469E4"/>
    <w:rsid w:val="00D4728F"/>
    <w:rsid w:val="00D474DD"/>
    <w:rsid w:val="00D5354B"/>
    <w:rsid w:val="00D563D0"/>
    <w:rsid w:val="00D56635"/>
    <w:rsid w:val="00D713D2"/>
    <w:rsid w:val="00D738DB"/>
    <w:rsid w:val="00D73FE2"/>
    <w:rsid w:val="00D7465B"/>
    <w:rsid w:val="00D75F17"/>
    <w:rsid w:val="00D81026"/>
    <w:rsid w:val="00D812BD"/>
    <w:rsid w:val="00D92F97"/>
    <w:rsid w:val="00D96327"/>
    <w:rsid w:val="00D967B9"/>
    <w:rsid w:val="00DB07A4"/>
    <w:rsid w:val="00DB3F1D"/>
    <w:rsid w:val="00DB5454"/>
    <w:rsid w:val="00DB5911"/>
    <w:rsid w:val="00DB7006"/>
    <w:rsid w:val="00DC0477"/>
    <w:rsid w:val="00DC0D24"/>
    <w:rsid w:val="00DD047B"/>
    <w:rsid w:val="00DD2495"/>
    <w:rsid w:val="00DD32A5"/>
    <w:rsid w:val="00DD4825"/>
    <w:rsid w:val="00DD5D99"/>
    <w:rsid w:val="00DE2D59"/>
    <w:rsid w:val="00DE502E"/>
    <w:rsid w:val="00DE5670"/>
    <w:rsid w:val="00DE75D8"/>
    <w:rsid w:val="00DF515C"/>
    <w:rsid w:val="00DF5E58"/>
    <w:rsid w:val="00E00FAC"/>
    <w:rsid w:val="00E015E6"/>
    <w:rsid w:val="00E13C5C"/>
    <w:rsid w:val="00E1401B"/>
    <w:rsid w:val="00E166AD"/>
    <w:rsid w:val="00E209BF"/>
    <w:rsid w:val="00E236C6"/>
    <w:rsid w:val="00E34F33"/>
    <w:rsid w:val="00E35270"/>
    <w:rsid w:val="00E37629"/>
    <w:rsid w:val="00E40F95"/>
    <w:rsid w:val="00E41CF8"/>
    <w:rsid w:val="00E41D0B"/>
    <w:rsid w:val="00E41FA4"/>
    <w:rsid w:val="00E4269D"/>
    <w:rsid w:val="00E4312B"/>
    <w:rsid w:val="00E46320"/>
    <w:rsid w:val="00E520C2"/>
    <w:rsid w:val="00E552B5"/>
    <w:rsid w:val="00E57576"/>
    <w:rsid w:val="00E604B3"/>
    <w:rsid w:val="00E60650"/>
    <w:rsid w:val="00E60EE1"/>
    <w:rsid w:val="00E708F6"/>
    <w:rsid w:val="00E716B4"/>
    <w:rsid w:val="00E74082"/>
    <w:rsid w:val="00E7609B"/>
    <w:rsid w:val="00E86B67"/>
    <w:rsid w:val="00E87F7C"/>
    <w:rsid w:val="00E91088"/>
    <w:rsid w:val="00E91147"/>
    <w:rsid w:val="00E9300B"/>
    <w:rsid w:val="00E9314D"/>
    <w:rsid w:val="00EA33D5"/>
    <w:rsid w:val="00EA3A19"/>
    <w:rsid w:val="00EA5E02"/>
    <w:rsid w:val="00EA5FD0"/>
    <w:rsid w:val="00EA63B1"/>
    <w:rsid w:val="00EB0020"/>
    <w:rsid w:val="00EB25C7"/>
    <w:rsid w:val="00EB2DB4"/>
    <w:rsid w:val="00EB651F"/>
    <w:rsid w:val="00EB7BD3"/>
    <w:rsid w:val="00EC7D3F"/>
    <w:rsid w:val="00ED0DD3"/>
    <w:rsid w:val="00ED0E17"/>
    <w:rsid w:val="00ED648B"/>
    <w:rsid w:val="00ED743C"/>
    <w:rsid w:val="00EE16DD"/>
    <w:rsid w:val="00EE2603"/>
    <w:rsid w:val="00EE31B0"/>
    <w:rsid w:val="00EE356F"/>
    <w:rsid w:val="00EE397E"/>
    <w:rsid w:val="00EE65B1"/>
    <w:rsid w:val="00EE6E53"/>
    <w:rsid w:val="00EF1C55"/>
    <w:rsid w:val="00EF1C95"/>
    <w:rsid w:val="00EF2774"/>
    <w:rsid w:val="00EF4059"/>
    <w:rsid w:val="00EF5586"/>
    <w:rsid w:val="00F033AA"/>
    <w:rsid w:val="00F078B7"/>
    <w:rsid w:val="00F07D0D"/>
    <w:rsid w:val="00F1278D"/>
    <w:rsid w:val="00F14BFD"/>
    <w:rsid w:val="00F15B3C"/>
    <w:rsid w:val="00F17566"/>
    <w:rsid w:val="00F233BD"/>
    <w:rsid w:val="00F238F2"/>
    <w:rsid w:val="00F25435"/>
    <w:rsid w:val="00F25ED3"/>
    <w:rsid w:val="00F26E8B"/>
    <w:rsid w:val="00F3328A"/>
    <w:rsid w:val="00F332B3"/>
    <w:rsid w:val="00F34D63"/>
    <w:rsid w:val="00F37A27"/>
    <w:rsid w:val="00F41C35"/>
    <w:rsid w:val="00F42305"/>
    <w:rsid w:val="00F4438C"/>
    <w:rsid w:val="00F46ED7"/>
    <w:rsid w:val="00F545F0"/>
    <w:rsid w:val="00F549D7"/>
    <w:rsid w:val="00F556DB"/>
    <w:rsid w:val="00F560D5"/>
    <w:rsid w:val="00F601C3"/>
    <w:rsid w:val="00F6047C"/>
    <w:rsid w:val="00F65AD9"/>
    <w:rsid w:val="00F66A0E"/>
    <w:rsid w:val="00F73D95"/>
    <w:rsid w:val="00F74EFB"/>
    <w:rsid w:val="00F77044"/>
    <w:rsid w:val="00F8015E"/>
    <w:rsid w:val="00F82A14"/>
    <w:rsid w:val="00F83598"/>
    <w:rsid w:val="00F85302"/>
    <w:rsid w:val="00F85766"/>
    <w:rsid w:val="00F91CCA"/>
    <w:rsid w:val="00F931D3"/>
    <w:rsid w:val="00F95769"/>
    <w:rsid w:val="00F9713C"/>
    <w:rsid w:val="00FA0CAC"/>
    <w:rsid w:val="00FA10CD"/>
    <w:rsid w:val="00FA289A"/>
    <w:rsid w:val="00FB375B"/>
    <w:rsid w:val="00FB628E"/>
    <w:rsid w:val="00FB6425"/>
    <w:rsid w:val="00FC7F5D"/>
    <w:rsid w:val="00FD1D84"/>
    <w:rsid w:val="00FD20C5"/>
    <w:rsid w:val="00FD3BA8"/>
    <w:rsid w:val="00FD50A4"/>
    <w:rsid w:val="00FE45A4"/>
    <w:rsid w:val="00FE58D5"/>
    <w:rsid w:val="00FE5CA3"/>
    <w:rsid w:val="00FF08C3"/>
    <w:rsid w:val="00FF1027"/>
    <w:rsid w:val="00FF4DF2"/>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00FAC"/>
    <w:pPr>
      <w:keepLines/>
      <w:spacing w:before="120" w:after="120"/>
    </w:pPr>
  </w:style>
  <w:style w:type="paragraph" w:styleId="Heading1">
    <w:name w:val="heading 1"/>
    <w:basedOn w:val="Normal"/>
    <w:next w:val="Normal"/>
    <w:qFormat/>
    <w:rsid w:val="00FF4DF2"/>
    <w:pPr>
      <w:keepNext/>
      <w:spacing w:before="0" w:after="360"/>
      <w:outlineLvl w:val="0"/>
    </w:pPr>
    <w:rPr>
      <w:rFonts w:cs="Arial"/>
      <w:b/>
      <w:bCs/>
      <w:color w:val="125370" w:themeColor="accent3"/>
      <w:kern w:val="28"/>
      <w:sz w:val="40"/>
      <w:szCs w:val="32"/>
    </w:rPr>
  </w:style>
  <w:style w:type="paragraph" w:styleId="Heading2">
    <w:name w:val="heading 2"/>
    <w:basedOn w:val="Heading1"/>
    <w:next w:val="Normal"/>
    <w:qFormat/>
    <w:rsid w:val="00ED743C"/>
    <w:pPr>
      <w:spacing w:before="360" w:after="240"/>
      <w:outlineLvl w:val="1"/>
    </w:pPr>
    <w:rPr>
      <w:iCs/>
      <w:kern w:val="0"/>
      <w:sz w:val="36"/>
      <w:szCs w:val="28"/>
    </w:rPr>
  </w:style>
  <w:style w:type="paragraph" w:styleId="Heading3">
    <w:name w:val="heading 3"/>
    <w:basedOn w:val="Heading2"/>
    <w:next w:val="Normal"/>
    <w:qFormat/>
    <w:rsid w:val="00BD7A03"/>
    <w:pPr>
      <w:spacing w:before="300" w:after="180"/>
      <w:outlineLvl w:val="2"/>
    </w:pPr>
    <w:rPr>
      <w:sz w:val="26"/>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261BB7"/>
    <w:rPr>
      <w:rFonts w:asciiTheme="minorHAnsi" w:hAnsiTheme="minorHAnsi"/>
      <w:b/>
      <w:bCs/>
    </w:rPr>
  </w:style>
  <w:style w:type="paragraph" w:styleId="Subtitle">
    <w:name w:val="Subtitle"/>
    <w:basedOn w:val="Normal"/>
    <w:next w:val="Normal"/>
    <w:link w:val="SubtitleChar"/>
    <w:uiPriority w:val="98"/>
    <w:locked/>
    <w:rsid w:val="000322F3"/>
    <w:pPr>
      <w:numPr>
        <w:ilvl w:val="1"/>
      </w:numPr>
      <w:spacing w:before="600"/>
      <w:ind w:right="397"/>
    </w:pPr>
    <w:rPr>
      <w:rFonts w:eastAsiaTheme="majorEastAsia" w:cs="Times New Roman (Headings CS)"/>
      <w:b/>
      <w:bCs/>
      <w:iCs/>
      <w:color w:val="1178A2" w:themeColor="accent1"/>
      <w:sz w:val="36"/>
      <w:lang w:val="en-GB"/>
    </w:rPr>
  </w:style>
  <w:style w:type="character" w:customStyle="1" w:styleId="SubtitleChar">
    <w:name w:val="Subtitle Char"/>
    <w:basedOn w:val="DefaultParagraphFont"/>
    <w:link w:val="Subtitle"/>
    <w:uiPriority w:val="98"/>
    <w:rsid w:val="000322F3"/>
    <w:rPr>
      <w:rFonts w:eastAsiaTheme="majorEastAsia" w:cs="Times New Roman (Headings CS)"/>
      <w:b/>
      <w:bCs/>
      <w:iCs/>
      <w:color w:val="1178A2" w:themeColor="accent1"/>
      <w:sz w:val="36"/>
      <w:lang w:val="en-GB"/>
    </w:rPr>
  </w:style>
  <w:style w:type="paragraph" w:styleId="Title">
    <w:name w:val="Title"/>
    <w:basedOn w:val="Normal"/>
    <w:next w:val="Normal"/>
    <w:link w:val="TitleChar"/>
    <w:uiPriority w:val="99"/>
    <w:qFormat/>
    <w:rsid w:val="00ED743C"/>
    <w:pPr>
      <w:spacing w:after="720"/>
      <w:contextualSpacing/>
    </w:pPr>
    <w:rPr>
      <w:rFonts w:eastAsiaTheme="majorEastAsia" w:cs="Times New Roman (Headings CS)"/>
      <w:b/>
      <w:bCs/>
      <w:color w:val="125370" w:themeColor="accent3"/>
      <w:spacing w:val="-10"/>
      <w:kern w:val="28"/>
      <w:sz w:val="60"/>
      <w:szCs w:val="56"/>
      <w:lang w:val="en-GB"/>
    </w:rPr>
  </w:style>
  <w:style w:type="character" w:customStyle="1" w:styleId="TitleChar">
    <w:name w:val="Title Char"/>
    <w:basedOn w:val="DefaultParagraphFont"/>
    <w:link w:val="Title"/>
    <w:uiPriority w:val="99"/>
    <w:rsid w:val="00ED743C"/>
    <w:rPr>
      <w:rFonts w:eastAsiaTheme="majorEastAsia" w:cs="Times New Roman (Headings CS)"/>
      <w:b/>
      <w:bCs/>
      <w:color w:val="125370" w:themeColor="accent3"/>
      <w:spacing w:val="-10"/>
      <w:kern w:val="28"/>
      <w:sz w:val="60"/>
      <w:szCs w:val="56"/>
      <w:lang w:val="en-GB"/>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after="240"/>
      <w:contextualSpacing w:val="0"/>
    </w:pPr>
    <w:rPr>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0B7D6B"/>
    <w:pPr>
      <w:keepNext/>
      <w:spacing w:before="360"/>
      <w:contextualSpacing/>
    </w:pPr>
    <w:rPr>
      <w:b/>
    </w:rPr>
  </w:style>
  <w:style w:type="paragraph" w:styleId="FootnoteText">
    <w:name w:val="footnote text"/>
    <w:basedOn w:val="Normal"/>
    <w:link w:val="FootnoteTextChar"/>
    <w:rsid w:val="000A008C"/>
    <w:pPr>
      <w:spacing w:after="0"/>
      <w:ind w:left="284" w:hanging="284"/>
    </w:pPr>
    <w:rPr>
      <w:sz w:val="20"/>
      <w:szCs w:val="20"/>
    </w:rPr>
  </w:style>
  <w:style w:type="character" w:customStyle="1" w:styleId="FootnoteTextChar">
    <w:name w:val="Footnote Text Char"/>
    <w:basedOn w:val="DefaultParagraphFont"/>
    <w:link w:val="FootnoteText"/>
    <w:rsid w:val="000A008C"/>
    <w:rPr>
      <w:sz w:val="20"/>
      <w:szCs w:val="20"/>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ED743C"/>
    <w:pPr>
      <w:spacing w:after="0"/>
    </w:pPr>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3" w:type="dxa"/>
        <w:right w:w="113" w:type="dxa"/>
      </w:tblCellMar>
    </w:tblPr>
    <w:trPr>
      <w:cantSplit/>
    </w:trPr>
    <w:tblStylePr w:type="firstRow">
      <w:pPr>
        <w:wordWrap/>
        <w:jc w:val="left"/>
        <w:outlineLvl w:val="9"/>
      </w:pPr>
      <w:rPr>
        <w:rFonts w:asciiTheme="minorHAnsi" w:hAnsiTheme="minorHAnsi"/>
        <w:b/>
        <w:color w:val="FFFFFF" w:themeColor="background1"/>
        <w:sz w:val="22"/>
      </w:rPr>
      <w:tblPr/>
      <w:trPr>
        <w:tblHeader/>
      </w:trPr>
      <w:tcPr>
        <w:shd w:val="clear" w:color="auto" w:fill="1178A2" w:themeFill="accent1"/>
      </w:tcPr>
    </w:tblStylePr>
    <w:tblStylePr w:type="firstCol">
      <w:rPr>
        <w:b/>
      </w:r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F85302"/>
    <w:rPr>
      <w:color w:val="1178A2" w:themeColor="text2"/>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Mixed-case">
    <w:name w:val="Mixed-case"/>
    <w:basedOn w:val="TableNormal"/>
    <w:uiPriority w:val="99"/>
    <w:rsid w:val="00ED743C"/>
    <w:pPr>
      <w:spacing w:after="0"/>
    </w:pPr>
    <w:rPr>
      <w:szCs w:val="20"/>
    </w:rPr>
    <w:tblPr>
      <w:tblStyleRowBandSize w:val="1"/>
      <w:tblBorders>
        <w:top w:val="single" w:sz="4" w:space="0" w:color="00A9DD" w:themeColor="accent2"/>
        <w:left w:val="single" w:sz="4" w:space="0" w:color="00A9DD" w:themeColor="accent2"/>
        <w:bottom w:val="single" w:sz="4" w:space="0" w:color="00A9DD" w:themeColor="accent2"/>
        <w:right w:val="single" w:sz="4" w:space="0" w:color="00A9DD" w:themeColor="accent2"/>
        <w:insideH w:val="single" w:sz="4" w:space="0" w:color="00A9DD" w:themeColor="accent2"/>
        <w:insideV w:val="single" w:sz="4" w:space="0" w:color="00A9DD" w:themeColor="accent2"/>
      </w:tblBorders>
    </w:tblPr>
    <w:trPr>
      <w:cantSplit/>
    </w:trPr>
    <w:tcPr>
      <w:shd w:val="clear" w:color="auto" w:fill="auto"/>
    </w:tcPr>
    <w:tblStylePr w:type="firstRow">
      <w:rPr>
        <w:rFonts w:asciiTheme="minorHAnsi" w:hAnsiTheme="minorHAnsi"/>
        <w:b/>
        <w:color w:val="FFFFFF"/>
        <w:sz w:val="22"/>
      </w:rPr>
      <w:tblPr/>
      <w:trPr>
        <w:tblHeader/>
      </w:trPr>
      <w:tcPr>
        <w:shd w:val="clear" w:color="auto" w:fill="125370" w:themeFill="accent3"/>
      </w:tcPr>
    </w:tblStylePr>
    <w:tblStylePr w:type="firstCol">
      <w:rPr>
        <w:b/>
        <w:color w:val="auto"/>
      </w:rPr>
    </w:tblStylePr>
    <w:tblStylePr w:type="band2Horz">
      <w:tblPr/>
      <w:tcPr>
        <w:shd w:val="clear" w:color="auto" w:fill="F2F9FD"/>
      </w:tcPr>
    </w:tblStylePr>
  </w:style>
  <w:style w:type="paragraph" w:customStyle="1" w:styleId="FigureName">
    <w:name w:val="FigureName"/>
    <w:basedOn w:val="Normal"/>
    <w:next w:val="Normal"/>
    <w:rsid w:val="0003162D"/>
    <w:pPr>
      <w:keepNext/>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QuotedText">
    <w:name w:val="Quoted Text"/>
    <w:basedOn w:val="BoxText"/>
    <w:rsid w:val="00A76CBF"/>
    <w:pPr>
      <w:pBdr>
        <w:top w:val="single" w:sz="24" w:space="12" w:color="BDE3F4" w:themeColor="accent3" w:themeTint="33"/>
        <w:left w:val="single" w:sz="24" w:space="12" w:color="BDE3F4" w:themeColor="accent3" w:themeTint="33"/>
        <w:bottom w:val="single" w:sz="24" w:space="12" w:color="BDE3F4" w:themeColor="accent3" w:themeTint="33"/>
        <w:right w:val="single" w:sz="24" w:space="12" w:color="BDE3F4" w:themeColor="accent3" w:themeTint="33"/>
      </w:pBdr>
      <w:tabs>
        <w:tab w:val="left" w:pos="357"/>
      </w:tabs>
      <w:spacing w:before="240"/>
      <w:ind w:left="1701" w:right="1701"/>
      <w:jc w:val="center"/>
    </w:pPr>
    <w:rPr>
      <w:b/>
    </w:rPr>
  </w:style>
  <w:style w:type="character" w:styleId="CommentReference">
    <w:name w:val="annotation reference"/>
    <w:basedOn w:val="DefaultParagraphFont"/>
    <w:uiPriority w:val="99"/>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basedOn w:val="Normal"/>
    <w:link w:val="ListParagraphChar"/>
    <w:uiPriority w:val="99"/>
    <w:qFormat/>
    <w:locked/>
    <w:rsid w:val="00E9300B"/>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basedOn w:val="DefaultParagraphFont"/>
    <w:link w:val="ListParagraph"/>
    <w:uiPriority w:val="99"/>
    <w:rsid w:val="00E9300B"/>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Snapshot">
    <w:name w:val="Snapshot"/>
    <w:basedOn w:val="TableNormal"/>
    <w:next w:val="TableGrid"/>
    <w:rsid w:val="00850A5F"/>
    <w:pPr>
      <w:spacing w:after="0"/>
      <w:jc w:val="center"/>
    </w:pPr>
    <w:rPr>
      <w:szCs w:val="20"/>
    </w:rPr>
    <w:tblPr>
      <w:tblBorders>
        <w:insideV w:val="thickThinSmallGap" w:sz="24" w:space="0" w:color="FFFFFF" w:themeColor="background1"/>
      </w:tblBorders>
      <w:tblCellMar>
        <w:top w:w="85" w:type="dxa"/>
        <w:left w:w="284" w:type="dxa"/>
        <w:bottom w:w="85" w:type="dxa"/>
        <w:right w:w="284" w:type="dxa"/>
      </w:tblCellMar>
    </w:tblPr>
    <w:trPr>
      <w:cantSplit/>
    </w:trPr>
    <w:tcPr>
      <w:shd w:val="clear" w:color="auto" w:fill="DFF0FA"/>
    </w:tcPr>
    <w:tblStylePr w:type="firstRow">
      <w:pPr>
        <w:jc w:val="left"/>
      </w:pPr>
      <w:rPr>
        <w:rFonts w:asciiTheme="minorHAnsi" w:hAnsiTheme="minorHAnsi"/>
        <w:b/>
        <w:color w:val="FFFFFF" w:themeColor="background1"/>
        <w:sz w:val="24"/>
      </w:rPr>
      <w:tblPr/>
      <w:trPr>
        <w:cantSplit w:val="0"/>
        <w:tblHeader/>
      </w:trPr>
      <w:tcPr>
        <w:tcBorders>
          <w:top w:val="nil"/>
          <w:left w:val="nil"/>
          <w:bottom w:val="nil"/>
          <w:right w:val="nil"/>
        </w:tcBorders>
        <w:shd w:val="clear" w:color="auto" w:fill="125370" w:themeFill="accent3"/>
      </w:tcPr>
    </w:tblStyle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FigureTitle">
    <w:name w:val="Table/Figure Title"/>
    <w:basedOn w:val="FigureTitle"/>
    <w:uiPriority w:val="99"/>
    <w:qFormat/>
    <w:rsid w:val="00F6047C"/>
    <w:pPr>
      <w:spacing w:after="240"/>
    </w:p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NumberListLastBulletandNumberlists">
    <w:name w:val="NumberListLast (Bullet and Number lists)"/>
    <w:basedOn w:val="Normal"/>
    <w:uiPriority w:val="99"/>
    <w:rsid w:val="00D812BD"/>
    <w:pPr>
      <w:widowControl w:val="0"/>
      <w:autoSpaceDE w:val="0"/>
      <w:autoSpaceDN w:val="0"/>
      <w:adjustRightInd w:val="0"/>
      <w:spacing w:after="170" w:line="288" w:lineRule="auto"/>
      <w:ind w:left="720"/>
      <w:textAlignment w:val="center"/>
    </w:pPr>
    <w:rPr>
      <w:rFonts w:ascii="ArialMT" w:hAnsi="ArialMT" w:cs="ArialMT"/>
      <w:color w:val="000000"/>
      <w:lang w:val="en-US" w:eastAsia="en-US"/>
    </w:rPr>
  </w:style>
  <w:style w:type="paragraph" w:customStyle="1" w:styleId="LetteredList">
    <w:name w:val="Lettered List"/>
    <w:basedOn w:val="ListParagraph"/>
    <w:qFormat/>
    <w:rsid w:val="00DF5E58"/>
    <w:pPr>
      <w:numPr>
        <w:numId w:val="9"/>
      </w:numPr>
      <w:ind w:right="567"/>
    </w:pPr>
    <w:rPr>
      <w:b/>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
    <w:name w:val="Website"/>
    <w:basedOn w:val="Normal"/>
    <w:uiPriority w:val="99"/>
    <w:rsid w:val="00EA3A19"/>
    <w:pPr>
      <w:widowControl w:val="0"/>
      <w:suppressAutoHyphens/>
      <w:autoSpaceDE w:val="0"/>
      <w:autoSpaceDN w:val="0"/>
      <w:adjustRightInd w:val="0"/>
      <w:spacing w:before="480" w:after="60"/>
      <w:textAlignment w:val="center"/>
    </w:pPr>
    <w:rPr>
      <w:rFonts w:cs="ProximaNova-Bold"/>
      <w:b/>
      <w:bCs/>
      <w:color w:val="1178A2" w:themeColor="text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widowControl w:val="0"/>
      <w:autoSpaceDE w:val="0"/>
      <w:autoSpaceDN w:val="0"/>
      <w:adjustRightInd w:val="0"/>
      <w:spacing w:after="142" w:line="288" w:lineRule="auto"/>
      <w:textAlignment w:val="center"/>
    </w:pPr>
    <w:rPr>
      <w:rFonts w:ascii="ArialMT" w:hAnsi="ArialMT" w:cs="ArialMT"/>
      <w:color w:val="000000"/>
      <w:lang w:val="en-US" w:eastAsia="en-US"/>
    </w:rPr>
  </w:style>
  <w:style w:type="paragraph" w:customStyle="1" w:styleId="NormalBeforeBulletBodystyles">
    <w:name w:val="NormalBeforeBullet (Body styles)"/>
    <w:basedOn w:val="Normal"/>
    <w:next w:val="Normal"/>
    <w:uiPriority w:val="99"/>
    <w:rsid w:val="0036588B"/>
    <w:pPr>
      <w:keepNext/>
      <w:widowControl w:val="0"/>
      <w:suppressAutoHyphens/>
      <w:autoSpaceDE w:val="0"/>
      <w:autoSpaceDN w:val="0"/>
      <w:adjustRightInd w:val="0"/>
      <w:spacing w:after="57" w:line="288" w:lineRule="auto"/>
      <w:textAlignment w:val="center"/>
    </w:pPr>
    <w:rPr>
      <w:rFonts w:ascii="ArialMT" w:hAnsi="ArialMT" w:cs="ArialMT"/>
      <w:color w:val="000000"/>
      <w:sz w:val="18"/>
      <w:szCs w:val="18"/>
      <w:lang w:val="en-US" w:eastAsia="en-US"/>
    </w:rPr>
  </w:style>
  <w:style w:type="paragraph" w:customStyle="1" w:styleId="Heading3andFigsHeadings">
    <w:name w:val="Heading 3 (and Figs) (Headings)"/>
    <w:basedOn w:val="Normal"/>
    <w:uiPriority w:val="99"/>
    <w:rsid w:val="00820059"/>
    <w:pPr>
      <w:widowControl w:val="0"/>
      <w:suppressAutoHyphens/>
      <w:autoSpaceDE w:val="0"/>
      <w:autoSpaceDN w:val="0"/>
      <w:adjustRightInd w:val="0"/>
      <w:spacing w:before="140" w:after="80" w:line="288" w:lineRule="auto"/>
      <w:textAlignment w:val="center"/>
    </w:pPr>
    <w:rPr>
      <w:rFonts w:ascii="ProximaNova-Bold" w:hAnsi="ProximaNova-Bold" w:cs="ProximaNova-Bold"/>
      <w:b/>
      <w:bCs/>
      <w:color w:val="000000"/>
      <w:sz w:val="24"/>
      <w:szCs w:val="24"/>
      <w:lang w:val="en-GB" w:eastAsia="en-US"/>
    </w:rPr>
  </w:style>
  <w:style w:type="character" w:customStyle="1" w:styleId="Hyperlinkwrd1">
    <w:name w:val="Hyperlink_wrd_1"/>
    <w:uiPriority w:val="99"/>
    <w:rsid w:val="0036588B"/>
    <w:rPr>
      <w:color w:val="0000FF"/>
      <w:w w:val="100"/>
      <w:u w:val="thick" w:color="0000FF"/>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Category">
    <w:name w:val="Category"/>
    <w:basedOn w:val="Subheading"/>
    <w:qFormat/>
    <w:rsid w:val="007449EB"/>
    <w:pPr>
      <w:spacing w:before="0" w:after="0"/>
      <w:jc w:val="right"/>
    </w:pPr>
    <w:rPr>
      <w:color w:val="000000" w:themeColor="text1"/>
      <w:sz w:val="28"/>
      <w:szCs w:val="40"/>
      <w:lang w:val="en-US"/>
    </w:rPr>
  </w:style>
  <w:style w:type="paragraph" w:customStyle="1" w:styleId="On-PageReferencesHeadBodystyles">
    <w:name w:val="On-Page References Head (Body styles)"/>
    <w:basedOn w:val="Normal"/>
    <w:uiPriority w:val="99"/>
    <w:rsid w:val="00F85302"/>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On-PageReferencesListNumberBodystyles">
    <w:name w:val="On-Page References List Number (Body styles)"/>
    <w:basedOn w:val="BulletNumberBulletandNumberlists"/>
    <w:uiPriority w:val="99"/>
    <w:rsid w:val="00F85302"/>
    <w:pPr>
      <w:spacing w:after="28" w:line="230" w:lineRule="atLeast"/>
      <w:ind w:left="198" w:hanging="198"/>
    </w:pPr>
    <w:rPr>
      <w:rFonts w:ascii="Arial" w:eastAsiaTheme="minorEastAsia" w:hAnsi="Arial" w:cs="Arial"/>
      <w:sz w:val="17"/>
      <w:szCs w:val="17"/>
      <w:lang w:eastAsia="en-GB"/>
    </w:rPr>
  </w:style>
  <w:style w:type="paragraph" w:customStyle="1" w:styleId="On-PageReferencesListNumberContBodystyles">
    <w:name w:val="On-Page References List Number Cont (Body styles)"/>
    <w:basedOn w:val="On-PageReferencesListNumberBodystyles"/>
    <w:uiPriority w:val="99"/>
    <w:rsid w:val="00F85302"/>
  </w:style>
  <w:style w:type="paragraph" w:customStyle="1" w:styleId="On-PageReferencesListNumberLastBodystyles">
    <w:name w:val="On-Page References List Number Last (Body styles)"/>
    <w:basedOn w:val="On-PageReferencesListNumberContBodystyles"/>
    <w:uiPriority w:val="99"/>
    <w:rsid w:val="00F85302"/>
    <w:pPr>
      <w:spacing w:after="142"/>
    </w:pPr>
  </w:style>
  <w:style w:type="paragraph" w:customStyle="1" w:styleId="TitleH1Headings">
    <w:name w:val="Title (H1) (Headings)"/>
    <w:basedOn w:val="Normal"/>
    <w:next w:val="NormalBodystyles"/>
    <w:uiPriority w:val="99"/>
    <w:rsid w:val="00396257"/>
    <w:pPr>
      <w:keepNext/>
      <w:tabs>
        <w:tab w:val="left" w:pos="850"/>
      </w:tabs>
      <w:suppressAutoHyphens/>
      <w:autoSpaceDE w:val="0"/>
      <w:autoSpaceDN w:val="0"/>
      <w:adjustRightInd w:val="0"/>
      <w:spacing w:before="0" w:after="283" w:line="700" w:lineRule="atLeast"/>
      <w:textAlignment w:val="center"/>
    </w:pPr>
    <w:rPr>
      <w:rFonts w:ascii="Proxima Nova Extrabold" w:hAnsi="Proxima Nova Extrabold" w:cs="Proxima Nova Extrabold"/>
      <w:b/>
      <w:bCs/>
      <w:color w:val="00556E"/>
      <w:sz w:val="68"/>
      <w:szCs w:val="68"/>
      <w:lang w:val="en-GB"/>
    </w:rPr>
  </w:style>
  <w:style w:type="paragraph" w:customStyle="1" w:styleId="Heading2Headings">
    <w:name w:val="Heading 2 (Headings)"/>
    <w:basedOn w:val="Normal"/>
    <w:next w:val="NormalBodystyles"/>
    <w:uiPriority w:val="99"/>
    <w:rsid w:val="00396257"/>
    <w:pPr>
      <w:suppressAutoHyphens/>
      <w:autoSpaceDE w:val="0"/>
      <w:autoSpaceDN w:val="0"/>
      <w:adjustRightInd w:val="0"/>
      <w:spacing w:before="170" w:after="170" w:line="320" w:lineRule="atLeast"/>
      <w:textAlignment w:val="center"/>
    </w:pPr>
    <w:rPr>
      <w:rFonts w:ascii="Proxima Nova" w:hAnsi="Proxima Nova" w:cs="Proxima Nova"/>
      <w:b/>
      <w:bCs/>
      <w:color w:val="00556E"/>
      <w:sz w:val="30"/>
      <w:szCs w:val="30"/>
      <w:lang w:val="en-GB"/>
    </w:rPr>
  </w:style>
  <w:style w:type="paragraph" w:customStyle="1" w:styleId="NormalBodystyles">
    <w:name w:val="Normal (Body styles)"/>
    <w:basedOn w:val="Normal"/>
    <w:uiPriority w:val="99"/>
    <w:rsid w:val="00396257"/>
    <w:pPr>
      <w:suppressAutoHyphens/>
      <w:autoSpaceDE w:val="0"/>
      <w:autoSpaceDN w:val="0"/>
      <w:adjustRightInd w:val="0"/>
      <w:spacing w:before="0" w:after="136" w:line="250" w:lineRule="atLeast"/>
      <w:textAlignment w:val="center"/>
    </w:pPr>
    <w:rPr>
      <w:rFonts w:ascii="Open Sans" w:hAnsi="Open Sans" w:cs="Open Sans"/>
      <w:color w:val="000000"/>
      <w:sz w:val="19"/>
      <w:szCs w:val="19"/>
      <w:lang w:val="en-GB"/>
    </w:rPr>
  </w:style>
  <w:style w:type="paragraph" w:customStyle="1" w:styleId="BulletLetterFirstBulletandNumberlists">
    <w:name w:val="Bullet Letter First (Bullet and Number lists)"/>
    <w:basedOn w:val="Normal"/>
    <w:uiPriority w:val="99"/>
    <w:rsid w:val="00396257"/>
    <w:pPr>
      <w:tabs>
        <w:tab w:val="left" w:pos="227"/>
        <w:tab w:val="left" w:pos="255"/>
      </w:tabs>
      <w:suppressAutoHyphens/>
      <w:autoSpaceDE w:val="0"/>
      <w:autoSpaceDN w:val="0"/>
      <w:adjustRightInd w:val="0"/>
      <w:spacing w:before="0" w:after="28" w:line="250" w:lineRule="atLeast"/>
      <w:ind w:left="510" w:hanging="227"/>
      <w:textAlignment w:val="center"/>
    </w:pPr>
    <w:rPr>
      <w:rFonts w:ascii="Open Sans" w:hAnsi="Open Sans" w:cs="Open Sans"/>
      <w:color w:val="000000"/>
      <w:sz w:val="19"/>
      <w:szCs w:val="19"/>
      <w:lang w:val="en-GB"/>
    </w:rPr>
  </w:style>
  <w:style w:type="paragraph" w:customStyle="1" w:styleId="BulletLetterContBulletandNumberlists">
    <w:name w:val="Bullet Letter Cont (Bullet and Number lists)"/>
    <w:basedOn w:val="Normal"/>
    <w:uiPriority w:val="99"/>
    <w:rsid w:val="00396257"/>
    <w:pPr>
      <w:tabs>
        <w:tab w:val="left" w:pos="227"/>
        <w:tab w:val="left" w:pos="255"/>
      </w:tabs>
      <w:suppressAutoHyphens/>
      <w:autoSpaceDE w:val="0"/>
      <w:autoSpaceDN w:val="0"/>
      <w:adjustRightInd w:val="0"/>
      <w:spacing w:before="0" w:after="28" w:line="250" w:lineRule="atLeast"/>
      <w:ind w:left="510" w:hanging="227"/>
      <w:textAlignment w:val="center"/>
    </w:pPr>
    <w:rPr>
      <w:rFonts w:ascii="Open Sans" w:hAnsi="Open Sans" w:cs="Open Sans"/>
      <w:color w:val="000000"/>
      <w:sz w:val="19"/>
      <w:szCs w:val="19"/>
      <w:lang w:val="en-GB"/>
    </w:rPr>
  </w:style>
  <w:style w:type="paragraph" w:customStyle="1" w:styleId="BulletLetterLastBulletandNumberlists">
    <w:name w:val="Bullet Letter Last (Bullet and Number lists)"/>
    <w:basedOn w:val="Normal"/>
    <w:uiPriority w:val="99"/>
    <w:rsid w:val="00396257"/>
    <w:pPr>
      <w:tabs>
        <w:tab w:val="left" w:pos="227"/>
        <w:tab w:val="left" w:pos="255"/>
      </w:tabs>
      <w:suppressAutoHyphens/>
      <w:autoSpaceDE w:val="0"/>
      <w:autoSpaceDN w:val="0"/>
      <w:adjustRightInd w:val="0"/>
      <w:spacing w:before="0" w:after="57" w:line="250" w:lineRule="atLeast"/>
      <w:ind w:left="510" w:hanging="227"/>
      <w:textAlignment w:val="center"/>
    </w:pPr>
    <w:rPr>
      <w:rFonts w:ascii="Open Sans" w:hAnsi="Open Sans" w:cs="Open Sans"/>
      <w:color w:val="000000"/>
      <w:sz w:val="19"/>
      <w:szCs w:val="19"/>
      <w:lang w:val="en-GB"/>
    </w:rPr>
  </w:style>
  <w:style w:type="character" w:customStyle="1" w:styleId="Strongsemibold">
    <w:name w:val="Strong (semibold)"/>
    <w:basedOn w:val="DefaultParagraphFont"/>
    <w:uiPriority w:val="99"/>
    <w:rsid w:val="00396257"/>
  </w:style>
  <w:style w:type="paragraph" w:customStyle="1" w:styleId="RTTableHeadingH1Tables">
    <w:name w:val="RT Table Heading H1 (Tables)"/>
    <w:basedOn w:val="Normal"/>
    <w:uiPriority w:val="99"/>
    <w:rsid w:val="00366C41"/>
    <w:pPr>
      <w:suppressAutoHyphens/>
      <w:autoSpaceDE w:val="0"/>
      <w:autoSpaceDN w:val="0"/>
      <w:adjustRightInd w:val="0"/>
      <w:spacing w:before="0" w:after="0" w:line="240" w:lineRule="atLeast"/>
      <w:jc w:val="center"/>
      <w:textAlignment w:val="center"/>
    </w:pPr>
    <w:rPr>
      <w:rFonts w:ascii="Open Sans" w:hAnsi="Open Sans" w:cs="Open Sans"/>
      <w:b/>
      <w:bCs/>
      <w:color w:val="FFFFFF"/>
      <w:w w:val="95"/>
      <w:sz w:val="19"/>
      <w:szCs w:val="19"/>
      <w:lang w:val="en-GB"/>
    </w:rPr>
  </w:style>
  <w:style w:type="paragraph" w:customStyle="1" w:styleId="TableTextTables">
    <w:name w:val="TableText (Tables)"/>
    <w:basedOn w:val="NoParagraphStyle"/>
    <w:uiPriority w:val="99"/>
    <w:rsid w:val="00366C41"/>
    <w:pPr>
      <w:widowControl/>
      <w:suppressAutoHyphens/>
      <w:spacing w:after="57" w:line="250" w:lineRule="atLeast"/>
    </w:pPr>
    <w:rPr>
      <w:rFonts w:ascii="Open Sans" w:hAnsi="Open Sans" w:cs="Open Sans"/>
      <w:sz w:val="19"/>
      <w:szCs w:val="19"/>
      <w:lang w:val="en-US" w:eastAsia="en-AU"/>
    </w:rPr>
  </w:style>
  <w:style w:type="paragraph" w:customStyle="1" w:styleId="RTHeading1Headings">
    <w:name w:val="RT Heading 1 (Headings)"/>
    <w:basedOn w:val="TitleH1Headings"/>
    <w:uiPriority w:val="99"/>
    <w:rsid w:val="00366C41"/>
    <w:pPr>
      <w:widowControl w:val="0"/>
      <w:spacing w:after="454"/>
    </w:pPr>
    <w:rPr>
      <w:rFonts w:eastAsiaTheme="minorEastAsia"/>
      <w:sz w:val="40"/>
      <w:szCs w:val="40"/>
      <w:lang w:eastAsia="en-GB"/>
    </w:rPr>
  </w:style>
  <w:style w:type="paragraph" w:customStyle="1" w:styleId="TFHolderspanBodystyles">
    <w:name w:val="# TF Holder # (span) (Body styles)"/>
    <w:basedOn w:val="NormalBodystyles"/>
    <w:uiPriority w:val="99"/>
    <w:rsid w:val="00366C41"/>
    <w:pPr>
      <w:widowControl w:val="0"/>
    </w:pPr>
    <w:rPr>
      <w:rFonts w:eastAsiaTheme="minorEastAsia"/>
      <w:lang w:eastAsia="en-GB"/>
    </w:rPr>
  </w:style>
  <w:style w:type="paragraph" w:customStyle="1" w:styleId="RTTableHeadingH2Tables">
    <w:name w:val="RT Table Heading H2 (Tables)"/>
    <w:basedOn w:val="Normal"/>
    <w:uiPriority w:val="99"/>
    <w:rsid w:val="00366C41"/>
    <w:pPr>
      <w:widowControl w:val="0"/>
      <w:suppressAutoHyphens/>
      <w:autoSpaceDE w:val="0"/>
      <w:autoSpaceDN w:val="0"/>
      <w:adjustRightInd w:val="0"/>
      <w:spacing w:before="0" w:after="0" w:line="250" w:lineRule="atLeast"/>
      <w:jc w:val="center"/>
      <w:textAlignment w:val="center"/>
    </w:pPr>
    <w:rPr>
      <w:rFonts w:ascii="Open Sans" w:eastAsiaTheme="minorEastAsia" w:hAnsi="Open Sans" w:cs="Open Sans"/>
      <w:b/>
      <w:bCs/>
      <w:color w:val="000000"/>
      <w:w w:val="95"/>
      <w:sz w:val="19"/>
      <w:szCs w:val="19"/>
      <w:lang w:val="en-GB" w:eastAsia="en-GB"/>
    </w:rPr>
  </w:style>
  <w:style w:type="paragraph" w:customStyle="1" w:styleId="RTTableHeaderH3Tables">
    <w:name w:val="RT Table Header H3 (Tables)"/>
    <w:basedOn w:val="RTTableHeadingH2Tables"/>
    <w:uiPriority w:val="99"/>
    <w:rsid w:val="00366C41"/>
    <w:rPr>
      <w:rFonts w:ascii="Open Sans Semibold" w:hAnsi="Open Sans Semibold" w:cs="Open Sans Semibold"/>
    </w:rPr>
  </w:style>
  <w:style w:type="character" w:customStyle="1" w:styleId="Strongbold">
    <w:name w:val="Strong (bold)"/>
    <w:uiPriority w:val="99"/>
    <w:rsid w:val="00366C41"/>
    <w:rPr>
      <w:b/>
      <w:bCs/>
    </w:rPr>
  </w:style>
  <w:style w:type="character" w:styleId="PageNumber">
    <w:name w:val="page number"/>
    <w:basedOn w:val="DefaultParagraphFont"/>
    <w:uiPriority w:val="98"/>
    <w:semiHidden/>
    <w:unhideWhenUsed/>
    <w:locked/>
    <w:rsid w:val="009E56B6"/>
  </w:style>
  <w:style w:type="paragraph" w:customStyle="1" w:styleId="Heading2Letters">
    <w:name w:val="Heading 2 (Letters)"/>
    <w:basedOn w:val="Heading2"/>
    <w:qFormat/>
    <w:rsid w:val="00CC64AB"/>
    <w:pPr>
      <w:numPr>
        <w:numId w:val="11"/>
      </w:numPr>
      <w:pBdr>
        <w:top w:val="single" w:sz="8" w:space="10" w:color="125370" w:themeColor="accent3"/>
      </w:pBdr>
      <w:spacing w:before="720" w:after="480"/>
      <w:ind w:left="567" w:hanging="567"/>
    </w:pPr>
    <w:rPr>
      <w:lang w:val="en-GB"/>
    </w:rPr>
  </w:style>
  <w:style w:type="numbering" w:customStyle="1" w:styleId="CurrentList1">
    <w:name w:val="Current List1"/>
    <w:uiPriority w:val="99"/>
    <w:rsid w:val="00426049"/>
    <w:pPr>
      <w:numPr>
        <w:numId w:val="10"/>
      </w:numPr>
    </w:pPr>
  </w:style>
  <w:style w:type="table" w:styleId="PlainTable2">
    <w:name w:val="Plain Table 2"/>
    <w:basedOn w:val="TableNormal"/>
    <w:uiPriority w:val="98"/>
    <w:locked/>
    <w:rsid w:val="008C375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riterion">
    <w:name w:val="Criterion"/>
    <w:basedOn w:val="TableNormal"/>
    <w:uiPriority w:val="99"/>
    <w:rsid w:val="0069421E"/>
    <w:pPr>
      <w:spacing w:after="0"/>
    </w:pPr>
    <w:tblPr>
      <w:tblBorders>
        <w:top w:val="single" w:sz="24" w:space="0" w:color="BDE3F4" w:themeColor="accent3" w:themeTint="33"/>
        <w:left w:val="single" w:sz="24" w:space="0" w:color="BDE3F4" w:themeColor="accent3" w:themeTint="33"/>
        <w:bottom w:val="single" w:sz="24" w:space="0" w:color="BDE3F4" w:themeColor="accent3" w:themeTint="33"/>
        <w:right w:val="single" w:sz="24" w:space="0" w:color="BDE3F4" w:themeColor="accent3" w:themeTint="33"/>
      </w:tblBorders>
      <w:tblCellMar>
        <w:left w:w="170" w:type="dxa"/>
        <w:right w:w="170" w:type="dxa"/>
      </w:tblCellMar>
    </w:tblPr>
    <w:trPr>
      <w:cantSplit/>
    </w:trPr>
    <w:tcPr>
      <w:shd w:val="clear" w:color="auto" w:fill="auto"/>
      <w:vAlign w:val="center"/>
    </w:tcPr>
    <w:tblStylePr w:type="firstRow">
      <w:rPr>
        <w:b/>
        <w:color w:val="000000" w:themeColor="text1"/>
      </w:rPr>
      <w:tblPr/>
      <w:trPr>
        <w:cantSplit w:val="0"/>
        <w:tblHeader/>
      </w:trPr>
      <w:tcPr>
        <w:shd w:val="clear" w:color="auto" w:fill="BDE3F4" w:themeFill="accent3" w:themeFillTint="33"/>
      </w:tcPr>
    </w:tblStylePr>
  </w:style>
  <w:style w:type="paragraph" w:customStyle="1" w:styleId="Quoter">
    <w:name w:val="Quoter"/>
    <w:basedOn w:val="QuotedText"/>
    <w:qFormat/>
    <w:rsid w:val="007A16C5"/>
    <w:pPr>
      <w:spacing w:before="120" w:after="240"/>
    </w:pPr>
    <w:rPr>
      <w:b w:val="0"/>
      <w:lang w:val="en-GB"/>
    </w:rPr>
  </w:style>
  <w:style w:type="paragraph" w:customStyle="1" w:styleId="BulletBulletandNumberlists">
    <w:name w:val="Bullet (Bullet and Number lists)"/>
    <w:basedOn w:val="NormalBodystyles"/>
    <w:uiPriority w:val="99"/>
    <w:rsid w:val="00D0160A"/>
    <w:pPr>
      <w:widowControl w:val="0"/>
      <w:tabs>
        <w:tab w:val="left" w:pos="255"/>
      </w:tabs>
      <w:spacing w:after="57"/>
      <w:ind w:left="255" w:hanging="255"/>
    </w:pPr>
    <w:rPr>
      <w:rFonts w:eastAsiaTheme="minorEastAsia"/>
      <w:lang w:eastAsia="en-GB"/>
    </w:rPr>
  </w:style>
  <w:style w:type="paragraph" w:customStyle="1" w:styleId="BulletLastBulletandNumberlists">
    <w:name w:val="Bullet Last (Bullet and Number lists)"/>
    <w:basedOn w:val="BulletBulletandNumberlists"/>
    <w:uiPriority w:val="99"/>
    <w:rsid w:val="00D0160A"/>
    <w:pPr>
      <w:spacing w:after="170"/>
    </w:pPr>
  </w:style>
  <w:style w:type="table" w:customStyle="1" w:styleId="Box">
    <w:name w:val="Box"/>
    <w:basedOn w:val="Criterion"/>
    <w:uiPriority w:val="99"/>
    <w:rsid w:val="002F16D0"/>
    <w:tblPr>
      <w:tblBorders>
        <w:top w:val="single" w:sz="24" w:space="0" w:color="125370" w:themeColor="accent3"/>
        <w:left w:val="single" w:sz="24" w:space="0" w:color="125370" w:themeColor="accent3"/>
        <w:bottom w:val="single" w:sz="24" w:space="0" w:color="125370" w:themeColor="accent3"/>
        <w:right w:val="single" w:sz="24" w:space="0" w:color="125370" w:themeColor="accent3"/>
      </w:tblBorders>
      <w:tblCellMar>
        <w:top w:w="113" w:type="dxa"/>
        <w:left w:w="284" w:type="dxa"/>
        <w:bottom w:w="113" w:type="dxa"/>
        <w:right w:w="284" w:type="dxa"/>
      </w:tblCellMar>
    </w:tblPr>
    <w:tcPr>
      <w:shd w:val="clear" w:color="auto" w:fill="auto"/>
    </w:tcPr>
    <w:tblStylePr w:type="firstRow">
      <w:pPr>
        <w:wordWrap/>
        <w:spacing w:afterLines="0" w:after="0" w:afterAutospacing="0" w:line="240" w:lineRule="auto"/>
      </w:pPr>
      <w:rPr>
        <w:b/>
        <w:color w:val="125370" w:themeColor="accent3"/>
        <w:sz w:val="26"/>
      </w:rPr>
      <w:tblPr/>
      <w:trPr>
        <w:cantSplit w:val="0"/>
        <w:tblHeader/>
      </w:trPr>
      <w:tcPr>
        <w:shd w:val="clear" w:color="auto" w:fill="FFFFFF" w:themeFill="background1"/>
      </w:tcPr>
    </w:tblStylePr>
  </w:style>
  <w:style w:type="paragraph" w:customStyle="1" w:styleId="GraphicHolder">
    <w:name w:val="Graphic Holder"/>
    <w:basedOn w:val="Normal"/>
    <w:qFormat/>
    <w:rsid w:val="00E7609B"/>
    <w:pPr>
      <w:ind w:hanging="426"/>
    </w:pPr>
    <w:rPr>
      <w:lang w:val="en-GB"/>
    </w:rPr>
  </w:style>
  <w:style w:type="numbering" w:customStyle="1" w:styleId="CurrentList2">
    <w:name w:val="Current List2"/>
    <w:uiPriority w:val="99"/>
    <w:rsid w:val="00DF5E58"/>
    <w:pPr>
      <w:numPr>
        <w:numId w:val="12"/>
      </w:numPr>
    </w:pPr>
  </w:style>
  <w:style w:type="numbering" w:customStyle="1" w:styleId="CurrentList3">
    <w:name w:val="Current List3"/>
    <w:uiPriority w:val="99"/>
    <w:rsid w:val="00DF5E58"/>
    <w:pPr>
      <w:numPr>
        <w:numId w:val="13"/>
      </w:numPr>
    </w:pPr>
  </w:style>
  <w:style w:type="numbering" w:customStyle="1" w:styleId="CurrentList4">
    <w:name w:val="Current List4"/>
    <w:uiPriority w:val="99"/>
    <w:rsid w:val="00DF5E58"/>
    <w:pPr>
      <w:numPr>
        <w:numId w:val="14"/>
      </w:numPr>
    </w:pPr>
  </w:style>
  <w:style w:type="paragraph" w:customStyle="1" w:styleId="Heading1SmallaboveHeading1CSHeadings">
    <w:name w:val="Heading 1 Small  (above Heading 1) (CS Headings)"/>
    <w:basedOn w:val="Normal"/>
    <w:uiPriority w:val="99"/>
    <w:rsid w:val="00571277"/>
    <w:pPr>
      <w:keepLines w:val="0"/>
      <w:widowControl w:val="0"/>
      <w:suppressAutoHyphens/>
      <w:autoSpaceDE w:val="0"/>
      <w:autoSpaceDN w:val="0"/>
      <w:adjustRightInd w:val="0"/>
      <w:spacing w:before="0" w:after="454" w:line="252" w:lineRule="auto"/>
      <w:textAlignment w:val="center"/>
    </w:pPr>
    <w:rPr>
      <w:rFonts w:ascii="Proxima Nova Medium" w:eastAsiaTheme="minorEastAsia" w:hAnsi="Proxima Nova Medium" w:cs="Proxima Nova Medium"/>
      <w:b/>
      <w:bCs/>
      <w:color w:val="1178A2"/>
      <w:sz w:val="40"/>
      <w:szCs w:val="40"/>
      <w:lang w:val="en-GB" w:eastAsia="en-GB"/>
    </w:rPr>
  </w:style>
  <w:style w:type="paragraph" w:customStyle="1" w:styleId="Heading1LargeCSHeadings">
    <w:name w:val="Heading 1 (Large) (CS Headings)"/>
    <w:basedOn w:val="Normal"/>
    <w:next w:val="NormalCSBodystyles"/>
    <w:uiPriority w:val="99"/>
    <w:rsid w:val="00571277"/>
    <w:pPr>
      <w:keepNext/>
      <w:widowControl w:val="0"/>
      <w:pBdr>
        <w:bottom w:val="single" w:sz="32" w:space="28" w:color="0065A4"/>
      </w:pBdr>
      <w:tabs>
        <w:tab w:val="left" w:pos="850"/>
      </w:tabs>
      <w:suppressAutoHyphens/>
      <w:autoSpaceDE w:val="0"/>
      <w:autoSpaceDN w:val="0"/>
      <w:adjustRightInd w:val="0"/>
      <w:spacing w:before="113" w:after="850" w:line="252" w:lineRule="auto"/>
      <w:jc w:val="both"/>
      <w:textAlignment w:val="center"/>
    </w:pPr>
    <w:rPr>
      <w:rFonts w:ascii="Proxima Nova Extrabold" w:eastAsiaTheme="minorEastAsia" w:hAnsi="Proxima Nova Extrabold" w:cs="Proxima Nova Extrabold"/>
      <w:b/>
      <w:bCs/>
      <w:color w:val="0065A4"/>
      <w:spacing w:val="-3"/>
      <w:sz w:val="65"/>
      <w:szCs w:val="65"/>
      <w:lang w:val="en-GB" w:eastAsia="en-GB"/>
    </w:rPr>
  </w:style>
  <w:style w:type="paragraph" w:customStyle="1" w:styleId="Heading2CSHeadings">
    <w:name w:val="Heading 2 • (CS Headings)"/>
    <w:basedOn w:val="Normal"/>
    <w:next w:val="NormalCSBodystyles"/>
    <w:uiPriority w:val="99"/>
    <w:rsid w:val="00571277"/>
    <w:pPr>
      <w:keepLines w:val="0"/>
      <w:widowControl w:val="0"/>
      <w:suppressAutoHyphens/>
      <w:autoSpaceDE w:val="0"/>
      <w:autoSpaceDN w:val="0"/>
      <w:adjustRightInd w:val="0"/>
      <w:spacing w:before="283" w:after="283" w:line="460" w:lineRule="atLeast"/>
      <w:textAlignment w:val="center"/>
    </w:pPr>
    <w:rPr>
      <w:rFonts w:ascii="Proxima Nova Medium" w:eastAsiaTheme="minorEastAsia" w:hAnsi="Proxima Nova Medium" w:cs="Proxima Nova Medium"/>
      <w:color w:val="1178A2"/>
      <w:sz w:val="40"/>
      <w:szCs w:val="40"/>
      <w:lang w:val="en-GB" w:eastAsia="en-GB"/>
    </w:rPr>
  </w:style>
  <w:style w:type="paragraph" w:customStyle="1" w:styleId="NormalCSBodystyles">
    <w:name w:val="Normal (CS Body styles)"/>
    <w:basedOn w:val="Normal"/>
    <w:uiPriority w:val="99"/>
    <w:rsid w:val="00571277"/>
    <w:pPr>
      <w:keepLines w:val="0"/>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Heading3CSHeadings">
    <w:name w:val="Heading 3 • (CS Headings)"/>
    <w:basedOn w:val="Normal"/>
    <w:uiPriority w:val="99"/>
    <w:rsid w:val="00571277"/>
    <w:pPr>
      <w:keepLines w:val="0"/>
      <w:widowControl w:val="0"/>
      <w:suppressAutoHyphens/>
      <w:autoSpaceDE w:val="0"/>
      <w:autoSpaceDN w:val="0"/>
      <w:adjustRightInd w:val="0"/>
      <w:spacing w:before="170" w:after="170" w:line="252" w:lineRule="auto"/>
      <w:textAlignment w:val="center"/>
    </w:pPr>
    <w:rPr>
      <w:rFonts w:ascii="Proxima Nova Extrabold" w:eastAsiaTheme="minorEastAsia" w:hAnsi="Proxima Nova Extrabold" w:cs="Proxima Nova Extrabold"/>
      <w:b/>
      <w:bCs/>
      <w:color w:val="00556E"/>
      <w:sz w:val="24"/>
      <w:szCs w:val="24"/>
      <w:lang w:val="en-GB" w:eastAsia="en-GB"/>
    </w:rPr>
  </w:style>
  <w:style w:type="paragraph" w:customStyle="1" w:styleId="NormalBeforeListCSBodystyles">
    <w:name w:val="Normal Before List (CS Body styles)"/>
    <w:basedOn w:val="NormalCSBodystyles"/>
    <w:next w:val="ListBulletCSLists"/>
    <w:uiPriority w:val="99"/>
    <w:rsid w:val="00571277"/>
    <w:pPr>
      <w:keepNext/>
      <w:spacing w:after="57"/>
    </w:pPr>
  </w:style>
  <w:style w:type="paragraph" w:customStyle="1" w:styleId="ListBulletCSLists">
    <w:name w:val="List Bullet (CS Lists)"/>
    <w:basedOn w:val="NormalCSBodystyles"/>
    <w:uiPriority w:val="99"/>
    <w:rsid w:val="00571277"/>
    <w:pPr>
      <w:tabs>
        <w:tab w:val="left" w:pos="283"/>
      </w:tabs>
      <w:spacing w:after="57"/>
      <w:ind w:left="283" w:hanging="283"/>
    </w:pPr>
  </w:style>
  <w:style w:type="paragraph" w:customStyle="1" w:styleId="ListBulletLastCSLists">
    <w:name w:val="List Bullet Last (CS Lists)"/>
    <w:basedOn w:val="ListBulletCSLists"/>
    <w:uiPriority w:val="99"/>
    <w:rsid w:val="00571277"/>
    <w:pPr>
      <w:spacing w:after="170"/>
    </w:pPr>
  </w:style>
  <w:style w:type="paragraph" w:customStyle="1" w:styleId="Heading2spanCSHeadings">
    <w:name w:val="Heading 2 (span) (CS Headings)"/>
    <w:basedOn w:val="Heading2CSHeadings"/>
    <w:uiPriority w:val="99"/>
    <w:rsid w:val="00571277"/>
  </w:style>
  <w:style w:type="paragraph" w:customStyle="1" w:styleId="TFHolderspanCSBodystyles">
    <w:name w:val="# TF Holder # (span) (CS Body styles)"/>
    <w:basedOn w:val="Normal"/>
    <w:uiPriority w:val="99"/>
    <w:rsid w:val="00571277"/>
    <w:pPr>
      <w:keepLines w:val="0"/>
      <w:widowControl w:val="0"/>
      <w:suppressAutoHyphens/>
      <w:autoSpaceDE w:val="0"/>
      <w:autoSpaceDN w:val="0"/>
      <w:adjustRightInd w:val="0"/>
      <w:spacing w:before="113" w:after="454" w:line="250" w:lineRule="atLeast"/>
      <w:textAlignment w:val="center"/>
    </w:pPr>
    <w:rPr>
      <w:rFonts w:ascii="Open Sans" w:eastAsiaTheme="minorEastAsia" w:hAnsi="Open Sans" w:cs="Open Sans"/>
      <w:color w:val="000000"/>
      <w:sz w:val="19"/>
      <w:szCs w:val="19"/>
      <w:lang w:val="en-GB" w:eastAsia="en-GB"/>
    </w:rPr>
  </w:style>
  <w:style w:type="paragraph" w:customStyle="1" w:styleId="Heading3CSHeadings0">
    <w:name w:val="Heading 3 (CS Headings)"/>
    <w:basedOn w:val="Heading2CSHeadings"/>
    <w:next w:val="NormalCSBodystyles"/>
    <w:uiPriority w:val="99"/>
    <w:rsid w:val="00571277"/>
    <w:pPr>
      <w:tabs>
        <w:tab w:val="left" w:pos="680"/>
      </w:tabs>
      <w:spacing w:before="227" w:after="170" w:line="300" w:lineRule="atLeast"/>
    </w:pPr>
    <w:rPr>
      <w:rFonts w:ascii="Proxima Nova Extrabold" w:hAnsi="Proxima Nova Extrabold" w:cs="Proxima Nova Extrabold"/>
      <w:color w:val="00556E"/>
      <w:sz w:val="28"/>
      <w:szCs w:val="28"/>
    </w:rPr>
  </w:style>
  <w:style w:type="paragraph" w:customStyle="1" w:styleId="TFTitlespanCSBodystyles">
    <w:name w:val="TF Title (span) (CS Body styles)"/>
    <w:basedOn w:val="Normal"/>
    <w:uiPriority w:val="99"/>
    <w:rsid w:val="00571277"/>
    <w:pPr>
      <w:keepNext/>
      <w:keepLines w:val="0"/>
      <w:widowControl w:val="0"/>
      <w:pBdr>
        <w:top w:val="single" w:sz="8" w:space="15" w:color="000000"/>
      </w:pBdr>
      <w:tabs>
        <w:tab w:val="left" w:pos="1134"/>
      </w:tabs>
      <w:suppressAutoHyphens/>
      <w:autoSpaceDE w:val="0"/>
      <w:autoSpaceDN w:val="0"/>
      <w:adjustRightInd w:val="0"/>
      <w:spacing w:before="454" w:after="57" w:line="250" w:lineRule="atLeast"/>
      <w:textAlignment w:val="center"/>
    </w:pPr>
    <w:rPr>
      <w:rFonts w:ascii="Open Sans" w:eastAsiaTheme="minorEastAsia" w:hAnsi="Open Sans" w:cs="Open Sans"/>
      <w:color w:val="000000"/>
      <w:sz w:val="20"/>
      <w:szCs w:val="20"/>
      <w:lang w:val="en-GB" w:eastAsia="en-GB"/>
    </w:rPr>
  </w:style>
  <w:style w:type="paragraph" w:customStyle="1" w:styleId="TableColumnHeadingCSTables">
    <w:name w:val="Table Column Heading (CS Tables)"/>
    <w:basedOn w:val="Normal"/>
    <w:uiPriority w:val="99"/>
    <w:rsid w:val="00571277"/>
    <w:pPr>
      <w:keepLines w:val="0"/>
      <w:widowControl w:val="0"/>
      <w:suppressAutoHyphens/>
      <w:autoSpaceDE w:val="0"/>
      <w:autoSpaceDN w:val="0"/>
      <w:adjustRightInd w:val="0"/>
      <w:spacing w:before="0" w:after="57" w:line="250" w:lineRule="atLeast"/>
      <w:textAlignment w:val="center"/>
    </w:pPr>
    <w:rPr>
      <w:rFonts w:ascii="Open Sans" w:eastAsiaTheme="minorEastAsia" w:hAnsi="Open Sans" w:cs="Open Sans"/>
      <w:b/>
      <w:bCs/>
      <w:color w:val="FFFFFF"/>
      <w:sz w:val="19"/>
      <w:szCs w:val="19"/>
      <w:lang w:val="en-GB" w:eastAsia="en-GB"/>
    </w:rPr>
  </w:style>
  <w:style w:type="paragraph" w:customStyle="1" w:styleId="TableNormalCSTables">
    <w:name w:val="Table Normal (CS Tables)"/>
    <w:basedOn w:val="NormalCSBodystyles"/>
    <w:uiPriority w:val="99"/>
    <w:rsid w:val="00571277"/>
    <w:pPr>
      <w:spacing w:after="57"/>
    </w:pPr>
  </w:style>
  <w:style w:type="paragraph" w:customStyle="1" w:styleId="TableBulletCSTables">
    <w:name w:val="Table Bullet (CS Tables)"/>
    <w:basedOn w:val="TableNormalCSTables"/>
    <w:uiPriority w:val="99"/>
    <w:rsid w:val="00571277"/>
    <w:pPr>
      <w:tabs>
        <w:tab w:val="left" w:pos="255"/>
      </w:tabs>
      <w:ind w:left="255" w:hanging="227"/>
    </w:pPr>
  </w:style>
  <w:style w:type="character" w:customStyle="1" w:styleId="HyperlinkItalics">
    <w:name w:val="Hyperlink (Italics)"/>
    <w:basedOn w:val="Hyperlink"/>
    <w:uiPriority w:val="99"/>
    <w:rsid w:val="007B7CD1"/>
    <w:rPr>
      <w:i/>
      <w:iCs/>
      <w:color w:val="1178A2" w:themeColor="accent1"/>
      <w:u w:val="single"/>
    </w:rPr>
  </w:style>
  <w:style w:type="character" w:customStyle="1" w:styleId="Semibold">
    <w:name w:val="Semibold"/>
    <w:basedOn w:val="DefaultParagraphFont"/>
    <w:uiPriority w:val="99"/>
    <w:rsid w:val="00571277"/>
    <w:rPr>
      <w:rFonts w:ascii="Open Sans Semibold" w:hAnsi="Open Sans Semibold" w:cs="Open Sans Semibold"/>
    </w:rPr>
  </w:style>
  <w:style w:type="character" w:customStyle="1" w:styleId="Italics">
    <w:name w:val="Italics"/>
    <w:uiPriority w:val="99"/>
    <w:rsid w:val="00571277"/>
    <w:rPr>
      <w:rFonts w:ascii="Open Sans" w:hAnsi="Open Sans" w:cs="Open Sans"/>
      <w:i/>
      <w:iCs/>
      <w:color w:val="000000"/>
      <w:position w:val="0"/>
      <w:u w:val="none"/>
    </w:rPr>
  </w:style>
  <w:style w:type="paragraph" w:customStyle="1" w:styleId="Heading1Subtitle">
    <w:name w:val="Heading 1 (Subtitle"/>
    <w:aliases w:val="above Title) (Headings)"/>
    <w:basedOn w:val="Normal"/>
    <w:uiPriority w:val="99"/>
    <w:rsid w:val="009E1901"/>
    <w:pPr>
      <w:keepLines w:val="0"/>
      <w:suppressAutoHyphens/>
      <w:autoSpaceDE w:val="0"/>
      <w:autoSpaceDN w:val="0"/>
      <w:adjustRightInd w:val="0"/>
      <w:spacing w:before="0" w:after="57" w:line="440" w:lineRule="atLeast"/>
      <w:textAlignment w:val="center"/>
    </w:pPr>
    <w:rPr>
      <w:rFonts w:ascii="Proxima Nova" w:hAnsi="Proxima Nova" w:cs="Proxima Nova"/>
      <w:b/>
      <w:bCs/>
      <w:color w:val="1987C4"/>
      <w:sz w:val="40"/>
      <w:szCs w:val="40"/>
      <w:lang w:val="en-GB"/>
    </w:rPr>
  </w:style>
  <w:style w:type="paragraph" w:customStyle="1" w:styleId="Heading1TitleHeadings">
    <w:name w:val="Heading 1 / Title (Headings)"/>
    <w:basedOn w:val="Normal"/>
    <w:next w:val="NormalBodystyles"/>
    <w:uiPriority w:val="99"/>
    <w:rsid w:val="009E1901"/>
    <w:pPr>
      <w:keepNext/>
      <w:tabs>
        <w:tab w:val="left" w:pos="850"/>
      </w:tabs>
      <w:suppressAutoHyphens/>
      <w:autoSpaceDE w:val="0"/>
      <w:autoSpaceDN w:val="0"/>
      <w:adjustRightInd w:val="0"/>
      <w:spacing w:before="0" w:after="680" w:line="700" w:lineRule="atLeast"/>
      <w:textAlignment w:val="center"/>
    </w:pPr>
    <w:rPr>
      <w:rFonts w:ascii="Proxima Nova Extrabold" w:hAnsi="Proxima Nova Extrabold" w:cs="Proxima Nova Extrabold"/>
      <w:b/>
      <w:bCs/>
      <w:color w:val="003565"/>
      <w:sz w:val="68"/>
      <w:szCs w:val="68"/>
      <w:lang w:val="en-GB"/>
    </w:rPr>
  </w:style>
  <w:style w:type="paragraph" w:customStyle="1" w:styleId="NormalBeforeListBodystyles">
    <w:name w:val="Normal Before List (Body styles)"/>
    <w:basedOn w:val="NormalBodystyles"/>
    <w:next w:val="BulletBulletandNumberlists"/>
    <w:uiPriority w:val="99"/>
    <w:rsid w:val="009E1901"/>
    <w:pPr>
      <w:keepNext/>
      <w:spacing w:after="57"/>
    </w:pPr>
  </w:style>
  <w:style w:type="paragraph" w:customStyle="1" w:styleId="BulletBeforeDashBulletandNumberlists">
    <w:name w:val="Bullet Before Dash (Bullet and Number lists)"/>
    <w:basedOn w:val="BulletBulletandNumberlists"/>
    <w:uiPriority w:val="99"/>
    <w:rsid w:val="009E1901"/>
    <w:pPr>
      <w:widowControl/>
      <w:spacing w:after="28"/>
    </w:pPr>
    <w:rPr>
      <w:rFonts w:eastAsia="Times New Roman"/>
      <w:lang w:eastAsia="en-AU"/>
    </w:rPr>
  </w:style>
  <w:style w:type="paragraph" w:customStyle="1" w:styleId="DashBulletandNumberlists">
    <w:name w:val="Dash (Bullet and Number lists)"/>
    <w:basedOn w:val="Normal"/>
    <w:uiPriority w:val="99"/>
    <w:rsid w:val="009E1901"/>
    <w:pPr>
      <w:keepLines w:val="0"/>
      <w:tabs>
        <w:tab w:val="left" w:pos="227"/>
      </w:tabs>
      <w:suppressAutoHyphens/>
      <w:autoSpaceDE w:val="0"/>
      <w:autoSpaceDN w:val="0"/>
      <w:adjustRightInd w:val="0"/>
      <w:spacing w:before="0" w:after="28" w:line="250" w:lineRule="atLeast"/>
      <w:ind w:left="510" w:hanging="227"/>
      <w:textAlignment w:val="center"/>
    </w:pPr>
    <w:rPr>
      <w:rFonts w:ascii="Open Sans" w:hAnsi="Open Sans" w:cs="Open Sans"/>
      <w:color w:val="000000"/>
      <w:sz w:val="19"/>
      <w:szCs w:val="19"/>
      <w:lang w:val="en-GB"/>
    </w:rPr>
  </w:style>
  <w:style w:type="character" w:customStyle="1" w:styleId="Hyperlinkitalic">
    <w:name w:val="Hyperlink (italic)"/>
    <w:basedOn w:val="Hyperlink"/>
    <w:uiPriority w:val="99"/>
    <w:rsid w:val="009E1901"/>
    <w:rPr>
      <w:i/>
      <w:iCs/>
      <w:color w:val="000000"/>
      <w:u w:val="thick" w:color="26FFFF"/>
    </w:rPr>
  </w:style>
  <w:style w:type="character" w:customStyle="1" w:styleId="DesignerNotes">
    <w:name w:val="Designer Notes"/>
    <w:uiPriority w:val="99"/>
    <w:rsid w:val="00847396"/>
    <w:rPr>
      <w:color w:val="C90C88"/>
      <w:u w:val="thick" w:color="FFFF32"/>
    </w:rPr>
  </w:style>
  <w:style w:type="paragraph" w:customStyle="1" w:styleId="TFspanBodystyles">
    <w:name w:val="# TF # (span) (Body styles)"/>
    <w:basedOn w:val="Normal"/>
    <w:uiPriority w:val="99"/>
    <w:rsid w:val="00B733FB"/>
    <w:pPr>
      <w:widowControl w:val="0"/>
      <w:suppressAutoHyphens/>
      <w:autoSpaceDE w:val="0"/>
      <w:autoSpaceDN w:val="0"/>
      <w:adjustRightInd w:val="0"/>
      <w:spacing w:before="0" w:after="227" w:line="250" w:lineRule="atLeast"/>
      <w:textAlignment w:val="center"/>
    </w:pPr>
    <w:rPr>
      <w:rFonts w:ascii="Open Sans" w:eastAsiaTheme="minorEastAsia" w:hAnsi="Open Sans" w:cs="Open Sans"/>
      <w:color w:val="000000"/>
      <w:sz w:val="19"/>
      <w:szCs w:val="19"/>
      <w:lang w:val="en-GB" w:eastAsia="en-GB"/>
      <w14:ligatures w14:val="standardContextual"/>
    </w:rPr>
  </w:style>
  <w:style w:type="paragraph" w:customStyle="1" w:styleId="Heading3spanHeadings">
    <w:name w:val="Heading 3 (span) (Headings)"/>
    <w:basedOn w:val="Normal"/>
    <w:uiPriority w:val="99"/>
    <w:rsid w:val="00261BB7"/>
    <w:pPr>
      <w:keepLines w:val="0"/>
      <w:widowControl w:val="0"/>
      <w:suppressAutoHyphens/>
      <w:autoSpaceDE w:val="0"/>
      <w:autoSpaceDN w:val="0"/>
      <w:adjustRightInd w:val="0"/>
      <w:spacing w:before="113" w:after="170" w:line="288" w:lineRule="auto"/>
      <w:textAlignment w:val="center"/>
    </w:pPr>
    <w:rPr>
      <w:rFonts w:ascii="Proxima Nova" w:eastAsiaTheme="minorEastAsia" w:hAnsi="Proxima Nova" w:cs="Proxima Nova"/>
      <w:b/>
      <w:bCs/>
      <w:color w:val="000000"/>
      <w:sz w:val="24"/>
      <w:szCs w:val="24"/>
      <w:lang w:val="en-GB" w:eastAsia="en-GB"/>
      <w14:ligatures w14:val="standardContextual"/>
    </w:rPr>
  </w:style>
  <w:style w:type="paragraph" w:customStyle="1" w:styleId="NormalspanBodystyles">
    <w:name w:val="Normal (span) (Body styles)"/>
    <w:basedOn w:val="NormalBodystyles"/>
    <w:uiPriority w:val="99"/>
    <w:rsid w:val="00261BB7"/>
    <w:pPr>
      <w:keepLines w:val="0"/>
      <w:widowControl w:val="0"/>
      <w:spacing w:after="142" w:line="245" w:lineRule="atLeast"/>
    </w:pPr>
    <w:rPr>
      <w:rFonts w:eastAsiaTheme="minorEastAsia"/>
      <w:lang w:eastAsia="en-GB"/>
      <w14:ligatures w14:val="standardContextual"/>
    </w:rPr>
  </w:style>
  <w:style w:type="paragraph" w:customStyle="1" w:styleId="BoxHeadingHeadings">
    <w:name w:val="Box Heading (Headings)"/>
    <w:basedOn w:val="Normal"/>
    <w:uiPriority w:val="99"/>
    <w:rsid w:val="00261BB7"/>
    <w:pPr>
      <w:keepLines w:val="0"/>
      <w:widowControl w:val="0"/>
      <w:suppressAutoHyphens/>
      <w:autoSpaceDE w:val="0"/>
      <w:autoSpaceDN w:val="0"/>
      <w:adjustRightInd w:val="0"/>
      <w:spacing w:before="113" w:after="170" w:line="288" w:lineRule="auto"/>
      <w:textAlignment w:val="center"/>
    </w:pPr>
    <w:rPr>
      <w:rFonts w:ascii="Proxima Nova" w:eastAsiaTheme="minorEastAsia" w:hAnsi="Proxima Nova" w:cs="Proxima Nova"/>
      <w:b/>
      <w:bCs/>
      <w:color w:val="003565"/>
      <w:lang w:val="en-GB" w:eastAsia="en-GB"/>
      <w14:ligatures w14:val="standardContextual"/>
    </w:rPr>
  </w:style>
  <w:style w:type="paragraph" w:customStyle="1" w:styleId="TableHeadingTables">
    <w:name w:val="TableHeading (Tables)"/>
    <w:basedOn w:val="Normal"/>
    <w:uiPriority w:val="99"/>
    <w:rsid w:val="00261BB7"/>
    <w:pPr>
      <w:keepLines w:val="0"/>
      <w:widowControl w:val="0"/>
      <w:suppressAutoHyphens/>
      <w:autoSpaceDE w:val="0"/>
      <w:autoSpaceDN w:val="0"/>
      <w:adjustRightInd w:val="0"/>
      <w:spacing w:before="0" w:after="0" w:line="250" w:lineRule="atLeast"/>
      <w:textAlignment w:val="center"/>
    </w:pPr>
    <w:rPr>
      <w:rFonts w:ascii="Open Sans" w:eastAsiaTheme="minorEastAsia" w:hAnsi="Open Sans" w:cs="Open Sans"/>
      <w:b/>
      <w:bCs/>
      <w:color w:val="000000"/>
      <w:w w:val="95"/>
      <w:sz w:val="20"/>
      <w:szCs w:val="20"/>
      <w:lang w:val="en-GB" w:eastAsia="en-GB"/>
      <w14:ligatures w14:val="standardContextual"/>
    </w:rPr>
  </w:style>
  <w:style w:type="paragraph" w:customStyle="1" w:styleId="TableSubheadTables">
    <w:name w:val="TableSubhead (Tables)"/>
    <w:basedOn w:val="TableTextTables"/>
    <w:uiPriority w:val="99"/>
    <w:rsid w:val="00261BB7"/>
    <w:pPr>
      <w:widowControl w:val="0"/>
      <w:spacing w:before="28" w:after="71"/>
    </w:pPr>
    <w:rPr>
      <w:rFonts w:eastAsiaTheme="minorEastAsia"/>
      <w:b/>
      <w:bCs/>
      <w:lang w:eastAsia="en-GB"/>
      <w14:ligatures w14:val="standardContextual"/>
    </w:rPr>
  </w:style>
  <w:style w:type="table" w:customStyle="1" w:styleId="BlueBox">
    <w:name w:val="Blue Box"/>
    <w:basedOn w:val="TableNormal"/>
    <w:uiPriority w:val="99"/>
    <w:rsid w:val="00261BB7"/>
    <w:pPr>
      <w:spacing w:after="0"/>
    </w:pPr>
    <w:tblPr>
      <w:tblCellMar>
        <w:top w:w="198" w:type="dxa"/>
        <w:left w:w="340" w:type="dxa"/>
        <w:bottom w:w="198" w:type="dxa"/>
        <w:right w:w="340" w:type="dxa"/>
      </w:tblCellMar>
    </w:tblPr>
    <w:trPr>
      <w:cantSplit/>
    </w:trPr>
    <w:tcPr>
      <w:shd w:val="clear" w:color="auto" w:fill="E9F3FA"/>
    </w:tcPr>
    <w:tblStylePr w:type="firstRow">
      <w:rPr>
        <w:b/>
        <w:sz w:val="24"/>
      </w:rPr>
      <w:tblPr/>
      <w:trPr>
        <w:cantSplit w:val="0"/>
        <w:tblHeader/>
      </w:trPr>
    </w:tblStylePr>
  </w:style>
  <w:style w:type="paragraph" w:customStyle="1" w:styleId="NormalBeforeBulletBodystyles0">
    <w:name w:val="Normal Before Bullet (Body styles)"/>
    <w:basedOn w:val="NormalBodystyles"/>
    <w:next w:val="BulletBulletandNumberlists"/>
    <w:uiPriority w:val="99"/>
    <w:rsid w:val="00ED743C"/>
    <w:pPr>
      <w:keepNext/>
      <w:keepLines w:val="0"/>
      <w:widowControl w:val="0"/>
      <w:spacing w:after="57"/>
    </w:pPr>
    <w:rPr>
      <w:rFonts w:eastAsiaTheme="minorEastAsia"/>
      <w:lang w:eastAsia="en-GB"/>
      <w14:ligatures w14:val="standardContextual"/>
    </w:rPr>
  </w:style>
  <w:style w:type="paragraph" w:customStyle="1" w:styleId="TFHolderspanBodystyles0">
    <w:name w:val="# TF Holder # (span) • (Body styles)"/>
    <w:basedOn w:val="NormalBodystyles"/>
    <w:uiPriority w:val="99"/>
    <w:rsid w:val="00ED743C"/>
    <w:pPr>
      <w:keepLines w:val="0"/>
      <w:widowControl w:val="0"/>
      <w:spacing w:before="57" w:after="227"/>
    </w:pPr>
    <w:rPr>
      <w:rFonts w:eastAsiaTheme="minorEastAsia"/>
      <w:lang w:eastAsia="en-GB"/>
      <w14:ligatures w14:val="standardContextual"/>
    </w:rPr>
  </w:style>
  <w:style w:type="paragraph" w:customStyle="1" w:styleId="TFHolderBodystyles">
    <w:name w:val="# TF Holder # (Body styles)"/>
    <w:basedOn w:val="TFHolderspanBodystyles0"/>
    <w:uiPriority w:val="99"/>
    <w:rsid w:val="00ED743C"/>
  </w:style>
  <w:style w:type="paragraph" w:customStyle="1" w:styleId="FootnotetextBodystyles">
    <w:name w:val="Footnote text (Body styles)"/>
    <w:basedOn w:val="NormalBodystyles"/>
    <w:uiPriority w:val="99"/>
    <w:rsid w:val="00ED743C"/>
    <w:pPr>
      <w:keepLines w:val="0"/>
      <w:widowControl w:val="0"/>
      <w:spacing w:after="28" w:line="220" w:lineRule="atLeast"/>
      <w:ind w:left="170" w:hanging="170"/>
    </w:pPr>
    <w:rPr>
      <w:rFonts w:eastAsiaTheme="minorEastAsia"/>
      <w:sz w:val="16"/>
      <w:szCs w:val="16"/>
      <w:lang w:eastAsia="en-GB"/>
      <w14:ligatures w14:val="standardContextual"/>
    </w:rPr>
  </w:style>
  <w:style w:type="paragraph" w:customStyle="1" w:styleId="Heading2spanHeadings">
    <w:name w:val="Heading 2 (span) (Headings)"/>
    <w:basedOn w:val="Heading2Headings"/>
    <w:uiPriority w:val="99"/>
    <w:rsid w:val="00ED743C"/>
    <w:pPr>
      <w:keepLines w:val="0"/>
      <w:widowControl w:val="0"/>
      <w:spacing w:before="113" w:after="142"/>
    </w:pPr>
    <w:rPr>
      <w:rFonts w:eastAsiaTheme="minorEastAsia"/>
      <w:color w:val="00506C"/>
      <w:lang w:eastAsia="en-GB"/>
      <w14:ligatures w14:val="standardContextual"/>
    </w:rPr>
  </w:style>
  <w:style w:type="paragraph" w:customStyle="1" w:styleId="ReferencesListNumberedMisc">
    <w:name w:val="References List Numbered (Misc)"/>
    <w:basedOn w:val="Normal"/>
    <w:uiPriority w:val="99"/>
    <w:rsid w:val="00ED743C"/>
    <w:pPr>
      <w:widowControl w:val="0"/>
      <w:suppressAutoHyphens/>
      <w:autoSpaceDE w:val="0"/>
      <w:autoSpaceDN w:val="0"/>
      <w:adjustRightInd w:val="0"/>
      <w:spacing w:before="0" w:after="28" w:line="230" w:lineRule="atLeast"/>
      <w:ind w:left="312" w:hanging="312"/>
      <w:textAlignment w:val="center"/>
    </w:pPr>
    <w:rPr>
      <w:rFonts w:ascii="Open Sans" w:eastAsiaTheme="minorEastAsia" w:hAnsi="Open Sans" w:cs="Open Sans"/>
      <w:color w:val="000000"/>
      <w:sz w:val="17"/>
      <w:szCs w:val="17"/>
      <w:lang w:val="en-GB" w:eastAsia="en-GB"/>
      <w14:ligatures w14:val="standardContextual"/>
    </w:rPr>
  </w:style>
  <w:style w:type="paragraph" w:customStyle="1" w:styleId="TableHeadingTables0">
    <w:name w:val="Table Heading (Tables)"/>
    <w:basedOn w:val="Normal"/>
    <w:uiPriority w:val="99"/>
    <w:rsid w:val="00ED743C"/>
    <w:pPr>
      <w:keepLines w:val="0"/>
      <w:widowControl w:val="0"/>
      <w:suppressAutoHyphens/>
      <w:autoSpaceDE w:val="0"/>
      <w:autoSpaceDN w:val="0"/>
      <w:adjustRightInd w:val="0"/>
      <w:spacing w:before="0" w:after="57" w:line="250" w:lineRule="atLeast"/>
      <w:textAlignment w:val="center"/>
    </w:pPr>
    <w:rPr>
      <w:rFonts w:ascii="Open Sans" w:eastAsiaTheme="minorEastAsia" w:hAnsi="Open Sans" w:cs="Open Sans"/>
      <w:b/>
      <w:bCs/>
      <w:color w:val="FFFFFF"/>
      <w:sz w:val="19"/>
      <w:szCs w:val="19"/>
      <w:lang w:val="en-GB" w:eastAsia="en-GB"/>
      <w14:ligatures w14:val="standardContextual"/>
    </w:rPr>
  </w:style>
  <w:style w:type="paragraph" w:customStyle="1" w:styleId="TableNormalTables">
    <w:name w:val="Table Normal (Tables)"/>
    <w:basedOn w:val="NoParagraphStyle"/>
    <w:uiPriority w:val="99"/>
    <w:rsid w:val="00ED743C"/>
    <w:pPr>
      <w:suppressAutoHyphens/>
      <w:spacing w:after="113" w:line="250" w:lineRule="atLeast"/>
    </w:pPr>
    <w:rPr>
      <w:rFonts w:ascii="Open Sans" w:eastAsiaTheme="minorEastAsia" w:hAnsi="Open Sans" w:cs="Open Sans"/>
      <w:sz w:val="19"/>
      <w:szCs w:val="19"/>
      <w:lang w:val="en-US" w:eastAsia="en-GB"/>
      <w14:ligatures w14:val="standardContextual"/>
    </w:rPr>
  </w:style>
  <w:style w:type="paragraph" w:customStyle="1" w:styleId="TableNormalBeforeBulletTables">
    <w:name w:val="Table Normal Before Bullet  (Tables)"/>
    <w:basedOn w:val="TableNormalTables"/>
    <w:uiPriority w:val="99"/>
    <w:rsid w:val="00ED743C"/>
    <w:pPr>
      <w:spacing w:after="57"/>
    </w:pPr>
  </w:style>
  <w:style w:type="paragraph" w:customStyle="1" w:styleId="TableListL1BulletTables">
    <w:name w:val="Table List L1 Bullet (Tables)"/>
    <w:basedOn w:val="TableNormalTables"/>
    <w:uiPriority w:val="99"/>
    <w:rsid w:val="00ED743C"/>
    <w:pPr>
      <w:tabs>
        <w:tab w:val="left" w:pos="255"/>
      </w:tabs>
      <w:spacing w:after="57"/>
      <w:ind w:left="255" w:hanging="227"/>
    </w:pPr>
  </w:style>
  <w:style w:type="paragraph" w:customStyle="1" w:styleId="TableListL1BulletLastTables">
    <w:name w:val="Table List L1 Bullet Last (Tables)"/>
    <w:basedOn w:val="TableListL1BulletTables"/>
    <w:uiPriority w:val="99"/>
    <w:rsid w:val="00ED743C"/>
    <w:pPr>
      <w:spacing w:after="113"/>
    </w:pPr>
  </w:style>
  <w:style w:type="paragraph" w:customStyle="1" w:styleId="TableListL1numberTables">
    <w:name w:val="Table List L1 (number) (Tables)"/>
    <w:basedOn w:val="TableNormalTables"/>
    <w:uiPriority w:val="99"/>
    <w:rsid w:val="00ED743C"/>
    <w:pPr>
      <w:tabs>
        <w:tab w:val="left" w:pos="0"/>
      </w:tabs>
      <w:ind w:left="283" w:hanging="269"/>
    </w:pPr>
  </w:style>
  <w:style w:type="character" w:customStyle="1" w:styleId="Designernotes0">
    <w:name w:val="Designer notes"/>
    <w:uiPriority w:val="99"/>
    <w:rsid w:val="00ED743C"/>
    <w:rPr>
      <w:color w:val="EA028C"/>
      <w:u w:val="thick" w:color="FFED00"/>
    </w:rPr>
  </w:style>
  <w:style w:type="character" w:customStyle="1" w:styleId="a">
    <w:name w:val="* †"/>
    <w:basedOn w:val="Superscript"/>
    <w:uiPriority w:val="99"/>
    <w:rsid w:val="00ED743C"/>
    <w:rPr>
      <w:position w:val="-2"/>
      <w:sz w:val="22"/>
      <w:szCs w:val="2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publications-and-resources/resource-library/national-mixed-case-lettering-list" TargetMode="External"/><Relationship Id="rId18" Type="http://schemas.openxmlformats.org/officeDocument/2006/relationships/hyperlink" Target="mailto:medsafety%40safetyandquality.gov.au?subject=" TargetMode="External"/><Relationship Id="rId26" Type="http://schemas.openxmlformats.org/officeDocument/2006/relationships/header" Target="header1.xml"/><Relationship Id="rId39" Type="http://schemas.openxmlformats.org/officeDocument/2006/relationships/hyperlink" Target="https://www.safetyandquality.gov.au/publications-and-resources/resource-library/national-mixed-case-lettering-list" TargetMode="External"/><Relationship Id="rId21" Type="http://schemas.openxmlformats.org/officeDocument/2006/relationships/hyperlink" Target="https://lasa.azureedge.net/" TargetMode="External"/><Relationship Id="rId34" Type="http://schemas.openxmlformats.org/officeDocument/2006/relationships/hyperlink" Target="https://www.safetyandquality.gov.au/publications-and-resources/resource-library/national-mixed-case-lettering-list" TargetMode="External"/><Relationship Id="rId42" Type="http://schemas.openxmlformats.org/officeDocument/2006/relationships/hyperlink" Target="http://www.ismp.org/recommendations/confused-drug-names-list" TargetMode="External"/><Relationship Id="rId47" Type="http://schemas.openxmlformats.org/officeDocument/2006/relationships/hyperlink" Target="https://www.npa.co.uk/wp-content/uploads/2018/10/Look-alike-sound-alike-items.pdf" TargetMode="External"/><Relationship Id="rId50" Type="http://schemas.openxmlformats.org/officeDocument/2006/relationships/hyperlink" Target="https://www.hqsc.govt.nz/assets/Our-work/System-safety/Reducing-harm/Medicines/Publications-resources/Aotearoa_New_Zealand_Tall_Man_lettering_list_review_report_April_2020.pdf" TargetMode="External"/><Relationship Id="rId55" Type="http://schemas.openxmlformats.org/officeDocument/2006/relationships/image" Target="media/image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asa.azureedge.net/" TargetMode="External"/><Relationship Id="rId29" Type="http://schemas.openxmlformats.org/officeDocument/2006/relationships/image" Target="media/image3.png"/><Relationship Id="rId11" Type="http://schemas.openxmlformats.org/officeDocument/2006/relationships/hyperlink" Target="mailto:medsafety%40safetyandquality.gov.au?subject=" TargetMode="External"/><Relationship Id="rId24" Type="http://schemas.openxmlformats.org/officeDocument/2006/relationships/hyperlink" Target="https://www.ismp.org/recommendations/tall-man-letters-list" TargetMode="External"/><Relationship Id="rId32" Type="http://schemas.openxmlformats.org/officeDocument/2006/relationships/hyperlink" Target="https://www.safetyandquality.gov.au/our-work/medication-safety/safer-naming-labelling-and-packaging-medicines/safe-selection-and-storage-medicines" TargetMode="External"/><Relationship Id="rId37" Type="http://schemas.openxmlformats.org/officeDocument/2006/relationships/header" Target="header2.xml"/><Relationship Id="rId40" Type="http://schemas.openxmlformats.org/officeDocument/2006/relationships/hyperlink" Target="http://www.ismp.org/acute-care/medication-safety-alert-january-26-2023" TargetMode="External"/><Relationship Id="rId45" Type="http://schemas.openxmlformats.org/officeDocument/2006/relationships/hyperlink" Target="https://ismpcanada.ca/wp-content/uploads/2021/11/Application-of-TALLman-Lettering-for-Selected-High-Alert-Drugs-in-Canada.pdf" TargetMode="External"/><Relationship Id="rId53" Type="http://schemas.openxmlformats.org/officeDocument/2006/relationships/hyperlink" Target="https://lasa.azureedge.net/"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safetyandquality.gov.au/publications-and-resources/resource-library/national-mixed-case-lettering-lis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fetyandquality.gov.au/our-work/medication-safety/safer-naming-labelling-and-packaging-medicines/safe-selection-and-storage-medicines" TargetMode="External"/><Relationship Id="rId22" Type="http://schemas.openxmlformats.org/officeDocument/2006/relationships/hyperlink" Target="https://lasa.azureedge.net/" TargetMode="External"/><Relationship Id="rId27" Type="http://schemas.openxmlformats.org/officeDocument/2006/relationships/footer" Target="footer1.xml"/><Relationship Id="rId30" Type="http://schemas.openxmlformats.org/officeDocument/2006/relationships/hyperlink" Target="https://www.safetyandquality.gov.au/publications-and-resources/resource-library/national-mixed-case-lettering-list" TargetMode="External"/><Relationship Id="rId35" Type="http://schemas.openxmlformats.org/officeDocument/2006/relationships/hyperlink" Target="https://lasa.azureedge.net/" TargetMode="External"/><Relationship Id="rId43" Type="http://schemas.openxmlformats.org/officeDocument/2006/relationships/hyperlink" Target="https://www.ismp-canada.org/download/TALLman/PrinciplesApplication-TALLmanLettering-Mar2016.pdf" TargetMode="External"/><Relationship Id="rId48" Type="http://schemas.openxmlformats.org/officeDocument/2006/relationships/hyperlink" Target="http://www.who.int/patientsafety/solutions/patientsafety/PS-Solution1.pdf?ua=1" TargetMode="External"/><Relationship Id="rId56" Type="http://schemas.openxmlformats.org/officeDocument/2006/relationships/header" Target="header3.xml"/><Relationship Id="rId8" Type="http://schemas.openxmlformats.org/officeDocument/2006/relationships/hyperlink" Target="https://www.safetyandquality.gov.au/publications-and-resources/resource-library/national-mixed-case-lettering-list" TargetMode="External"/><Relationship Id="rId51" Type="http://schemas.openxmlformats.org/officeDocument/2006/relationships/hyperlink" Target="https://www.hqsc.govt.nz/our-work/system-safety/reducing-harm/medicines/projects/tall-man-lettering/" TargetMode="External"/><Relationship Id="rId3" Type="http://schemas.openxmlformats.org/officeDocument/2006/relationships/styles" Target="styles.xml"/><Relationship Id="rId12" Type="http://schemas.openxmlformats.org/officeDocument/2006/relationships/hyperlink" Target="https://www.safetyandquality.gov.au/our-work/medication-safety/safer-naming-labelling-and-packaging-medicines/safe-selection-and-storage-medicines" TargetMode="External"/><Relationship Id="rId17" Type="http://schemas.openxmlformats.org/officeDocument/2006/relationships/hyperlink" Target="https://www.safetyandquality.gov.au/publications-and-resources/resource-library/national-mixed-case-lettering-list" TargetMode="External"/><Relationship Id="rId25" Type="http://schemas.openxmlformats.org/officeDocument/2006/relationships/hyperlink" Target="https://www.safetyandquality.gov.au/publications-and-resources/resource-library/national-mixed-case-lettering-list" TargetMode="External"/><Relationship Id="rId33" Type="http://schemas.openxmlformats.org/officeDocument/2006/relationships/image" Target="media/image4.png"/><Relationship Id="rId38" Type="http://schemas.openxmlformats.org/officeDocument/2006/relationships/footer" Target="footer3.xml"/><Relationship Id="rId46" Type="http://schemas.openxmlformats.org/officeDocument/2006/relationships/hyperlink" Target="https://ismpcanada.ca/wp-content/uploads/2022/02/TALLmanLettering-ProjectReport.pdf" TargetMode="External"/><Relationship Id="rId20" Type="http://schemas.openxmlformats.org/officeDocument/2006/relationships/hyperlink" Target="https://www.safetyandquality.gov.au/publications-and-resources/resource-library/national-mixed-case-lettering-list" TargetMode="External"/><Relationship Id="rId41" Type="http://schemas.openxmlformats.org/officeDocument/2006/relationships/hyperlink" Target="http://www.ismp.org/recommendations/tall-man-letters-list" TargetMode="External"/><Relationship Id="rId54" Type="http://schemas.openxmlformats.org/officeDocument/2006/relationships/hyperlink" Target="https://www.safetyandquality.gov.au/publications-and-resources/resource-library/national-standard-application-tall-man-lettering-project-repor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asa.azureedge.net/" TargetMode="External"/><Relationship Id="rId23" Type="http://schemas.openxmlformats.org/officeDocument/2006/relationships/hyperlink" Target="mailto:medsafety%40safetyandquality.gov.au?subject=" TargetMode="External"/><Relationship Id="rId28" Type="http://schemas.openxmlformats.org/officeDocument/2006/relationships/footer" Target="footer2.xml"/><Relationship Id="rId36" Type="http://schemas.openxmlformats.org/officeDocument/2006/relationships/hyperlink" Target="https://www.safetyandquality.gov.au/our-work/medication-safety/safer-naming-labelling-and-packaging-medicines/safe-selection-and-storage-medicines" TargetMode="External"/><Relationship Id="rId49" Type="http://schemas.openxmlformats.org/officeDocument/2006/relationships/hyperlink" Target="https://iris.who.int/bitstream/handle/10665/373495/9789240058897-eng.pdf?sequence=1" TargetMode="External"/><Relationship Id="rId57" Type="http://schemas.openxmlformats.org/officeDocument/2006/relationships/fontTable" Target="fontTable.xml"/><Relationship Id="rId10" Type="http://schemas.openxmlformats.org/officeDocument/2006/relationships/hyperlink" Target="https://www.safetyandquality.gov.au/our-work/medication-safety/safer-naming-and-labelling-medicines/national-mixed-case-lettering-list" TargetMode="External"/><Relationship Id="rId31" Type="http://schemas.openxmlformats.org/officeDocument/2006/relationships/hyperlink" Target="https://lasa.azureedge.net/" TargetMode="External"/><Relationship Id="rId44" Type="http://schemas.openxmlformats.org/officeDocument/2006/relationships/hyperlink" Target="http://ismpcanada.ca/wp-content/uploads/2022/02/TALLman-lettering.pdf" TargetMode="External"/><Relationship Id="rId52" Type="http://schemas.openxmlformats.org/officeDocument/2006/relationships/hyperlink" Target="http://www.safetyandquality.gov.au/publications-and-resources/resource-library/principles-safe-selection-and-storage-medicines-guidance-principles-and-survey-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119</TotalTime>
  <Pages>11</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Fact sheet 4 for health service organisations and accrediting agencies: Rating scale</vt:lpstr>
    </vt:vector>
  </TitlesOfParts>
  <Manager/>
  <Company>Australian Commission on Safety and Quality in Health Care</Company>
  <LinksUpToDate>false</LinksUpToDate>
  <CharactersWithSpaces>23810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‘Mixed‑case lettering’: Principles for application</dc:title>
  <dc:subject/>
  <dc:creator>Australian Commission on Safety and Quality in Health Care</dc:creator>
  <cp:keywords/>
  <dc:description/>
  <cp:lastModifiedBy>James</cp:lastModifiedBy>
  <cp:revision>161</cp:revision>
  <cp:lastPrinted>2020-03-04T03:32:00Z</cp:lastPrinted>
  <dcterms:created xsi:type="dcterms:W3CDTF">2022-12-12T04:32:00Z</dcterms:created>
  <dcterms:modified xsi:type="dcterms:W3CDTF">2024-05-02T06:56:00Z</dcterms:modified>
  <cp:category/>
</cp:coreProperties>
</file>